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D4975" w14:textId="784D58C9" w:rsidR="00C12B83" w:rsidRDefault="002B3B7B" w:rsidP="009177B3">
      <w:pPr>
        <w:pStyle w:val="ReviewHeading"/>
      </w:pPr>
      <w:bookmarkStart w:id="0" w:name="_Toc233285572"/>
      <w:bookmarkStart w:id="1" w:name="_Toc233801451"/>
      <w:r w:rsidRPr="004D4D79">
        <w:rPr>
          <w:noProof/>
        </w:rPr>
        <w:drawing>
          <wp:anchor distT="0" distB="0" distL="114300" distR="114300" simplePos="0" relativeHeight="251658268" behindDoc="0" locked="0" layoutInCell="1" allowOverlap="1" wp14:anchorId="0A686741" wp14:editId="6D7FD110">
            <wp:simplePos x="0" y="0"/>
            <wp:positionH relativeFrom="page">
              <wp:align>right</wp:align>
            </wp:positionH>
            <wp:positionV relativeFrom="paragraph">
              <wp:posOffset>-914400</wp:posOffset>
            </wp:positionV>
            <wp:extent cx="7905750" cy="10677190"/>
            <wp:effectExtent l="0" t="0" r="0" b="0"/>
            <wp:wrapNone/>
            <wp:docPr id="538900549" name="Picture 1"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00549" name="Picture 1" descr="P1#y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05750" cy="106771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p w14:paraId="1AD0B722" w14:textId="61AB45AB" w:rsidR="00E4762F" w:rsidRPr="00CC7A58" w:rsidRDefault="00CF5FF6" w:rsidP="00CC7A58">
      <w:pPr>
        <w:spacing w:after="0" w:line="276" w:lineRule="auto"/>
        <w:jc w:val="left"/>
        <w:rPr>
          <w:sz w:val="16"/>
          <w:szCs w:val="18"/>
        </w:rPr>
      </w:pPr>
      <w:r>
        <w:br w:type="page"/>
      </w:r>
      <w:r w:rsidR="00382EE8">
        <w:rPr>
          <w:rFonts w:ascii="ZWAdobeF" w:hAnsi="ZWAdobeF" w:cs="ZWAdobeF"/>
          <w:sz w:val="2"/>
          <w:szCs w:val="2"/>
        </w:rPr>
        <w:lastRenderedPageBreak/>
        <w:t>506B</w:t>
      </w:r>
      <w:r w:rsidR="00E4762F" w:rsidRPr="00CC7A58">
        <w:rPr>
          <w:sz w:val="16"/>
          <w:szCs w:val="18"/>
        </w:rPr>
        <w:t>© Commonwealth of Australia 202</w:t>
      </w:r>
      <w:r w:rsidR="00CB5BD1">
        <w:rPr>
          <w:sz w:val="16"/>
          <w:szCs w:val="18"/>
        </w:rPr>
        <w:t>6</w:t>
      </w:r>
      <w:r w:rsidR="00E4762F" w:rsidRPr="00CC7A58">
        <w:rPr>
          <w:sz w:val="16"/>
          <w:szCs w:val="18"/>
        </w:rPr>
        <w:t> </w:t>
      </w:r>
    </w:p>
    <w:p w14:paraId="6A9A9E49" w14:textId="77777777" w:rsidR="00D05263" w:rsidRDefault="00D05263" w:rsidP="00423FFD">
      <w:pPr>
        <w:spacing w:after="0" w:line="276" w:lineRule="auto"/>
        <w:jc w:val="left"/>
        <w:rPr>
          <w:b/>
          <w:bCs/>
          <w:sz w:val="16"/>
          <w:szCs w:val="18"/>
        </w:rPr>
      </w:pPr>
    </w:p>
    <w:p w14:paraId="540E4507" w14:textId="33C9D98A" w:rsidR="00E4762F" w:rsidRPr="00CC7A58" w:rsidRDefault="00382EE8" w:rsidP="00CC7A58">
      <w:pPr>
        <w:spacing w:after="0" w:line="276" w:lineRule="auto"/>
        <w:jc w:val="left"/>
        <w:rPr>
          <w:sz w:val="16"/>
          <w:szCs w:val="18"/>
        </w:rPr>
      </w:pPr>
      <w:r>
        <w:rPr>
          <w:rFonts w:ascii="ZWAdobeF" w:hAnsi="ZWAdobeF" w:cs="ZWAdobeF"/>
          <w:bCs/>
          <w:sz w:val="2"/>
          <w:szCs w:val="2"/>
        </w:rPr>
        <w:t>507B</w:t>
      </w:r>
      <w:r w:rsidR="00E4762F" w:rsidRPr="00CC7A58">
        <w:rPr>
          <w:b/>
          <w:bCs/>
          <w:sz w:val="16"/>
          <w:szCs w:val="18"/>
        </w:rPr>
        <w:t>Ownership of intellectual property rights</w:t>
      </w:r>
      <w:r w:rsidR="00E4762F" w:rsidRPr="00CC7A58">
        <w:rPr>
          <w:sz w:val="16"/>
          <w:szCs w:val="18"/>
        </w:rPr>
        <w:t> </w:t>
      </w:r>
    </w:p>
    <w:p w14:paraId="427B07CB" w14:textId="5BD920BD" w:rsidR="00E4762F" w:rsidRPr="00CC7A58" w:rsidRDefault="00382EE8" w:rsidP="00CC7A58">
      <w:pPr>
        <w:spacing w:after="0" w:line="276" w:lineRule="auto"/>
        <w:jc w:val="left"/>
        <w:rPr>
          <w:sz w:val="16"/>
          <w:szCs w:val="18"/>
        </w:rPr>
      </w:pPr>
      <w:r>
        <w:rPr>
          <w:rFonts w:ascii="ZWAdobeF" w:hAnsi="ZWAdobeF" w:cs="ZWAdobeF"/>
          <w:sz w:val="2"/>
          <w:szCs w:val="2"/>
        </w:rPr>
        <w:t>508B</w:t>
      </w:r>
      <w:r w:rsidR="00E4762F" w:rsidRPr="00CC7A58">
        <w:rPr>
          <w:sz w:val="16"/>
          <w:szCs w:val="18"/>
        </w:rPr>
        <w:t>Unless otherwise noted, copyright (and any other intellectual property rights) in this publication is owned by the Commonwealth of Australia (referred to as the Commonwealth). </w:t>
      </w:r>
    </w:p>
    <w:p w14:paraId="787CDD68" w14:textId="77777777" w:rsidR="00D05263" w:rsidRDefault="00D05263" w:rsidP="00423FFD">
      <w:pPr>
        <w:spacing w:after="0" w:line="276" w:lineRule="auto"/>
        <w:jc w:val="left"/>
        <w:rPr>
          <w:b/>
          <w:bCs/>
          <w:sz w:val="16"/>
          <w:szCs w:val="18"/>
        </w:rPr>
      </w:pPr>
    </w:p>
    <w:p w14:paraId="04E6BFF4" w14:textId="1E37C04E" w:rsidR="00E4762F" w:rsidRPr="00CC7A58" w:rsidRDefault="00382EE8" w:rsidP="00CC7A58">
      <w:pPr>
        <w:spacing w:after="0" w:line="276" w:lineRule="auto"/>
        <w:jc w:val="left"/>
        <w:rPr>
          <w:sz w:val="16"/>
          <w:szCs w:val="18"/>
        </w:rPr>
      </w:pPr>
      <w:r>
        <w:rPr>
          <w:rFonts w:ascii="ZWAdobeF" w:hAnsi="ZWAdobeF" w:cs="ZWAdobeF"/>
          <w:bCs/>
          <w:sz w:val="2"/>
          <w:szCs w:val="2"/>
        </w:rPr>
        <w:t>509B</w:t>
      </w:r>
      <w:r w:rsidR="00E4762F" w:rsidRPr="00CC7A58">
        <w:rPr>
          <w:b/>
          <w:bCs/>
          <w:sz w:val="16"/>
          <w:szCs w:val="18"/>
        </w:rPr>
        <w:t>Creative Commons licence</w:t>
      </w:r>
      <w:r w:rsidR="00E4762F" w:rsidRPr="00CC7A58">
        <w:rPr>
          <w:sz w:val="16"/>
          <w:szCs w:val="18"/>
        </w:rPr>
        <w:t> </w:t>
      </w:r>
    </w:p>
    <w:p w14:paraId="235EB8E0" w14:textId="37DC6C69" w:rsidR="00E4762F" w:rsidRDefault="00382EE8" w:rsidP="00CC7A58">
      <w:pPr>
        <w:spacing w:after="0" w:line="276" w:lineRule="auto"/>
        <w:jc w:val="left"/>
        <w:rPr>
          <w:sz w:val="16"/>
          <w:szCs w:val="18"/>
        </w:rPr>
      </w:pPr>
      <w:r>
        <w:rPr>
          <w:rFonts w:ascii="ZWAdobeF" w:hAnsi="ZWAdobeF" w:cs="ZWAdobeF"/>
          <w:sz w:val="2"/>
          <w:szCs w:val="2"/>
        </w:rPr>
        <w:t>510B</w:t>
      </w:r>
      <w:r w:rsidR="00E4762F" w:rsidRPr="00CC7A58">
        <w:rPr>
          <w:sz w:val="16"/>
          <w:szCs w:val="18"/>
        </w:rPr>
        <w:t xml:space="preserve">All material in this publication is licensed under a </w:t>
      </w:r>
      <w:hyperlink r:id="rId12" w:tgtFrame="_blank" w:history="1">
        <w:r w:rsidR="00E4762F" w:rsidRPr="00CC7A58">
          <w:rPr>
            <w:rStyle w:val="Hyperlink"/>
            <w:sz w:val="16"/>
            <w:szCs w:val="18"/>
          </w:rPr>
          <w:t>Creative Commons Attribution 4.0 International Licence</w:t>
        </w:r>
      </w:hyperlink>
      <w:r w:rsidR="00E4762F" w:rsidRPr="00CC7A58">
        <w:rPr>
          <w:sz w:val="16"/>
          <w:szCs w:val="18"/>
        </w:rPr>
        <w:t xml:space="preserve"> except content supplied by third parties, logos and the Commonwealth Coat of Arms. </w:t>
      </w:r>
    </w:p>
    <w:p w14:paraId="53FE64E7" w14:textId="77777777" w:rsidR="00D05263" w:rsidRPr="00CC7A58" w:rsidRDefault="00D05263" w:rsidP="00CC7A58">
      <w:pPr>
        <w:spacing w:after="0" w:line="276" w:lineRule="auto"/>
        <w:jc w:val="left"/>
        <w:rPr>
          <w:sz w:val="16"/>
          <w:szCs w:val="18"/>
        </w:rPr>
      </w:pPr>
    </w:p>
    <w:p w14:paraId="03E73CED" w14:textId="7AB2C92B" w:rsidR="00E4762F" w:rsidRDefault="00382EE8" w:rsidP="00CC7A58">
      <w:pPr>
        <w:spacing w:after="0" w:line="276" w:lineRule="auto"/>
        <w:jc w:val="left"/>
        <w:rPr>
          <w:sz w:val="16"/>
          <w:szCs w:val="18"/>
        </w:rPr>
      </w:pPr>
      <w:r>
        <w:rPr>
          <w:rFonts w:ascii="ZWAdobeF" w:hAnsi="ZWAdobeF" w:cs="ZWAdobeF"/>
          <w:sz w:val="2"/>
          <w:szCs w:val="2"/>
        </w:rPr>
        <w:t>511B</w:t>
      </w:r>
      <w:r w:rsidR="00E4762F" w:rsidRPr="00CC7A58">
        <w:rPr>
          <w:sz w:val="16"/>
          <w:szCs w:val="18"/>
        </w:rPr>
        <w:t xml:space="preserve">Inquiries about the licence and any use of this document should be emailed to </w:t>
      </w:r>
      <w:hyperlink r:id="rId13" w:tgtFrame="_blank" w:history="1">
        <w:r w:rsidR="00E4762F" w:rsidRPr="00CC7A58">
          <w:rPr>
            <w:rStyle w:val="Hyperlink"/>
            <w:sz w:val="16"/>
            <w:szCs w:val="18"/>
          </w:rPr>
          <w:t>copyright@dcceew.gov.au</w:t>
        </w:r>
      </w:hyperlink>
      <w:r w:rsidR="00E4762F" w:rsidRPr="00CC7A58">
        <w:rPr>
          <w:sz w:val="16"/>
          <w:szCs w:val="18"/>
        </w:rPr>
        <w:t>. </w:t>
      </w:r>
    </w:p>
    <w:p w14:paraId="2D0DED15" w14:textId="77777777" w:rsidR="00D05263" w:rsidRPr="00CC7A58" w:rsidRDefault="00D05263" w:rsidP="00CC7A58">
      <w:pPr>
        <w:spacing w:after="0" w:line="240" w:lineRule="auto"/>
        <w:jc w:val="left"/>
        <w:rPr>
          <w:sz w:val="16"/>
          <w:szCs w:val="18"/>
        </w:rPr>
      </w:pPr>
    </w:p>
    <w:p w14:paraId="5918F184" w14:textId="13353158" w:rsidR="00E4762F" w:rsidRPr="00CC7A58" w:rsidRDefault="00382EE8" w:rsidP="00CC7A58">
      <w:pPr>
        <w:spacing w:after="0" w:line="240" w:lineRule="auto"/>
        <w:jc w:val="left"/>
        <w:rPr>
          <w:sz w:val="16"/>
          <w:szCs w:val="18"/>
        </w:rPr>
      </w:pPr>
      <w:r>
        <w:rPr>
          <w:rFonts w:ascii="ZWAdobeF" w:hAnsi="ZWAdobeF" w:cs="ZWAdobeF"/>
          <w:sz w:val="2"/>
          <w:szCs w:val="2"/>
        </w:rPr>
        <w:t>512B</w:t>
      </w:r>
      <w:r w:rsidR="00E4762F" w:rsidRPr="00CC7A58">
        <w:rPr>
          <w:noProof/>
          <w:sz w:val="16"/>
          <w:szCs w:val="18"/>
        </w:rPr>
        <w:drawing>
          <wp:inline distT="0" distB="0" distL="0" distR="0" wp14:anchorId="0572A92C" wp14:editId="1084C105">
            <wp:extent cx="723265" cy="246380"/>
            <wp:effectExtent l="0" t="0" r="635" b="1270"/>
            <wp:docPr id="110113413" name="Picture 8" descr="P1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3413" name="Picture 8" descr="P12#yIS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265" cy="246380"/>
                    </a:xfrm>
                    <a:prstGeom prst="rect">
                      <a:avLst/>
                    </a:prstGeom>
                    <a:noFill/>
                    <a:ln>
                      <a:noFill/>
                    </a:ln>
                  </pic:spPr>
                </pic:pic>
              </a:graphicData>
            </a:graphic>
          </wp:inline>
        </w:drawing>
      </w:r>
      <w:r w:rsidR="00E4762F" w:rsidRPr="00CC7A58">
        <w:rPr>
          <w:sz w:val="16"/>
          <w:szCs w:val="18"/>
        </w:rPr>
        <w:t> </w:t>
      </w:r>
    </w:p>
    <w:p w14:paraId="3642DC30" w14:textId="77777777" w:rsidR="00D05263" w:rsidRDefault="00D05263" w:rsidP="00D05263">
      <w:pPr>
        <w:spacing w:after="0" w:line="240" w:lineRule="auto"/>
        <w:jc w:val="left"/>
        <w:rPr>
          <w:b/>
          <w:bCs/>
          <w:sz w:val="16"/>
          <w:szCs w:val="18"/>
        </w:rPr>
      </w:pPr>
    </w:p>
    <w:p w14:paraId="2CF62F3E" w14:textId="06916751" w:rsidR="00E4762F" w:rsidRPr="007C2390" w:rsidRDefault="00382EE8" w:rsidP="00CC7A58">
      <w:pPr>
        <w:spacing w:after="0" w:line="276" w:lineRule="auto"/>
        <w:jc w:val="left"/>
        <w:rPr>
          <w:sz w:val="16"/>
          <w:szCs w:val="18"/>
        </w:rPr>
      </w:pPr>
      <w:r>
        <w:rPr>
          <w:rFonts w:ascii="ZWAdobeF" w:hAnsi="ZWAdobeF" w:cs="ZWAdobeF"/>
          <w:sz w:val="2"/>
          <w:szCs w:val="2"/>
        </w:rPr>
        <w:t>513B</w:t>
      </w:r>
      <w:r w:rsidR="00E4762F" w:rsidRPr="007C2390">
        <w:rPr>
          <w:b/>
          <w:sz w:val="16"/>
          <w:szCs w:val="18"/>
        </w:rPr>
        <w:t>Cataloguing data</w:t>
      </w:r>
      <w:r w:rsidR="00E4762F" w:rsidRPr="007C2390">
        <w:rPr>
          <w:sz w:val="16"/>
          <w:szCs w:val="18"/>
        </w:rPr>
        <w:t> </w:t>
      </w:r>
    </w:p>
    <w:p w14:paraId="7B7F32A4" w14:textId="03FC7140" w:rsidR="00E4762F" w:rsidRDefault="00382EE8" w:rsidP="00CC7A58">
      <w:pPr>
        <w:spacing w:after="0" w:line="276" w:lineRule="auto"/>
        <w:jc w:val="left"/>
        <w:rPr>
          <w:rFonts w:ascii="Aptos" w:hAnsi="Aptos" w:cs="Aptos"/>
          <w:sz w:val="16"/>
          <w:szCs w:val="18"/>
        </w:rPr>
      </w:pPr>
      <w:r>
        <w:rPr>
          <w:rFonts w:ascii="ZWAdobeF" w:hAnsi="ZWAdobeF" w:cs="ZWAdobeF"/>
          <w:sz w:val="2"/>
          <w:szCs w:val="2"/>
        </w:rPr>
        <w:t>514B</w:t>
      </w:r>
      <w:r w:rsidR="00E4762F" w:rsidRPr="007C2390">
        <w:rPr>
          <w:sz w:val="16"/>
          <w:szCs w:val="18"/>
        </w:rPr>
        <w:t>This publication (and any material sourced from it) should be attributed as: DCCEEW 202</w:t>
      </w:r>
      <w:r w:rsidR="000B2AB8" w:rsidRPr="007C2390">
        <w:rPr>
          <w:sz w:val="16"/>
          <w:szCs w:val="18"/>
        </w:rPr>
        <w:t>6</w:t>
      </w:r>
      <w:r w:rsidR="00E4762F" w:rsidRPr="007C2390">
        <w:rPr>
          <w:sz w:val="16"/>
          <w:szCs w:val="18"/>
        </w:rPr>
        <w:t xml:space="preserve">, </w:t>
      </w:r>
      <w:r w:rsidR="00BE68A7" w:rsidRPr="00BE68A7">
        <w:rPr>
          <w:sz w:val="16"/>
          <w:szCs w:val="18"/>
        </w:rPr>
        <w:t>Independent Review of the Snowy Water Inquiry Outcomes Implementation Deed Draft Report</w:t>
      </w:r>
      <w:r w:rsidR="00E4762F" w:rsidRPr="007C2390">
        <w:rPr>
          <w:sz w:val="16"/>
          <w:szCs w:val="18"/>
        </w:rPr>
        <w:t>, Department of Climate Change, Energy, the Environment and Water, Canberra, October. CC</w:t>
      </w:r>
      <w:r w:rsidR="00E4762F" w:rsidRPr="007C2390">
        <w:rPr>
          <w:rFonts w:ascii="Arial" w:hAnsi="Arial" w:cs="Arial"/>
          <w:sz w:val="16"/>
          <w:szCs w:val="18"/>
        </w:rPr>
        <w:t> </w:t>
      </w:r>
      <w:r w:rsidR="00E4762F" w:rsidRPr="007C2390">
        <w:rPr>
          <w:sz w:val="16"/>
          <w:szCs w:val="18"/>
        </w:rPr>
        <w:t>BY</w:t>
      </w:r>
      <w:r w:rsidR="00E4762F" w:rsidRPr="007C2390">
        <w:rPr>
          <w:rFonts w:ascii="Arial" w:hAnsi="Arial" w:cs="Arial"/>
          <w:sz w:val="16"/>
          <w:szCs w:val="18"/>
        </w:rPr>
        <w:t> </w:t>
      </w:r>
      <w:r w:rsidR="00E4762F" w:rsidRPr="007C2390">
        <w:rPr>
          <w:sz w:val="16"/>
          <w:szCs w:val="18"/>
        </w:rPr>
        <w:t>4.0.</w:t>
      </w:r>
      <w:r w:rsidR="00E4762F" w:rsidRPr="00CC7A58">
        <w:rPr>
          <w:rFonts w:ascii="Aptos" w:hAnsi="Aptos" w:cs="Aptos"/>
          <w:sz w:val="16"/>
          <w:szCs w:val="18"/>
        </w:rPr>
        <w:t> </w:t>
      </w:r>
    </w:p>
    <w:p w14:paraId="230EF51D" w14:textId="77777777" w:rsidR="00705C96" w:rsidRPr="00CC7A58" w:rsidRDefault="00705C96" w:rsidP="00CC7A58">
      <w:pPr>
        <w:spacing w:after="0" w:line="276" w:lineRule="auto"/>
        <w:jc w:val="left"/>
        <w:rPr>
          <w:sz w:val="16"/>
          <w:szCs w:val="18"/>
        </w:rPr>
      </w:pPr>
    </w:p>
    <w:p w14:paraId="59C6A49A" w14:textId="18580675" w:rsidR="00E4762F" w:rsidRPr="00CC7A58" w:rsidRDefault="00382EE8" w:rsidP="00CC7A58">
      <w:pPr>
        <w:spacing w:after="0" w:line="276" w:lineRule="auto"/>
        <w:jc w:val="left"/>
        <w:rPr>
          <w:sz w:val="16"/>
          <w:szCs w:val="18"/>
        </w:rPr>
      </w:pPr>
      <w:r>
        <w:rPr>
          <w:rFonts w:ascii="ZWAdobeF" w:hAnsi="ZWAdobeF" w:cs="ZWAdobeF"/>
          <w:sz w:val="2"/>
          <w:szCs w:val="2"/>
        </w:rPr>
        <w:t>515B</w:t>
      </w:r>
      <w:r w:rsidR="00E4762F" w:rsidRPr="00CC7A58">
        <w:rPr>
          <w:sz w:val="16"/>
          <w:szCs w:val="18"/>
        </w:rPr>
        <w:t>Department of Climate Change, Energy, the Environment and Water </w:t>
      </w:r>
    </w:p>
    <w:p w14:paraId="34A59EDC" w14:textId="37321B8F" w:rsidR="00E4762F" w:rsidRPr="00CC7A58" w:rsidRDefault="00382EE8" w:rsidP="00CC7A58">
      <w:pPr>
        <w:spacing w:after="0" w:line="276" w:lineRule="auto"/>
        <w:jc w:val="left"/>
        <w:rPr>
          <w:sz w:val="16"/>
          <w:szCs w:val="18"/>
        </w:rPr>
      </w:pPr>
      <w:r>
        <w:rPr>
          <w:rFonts w:ascii="ZWAdobeF" w:hAnsi="ZWAdobeF" w:cs="ZWAdobeF"/>
          <w:sz w:val="2"/>
          <w:szCs w:val="2"/>
        </w:rPr>
        <w:t>516B</w:t>
      </w:r>
      <w:r w:rsidR="00E4762F" w:rsidRPr="00CC7A58">
        <w:rPr>
          <w:sz w:val="16"/>
          <w:szCs w:val="18"/>
        </w:rPr>
        <w:t>GPO Box 3090 Canberra ACT 2601 </w:t>
      </w:r>
    </w:p>
    <w:p w14:paraId="50CC1B83" w14:textId="0B402758" w:rsidR="00E4762F" w:rsidRPr="00CC7A58" w:rsidRDefault="00382EE8" w:rsidP="00CC7A58">
      <w:pPr>
        <w:spacing w:after="0" w:line="276" w:lineRule="auto"/>
        <w:jc w:val="left"/>
        <w:rPr>
          <w:sz w:val="16"/>
          <w:szCs w:val="18"/>
        </w:rPr>
      </w:pPr>
      <w:r>
        <w:rPr>
          <w:rFonts w:ascii="ZWAdobeF" w:hAnsi="ZWAdobeF" w:cs="ZWAdobeF"/>
          <w:sz w:val="2"/>
          <w:szCs w:val="2"/>
        </w:rPr>
        <w:t>517B</w:t>
      </w:r>
      <w:r w:rsidR="00E4762F" w:rsidRPr="00CC7A58">
        <w:rPr>
          <w:sz w:val="16"/>
          <w:szCs w:val="18"/>
        </w:rPr>
        <w:t>Telephone 1800 900 090 </w:t>
      </w:r>
    </w:p>
    <w:p w14:paraId="41485645" w14:textId="4B07F49E" w:rsidR="00E4762F" w:rsidRPr="00CC7A58" w:rsidRDefault="00382EE8" w:rsidP="00CC7A58">
      <w:pPr>
        <w:spacing w:after="0" w:line="276" w:lineRule="auto"/>
        <w:jc w:val="left"/>
        <w:rPr>
          <w:sz w:val="16"/>
          <w:szCs w:val="18"/>
        </w:rPr>
      </w:pPr>
      <w:r>
        <w:rPr>
          <w:rFonts w:ascii="ZWAdobeF" w:hAnsi="ZWAdobeF" w:cs="ZWAdobeF"/>
          <w:sz w:val="2"/>
          <w:szCs w:val="2"/>
        </w:rPr>
        <w:t>518B</w:t>
      </w:r>
      <w:r w:rsidR="00E4762F" w:rsidRPr="00CC7A58">
        <w:rPr>
          <w:sz w:val="16"/>
          <w:szCs w:val="18"/>
        </w:rPr>
        <w:t xml:space="preserve">Web </w:t>
      </w:r>
      <w:hyperlink r:id="rId15" w:tgtFrame="_blank" w:history="1">
        <w:r w:rsidR="00E4762F" w:rsidRPr="00CC7A58">
          <w:rPr>
            <w:rStyle w:val="Hyperlink"/>
            <w:sz w:val="16"/>
            <w:szCs w:val="18"/>
          </w:rPr>
          <w:t>dcceew.gov.au</w:t>
        </w:r>
      </w:hyperlink>
      <w:r w:rsidR="00E4762F" w:rsidRPr="00CC7A58">
        <w:rPr>
          <w:sz w:val="16"/>
          <w:szCs w:val="18"/>
        </w:rPr>
        <w:t> </w:t>
      </w:r>
    </w:p>
    <w:p w14:paraId="0FE0E5CD" w14:textId="77777777" w:rsidR="00D05263" w:rsidRDefault="00D05263" w:rsidP="00423FFD">
      <w:pPr>
        <w:spacing w:after="0" w:line="276" w:lineRule="auto"/>
        <w:jc w:val="left"/>
        <w:rPr>
          <w:b/>
          <w:bCs/>
          <w:sz w:val="16"/>
          <w:szCs w:val="18"/>
        </w:rPr>
      </w:pPr>
    </w:p>
    <w:p w14:paraId="0F225B34" w14:textId="13AC10AA" w:rsidR="00E4762F" w:rsidRPr="00CC7A58" w:rsidRDefault="00382EE8" w:rsidP="00CC7A58">
      <w:pPr>
        <w:spacing w:after="0" w:line="276" w:lineRule="auto"/>
        <w:jc w:val="left"/>
        <w:rPr>
          <w:sz w:val="16"/>
          <w:szCs w:val="18"/>
        </w:rPr>
      </w:pPr>
      <w:r>
        <w:rPr>
          <w:rFonts w:ascii="ZWAdobeF" w:hAnsi="ZWAdobeF" w:cs="ZWAdobeF"/>
          <w:bCs/>
          <w:sz w:val="2"/>
          <w:szCs w:val="2"/>
        </w:rPr>
        <w:t>519B</w:t>
      </w:r>
      <w:r w:rsidR="00E4762F" w:rsidRPr="00CC7A58">
        <w:rPr>
          <w:b/>
          <w:bCs/>
          <w:sz w:val="16"/>
          <w:szCs w:val="18"/>
        </w:rPr>
        <w:t>Disclaimer</w:t>
      </w:r>
      <w:r w:rsidR="00E4762F" w:rsidRPr="00CC7A58">
        <w:rPr>
          <w:sz w:val="16"/>
          <w:szCs w:val="18"/>
        </w:rPr>
        <w:t> </w:t>
      </w:r>
    </w:p>
    <w:p w14:paraId="34118DF8" w14:textId="54491B60" w:rsidR="00E4762F" w:rsidRDefault="00382EE8" w:rsidP="00CC7A58">
      <w:pPr>
        <w:spacing w:after="0" w:line="276" w:lineRule="auto"/>
        <w:jc w:val="left"/>
        <w:rPr>
          <w:sz w:val="16"/>
          <w:szCs w:val="18"/>
        </w:rPr>
      </w:pPr>
      <w:r>
        <w:rPr>
          <w:rFonts w:ascii="ZWAdobeF" w:hAnsi="ZWAdobeF" w:cs="ZWAdobeF"/>
          <w:sz w:val="2"/>
          <w:szCs w:val="2"/>
        </w:rPr>
        <w:t>520B</w:t>
      </w:r>
      <w:r w:rsidR="00644AEB" w:rsidRPr="00644AEB">
        <w:rPr>
          <w:sz w:val="16"/>
          <w:szCs w:val="18"/>
        </w:rPr>
        <w:t>This is an independent report presented to the Department of Climate Change, Energy, the Environment and Water by the Snowy Water Inquiry Outcomes Implementation Deed Independent Review Panel.</w:t>
      </w:r>
      <w:r w:rsidR="00644AEB">
        <w:rPr>
          <w:sz w:val="16"/>
          <w:szCs w:val="18"/>
        </w:rPr>
        <w:t xml:space="preserve"> </w:t>
      </w:r>
      <w:r w:rsidR="00E4762F" w:rsidRPr="00CC7A58">
        <w:rPr>
          <w:sz w:val="16"/>
          <w:szCs w:val="18"/>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 </w:t>
      </w:r>
    </w:p>
    <w:p w14:paraId="40A65159" w14:textId="77777777" w:rsidR="00897D66" w:rsidRDefault="00897D66" w:rsidP="00423FFD">
      <w:pPr>
        <w:spacing w:after="0" w:line="276" w:lineRule="auto"/>
        <w:jc w:val="left"/>
        <w:rPr>
          <w:sz w:val="16"/>
          <w:szCs w:val="18"/>
        </w:rPr>
      </w:pPr>
    </w:p>
    <w:p w14:paraId="5B71C652" w14:textId="5952B07A" w:rsidR="00897D66" w:rsidRDefault="00382EE8" w:rsidP="00CC7A58">
      <w:pPr>
        <w:spacing w:after="0" w:line="276" w:lineRule="auto"/>
        <w:jc w:val="left"/>
        <w:rPr>
          <w:b/>
          <w:sz w:val="16"/>
          <w:szCs w:val="16"/>
        </w:rPr>
      </w:pPr>
      <w:r>
        <w:rPr>
          <w:rFonts w:ascii="ZWAdobeF" w:hAnsi="ZWAdobeF" w:cs="ZWAdobeF"/>
          <w:sz w:val="2"/>
          <w:szCs w:val="2"/>
        </w:rPr>
        <w:t>521B</w:t>
      </w:r>
      <w:r w:rsidR="00E90AEB" w:rsidRPr="7AEACE6E">
        <w:rPr>
          <w:b/>
          <w:sz w:val="16"/>
          <w:szCs w:val="16"/>
        </w:rPr>
        <w:t>Artificial Intelligence</w:t>
      </w:r>
    </w:p>
    <w:p w14:paraId="0AA73242" w14:textId="3F667992" w:rsidR="00990312" w:rsidRPr="00CC7A58" w:rsidRDefault="00382EE8" w:rsidP="00B44B31">
      <w:pPr>
        <w:spacing w:line="276" w:lineRule="auto"/>
        <w:jc w:val="left"/>
        <w:rPr>
          <w:sz w:val="16"/>
          <w:szCs w:val="16"/>
        </w:rPr>
      </w:pPr>
      <w:r>
        <w:rPr>
          <w:rFonts w:ascii="ZWAdobeF" w:hAnsi="ZWAdobeF" w:cs="ZWAdobeF"/>
          <w:sz w:val="2"/>
          <w:szCs w:val="2"/>
        </w:rPr>
        <w:t>522B</w:t>
      </w:r>
      <w:r w:rsidR="00990312" w:rsidRPr="00CC7A58">
        <w:rPr>
          <w:sz w:val="16"/>
          <w:szCs w:val="16"/>
        </w:rPr>
        <w:t>The Panel was supported by a DCCEEW Secretariat drafting team in the preparation of this report. Artificial intelligence tools were used to provide editorial support only, including assisting with structuring chapters, improving clarity and consistency of language, reducing duplication, and refining responses to reviewer comments. These tools were not used to develop the analysis, findings or recommendations. The content of the report remains the responsibility of the Panel.</w:t>
      </w:r>
    </w:p>
    <w:p w14:paraId="20801FCA" w14:textId="78DC8851" w:rsidR="00E4762F" w:rsidRPr="00CC7A58" w:rsidRDefault="00382EE8" w:rsidP="00CC7A58">
      <w:pPr>
        <w:spacing w:after="0" w:line="276" w:lineRule="auto"/>
        <w:jc w:val="left"/>
        <w:rPr>
          <w:sz w:val="16"/>
          <w:szCs w:val="18"/>
        </w:rPr>
      </w:pPr>
      <w:r>
        <w:rPr>
          <w:rFonts w:ascii="ZWAdobeF" w:hAnsi="ZWAdobeF" w:cs="ZWAdobeF"/>
          <w:bCs/>
          <w:sz w:val="2"/>
          <w:szCs w:val="2"/>
        </w:rPr>
        <w:t>523B</w:t>
      </w:r>
      <w:r w:rsidR="00E4762F" w:rsidRPr="00CC7A58">
        <w:rPr>
          <w:b/>
          <w:bCs/>
          <w:sz w:val="16"/>
          <w:szCs w:val="18"/>
        </w:rPr>
        <w:t>Acknowledgement of Country</w:t>
      </w:r>
      <w:r w:rsidR="00E4762F" w:rsidRPr="00CC7A58">
        <w:rPr>
          <w:sz w:val="16"/>
          <w:szCs w:val="18"/>
        </w:rPr>
        <w:t> </w:t>
      </w:r>
    </w:p>
    <w:p w14:paraId="6E5040CD" w14:textId="2ADCEF7E" w:rsidR="00E4762F" w:rsidRPr="00CC7A58" w:rsidRDefault="00382EE8" w:rsidP="00CC7A58">
      <w:pPr>
        <w:spacing w:after="0" w:line="276" w:lineRule="auto"/>
        <w:jc w:val="left"/>
        <w:rPr>
          <w:sz w:val="16"/>
          <w:szCs w:val="18"/>
        </w:rPr>
      </w:pPr>
      <w:r>
        <w:rPr>
          <w:rFonts w:ascii="ZWAdobeF" w:hAnsi="ZWAdobeF" w:cs="ZWAdobeF"/>
          <w:sz w:val="2"/>
          <w:szCs w:val="2"/>
        </w:rPr>
        <w:t>524B</w:t>
      </w:r>
      <w:r w:rsidR="00E4762F" w:rsidRPr="00CC7A58">
        <w:rPr>
          <w:sz w:val="16"/>
          <w:szCs w:val="18"/>
        </w:rPr>
        <w:t>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and present.</w:t>
      </w:r>
    </w:p>
    <w:p w14:paraId="4BF117B4" w14:textId="17D2F010" w:rsidR="004B37C1" w:rsidRDefault="004B37C1">
      <w:pPr>
        <w:jc w:val="left"/>
        <w:rPr>
          <w:rFonts w:asciiTheme="majorHAnsi" w:eastAsiaTheme="majorEastAsia" w:hAnsiTheme="majorHAnsi" w:cstheme="majorBidi"/>
          <w:b/>
          <w:color w:val="000099"/>
          <w:spacing w:val="-10"/>
          <w:kern w:val="28"/>
          <w:sz w:val="56"/>
          <w:szCs w:val="56"/>
        </w:rPr>
      </w:pPr>
      <w:r>
        <w:br w:type="page"/>
      </w:r>
    </w:p>
    <w:p w14:paraId="6F9FA723" w14:textId="60B56B29" w:rsidR="008E216E" w:rsidRDefault="00382EE8" w:rsidP="008E216E">
      <w:pPr>
        <w:pStyle w:val="ReviewHeading"/>
      </w:pPr>
      <w:bookmarkStart w:id="2" w:name="_Toc233285573"/>
      <w:bookmarkStart w:id="3" w:name="_Toc233801452"/>
      <w:r>
        <w:rPr>
          <w:rFonts w:ascii="ZWAdobeF" w:hAnsi="ZWAdobeF" w:cs="ZWAdobeF"/>
          <w:b w:val="0"/>
          <w:color w:val="auto"/>
          <w:spacing w:val="0"/>
          <w:sz w:val="2"/>
          <w:szCs w:val="2"/>
        </w:rPr>
        <w:lastRenderedPageBreak/>
        <w:t>1655B</w:t>
      </w:r>
      <w:r w:rsidR="009177B3">
        <w:t>Forew</w:t>
      </w:r>
      <w:r w:rsidR="00452CE0">
        <w:t>o</w:t>
      </w:r>
      <w:r w:rsidR="009177B3">
        <w:t>rd</w:t>
      </w:r>
      <w:bookmarkEnd w:id="2"/>
      <w:bookmarkEnd w:id="3"/>
    </w:p>
    <w:p w14:paraId="2BA0FC33" w14:textId="0588807A" w:rsidR="003C45AE" w:rsidRPr="003C45AE" w:rsidRDefault="00382EE8" w:rsidP="003C45AE">
      <w:r>
        <w:rPr>
          <w:rFonts w:ascii="ZWAdobeF" w:hAnsi="ZWAdobeF" w:cs="ZWAdobeF"/>
          <w:sz w:val="2"/>
          <w:szCs w:val="2"/>
        </w:rPr>
        <w:t>525B</w:t>
      </w:r>
      <w:r w:rsidR="003C45AE" w:rsidRPr="003C45AE">
        <w:t xml:space="preserve">We are pleased to submit our </w:t>
      </w:r>
      <w:r w:rsidR="008E216E" w:rsidRPr="003C45AE">
        <w:t>draft of</w:t>
      </w:r>
      <w:r w:rsidR="003C45AE" w:rsidRPr="003C45AE">
        <w:t xml:space="preserve"> the Review of the Snowy Water Inquiry Outcomes Implementation Deed (the Deed).</w:t>
      </w:r>
    </w:p>
    <w:p w14:paraId="5777B6EB" w14:textId="1C0EF98E" w:rsidR="00DF67A6" w:rsidRDefault="00382EE8" w:rsidP="003C45AE">
      <w:r>
        <w:rPr>
          <w:rFonts w:ascii="ZWAdobeF" w:hAnsi="ZWAdobeF" w:cs="ZWAdobeF"/>
          <w:sz w:val="2"/>
          <w:szCs w:val="2"/>
        </w:rPr>
        <w:t>526B</w:t>
      </w:r>
      <w:r w:rsidR="415B6121">
        <w:t>The nation</w:t>
      </w:r>
      <w:r w:rsidR="00D977BE" w:rsidRPr="00D977BE">
        <w:noBreakHyphen/>
      </w:r>
      <w:r w:rsidR="415B6121">
        <w:t>building Snowy Scheme</w:t>
      </w:r>
      <w:r w:rsidR="00B178E2">
        <w:t>,</w:t>
      </w:r>
      <w:r w:rsidR="415B6121">
        <w:t xml:space="preserve"> constructed between 1949 and 1974</w:t>
      </w:r>
      <w:r w:rsidR="00B178E2">
        <w:t xml:space="preserve"> </w:t>
      </w:r>
      <w:r w:rsidR="00D977BE" w:rsidRPr="00D977BE">
        <w:t>(</w:t>
      </w:r>
      <w:r w:rsidR="415B6121">
        <w:t>with first</w:t>
      </w:r>
      <w:r w:rsidR="00981144">
        <w:t xml:space="preserve"> generation of</w:t>
      </w:r>
      <w:r w:rsidR="415B6121">
        <w:t xml:space="preserve"> power in 1955</w:t>
      </w:r>
      <w:r w:rsidR="00D977BE" w:rsidRPr="00D977BE">
        <w:t>), was designed</w:t>
      </w:r>
      <w:r w:rsidR="415B6121">
        <w:t xml:space="preserve"> to provide water to downstream irrigators and </w:t>
      </w:r>
      <w:r w:rsidR="00D977BE" w:rsidRPr="00D977BE">
        <w:t>funded</w:t>
      </w:r>
      <w:r w:rsidR="415B6121">
        <w:t xml:space="preserve"> by hydro generation</w:t>
      </w:r>
      <w:r w:rsidR="00D977BE" w:rsidRPr="00D977BE">
        <w:t>. While it</w:t>
      </w:r>
      <w:r w:rsidR="415B6121">
        <w:t xml:space="preserve"> has </w:t>
      </w:r>
      <w:r w:rsidR="00D977BE" w:rsidRPr="00D977BE">
        <w:t>delivered</w:t>
      </w:r>
      <w:r w:rsidR="415B6121">
        <w:t xml:space="preserve"> many </w:t>
      </w:r>
      <w:r w:rsidR="00D977BE" w:rsidRPr="00D977BE">
        <w:t>benefits, it</w:t>
      </w:r>
      <w:r w:rsidR="415B6121">
        <w:t xml:space="preserve"> has significantly </w:t>
      </w:r>
      <w:r w:rsidR="00D977BE" w:rsidRPr="00D977BE">
        <w:t>reduced flows</w:t>
      </w:r>
      <w:r w:rsidR="415B6121">
        <w:t xml:space="preserve"> in montane rivers</w:t>
      </w:r>
      <w:r w:rsidR="00D977BE" w:rsidRPr="00D977BE">
        <w:t>,</w:t>
      </w:r>
      <w:r w:rsidR="415B6121">
        <w:t xml:space="preserve"> including the Snowy and Upper Murrumbidgee </w:t>
      </w:r>
      <w:r w:rsidR="00B176FC">
        <w:t>r</w:t>
      </w:r>
      <w:r w:rsidR="415B6121">
        <w:t xml:space="preserve">ivers. After considerable community concern, a public inquiry resulted in an agreement, the SWIOID or Deed, being adopted by the Commonwealth, New South Wales and Victorian governments to increase the volume of water flowing down the montane rivers. </w:t>
      </w:r>
    </w:p>
    <w:p w14:paraId="7F96D8A0" w14:textId="3B1B295F" w:rsidR="00E537C5" w:rsidRDefault="00382EE8" w:rsidP="00F93951">
      <w:pPr>
        <w:rPr>
          <w:szCs w:val="22"/>
        </w:rPr>
      </w:pPr>
      <w:r>
        <w:rPr>
          <w:rFonts w:ascii="ZWAdobeF" w:hAnsi="ZWAdobeF" w:cs="ZWAdobeF"/>
          <w:sz w:val="2"/>
          <w:szCs w:val="2"/>
        </w:rPr>
        <w:t>527B</w:t>
      </w:r>
      <w:r w:rsidR="00DA792C" w:rsidRPr="002852C7">
        <w:rPr>
          <w:szCs w:val="22"/>
        </w:rPr>
        <w:t xml:space="preserve">The Deed, established in 2002, </w:t>
      </w:r>
      <w:r w:rsidR="00154A55" w:rsidRPr="00154A55">
        <w:rPr>
          <w:szCs w:val="22"/>
        </w:rPr>
        <w:t>reflects the understanding of environmental water management at the time.</w:t>
      </w:r>
      <w:r w:rsidR="008F4D6D">
        <w:rPr>
          <w:szCs w:val="22"/>
        </w:rPr>
        <w:t xml:space="preserve"> W</w:t>
      </w:r>
      <w:r w:rsidR="00DA792C" w:rsidRPr="002852C7">
        <w:rPr>
          <w:szCs w:val="22"/>
        </w:rPr>
        <w:t>hile it resulted in increased flows down the montane rivers</w:t>
      </w:r>
      <w:r w:rsidR="003A4877">
        <w:rPr>
          <w:szCs w:val="22"/>
        </w:rPr>
        <w:t xml:space="preserve"> </w:t>
      </w:r>
      <w:r w:rsidR="00DA792C" w:rsidRPr="002852C7">
        <w:rPr>
          <w:szCs w:val="22"/>
        </w:rPr>
        <w:t>compared with preceding arrangements, most notably in the Snowy River, the passage of time has shown that the flows are manifestly inadequate in volume and timing to ensure the health of the rivers and catchments involved in the Snowy Scheme</w:t>
      </w:r>
      <w:r w:rsidR="00013F13">
        <w:rPr>
          <w:szCs w:val="22"/>
        </w:rPr>
        <w:t>. For</w:t>
      </w:r>
      <w:r w:rsidR="00DA792C" w:rsidRPr="002852C7">
        <w:rPr>
          <w:szCs w:val="22"/>
        </w:rPr>
        <w:t xml:space="preserve"> example, the poor state of the Upper Murrumbidgee River at times provides a risk to water security and human health. </w:t>
      </w:r>
    </w:p>
    <w:p w14:paraId="25A58F92" w14:textId="6D7BA2A3" w:rsidR="00DA792C" w:rsidRPr="002852C7" w:rsidRDefault="00382EE8" w:rsidP="00F93951">
      <w:pPr>
        <w:rPr>
          <w:szCs w:val="22"/>
        </w:rPr>
      </w:pPr>
      <w:r>
        <w:rPr>
          <w:rFonts w:ascii="ZWAdobeF" w:hAnsi="ZWAdobeF" w:cs="ZWAdobeF"/>
          <w:sz w:val="2"/>
          <w:szCs w:val="2"/>
        </w:rPr>
        <w:t>528B</w:t>
      </w:r>
      <w:r w:rsidR="00DA792C" w:rsidRPr="002852C7">
        <w:rPr>
          <w:szCs w:val="22"/>
        </w:rPr>
        <w:t>While revised environmental flow provisions in 20</w:t>
      </w:r>
      <w:r w:rsidR="008326B8">
        <w:rPr>
          <w:szCs w:val="22"/>
        </w:rPr>
        <w:t>0</w:t>
      </w:r>
      <w:r w:rsidR="00DA792C" w:rsidRPr="002852C7">
        <w:rPr>
          <w:szCs w:val="22"/>
        </w:rPr>
        <w:t>2 increased the target release from Tantangara Dam to an average of 27</w:t>
      </w:r>
      <w:r w:rsidR="00B13B24">
        <w:rPr>
          <w:szCs w:val="22"/>
        </w:rPr>
        <w:t xml:space="preserve"> </w:t>
      </w:r>
      <w:r w:rsidR="00DA792C" w:rsidRPr="002852C7">
        <w:rPr>
          <w:szCs w:val="22"/>
        </w:rPr>
        <w:t>GL per year, this represents about 9</w:t>
      </w:r>
      <w:r w:rsidR="00E809EF">
        <w:rPr>
          <w:szCs w:val="22"/>
        </w:rPr>
        <w:t xml:space="preserve"> to</w:t>
      </w:r>
      <w:r w:rsidR="00DA792C" w:rsidRPr="002852C7">
        <w:rPr>
          <w:szCs w:val="22"/>
        </w:rPr>
        <w:t>10% of its mean annual natural flow, estimated to be 290</w:t>
      </w:r>
      <w:r w:rsidR="00E809EF">
        <w:rPr>
          <w:szCs w:val="22"/>
        </w:rPr>
        <w:t xml:space="preserve"> </w:t>
      </w:r>
      <w:r w:rsidR="00DA792C" w:rsidRPr="002852C7">
        <w:rPr>
          <w:szCs w:val="22"/>
        </w:rPr>
        <w:t xml:space="preserve">GL. These inadequate volumes of water are exacerbated by a poor record of catchment management activities by governments and others. </w:t>
      </w:r>
    </w:p>
    <w:p w14:paraId="367D2058" w14:textId="5EB5549B" w:rsidR="004124D3" w:rsidRPr="002852C7" w:rsidRDefault="00382EE8" w:rsidP="004124D3">
      <w:r>
        <w:rPr>
          <w:rFonts w:ascii="ZWAdobeF" w:hAnsi="ZWAdobeF" w:cs="ZWAdobeF"/>
          <w:sz w:val="2"/>
          <w:szCs w:val="2"/>
        </w:rPr>
        <w:t>529B</w:t>
      </w:r>
      <w:r w:rsidR="2D59D1E5">
        <w:t xml:space="preserve">This Review was focused on the Deed, </w:t>
      </w:r>
      <w:r w:rsidR="002B6C1E">
        <w:t xml:space="preserve">its </w:t>
      </w:r>
      <w:r w:rsidR="2D59D1E5">
        <w:t>governance and related operating arrangements. Although it considered the montane rivers in general</w:t>
      </w:r>
      <w:r w:rsidR="2B3B715B">
        <w:t>,</w:t>
      </w:r>
      <w:r w:rsidR="2D59D1E5">
        <w:t xml:space="preserve"> the </w:t>
      </w:r>
      <w:r w:rsidR="48150BF0">
        <w:t xml:space="preserve">focus of </w:t>
      </w:r>
      <w:r w:rsidR="2D59D1E5">
        <w:t xml:space="preserve">more technical work and modelling was the Upper Murrumbidgee River. The </w:t>
      </w:r>
      <w:r w:rsidR="0048452A">
        <w:t>Review</w:t>
      </w:r>
      <w:r w:rsidR="2D59D1E5">
        <w:t xml:space="preserve"> found that the Deed is outdated and is not delivering the outcomes required and justified by cost-benefit analysis.</w:t>
      </w:r>
      <w:r w:rsidR="004A66A2">
        <w:t xml:space="preserve"> </w:t>
      </w:r>
      <w:r w:rsidR="1226576B">
        <w:t>In particular, the Deed has delivered poor outcomes in the Upper Murrumbidgee River.</w:t>
      </w:r>
    </w:p>
    <w:p w14:paraId="73E28400" w14:textId="58480A05" w:rsidR="004124D3" w:rsidRPr="002852C7" w:rsidRDefault="00382EE8" w:rsidP="004124D3">
      <w:r>
        <w:rPr>
          <w:rFonts w:ascii="ZWAdobeF" w:hAnsi="ZWAdobeF" w:cs="ZWAdobeF"/>
          <w:sz w:val="2"/>
          <w:szCs w:val="2"/>
        </w:rPr>
        <w:t>530B</w:t>
      </w:r>
      <w:r w:rsidR="23417A5E">
        <w:t>Feedback to the Review</w:t>
      </w:r>
      <w:r w:rsidR="001C5C73">
        <w:t>,</w:t>
      </w:r>
      <w:r w:rsidR="23417A5E">
        <w:t xml:space="preserve"> including 13</w:t>
      </w:r>
      <w:r w:rsidR="004124D3">
        <w:t>6</w:t>
      </w:r>
      <w:r w:rsidR="23417A5E">
        <w:t xml:space="preserve"> submissions</w:t>
      </w:r>
      <w:r w:rsidR="001C5C73">
        <w:t>,</w:t>
      </w:r>
      <w:r w:rsidR="23417A5E">
        <w:t xml:space="preserve"> overwhelmingly expressed great concern about the state of the </w:t>
      </w:r>
      <w:r w:rsidR="054BB88D">
        <w:t>Upper Murrumbidgee River</w:t>
      </w:r>
      <w:r w:rsidR="23417A5E">
        <w:t xml:space="preserve"> a</w:t>
      </w:r>
      <w:r w:rsidR="613FF0CA">
        <w:t>n</w:t>
      </w:r>
      <w:r w:rsidR="23417A5E">
        <w:t xml:space="preserve">d catchment, and the absence of environmental care for the area. Advice from three independently facilitated community groups </w:t>
      </w:r>
      <w:r w:rsidR="00BF5FD7">
        <w:t>(</w:t>
      </w:r>
      <w:r w:rsidR="23417A5E">
        <w:t>First Nations, community interests and representatives from four governments</w:t>
      </w:r>
      <w:r w:rsidR="00BF5FD7">
        <w:t>)</w:t>
      </w:r>
      <w:r w:rsidR="23417A5E">
        <w:t xml:space="preserve"> was clear on the need to improve the Upper Murrumbidgee </w:t>
      </w:r>
      <w:r w:rsidR="009E0190">
        <w:t>River</w:t>
      </w:r>
      <w:r w:rsidR="23417A5E">
        <w:t xml:space="preserve"> and catchment while wanting to ensure that impacts on the National Electricity Market </w:t>
      </w:r>
      <w:r w:rsidR="004C2DC4">
        <w:t>(NEM)</w:t>
      </w:r>
      <w:r w:rsidR="23417A5E">
        <w:t xml:space="preserve"> and Snowy Hydro</w:t>
      </w:r>
      <w:r w:rsidR="008165CB">
        <w:t xml:space="preserve"> Limited’s</w:t>
      </w:r>
      <w:r w:rsidR="23417A5E">
        <w:t xml:space="preserve"> </w:t>
      </w:r>
      <w:r w:rsidR="001B57BB">
        <w:t>(Snowy Hydro)</w:t>
      </w:r>
      <w:r w:rsidR="23417A5E">
        <w:t xml:space="preserve"> energy production were minimised. </w:t>
      </w:r>
    </w:p>
    <w:p w14:paraId="41C1DCF7" w14:textId="2B14CEA3" w:rsidR="006A4EFF" w:rsidRPr="002852C7" w:rsidRDefault="00382EE8" w:rsidP="006A4EFF">
      <w:r>
        <w:rPr>
          <w:rFonts w:ascii="ZWAdobeF" w:hAnsi="ZWAdobeF" w:cs="ZWAdobeF"/>
          <w:sz w:val="2"/>
          <w:szCs w:val="2"/>
        </w:rPr>
        <w:t>531B</w:t>
      </w:r>
      <w:r w:rsidR="2A47087A">
        <w:t>The current Deed does not include the ACT even though the Murrumbidgee flow</w:t>
      </w:r>
      <w:r w:rsidR="2BA9DC41">
        <w:t>s</w:t>
      </w:r>
      <w:r w:rsidR="2A47087A">
        <w:t xml:space="preserve"> through its length, and the community and First Nations have little in the way of formal roles in the arrangements. Further</w:t>
      </w:r>
      <w:r w:rsidR="008F01F6">
        <w:t>,</w:t>
      </w:r>
      <w:r w:rsidR="2A47087A">
        <w:t xml:space="preserve"> First Nations have little access to the river and catchment areas. The Deed discourages adaptati</w:t>
      </w:r>
      <w:r w:rsidR="003F7D7E">
        <w:t>ve</w:t>
      </w:r>
      <w:r w:rsidR="2A47087A">
        <w:t xml:space="preserve"> and innovative water management as NSW is liable for compensation to Snowy Hydro for any changes which are not supported by Snowy Hydro. </w:t>
      </w:r>
    </w:p>
    <w:p w14:paraId="49258B8E" w14:textId="167BEBE1" w:rsidR="00A86647" w:rsidRPr="002852C7" w:rsidRDefault="00382EE8" w:rsidP="00A86647">
      <w:pPr>
        <w:rPr>
          <w:szCs w:val="22"/>
        </w:rPr>
      </w:pPr>
      <w:r>
        <w:rPr>
          <w:rFonts w:ascii="ZWAdobeF" w:hAnsi="ZWAdobeF" w:cs="ZWAdobeF"/>
          <w:sz w:val="2"/>
          <w:szCs w:val="2"/>
        </w:rPr>
        <w:t>532B</w:t>
      </w:r>
      <w:r w:rsidR="6F1333CC">
        <w:t xml:space="preserve">Modelling of various adaptive flow options which use a higher volume of water than </w:t>
      </w:r>
      <w:r w:rsidR="1EFBB91B">
        <w:t xml:space="preserve">is currently </w:t>
      </w:r>
      <w:r w:rsidR="6F1333CC">
        <w:t>delivered to take advantage of weather and climate events</w:t>
      </w:r>
      <w:r w:rsidR="78F2855C">
        <w:t>,</w:t>
      </w:r>
      <w:r w:rsidR="6F1333CC">
        <w:t xml:space="preserve"> shows that improved river health can be </w:t>
      </w:r>
      <w:r w:rsidR="6F1333CC">
        <w:lastRenderedPageBreak/>
        <w:t>achieved without compromising energy production. The scale of foregone generation is approximately 0.05 to 0.1% of total NEM generation and less than 4% of Snowy Hydro</w:t>
      </w:r>
      <w:r w:rsidR="00AD6755">
        <w:t>’</w:t>
      </w:r>
      <w:r w:rsidR="6F1333CC">
        <w:t xml:space="preserve">s annual generation. </w:t>
      </w:r>
      <w:r w:rsidR="00A86647" w:rsidRPr="002852C7">
        <w:rPr>
          <w:szCs w:val="22"/>
        </w:rPr>
        <w:t xml:space="preserve">The </w:t>
      </w:r>
      <w:r w:rsidR="0048452A">
        <w:rPr>
          <w:szCs w:val="22"/>
        </w:rPr>
        <w:t>Review</w:t>
      </w:r>
      <w:r w:rsidR="00A86647" w:rsidRPr="002852C7">
        <w:rPr>
          <w:szCs w:val="22"/>
        </w:rPr>
        <w:t xml:space="preserve"> also found that catchment repair is important and that increased flows alone will not be sufficient to restore the health of rivers.  </w:t>
      </w:r>
    </w:p>
    <w:p w14:paraId="35537918" w14:textId="5C4D2471" w:rsidR="00E36DEA" w:rsidRDefault="00382EE8" w:rsidP="002852C7">
      <w:pPr>
        <w:rPr>
          <w:lang w:val="en-US"/>
        </w:rPr>
      </w:pPr>
      <w:r>
        <w:rPr>
          <w:rFonts w:ascii="ZWAdobeF" w:hAnsi="ZWAdobeF" w:cs="ZWAdobeF"/>
          <w:sz w:val="2"/>
          <w:szCs w:val="2"/>
        </w:rPr>
        <w:t>533B</w:t>
      </w:r>
      <w:r w:rsidR="5BAE4576">
        <w:t xml:space="preserve">The </w:t>
      </w:r>
      <w:r w:rsidR="0048452A">
        <w:t>Review</w:t>
      </w:r>
      <w:r w:rsidR="5BAE4576">
        <w:t xml:space="preserve"> recommends </w:t>
      </w:r>
      <w:r w:rsidR="1F1E35FE">
        <w:t xml:space="preserve">a staged approach where </w:t>
      </w:r>
      <w:r w:rsidR="5BAE4576">
        <w:t>environmental flows are increased to achieve environmental outcomes equivalent to the delivery of an average annual target of 30% (87 GL equivalent) of the average annual inflows into</w:t>
      </w:r>
      <w:r w:rsidR="1E8244C9">
        <w:t xml:space="preserve"> </w:t>
      </w:r>
      <w:r w:rsidR="5BAE4576">
        <w:t>Tantangara</w:t>
      </w:r>
      <w:r w:rsidR="1E8244C9">
        <w:t xml:space="preserve"> </w:t>
      </w:r>
      <w:r w:rsidR="5BAE4576">
        <w:t>Dam</w:t>
      </w:r>
      <w:r w:rsidR="003F521C">
        <w:t xml:space="preserve">. This </w:t>
      </w:r>
      <w:r w:rsidR="6F1333CC" w:rsidDel="5E9145A3">
        <w:t>staged delivery</w:t>
      </w:r>
      <w:r w:rsidR="003F521C">
        <w:t xml:space="preserve"> should commence</w:t>
      </w:r>
      <w:r w:rsidR="5BAE4576" w:rsidRPr="037ED572">
        <w:rPr>
          <w:lang w:val="en-US"/>
        </w:rPr>
        <w:t xml:space="preserve"> </w:t>
      </w:r>
      <w:r w:rsidR="1FD0D476" w:rsidRPr="037ED572">
        <w:rPr>
          <w:lang w:val="en-US"/>
        </w:rPr>
        <w:t xml:space="preserve">immediately </w:t>
      </w:r>
      <w:r w:rsidR="5BAE4576" w:rsidRPr="037ED572">
        <w:rPr>
          <w:lang w:val="en-US"/>
        </w:rPr>
        <w:t>with an increase in the volume of water to an average annual target of 23% (68 GL equivalent) of average annual inflow</w:t>
      </w:r>
      <w:r w:rsidR="00983481">
        <w:rPr>
          <w:lang w:val="en-US"/>
        </w:rPr>
        <w:t xml:space="preserve">, which </w:t>
      </w:r>
      <w:r w:rsidR="5E2D38E7" w:rsidRPr="037ED572">
        <w:rPr>
          <w:lang w:val="en-US"/>
        </w:rPr>
        <w:t xml:space="preserve">is </w:t>
      </w:r>
      <w:r w:rsidR="00983481">
        <w:rPr>
          <w:lang w:val="en-US"/>
        </w:rPr>
        <w:t>O</w:t>
      </w:r>
      <w:r w:rsidR="5E2D38E7" w:rsidRPr="037ED572">
        <w:rPr>
          <w:lang w:val="en-US"/>
        </w:rPr>
        <w:t>ption 5 of the modelled environmental w</w:t>
      </w:r>
      <w:r w:rsidR="00E44335">
        <w:rPr>
          <w:lang w:val="en-US"/>
        </w:rPr>
        <w:t>a</w:t>
      </w:r>
      <w:r w:rsidR="5E2D38E7" w:rsidRPr="037ED572">
        <w:rPr>
          <w:lang w:val="en-US"/>
        </w:rPr>
        <w:t>tering options.</w:t>
      </w:r>
    </w:p>
    <w:p w14:paraId="30792F86" w14:textId="63E827D6" w:rsidR="002852C7" w:rsidRPr="002852C7" w:rsidRDefault="00382EE8" w:rsidP="002852C7">
      <w:r>
        <w:rPr>
          <w:rFonts w:ascii="ZWAdobeF" w:hAnsi="ZWAdobeF" w:cs="ZWAdobeF"/>
          <w:sz w:val="2"/>
          <w:szCs w:val="2"/>
          <w:lang w:val="en-US"/>
        </w:rPr>
        <w:t>534B</w:t>
      </w:r>
      <w:r w:rsidR="5BAE4576" w:rsidRPr="037ED572">
        <w:rPr>
          <w:lang w:val="en-US"/>
        </w:rPr>
        <w:t xml:space="preserve">The </w:t>
      </w:r>
      <w:r w:rsidR="0048452A">
        <w:rPr>
          <w:lang w:val="en-US"/>
        </w:rPr>
        <w:t>Review</w:t>
      </w:r>
      <w:r w:rsidR="5BAE4576" w:rsidRPr="037ED572">
        <w:rPr>
          <w:lang w:val="en-US"/>
        </w:rPr>
        <w:t xml:space="preserve"> </w:t>
      </w:r>
      <w:r w:rsidR="5BAE4576">
        <w:t>also recommends that within two years an independent study determine feasibility</w:t>
      </w:r>
      <w:r w:rsidR="00A06A1B">
        <w:t>-</w:t>
      </w:r>
      <w:r w:rsidR="5BAE4576">
        <w:t>level costs of upgrading the outlet valve on Tantangara Dam, to enable flushing flows that are required to support ecosystem recovery. A</w:t>
      </w:r>
      <w:r w:rsidR="2B6434F1">
        <w:t xml:space="preserve"> </w:t>
      </w:r>
      <w:r w:rsidR="5BAE4576">
        <w:t>cost</w:t>
      </w:r>
      <w:r w:rsidR="005A12E9">
        <w:t>-</w:t>
      </w:r>
      <w:r w:rsidR="5BAE4576">
        <w:t>benefit</w:t>
      </w:r>
      <w:r w:rsidR="3FF8C8C6">
        <w:t xml:space="preserve"> analysis should then be undertaken to det</w:t>
      </w:r>
      <w:r w:rsidR="40363EFC">
        <w:t>e</w:t>
      </w:r>
      <w:r w:rsidR="3FF8C8C6">
        <w:t>rmine whether the upgrade proceed</w:t>
      </w:r>
      <w:r w:rsidR="4F7175AA">
        <w:t>s</w:t>
      </w:r>
      <w:r w:rsidR="6F1333CC" w:rsidDel="5E9145A3">
        <w:t xml:space="preserve">. </w:t>
      </w:r>
      <w:r w:rsidR="170902FD">
        <w:t>Additional</w:t>
      </w:r>
      <w:r w:rsidR="6F1333CC" w:rsidDel="3FF8C8C6">
        <w:t xml:space="preserve"> </w:t>
      </w:r>
      <w:r w:rsidR="4BC77994">
        <w:t>actions are also contingent on further work being under</w:t>
      </w:r>
      <w:r w:rsidR="4AF0F8BF">
        <w:t>t</w:t>
      </w:r>
      <w:r w:rsidR="4BC77994">
        <w:t xml:space="preserve">aken prior to decisions being made. </w:t>
      </w:r>
      <w:r w:rsidR="00D55C9D">
        <w:t>Also recommended is an</w:t>
      </w:r>
      <w:r w:rsidR="228EB9D8">
        <w:t xml:space="preserve"> upgrade to the objective setting, compliance, monitoring, reporting and review of environmental flow activities.  </w:t>
      </w:r>
    </w:p>
    <w:p w14:paraId="342104F7" w14:textId="28807A7F" w:rsidR="002852C7" w:rsidRPr="002852C7" w:rsidRDefault="00382EE8" w:rsidP="002852C7">
      <w:r>
        <w:rPr>
          <w:rFonts w:ascii="ZWAdobeF" w:hAnsi="ZWAdobeF" w:cs="ZWAdobeF"/>
          <w:sz w:val="2"/>
          <w:szCs w:val="2"/>
        </w:rPr>
        <w:t>535B</w:t>
      </w:r>
      <w:r w:rsidR="228EB9D8">
        <w:t>Greater input from the community</w:t>
      </w:r>
      <w:r w:rsidR="00071C2B">
        <w:t>,</w:t>
      </w:r>
      <w:r w:rsidR="228EB9D8">
        <w:t xml:space="preserve"> including First Nations</w:t>
      </w:r>
      <w:r w:rsidR="00071C2B">
        <w:t>,</w:t>
      </w:r>
      <w:r w:rsidR="228EB9D8">
        <w:t xml:space="preserve"> is to be provided for in </w:t>
      </w:r>
      <w:r w:rsidR="0073618A">
        <w:t xml:space="preserve">the </w:t>
      </w:r>
      <w:r w:rsidR="228EB9D8">
        <w:t>new arrangements</w:t>
      </w:r>
      <w:r w:rsidR="44CA4804">
        <w:t xml:space="preserve"> and</w:t>
      </w:r>
      <w:r w:rsidR="00E51D0E">
        <w:t xml:space="preserve"> </w:t>
      </w:r>
      <w:r w:rsidR="00A33372">
        <w:t xml:space="preserve">a key recommendation is </w:t>
      </w:r>
      <w:r w:rsidR="00E51D0E">
        <w:t>s</w:t>
      </w:r>
      <w:r w:rsidR="228EB9D8">
        <w:t>upport for First Nations to enhance their access to the rivers and their role in the</w:t>
      </w:r>
      <w:r w:rsidR="000D1182">
        <w:t>ir</w:t>
      </w:r>
      <w:r w:rsidR="228EB9D8">
        <w:t xml:space="preserve"> management</w:t>
      </w:r>
      <w:r w:rsidR="000D1182">
        <w:t xml:space="preserve">. </w:t>
      </w:r>
      <w:r w:rsidR="228EB9D8">
        <w:t xml:space="preserve">  </w:t>
      </w:r>
    </w:p>
    <w:p w14:paraId="6BFC37A5" w14:textId="7228F65E" w:rsidR="00F3071F" w:rsidRPr="002852C7" w:rsidRDefault="00382EE8" w:rsidP="078A0D1C">
      <w:r>
        <w:rPr>
          <w:rFonts w:ascii="ZWAdobeF" w:hAnsi="ZWAdobeF" w:cs="ZWAdobeF"/>
          <w:sz w:val="2"/>
          <w:szCs w:val="2"/>
        </w:rPr>
        <w:t>536B</w:t>
      </w:r>
      <w:r w:rsidR="054BB88D">
        <w:t xml:space="preserve">The Panel believes that this package of reforms, if implemented collectively and in a timely manner, will lead to a significant improvement in the health of some of Australia’s most </w:t>
      </w:r>
      <w:r w:rsidR="0315678B">
        <w:t>well</w:t>
      </w:r>
      <w:r w:rsidR="00FE11F4">
        <w:t>-</w:t>
      </w:r>
      <w:r w:rsidR="0315678B">
        <w:t>known</w:t>
      </w:r>
      <w:r w:rsidR="00E44335">
        <w:t xml:space="preserve"> </w:t>
      </w:r>
      <w:r w:rsidR="054BB88D">
        <w:t>rivers.</w:t>
      </w:r>
      <w:r w:rsidR="228EB9D8" w:rsidDel="03C03F0B">
        <w:t xml:space="preserve"> </w:t>
      </w:r>
      <w:r w:rsidR="03C03F0B">
        <w:t>Should governments dec</w:t>
      </w:r>
      <w:r w:rsidR="5AE93A5B">
        <w:t>id</w:t>
      </w:r>
      <w:r w:rsidR="03C03F0B">
        <w:t>e not to proceed with th</w:t>
      </w:r>
      <w:r w:rsidR="759C6275">
        <w:t>is</w:t>
      </w:r>
      <w:r w:rsidR="03C03F0B">
        <w:t xml:space="preserve"> package</w:t>
      </w:r>
      <w:r w:rsidR="228EB9D8" w:rsidDel="03C03F0B">
        <w:t xml:space="preserve"> </w:t>
      </w:r>
      <w:r w:rsidR="03C03F0B">
        <w:t>of reforms, t</w:t>
      </w:r>
      <w:r w:rsidR="161FF7CF">
        <w:t>he</w:t>
      </w:r>
      <w:r w:rsidR="03C03F0B">
        <w:t xml:space="preserve"> Upper Mur</w:t>
      </w:r>
      <w:r w:rsidR="28E3C64E">
        <w:t xml:space="preserve">rumbidgee will </w:t>
      </w:r>
      <w:r w:rsidR="0244FAB1">
        <w:t>likely die</w:t>
      </w:r>
      <w:r w:rsidR="07018597">
        <w:t xml:space="preserve">, with </w:t>
      </w:r>
      <w:r w:rsidR="4AA27804">
        <w:t xml:space="preserve">its </w:t>
      </w:r>
      <w:r w:rsidR="00E06491">
        <w:t xml:space="preserve">flora and </w:t>
      </w:r>
      <w:r w:rsidR="1B392B96">
        <w:t>fauna</w:t>
      </w:r>
      <w:r w:rsidR="7B1BA79E">
        <w:t xml:space="preserve"> irreversibly </w:t>
      </w:r>
      <w:r w:rsidR="3E1E705D">
        <w:t>lost</w:t>
      </w:r>
      <w:r w:rsidR="4AA27804">
        <w:t>. Downstream communities will also suffer.</w:t>
      </w:r>
      <w:r w:rsidR="717F2961">
        <w:t xml:space="preserve">  </w:t>
      </w:r>
    </w:p>
    <w:p w14:paraId="7841805B" w14:textId="0A5B7876" w:rsidR="00AA460E" w:rsidRDefault="00382EE8" w:rsidP="003C45AE">
      <w:r>
        <w:rPr>
          <w:rFonts w:ascii="ZWAdobeF" w:hAnsi="ZWAdobeF" w:cs="ZWAdobeF"/>
          <w:sz w:val="2"/>
          <w:szCs w:val="2"/>
        </w:rPr>
        <w:t>537B</w:t>
      </w:r>
      <w:r w:rsidR="367831DF">
        <w:t>The Panel would</w:t>
      </w:r>
      <w:r w:rsidR="6C166E61">
        <w:t xml:space="preserve"> like to thank all those who have contributed to this </w:t>
      </w:r>
      <w:r w:rsidR="0048452A">
        <w:t>Review</w:t>
      </w:r>
      <w:r w:rsidR="6C166E61">
        <w:t>. The three advisor</w:t>
      </w:r>
      <w:r w:rsidR="44CC3F83">
        <w:t>y</w:t>
      </w:r>
      <w:r w:rsidR="6C166E61">
        <w:t xml:space="preserve"> groups</w:t>
      </w:r>
      <w:r w:rsidR="000B104B">
        <w:t xml:space="preserve"> –</w:t>
      </w:r>
      <w:r w:rsidR="6C166E61">
        <w:t xml:space="preserve"> the Stakeholder Advisory Group, the </w:t>
      </w:r>
      <w:r w:rsidR="6719A589">
        <w:t xml:space="preserve">First Nations Advisory Group and the Review Consultation Group from governments </w:t>
      </w:r>
      <w:r w:rsidR="000B104B">
        <w:t xml:space="preserve">– </w:t>
      </w:r>
      <w:r w:rsidR="6719A589">
        <w:t>have provided us with helpful information and advice</w:t>
      </w:r>
      <w:r w:rsidR="02C7328E">
        <w:t>.</w:t>
      </w:r>
      <w:r w:rsidR="7A95CB8C">
        <w:t xml:space="preserve"> </w:t>
      </w:r>
      <w:r w:rsidR="6CB975BE">
        <w:t xml:space="preserve">We would </w:t>
      </w:r>
      <w:r w:rsidR="36D21E1A">
        <w:t xml:space="preserve">like to thank </w:t>
      </w:r>
      <w:r w:rsidR="02C7328E">
        <w:t>those who put in submissions and</w:t>
      </w:r>
      <w:r w:rsidR="505B6145">
        <w:t xml:space="preserve"> </w:t>
      </w:r>
      <w:r w:rsidR="002E5EAF">
        <w:t>contributed</w:t>
      </w:r>
      <w:r w:rsidR="02C7328E">
        <w:t xml:space="preserve"> </w:t>
      </w:r>
      <w:r w:rsidR="00E12057">
        <w:t>to</w:t>
      </w:r>
      <w:r w:rsidR="02C7328E">
        <w:t xml:space="preserve"> meetings </w:t>
      </w:r>
      <w:r w:rsidR="1FAA3036">
        <w:t xml:space="preserve">which has </w:t>
      </w:r>
      <w:r w:rsidR="02C7328E">
        <w:t xml:space="preserve">assisted </w:t>
      </w:r>
      <w:r w:rsidR="00E47E37">
        <w:t>our understanding of</w:t>
      </w:r>
      <w:r w:rsidR="02C7328E">
        <w:t xml:space="preserve"> </w:t>
      </w:r>
      <w:r w:rsidR="20D0C474">
        <w:t>the issues and possible remedies.</w:t>
      </w:r>
      <w:r w:rsidR="257DEC36">
        <w:t xml:space="preserve"> </w:t>
      </w:r>
      <w:r w:rsidR="008B532A" w:rsidRPr="008B532A">
        <w:t xml:space="preserve">We also </w:t>
      </w:r>
      <w:r w:rsidR="008B532A">
        <w:t xml:space="preserve">sincerely </w:t>
      </w:r>
      <w:r w:rsidR="008B532A" w:rsidRPr="008B532A">
        <w:t xml:space="preserve">thank the consultants whose modelling and analysis of environmental flows, system operations, energy impacts and costs greatly informed </w:t>
      </w:r>
      <w:r w:rsidR="0048452A">
        <w:t>the</w:t>
      </w:r>
      <w:r w:rsidR="0048452A" w:rsidRPr="008B532A">
        <w:t xml:space="preserve"> </w:t>
      </w:r>
      <w:r w:rsidR="0048452A">
        <w:t>Review</w:t>
      </w:r>
      <w:r w:rsidR="008B532A" w:rsidRPr="008B532A">
        <w:t>.</w:t>
      </w:r>
      <w:r w:rsidR="00AA460E">
        <w:t xml:space="preserve"> </w:t>
      </w:r>
    </w:p>
    <w:p w14:paraId="47859DF4" w14:textId="3936E77D" w:rsidR="006D5950" w:rsidRPr="003C45AE" w:rsidRDefault="00382EE8" w:rsidP="003C45AE">
      <w:r>
        <w:rPr>
          <w:rFonts w:ascii="ZWAdobeF" w:hAnsi="ZWAdobeF" w:cs="ZWAdobeF"/>
          <w:sz w:val="2"/>
          <w:szCs w:val="2"/>
        </w:rPr>
        <w:t>538B</w:t>
      </w:r>
      <w:r w:rsidR="70EC0937">
        <w:t>Finally</w:t>
      </w:r>
      <w:r w:rsidR="00F96799">
        <w:t>,</w:t>
      </w:r>
      <w:r w:rsidR="70EC0937">
        <w:t xml:space="preserve"> the Panel would</w:t>
      </w:r>
      <w:r w:rsidR="231B36C2">
        <w:t xml:space="preserve"> like to express its </w:t>
      </w:r>
      <w:r w:rsidR="32063398">
        <w:t>enormous</w:t>
      </w:r>
      <w:r w:rsidR="231B36C2">
        <w:t xml:space="preserve"> thanks to the secre</w:t>
      </w:r>
      <w:r w:rsidR="39041AEB">
        <w:t>ta</w:t>
      </w:r>
      <w:r w:rsidR="231B36C2">
        <w:t xml:space="preserve">riat from </w:t>
      </w:r>
      <w:r w:rsidR="00AB3D14">
        <w:t>DCCEEW</w:t>
      </w:r>
      <w:r w:rsidR="231B36C2">
        <w:t xml:space="preserve"> whose commitment to</w:t>
      </w:r>
      <w:r w:rsidR="44728CE2">
        <w:t xml:space="preserve"> assisting us with </w:t>
      </w:r>
      <w:r w:rsidR="0048452A">
        <w:t>the Review</w:t>
      </w:r>
      <w:r w:rsidR="44728CE2">
        <w:t xml:space="preserve"> has been unwavering and who have been unfailingly cheerful</w:t>
      </w:r>
      <w:r w:rsidR="468C25A8">
        <w:t xml:space="preserve"> </w:t>
      </w:r>
      <w:r w:rsidR="334CD2F5">
        <w:t xml:space="preserve">in responding to our requests. </w:t>
      </w:r>
      <w:r w:rsidR="514F4B60">
        <w:t>T</w:t>
      </w:r>
      <w:r w:rsidR="334CD2F5">
        <w:t>hey have been a pleasure to work with</w:t>
      </w:r>
      <w:r w:rsidR="29262B47">
        <w:t xml:space="preserve"> and </w:t>
      </w:r>
      <w:r w:rsidR="55F58618">
        <w:t xml:space="preserve">have done a wonderful job </w:t>
      </w:r>
      <w:r w:rsidR="00903BDC">
        <w:t>working with us to</w:t>
      </w:r>
      <w:r w:rsidR="55F58618">
        <w:t xml:space="preserve"> put this report together</w:t>
      </w:r>
      <w:r w:rsidR="334CD2F5">
        <w:t>.</w:t>
      </w:r>
    </w:p>
    <w:tbl>
      <w:tblPr>
        <w:tblStyle w:val="TableGrid"/>
        <w:tblW w:w="9639" w:type="dxa"/>
        <w:tblLook w:val="04A0" w:firstRow="1" w:lastRow="0" w:firstColumn="1" w:lastColumn="0" w:noHBand="0" w:noVBand="1"/>
      </w:tblPr>
      <w:tblGrid>
        <w:gridCol w:w="2826"/>
        <w:gridCol w:w="3555"/>
        <w:gridCol w:w="3258"/>
      </w:tblGrid>
      <w:tr w:rsidR="00977B4F" w14:paraId="22366AAE" w14:textId="77777777" w:rsidTr="00FC5319">
        <w:trPr>
          <w:trHeight w:val="283"/>
        </w:trPr>
        <w:tc>
          <w:tcPr>
            <w:tcW w:w="2547" w:type="dxa"/>
          </w:tcPr>
          <w:p w14:paraId="4900B8FB" w14:textId="285767C8" w:rsidR="00977B4F" w:rsidRPr="00D67587" w:rsidRDefault="00977B4F" w:rsidP="00FC5319">
            <w:pPr>
              <w:spacing w:after="0"/>
              <w:jc w:val="center"/>
              <w:rPr>
                <w:rFonts w:asciiTheme="minorHAnsi" w:hAnsiTheme="minorHAnsi"/>
                <w:b/>
                <w:bCs/>
              </w:rPr>
            </w:pPr>
            <w:r w:rsidRPr="00D67587">
              <w:rPr>
                <w:rFonts w:asciiTheme="minorHAnsi" w:hAnsiTheme="minorHAnsi"/>
                <w:b/>
                <w:bCs/>
              </w:rPr>
              <w:t>Wendy Craik AM</w:t>
            </w:r>
          </w:p>
        </w:tc>
        <w:tc>
          <w:tcPr>
            <w:tcW w:w="3690" w:type="dxa"/>
          </w:tcPr>
          <w:p w14:paraId="3BC5497A" w14:textId="3C3528BE" w:rsidR="00977B4F" w:rsidRPr="00D67587" w:rsidRDefault="00977B4F" w:rsidP="00FC5319">
            <w:pPr>
              <w:spacing w:after="0"/>
              <w:jc w:val="center"/>
              <w:rPr>
                <w:rFonts w:asciiTheme="minorHAnsi" w:hAnsiTheme="minorHAnsi"/>
                <w:b/>
                <w:bCs/>
              </w:rPr>
            </w:pPr>
            <w:r w:rsidRPr="00D67587">
              <w:rPr>
                <w:rFonts w:asciiTheme="minorHAnsi" w:hAnsiTheme="minorHAnsi"/>
                <w:b/>
                <w:bCs/>
              </w:rPr>
              <w:t>Terry Bailey</w:t>
            </w:r>
          </w:p>
        </w:tc>
        <w:tc>
          <w:tcPr>
            <w:tcW w:w="3402" w:type="dxa"/>
          </w:tcPr>
          <w:p w14:paraId="1AA0B46D" w14:textId="5529BD16" w:rsidR="00977B4F" w:rsidRPr="00D67587" w:rsidRDefault="00977B4F" w:rsidP="00FC5319">
            <w:pPr>
              <w:spacing w:after="0"/>
              <w:jc w:val="center"/>
              <w:rPr>
                <w:rFonts w:asciiTheme="minorHAnsi" w:hAnsiTheme="minorHAnsi"/>
                <w:b/>
                <w:bCs/>
              </w:rPr>
            </w:pPr>
            <w:r w:rsidRPr="00D67587">
              <w:rPr>
                <w:rFonts w:asciiTheme="minorHAnsi" w:hAnsiTheme="minorHAnsi"/>
                <w:b/>
                <w:bCs/>
              </w:rPr>
              <w:t>David Swift AM</w:t>
            </w:r>
          </w:p>
        </w:tc>
      </w:tr>
      <w:tr w:rsidR="00977B4F" w14:paraId="146B1468" w14:textId="77777777" w:rsidTr="00157608">
        <w:tc>
          <w:tcPr>
            <w:tcW w:w="2547" w:type="dxa"/>
          </w:tcPr>
          <w:p w14:paraId="29E8FD4C" w14:textId="1D2F9310" w:rsidR="005A3CDA" w:rsidRDefault="00AA460E" w:rsidP="005A3CDA">
            <w:pPr>
              <w:jc w:val="center"/>
              <w:rPr>
                <w:rFonts w:asciiTheme="minorHAnsi" w:hAnsiTheme="minorHAnsi"/>
              </w:rPr>
            </w:pPr>
            <w:r w:rsidRPr="005A3CDA">
              <w:rPr>
                <w:noProof/>
              </w:rPr>
              <w:drawing>
                <wp:anchor distT="0" distB="0" distL="114300" distR="114300" simplePos="0" relativeHeight="251658269" behindDoc="0" locked="0" layoutInCell="1" allowOverlap="1" wp14:anchorId="585BDC8C" wp14:editId="7AF95A3C">
                  <wp:simplePos x="0" y="0"/>
                  <wp:positionH relativeFrom="column">
                    <wp:posOffset>-20320</wp:posOffset>
                  </wp:positionH>
                  <wp:positionV relativeFrom="paragraph">
                    <wp:posOffset>266700</wp:posOffset>
                  </wp:positionV>
                  <wp:extent cx="1657350" cy="838200"/>
                  <wp:effectExtent l="0" t="0" r="0" b="0"/>
                  <wp:wrapSquare wrapText="bothSides"/>
                  <wp:docPr id="448552338" name="Picture 35" descr="P49C4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52338" name="Picture 35" descr="P49C4T1#y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50">
              <w:rPr>
                <w:rFonts w:asciiTheme="minorHAnsi" w:hAnsiTheme="minorHAnsi"/>
              </w:rPr>
              <w:t xml:space="preserve">Review </w:t>
            </w:r>
            <w:r w:rsidR="00977B4F" w:rsidRPr="006D5950">
              <w:rPr>
                <w:rFonts w:asciiTheme="minorHAnsi" w:hAnsiTheme="minorHAnsi"/>
              </w:rPr>
              <w:t>Panel Chai</w:t>
            </w:r>
            <w:r w:rsidR="005A3CDA">
              <w:rPr>
                <w:rFonts w:asciiTheme="minorHAnsi" w:hAnsiTheme="minorHAnsi"/>
              </w:rPr>
              <w:t>r</w:t>
            </w:r>
          </w:p>
          <w:p w14:paraId="1CA747B7" w14:textId="24A26655" w:rsidR="00977B4F" w:rsidRPr="006D5950" w:rsidRDefault="00977B4F" w:rsidP="006D5950">
            <w:pPr>
              <w:jc w:val="center"/>
              <w:rPr>
                <w:rFonts w:asciiTheme="minorHAnsi" w:hAnsiTheme="minorHAnsi"/>
              </w:rPr>
            </w:pPr>
          </w:p>
        </w:tc>
        <w:tc>
          <w:tcPr>
            <w:tcW w:w="3690" w:type="dxa"/>
          </w:tcPr>
          <w:p w14:paraId="5876FB4A" w14:textId="0864F2AA" w:rsidR="00977B4F" w:rsidRPr="006D5950" w:rsidRDefault="00E00583" w:rsidP="006D5950">
            <w:pPr>
              <w:jc w:val="center"/>
              <w:rPr>
                <w:rFonts w:asciiTheme="minorHAnsi" w:hAnsiTheme="minorHAnsi"/>
              </w:rPr>
            </w:pPr>
            <w:r>
              <w:rPr>
                <w:noProof/>
              </w:rPr>
              <w:lastRenderedPageBreak/>
              <w:drawing>
                <wp:anchor distT="0" distB="0" distL="114300" distR="114300" simplePos="0" relativeHeight="251658273" behindDoc="0" locked="0" layoutInCell="1" allowOverlap="1" wp14:anchorId="4FBFF21F" wp14:editId="130B493E">
                  <wp:simplePos x="0" y="0"/>
                  <wp:positionH relativeFrom="column">
                    <wp:posOffset>690245</wp:posOffset>
                  </wp:positionH>
                  <wp:positionV relativeFrom="paragraph">
                    <wp:posOffset>327025</wp:posOffset>
                  </wp:positionV>
                  <wp:extent cx="869315" cy="733425"/>
                  <wp:effectExtent l="0" t="0" r="6985" b="9525"/>
                  <wp:wrapThrough wrapText="bothSides">
                    <wp:wrapPolygon edited="0">
                      <wp:start x="0" y="0"/>
                      <wp:lineTo x="0" y="21319"/>
                      <wp:lineTo x="21300" y="21319"/>
                      <wp:lineTo x="21300" y="0"/>
                      <wp:lineTo x="0" y="0"/>
                    </wp:wrapPolygon>
                  </wp:wrapThrough>
                  <wp:docPr id="47403289" name="Picture 35" descr="P51C5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289" name="Picture 35" descr="P51C5T1#y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31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950">
              <w:rPr>
                <w:rFonts w:asciiTheme="minorHAnsi" w:hAnsiTheme="minorHAnsi"/>
              </w:rPr>
              <w:t>Environment</w:t>
            </w:r>
            <w:r>
              <w:t xml:space="preserve"> </w:t>
            </w:r>
            <w:r w:rsidRPr="006D5950">
              <w:rPr>
                <w:rFonts w:asciiTheme="minorHAnsi" w:hAnsiTheme="minorHAnsi"/>
              </w:rPr>
              <w:t>and</w:t>
            </w:r>
            <w:r w:rsidR="00977B4F" w:rsidRPr="006D5950">
              <w:rPr>
                <w:rFonts w:asciiTheme="minorHAnsi" w:hAnsiTheme="minorHAnsi"/>
              </w:rPr>
              <w:t xml:space="preserve"> Water Associate</w:t>
            </w:r>
          </w:p>
        </w:tc>
        <w:tc>
          <w:tcPr>
            <w:tcW w:w="3402" w:type="dxa"/>
          </w:tcPr>
          <w:p w14:paraId="67932E7B" w14:textId="2CBF1289" w:rsidR="00977B4F" w:rsidRPr="00D54DA6" w:rsidRDefault="00D54DA6" w:rsidP="00AA460E">
            <w:pPr>
              <w:pStyle w:val="NormalWeb"/>
              <w:rPr>
                <w:rFonts w:asciiTheme="minorHAnsi" w:hAnsiTheme="minorHAnsi"/>
              </w:rPr>
            </w:pPr>
            <w:r w:rsidRPr="00D54DA6">
              <w:rPr>
                <w:rFonts w:asciiTheme="minorHAnsi" w:hAnsiTheme="minorHAnsi"/>
                <w:noProof/>
              </w:rPr>
              <w:drawing>
                <wp:anchor distT="0" distB="0" distL="114300" distR="114300" simplePos="0" relativeHeight="251658270" behindDoc="0" locked="0" layoutInCell="1" allowOverlap="1" wp14:anchorId="4D02F5B1" wp14:editId="7E59FFF3">
                  <wp:simplePos x="0" y="0"/>
                  <wp:positionH relativeFrom="column">
                    <wp:posOffset>313055</wp:posOffset>
                  </wp:positionH>
                  <wp:positionV relativeFrom="paragraph">
                    <wp:posOffset>374650</wp:posOffset>
                  </wp:positionV>
                  <wp:extent cx="1232740" cy="685800"/>
                  <wp:effectExtent l="0" t="0" r="5715" b="0"/>
                  <wp:wrapNone/>
                  <wp:docPr id="1623078314" name="Picture 36" descr="P52C6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78314" name="Picture 36" descr="P52C6T1#y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274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E8">
              <w:rPr>
                <w:rFonts w:ascii="ZWAdobeF" w:hAnsi="ZWAdobeF" w:cs="ZWAdobeF"/>
                <w:sz w:val="2"/>
                <w:szCs w:val="2"/>
              </w:rPr>
              <w:t>1497B</w:t>
            </w:r>
            <w:r w:rsidR="006D5950" w:rsidRPr="006D5950">
              <w:rPr>
                <w:rFonts w:asciiTheme="minorHAnsi" w:hAnsiTheme="minorHAnsi"/>
              </w:rPr>
              <w:t>Energy and Economic Associate</w:t>
            </w:r>
          </w:p>
        </w:tc>
      </w:tr>
    </w:tbl>
    <w:p w14:paraId="327CBD73" w14:textId="1480D02D" w:rsidR="00C36AB0" w:rsidRDefault="00382EE8" w:rsidP="00783D29">
      <w:pPr>
        <w:pStyle w:val="ReviewHeading"/>
      </w:pPr>
      <w:bookmarkStart w:id="4" w:name="_Toc233285574"/>
      <w:bookmarkStart w:id="5" w:name="_Toc233801453"/>
      <w:r>
        <w:rPr>
          <w:rFonts w:ascii="ZWAdobeF" w:hAnsi="ZWAdobeF" w:cs="ZWAdobeF"/>
          <w:b w:val="0"/>
          <w:color w:val="auto"/>
          <w:spacing w:val="0"/>
          <w:sz w:val="2"/>
          <w:szCs w:val="2"/>
        </w:rPr>
        <w:t>1656B</w:t>
      </w:r>
      <w:r w:rsidR="00C36AB0">
        <w:t>Contents</w:t>
      </w:r>
      <w:bookmarkEnd w:id="4"/>
      <w:bookmarkEnd w:id="5"/>
    </w:p>
    <w:p w14:paraId="2FEB6B51" w14:textId="01BB9647" w:rsidR="00864646" w:rsidRDefault="005851FF">
      <w:pPr>
        <w:pStyle w:val="TOC1"/>
        <w:rPr>
          <w:rFonts w:cstheme="minorBidi"/>
          <w:b w:val="0"/>
          <w:kern w:val="2"/>
          <w:sz w:val="24"/>
          <w:szCs w:val="24"/>
          <w:lang w:val="en-AU" w:eastAsia="en-AU"/>
          <w14:ligatures w14:val="standardContextual"/>
        </w:rPr>
      </w:pPr>
      <w:r>
        <w:fldChar w:fldCharType="begin"/>
      </w:r>
      <w:r>
        <w:instrText xml:space="preserve"> TOC \h \z \t "Review Heading,1,Review Heading 2,2" </w:instrText>
      </w:r>
      <w:r>
        <w:fldChar w:fldCharType="separate"/>
      </w:r>
      <w:hyperlink w:anchor="_Toc233801451" w:history="1">
        <w:r w:rsidR="00864646">
          <w:rPr>
            <w:webHidden/>
          </w:rPr>
          <w:tab/>
        </w:r>
        <w:r w:rsidR="00382EE8">
          <w:rPr>
            <w:rFonts w:ascii="ZWAdobeF" w:hAnsi="ZWAdobeF" w:cs="ZWAdobeF"/>
            <w:b w:val="0"/>
            <w:webHidden/>
            <w:sz w:val="2"/>
            <w:szCs w:val="2"/>
          </w:rPr>
          <w:t>1670B</w:t>
        </w:r>
        <w:r w:rsidR="00864646">
          <w:rPr>
            <w:webHidden/>
          </w:rPr>
          <w:fldChar w:fldCharType="begin"/>
        </w:r>
        <w:r w:rsidR="00864646">
          <w:rPr>
            <w:webHidden/>
          </w:rPr>
          <w:instrText xml:space="preserve"> PAGEREF _Toc233801451 \h </w:instrText>
        </w:r>
        <w:r w:rsidR="00864646">
          <w:rPr>
            <w:webHidden/>
          </w:rPr>
        </w:r>
        <w:r w:rsidR="00864646">
          <w:rPr>
            <w:webHidden/>
          </w:rPr>
          <w:fldChar w:fldCharType="separate"/>
        </w:r>
        <w:r w:rsidR="00864646">
          <w:rPr>
            <w:webHidden/>
          </w:rPr>
          <w:t>1</w:t>
        </w:r>
        <w:r w:rsidR="00864646">
          <w:rPr>
            <w:webHidden/>
          </w:rPr>
          <w:fldChar w:fldCharType="end"/>
        </w:r>
      </w:hyperlink>
    </w:p>
    <w:p w14:paraId="7580E195" w14:textId="5A2CBF81"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1671B</w:t>
      </w:r>
      <w:hyperlink w:anchor="_Toc233801452" w:history="1">
        <w:r w:rsidR="00864646" w:rsidRPr="005C06F1">
          <w:rPr>
            <w:rStyle w:val="Hyperlink"/>
          </w:rPr>
          <w:t>Foreword</w:t>
        </w:r>
        <w:r w:rsidR="00864646">
          <w:rPr>
            <w:webHidden/>
          </w:rPr>
          <w:tab/>
        </w:r>
        <w:r w:rsidR="00864646">
          <w:rPr>
            <w:webHidden/>
          </w:rPr>
          <w:fldChar w:fldCharType="begin"/>
        </w:r>
        <w:r w:rsidR="00864646">
          <w:rPr>
            <w:webHidden/>
          </w:rPr>
          <w:instrText xml:space="preserve"> PAGEREF _Toc233801452 \h </w:instrText>
        </w:r>
        <w:r w:rsidR="00864646">
          <w:rPr>
            <w:webHidden/>
          </w:rPr>
        </w:r>
        <w:r w:rsidR="00864646">
          <w:rPr>
            <w:webHidden/>
          </w:rPr>
          <w:fldChar w:fldCharType="separate"/>
        </w:r>
        <w:r w:rsidR="00864646">
          <w:rPr>
            <w:webHidden/>
          </w:rPr>
          <w:t>3</w:t>
        </w:r>
        <w:r w:rsidR="00864646">
          <w:rPr>
            <w:webHidden/>
          </w:rPr>
          <w:fldChar w:fldCharType="end"/>
        </w:r>
      </w:hyperlink>
    </w:p>
    <w:p w14:paraId="6C5B0531" w14:textId="450E8C64"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1672B</w:t>
      </w:r>
      <w:hyperlink w:anchor="_Toc233801453" w:history="1">
        <w:r w:rsidR="00864646" w:rsidRPr="005C06F1">
          <w:rPr>
            <w:rStyle w:val="Hyperlink"/>
          </w:rPr>
          <w:t>Contents</w:t>
        </w:r>
        <w:r w:rsidR="00864646">
          <w:rPr>
            <w:webHidden/>
          </w:rPr>
          <w:tab/>
        </w:r>
        <w:r w:rsidR="00864646">
          <w:rPr>
            <w:webHidden/>
          </w:rPr>
          <w:fldChar w:fldCharType="begin"/>
        </w:r>
        <w:r w:rsidR="00864646">
          <w:rPr>
            <w:webHidden/>
          </w:rPr>
          <w:instrText xml:space="preserve"> PAGEREF _Toc233801453 \h </w:instrText>
        </w:r>
        <w:r w:rsidR="00864646">
          <w:rPr>
            <w:webHidden/>
          </w:rPr>
        </w:r>
        <w:r w:rsidR="00864646">
          <w:rPr>
            <w:webHidden/>
          </w:rPr>
          <w:fldChar w:fldCharType="separate"/>
        </w:r>
        <w:r w:rsidR="00864646">
          <w:rPr>
            <w:webHidden/>
          </w:rPr>
          <w:t>5</w:t>
        </w:r>
        <w:r w:rsidR="00864646">
          <w:rPr>
            <w:webHidden/>
          </w:rPr>
          <w:fldChar w:fldCharType="end"/>
        </w:r>
      </w:hyperlink>
    </w:p>
    <w:p w14:paraId="7AE31093" w14:textId="3BB5B5DC"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1673B</w:t>
      </w:r>
      <w:hyperlink w:anchor="_Toc233801454" w:history="1">
        <w:r w:rsidR="00864646" w:rsidRPr="005C06F1">
          <w:rPr>
            <w:rStyle w:val="Hyperlink"/>
          </w:rPr>
          <w:t>Executive Summary</w:t>
        </w:r>
        <w:r w:rsidR="00864646">
          <w:rPr>
            <w:webHidden/>
          </w:rPr>
          <w:tab/>
        </w:r>
        <w:r w:rsidR="00864646">
          <w:rPr>
            <w:webHidden/>
          </w:rPr>
          <w:fldChar w:fldCharType="begin"/>
        </w:r>
        <w:r w:rsidR="00864646">
          <w:rPr>
            <w:webHidden/>
          </w:rPr>
          <w:instrText xml:space="preserve"> PAGEREF _Toc233801454 \h </w:instrText>
        </w:r>
        <w:r w:rsidR="00864646">
          <w:rPr>
            <w:webHidden/>
          </w:rPr>
        </w:r>
        <w:r w:rsidR="00864646">
          <w:rPr>
            <w:webHidden/>
          </w:rPr>
          <w:fldChar w:fldCharType="separate"/>
        </w:r>
        <w:r w:rsidR="00864646">
          <w:rPr>
            <w:webHidden/>
          </w:rPr>
          <w:t>8</w:t>
        </w:r>
        <w:r w:rsidR="00864646">
          <w:rPr>
            <w:webHidden/>
          </w:rPr>
          <w:fldChar w:fldCharType="end"/>
        </w:r>
      </w:hyperlink>
    </w:p>
    <w:p w14:paraId="73FFC744" w14:textId="52DE7830"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1674B</w:t>
      </w:r>
      <w:hyperlink w:anchor="_Toc233801455" w:history="1">
        <w:r w:rsidR="00864646" w:rsidRPr="005C06F1">
          <w:rPr>
            <w:rStyle w:val="Hyperlink"/>
          </w:rPr>
          <w:t>Recommendations</w:t>
        </w:r>
        <w:r w:rsidR="00864646">
          <w:rPr>
            <w:webHidden/>
          </w:rPr>
          <w:tab/>
        </w:r>
        <w:r w:rsidR="00864646">
          <w:rPr>
            <w:webHidden/>
          </w:rPr>
          <w:fldChar w:fldCharType="begin"/>
        </w:r>
        <w:r w:rsidR="00864646">
          <w:rPr>
            <w:webHidden/>
          </w:rPr>
          <w:instrText xml:space="preserve"> PAGEREF _Toc233801455 \h </w:instrText>
        </w:r>
        <w:r w:rsidR="00864646">
          <w:rPr>
            <w:webHidden/>
          </w:rPr>
        </w:r>
        <w:r w:rsidR="00864646">
          <w:rPr>
            <w:webHidden/>
          </w:rPr>
          <w:fldChar w:fldCharType="separate"/>
        </w:r>
        <w:r w:rsidR="00864646">
          <w:rPr>
            <w:webHidden/>
          </w:rPr>
          <w:t>11</w:t>
        </w:r>
        <w:r w:rsidR="00864646">
          <w:rPr>
            <w:webHidden/>
          </w:rPr>
          <w:fldChar w:fldCharType="end"/>
        </w:r>
      </w:hyperlink>
    </w:p>
    <w:p w14:paraId="368C8340" w14:textId="72055D70"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1675B</w:t>
      </w:r>
      <w:hyperlink w:anchor="_Toc233801456" w:history="1">
        <w:r w:rsidR="00864646" w:rsidRPr="005C06F1">
          <w:rPr>
            <w:rStyle w:val="Hyperlink"/>
          </w:rPr>
          <w:t>Introduction</w:t>
        </w:r>
        <w:r w:rsidR="00864646">
          <w:rPr>
            <w:webHidden/>
          </w:rPr>
          <w:tab/>
        </w:r>
        <w:r w:rsidR="00864646">
          <w:rPr>
            <w:webHidden/>
          </w:rPr>
          <w:fldChar w:fldCharType="begin"/>
        </w:r>
        <w:r w:rsidR="00864646">
          <w:rPr>
            <w:webHidden/>
          </w:rPr>
          <w:instrText xml:space="preserve"> PAGEREF _Toc233801456 \h </w:instrText>
        </w:r>
        <w:r w:rsidR="00864646">
          <w:rPr>
            <w:webHidden/>
          </w:rPr>
        </w:r>
        <w:r w:rsidR="00864646">
          <w:rPr>
            <w:webHidden/>
          </w:rPr>
          <w:fldChar w:fldCharType="separate"/>
        </w:r>
        <w:r w:rsidR="00864646">
          <w:rPr>
            <w:webHidden/>
          </w:rPr>
          <w:t>19</w:t>
        </w:r>
        <w:r w:rsidR="00864646">
          <w:rPr>
            <w:webHidden/>
          </w:rPr>
          <w:fldChar w:fldCharType="end"/>
        </w:r>
      </w:hyperlink>
    </w:p>
    <w:p w14:paraId="4793F85B" w14:textId="3975A9F1"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1686B</w:t>
      </w:r>
      <w:hyperlink w:anchor="_Toc233801457" w:history="1">
        <w:r w:rsidR="00864646" w:rsidRPr="005C06F1">
          <w:rPr>
            <w:rStyle w:val="Hyperlink"/>
            <w:noProof/>
          </w:rPr>
          <w:t>Purpose of the Review</w:t>
        </w:r>
        <w:r w:rsidR="00864646">
          <w:rPr>
            <w:noProof/>
            <w:webHidden/>
          </w:rPr>
          <w:tab/>
        </w:r>
        <w:r w:rsidR="00864646">
          <w:rPr>
            <w:noProof/>
            <w:webHidden/>
          </w:rPr>
          <w:fldChar w:fldCharType="begin"/>
        </w:r>
        <w:r w:rsidR="00864646">
          <w:rPr>
            <w:noProof/>
            <w:webHidden/>
          </w:rPr>
          <w:instrText xml:space="preserve"> PAGEREF _Toc233801457 \h </w:instrText>
        </w:r>
        <w:r w:rsidR="00864646">
          <w:rPr>
            <w:noProof/>
            <w:webHidden/>
          </w:rPr>
        </w:r>
        <w:r w:rsidR="00864646">
          <w:rPr>
            <w:noProof/>
            <w:webHidden/>
          </w:rPr>
          <w:fldChar w:fldCharType="separate"/>
        </w:r>
        <w:r w:rsidR="00864646">
          <w:rPr>
            <w:noProof/>
            <w:webHidden/>
          </w:rPr>
          <w:t>19</w:t>
        </w:r>
        <w:r w:rsidR="00864646">
          <w:rPr>
            <w:noProof/>
            <w:webHidden/>
          </w:rPr>
          <w:fldChar w:fldCharType="end"/>
        </w:r>
      </w:hyperlink>
    </w:p>
    <w:p w14:paraId="12AB8730" w14:textId="4FF65DB4"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1687B</w:t>
      </w:r>
      <w:hyperlink w:anchor="_Toc233801458" w:history="1">
        <w:r w:rsidR="00864646" w:rsidRPr="005C06F1">
          <w:rPr>
            <w:rStyle w:val="Hyperlink"/>
            <w:noProof/>
          </w:rPr>
          <w:t>Terms of Reference</w:t>
        </w:r>
        <w:r w:rsidR="00864646">
          <w:rPr>
            <w:noProof/>
            <w:webHidden/>
          </w:rPr>
          <w:tab/>
        </w:r>
        <w:r w:rsidR="00864646">
          <w:rPr>
            <w:noProof/>
            <w:webHidden/>
          </w:rPr>
          <w:fldChar w:fldCharType="begin"/>
        </w:r>
        <w:r w:rsidR="00864646">
          <w:rPr>
            <w:noProof/>
            <w:webHidden/>
          </w:rPr>
          <w:instrText xml:space="preserve"> PAGEREF _Toc233801458 \h </w:instrText>
        </w:r>
        <w:r w:rsidR="00864646">
          <w:rPr>
            <w:noProof/>
            <w:webHidden/>
          </w:rPr>
        </w:r>
        <w:r w:rsidR="00864646">
          <w:rPr>
            <w:noProof/>
            <w:webHidden/>
          </w:rPr>
          <w:fldChar w:fldCharType="separate"/>
        </w:r>
        <w:r w:rsidR="00864646">
          <w:rPr>
            <w:noProof/>
            <w:webHidden/>
          </w:rPr>
          <w:t>20</w:t>
        </w:r>
        <w:r w:rsidR="00864646">
          <w:rPr>
            <w:noProof/>
            <w:webHidden/>
          </w:rPr>
          <w:fldChar w:fldCharType="end"/>
        </w:r>
      </w:hyperlink>
    </w:p>
    <w:p w14:paraId="596E04E4" w14:textId="6264CC16"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1688B</w:t>
      </w:r>
      <w:hyperlink w:anchor="_Toc233801459" w:history="1">
        <w:r w:rsidR="00864646" w:rsidRPr="005C06F1">
          <w:rPr>
            <w:rStyle w:val="Hyperlink"/>
            <w:noProof/>
          </w:rPr>
          <w:t>The Review Process</w:t>
        </w:r>
        <w:r w:rsidR="00864646">
          <w:rPr>
            <w:noProof/>
            <w:webHidden/>
          </w:rPr>
          <w:tab/>
        </w:r>
        <w:r w:rsidR="00864646">
          <w:rPr>
            <w:noProof/>
            <w:webHidden/>
          </w:rPr>
          <w:fldChar w:fldCharType="begin"/>
        </w:r>
        <w:r w:rsidR="00864646">
          <w:rPr>
            <w:noProof/>
            <w:webHidden/>
          </w:rPr>
          <w:instrText xml:space="preserve"> PAGEREF _Toc233801459 \h </w:instrText>
        </w:r>
        <w:r w:rsidR="00864646">
          <w:rPr>
            <w:noProof/>
            <w:webHidden/>
          </w:rPr>
        </w:r>
        <w:r w:rsidR="00864646">
          <w:rPr>
            <w:noProof/>
            <w:webHidden/>
          </w:rPr>
          <w:fldChar w:fldCharType="separate"/>
        </w:r>
        <w:r w:rsidR="00864646">
          <w:rPr>
            <w:noProof/>
            <w:webHidden/>
          </w:rPr>
          <w:t>22</w:t>
        </w:r>
        <w:r w:rsidR="00864646">
          <w:rPr>
            <w:noProof/>
            <w:webHidden/>
          </w:rPr>
          <w:fldChar w:fldCharType="end"/>
        </w:r>
      </w:hyperlink>
    </w:p>
    <w:p w14:paraId="6CBE9177" w14:textId="1B77EA50"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1676B</w:t>
      </w:r>
      <w:hyperlink w:anchor="_Toc233801460" w:history="1">
        <w:r w:rsidR="00864646" w:rsidRPr="005C06F1">
          <w:rPr>
            <w:rStyle w:val="Hyperlink"/>
          </w:rPr>
          <w:t>1.</w:t>
        </w:r>
        <w:r w:rsidR="00864646">
          <w:rPr>
            <w:rFonts w:cstheme="minorBidi"/>
            <w:b w:val="0"/>
            <w:kern w:val="2"/>
            <w:sz w:val="24"/>
            <w:szCs w:val="24"/>
            <w:lang w:val="en-AU" w:eastAsia="en-AU"/>
            <w14:ligatures w14:val="standardContextual"/>
          </w:rPr>
          <w:tab/>
        </w:r>
        <w:r w:rsidR="00864646" w:rsidRPr="005C06F1">
          <w:rPr>
            <w:rStyle w:val="Hyperlink"/>
          </w:rPr>
          <w:t>Background</w:t>
        </w:r>
        <w:r w:rsidR="00864646">
          <w:rPr>
            <w:webHidden/>
          </w:rPr>
          <w:tab/>
        </w:r>
        <w:r w:rsidR="00864646">
          <w:rPr>
            <w:webHidden/>
          </w:rPr>
          <w:fldChar w:fldCharType="begin"/>
        </w:r>
        <w:r w:rsidR="00864646">
          <w:rPr>
            <w:webHidden/>
          </w:rPr>
          <w:instrText xml:space="preserve"> PAGEREF _Toc233801460 \h </w:instrText>
        </w:r>
        <w:r w:rsidR="00864646">
          <w:rPr>
            <w:webHidden/>
          </w:rPr>
        </w:r>
        <w:r w:rsidR="00864646">
          <w:rPr>
            <w:webHidden/>
          </w:rPr>
          <w:fldChar w:fldCharType="separate"/>
        </w:r>
        <w:r w:rsidR="00864646">
          <w:rPr>
            <w:webHidden/>
          </w:rPr>
          <w:t>23</w:t>
        </w:r>
        <w:r w:rsidR="00864646">
          <w:rPr>
            <w:webHidden/>
          </w:rPr>
          <w:fldChar w:fldCharType="end"/>
        </w:r>
      </w:hyperlink>
    </w:p>
    <w:p w14:paraId="65DF7EFC" w14:textId="04DFDEED"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1689B</w:t>
      </w:r>
      <w:hyperlink w:anchor="_Toc233801461" w:history="1">
        <w:r w:rsidR="00864646" w:rsidRPr="005C06F1">
          <w:rPr>
            <w:rStyle w:val="Hyperlink"/>
            <w:noProof/>
          </w:rPr>
          <w:t>1.1 A river under pressure</w:t>
        </w:r>
        <w:r w:rsidR="00864646">
          <w:rPr>
            <w:noProof/>
            <w:webHidden/>
          </w:rPr>
          <w:tab/>
        </w:r>
        <w:r w:rsidR="00864646">
          <w:rPr>
            <w:noProof/>
            <w:webHidden/>
          </w:rPr>
          <w:fldChar w:fldCharType="begin"/>
        </w:r>
        <w:r w:rsidR="00864646">
          <w:rPr>
            <w:noProof/>
            <w:webHidden/>
          </w:rPr>
          <w:instrText xml:space="preserve"> PAGEREF _Toc233801461 \h </w:instrText>
        </w:r>
        <w:r w:rsidR="00864646">
          <w:rPr>
            <w:noProof/>
            <w:webHidden/>
          </w:rPr>
        </w:r>
        <w:r w:rsidR="00864646">
          <w:rPr>
            <w:noProof/>
            <w:webHidden/>
          </w:rPr>
          <w:fldChar w:fldCharType="separate"/>
        </w:r>
        <w:r w:rsidR="00864646">
          <w:rPr>
            <w:noProof/>
            <w:webHidden/>
          </w:rPr>
          <w:t>23</w:t>
        </w:r>
        <w:r w:rsidR="00864646">
          <w:rPr>
            <w:noProof/>
            <w:webHidden/>
          </w:rPr>
          <w:fldChar w:fldCharType="end"/>
        </w:r>
      </w:hyperlink>
    </w:p>
    <w:p w14:paraId="4A177405" w14:textId="0B81928D"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1690B</w:t>
      </w:r>
      <w:hyperlink w:anchor="_Toc233801462" w:history="1">
        <w:r w:rsidR="00864646" w:rsidRPr="005C06F1">
          <w:rPr>
            <w:rStyle w:val="Hyperlink"/>
            <w:noProof/>
          </w:rPr>
          <w:t>1.2 Energy context: the National Electricity Market and Snowy Hydro Limited</w:t>
        </w:r>
        <w:r w:rsidR="00864646">
          <w:rPr>
            <w:noProof/>
            <w:webHidden/>
          </w:rPr>
          <w:tab/>
        </w:r>
        <w:r w:rsidR="00864646">
          <w:rPr>
            <w:noProof/>
            <w:webHidden/>
          </w:rPr>
          <w:fldChar w:fldCharType="begin"/>
        </w:r>
        <w:r w:rsidR="00864646">
          <w:rPr>
            <w:noProof/>
            <w:webHidden/>
          </w:rPr>
          <w:instrText xml:space="preserve"> PAGEREF _Toc233801462 \h </w:instrText>
        </w:r>
        <w:r w:rsidR="00864646">
          <w:rPr>
            <w:noProof/>
            <w:webHidden/>
          </w:rPr>
        </w:r>
        <w:r w:rsidR="00864646">
          <w:rPr>
            <w:noProof/>
            <w:webHidden/>
          </w:rPr>
          <w:fldChar w:fldCharType="separate"/>
        </w:r>
        <w:r w:rsidR="00864646">
          <w:rPr>
            <w:noProof/>
            <w:webHidden/>
          </w:rPr>
          <w:t>23</w:t>
        </w:r>
        <w:r w:rsidR="00864646">
          <w:rPr>
            <w:noProof/>
            <w:webHidden/>
          </w:rPr>
          <w:fldChar w:fldCharType="end"/>
        </w:r>
      </w:hyperlink>
    </w:p>
    <w:p w14:paraId="00CAC1EE" w14:textId="4B976EC6"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1691B</w:t>
      </w:r>
      <w:hyperlink w:anchor="_Toc233801463" w:history="1">
        <w:r w:rsidR="00864646" w:rsidRPr="005C06F1">
          <w:rPr>
            <w:rStyle w:val="Hyperlink"/>
            <w:noProof/>
          </w:rPr>
          <w:t>1.3 The Snowy Scheme - a legacy of ambition</w:t>
        </w:r>
        <w:r w:rsidR="00864646">
          <w:rPr>
            <w:noProof/>
            <w:webHidden/>
          </w:rPr>
          <w:tab/>
        </w:r>
        <w:r w:rsidR="00864646">
          <w:rPr>
            <w:noProof/>
            <w:webHidden/>
          </w:rPr>
          <w:fldChar w:fldCharType="begin"/>
        </w:r>
        <w:r w:rsidR="00864646">
          <w:rPr>
            <w:noProof/>
            <w:webHidden/>
          </w:rPr>
          <w:instrText xml:space="preserve"> PAGEREF _Toc233801463 \h </w:instrText>
        </w:r>
        <w:r w:rsidR="00864646">
          <w:rPr>
            <w:noProof/>
            <w:webHidden/>
          </w:rPr>
        </w:r>
        <w:r w:rsidR="00864646">
          <w:rPr>
            <w:noProof/>
            <w:webHidden/>
          </w:rPr>
          <w:fldChar w:fldCharType="separate"/>
        </w:r>
        <w:r w:rsidR="00864646">
          <w:rPr>
            <w:noProof/>
            <w:webHidden/>
          </w:rPr>
          <w:t>26</w:t>
        </w:r>
        <w:r w:rsidR="00864646">
          <w:rPr>
            <w:noProof/>
            <w:webHidden/>
          </w:rPr>
          <w:fldChar w:fldCharType="end"/>
        </w:r>
      </w:hyperlink>
    </w:p>
    <w:p w14:paraId="7D7E8054" w14:textId="6E97AB67"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1692B</w:t>
      </w:r>
      <w:hyperlink w:anchor="_Toc233801464" w:history="1">
        <w:r w:rsidR="00864646" w:rsidRPr="005C06F1">
          <w:rPr>
            <w:rStyle w:val="Hyperlink"/>
            <w:noProof/>
          </w:rPr>
          <w:t>1.4 The gradual shift</w:t>
        </w:r>
        <w:r w:rsidR="00864646">
          <w:rPr>
            <w:noProof/>
            <w:webHidden/>
          </w:rPr>
          <w:tab/>
        </w:r>
        <w:r w:rsidR="00864646">
          <w:rPr>
            <w:noProof/>
            <w:webHidden/>
          </w:rPr>
          <w:fldChar w:fldCharType="begin"/>
        </w:r>
        <w:r w:rsidR="00864646">
          <w:rPr>
            <w:noProof/>
            <w:webHidden/>
          </w:rPr>
          <w:instrText xml:space="preserve"> PAGEREF _Toc233801464 \h </w:instrText>
        </w:r>
        <w:r w:rsidR="00864646">
          <w:rPr>
            <w:noProof/>
            <w:webHidden/>
          </w:rPr>
        </w:r>
        <w:r w:rsidR="00864646">
          <w:rPr>
            <w:noProof/>
            <w:webHidden/>
          </w:rPr>
          <w:fldChar w:fldCharType="separate"/>
        </w:r>
        <w:r w:rsidR="00864646">
          <w:rPr>
            <w:noProof/>
            <w:webHidden/>
          </w:rPr>
          <w:t>27</w:t>
        </w:r>
        <w:r w:rsidR="00864646">
          <w:rPr>
            <w:noProof/>
            <w:webHidden/>
          </w:rPr>
          <w:fldChar w:fldCharType="end"/>
        </w:r>
      </w:hyperlink>
    </w:p>
    <w:p w14:paraId="790E118C" w14:textId="167055C9"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1693B</w:t>
      </w:r>
      <w:hyperlink w:anchor="_Toc233801465" w:history="1">
        <w:r w:rsidR="00864646" w:rsidRPr="005C06F1">
          <w:rPr>
            <w:rStyle w:val="Hyperlink"/>
            <w:noProof/>
          </w:rPr>
          <w:t>1.5 From nation building to environmental accountability</w:t>
        </w:r>
        <w:r w:rsidR="00864646">
          <w:rPr>
            <w:noProof/>
            <w:webHidden/>
          </w:rPr>
          <w:tab/>
        </w:r>
        <w:r w:rsidR="00864646">
          <w:rPr>
            <w:noProof/>
            <w:webHidden/>
          </w:rPr>
          <w:fldChar w:fldCharType="begin"/>
        </w:r>
        <w:r w:rsidR="00864646">
          <w:rPr>
            <w:noProof/>
            <w:webHidden/>
          </w:rPr>
          <w:instrText xml:space="preserve"> PAGEREF _Toc233801465 \h </w:instrText>
        </w:r>
        <w:r w:rsidR="00864646">
          <w:rPr>
            <w:noProof/>
            <w:webHidden/>
          </w:rPr>
        </w:r>
        <w:r w:rsidR="00864646">
          <w:rPr>
            <w:noProof/>
            <w:webHidden/>
          </w:rPr>
          <w:fldChar w:fldCharType="separate"/>
        </w:r>
        <w:r w:rsidR="00864646">
          <w:rPr>
            <w:noProof/>
            <w:webHidden/>
          </w:rPr>
          <w:t>27</w:t>
        </w:r>
        <w:r w:rsidR="00864646">
          <w:rPr>
            <w:noProof/>
            <w:webHidden/>
          </w:rPr>
          <w:fldChar w:fldCharType="end"/>
        </w:r>
      </w:hyperlink>
    </w:p>
    <w:p w14:paraId="2BC416FB" w14:textId="2D2F9B94"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1694B</w:t>
      </w:r>
      <w:hyperlink w:anchor="_Toc233801466" w:history="1">
        <w:r w:rsidR="00864646" w:rsidRPr="005C06F1">
          <w:rPr>
            <w:rStyle w:val="Hyperlink"/>
            <w:noProof/>
          </w:rPr>
          <w:t>1.6 Why this review matters now</w:t>
        </w:r>
        <w:r w:rsidR="00864646">
          <w:rPr>
            <w:noProof/>
            <w:webHidden/>
          </w:rPr>
          <w:tab/>
        </w:r>
        <w:r w:rsidR="00864646">
          <w:rPr>
            <w:noProof/>
            <w:webHidden/>
          </w:rPr>
          <w:fldChar w:fldCharType="begin"/>
        </w:r>
        <w:r w:rsidR="00864646">
          <w:rPr>
            <w:noProof/>
            <w:webHidden/>
          </w:rPr>
          <w:instrText xml:space="preserve"> PAGEREF _Toc233801466 \h </w:instrText>
        </w:r>
        <w:r w:rsidR="00864646">
          <w:rPr>
            <w:noProof/>
            <w:webHidden/>
          </w:rPr>
        </w:r>
        <w:r w:rsidR="00864646">
          <w:rPr>
            <w:noProof/>
            <w:webHidden/>
          </w:rPr>
          <w:fldChar w:fldCharType="separate"/>
        </w:r>
        <w:r w:rsidR="00864646">
          <w:rPr>
            <w:noProof/>
            <w:webHidden/>
          </w:rPr>
          <w:t>28</w:t>
        </w:r>
        <w:r w:rsidR="00864646">
          <w:rPr>
            <w:noProof/>
            <w:webHidden/>
          </w:rPr>
          <w:fldChar w:fldCharType="end"/>
        </w:r>
      </w:hyperlink>
    </w:p>
    <w:p w14:paraId="1CB25D0C" w14:textId="60AECE5C"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1695B</w:t>
      </w:r>
      <w:hyperlink w:anchor="_Toc233801467" w:history="1">
        <w:r w:rsidR="00864646" w:rsidRPr="005C06F1">
          <w:rPr>
            <w:rStyle w:val="Hyperlink"/>
            <w:noProof/>
          </w:rPr>
          <w:t>1.7 More than just the Deed</w:t>
        </w:r>
        <w:r w:rsidR="00864646">
          <w:rPr>
            <w:noProof/>
            <w:webHidden/>
          </w:rPr>
          <w:tab/>
        </w:r>
        <w:r w:rsidR="00864646">
          <w:rPr>
            <w:noProof/>
            <w:webHidden/>
          </w:rPr>
          <w:fldChar w:fldCharType="begin"/>
        </w:r>
        <w:r w:rsidR="00864646">
          <w:rPr>
            <w:noProof/>
            <w:webHidden/>
          </w:rPr>
          <w:instrText xml:space="preserve"> PAGEREF _Toc233801467 \h </w:instrText>
        </w:r>
        <w:r w:rsidR="00864646">
          <w:rPr>
            <w:noProof/>
            <w:webHidden/>
          </w:rPr>
        </w:r>
        <w:r w:rsidR="00864646">
          <w:rPr>
            <w:noProof/>
            <w:webHidden/>
          </w:rPr>
          <w:fldChar w:fldCharType="separate"/>
        </w:r>
        <w:r w:rsidR="00864646">
          <w:rPr>
            <w:noProof/>
            <w:webHidden/>
          </w:rPr>
          <w:t>29</w:t>
        </w:r>
        <w:r w:rsidR="00864646">
          <w:rPr>
            <w:noProof/>
            <w:webHidden/>
          </w:rPr>
          <w:fldChar w:fldCharType="end"/>
        </w:r>
      </w:hyperlink>
    </w:p>
    <w:p w14:paraId="01A8623D" w14:textId="5DDF7595"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1677B</w:t>
      </w:r>
      <w:hyperlink w:anchor="_Toc233801468" w:history="1">
        <w:r w:rsidR="00864646" w:rsidRPr="005C06F1">
          <w:rPr>
            <w:rStyle w:val="Hyperlink"/>
          </w:rPr>
          <w:t>2.</w:t>
        </w:r>
        <w:r w:rsidR="00864646">
          <w:rPr>
            <w:rFonts w:cstheme="minorBidi"/>
            <w:b w:val="0"/>
            <w:kern w:val="2"/>
            <w:sz w:val="24"/>
            <w:szCs w:val="24"/>
            <w:lang w:val="en-AU" w:eastAsia="en-AU"/>
            <w14:ligatures w14:val="standardContextual"/>
          </w:rPr>
          <w:tab/>
        </w:r>
        <w:r w:rsidR="00864646" w:rsidRPr="005C06F1">
          <w:rPr>
            <w:rStyle w:val="Hyperlink"/>
          </w:rPr>
          <w:t>Review Methodology</w:t>
        </w:r>
        <w:r w:rsidR="00864646">
          <w:rPr>
            <w:webHidden/>
          </w:rPr>
          <w:tab/>
        </w:r>
        <w:r w:rsidR="00864646">
          <w:rPr>
            <w:webHidden/>
          </w:rPr>
          <w:fldChar w:fldCharType="begin"/>
        </w:r>
        <w:r w:rsidR="00864646">
          <w:rPr>
            <w:webHidden/>
          </w:rPr>
          <w:instrText xml:space="preserve"> PAGEREF _Toc233801468 \h </w:instrText>
        </w:r>
        <w:r w:rsidR="00864646">
          <w:rPr>
            <w:webHidden/>
          </w:rPr>
        </w:r>
        <w:r w:rsidR="00864646">
          <w:rPr>
            <w:webHidden/>
          </w:rPr>
          <w:fldChar w:fldCharType="separate"/>
        </w:r>
        <w:r w:rsidR="00864646">
          <w:rPr>
            <w:webHidden/>
          </w:rPr>
          <w:t>31</w:t>
        </w:r>
        <w:r w:rsidR="00864646">
          <w:rPr>
            <w:webHidden/>
          </w:rPr>
          <w:fldChar w:fldCharType="end"/>
        </w:r>
      </w:hyperlink>
    </w:p>
    <w:p w14:paraId="33CD7F93" w14:textId="4680FFBB"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1696B</w:t>
      </w:r>
      <w:hyperlink w:anchor="_Toc233801469" w:history="1">
        <w:r w:rsidR="00864646" w:rsidRPr="005C06F1">
          <w:rPr>
            <w:rStyle w:val="Hyperlink"/>
            <w:rFonts w:eastAsia="Calibri"/>
            <w:noProof/>
          </w:rPr>
          <w:t>2.1 Consultation process</w:t>
        </w:r>
        <w:r w:rsidR="00864646">
          <w:rPr>
            <w:noProof/>
            <w:webHidden/>
          </w:rPr>
          <w:tab/>
        </w:r>
        <w:r w:rsidR="00864646">
          <w:rPr>
            <w:noProof/>
            <w:webHidden/>
          </w:rPr>
          <w:fldChar w:fldCharType="begin"/>
        </w:r>
        <w:r w:rsidR="00864646">
          <w:rPr>
            <w:noProof/>
            <w:webHidden/>
          </w:rPr>
          <w:instrText xml:space="preserve"> PAGEREF _Toc233801469 \h </w:instrText>
        </w:r>
        <w:r w:rsidR="00864646">
          <w:rPr>
            <w:noProof/>
            <w:webHidden/>
          </w:rPr>
        </w:r>
        <w:r w:rsidR="00864646">
          <w:rPr>
            <w:noProof/>
            <w:webHidden/>
          </w:rPr>
          <w:fldChar w:fldCharType="separate"/>
        </w:r>
        <w:r w:rsidR="00864646">
          <w:rPr>
            <w:noProof/>
            <w:webHidden/>
          </w:rPr>
          <w:t>31</w:t>
        </w:r>
        <w:r w:rsidR="00864646">
          <w:rPr>
            <w:noProof/>
            <w:webHidden/>
          </w:rPr>
          <w:fldChar w:fldCharType="end"/>
        </w:r>
      </w:hyperlink>
    </w:p>
    <w:p w14:paraId="6DA3F3D5" w14:textId="604808A8"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1697B</w:t>
      </w:r>
      <w:hyperlink w:anchor="_Toc233801470" w:history="1">
        <w:r w:rsidR="00864646" w:rsidRPr="005C06F1">
          <w:rPr>
            <w:rStyle w:val="Hyperlink"/>
            <w:noProof/>
          </w:rPr>
          <w:t>2.2 Technical evidence considered by the Panel</w:t>
        </w:r>
        <w:r w:rsidR="00864646">
          <w:rPr>
            <w:noProof/>
            <w:webHidden/>
          </w:rPr>
          <w:tab/>
        </w:r>
        <w:r w:rsidR="00864646">
          <w:rPr>
            <w:noProof/>
            <w:webHidden/>
          </w:rPr>
          <w:fldChar w:fldCharType="begin"/>
        </w:r>
        <w:r w:rsidR="00864646">
          <w:rPr>
            <w:noProof/>
            <w:webHidden/>
          </w:rPr>
          <w:instrText xml:space="preserve"> PAGEREF _Toc233801470 \h </w:instrText>
        </w:r>
        <w:r w:rsidR="00864646">
          <w:rPr>
            <w:noProof/>
            <w:webHidden/>
          </w:rPr>
        </w:r>
        <w:r w:rsidR="00864646">
          <w:rPr>
            <w:noProof/>
            <w:webHidden/>
          </w:rPr>
          <w:fldChar w:fldCharType="separate"/>
        </w:r>
        <w:r w:rsidR="00864646">
          <w:rPr>
            <w:noProof/>
            <w:webHidden/>
          </w:rPr>
          <w:t>32</w:t>
        </w:r>
        <w:r w:rsidR="00864646">
          <w:rPr>
            <w:noProof/>
            <w:webHidden/>
          </w:rPr>
          <w:fldChar w:fldCharType="end"/>
        </w:r>
      </w:hyperlink>
    </w:p>
    <w:p w14:paraId="45CE1805" w14:textId="227792D0"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1678B</w:t>
      </w:r>
      <w:hyperlink w:anchor="_Toc233801471" w:history="1">
        <w:r w:rsidR="00864646" w:rsidRPr="005C06F1">
          <w:rPr>
            <w:rStyle w:val="Hyperlink"/>
          </w:rPr>
          <w:t>3.</w:t>
        </w:r>
        <w:r w:rsidR="00864646">
          <w:rPr>
            <w:rFonts w:cstheme="minorBidi"/>
            <w:b w:val="0"/>
            <w:kern w:val="2"/>
            <w:sz w:val="24"/>
            <w:szCs w:val="24"/>
            <w:lang w:val="en-AU" w:eastAsia="en-AU"/>
            <w14:ligatures w14:val="standardContextual"/>
          </w:rPr>
          <w:tab/>
        </w:r>
        <w:r w:rsidR="00864646" w:rsidRPr="005C06F1">
          <w:rPr>
            <w:rStyle w:val="Hyperlink"/>
          </w:rPr>
          <w:t>Original Deed Effectiveness</w:t>
        </w:r>
        <w:r w:rsidR="00864646">
          <w:rPr>
            <w:webHidden/>
          </w:rPr>
          <w:tab/>
        </w:r>
        <w:r w:rsidR="00864646">
          <w:rPr>
            <w:webHidden/>
          </w:rPr>
          <w:fldChar w:fldCharType="begin"/>
        </w:r>
        <w:r w:rsidR="00864646">
          <w:rPr>
            <w:webHidden/>
          </w:rPr>
          <w:instrText xml:space="preserve"> PAGEREF _Toc233801471 \h </w:instrText>
        </w:r>
        <w:r w:rsidR="00864646">
          <w:rPr>
            <w:webHidden/>
          </w:rPr>
        </w:r>
        <w:r w:rsidR="00864646">
          <w:rPr>
            <w:webHidden/>
          </w:rPr>
          <w:fldChar w:fldCharType="separate"/>
        </w:r>
        <w:r w:rsidR="00864646">
          <w:rPr>
            <w:webHidden/>
          </w:rPr>
          <w:t>41</w:t>
        </w:r>
        <w:r w:rsidR="00864646">
          <w:rPr>
            <w:webHidden/>
          </w:rPr>
          <w:fldChar w:fldCharType="end"/>
        </w:r>
      </w:hyperlink>
    </w:p>
    <w:p w14:paraId="0E7C4DC3" w14:textId="24C7DD0A"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1698B</w:t>
      </w:r>
      <w:hyperlink w:anchor="_Toc233801472" w:history="1">
        <w:r w:rsidR="00864646" w:rsidRPr="005C06F1">
          <w:rPr>
            <w:rStyle w:val="Hyperlink"/>
            <w:noProof/>
          </w:rPr>
          <w:t>3.1 Current Deed Arrangements</w:t>
        </w:r>
        <w:r w:rsidR="00864646">
          <w:rPr>
            <w:noProof/>
            <w:webHidden/>
          </w:rPr>
          <w:tab/>
        </w:r>
        <w:r w:rsidR="00864646">
          <w:rPr>
            <w:noProof/>
            <w:webHidden/>
          </w:rPr>
          <w:fldChar w:fldCharType="begin"/>
        </w:r>
        <w:r w:rsidR="00864646">
          <w:rPr>
            <w:noProof/>
            <w:webHidden/>
          </w:rPr>
          <w:instrText xml:space="preserve"> PAGEREF _Toc233801472 \h </w:instrText>
        </w:r>
        <w:r w:rsidR="00864646">
          <w:rPr>
            <w:noProof/>
            <w:webHidden/>
          </w:rPr>
        </w:r>
        <w:r w:rsidR="00864646">
          <w:rPr>
            <w:noProof/>
            <w:webHidden/>
          </w:rPr>
          <w:fldChar w:fldCharType="separate"/>
        </w:r>
        <w:r w:rsidR="00864646">
          <w:rPr>
            <w:noProof/>
            <w:webHidden/>
          </w:rPr>
          <w:t>42</w:t>
        </w:r>
        <w:r w:rsidR="00864646">
          <w:rPr>
            <w:noProof/>
            <w:webHidden/>
          </w:rPr>
          <w:fldChar w:fldCharType="end"/>
        </w:r>
      </w:hyperlink>
    </w:p>
    <w:p w14:paraId="51BFF26D" w14:textId="5E2DF975"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1699B</w:t>
      </w:r>
      <w:hyperlink w:anchor="_Toc233801473" w:history="1">
        <w:r w:rsidR="00864646" w:rsidRPr="005C06F1">
          <w:rPr>
            <w:rStyle w:val="Hyperlink"/>
            <w:rFonts w:eastAsia="Calibri"/>
            <w:noProof/>
          </w:rPr>
          <w:t>3.2 What we heard</w:t>
        </w:r>
        <w:r w:rsidR="00864646">
          <w:rPr>
            <w:noProof/>
            <w:webHidden/>
          </w:rPr>
          <w:tab/>
        </w:r>
        <w:r w:rsidR="00864646">
          <w:rPr>
            <w:noProof/>
            <w:webHidden/>
          </w:rPr>
          <w:fldChar w:fldCharType="begin"/>
        </w:r>
        <w:r w:rsidR="00864646">
          <w:rPr>
            <w:noProof/>
            <w:webHidden/>
          </w:rPr>
          <w:instrText xml:space="preserve"> PAGEREF _Toc233801473 \h </w:instrText>
        </w:r>
        <w:r w:rsidR="00864646">
          <w:rPr>
            <w:noProof/>
            <w:webHidden/>
          </w:rPr>
        </w:r>
        <w:r w:rsidR="00864646">
          <w:rPr>
            <w:noProof/>
            <w:webHidden/>
          </w:rPr>
          <w:fldChar w:fldCharType="separate"/>
        </w:r>
        <w:r w:rsidR="00864646">
          <w:rPr>
            <w:noProof/>
            <w:webHidden/>
          </w:rPr>
          <w:t>48</w:t>
        </w:r>
        <w:r w:rsidR="00864646">
          <w:rPr>
            <w:noProof/>
            <w:webHidden/>
          </w:rPr>
          <w:fldChar w:fldCharType="end"/>
        </w:r>
      </w:hyperlink>
    </w:p>
    <w:p w14:paraId="4BC42F77" w14:textId="442BC4E9"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1700B</w:t>
      </w:r>
      <w:hyperlink w:anchor="_Toc233801474" w:history="1">
        <w:r w:rsidR="00864646" w:rsidRPr="005C06F1">
          <w:rPr>
            <w:rStyle w:val="Hyperlink"/>
            <w:rFonts w:eastAsia="Calibri"/>
            <w:noProof/>
          </w:rPr>
          <w:t>3.3 Effectiveness of increased flows against original targets</w:t>
        </w:r>
        <w:r w:rsidR="00864646">
          <w:rPr>
            <w:noProof/>
            <w:webHidden/>
          </w:rPr>
          <w:tab/>
        </w:r>
        <w:r w:rsidR="00864646">
          <w:rPr>
            <w:noProof/>
            <w:webHidden/>
          </w:rPr>
          <w:fldChar w:fldCharType="begin"/>
        </w:r>
        <w:r w:rsidR="00864646">
          <w:rPr>
            <w:noProof/>
            <w:webHidden/>
          </w:rPr>
          <w:instrText xml:space="preserve"> PAGEREF _Toc233801474 \h </w:instrText>
        </w:r>
        <w:r w:rsidR="00864646">
          <w:rPr>
            <w:noProof/>
            <w:webHidden/>
          </w:rPr>
        </w:r>
        <w:r w:rsidR="00864646">
          <w:rPr>
            <w:noProof/>
            <w:webHidden/>
          </w:rPr>
          <w:fldChar w:fldCharType="separate"/>
        </w:r>
        <w:r w:rsidR="00864646">
          <w:rPr>
            <w:noProof/>
            <w:webHidden/>
          </w:rPr>
          <w:t>52</w:t>
        </w:r>
        <w:r w:rsidR="00864646">
          <w:rPr>
            <w:noProof/>
            <w:webHidden/>
          </w:rPr>
          <w:fldChar w:fldCharType="end"/>
        </w:r>
      </w:hyperlink>
    </w:p>
    <w:p w14:paraId="405DC956" w14:textId="3E54541D"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1701B</w:t>
      </w:r>
      <w:hyperlink w:anchor="_Toc233801475" w:history="1">
        <w:r w:rsidR="00864646" w:rsidRPr="005C06F1">
          <w:rPr>
            <w:rStyle w:val="Hyperlink"/>
            <w:rFonts w:eastAsia="Calibri"/>
            <w:noProof/>
          </w:rPr>
          <w:t>3.4 Governance constraints on achieving increased flow objectives</w:t>
        </w:r>
        <w:r w:rsidR="00864646">
          <w:rPr>
            <w:noProof/>
            <w:webHidden/>
          </w:rPr>
          <w:tab/>
        </w:r>
        <w:r w:rsidR="00864646">
          <w:rPr>
            <w:noProof/>
            <w:webHidden/>
          </w:rPr>
          <w:fldChar w:fldCharType="begin"/>
        </w:r>
        <w:r w:rsidR="00864646">
          <w:rPr>
            <w:noProof/>
            <w:webHidden/>
          </w:rPr>
          <w:instrText xml:space="preserve"> PAGEREF _Toc233801475 \h </w:instrText>
        </w:r>
        <w:r w:rsidR="00864646">
          <w:rPr>
            <w:noProof/>
            <w:webHidden/>
          </w:rPr>
        </w:r>
        <w:r w:rsidR="00864646">
          <w:rPr>
            <w:noProof/>
            <w:webHidden/>
          </w:rPr>
          <w:fldChar w:fldCharType="separate"/>
        </w:r>
        <w:r w:rsidR="00864646">
          <w:rPr>
            <w:noProof/>
            <w:webHidden/>
          </w:rPr>
          <w:t>54</w:t>
        </w:r>
        <w:r w:rsidR="00864646">
          <w:rPr>
            <w:noProof/>
            <w:webHidden/>
          </w:rPr>
          <w:fldChar w:fldCharType="end"/>
        </w:r>
      </w:hyperlink>
    </w:p>
    <w:p w14:paraId="6901D1AA" w14:textId="40209DD9"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1702B</w:t>
      </w:r>
      <w:hyperlink w:anchor="_Toc233801476" w:history="1">
        <w:r w:rsidR="00864646" w:rsidRPr="005C06F1">
          <w:rPr>
            <w:rStyle w:val="Hyperlink"/>
            <w:noProof/>
          </w:rPr>
          <w:t>3.5 Considerations for a reform response</w:t>
        </w:r>
        <w:r w:rsidR="00864646">
          <w:rPr>
            <w:noProof/>
            <w:webHidden/>
          </w:rPr>
          <w:tab/>
        </w:r>
        <w:r w:rsidR="00864646">
          <w:rPr>
            <w:noProof/>
            <w:webHidden/>
          </w:rPr>
          <w:fldChar w:fldCharType="begin"/>
        </w:r>
        <w:r w:rsidR="00864646">
          <w:rPr>
            <w:noProof/>
            <w:webHidden/>
          </w:rPr>
          <w:instrText xml:space="preserve"> PAGEREF _Toc233801476 \h </w:instrText>
        </w:r>
        <w:r w:rsidR="00864646">
          <w:rPr>
            <w:noProof/>
            <w:webHidden/>
          </w:rPr>
        </w:r>
        <w:r w:rsidR="00864646">
          <w:rPr>
            <w:noProof/>
            <w:webHidden/>
          </w:rPr>
          <w:fldChar w:fldCharType="separate"/>
        </w:r>
        <w:r w:rsidR="00864646">
          <w:rPr>
            <w:noProof/>
            <w:webHidden/>
          </w:rPr>
          <w:t>60</w:t>
        </w:r>
        <w:r w:rsidR="00864646">
          <w:rPr>
            <w:noProof/>
            <w:webHidden/>
          </w:rPr>
          <w:fldChar w:fldCharType="end"/>
        </w:r>
      </w:hyperlink>
    </w:p>
    <w:p w14:paraId="05D55668" w14:textId="16FB4206"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1679B</w:t>
      </w:r>
      <w:hyperlink w:anchor="_Toc233801477" w:history="1">
        <w:r w:rsidR="00864646" w:rsidRPr="005C06F1">
          <w:rPr>
            <w:rStyle w:val="Hyperlink"/>
          </w:rPr>
          <w:t>4.</w:t>
        </w:r>
        <w:r w:rsidR="00864646">
          <w:rPr>
            <w:rFonts w:cstheme="minorBidi"/>
            <w:b w:val="0"/>
            <w:kern w:val="2"/>
            <w:sz w:val="24"/>
            <w:szCs w:val="24"/>
            <w:lang w:val="en-AU" w:eastAsia="en-AU"/>
            <w14:ligatures w14:val="standardContextual"/>
          </w:rPr>
          <w:tab/>
        </w:r>
        <w:r w:rsidR="00864646" w:rsidRPr="005C06F1">
          <w:rPr>
            <w:rStyle w:val="Hyperlink"/>
          </w:rPr>
          <w:t>Environmental Flows</w:t>
        </w:r>
        <w:r w:rsidR="00864646">
          <w:rPr>
            <w:webHidden/>
          </w:rPr>
          <w:tab/>
        </w:r>
        <w:r w:rsidR="00864646">
          <w:rPr>
            <w:webHidden/>
          </w:rPr>
          <w:fldChar w:fldCharType="begin"/>
        </w:r>
        <w:r w:rsidR="00864646">
          <w:rPr>
            <w:webHidden/>
          </w:rPr>
          <w:instrText xml:space="preserve"> PAGEREF _Toc233801477 \h </w:instrText>
        </w:r>
        <w:r w:rsidR="00864646">
          <w:rPr>
            <w:webHidden/>
          </w:rPr>
        </w:r>
        <w:r w:rsidR="00864646">
          <w:rPr>
            <w:webHidden/>
          </w:rPr>
          <w:fldChar w:fldCharType="separate"/>
        </w:r>
        <w:r w:rsidR="00864646">
          <w:rPr>
            <w:webHidden/>
          </w:rPr>
          <w:t>62</w:t>
        </w:r>
        <w:r w:rsidR="00864646">
          <w:rPr>
            <w:webHidden/>
          </w:rPr>
          <w:fldChar w:fldCharType="end"/>
        </w:r>
      </w:hyperlink>
    </w:p>
    <w:p w14:paraId="6460799E" w14:textId="0CAAFEBD"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1703B</w:t>
      </w:r>
      <w:hyperlink w:anchor="_Toc233801478" w:history="1">
        <w:r w:rsidR="00864646" w:rsidRPr="005C06F1">
          <w:rPr>
            <w:rStyle w:val="Hyperlink"/>
            <w:noProof/>
          </w:rPr>
          <w:t>4.1 Purpose and Scope</w:t>
        </w:r>
        <w:r w:rsidR="00864646">
          <w:rPr>
            <w:noProof/>
            <w:webHidden/>
          </w:rPr>
          <w:tab/>
        </w:r>
        <w:r w:rsidR="00864646">
          <w:rPr>
            <w:noProof/>
            <w:webHidden/>
          </w:rPr>
          <w:fldChar w:fldCharType="begin"/>
        </w:r>
        <w:r w:rsidR="00864646">
          <w:rPr>
            <w:noProof/>
            <w:webHidden/>
          </w:rPr>
          <w:instrText xml:space="preserve"> PAGEREF _Toc233801478 \h </w:instrText>
        </w:r>
        <w:r w:rsidR="00864646">
          <w:rPr>
            <w:noProof/>
            <w:webHidden/>
          </w:rPr>
        </w:r>
        <w:r w:rsidR="00864646">
          <w:rPr>
            <w:noProof/>
            <w:webHidden/>
          </w:rPr>
          <w:fldChar w:fldCharType="separate"/>
        </w:r>
        <w:r w:rsidR="00864646">
          <w:rPr>
            <w:noProof/>
            <w:webHidden/>
          </w:rPr>
          <w:t>62</w:t>
        </w:r>
        <w:r w:rsidR="00864646">
          <w:rPr>
            <w:noProof/>
            <w:webHidden/>
          </w:rPr>
          <w:fldChar w:fldCharType="end"/>
        </w:r>
      </w:hyperlink>
    </w:p>
    <w:p w14:paraId="6426982F" w14:textId="5C3587E3"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1704B</w:t>
      </w:r>
      <w:hyperlink w:anchor="_Toc233801479" w:history="1">
        <w:r w:rsidR="00864646" w:rsidRPr="005C06F1">
          <w:rPr>
            <w:rStyle w:val="Hyperlink"/>
            <w:noProof/>
          </w:rPr>
          <w:t>4.2 Current conditions and issues</w:t>
        </w:r>
        <w:r w:rsidR="00864646">
          <w:rPr>
            <w:noProof/>
            <w:webHidden/>
          </w:rPr>
          <w:tab/>
        </w:r>
        <w:r w:rsidR="00864646">
          <w:rPr>
            <w:noProof/>
            <w:webHidden/>
          </w:rPr>
          <w:fldChar w:fldCharType="begin"/>
        </w:r>
        <w:r w:rsidR="00864646">
          <w:rPr>
            <w:noProof/>
            <w:webHidden/>
          </w:rPr>
          <w:instrText xml:space="preserve"> PAGEREF _Toc233801479 \h </w:instrText>
        </w:r>
        <w:r w:rsidR="00864646">
          <w:rPr>
            <w:noProof/>
            <w:webHidden/>
          </w:rPr>
        </w:r>
        <w:r w:rsidR="00864646">
          <w:rPr>
            <w:noProof/>
            <w:webHidden/>
          </w:rPr>
          <w:fldChar w:fldCharType="separate"/>
        </w:r>
        <w:r w:rsidR="00864646">
          <w:rPr>
            <w:noProof/>
            <w:webHidden/>
          </w:rPr>
          <w:t>62</w:t>
        </w:r>
        <w:r w:rsidR="00864646">
          <w:rPr>
            <w:noProof/>
            <w:webHidden/>
          </w:rPr>
          <w:fldChar w:fldCharType="end"/>
        </w:r>
      </w:hyperlink>
    </w:p>
    <w:p w14:paraId="37A93198" w14:textId="6D25BFA1"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1705B</w:t>
      </w:r>
      <w:hyperlink w:anchor="_Toc233801480" w:history="1">
        <w:r w:rsidR="00864646" w:rsidRPr="005C06F1">
          <w:rPr>
            <w:rStyle w:val="Hyperlink"/>
            <w:noProof/>
          </w:rPr>
          <w:t>4.3 Snowy River: Improving the effectiveness of environmental water</w:t>
        </w:r>
        <w:r w:rsidR="00864646">
          <w:rPr>
            <w:noProof/>
            <w:webHidden/>
          </w:rPr>
          <w:tab/>
        </w:r>
        <w:r w:rsidR="00864646">
          <w:rPr>
            <w:noProof/>
            <w:webHidden/>
          </w:rPr>
          <w:fldChar w:fldCharType="begin"/>
        </w:r>
        <w:r w:rsidR="00864646">
          <w:rPr>
            <w:noProof/>
            <w:webHidden/>
          </w:rPr>
          <w:instrText xml:space="preserve"> PAGEREF _Toc233801480 \h </w:instrText>
        </w:r>
        <w:r w:rsidR="00864646">
          <w:rPr>
            <w:noProof/>
            <w:webHidden/>
          </w:rPr>
        </w:r>
        <w:r w:rsidR="00864646">
          <w:rPr>
            <w:noProof/>
            <w:webHidden/>
          </w:rPr>
          <w:fldChar w:fldCharType="separate"/>
        </w:r>
        <w:r w:rsidR="00864646">
          <w:rPr>
            <w:noProof/>
            <w:webHidden/>
          </w:rPr>
          <w:t>67</w:t>
        </w:r>
        <w:r w:rsidR="00864646">
          <w:rPr>
            <w:noProof/>
            <w:webHidden/>
          </w:rPr>
          <w:fldChar w:fldCharType="end"/>
        </w:r>
      </w:hyperlink>
    </w:p>
    <w:p w14:paraId="70E06AFC" w14:textId="02A7744F"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1706B</w:t>
      </w:r>
      <w:hyperlink w:anchor="_Toc233801481" w:history="1">
        <w:r w:rsidR="00864646" w:rsidRPr="005C06F1">
          <w:rPr>
            <w:rStyle w:val="Hyperlink"/>
            <w:noProof/>
          </w:rPr>
          <w:t>4.4 Upper Murrumbidgee River: avoiding ecosystem collapse</w:t>
        </w:r>
        <w:r w:rsidR="00864646">
          <w:rPr>
            <w:noProof/>
            <w:webHidden/>
          </w:rPr>
          <w:tab/>
        </w:r>
        <w:r w:rsidR="00864646">
          <w:rPr>
            <w:noProof/>
            <w:webHidden/>
          </w:rPr>
          <w:fldChar w:fldCharType="begin"/>
        </w:r>
        <w:r w:rsidR="00864646">
          <w:rPr>
            <w:noProof/>
            <w:webHidden/>
          </w:rPr>
          <w:instrText xml:space="preserve"> PAGEREF _Toc233801481 \h </w:instrText>
        </w:r>
        <w:r w:rsidR="00864646">
          <w:rPr>
            <w:noProof/>
            <w:webHidden/>
          </w:rPr>
        </w:r>
        <w:r w:rsidR="00864646">
          <w:rPr>
            <w:noProof/>
            <w:webHidden/>
          </w:rPr>
          <w:fldChar w:fldCharType="separate"/>
        </w:r>
        <w:r w:rsidR="00864646">
          <w:rPr>
            <w:noProof/>
            <w:webHidden/>
          </w:rPr>
          <w:t>70</w:t>
        </w:r>
        <w:r w:rsidR="00864646">
          <w:rPr>
            <w:noProof/>
            <w:webHidden/>
          </w:rPr>
          <w:fldChar w:fldCharType="end"/>
        </w:r>
      </w:hyperlink>
    </w:p>
    <w:p w14:paraId="6C752C6C" w14:textId="5E5875AE"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1707B</w:t>
      </w:r>
      <w:hyperlink w:anchor="_Toc233801482" w:history="1">
        <w:r w:rsidR="00864646" w:rsidRPr="005C06F1">
          <w:rPr>
            <w:rStyle w:val="Hyperlink"/>
            <w:noProof/>
          </w:rPr>
          <w:t>4.5 Upper Murrumbidgee: Evaluating environmental outcomes from environmental water delivery options</w:t>
        </w:r>
        <w:r w:rsidR="00864646">
          <w:rPr>
            <w:noProof/>
            <w:webHidden/>
          </w:rPr>
          <w:tab/>
        </w:r>
        <w:r w:rsidR="00864646">
          <w:rPr>
            <w:noProof/>
            <w:webHidden/>
          </w:rPr>
          <w:fldChar w:fldCharType="begin"/>
        </w:r>
        <w:r w:rsidR="00864646">
          <w:rPr>
            <w:noProof/>
            <w:webHidden/>
          </w:rPr>
          <w:instrText xml:space="preserve"> PAGEREF _Toc233801482 \h </w:instrText>
        </w:r>
        <w:r w:rsidR="00864646">
          <w:rPr>
            <w:noProof/>
            <w:webHidden/>
          </w:rPr>
        </w:r>
        <w:r w:rsidR="00864646">
          <w:rPr>
            <w:noProof/>
            <w:webHidden/>
          </w:rPr>
          <w:fldChar w:fldCharType="separate"/>
        </w:r>
        <w:r w:rsidR="00864646">
          <w:rPr>
            <w:noProof/>
            <w:webHidden/>
          </w:rPr>
          <w:t>74</w:t>
        </w:r>
        <w:r w:rsidR="00864646">
          <w:rPr>
            <w:noProof/>
            <w:webHidden/>
          </w:rPr>
          <w:fldChar w:fldCharType="end"/>
        </w:r>
      </w:hyperlink>
    </w:p>
    <w:p w14:paraId="66361435" w14:textId="353F742B"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1708B</w:t>
      </w:r>
      <w:hyperlink w:anchor="_Toc233801483" w:history="1">
        <w:r w:rsidR="00864646" w:rsidRPr="005C06F1">
          <w:rPr>
            <w:rStyle w:val="Hyperlink"/>
            <w:noProof/>
          </w:rPr>
          <w:t>4.6 Upper Murrumbidgee: system impacts and trade-offs from improving environmental outcomes</w:t>
        </w:r>
        <w:r w:rsidR="00864646">
          <w:rPr>
            <w:noProof/>
            <w:webHidden/>
          </w:rPr>
          <w:tab/>
        </w:r>
        <w:r w:rsidR="00864646">
          <w:rPr>
            <w:noProof/>
            <w:webHidden/>
          </w:rPr>
          <w:fldChar w:fldCharType="begin"/>
        </w:r>
        <w:r w:rsidR="00864646">
          <w:rPr>
            <w:noProof/>
            <w:webHidden/>
          </w:rPr>
          <w:instrText xml:space="preserve"> PAGEREF _Toc233801483 \h </w:instrText>
        </w:r>
        <w:r w:rsidR="00864646">
          <w:rPr>
            <w:noProof/>
            <w:webHidden/>
          </w:rPr>
        </w:r>
        <w:r w:rsidR="00864646">
          <w:rPr>
            <w:noProof/>
            <w:webHidden/>
          </w:rPr>
          <w:fldChar w:fldCharType="separate"/>
        </w:r>
        <w:r w:rsidR="00864646">
          <w:rPr>
            <w:noProof/>
            <w:webHidden/>
          </w:rPr>
          <w:t>80</w:t>
        </w:r>
        <w:r w:rsidR="00864646">
          <w:rPr>
            <w:noProof/>
            <w:webHidden/>
          </w:rPr>
          <w:fldChar w:fldCharType="end"/>
        </w:r>
      </w:hyperlink>
    </w:p>
    <w:p w14:paraId="43B22186" w14:textId="00F0E9A1"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1709B</w:t>
      </w:r>
      <w:hyperlink w:anchor="_Toc233801484" w:history="1">
        <w:r w:rsidR="00864646" w:rsidRPr="005C06F1">
          <w:rPr>
            <w:rStyle w:val="Hyperlink"/>
            <w:noProof/>
          </w:rPr>
          <w:t>4.7 Adaptive operating arrangements</w:t>
        </w:r>
        <w:r w:rsidR="00864646">
          <w:rPr>
            <w:noProof/>
            <w:webHidden/>
          </w:rPr>
          <w:tab/>
        </w:r>
        <w:r w:rsidR="00864646">
          <w:rPr>
            <w:noProof/>
            <w:webHidden/>
          </w:rPr>
          <w:fldChar w:fldCharType="begin"/>
        </w:r>
        <w:r w:rsidR="00864646">
          <w:rPr>
            <w:noProof/>
            <w:webHidden/>
          </w:rPr>
          <w:instrText xml:space="preserve"> PAGEREF _Toc233801484 \h </w:instrText>
        </w:r>
        <w:r w:rsidR="00864646">
          <w:rPr>
            <w:noProof/>
            <w:webHidden/>
          </w:rPr>
        </w:r>
        <w:r w:rsidR="00864646">
          <w:rPr>
            <w:noProof/>
            <w:webHidden/>
          </w:rPr>
          <w:fldChar w:fldCharType="separate"/>
        </w:r>
        <w:r w:rsidR="00864646">
          <w:rPr>
            <w:noProof/>
            <w:webHidden/>
          </w:rPr>
          <w:t>87</w:t>
        </w:r>
        <w:r w:rsidR="00864646">
          <w:rPr>
            <w:noProof/>
            <w:webHidden/>
          </w:rPr>
          <w:fldChar w:fldCharType="end"/>
        </w:r>
      </w:hyperlink>
    </w:p>
    <w:p w14:paraId="23BCFD94" w14:textId="7AC2096F"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lastRenderedPageBreak/>
        <w:t>1710B</w:t>
      </w:r>
      <w:hyperlink w:anchor="_Toc233801485" w:history="1">
        <w:r w:rsidR="00864646" w:rsidRPr="005C06F1">
          <w:rPr>
            <w:rStyle w:val="Hyperlink"/>
            <w:noProof/>
          </w:rPr>
          <w:t>4.8 Conclusion</w:t>
        </w:r>
        <w:r w:rsidR="00864646">
          <w:rPr>
            <w:noProof/>
            <w:webHidden/>
          </w:rPr>
          <w:tab/>
        </w:r>
        <w:r w:rsidR="00864646">
          <w:rPr>
            <w:noProof/>
            <w:webHidden/>
          </w:rPr>
          <w:fldChar w:fldCharType="begin"/>
        </w:r>
        <w:r w:rsidR="00864646">
          <w:rPr>
            <w:noProof/>
            <w:webHidden/>
          </w:rPr>
          <w:instrText xml:space="preserve"> PAGEREF _Toc233801485 \h </w:instrText>
        </w:r>
        <w:r w:rsidR="00864646">
          <w:rPr>
            <w:noProof/>
            <w:webHidden/>
          </w:rPr>
        </w:r>
        <w:r w:rsidR="00864646">
          <w:rPr>
            <w:noProof/>
            <w:webHidden/>
          </w:rPr>
          <w:fldChar w:fldCharType="separate"/>
        </w:r>
        <w:r w:rsidR="00864646">
          <w:rPr>
            <w:noProof/>
            <w:webHidden/>
          </w:rPr>
          <w:t>91</w:t>
        </w:r>
        <w:r w:rsidR="00864646">
          <w:rPr>
            <w:noProof/>
            <w:webHidden/>
          </w:rPr>
          <w:fldChar w:fldCharType="end"/>
        </w:r>
      </w:hyperlink>
    </w:p>
    <w:p w14:paraId="2458DFD3" w14:textId="7E14B072"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1680B</w:t>
      </w:r>
      <w:hyperlink w:anchor="_Toc233801486" w:history="1">
        <w:r w:rsidR="00864646" w:rsidRPr="005C06F1">
          <w:rPr>
            <w:rStyle w:val="Hyperlink"/>
          </w:rPr>
          <w:t>5.</w:t>
        </w:r>
        <w:r w:rsidR="00864646">
          <w:rPr>
            <w:rFonts w:cstheme="minorBidi"/>
            <w:b w:val="0"/>
            <w:kern w:val="2"/>
            <w:sz w:val="24"/>
            <w:szCs w:val="24"/>
            <w:lang w:val="en-AU" w:eastAsia="en-AU"/>
            <w14:ligatures w14:val="standardContextual"/>
          </w:rPr>
          <w:tab/>
        </w:r>
        <w:r w:rsidR="00864646" w:rsidRPr="005C06F1">
          <w:rPr>
            <w:rStyle w:val="Hyperlink"/>
          </w:rPr>
          <w:t>New Objectives and Governance</w:t>
        </w:r>
        <w:r w:rsidR="00864646">
          <w:rPr>
            <w:webHidden/>
          </w:rPr>
          <w:tab/>
        </w:r>
        <w:r w:rsidR="00864646">
          <w:rPr>
            <w:webHidden/>
          </w:rPr>
          <w:fldChar w:fldCharType="begin"/>
        </w:r>
        <w:r w:rsidR="00864646">
          <w:rPr>
            <w:webHidden/>
          </w:rPr>
          <w:instrText xml:space="preserve"> PAGEREF _Toc233801486 \h </w:instrText>
        </w:r>
        <w:r w:rsidR="00864646">
          <w:rPr>
            <w:webHidden/>
          </w:rPr>
        </w:r>
        <w:r w:rsidR="00864646">
          <w:rPr>
            <w:webHidden/>
          </w:rPr>
          <w:fldChar w:fldCharType="separate"/>
        </w:r>
        <w:r w:rsidR="00864646">
          <w:rPr>
            <w:webHidden/>
          </w:rPr>
          <w:t>93</w:t>
        </w:r>
        <w:r w:rsidR="00864646">
          <w:rPr>
            <w:webHidden/>
          </w:rPr>
          <w:fldChar w:fldCharType="end"/>
        </w:r>
      </w:hyperlink>
    </w:p>
    <w:p w14:paraId="008F58F4" w14:textId="3817A4A9"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1711B</w:t>
      </w:r>
      <w:hyperlink w:anchor="_Toc233801487" w:history="1">
        <w:r w:rsidR="00864646" w:rsidRPr="005C06F1">
          <w:rPr>
            <w:rStyle w:val="Hyperlink"/>
            <w:noProof/>
          </w:rPr>
          <w:t>5.1 New Shared Objectives</w:t>
        </w:r>
        <w:r w:rsidR="00864646">
          <w:rPr>
            <w:noProof/>
            <w:webHidden/>
          </w:rPr>
          <w:tab/>
        </w:r>
        <w:r w:rsidR="00864646">
          <w:rPr>
            <w:noProof/>
            <w:webHidden/>
          </w:rPr>
          <w:fldChar w:fldCharType="begin"/>
        </w:r>
        <w:r w:rsidR="00864646">
          <w:rPr>
            <w:noProof/>
            <w:webHidden/>
          </w:rPr>
          <w:instrText xml:space="preserve"> PAGEREF _Toc233801487 \h </w:instrText>
        </w:r>
        <w:r w:rsidR="00864646">
          <w:rPr>
            <w:noProof/>
            <w:webHidden/>
          </w:rPr>
        </w:r>
        <w:r w:rsidR="00864646">
          <w:rPr>
            <w:noProof/>
            <w:webHidden/>
          </w:rPr>
          <w:fldChar w:fldCharType="separate"/>
        </w:r>
        <w:r w:rsidR="00864646">
          <w:rPr>
            <w:noProof/>
            <w:webHidden/>
          </w:rPr>
          <w:t>93</w:t>
        </w:r>
        <w:r w:rsidR="00864646">
          <w:rPr>
            <w:noProof/>
            <w:webHidden/>
          </w:rPr>
          <w:fldChar w:fldCharType="end"/>
        </w:r>
      </w:hyperlink>
    </w:p>
    <w:p w14:paraId="16543E11" w14:textId="292629A0"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1712B</w:t>
      </w:r>
      <w:hyperlink w:anchor="_Toc233801488" w:history="1">
        <w:r w:rsidR="00864646" w:rsidRPr="005C06F1">
          <w:rPr>
            <w:rStyle w:val="Hyperlink"/>
            <w:noProof/>
          </w:rPr>
          <w:t>5.2 From objectives to system governance and performance</w:t>
        </w:r>
        <w:r w:rsidR="00864646">
          <w:rPr>
            <w:noProof/>
            <w:webHidden/>
          </w:rPr>
          <w:tab/>
        </w:r>
        <w:r w:rsidR="00864646">
          <w:rPr>
            <w:noProof/>
            <w:webHidden/>
          </w:rPr>
          <w:fldChar w:fldCharType="begin"/>
        </w:r>
        <w:r w:rsidR="00864646">
          <w:rPr>
            <w:noProof/>
            <w:webHidden/>
          </w:rPr>
          <w:instrText xml:space="preserve"> PAGEREF _Toc233801488 \h </w:instrText>
        </w:r>
        <w:r w:rsidR="00864646">
          <w:rPr>
            <w:noProof/>
            <w:webHidden/>
          </w:rPr>
        </w:r>
        <w:r w:rsidR="00864646">
          <w:rPr>
            <w:noProof/>
            <w:webHidden/>
          </w:rPr>
          <w:fldChar w:fldCharType="separate"/>
        </w:r>
        <w:r w:rsidR="00864646">
          <w:rPr>
            <w:noProof/>
            <w:webHidden/>
          </w:rPr>
          <w:t>94</w:t>
        </w:r>
        <w:r w:rsidR="00864646">
          <w:rPr>
            <w:noProof/>
            <w:webHidden/>
          </w:rPr>
          <w:fldChar w:fldCharType="end"/>
        </w:r>
      </w:hyperlink>
    </w:p>
    <w:p w14:paraId="38DDD936" w14:textId="62386922"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1713B</w:t>
      </w:r>
      <w:hyperlink w:anchor="_Toc233801489" w:history="1">
        <w:r w:rsidR="00864646" w:rsidRPr="005C06F1">
          <w:rPr>
            <w:rStyle w:val="Hyperlink"/>
            <w:noProof/>
          </w:rPr>
          <w:t>5.3 Proposed governance framework</w:t>
        </w:r>
        <w:r w:rsidR="00864646">
          <w:rPr>
            <w:noProof/>
            <w:webHidden/>
          </w:rPr>
          <w:tab/>
        </w:r>
        <w:r w:rsidR="00864646">
          <w:rPr>
            <w:noProof/>
            <w:webHidden/>
          </w:rPr>
          <w:fldChar w:fldCharType="begin"/>
        </w:r>
        <w:r w:rsidR="00864646">
          <w:rPr>
            <w:noProof/>
            <w:webHidden/>
          </w:rPr>
          <w:instrText xml:space="preserve"> PAGEREF _Toc233801489 \h </w:instrText>
        </w:r>
        <w:r w:rsidR="00864646">
          <w:rPr>
            <w:noProof/>
            <w:webHidden/>
          </w:rPr>
        </w:r>
        <w:r w:rsidR="00864646">
          <w:rPr>
            <w:noProof/>
            <w:webHidden/>
          </w:rPr>
          <w:fldChar w:fldCharType="separate"/>
        </w:r>
        <w:r w:rsidR="00864646">
          <w:rPr>
            <w:noProof/>
            <w:webHidden/>
          </w:rPr>
          <w:t>97</w:t>
        </w:r>
        <w:r w:rsidR="00864646">
          <w:rPr>
            <w:noProof/>
            <w:webHidden/>
          </w:rPr>
          <w:fldChar w:fldCharType="end"/>
        </w:r>
      </w:hyperlink>
    </w:p>
    <w:p w14:paraId="31E2B317" w14:textId="3C77FD2D"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1681B</w:t>
      </w:r>
      <w:hyperlink w:anchor="_Toc233801490" w:history="1">
        <w:r w:rsidR="00864646" w:rsidRPr="005C06F1">
          <w:rPr>
            <w:rStyle w:val="Hyperlink"/>
          </w:rPr>
          <w:t>6.</w:t>
        </w:r>
        <w:r w:rsidR="00864646">
          <w:rPr>
            <w:rFonts w:cstheme="minorBidi"/>
            <w:b w:val="0"/>
            <w:kern w:val="2"/>
            <w:sz w:val="24"/>
            <w:szCs w:val="24"/>
            <w:lang w:val="en-AU" w:eastAsia="en-AU"/>
            <w14:ligatures w14:val="standardContextual"/>
          </w:rPr>
          <w:tab/>
        </w:r>
        <w:r w:rsidR="00864646" w:rsidRPr="005C06F1">
          <w:rPr>
            <w:rStyle w:val="Hyperlink"/>
          </w:rPr>
          <w:t>System integration and enabling elements</w:t>
        </w:r>
        <w:r w:rsidR="00864646">
          <w:rPr>
            <w:webHidden/>
          </w:rPr>
          <w:tab/>
        </w:r>
        <w:r w:rsidR="00864646">
          <w:rPr>
            <w:webHidden/>
          </w:rPr>
          <w:fldChar w:fldCharType="begin"/>
        </w:r>
        <w:r w:rsidR="00864646">
          <w:rPr>
            <w:webHidden/>
          </w:rPr>
          <w:instrText xml:space="preserve"> PAGEREF _Toc233801490 \h </w:instrText>
        </w:r>
        <w:r w:rsidR="00864646">
          <w:rPr>
            <w:webHidden/>
          </w:rPr>
        </w:r>
        <w:r w:rsidR="00864646">
          <w:rPr>
            <w:webHidden/>
          </w:rPr>
          <w:fldChar w:fldCharType="separate"/>
        </w:r>
        <w:r w:rsidR="00864646">
          <w:rPr>
            <w:webHidden/>
          </w:rPr>
          <w:t>109</w:t>
        </w:r>
        <w:r w:rsidR="00864646">
          <w:rPr>
            <w:webHidden/>
          </w:rPr>
          <w:fldChar w:fldCharType="end"/>
        </w:r>
      </w:hyperlink>
    </w:p>
    <w:p w14:paraId="60FD39A4" w14:textId="4AE48966"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1714B</w:t>
      </w:r>
      <w:hyperlink w:anchor="_Toc233801491" w:history="1">
        <w:r w:rsidR="00864646" w:rsidRPr="005C06F1">
          <w:rPr>
            <w:rStyle w:val="Hyperlink"/>
            <w:noProof/>
          </w:rPr>
          <w:t>6.1 First Nations Participation</w:t>
        </w:r>
        <w:r w:rsidR="00864646">
          <w:rPr>
            <w:noProof/>
            <w:webHidden/>
          </w:rPr>
          <w:tab/>
        </w:r>
        <w:r w:rsidR="00864646">
          <w:rPr>
            <w:noProof/>
            <w:webHidden/>
          </w:rPr>
          <w:fldChar w:fldCharType="begin"/>
        </w:r>
        <w:r w:rsidR="00864646">
          <w:rPr>
            <w:noProof/>
            <w:webHidden/>
          </w:rPr>
          <w:instrText xml:space="preserve"> PAGEREF _Toc233801491 \h </w:instrText>
        </w:r>
        <w:r w:rsidR="00864646">
          <w:rPr>
            <w:noProof/>
            <w:webHidden/>
          </w:rPr>
        </w:r>
        <w:r w:rsidR="00864646">
          <w:rPr>
            <w:noProof/>
            <w:webHidden/>
          </w:rPr>
          <w:fldChar w:fldCharType="separate"/>
        </w:r>
        <w:r w:rsidR="00864646">
          <w:rPr>
            <w:noProof/>
            <w:webHidden/>
          </w:rPr>
          <w:t>111</w:t>
        </w:r>
        <w:r w:rsidR="00864646">
          <w:rPr>
            <w:noProof/>
            <w:webHidden/>
          </w:rPr>
          <w:fldChar w:fldCharType="end"/>
        </w:r>
      </w:hyperlink>
    </w:p>
    <w:p w14:paraId="6D9942EF" w14:textId="7DE164CA"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1715B</w:t>
      </w:r>
      <w:hyperlink w:anchor="_Toc233801492" w:history="1">
        <w:r w:rsidR="00864646" w:rsidRPr="005C06F1">
          <w:rPr>
            <w:rStyle w:val="Hyperlink"/>
            <w:noProof/>
          </w:rPr>
          <w:t>6.2 Community Stewardship</w:t>
        </w:r>
        <w:r w:rsidR="00864646">
          <w:rPr>
            <w:noProof/>
            <w:webHidden/>
          </w:rPr>
          <w:tab/>
        </w:r>
        <w:r w:rsidR="00864646">
          <w:rPr>
            <w:noProof/>
            <w:webHidden/>
          </w:rPr>
          <w:fldChar w:fldCharType="begin"/>
        </w:r>
        <w:r w:rsidR="00864646">
          <w:rPr>
            <w:noProof/>
            <w:webHidden/>
          </w:rPr>
          <w:instrText xml:space="preserve"> PAGEREF _Toc233801492 \h </w:instrText>
        </w:r>
        <w:r w:rsidR="00864646">
          <w:rPr>
            <w:noProof/>
            <w:webHidden/>
          </w:rPr>
        </w:r>
        <w:r w:rsidR="00864646">
          <w:rPr>
            <w:noProof/>
            <w:webHidden/>
          </w:rPr>
          <w:fldChar w:fldCharType="separate"/>
        </w:r>
        <w:r w:rsidR="00864646">
          <w:rPr>
            <w:noProof/>
            <w:webHidden/>
          </w:rPr>
          <w:t>116</w:t>
        </w:r>
        <w:r w:rsidR="00864646">
          <w:rPr>
            <w:noProof/>
            <w:webHidden/>
          </w:rPr>
          <w:fldChar w:fldCharType="end"/>
        </w:r>
      </w:hyperlink>
    </w:p>
    <w:p w14:paraId="2BA9BC6B" w14:textId="1B49EBA2"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1716B</w:t>
      </w:r>
      <w:hyperlink w:anchor="_Toc233801493" w:history="1">
        <w:r w:rsidR="00864646" w:rsidRPr="005C06F1">
          <w:rPr>
            <w:rStyle w:val="Hyperlink"/>
            <w:noProof/>
          </w:rPr>
          <w:t>6.3 Whole of System Planning</w:t>
        </w:r>
        <w:r w:rsidR="00864646">
          <w:rPr>
            <w:noProof/>
            <w:webHidden/>
          </w:rPr>
          <w:tab/>
        </w:r>
        <w:r w:rsidR="00864646">
          <w:rPr>
            <w:noProof/>
            <w:webHidden/>
          </w:rPr>
          <w:fldChar w:fldCharType="begin"/>
        </w:r>
        <w:r w:rsidR="00864646">
          <w:rPr>
            <w:noProof/>
            <w:webHidden/>
          </w:rPr>
          <w:instrText xml:space="preserve"> PAGEREF _Toc233801493 \h </w:instrText>
        </w:r>
        <w:r w:rsidR="00864646">
          <w:rPr>
            <w:noProof/>
            <w:webHidden/>
          </w:rPr>
        </w:r>
        <w:r w:rsidR="00864646">
          <w:rPr>
            <w:noProof/>
            <w:webHidden/>
          </w:rPr>
          <w:fldChar w:fldCharType="separate"/>
        </w:r>
        <w:r w:rsidR="00864646">
          <w:rPr>
            <w:noProof/>
            <w:webHidden/>
          </w:rPr>
          <w:t>117</w:t>
        </w:r>
        <w:r w:rsidR="00864646">
          <w:rPr>
            <w:noProof/>
            <w:webHidden/>
          </w:rPr>
          <w:fldChar w:fldCharType="end"/>
        </w:r>
      </w:hyperlink>
    </w:p>
    <w:p w14:paraId="29AE166F" w14:textId="1043FCE7"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1717B</w:t>
      </w:r>
      <w:hyperlink w:anchor="_Toc233801494" w:history="1">
        <w:r w:rsidR="00864646" w:rsidRPr="005C06F1">
          <w:rPr>
            <w:rStyle w:val="Hyperlink"/>
            <w:noProof/>
          </w:rPr>
          <w:t>6.4 Linkages to operations in the National Electricity Market</w:t>
        </w:r>
        <w:r w:rsidR="00864646">
          <w:rPr>
            <w:noProof/>
            <w:webHidden/>
          </w:rPr>
          <w:tab/>
        </w:r>
        <w:r w:rsidR="00864646">
          <w:rPr>
            <w:noProof/>
            <w:webHidden/>
          </w:rPr>
          <w:fldChar w:fldCharType="begin"/>
        </w:r>
        <w:r w:rsidR="00864646">
          <w:rPr>
            <w:noProof/>
            <w:webHidden/>
          </w:rPr>
          <w:instrText xml:space="preserve"> PAGEREF _Toc233801494 \h </w:instrText>
        </w:r>
        <w:r w:rsidR="00864646">
          <w:rPr>
            <w:noProof/>
            <w:webHidden/>
          </w:rPr>
        </w:r>
        <w:r w:rsidR="00864646">
          <w:rPr>
            <w:noProof/>
            <w:webHidden/>
          </w:rPr>
          <w:fldChar w:fldCharType="separate"/>
        </w:r>
        <w:r w:rsidR="00864646">
          <w:rPr>
            <w:noProof/>
            <w:webHidden/>
          </w:rPr>
          <w:t>123</w:t>
        </w:r>
        <w:r w:rsidR="00864646">
          <w:rPr>
            <w:noProof/>
            <w:webHidden/>
          </w:rPr>
          <w:fldChar w:fldCharType="end"/>
        </w:r>
      </w:hyperlink>
    </w:p>
    <w:p w14:paraId="169F77B2" w14:textId="0633E77B"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1718B</w:t>
      </w:r>
      <w:hyperlink w:anchor="_Toc233801495" w:history="1">
        <w:r w:rsidR="00864646" w:rsidRPr="005C06F1">
          <w:rPr>
            <w:rStyle w:val="Hyperlink"/>
            <w:noProof/>
          </w:rPr>
          <w:t>6.5 Catchment health and complementary water-land management</w:t>
        </w:r>
        <w:r w:rsidR="00864646">
          <w:rPr>
            <w:noProof/>
            <w:webHidden/>
          </w:rPr>
          <w:tab/>
        </w:r>
        <w:r w:rsidR="00864646">
          <w:rPr>
            <w:noProof/>
            <w:webHidden/>
          </w:rPr>
          <w:fldChar w:fldCharType="begin"/>
        </w:r>
        <w:r w:rsidR="00864646">
          <w:rPr>
            <w:noProof/>
            <w:webHidden/>
          </w:rPr>
          <w:instrText xml:space="preserve"> PAGEREF _Toc233801495 \h </w:instrText>
        </w:r>
        <w:r w:rsidR="00864646">
          <w:rPr>
            <w:noProof/>
            <w:webHidden/>
          </w:rPr>
        </w:r>
        <w:r w:rsidR="00864646">
          <w:rPr>
            <w:noProof/>
            <w:webHidden/>
          </w:rPr>
          <w:fldChar w:fldCharType="separate"/>
        </w:r>
        <w:r w:rsidR="00864646">
          <w:rPr>
            <w:noProof/>
            <w:webHidden/>
          </w:rPr>
          <w:t>124</w:t>
        </w:r>
        <w:r w:rsidR="00864646">
          <w:rPr>
            <w:noProof/>
            <w:webHidden/>
          </w:rPr>
          <w:fldChar w:fldCharType="end"/>
        </w:r>
      </w:hyperlink>
    </w:p>
    <w:p w14:paraId="7EBF9332" w14:textId="42B71F2D"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1719B</w:t>
      </w:r>
      <w:hyperlink w:anchor="_Toc233801496" w:history="1">
        <w:r w:rsidR="00864646" w:rsidRPr="005C06F1">
          <w:rPr>
            <w:rStyle w:val="Hyperlink"/>
            <w:noProof/>
          </w:rPr>
          <w:t>6.6 Revised compensation arrangements</w:t>
        </w:r>
        <w:r w:rsidR="00864646">
          <w:rPr>
            <w:noProof/>
            <w:webHidden/>
          </w:rPr>
          <w:tab/>
        </w:r>
        <w:r w:rsidR="00864646">
          <w:rPr>
            <w:noProof/>
            <w:webHidden/>
          </w:rPr>
          <w:fldChar w:fldCharType="begin"/>
        </w:r>
        <w:r w:rsidR="00864646">
          <w:rPr>
            <w:noProof/>
            <w:webHidden/>
          </w:rPr>
          <w:instrText xml:space="preserve"> PAGEREF _Toc233801496 \h </w:instrText>
        </w:r>
        <w:r w:rsidR="00864646">
          <w:rPr>
            <w:noProof/>
            <w:webHidden/>
          </w:rPr>
        </w:r>
        <w:r w:rsidR="00864646">
          <w:rPr>
            <w:noProof/>
            <w:webHidden/>
          </w:rPr>
          <w:fldChar w:fldCharType="separate"/>
        </w:r>
        <w:r w:rsidR="00864646">
          <w:rPr>
            <w:noProof/>
            <w:webHidden/>
          </w:rPr>
          <w:t>126</w:t>
        </w:r>
        <w:r w:rsidR="00864646">
          <w:rPr>
            <w:noProof/>
            <w:webHidden/>
          </w:rPr>
          <w:fldChar w:fldCharType="end"/>
        </w:r>
      </w:hyperlink>
    </w:p>
    <w:p w14:paraId="167ED376" w14:textId="7FCBA648"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1720B</w:t>
      </w:r>
      <w:hyperlink w:anchor="_Toc233801497" w:history="1">
        <w:r w:rsidR="00864646" w:rsidRPr="005C06F1">
          <w:rPr>
            <w:rStyle w:val="Hyperlink"/>
            <w:noProof/>
          </w:rPr>
          <w:t>6.7 Conclusion</w:t>
        </w:r>
        <w:r w:rsidR="00864646">
          <w:rPr>
            <w:noProof/>
            <w:webHidden/>
          </w:rPr>
          <w:tab/>
        </w:r>
        <w:r w:rsidR="00864646">
          <w:rPr>
            <w:noProof/>
            <w:webHidden/>
          </w:rPr>
          <w:fldChar w:fldCharType="begin"/>
        </w:r>
        <w:r w:rsidR="00864646">
          <w:rPr>
            <w:noProof/>
            <w:webHidden/>
          </w:rPr>
          <w:instrText xml:space="preserve"> PAGEREF _Toc233801497 \h </w:instrText>
        </w:r>
        <w:r w:rsidR="00864646">
          <w:rPr>
            <w:noProof/>
            <w:webHidden/>
          </w:rPr>
        </w:r>
        <w:r w:rsidR="00864646">
          <w:rPr>
            <w:noProof/>
            <w:webHidden/>
          </w:rPr>
          <w:fldChar w:fldCharType="separate"/>
        </w:r>
        <w:r w:rsidR="00864646">
          <w:rPr>
            <w:noProof/>
            <w:webHidden/>
          </w:rPr>
          <w:t>128</w:t>
        </w:r>
        <w:r w:rsidR="00864646">
          <w:rPr>
            <w:noProof/>
            <w:webHidden/>
          </w:rPr>
          <w:fldChar w:fldCharType="end"/>
        </w:r>
      </w:hyperlink>
    </w:p>
    <w:p w14:paraId="1A8317BB" w14:textId="400E4DCE"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1682B</w:t>
      </w:r>
      <w:hyperlink w:anchor="_Toc233801498" w:history="1">
        <w:r w:rsidR="00864646" w:rsidRPr="005C06F1">
          <w:rPr>
            <w:rStyle w:val="Hyperlink"/>
          </w:rPr>
          <w:t>7.</w:t>
        </w:r>
        <w:r w:rsidR="00864646">
          <w:rPr>
            <w:rFonts w:cstheme="minorBidi"/>
            <w:b w:val="0"/>
            <w:kern w:val="2"/>
            <w:sz w:val="24"/>
            <w:szCs w:val="24"/>
            <w:lang w:val="en-AU" w:eastAsia="en-AU"/>
            <w14:ligatures w14:val="standardContextual"/>
          </w:rPr>
          <w:tab/>
        </w:r>
        <w:r w:rsidR="00864646" w:rsidRPr="005C06F1">
          <w:rPr>
            <w:rStyle w:val="Hyperlink"/>
          </w:rPr>
          <w:t>Funding and Investment Framework</w:t>
        </w:r>
        <w:r w:rsidR="00864646">
          <w:rPr>
            <w:webHidden/>
          </w:rPr>
          <w:tab/>
        </w:r>
        <w:r w:rsidR="00864646">
          <w:rPr>
            <w:webHidden/>
          </w:rPr>
          <w:fldChar w:fldCharType="begin"/>
        </w:r>
        <w:r w:rsidR="00864646">
          <w:rPr>
            <w:webHidden/>
          </w:rPr>
          <w:instrText xml:space="preserve"> PAGEREF _Toc233801498 \h </w:instrText>
        </w:r>
        <w:r w:rsidR="00864646">
          <w:rPr>
            <w:webHidden/>
          </w:rPr>
        </w:r>
        <w:r w:rsidR="00864646">
          <w:rPr>
            <w:webHidden/>
          </w:rPr>
          <w:fldChar w:fldCharType="separate"/>
        </w:r>
        <w:r w:rsidR="00864646">
          <w:rPr>
            <w:webHidden/>
          </w:rPr>
          <w:t>129</w:t>
        </w:r>
        <w:r w:rsidR="00864646">
          <w:rPr>
            <w:webHidden/>
          </w:rPr>
          <w:fldChar w:fldCharType="end"/>
        </w:r>
      </w:hyperlink>
    </w:p>
    <w:p w14:paraId="32322DD0" w14:textId="448BBE3F"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1721B</w:t>
      </w:r>
      <w:hyperlink w:anchor="_Toc233801499" w:history="1">
        <w:r w:rsidR="00864646" w:rsidRPr="005C06F1">
          <w:rPr>
            <w:rStyle w:val="Hyperlink"/>
            <w:noProof/>
          </w:rPr>
          <w:t>7.1 What requires funding</w:t>
        </w:r>
        <w:r w:rsidR="00864646">
          <w:rPr>
            <w:noProof/>
            <w:webHidden/>
          </w:rPr>
          <w:tab/>
        </w:r>
        <w:r w:rsidR="00864646">
          <w:rPr>
            <w:noProof/>
            <w:webHidden/>
          </w:rPr>
          <w:fldChar w:fldCharType="begin"/>
        </w:r>
        <w:r w:rsidR="00864646">
          <w:rPr>
            <w:noProof/>
            <w:webHidden/>
          </w:rPr>
          <w:instrText xml:space="preserve"> PAGEREF _Toc233801499 \h </w:instrText>
        </w:r>
        <w:r w:rsidR="00864646">
          <w:rPr>
            <w:noProof/>
            <w:webHidden/>
          </w:rPr>
        </w:r>
        <w:r w:rsidR="00864646">
          <w:rPr>
            <w:noProof/>
            <w:webHidden/>
          </w:rPr>
          <w:fldChar w:fldCharType="separate"/>
        </w:r>
        <w:r w:rsidR="00864646">
          <w:rPr>
            <w:noProof/>
            <w:webHidden/>
          </w:rPr>
          <w:t>129</w:t>
        </w:r>
        <w:r w:rsidR="00864646">
          <w:rPr>
            <w:noProof/>
            <w:webHidden/>
          </w:rPr>
          <w:fldChar w:fldCharType="end"/>
        </w:r>
      </w:hyperlink>
    </w:p>
    <w:p w14:paraId="4A1445FA" w14:textId="567E40E0"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1722B</w:t>
      </w:r>
      <w:hyperlink w:anchor="_Toc233801500" w:history="1">
        <w:r w:rsidR="00864646" w:rsidRPr="005C06F1">
          <w:rPr>
            <w:rStyle w:val="Hyperlink"/>
            <w:noProof/>
          </w:rPr>
          <w:t>7.2 Current funding context</w:t>
        </w:r>
        <w:r w:rsidR="00864646">
          <w:rPr>
            <w:noProof/>
            <w:webHidden/>
          </w:rPr>
          <w:tab/>
        </w:r>
        <w:r w:rsidR="00864646">
          <w:rPr>
            <w:noProof/>
            <w:webHidden/>
          </w:rPr>
          <w:fldChar w:fldCharType="begin"/>
        </w:r>
        <w:r w:rsidR="00864646">
          <w:rPr>
            <w:noProof/>
            <w:webHidden/>
          </w:rPr>
          <w:instrText xml:space="preserve"> PAGEREF _Toc233801500 \h </w:instrText>
        </w:r>
        <w:r w:rsidR="00864646">
          <w:rPr>
            <w:noProof/>
            <w:webHidden/>
          </w:rPr>
        </w:r>
        <w:r w:rsidR="00864646">
          <w:rPr>
            <w:noProof/>
            <w:webHidden/>
          </w:rPr>
          <w:fldChar w:fldCharType="separate"/>
        </w:r>
        <w:r w:rsidR="00864646">
          <w:rPr>
            <w:noProof/>
            <w:webHidden/>
          </w:rPr>
          <w:t>129</w:t>
        </w:r>
        <w:r w:rsidR="00864646">
          <w:rPr>
            <w:noProof/>
            <w:webHidden/>
          </w:rPr>
          <w:fldChar w:fldCharType="end"/>
        </w:r>
      </w:hyperlink>
    </w:p>
    <w:p w14:paraId="06CD5141" w14:textId="7CB2128A"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1723B</w:t>
      </w:r>
      <w:hyperlink w:anchor="_Toc233801501" w:history="1">
        <w:r w:rsidR="00864646" w:rsidRPr="005C06F1">
          <w:rPr>
            <w:rStyle w:val="Hyperlink"/>
            <w:noProof/>
          </w:rPr>
          <w:t>7.3 Stakeholder perspectives</w:t>
        </w:r>
        <w:r w:rsidR="00864646">
          <w:rPr>
            <w:noProof/>
            <w:webHidden/>
          </w:rPr>
          <w:tab/>
        </w:r>
        <w:r w:rsidR="00864646">
          <w:rPr>
            <w:noProof/>
            <w:webHidden/>
          </w:rPr>
          <w:fldChar w:fldCharType="begin"/>
        </w:r>
        <w:r w:rsidR="00864646">
          <w:rPr>
            <w:noProof/>
            <w:webHidden/>
          </w:rPr>
          <w:instrText xml:space="preserve"> PAGEREF _Toc233801501 \h </w:instrText>
        </w:r>
        <w:r w:rsidR="00864646">
          <w:rPr>
            <w:noProof/>
            <w:webHidden/>
          </w:rPr>
        </w:r>
        <w:r w:rsidR="00864646">
          <w:rPr>
            <w:noProof/>
            <w:webHidden/>
          </w:rPr>
          <w:fldChar w:fldCharType="separate"/>
        </w:r>
        <w:r w:rsidR="00864646">
          <w:rPr>
            <w:noProof/>
            <w:webHidden/>
          </w:rPr>
          <w:t>130</w:t>
        </w:r>
        <w:r w:rsidR="00864646">
          <w:rPr>
            <w:noProof/>
            <w:webHidden/>
          </w:rPr>
          <w:fldChar w:fldCharType="end"/>
        </w:r>
      </w:hyperlink>
    </w:p>
    <w:p w14:paraId="0DB2DE64" w14:textId="68CF8870"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1724B</w:t>
      </w:r>
      <w:hyperlink w:anchor="_Toc233801502" w:history="1">
        <w:r w:rsidR="00864646" w:rsidRPr="005C06F1">
          <w:rPr>
            <w:rStyle w:val="Hyperlink"/>
            <w:rFonts w:eastAsia="Times New Roman"/>
            <w:noProof/>
            <w:lang w:eastAsia="en-AU"/>
          </w:rPr>
          <w:t>7.4 Funding challenges</w:t>
        </w:r>
        <w:r w:rsidR="00864646">
          <w:rPr>
            <w:noProof/>
            <w:webHidden/>
          </w:rPr>
          <w:tab/>
        </w:r>
        <w:r w:rsidR="00864646">
          <w:rPr>
            <w:noProof/>
            <w:webHidden/>
          </w:rPr>
          <w:fldChar w:fldCharType="begin"/>
        </w:r>
        <w:r w:rsidR="00864646">
          <w:rPr>
            <w:noProof/>
            <w:webHidden/>
          </w:rPr>
          <w:instrText xml:space="preserve"> PAGEREF _Toc233801502 \h </w:instrText>
        </w:r>
        <w:r w:rsidR="00864646">
          <w:rPr>
            <w:noProof/>
            <w:webHidden/>
          </w:rPr>
        </w:r>
        <w:r w:rsidR="00864646">
          <w:rPr>
            <w:noProof/>
            <w:webHidden/>
          </w:rPr>
          <w:fldChar w:fldCharType="separate"/>
        </w:r>
        <w:r w:rsidR="00864646">
          <w:rPr>
            <w:noProof/>
            <w:webHidden/>
          </w:rPr>
          <w:t>130</w:t>
        </w:r>
        <w:r w:rsidR="00864646">
          <w:rPr>
            <w:noProof/>
            <w:webHidden/>
          </w:rPr>
          <w:fldChar w:fldCharType="end"/>
        </w:r>
      </w:hyperlink>
    </w:p>
    <w:p w14:paraId="220A6983" w14:textId="36E77711"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1725B</w:t>
      </w:r>
      <w:hyperlink w:anchor="_Toc233801503" w:history="1">
        <w:r w:rsidR="00864646" w:rsidRPr="005C06F1">
          <w:rPr>
            <w:rStyle w:val="Hyperlink"/>
            <w:rFonts w:eastAsia="Times New Roman"/>
            <w:noProof/>
            <w:lang w:eastAsia="en-AU"/>
          </w:rPr>
          <w:t>7.5 Principles for funding design</w:t>
        </w:r>
        <w:r w:rsidR="00864646">
          <w:rPr>
            <w:noProof/>
            <w:webHidden/>
          </w:rPr>
          <w:tab/>
        </w:r>
        <w:r w:rsidR="00864646">
          <w:rPr>
            <w:noProof/>
            <w:webHidden/>
          </w:rPr>
          <w:fldChar w:fldCharType="begin"/>
        </w:r>
        <w:r w:rsidR="00864646">
          <w:rPr>
            <w:noProof/>
            <w:webHidden/>
          </w:rPr>
          <w:instrText xml:space="preserve"> PAGEREF _Toc233801503 \h </w:instrText>
        </w:r>
        <w:r w:rsidR="00864646">
          <w:rPr>
            <w:noProof/>
            <w:webHidden/>
          </w:rPr>
        </w:r>
        <w:r w:rsidR="00864646">
          <w:rPr>
            <w:noProof/>
            <w:webHidden/>
          </w:rPr>
          <w:fldChar w:fldCharType="separate"/>
        </w:r>
        <w:r w:rsidR="00864646">
          <w:rPr>
            <w:noProof/>
            <w:webHidden/>
          </w:rPr>
          <w:t>130</w:t>
        </w:r>
        <w:r w:rsidR="00864646">
          <w:rPr>
            <w:noProof/>
            <w:webHidden/>
          </w:rPr>
          <w:fldChar w:fldCharType="end"/>
        </w:r>
      </w:hyperlink>
    </w:p>
    <w:p w14:paraId="047E8F80" w14:textId="4B0C6E12"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1726B</w:t>
      </w:r>
      <w:hyperlink w:anchor="_Toc233801504" w:history="1">
        <w:r w:rsidR="00864646" w:rsidRPr="005C06F1">
          <w:rPr>
            <w:rStyle w:val="Hyperlink"/>
            <w:rFonts w:eastAsia="Times New Roman"/>
            <w:noProof/>
            <w:lang w:eastAsia="en-AU"/>
          </w:rPr>
          <w:t>7.6 Recommended funding approach</w:t>
        </w:r>
        <w:r w:rsidR="00864646">
          <w:rPr>
            <w:noProof/>
            <w:webHidden/>
          </w:rPr>
          <w:tab/>
        </w:r>
        <w:r w:rsidR="00864646">
          <w:rPr>
            <w:noProof/>
            <w:webHidden/>
          </w:rPr>
          <w:fldChar w:fldCharType="begin"/>
        </w:r>
        <w:r w:rsidR="00864646">
          <w:rPr>
            <w:noProof/>
            <w:webHidden/>
          </w:rPr>
          <w:instrText xml:space="preserve"> PAGEREF _Toc233801504 \h </w:instrText>
        </w:r>
        <w:r w:rsidR="00864646">
          <w:rPr>
            <w:noProof/>
            <w:webHidden/>
          </w:rPr>
        </w:r>
        <w:r w:rsidR="00864646">
          <w:rPr>
            <w:noProof/>
            <w:webHidden/>
          </w:rPr>
          <w:fldChar w:fldCharType="separate"/>
        </w:r>
        <w:r w:rsidR="00864646">
          <w:rPr>
            <w:noProof/>
            <w:webHidden/>
          </w:rPr>
          <w:t>131</w:t>
        </w:r>
        <w:r w:rsidR="00864646">
          <w:rPr>
            <w:noProof/>
            <w:webHidden/>
          </w:rPr>
          <w:fldChar w:fldCharType="end"/>
        </w:r>
      </w:hyperlink>
    </w:p>
    <w:p w14:paraId="0653CADD" w14:textId="36894442"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1727B</w:t>
      </w:r>
      <w:hyperlink w:anchor="_Toc233801505" w:history="1">
        <w:r w:rsidR="00864646" w:rsidRPr="005C06F1">
          <w:rPr>
            <w:rStyle w:val="Hyperlink"/>
            <w:rFonts w:eastAsia="Times New Roman"/>
            <w:noProof/>
            <w:lang w:eastAsia="en-AU"/>
          </w:rPr>
          <w:t>7.7 Transitional funding arrangements</w:t>
        </w:r>
        <w:r w:rsidR="00864646">
          <w:rPr>
            <w:noProof/>
            <w:webHidden/>
          </w:rPr>
          <w:tab/>
        </w:r>
        <w:r w:rsidR="00864646">
          <w:rPr>
            <w:noProof/>
            <w:webHidden/>
          </w:rPr>
          <w:fldChar w:fldCharType="begin"/>
        </w:r>
        <w:r w:rsidR="00864646">
          <w:rPr>
            <w:noProof/>
            <w:webHidden/>
          </w:rPr>
          <w:instrText xml:space="preserve"> PAGEREF _Toc233801505 \h </w:instrText>
        </w:r>
        <w:r w:rsidR="00864646">
          <w:rPr>
            <w:noProof/>
            <w:webHidden/>
          </w:rPr>
        </w:r>
        <w:r w:rsidR="00864646">
          <w:rPr>
            <w:noProof/>
            <w:webHidden/>
          </w:rPr>
          <w:fldChar w:fldCharType="separate"/>
        </w:r>
        <w:r w:rsidR="00864646">
          <w:rPr>
            <w:noProof/>
            <w:webHidden/>
          </w:rPr>
          <w:t>135</w:t>
        </w:r>
        <w:r w:rsidR="00864646">
          <w:rPr>
            <w:noProof/>
            <w:webHidden/>
          </w:rPr>
          <w:fldChar w:fldCharType="end"/>
        </w:r>
      </w:hyperlink>
    </w:p>
    <w:p w14:paraId="579A3DF3" w14:textId="09A5BE7C"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1728B</w:t>
      </w:r>
      <w:hyperlink w:anchor="_Toc233801506" w:history="1">
        <w:r w:rsidR="00864646" w:rsidRPr="005C06F1">
          <w:rPr>
            <w:rStyle w:val="Hyperlink"/>
            <w:rFonts w:eastAsia="Times New Roman"/>
            <w:noProof/>
          </w:rPr>
          <w:t>7.8 Panel conclusions on funding</w:t>
        </w:r>
        <w:r w:rsidR="00864646">
          <w:rPr>
            <w:noProof/>
            <w:webHidden/>
          </w:rPr>
          <w:tab/>
        </w:r>
        <w:r w:rsidR="00864646">
          <w:rPr>
            <w:noProof/>
            <w:webHidden/>
          </w:rPr>
          <w:fldChar w:fldCharType="begin"/>
        </w:r>
        <w:r w:rsidR="00864646">
          <w:rPr>
            <w:noProof/>
            <w:webHidden/>
          </w:rPr>
          <w:instrText xml:space="preserve"> PAGEREF _Toc233801506 \h </w:instrText>
        </w:r>
        <w:r w:rsidR="00864646">
          <w:rPr>
            <w:noProof/>
            <w:webHidden/>
          </w:rPr>
        </w:r>
        <w:r w:rsidR="00864646">
          <w:rPr>
            <w:noProof/>
            <w:webHidden/>
          </w:rPr>
          <w:fldChar w:fldCharType="separate"/>
        </w:r>
        <w:r w:rsidR="00864646">
          <w:rPr>
            <w:noProof/>
            <w:webHidden/>
          </w:rPr>
          <w:t>138</w:t>
        </w:r>
        <w:r w:rsidR="00864646">
          <w:rPr>
            <w:noProof/>
            <w:webHidden/>
          </w:rPr>
          <w:fldChar w:fldCharType="end"/>
        </w:r>
      </w:hyperlink>
    </w:p>
    <w:p w14:paraId="53477FEC" w14:textId="1D420AD1" w:rsidR="00864646" w:rsidRDefault="00382EE8">
      <w:pPr>
        <w:pStyle w:val="TOC1"/>
        <w:tabs>
          <w:tab w:val="left" w:pos="440"/>
        </w:tabs>
        <w:rPr>
          <w:rFonts w:cstheme="minorBidi"/>
          <w:b w:val="0"/>
          <w:kern w:val="2"/>
          <w:sz w:val="24"/>
          <w:szCs w:val="24"/>
          <w:lang w:val="en-AU" w:eastAsia="en-AU"/>
          <w14:ligatures w14:val="standardContextual"/>
        </w:rPr>
      </w:pPr>
      <w:r>
        <w:rPr>
          <w:rFonts w:ascii="ZWAdobeF" w:hAnsi="ZWAdobeF" w:cs="ZWAdobeF"/>
          <w:b w:val="0"/>
          <w:sz w:val="2"/>
          <w:szCs w:val="2"/>
        </w:rPr>
        <w:t>1683B</w:t>
      </w:r>
      <w:hyperlink w:anchor="_Toc233801507" w:history="1">
        <w:r w:rsidR="00864646" w:rsidRPr="005C06F1">
          <w:rPr>
            <w:rStyle w:val="Hyperlink"/>
          </w:rPr>
          <w:t>8.</w:t>
        </w:r>
        <w:r w:rsidR="00864646">
          <w:rPr>
            <w:rFonts w:cstheme="minorBidi"/>
            <w:b w:val="0"/>
            <w:kern w:val="2"/>
            <w:sz w:val="24"/>
            <w:szCs w:val="24"/>
            <w:lang w:val="en-AU" w:eastAsia="en-AU"/>
            <w14:ligatures w14:val="standardContextual"/>
          </w:rPr>
          <w:tab/>
        </w:r>
        <w:r w:rsidR="00864646" w:rsidRPr="005C06F1">
          <w:rPr>
            <w:rStyle w:val="Hyperlink"/>
          </w:rPr>
          <w:t>Implementation Roadmap</w:t>
        </w:r>
        <w:r w:rsidR="00864646">
          <w:rPr>
            <w:webHidden/>
          </w:rPr>
          <w:tab/>
        </w:r>
        <w:r w:rsidR="00864646">
          <w:rPr>
            <w:webHidden/>
          </w:rPr>
          <w:fldChar w:fldCharType="begin"/>
        </w:r>
        <w:r w:rsidR="00864646">
          <w:rPr>
            <w:webHidden/>
          </w:rPr>
          <w:instrText xml:space="preserve"> PAGEREF _Toc233801507 \h </w:instrText>
        </w:r>
        <w:r w:rsidR="00864646">
          <w:rPr>
            <w:webHidden/>
          </w:rPr>
        </w:r>
        <w:r w:rsidR="00864646">
          <w:rPr>
            <w:webHidden/>
          </w:rPr>
          <w:fldChar w:fldCharType="separate"/>
        </w:r>
        <w:r w:rsidR="00864646">
          <w:rPr>
            <w:webHidden/>
          </w:rPr>
          <w:t>139</w:t>
        </w:r>
        <w:r w:rsidR="00864646">
          <w:rPr>
            <w:webHidden/>
          </w:rPr>
          <w:fldChar w:fldCharType="end"/>
        </w:r>
      </w:hyperlink>
    </w:p>
    <w:p w14:paraId="7903691B" w14:textId="722F57A3"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1729B</w:t>
      </w:r>
      <w:hyperlink w:anchor="_Toc233801508" w:history="1">
        <w:r w:rsidR="00864646" w:rsidRPr="005C06F1">
          <w:rPr>
            <w:rStyle w:val="Hyperlink"/>
            <w:noProof/>
          </w:rPr>
          <w:t>8.1 Implementation at a glance</w:t>
        </w:r>
        <w:r w:rsidR="00864646">
          <w:rPr>
            <w:noProof/>
            <w:webHidden/>
          </w:rPr>
          <w:tab/>
        </w:r>
        <w:r w:rsidR="00864646">
          <w:rPr>
            <w:noProof/>
            <w:webHidden/>
          </w:rPr>
          <w:fldChar w:fldCharType="begin"/>
        </w:r>
        <w:r w:rsidR="00864646">
          <w:rPr>
            <w:noProof/>
            <w:webHidden/>
          </w:rPr>
          <w:instrText xml:space="preserve"> PAGEREF _Toc233801508 \h </w:instrText>
        </w:r>
        <w:r w:rsidR="00864646">
          <w:rPr>
            <w:noProof/>
            <w:webHidden/>
          </w:rPr>
        </w:r>
        <w:r w:rsidR="00864646">
          <w:rPr>
            <w:noProof/>
            <w:webHidden/>
          </w:rPr>
          <w:fldChar w:fldCharType="separate"/>
        </w:r>
        <w:r w:rsidR="00864646">
          <w:rPr>
            <w:noProof/>
            <w:webHidden/>
          </w:rPr>
          <w:t>139</w:t>
        </w:r>
        <w:r w:rsidR="00864646">
          <w:rPr>
            <w:noProof/>
            <w:webHidden/>
          </w:rPr>
          <w:fldChar w:fldCharType="end"/>
        </w:r>
      </w:hyperlink>
    </w:p>
    <w:p w14:paraId="12E431FD" w14:textId="6DB920E1"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1730B</w:t>
      </w:r>
      <w:hyperlink w:anchor="_Toc233801509" w:history="1">
        <w:r w:rsidR="00864646" w:rsidRPr="005C06F1">
          <w:rPr>
            <w:rStyle w:val="Hyperlink"/>
            <w:noProof/>
          </w:rPr>
          <w:t>8.2 Implementation phases</w:t>
        </w:r>
        <w:r w:rsidR="00864646">
          <w:rPr>
            <w:noProof/>
            <w:webHidden/>
          </w:rPr>
          <w:tab/>
        </w:r>
        <w:r w:rsidR="00864646">
          <w:rPr>
            <w:noProof/>
            <w:webHidden/>
          </w:rPr>
          <w:fldChar w:fldCharType="begin"/>
        </w:r>
        <w:r w:rsidR="00864646">
          <w:rPr>
            <w:noProof/>
            <w:webHidden/>
          </w:rPr>
          <w:instrText xml:space="preserve"> PAGEREF _Toc233801509 \h </w:instrText>
        </w:r>
        <w:r w:rsidR="00864646">
          <w:rPr>
            <w:noProof/>
            <w:webHidden/>
          </w:rPr>
        </w:r>
        <w:r w:rsidR="00864646">
          <w:rPr>
            <w:noProof/>
            <w:webHidden/>
          </w:rPr>
          <w:fldChar w:fldCharType="separate"/>
        </w:r>
        <w:r w:rsidR="00864646">
          <w:rPr>
            <w:noProof/>
            <w:webHidden/>
          </w:rPr>
          <w:t>140</w:t>
        </w:r>
        <w:r w:rsidR="00864646">
          <w:rPr>
            <w:noProof/>
            <w:webHidden/>
          </w:rPr>
          <w:fldChar w:fldCharType="end"/>
        </w:r>
      </w:hyperlink>
    </w:p>
    <w:p w14:paraId="575E7014" w14:textId="7FBF6CAD"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1731B</w:t>
      </w:r>
      <w:hyperlink w:anchor="_Toc233801510" w:history="1">
        <w:r w:rsidR="00864646" w:rsidRPr="005C06F1">
          <w:rPr>
            <w:rStyle w:val="Hyperlink"/>
            <w:noProof/>
          </w:rPr>
          <w:t>8.4 Role of the NSW Snowy Water Licence</w:t>
        </w:r>
        <w:r w:rsidR="00864646">
          <w:rPr>
            <w:noProof/>
            <w:webHidden/>
          </w:rPr>
          <w:tab/>
        </w:r>
        <w:r w:rsidR="00864646">
          <w:rPr>
            <w:noProof/>
            <w:webHidden/>
          </w:rPr>
          <w:fldChar w:fldCharType="begin"/>
        </w:r>
        <w:r w:rsidR="00864646">
          <w:rPr>
            <w:noProof/>
            <w:webHidden/>
          </w:rPr>
          <w:instrText xml:space="preserve"> PAGEREF _Toc233801510 \h </w:instrText>
        </w:r>
        <w:r w:rsidR="00864646">
          <w:rPr>
            <w:noProof/>
            <w:webHidden/>
          </w:rPr>
        </w:r>
        <w:r w:rsidR="00864646">
          <w:rPr>
            <w:noProof/>
            <w:webHidden/>
          </w:rPr>
          <w:fldChar w:fldCharType="separate"/>
        </w:r>
        <w:r w:rsidR="00864646">
          <w:rPr>
            <w:noProof/>
            <w:webHidden/>
          </w:rPr>
          <w:t>143</w:t>
        </w:r>
        <w:r w:rsidR="00864646">
          <w:rPr>
            <w:noProof/>
            <w:webHidden/>
          </w:rPr>
          <w:fldChar w:fldCharType="end"/>
        </w:r>
      </w:hyperlink>
    </w:p>
    <w:p w14:paraId="5CFE9FCE" w14:textId="479023EF"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1732B</w:t>
      </w:r>
      <w:hyperlink w:anchor="_Toc233801511" w:history="1">
        <w:r w:rsidR="00864646" w:rsidRPr="005C06F1">
          <w:rPr>
            <w:rStyle w:val="Hyperlink"/>
            <w:noProof/>
          </w:rPr>
          <w:t>8.5 Legal and institutional changes</w:t>
        </w:r>
        <w:r w:rsidR="00864646">
          <w:rPr>
            <w:noProof/>
            <w:webHidden/>
          </w:rPr>
          <w:tab/>
        </w:r>
        <w:r w:rsidR="00864646">
          <w:rPr>
            <w:noProof/>
            <w:webHidden/>
          </w:rPr>
          <w:fldChar w:fldCharType="begin"/>
        </w:r>
        <w:r w:rsidR="00864646">
          <w:rPr>
            <w:noProof/>
            <w:webHidden/>
          </w:rPr>
          <w:instrText xml:space="preserve"> PAGEREF _Toc233801511 \h </w:instrText>
        </w:r>
        <w:r w:rsidR="00864646">
          <w:rPr>
            <w:noProof/>
            <w:webHidden/>
          </w:rPr>
        </w:r>
        <w:r w:rsidR="00864646">
          <w:rPr>
            <w:noProof/>
            <w:webHidden/>
          </w:rPr>
          <w:fldChar w:fldCharType="separate"/>
        </w:r>
        <w:r w:rsidR="00864646">
          <w:rPr>
            <w:noProof/>
            <w:webHidden/>
          </w:rPr>
          <w:t>143</w:t>
        </w:r>
        <w:r w:rsidR="00864646">
          <w:rPr>
            <w:noProof/>
            <w:webHidden/>
          </w:rPr>
          <w:fldChar w:fldCharType="end"/>
        </w:r>
      </w:hyperlink>
    </w:p>
    <w:p w14:paraId="2F459B4C" w14:textId="01A58FF4"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1733B</w:t>
      </w:r>
      <w:hyperlink w:anchor="_Toc233801512" w:history="1">
        <w:r w:rsidR="00864646" w:rsidRPr="005C06F1">
          <w:rPr>
            <w:rStyle w:val="Hyperlink"/>
            <w:noProof/>
          </w:rPr>
          <w:t>8.6 Summary of roles and responsibilities</w:t>
        </w:r>
        <w:r w:rsidR="00864646">
          <w:rPr>
            <w:noProof/>
            <w:webHidden/>
          </w:rPr>
          <w:tab/>
        </w:r>
        <w:r w:rsidR="00864646">
          <w:rPr>
            <w:noProof/>
            <w:webHidden/>
          </w:rPr>
          <w:fldChar w:fldCharType="begin"/>
        </w:r>
        <w:r w:rsidR="00864646">
          <w:rPr>
            <w:noProof/>
            <w:webHidden/>
          </w:rPr>
          <w:instrText xml:space="preserve"> PAGEREF _Toc233801512 \h </w:instrText>
        </w:r>
        <w:r w:rsidR="00864646">
          <w:rPr>
            <w:noProof/>
            <w:webHidden/>
          </w:rPr>
        </w:r>
        <w:r w:rsidR="00864646">
          <w:rPr>
            <w:noProof/>
            <w:webHidden/>
          </w:rPr>
          <w:fldChar w:fldCharType="separate"/>
        </w:r>
        <w:r w:rsidR="00864646">
          <w:rPr>
            <w:noProof/>
            <w:webHidden/>
          </w:rPr>
          <w:t>144</w:t>
        </w:r>
        <w:r w:rsidR="00864646">
          <w:rPr>
            <w:noProof/>
            <w:webHidden/>
          </w:rPr>
          <w:fldChar w:fldCharType="end"/>
        </w:r>
      </w:hyperlink>
    </w:p>
    <w:p w14:paraId="1C6376F2" w14:textId="76E31B91"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1734B</w:t>
      </w:r>
      <w:hyperlink w:anchor="_Toc233801513" w:history="1">
        <w:r w:rsidR="00864646" w:rsidRPr="005C06F1">
          <w:rPr>
            <w:rStyle w:val="Hyperlink"/>
            <w:noProof/>
          </w:rPr>
          <w:t>8.7 Implementation considerations</w:t>
        </w:r>
        <w:r w:rsidR="00864646">
          <w:rPr>
            <w:noProof/>
            <w:webHidden/>
          </w:rPr>
          <w:tab/>
        </w:r>
        <w:r w:rsidR="00864646">
          <w:rPr>
            <w:noProof/>
            <w:webHidden/>
          </w:rPr>
          <w:fldChar w:fldCharType="begin"/>
        </w:r>
        <w:r w:rsidR="00864646">
          <w:rPr>
            <w:noProof/>
            <w:webHidden/>
          </w:rPr>
          <w:instrText xml:space="preserve"> PAGEREF _Toc233801513 \h </w:instrText>
        </w:r>
        <w:r w:rsidR="00864646">
          <w:rPr>
            <w:noProof/>
            <w:webHidden/>
          </w:rPr>
        </w:r>
        <w:r w:rsidR="00864646">
          <w:rPr>
            <w:noProof/>
            <w:webHidden/>
          </w:rPr>
          <w:fldChar w:fldCharType="separate"/>
        </w:r>
        <w:r w:rsidR="00864646">
          <w:rPr>
            <w:noProof/>
            <w:webHidden/>
          </w:rPr>
          <w:t>146</w:t>
        </w:r>
        <w:r w:rsidR="00864646">
          <w:rPr>
            <w:noProof/>
            <w:webHidden/>
          </w:rPr>
          <w:fldChar w:fldCharType="end"/>
        </w:r>
      </w:hyperlink>
    </w:p>
    <w:p w14:paraId="2ED6EE91" w14:textId="5A472855"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1735B</w:t>
      </w:r>
      <w:hyperlink w:anchor="_Toc233801514" w:history="1">
        <w:r w:rsidR="00864646" w:rsidRPr="005C06F1">
          <w:rPr>
            <w:rStyle w:val="Hyperlink"/>
            <w:noProof/>
          </w:rPr>
          <w:t>8.8 Conclusion</w:t>
        </w:r>
        <w:r w:rsidR="00864646">
          <w:rPr>
            <w:noProof/>
            <w:webHidden/>
          </w:rPr>
          <w:tab/>
        </w:r>
        <w:r w:rsidR="00864646">
          <w:rPr>
            <w:noProof/>
            <w:webHidden/>
          </w:rPr>
          <w:fldChar w:fldCharType="begin"/>
        </w:r>
        <w:r w:rsidR="00864646">
          <w:rPr>
            <w:noProof/>
            <w:webHidden/>
          </w:rPr>
          <w:instrText xml:space="preserve"> PAGEREF _Toc233801514 \h </w:instrText>
        </w:r>
        <w:r w:rsidR="00864646">
          <w:rPr>
            <w:noProof/>
            <w:webHidden/>
          </w:rPr>
        </w:r>
        <w:r w:rsidR="00864646">
          <w:rPr>
            <w:noProof/>
            <w:webHidden/>
          </w:rPr>
          <w:fldChar w:fldCharType="separate"/>
        </w:r>
        <w:r w:rsidR="00864646">
          <w:rPr>
            <w:noProof/>
            <w:webHidden/>
          </w:rPr>
          <w:t>147</w:t>
        </w:r>
        <w:r w:rsidR="00864646">
          <w:rPr>
            <w:noProof/>
            <w:webHidden/>
          </w:rPr>
          <w:fldChar w:fldCharType="end"/>
        </w:r>
      </w:hyperlink>
    </w:p>
    <w:p w14:paraId="068B038D" w14:textId="37FC048B"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1684B</w:t>
      </w:r>
      <w:hyperlink w:anchor="_Toc233801515" w:history="1">
        <w:r w:rsidR="00864646" w:rsidRPr="005C06F1">
          <w:rPr>
            <w:rStyle w:val="Hyperlink"/>
          </w:rPr>
          <w:t>Glossary</w:t>
        </w:r>
        <w:r w:rsidR="00864646">
          <w:rPr>
            <w:webHidden/>
          </w:rPr>
          <w:tab/>
        </w:r>
        <w:r w:rsidR="00864646">
          <w:rPr>
            <w:webHidden/>
          </w:rPr>
          <w:fldChar w:fldCharType="begin"/>
        </w:r>
        <w:r w:rsidR="00864646">
          <w:rPr>
            <w:webHidden/>
          </w:rPr>
          <w:instrText xml:space="preserve"> PAGEREF _Toc233801515 \h </w:instrText>
        </w:r>
        <w:r w:rsidR="00864646">
          <w:rPr>
            <w:webHidden/>
          </w:rPr>
        </w:r>
        <w:r w:rsidR="00864646">
          <w:rPr>
            <w:webHidden/>
          </w:rPr>
          <w:fldChar w:fldCharType="separate"/>
        </w:r>
        <w:r w:rsidR="00864646">
          <w:rPr>
            <w:webHidden/>
          </w:rPr>
          <w:t>148</w:t>
        </w:r>
        <w:r w:rsidR="00864646">
          <w:rPr>
            <w:webHidden/>
          </w:rPr>
          <w:fldChar w:fldCharType="end"/>
        </w:r>
      </w:hyperlink>
    </w:p>
    <w:p w14:paraId="1E13E7A8" w14:textId="02EC22B4" w:rsidR="00864646" w:rsidRDefault="00382EE8">
      <w:pPr>
        <w:pStyle w:val="TOC1"/>
        <w:rPr>
          <w:rFonts w:cstheme="minorBidi"/>
          <w:b w:val="0"/>
          <w:kern w:val="2"/>
          <w:sz w:val="24"/>
          <w:szCs w:val="24"/>
          <w:lang w:val="en-AU" w:eastAsia="en-AU"/>
          <w14:ligatures w14:val="standardContextual"/>
        </w:rPr>
      </w:pPr>
      <w:r>
        <w:rPr>
          <w:rFonts w:ascii="ZWAdobeF" w:hAnsi="ZWAdobeF" w:cs="ZWAdobeF"/>
          <w:b w:val="0"/>
          <w:sz w:val="2"/>
          <w:szCs w:val="2"/>
        </w:rPr>
        <w:t>1685B</w:t>
      </w:r>
      <w:hyperlink w:anchor="_Toc233801516" w:history="1">
        <w:r w:rsidR="00864646" w:rsidRPr="005C06F1">
          <w:rPr>
            <w:rStyle w:val="Hyperlink"/>
          </w:rPr>
          <w:t>Appendices</w:t>
        </w:r>
        <w:r w:rsidR="00864646">
          <w:rPr>
            <w:webHidden/>
          </w:rPr>
          <w:tab/>
        </w:r>
        <w:r w:rsidR="00864646">
          <w:rPr>
            <w:webHidden/>
          </w:rPr>
          <w:fldChar w:fldCharType="begin"/>
        </w:r>
        <w:r w:rsidR="00864646">
          <w:rPr>
            <w:webHidden/>
          </w:rPr>
          <w:instrText xml:space="preserve"> PAGEREF _Toc233801516 \h </w:instrText>
        </w:r>
        <w:r w:rsidR="00864646">
          <w:rPr>
            <w:webHidden/>
          </w:rPr>
        </w:r>
        <w:r w:rsidR="00864646">
          <w:rPr>
            <w:webHidden/>
          </w:rPr>
          <w:fldChar w:fldCharType="separate"/>
        </w:r>
        <w:r w:rsidR="00864646">
          <w:rPr>
            <w:webHidden/>
          </w:rPr>
          <w:t>150</w:t>
        </w:r>
        <w:r w:rsidR="00864646">
          <w:rPr>
            <w:webHidden/>
          </w:rPr>
          <w:fldChar w:fldCharType="end"/>
        </w:r>
      </w:hyperlink>
    </w:p>
    <w:p w14:paraId="7CAACAAE" w14:textId="3EBA0F5C"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1736B</w:t>
      </w:r>
      <w:hyperlink w:anchor="_Toc233801517" w:history="1">
        <w:r w:rsidR="00864646" w:rsidRPr="005C06F1">
          <w:rPr>
            <w:rStyle w:val="Hyperlink"/>
            <w:noProof/>
          </w:rPr>
          <w:t>Appendix A: SWIOID IRP Engagement Register</w:t>
        </w:r>
        <w:r w:rsidR="00864646">
          <w:rPr>
            <w:noProof/>
            <w:webHidden/>
          </w:rPr>
          <w:tab/>
        </w:r>
        <w:r w:rsidR="00864646">
          <w:rPr>
            <w:noProof/>
            <w:webHidden/>
          </w:rPr>
          <w:fldChar w:fldCharType="begin"/>
        </w:r>
        <w:r w:rsidR="00864646">
          <w:rPr>
            <w:noProof/>
            <w:webHidden/>
          </w:rPr>
          <w:instrText xml:space="preserve"> PAGEREF _Toc233801517 \h </w:instrText>
        </w:r>
        <w:r w:rsidR="00864646">
          <w:rPr>
            <w:noProof/>
            <w:webHidden/>
          </w:rPr>
        </w:r>
        <w:r w:rsidR="00864646">
          <w:rPr>
            <w:noProof/>
            <w:webHidden/>
          </w:rPr>
          <w:fldChar w:fldCharType="separate"/>
        </w:r>
        <w:r w:rsidR="00864646">
          <w:rPr>
            <w:noProof/>
            <w:webHidden/>
          </w:rPr>
          <w:t>150</w:t>
        </w:r>
        <w:r w:rsidR="00864646">
          <w:rPr>
            <w:noProof/>
            <w:webHidden/>
          </w:rPr>
          <w:fldChar w:fldCharType="end"/>
        </w:r>
      </w:hyperlink>
    </w:p>
    <w:p w14:paraId="3F2E6D52" w14:textId="77C0E910"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1737B</w:t>
      </w:r>
      <w:hyperlink w:anchor="_Toc233801518" w:history="1">
        <w:r w:rsidR="00864646" w:rsidRPr="005C06F1">
          <w:rPr>
            <w:rStyle w:val="Hyperlink"/>
            <w:noProof/>
          </w:rPr>
          <w:t>Appendix B: Assessment of governance arrangements against contemporary benchmarks</w:t>
        </w:r>
        <w:r w:rsidR="00864646">
          <w:rPr>
            <w:noProof/>
            <w:webHidden/>
          </w:rPr>
          <w:tab/>
        </w:r>
        <w:r w:rsidR="00864646">
          <w:rPr>
            <w:noProof/>
            <w:webHidden/>
          </w:rPr>
          <w:fldChar w:fldCharType="begin"/>
        </w:r>
        <w:r w:rsidR="00864646">
          <w:rPr>
            <w:noProof/>
            <w:webHidden/>
          </w:rPr>
          <w:instrText xml:space="preserve"> PAGEREF _Toc233801518 \h </w:instrText>
        </w:r>
        <w:r w:rsidR="00864646">
          <w:rPr>
            <w:noProof/>
            <w:webHidden/>
          </w:rPr>
        </w:r>
        <w:r w:rsidR="00864646">
          <w:rPr>
            <w:noProof/>
            <w:webHidden/>
          </w:rPr>
          <w:fldChar w:fldCharType="separate"/>
        </w:r>
        <w:r w:rsidR="00864646">
          <w:rPr>
            <w:noProof/>
            <w:webHidden/>
          </w:rPr>
          <w:t>152</w:t>
        </w:r>
        <w:r w:rsidR="00864646">
          <w:rPr>
            <w:noProof/>
            <w:webHidden/>
          </w:rPr>
          <w:fldChar w:fldCharType="end"/>
        </w:r>
      </w:hyperlink>
    </w:p>
    <w:p w14:paraId="7324C338" w14:textId="49CDD067" w:rsidR="00864646" w:rsidRDefault="00382EE8">
      <w:pPr>
        <w:pStyle w:val="TOC2"/>
        <w:rPr>
          <w:rFonts w:cstheme="minorBidi"/>
          <w:noProof/>
          <w:kern w:val="2"/>
          <w:sz w:val="24"/>
          <w:szCs w:val="24"/>
          <w:lang w:val="en-AU" w:eastAsia="en-AU"/>
          <w14:ligatures w14:val="standardContextual"/>
        </w:rPr>
      </w:pPr>
      <w:r>
        <w:rPr>
          <w:rFonts w:ascii="ZWAdobeF" w:hAnsi="ZWAdobeF" w:cs="ZWAdobeF"/>
          <w:sz w:val="2"/>
          <w:szCs w:val="2"/>
        </w:rPr>
        <w:t>1738B</w:t>
      </w:r>
      <w:hyperlink w:anchor="_Toc233801519" w:history="1">
        <w:r w:rsidR="00864646" w:rsidRPr="005C06F1">
          <w:rPr>
            <w:rStyle w:val="Hyperlink"/>
            <w:noProof/>
          </w:rPr>
          <w:t>Appendix C: Compensation and system risk framework design steps</w:t>
        </w:r>
        <w:r w:rsidR="00864646">
          <w:rPr>
            <w:noProof/>
            <w:webHidden/>
          </w:rPr>
          <w:tab/>
        </w:r>
        <w:r w:rsidR="00864646">
          <w:rPr>
            <w:noProof/>
            <w:webHidden/>
          </w:rPr>
          <w:fldChar w:fldCharType="begin"/>
        </w:r>
        <w:r w:rsidR="00864646">
          <w:rPr>
            <w:noProof/>
            <w:webHidden/>
          </w:rPr>
          <w:instrText xml:space="preserve"> PAGEREF _Toc233801519 \h </w:instrText>
        </w:r>
        <w:r w:rsidR="00864646">
          <w:rPr>
            <w:noProof/>
            <w:webHidden/>
          </w:rPr>
        </w:r>
        <w:r w:rsidR="00864646">
          <w:rPr>
            <w:noProof/>
            <w:webHidden/>
          </w:rPr>
          <w:fldChar w:fldCharType="separate"/>
        </w:r>
        <w:r w:rsidR="00864646">
          <w:rPr>
            <w:noProof/>
            <w:webHidden/>
          </w:rPr>
          <w:t>166</w:t>
        </w:r>
        <w:r w:rsidR="00864646">
          <w:rPr>
            <w:noProof/>
            <w:webHidden/>
          </w:rPr>
          <w:fldChar w:fldCharType="end"/>
        </w:r>
      </w:hyperlink>
    </w:p>
    <w:p w14:paraId="390ABF07" w14:textId="646232C7" w:rsidR="00C36AB0" w:rsidRDefault="005851FF" w:rsidP="00C36AB0">
      <w:r>
        <w:rPr>
          <w:rFonts w:eastAsiaTheme="minorEastAsia" w:cs="Times New Roman"/>
          <w:b/>
          <w:noProof/>
          <w:kern w:val="0"/>
          <w:sz w:val="20"/>
          <w:szCs w:val="20"/>
          <w:lang w:val="en-US"/>
          <w14:ligatures w14:val="none"/>
        </w:rPr>
        <w:fldChar w:fldCharType="end"/>
      </w:r>
    </w:p>
    <w:p w14:paraId="33D0888B" w14:textId="77777777" w:rsidR="008253F5" w:rsidRDefault="008253F5">
      <w:pPr>
        <w:jc w:val="left"/>
        <w:rPr>
          <w:rFonts w:asciiTheme="majorHAnsi" w:eastAsiaTheme="majorEastAsia" w:hAnsiTheme="majorHAnsi" w:cstheme="majorBidi"/>
          <w:b/>
          <w:color w:val="000099"/>
          <w:spacing w:val="-10"/>
          <w:kern w:val="28"/>
          <w:sz w:val="56"/>
          <w:szCs w:val="56"/>
        </w:rPr>
      </w:pPr>
      <w:bookmarkStart w:id="6" w:name="_Toc233285575"/>
      <w:r>
        <w:br w:type="page"/>
      </w:r>
    </w:p>
    <w:p w14:paraId="5E9CF18E" w14:textId="2C83728A" w:rsidR="00C36AB0" w:rsidRDefault="00382EE8" w:rsidP="00C36AB0">
      <w:pPr>
        <w:pStyle w:val="ReviewHeading"/>
      </w:pPr>
      <w:bookmarkStart w:id="7" w:name="_Toc233801454"/>
      <w:r>
        <w:rPr>
          <w:rFonts w:ascii="ZWAdobeF" w:hAnsi="ZWAdobeF" w:cs="ZWAdobeF"/>
          <w:b w:val="0"/>
          <w:color w:val="auto"/>
          <w:spacing w:val="0"/>
          <w:sz w:val="2"/>
          <w:szCs w:val="2"/>
        </w:rPr>
        <w:lastRenderedPageBreak/>
        <w:t>1657B</w:t>
      </w:r>
      <w:r w:rsidR="00C36AB0">
        <w:t>Executive Summary</w:t>
      </w:r>
      <w:bookmarkEnd w:id="6"/>
      <w:bookmarkEnd w:id="7"/>
    </w:p>
    <w:p w14:paraId="7EEF9207" w14:textId="77777777" w:rsidR="00C36AB0" w:rsidRDefault="00C36AB0" w:rsidP="00C36AB0"/>
    <w:p w14:paraId="1BF76879" w14:textId="7FC7BBFA" w:rsidR="00CB481F" w:rsidRPr="006A36DE" w:rsidRDefault="00382EE8" w:rsidP="00CB481F">
      <w:r>
        <w:rPr>
          <w:rFonts w:ascii="ZWAdobeF" w:hAnsi="ZWAdobeF" w:cs="ZWAdobeF"/>
          <w:sz w:val="2"/>
          <w:szCs w:val="2"/>
        </w:rPr>
        <w:t>539B</w:t>
      </w:r>
      <w:r w:rsidR="344988A9">
        <w:t xml:space="preserve">This Review of the Snowy Water Inquiry Outcomes Implementation Deed (SWIOID) is being undertaken to improve the health of the Upper Murrumbidgee River between Tantangara and Burrinjuck dams by identifying opportunities to enhance environmental outcomes for river systems impacted by the operation of the Snowy Hydro Mountains Electric Scheme, while minimising impacts on the National Electricity Market (NEM), Snowy Hydro Limited (Snowy Hydro) and downstream water users.  Opportunities to improve community and First Nations involvement in the management of the river were also to be identified. The Review is also intended to bring the SWIOID’S </w:t>
      </w:r>
      <w:r w:rsidR="08F9FCE0">
        <w:t>twenty</w:t>
      </w:r>
      <w:r w:rsidR="40D908E8">
        <w:t xml:space="preserve"> plus</w:t>
      </w:r>
      <w:r w:rsidR="525F3D38">
        <w:t xml:space="preserve"> –</w:t>
      </w:r>
      <w:r w:rsidR="08F9FCE0">
        <w:t>year</w:t>
      </w:r>
      <w:r w:rsidR="525F3D38">
        <w:t xml:space="preserve"> </w:t>
      </w:r>
      <w:r w:rsidR="08F9FCE0">
        <w:t>old</w:t>
      </w:r>
      <w:r w:rsidR="344988A9">
        <w:t xml:space="preserve"> governance up to contemporary standards.</w:t>
      </w:r>
    </w:p>
    <w:p w14:paraId="7D6FB9E7" w14:textId="12EF421B" w:rsidR="00CB481F" w:rsidRPr="006A36DE" w:rsidRDefault="00382EE8" w:rsidP="00CB481F">
      <w:r>
        <w:rPr>
          <w:rFonts w:ascii="ZWAdobeF" w:hAnsi="ZWAdobeF" w:cs="ZWAdobeF"/>
          <w:sz w:val="2"/>
          <w:szCs w:val="2"/>
        </w:rPr>
        <w:t>540B</w:t>
      </w:r>
      <w:r w:rsidR="4A029A4D">
        <w:t>Since the Deed was</w:t>
      </w:r>
      <w:r w:rsidR="2BC71EB3">
        <w:t xml:space="preserve"> </w:t>
      </w:r>
      <w:r w:rsidR="4A029A4D">
        <w:t>agreed</w:t>
      </w:r>
      <w:r w:rsidR="2BC71EB3">
        <w:t xml:space="preserve"> </w:t>
      </w:r>
      <w:r w:rsidR="4A029A4D">
        <w:t>in 2002, the policy, environmental and community context for water management has evolved significantly.</w:t>
      </w:r>
      <w:r w:rsidR="4F3DDEE3">
        <w:t xml:space="preserve"> </w:t>
      </w:r>
      <w:r w:rsidR="4A029A4D">
        <w:t xml:space="preserve">This first formal review of the Deed occurs in the context of contemporary water management which now places greater emphasis on a hierarchy of water uses, integrated catchment management, adaptive environmental water use, </w:t>
      </w:r>
      <w:r w:rsidR="62EC7FF6">
        <w:t xml:space="preserve">community and </w:t>
      </w:r>
      <w:r w:rsidR="4A029A4D">
        <w:t>First Nations participation and coordination across jurisdictions. While the Deed has delivered increased environmental</w:t>
      </w:r>
      <w:r w:rsidR="2BC71EB3">
        <w:t xml:space="preserve"> </w:t>
      </w:r>
      <w:r w:rsidR="4A029A4D">
        <w:t>flows</w:t>
      </w:r>
      <w:r w:rsidR="2BC71EB3">
        <w:t xml:space="preserve"> </w:t>
      </w:r>
      <w:r w:rsidR="4A029A4D">
        <w:t xml:space="preserve">compared to pre-Deed conditions, </w:t>
      </w:r>
      <w:r w:rsidR="3004735C">
        <w:t>the current state of the Upper Murrumbidgee is abysmal with its inhabitants</w:t>
      </w:r>
      <w:r w:rsidR="4A714E12">
        <w:t>,</w:t>
      </w:r>
      <w:r w:rsidR="3004735C">
        <w:t xml:space="preserve"> like </w:t>
      </w:r>
      <w:r w:rsidR="0A8C3C96">
        <w:t>M</w:t>
      </w:r>
      <w:r w:rsidR="3004735C">
        <w:t xml:space="preserve">acquarie </w:t>
      </w:r>
      <w:r w:rsidR="00A26B4A">
        <w:t>P</w:t>
      </w:r>
      <w:r w:rsidR="3004735C">
        <w:t>erch</w:t>
      </w:r>
      <w:r w:rsidR="4A714E12">
        <w:t>,</w:t>
      </w:r>
      <w:r w:rsidR="3004735C">
        <w:t xml:space="preserve"> </w:t>
      </w:r>
      <w:r w:rsidR="2BC71EB3">
        <w:t>threatened</w:t>
      </w:r>
      <w:r w:rsidR="3004735C">
        <w:t xml:space="preserve"> with </w:t>
      </w:r>
      <w:r w:rsidR="4A714E12">
        <w:t>localised extinctions</w:t>
      </w:r>
      <w:r w:rsidR="5826D183">
        <w:t xml:space="preserve">. </w:t>
      </w:r>
      <w:r w:rsidR="68C5326F">
        <w:t>E</w:t>
      </w:r>
      <w:r w:rsidR="4A029A4D">
        <w:t>xisting arrangements fail to meet evolving expectations</w:t>
      </w:r>
      <w:r w:rsidR="2BC71EB3">
        <w:t xml:space="preserve"> </w:t>
      </w:r>
      <w:r w:rsidR="4A029A4D">
        <w:t xml:space="preserve">for water management particularly in light </w:t>
      </w:r>
      <w:r w:rsidR="042385EE">
        <w:t>of changing</w:t>
      </w:r>
      <w:r w:rsidR="4A029A4D">
        <w:t xml:space="preserve"> climatic conditions and increasing use. </w:t>
      </w:r>
    </w:p>
    <w:p w14:paraId="423BCBDA" w14:textId="7654167A" w:rsidR="00CB481F" w:rsidRDefault="00382EE8" w:rsidP="00CB481F">
      <w:r>
        <w:rPr>
          <w:rFonts w:ascii="ZWAdobeF" w:hAnsi="ZWAdobeF" w:cs="ZWAdobeF"/>
          <w:sz w:val="2"/>
          <w:szCs w:val="2"/>
        </w:rPr>
        <w:t>541B</w:t>
      </w:r>
      <w:r w:rsidR="00CB481F">
        <w:t>A consistent theme emerging from the Review is the need to move to a more integrated, coordinated and defined outcome-focused framework for the Snowy and Upper Murrumbidgee system</w:t>
      </w:r>
      <w:r w:rsidR="000406AC">
        <w:t>s</w:t>
      </w:r>
      <w:r w:rsidR="00CB481F">
        <w:t xml:space="preserve">. </w:t>
      </w:r>
    </w:p>
    <w:p w14:paraId="0B084AA2" w14:textId="30DBABA1" w:rsidR="00CB481F" w:rsidRPr="006A36DE" w:rsidRDefault="00382EE8" w:rsidP="00CB481F">
      <w:r>
        <w:rPr>
          <w:rFonts w:ascii="ZWAdobeF" w:hAnsi="ZWAdobeF" w:cs="ZWAdobeF"/>
          <w:sz w:val="2"/>
          <w:szCs w:val="2"/>
        </w:rPr>
        <w:t>542B</w:t>
      </w:r>
      <w:r w:rsidR="00CB481F">
        <w:t>The Panel recommends a coordinated package of reforms to strengthen river health outcomes, improve system performance, and establish an integrated, adaptive and transparent governance framework for the Snowy and Upper Murrumbidgee system</w:t>
      </w:r>
      <w:r w:rsidR="00FD3C43">
        <w:t>s</w:t>
      </w:r>
      <w:r w:rsidR="00CB481F">
        <w:t>. The Panel intends that these recommendations be implemented as a cohesive package, rather than in part, and considers this</w:t>
      </w:r>
      <w:r w:rsidR="005E02C1">
        <w:t xml:space="preserve"> </w:t>
      </w:r>
      <w:r w:rsidR="00CB481F">
        <w:t>critical</w:t>
      </w:r>
      <w:r w:rsidR="005E02C1">
        <w:t xml:space="preserve"> </w:t>
      </w:r>
      <w:r w:rsidR="00CB481F">
        <w:t xml:space="preserve">to achieving the intended outcomes. </w:t>
      </w:r>
    </w:p>
    <w:p w14:paraId="5823D38F" w14:textId="0B35FA9A" w:rsidR="00CB481F" w:rsidRPr="006A36DE" w:rsidRDefault="00382EE8" w:rsidP="00CB481F">
      <w:r>
        <w:rPr>
          <w:rFonts w:ascii="ZWAdobeF" w:hAnsi="ZWAdobeF" w:cs="ZWAdobeF"/>
          <w:sz w:val="2"/>
          <w:szCs w:val="2"/>
        </w:rPr>
        <w:t>543B</w:t>
      </w:r>
      <w:r w:rsidR="00CB481F">
        <w:t>A central recommendation of the Review is</w:t>
      </w:r>
      <w:r w:rsidR="00060755">
        <w:t xml:space="preserve"> </w:t>
      </w:r>
      <w:r w:rsidR="00CB481F">
        <w:t xml:space="preserve">the replacement of the </w:t>
      </w:r>
      <w:r w:rsidR="4E3F71C9">
        <w:t xml:space="preserve">existing </w:t>
      </w:r>
      <w:r w:rsidR="4E3F71C9" w:rsidDel="00CA3621">
        <w:t xml:space="preserve">arrangement </w:t>
      </w:r>
      <w:r w:rsidR="00CB481F">
        <w:t>with</w:t>
      </w:r>
      <w:r w:rsidR="00060755">
        <w:t xml:space="preserve"> </w:t>
      </w:r>
      <w:r w:rsidR="00CB481F">
        <w:t>a</w:t>
      </w:r>
      <w:r w:rsidR="00060755">
        <w:t xml:space="preserve"> </w:t>
      </w:r>
      <w:r w:rsidR="00CB481F">
        <w:t xml:space="preserve">new </w:t>
      </w:r>
      <w:r w:rsidR="68C0727B">
        <w:t>Deed</w:t>
      </w:r>
      <w:r w:rsidR="00CB481F">
        <w:t xml:space="preserve"> between the </w:t>
      </w:r>
      <w:r w:rsidR="00E6186B">
        <w:t>Commonwealth</w:t>
      </w:r>
      <w:r w:rsidR="00CB481F">
        <w:t xml:space="preserve">, Victorian, New South Wales and the Australian Capital Territory governments for the delivery of environmental flows from the Snowy Scheme. This would be supported by more specific objectives, strengthened accountability mechanisms, and where necessary, transparent processes for managing trade-offs between the use of water for the environment and energy. The Review recommends the objectives of this new arrangement include </w:t>
      </w:r>
      <w:r w:rsidR="00240F4D">
        <w:t>specifying</w:t>
      </w:r>
      <w:r w:rsidR="00CB481F">
        <w:t xml:space="preserve"> ecological outcomes, maintaining water security, minimising impacts on energy system outcomes and Snowy Hydro revenues, improving First Nations outcomes, improving community participation and achieving public trust and confidence.</w:t>
      </w:r>
    </w:p>
    <w:p w14:paraId="71780351" w14:textId="62D11C42" w:rsidR="00CB481F" w:rsidRPr="006A36DE" w:rsidRDefault="00382EE8" w:rsidP="00CB481F">
      <w:r>
        <w:rPr>
          <w:rFonts w:ascii="ZWAdobeF" w:hAnsi="ZWAdobeF" w:cs="ZWAdobeF"/>
          <w:sz w:val="2"/>
          <w:szCs w:val="2"/>
        </w:rPr>
        <w:t>544B</w:t>
      </w:r>
      <w:r w:rsidR="00CB481F">
        <w:t>The Review emphasises the</w:t>
      </w:r>
      <w:r w:rsidR="00060755">
        <w:t xml:space="preserve"> </w:t>
      </w:r>
      <w:r w:rsidR="00CB481F">
        <w:t>need for these increased</w:t>
      </w:r>
      <w:r w:rsidR="00060755">
        <w:t xml:space="preserve"> </w:t>
      </w:r>
      <w:r w:rsidR="00CB481F">
        <w:t>environmental</w:t>
      </w:r>
      <w:r w:rsidR="00060755">
        <w:t xml:space="preserve"> </w:t>
      </w:r>
      <w:r w:rsidR="00CB481F">
        <w:t>water</w:t>
      </w:r>
      <w:r w:rsidR="00060755">
        <w:t xml:space="preserve"> </w:t>
      </w:r>
      <w:r w:rsidR="00CB481F">
        <w:t>flows to be delivered through an adaptive management approach that responds to changing conditions and emerging evidence. The recommended flow proposal provides for an increase in water volume plus specifically timed flows to capitalise on weather events</w:t>
      </w:r>
      <w:r w:rsidR="00952008">
        <w:t xml:space="preserve">, </w:t>
      </w:r>
      <w:r w:rsidR="009C4E8D">
        <w:t>such as</w:t>
      </w:r>
      <w:r w:rsidR="00CB481F">
        <w:t xml:space="preserve"> </w:t>
      </w:r>
      <w:r w:rsidR="00F9333D">
        <w:t xml:space="preserve">high </w:t>
      </w:r>
      <w:r w:rsidR="00CB481F">
        <w:t>rainfall</w:t>
      </w:r>
      <w:r w:rsidR="00493573">
        <w:t>.</w:t>
      </w:r>
      <w:r w:rsidR="00CB481F">
        <w:t xml:space="preserve"> The flows have been assessed against the volumes needed to meet specific environmental watering requirements for </w:t>
      </w:r>
      <w:r w:rsidR="00CB481F">
        <w:lastRenderedPageBreak/>
        <w:t>particular ecological characteristics, such as sustaining populations of Macquarie Perch.  The</w:t>
      </w:r>
      <w:r w:rsidR="005760CE">
        <w:t xml:space="preserve"> </w:t>
      </w:r>
      <w:r w:rsidR="00CB481F">
        <w:t xml:space="preserve">Panel has explicitly considered the implications of the recommended increased flows on the NEM and Snowy Scheme operations as well as downstream water users. The Panel recommends that </w:t>
      </w:r>
      <w:r w:rsidR="0035001B">
        <w:t>minor</w:t>
      </w:r>
      <w:r w:rsidR="00CB481F">
        <w:t xml:space="preserve"> transmission losses associated with the additional environmental water allocations be met by recovered system inflows, so there is no impact to water allocations below Burrinjuck Dam. The Panel recommends</w:t>
      </w:r>
      <w:r w:rsidR="0043256F">
        <w:t xml:space="preserve"> </w:t>
      </w:r>
      <w:r w:rsidR="00CB481F">
        <w:t xml:space="preserve">an </w:t>
      </w:r>
      <w:r w:rsidR="0043256F">
        <w:t>immediate</w:t>
      </w:r>
      <w:r w:rsidR="009002CE">
        <w:t xml:space="preserve"> </w:t>
      </w:r>
      <w:r w:rsidR="00CB481F">
        <w:t>transition to higher flow volumes which will improve river health, with the potential for further increases in the future that are informed by the outcomes of feasibility studies for enabling infrastructure. </w:t>
      </w:r>
    </w:p>
    <w:p w14:paraId="2424299F" w14:textId="6AC35642" w:rsidR="00CB481F" w:rsidRPr="006A36DE" w:rsidRDefault="00382EE8" w:rsidP="00CB481F">
      <w:r>
        <w:rPr>
          <w:rFonts w:ascii="ZWAdobeF" w:hAnsi="ZWAdobeF" w:cs="ZWAdobeF"/>
          <w:sz w:val="2"/>
          <w:szCs w:val="2"/>
        </w:rPr>
        <w:t>545B</w:t>
      </w:r>
      <w:r w:rsidR="00CB481F">
        <w:t>The Panel also recommends an increased emphasis on integrated catchment management, where water management and land-based activities complement each other. This approach recognises that long-term river health depends on system-wide interventions, not additional volumes of water alone. </w:t>
      </w:r>
    </w:p>
    <w:p w14:paraId="1A5D8185" w14:textId="50E48B5D" w:rsidR="00CB481F" w:rsidRPr="006A36DE" w:rsidRDefault="00382EE8" w:rsidP="00CB481F">
      <w:r>
        <w:rPr>
          <w:rFonts w:ascii="ZWAdobeF" w:hAnsi="ZWAdobeF" w:cs="ZWAdobeF"/>
          <w:sz w:val="2"/>
          <w:szCs w:val="2"/>
        </w:rPr>
        <w:t>546B</w:t>
      </w:r>
      <w:r w:rsidR="00CB481F">
        <w:t>A central component</w:t>
      </w:r>
      <w:r w:rsidR="005B4B59">
        <w:t xml:space="preserve"> </w:t>
      </w:r>
      <w:r w:rsidR="00CB481F">
        <w:t>of the Review is the progression of First Nations water interests. The Review finds that current arrangements do not reflect First Nations custodial responsibilities to water and Country. It recommends a</w:t>
      </w:r>
      <w:r w:rsidR="006A10AD">
        <w:t xml:space="preserve"> </w:t>
      </w:r>
      <w:r w:rsidR="00CB481F">
        <w:t>staged</w:t>
      </w:r>
      <w:r w:rsidR="006A10AD">
        <w:t xml:space="preserve"> </w:t>
      </w:r>
      <w:r w:rsidR="00CB481F">
        <w:t>transition</w:t>
      </w:r>
      <w:r w:rsidR="006A10AD">
        <w:t xml:space="preserve"> </w:t>
      </w:r>
      <w:r w:rsidR="00CB481F">
        <w:t>of First Nations participation</w:t>
      </w:r>
      <w:r w:rsidR="006A10AD">
        <w:t xml:space="preserve"> </w:t>
      </w:r>
      <w:r w:rsidR="00CB481F">
        <w:t>and capacity building,</w:t>
      </w:r>
      <w:r w:rsidR="0035001B">
        <w:t xml:space="preserve"> </w:t>
      </w:r>
      <w:r w:rsidR="00CB481F">
        <w:t>enabling a greater role in decision-making, recognition of cultural water and support for First Nations-led stewardship and care for Country. </w:t>
      </w:r>
    </w:p>
    <w:p w14:paraId="103E8D1B" w14:textId="2D2072E5" w:rsidR="00CB481F" w:rsidRPr="006A36DE" w:rsidRDefault="00382EE8" w:rsidP="00CB481F">
      <w:r>
        <w:rPr>
          <w:rFonts w:ascii="ZWAdobeF" w:hAnsi="ZWAdobeF" w:cs="ZWAdobeF"/>
          <w:sz w:val="2"/>
          <w:szCs w:val="2"/>
        </w:rPr>
        <w:t>547B</w:t>
      </w:r>
      <w:r w:rsidR="4A029A4D">
        <w:t>Implementation of these reforms should occur through a</w:t>
      </w:r>
      <w:r w:rsidR="4A029A4D" w:rsidRPr="037ED572">
        <w:rPr>
          <w:b/>
          <w:bCs/>
        </w:rPr>
        <w:t xml:space="preserve"> </w:t>
      </w:r>
      <w:r w:rsidR="4A029A4D">
        <w:t>staged</w:t>
      </w:r>
      <w:r w:rsidR="14E1F136" w:rsidDel="344988A9">
        <w:t xml:space="preserve"> </w:t>
      </w:r>
      <w:r w:rsidR="4A029A4D">
        <w:t xml:space="preserve">pathway, building on existing programs and institutional arrangements. </w:t>
      </w:r>
      <w:r w:rsidR="730A41FC">
        <w:t>Recommended e</w:t>
      </w:r>
      <w:r w:rsidR="4A029A4D">
        <w:t xml:space="preserve">arly actions should focus on strengthening governance foundations, increasing environmental flows to the Upper Murrumbidgee, supporting community participation in planning processes and increased river access for First Nations people. </w:t>
      </w:r>
      <w:r w:rsidR="4ADB4B89">
        <w:t>Other actions require further work prior to decisions being made.</w:t>
      </w:r>
      <w:r w:rsidR="4A029A4D">
        <w:t xml:space="preserve"> </w:t>
      </w:r>
      <w:r w:rsidR="00213137">
        <w:t>I</w:t>
      </w:r>
      <w:r w:rsidR="00293B5A">
        <w:t>f implemented, over</w:t>
      </w:r>
      <w:r w:rsidR="4E18FB87">
        <w:t xml:space="preserve"> time</w:t>
      </w:r>
      <w:r w:rsidR="6DF8FE4B">
        <w:t xml:space="preserve"> </w:t>
      </w:r>
      <w:r w:rsidR="4E18FB87">
        <w:t xml:space="preserve">these </w:t>
      </w:r>
      <w:r w:rsidR="4A029A4D">
        <w:t>reforms would progressively enable more integrated decision-making,</w:t>
      </w:r>
      <w:r w:rsidR="6A4AD26A">
        <w:t xml:space="preserve"> </w:t>
      </w:r>
      <w:r w:rsidR="4A029A4D">
        <w:t>enhance environmental outcomes and strengthen cultural and community benefits.</w:t>
      </w:r>
    </w:p>
    <w:p w14:paraId="17F8A4E3" w14:textId="07E9BDBB" w:rsidR="4E935AF7" w:rsidRDefault="00382EE8">
      <w:r>
        <w:rPr>
          <w:rFonts w:ascii="ZWAdobeF" w:hAnsi="ZWAdobeF" w:cs="ZWAdobeF"/>
          <w:sz w:val="2"/>
          <w:szCs w:val="2"/>
        </w:rPr>
        <w:t>548B</w:t>
      </w:r>
      <w:r w:rsidR="2F1BD9D5">
        <w:t>Analysis of t</w:t>
      </w:r>
      <w:r w:rsidR="7E1C332E">
        <w:t>he</w:t>
      </w:r>
      <w:r w:rsidR="2F1BD9D5">
        <w:t xml:space="preserve"> economic, social, environm</w:t>
      </w:r>
      <w:r w:rsidR="22E55FE2">
        <w:t>en</w:t>
      </w:r>
      <w:r w:rsidR="2F1BD9D5">
        <w:t>tal and cultural costs and benefit</w:t>
      </w:r>
      <w:r w:rsidR="3A931C45">
        <w:t>s</w:t>
      </w:r>
      <w:r w:rsidR="2F1BD9D5">
        <w:t xml:space="preserve"> of the proposed initial package of reforms </w:t>
      </w:r>
      <w:r w:rsidR="50F717EA">
        <w:t xml:space="preserve">(Option 5 of the environmental watering options) </w:t>
      </w:r>
      <w:r w:rsidR="2F1BD9D5">
        <w:t>y</w:t>
      </w:r>
      <w:r w:rsidR="414D2559">
        <w:t>iel</w:t>
      </w:r>
      <w:r w:rsidR="2F1BD9D5">
        <w:t xml:space="preserve">ds an </w:t>
      </w:r>
      <w:r w:rsidR="00161B55" w:rsidRPr="00161B55">
        <w:t>expected net present value</w:t>
      </w:r>
      <w:r w:rsidR="00161B55">
        <w:t xml:space="preserve"> </w:t>
      </w:r>
      <w:r w:rsidR="2F1BD9D5">
        <w:t xml:space="preserve">of </w:t>
      </w:r>
      <w:r w:rsidR="005A16F2">
        <w:t xml:space="preserve">approximately </w:t>
      </w:r>
      <w:r w:rsidR="2F1BD9D5">
        <w:t>$</w:t>
      </w:r>
      <w:r w:rsidR="005A16F2">
        <w:t>68</w:t>
      </w:r>
      <w:r w:rsidR="2F1BD9D5" w:rsidDel="005A16F2">
        <w:t xml:space="preserve"> </w:t>
      </w:r>
      <w:r w:rsidR="005A16F2">
        <w:t>million</w:t>
      </w:r>
      <w:r w:rsidR="2F1BD9D5">
        <w:t xml:space="preserve"> compared with the current situation</w:t>
      </w:r>
      <w:r w:rsidR="74525C5A">
        <w:t>. This package would see strong improvements in baseflow reliability and ecological co</w:t>
      </w:r>
      <w:r w:rsidR="5CA95F30">
        <w:t>n</w:t>
      </w:r>
      <w:r w:rsidR="74525C5A">
        <w:t>dition</w:t>
      </w:r>
      <w:r w:rsidR="3BCD9969">
        <w:t xml:space="preserve"> bel</w:t>
      </w:r>
      <w:r w:rsidR="2B2B2D16">
        <w:t>ow</w:t>
      </w:r>
      <w:r w:rsidR="3BCD9969">
        <w:t xml:space="preserve"> Tantangara Dam</w:t>
      </w:r>
      <w:r w:rsidR="0B830188">
        <w:t xml:space="preserve"> (representing the upper reach)</w:t>
      </w:r>
      <w:r w:rsidR="0D39743E">
        <w:t>, with</w:t>
      </w:r>
      <w:r w:rsidR="4E935AF7" w:rsidDel="3BCD9969">
        <w:t xml:space="preserve"> </w:t>
      </w:r>
      <w:r w:rsidR="3BCD9969">
        <w:t>more moder</w:t>
      </w:r>
      <w:r w:rsidR="630A45BE">
        <w:t>at</w:t>
      </w:r>
      <w:r w:rsidR="3BCD9969">
        <w:t xml:space="preserve">e outcomes at Mittagang </w:t>
      </w:r>
      <w:r w:rsidR="374B347F">
        <w:t>Crossing</w:t>
      </w:r>
      <w:r w:rsidR="0B830188">
        <w:t xml:space="preserve"> (representing the middle reach)</w:t>
      </w:r>
      <w:r w:rsidR="374B347F">
        <w:t xml:space="preserve"> </w:t>
      </w:r>
      <w:r w:rsidR="3BCD9969">
        <w:t>and compar</w:t>
      </w:r>
      <w:r w:rsidR="0C219664">
        <w:t>a</w:t>
      </w:r>
      <w:r w:rsidR="3BCD9969">
        <w:t xml:space="preserve">tively limited benefits at Lobbs </w:t>
      </w:r>
      <w:r w:rsidR="374B347F">
        <w:t>H</w:t>
      </w:r>
      <w:r w:rsidR="3BCD9969">
        <w:t>ole</w:t>
      </w:r>
      <w:r w:rsidR="0B830188">
        <w:t xml:space="preserve"> (representing the lower reach)</w:t>
      </w:r>
      <w:r w:rsidR="3BCD9969">
        <w:t>. The impact of these imp</w:t>
      </w:r>
      <w:r w:rsidR="01F871B7">
        <w:t>ro</w:t>
      </w:r>
      <w:r w:rsidR="3BCD9969">
        <w:t>ved and more targeted environm</w:t>
      </w:r>
      <w:r w:rsidR="1B45AE93">
        <w:t>en</w:t>
      </w:r>
      <w:r w:rsidR="3BCD9969">
        <w:t>tal flows would</w:t>
      </w:r>
      <w:r w:rsidR="6779AA6E">
        <w:t xml:space="preserve"> be reflected in improved water quality, habitat persistence and local productivity</w:t>
      </w:r>
      <w:r w:rsidR="42AE2800">
        <w:t xml:space="preserve">, </w:t>
      </w:r>
      <w:r w:rsidR="732A0180">
        <w:t>and would</w:t>
      </w:r>
      <w:r w:rsidR="00645FFA">
        <w:t>,</w:t>
      </w:r>
      <w:r w:rsidR="732A0180">
        <w:t xml:space="preserve"> for example</w:t>
      </w:r>
      <w:r w:rsidR="00C75D64">
        <w:t>,</w:t>
      </w:r>
      <w:r w:rsidR="6779AA6E">
        <w:t xml:space="preserve"> lead to substantial increases </w:t>
      </w:r>
      <w:r w:rsidR="732A0180">
        <w:t xml:space="preserve">in </w:t>
      </w:r>
      <w:r w:rsidR="6779AA6E">
        <w:t xml:space="preserve">Macquarie </w:t>
      </w:r>
      <w:r w:rsidR="00C75D64">
        <w:t>P</w:t>
      </w:r>
      <w:r w:rsidR="6779AA6E">
        <w:t>erch abundance within occupied reaches</w:t>
      </w:r>
      <w:r w:rsidR="004B4B88">
        <w:t>.</w:t>
      </w:r>
      <w:r w:rsidR="6779AA6E">
        <w:t xml:space="preserve"> </w:t>
      </w:r>
      <w:r w:rsidR="49347672">
        <w:t>However</w:t>
      </w:r>
      <w:r w:rsidR="004B4B88">
        <w:t>,</w:t>
      </w:r>
      <w:r w:rsidR="49347672">
        <w:t xml:space="preserve"> limited delivery of higher magnitude flows will restrict channel maintenance and species dispersal.  </w:t>
      </w:r>
    </w:p>
    <w:p w14:paraId="1771EF41" w14:textId="748AB25E" w:rsidR="3873917E" w:rsidRDefault="00382EE8">
      <w:r>
        <w:rPr>
          <w:rFonts w:ascii="ZWAdobeF" w:hAnsi="ZWAdobeF" w:cs="ZWAdobeF"/>
          <w:sz w:val="2"/>
          <w:szCs w:val="2"/>
        </w:rPr>
        <w:t>549B</w:t>
      </w:r>
      <w:r w:rsidR="49347672">
        <w:t>A decision not to implement this package of reforms will save money (at least in the short term),</w:t>
      </w:r>
      <w:r w:rsidR="17F9AB08">
        <w:t xml:space="preserve"> </w:t>
      </w:r>
      <w:r w:rsidR="49347672">
        <w:t xml:space="preserve">avoid putting into practice a raft of new </w:t>
      </w:r>
      <w:r w:rsidR="42AE2800">
        <w:t>initiatives</w:t>
      </w:r>
      <w:r w:rsidR="49347672">
        <w:t xml:space="preserve"> and programs wh</w:t>
      </w:r>
      <w:r w:rsidR="17BD3A38">
        <w:t>ic</w:t>
      </w:r>
      <w:r w:rsidR="49347672">
        <w:t>h will involve challenging coordination of funding, people and activity and inco</w:t>
      </w:r>
      <w:r w:rsidR="4B31A7D9">
        <w:t>nvenience for Snow</w:t>
      </w:r>
      <w:r w:rsidR="20D596A1">
        <w:t>y</w:t>
      </w:r>
      <w:r w:rsidR="4B31A7D9">
        <w:t xml:space="preserve"> Hydro</w:t>
      </w:r>
      <w:r w:rsidR="00947F41">
        <w:t>.</w:t>
      </w:r>
      <w:r w:rsidR="4B31A7D9">
        <w:t xml:space="preserve"> Ho</w:t>
      </w:r>
      <w:r w:rsidR="0277FD34">
        <w:t>wev</w:t>
      </w:r>
      <w:r w:rsidR="4B31A7D9">
        <w:t>er</w:t>
      </w:r>
      <w:r w:rsidR="305190FD">
        <w:t>,</w:t>
      </w:r>
      <w:r w:rsidR="4B31A7D9">
        <w:t xml:space="preserve"> such a decision will eff</w:t>
      </w:r>
      <w:r w:rsidR="12E5BD19">
        <w:t>ec</w:t>
      </w:r>
      <w:r w:rsidR="4B31A7D9">
        <w:t xml:space="preserve">tively condemn the Upper Murrumbidgee to a gradual death. Australia’s reputation for </w:t>
      </w:r>
      <w:r w:rsidR="400098FC">
        <w:t xml:space="preserve">ecological </w:t>
      </w:r>
      <w:r w:rsidR="5DC38158">
        <w:t xml:space="preserve">mismanagement and </w:t>
      </w:r>
      <w:r w:rsidR="13C10EA1">
        <w:t xml:space="preserve">local </w:t>
      </w:r>
      <w:r w:rsidR="4B31A7D9">
        <w:t>extinction</w:t>
      </w:r>
      <w:r w:rsidR="5DC38158">
        <w:t>s</w:t>
      </w:r>
      <w:r w:rsidR="4B31A7D9">
        <w:t xml:space="preserve"> will </w:t>
      </w:r>
      <w:r w:rsidR="5BF227DC">
        <w:t>unfortunately</w:t>
      </w:r>
      <w:r w:rsidR="4B31A7D9">
        <w:t xml:space="preserve"> be enhanced and local communities will be d</w:t>
      </w:r>
      <w:r w:rsidR="44C6F67F">
        <w:t>evastated. In the longer term</w:t>
      </w:r>
      <w:r w:rsidR="451A4392">
        <w:t>,</w:t>
      </w:r>
      <w:r w:rsidR="44C6F67F">
        <w:t xml:space="preserve"> impacts o</w:t>
      </w:r>
      <w:r w:rsidR="12B9A1C0">
        <w:t>n</w:t>
      </w:r>
      <w:r w:rsidR="44C6F67F">
        <w:t xml:space="preserve"> dow</w:t>
      </w:r>
      <w:r w:rsidR="305190FD">
        <w:t>n</w:t>
      </w:r>
      <w:r w:rsidR="44C6F67F">
        <w:t>stream communities will require innovative solutions to ensure h</w:t>
      </w:r>
      <w:r w:rsidR="496743B7">
        <w:t>u</w:t>
      </w:r>
      <w:r w:rsidR="44C6F67F">
        <w:t>man water needs</w:t>
      </w:r>
      <w:r w:rsidR="36182B32">
        <w:t xml:space="preserve"> </w:t>
      </w:r>
      <w:r w:rsidR="496EEFB7">
        <w:t xml:space="preserve">are met, </w:t>
      </w:r>
      <w:r w:rsidR="36182B32">
        <w:t xml:space="preserve">among other things. </w:t>
      </w:r>
    </w:p>
    <w:p w14:paraId="4AB80AB7" w14:textId="5B05473C" w:rsidR="00CB481F" w:rsidRPr="006A36DE" w:rsidRDefault="00382EE8" w:rsidP="00CB481F">
      <w:r>
        <w:rPr>
          <w:rFonts w:ascii="ZWAdobeF" w:hAnsi="ZWAdobeF" w:cs="ZWAdobeF"/>
          <w:sz w:val="2"/>
          <w:szCs w:val="2"/>
        </w:rPr>
        <w:lastRenderedPageBreak/>
        <w:t>550B</w:t>
      </w:r>
      <w:r w:rsidR="00CB481F">
        <w:t xml:space="preserve">Overall, the Review concludes that replacing the </w:t>
      </w:r>
      <w:r w:rsidR="00BA3159">
        <w:t xml:space="preserve">Deed </w:t>
      </w:r>
      <w:r w:rsidR="00CB481F">
        <w:t>presents a significant opportunity to align water governance with contemporary expectations. With a proposed integrated governance approach to environmental flows, catchment management and First Nations participation, the revised framework can deliver more resilient river systems and more durable environmental, cultural and community outcomes over the long-term. A five</w:t>
      </w:r>
      <w:r w:rsidR="00AE65ED">
        <w:t>-</w:t>
      </w:r>
      <w:r w:rsidR="00CB481F">
        <w:t>yearly independent audit and a ten</w:t>
      </w:r>
      <w:r w:rsidR="00AE65ED">
        <w:t>-</w:t>
      </w:r>
      <w:r w:rsidR="00CB481F">
        <w:t>yearly independent review will enable timely adaptation to changing conditions.</w:t>
      </w:r>
    </w:p>
    <w:p w14:paraId="117FFA61" w14:textId="65391C73" w:rsidR="00CB481F" w:rsidRPr="006A36DE" w:rsidRDefault="00382EE8" w:rsidP="00CB481F">
      <w:r>
        <w:rPr>
          <w:rFonts w:ascii="ZWAdobeF" w:hAnsi="ZWAdobeF" w:cs="ZWAdobeF"/>
          <w:sz w:val="2"/>
          <w:szCs w:val="2"/>
        </w:rPr>
        <w:t>551B</w:t>
      </w:r>
      <w:r w:rsidR="00CB481F">
        <w:t>The declining condition of the Upper Murrumbidgee River underscores the urgency for a timely and coordinated policy response upon the Panel’s submission of its final report</w:t>
      </w:r>
      <w:r w:rsidR="00BA3159">
        <w:t>.</w:t>
      </w:r>
      <w:r w:rsidR="00CB481F" w:rsidDel="00BA3159">
        <w:t xml:space="preserve"> </w:t>
      </w:r>
      <w:r w:rsidR="00CB481F">
        <w:t>The Panel advises that the Australian, Victorian, NSW and ACT governments will need to act expeditiously on the Review’s recommendations. These recommendations are essential to support species persistence,</w:t>
      </w:r>
      <w:r w:rsidR="00714C39">
        <w:t xml:space="preserve"> </w:t>
      </w:r>
      <w:r w:rsidR="00C545E5">
        <w:t>maintain water</w:t>
      </w:r>
      <w:r w:rsidR="00CB481F">
        <w:t xml:space="preserve"> quality, protect human health, and secure critical human water needs</w:t>
      </w:r>
      <w:r w:rsidR="00FD3CCB">
        <w:t>,</w:t>
      </w:r>
      <w:r w:rsidR="00171456">
        <w:t xml:space="preserve"> </w:t>
      </w:r>
      <w:r w:rsidR="002C47E6">
        <w:t>at the same time as</w:t>
      </w:r>
      <w:r w:rsidR="00171456">
        <w:t xml:space="preserve"> supporting the national energy market</w:t>
      </w:r>
      <w:r w:rsidR="00CB481F">
        <w:t>. </w:t>
      </w:r>
    </w:p>
    <w:p w14:paraId="0353433A" w14:textId="171D9711" w:rsidR="00D2189C" w:rsidRPr="007C1338" w:rsidRDefault="00382EE8" w:rsidP="00F246A4">
      <w:pPr>
        <w:pStyle w:val="Caption"/>
        <w:keepNext/>
        <w:jc w:val="both"/>
        <w:rPr>
          <w:b/>
          <w:bCs/>
          <w:color w:val="auto"/>
          <w:sz w:val="20"/>
          <w:szCs w:val="20"/>
        </w:rPr>
      </w:pPr>
      <w:r>
        <w:rPr>
          <w:rFonts w:ascii="ZWAdobeF" w:hAnsi="ZWAdobeF" w:cs="ZWAdobeF"/>
          <w:bCs/>
          <w:i w:val="0"/>
          <w:color w:val="auto"/>
          <w:sz w:val="2"/>
          <w:szCs w:val="2"/>
        </w:rPr>
        <w:t>0B</w:t>
      </w:r>
      <w:r w:rsidR="00D2189C" w:rsidRPr="007C1338">
        <w:rPr>
          <w:b/>
          <w:bCs/>
          <w:color w:val="auto"/>
          <w:sz w:val="20"/>
          <w:szCs w:val="20"/>
        </w:rPr>
        <w:t xml:space="preserve">Figure </w:t>
      </w:r>
      <w:r w:rsidR="00D2189C" w:rsidRPr="007C1338">
        <w:rPr>
          <w:b/>
          <w:bCs/>
          <w:color w:val="auto"/>
          <w:sz w:val="20"/>
          <w:szCs w:val="20"/>
        </w:rPr>
        <w:fldChar w:fldCharType="begin"/>
      </w:r>
      <w:r w:rsidR="00D2189C" w:rsidRPr="007C1338">
        <w:rPr>
          <w:b/>
          <w:bCs/>
          <w:color w:val="auto"/>
          <w:sz w:val="20"/>
          <w:szCs w:val="20"/>
        </w:rPr>
        <w:instrText xml:space="preserve"> SEQ Figure \* ARABIC </w:instrText>
      </w:r>
      <w:r w:rsidR="00D2189C" w:rsidRPr="007C1338">
        <w:rPr>
          <w:b/>
          <w:bCs/>
          <w:color w:val="auto"/>
          <w:sz w:val="20"/>
          <w:szCs w:val="20"/>
        </w:rPr>
        <w:fldChar w:fldCharType="separate"/>
      </w:r>
      <w:r w:rsidR="0005178F">
        <w:rPr>
          <w:b/>
          <w:bCs/>
          <w:noProof/>
          <w:color w:val="auto"/>
          <w:sz w:val="20"/>
          <w:szCs w:val="20"/>
        </w:rPr>
        <w:t>1</w:t>
      </w:r>
      <w:r w:rsidR="00D2189C" w:rsidRPr="007C1338">
        <w:rPr>
          <w:b/>
          <w:bCs/>
          <w:color w:val="auto"/>
          <w:sz w:val="20"/>
          <w:szCs w:val="20"/>
        </w:rPr>
        <w:fldChar w:fldCharType="end"/>
      </w:r>
      <w:r w:rsidR="00D2189C" w:rsidRPr="007C1338">
        <w:rPr>
          <w:b/>
          <w:bCs/>
          <w:color w:val="auto"/>
          <w:sz w:val="20"/>
          <w:szCs w:val="20"/>
        </w:rPr>
        <w:t>: The Upper Murrumbidgee at Tantangara Dam</w:t>
      </w:r>
      <w:r w:rsidR="00981144" w:rsidRPr="007C1338">
        <w:rPr>
          <w:b/>
          <w:bCs/>
          <w:color w:val="auto"/>
          <w:sz w:val="20"/>
          <w:szCs w:val="20"/>
        </w:rPr>
        <w:t xml:space="preserve"> (January 2026)</w:t>
      </w:r>
      <w:r w:rsidR="00D2189C" w:rsidRPr="007C1338">
        <w:rPr>
          <w:b/>
          <w:bCs/>
          <w:color w:val="auto"/>
          <w:sz w:val="20"/>
          <w:szCs w:val="20"/>
        </w:rPr>
        <w:t>. Source: Australian Government DCCEEW (January 2026)</w:t>
      </w:r>
    </w:p>
    <w:p w14:paraId="78A53519" w14:textId="77EE96D6" w:rsidR="00C36AB0" w:rsidRDefault="00382EE8" w:rsidP="00ED6068">
      <w:pPr>
        <w:jc w:val="center"/>
      </w:pPr>
      <w:r>
        <w:rPr>
          <w:rFonts w:ascii="ZWAdobeF" w:hAnsi="ZWAdobeF" w:cs="ZWAdobeF"/>
          <w:sz w:val="2"/>
          <w:szCs w:val="2"/>
        </w:rPr>
        <w:t>552B</w:t>
      </w:r>
      <w:r w:rsidR="00D2189C">
        <w:rPr>
          <w:noProof/>
        </w:rPr>
        <w:drawing>
          <wp:inline distT="0" distB="0" distL="0" distR="0" wp14:anchorId="395566D6" wp14:editId="68FEB0D2">
            <wp:extent cx="5905573" cy="4429497"/>
            <wp:effectExtent l="0" t="0" r="0" b="9525"/>
            <wp:docPr id="91556463" name="Picture 23" descr="P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6463" name="Picture 23" descr="P142#yI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8931" cy="4447016"/>
                    </a:xfrm>
                    <a:prstGeom prst="rect">
                      <a:avLst/>
                    </a:prstGeom>
                  </pic:spPr>
                </pic:pic>
              </a:graphicData>
            </a:graphic>
          </wp:inline>
        </w:drawing>
      </w:r>
      <w:r w:rsidR="00C36AB0">
        <w:br w:type="page"/>
      </w:r>
    </w:p>
    <w:p w14:paraId="285EEDDA" w14:textId="669EDF6F" w:rsidR="00C36AB0" w:rsidRDefault="00382EE8" w:rsidP="002C34E5">
      <w:pPr>
        <w:pStyle w:val="ReviewHeading"/>
      </w:pPr>
      <w:bookmarkStart w:id="8" w:name="_Toc233285576"/>
      <w:bookmarkStart w:id="9" w:name="_Toc233801455"/>
      <w:r>
        <w:rPr>
          <w:rFonts w:ascii="ZWAdobeF" w:hAnsi="ZWAdobeF" w:cs="ZWAdobeF"/>
          <w:b w:val="0"/>
          <w:color w:val="auto"/>
          <w:spacing w:val="0"/>
          <w:sz w:val="2"/>
          <w:szCs w:val="2"/>
        </w:rPr>
        <w:lastRenderedPageBreak/>
        <w:t>1658B</w:t>
      </w:r>
      <w:r w:rsidR="002C34E5">
        <w:t>Recommendations</w:t>
      </w:r>
      <w:bookmarkEnd w:id="8"/>
      <w:bookmarkEnd w:id="9"/>
    </w:p>
    <w:p w14:paraId="2E46E576" w14:textId="74CC8F35" w:rsidR="009634E3" w:rsidRDefault="00382EE8" w:rsidP="314E821D">
      <w:pPr>
        <w:spacing w:line="276" w:lineRule="auto"/>
        <w:rPr>
          <w:rFonts w:ascii="Aptos" w:eastAsia="Aptos" w:hAnsi="Aptos" w:cs="Aptos"/>
          <w:b/>
          <w:bCs/>
          <w:sz w:val="24"/>
        </w:rPr>
      </w:pPr>
      <w:r>
        <w:rPr>
          <w:rFonts w:ascii="ZWAdobeF" w:eastAsia="Aptos" w:hAnsi="ZWAdobeF" w:cs="ZWAdobeF"/>
          <w:bCs/>
          <w:sz w:val="2"/>
          <w:szCs w:val="2"/>
        </w:rPr>
        <w:t>553B</w:t>
      </w:r>
      <w:r w:rsidR="0A186AAD" w:rsidRPr="067792F2">
        <w:rPr>
          <w:rFonts w:ascii="Aptos" w:eastAsia="Aptos" w:hAnsi="Aptos" w:cs="Aptos"/>
          <w:b/>
          <w:bCs/>
          <w:sz w:val="24"/>
        </w:rPr>
        <w:t xml:space="preserve">Recommendation Summary </w:t>
      </w:r>
    </w:p>
    <w:p w14:paraId="6CE36BA2" w14:textId="5E6C1E20" w:rsidR="009634E3" w:rsidRPr="000B04CF" w:rsidRDefault="00382EE8">
      <w:r>
        <w:rPr>
          <w:rFonts w:ascii="ZWAdobeF" w:hAnsi="ZWAdobeF" w:cs="ZWAdobeF"/>
          <w:sz w:val="2"/>
          <w:szCs w:val="2"/>
        </w:rPr>
        <w:t>554B</w:t>
      </w:r>
      <w:r w:rsidR="0A186AAD" w:rsidRPr="000B04CF">
        <w:t>The Panel’s recommendations should be read as a cohesive package. They are deliberately interdependent, with each reform reinforcing the others</w:t>
      </w:r>
      <w:r w:rsidR="02C4A2B6" w:rsidRPr="000B04CF">
        <w:t>—</w:t>
      </w:r>
      <w:r w:rsidR="0A186AAD" w:rsidRPr="000B04CF">
        <w:t>implemented in isolation, individual measures will be less effective and may undermine intended outcomes. A holistic approach, sequenced and coordinated across policy, regulatory, and operational settings is therefore essential to realise the full benefits of the Review.</w:t>
      </w:r>
    </w:p>
    <w:p w14:paraId="1707CA27" w14:textId="3E55034B" w:rsidR="009634E3" w:rsidRPr="000B04CF" w:rsidRDefault="00382EE8">
      <w:r>
        <w:rPr>
          <w:rFonts w:ascii="ZWAdobeF" w:hAnsi="ZWAdobeF" w:cs="ZWAdobeF"/>
          <w:sz w:val="2"/>
          <w:szCs w:val="2"/>
        </w:rPr>
        <w:t>555B</w:t>
      </w:r>
      <w:r w:rsidR="0A186AAD" w:rsidRPr="000B04CF">
        <w:t xml:space="preserve">Taken together, the Panel’s recommendations provide a practical pathway to a more coherent and resilient </w:t>
      </w:r>
      <w:r w:rsidR="72697C23" w:rsidRPr="000B04CF">
        <w:t>Deed</w:t>
      </w:r>
      <w:r w:rsidR="0A186AAD" w:rsidRPr="000B04CF">
        <w:t xml:space="preserve"> framework. By strengthening information foundations, improving coordination and aligning incentives across the system, the recommendations seek to enhance trust, support efficient investment and operational decisions and ensure the framework remains fit for purpose in a rapidly changing environment.</w:t>
      </w:r>
    </w:p>
    <w:p w14:paraId="305851D9" w14:textId="51C2EEEE" w:rsidR="009634E3" w:rsidRPr="000B04CF" w:rsidRDefault="00382EE8" w:rsidP="002D5DAB">
      <w:r>
        <w:rPr>
          <w:rFonts w:ascii="ZWAdobeF" w:hAnsi="ZWAdobeF" w:cs="ZWAdobeF"/>
          <w:sz w:val="2"/>
          <w:szCs w:val="2"/>
        </w:rPr>
        <w:t>556B</w:t>
      </w:r>
      <w:r w:rsidR="0A186AAD" w:rsidRPr="000B04CF">
        <w:t>Note that references to ‘</w:t>
      </w:r>
      <w:r w:rsidR="24340D70" w:rsidRPr="000B04CF">
        <w:t>g</w:t>
      </w:r>
      <w:r w:rsidR="0A186AAD" w:rsidRPr="000B04CF">
        <w:t xml:space="preserve">overnments’ in the recommendations mean </w:t>
      </w:r>
      <w:r w:rsidR="45F3FB6D" w:rsidRPr="000B04CF">
        <w:t xml:space="preserve">the </w:t>
      </w:r>
      <w:r w:rsidR="713184F0" w:rsidRPr="000B04CF">
        <w:t>Australian</w:t>
      </w:r>
      <w:r w:rsidR="0A186AAD" w:rsidRPr="000B04CF">
        <w:t>, NSW, V</w:t>
      </w:r>
      <w:r w:rsidR="269C6466" w:rsidRPr="000B04CF">
        <w:t>ictoria</w:t>
      </w:r>
      <w:r w:rsidR="21D41645" w:rsidRPr="000B04CF">
        <w:t>n</w:t>
      </w:r>
      <w:r w:rsidR="0A186AAD" w:rsidRPr="000B04CF">
        <w:t xml:space="preserve"> and </w:t>
      </w:r>
      <w:r w:rsidR="0A186AAD">
        <w:t>ACT</w:t>
      </w:r>
      <w:r w:rsidR="4C1893A1" w:rsidRPr="000B04CF">
        <w:t xml:space="preserve"> governments</w:t>
      </w:r>
      <w:r w:rsidR="0A186AAD" w:rsidRPr="000B04CF">
        <w:t xml:space="preserve">. </w:t>
      </w:r>
    </w:p>
    <w:tbl>
      <w:tblPr>
        <w:tblStyle w:val="TableGrid"/>
        <w:tblW w:w="9351" w:type="dxa"/>
        <w:tblLook w:val="04A0" w:firstRow="1" w:lastRow="0" w:firstColumn="1" w:lastColumn="0" w:noHBand="0" w:noVBand="1"/>
      </w:tblPr>
      <w:tblGrid>
        <w:gridCol w:w="9351"/>
      </w:tblGrid>
      <w:tr w:rsidR="067792F2" w:rsidRPr="004D43C6" w14:paraId="6E6567C0"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5B88F70E" w14:textId="77777777" w:rsidR="00E948D4" w:rsidRPr="00A64286" w:rsidRDefault="00E948D4" w:rsidP="00E948D4">
            <w:pPr>
              <w:spacing w:before="0" w:after="0"/>
              <w:rPr>
                <w:rFonts w:asciiTheme="minorHAnsi" w:eastAsia="Aptos" w:hAnsiTheme="minorHAnsi" w:cs="Aptos"/>
                <w:b/>
                <w:szCs w:val="22"/>
              </w:rPr>
            </w:pPr>
            <w:r w:rsidRPr="00A64286">
              <w:rPr>
                <w:rFonts w:asciiTheme="minorHAnsi" w:eastAsia="Aptos" w:hAnsiTheme="minorHAnsi" w:cs="Aptos"/>
                <w:b/>
                <w:szCs w:val="22"/>
              </w:rPr>
              <w:t>Recommendation 1 – Upper Murrumbidgee River environmental flows</w:t>
            </w:r>
          </w:p>
          <w:p w14:paraId="307ACB4C" w14:textId="77777777" w:rsidR="00E948D4" w:rsidRPr="00A64286" w:rsidRDefault="00E948D4" w:rsidP="00E948D4">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71D5FC12" w14:textId="0F941F62" w:rsidR="00E948D4" w:rsidRPr="00A64286" w:rsidRDefault="00E948D4" w:rsidP="007C1338">
            <w:pPr>
              <w:spacing w:before="0" w:after="0" w:line="276" w:lineRule="auto"/>
              <w:rPr>
                <w:rFonts w:asciiTheme="minorHAnsi" w:eastAsia="Aptos" w:hAnsiTheme="minorHAnsi" w:cs="Aptos"/>
                <w:szCs w:val="22"/>
                <w:lang w:val="en-US"/>
              </w:rPr>
            </w:pPr>
            <w:r w:rsidRPr="00A64286">
              <w:rPr>
                <w:rFonts w:asciiTheme="minorHAnsi" w:eastAsia="Aptos" w:hAnsiTheme="minorHAnsi" w:cs="Aptos"/>
                <w:szCs w:val="22"/>
                <w:lang w:val="en-US"/>
              </w:rPr>
              <w:t>Environmental flows in the Upper Murrumbidgee River are increased to achieve environmental outcom</w:t>
            </w:r>
            <w:r w:rsidRPr="00A64286">
              <w:rPr>
                <w:rFonts w:asciiTheme="minorHAnsi" w:eastAsiaTheme="minorEastAsia" w:hAnsiTheme="minorHAnsi"/>
                <w:szCs w:val="22"/>
                <w:lang w:val="en-US"/>
              </w:rPr>
              <w:t>es equivalent to the delivery of an average annual target of 30% (87 GL equivalent) of the aver</w:t>
            </w:r>
            <w:r w:rsidRPr="00A64286">
              <w:rPr>
                <w:rFonts w:asciiTheme="minorHAnsi" w:eastAsia="Aptos" w:hAnsiTheme="minorHAnsi" w:cs="Aptos"/>
                <w:szCs w:val="22"/>
                <w:lang w:val="en-US"/>
              </w:rPr>
              <w:t xml:space="preserve">age annual inflows into Tantangara Dam, delivered through redirecting a portion of the Required Annual Release from the Snowy-Tumut Development through Tantangara Dam. Meeting this requirement </w:t>
            </w:r>
            <w:r w:rsidR="00587DAE">
              <w:rPr>
                <w:rFonts w:asciiTheme="minorHAnsi" w:eastAsia="Aptos" w:hAnsiTheme="minorHAnsi" w:cs="Aptos"/>
                <w:szCs w:val="22"/>
                <w:lang w:val="en-US"/>
              </w:rPr>
              <w:t xml:space="preserve">is to be </w:t>
            </w:r>
            <w:r w:rsidRPr="00A64286">
              <w:rPr>
                <w:rFonts w:asciiTheme="minorHAnsi" w:eastAsia="Aptos" w:hAnsiTheme="minorHAnsi" w:cs="Aptos"/>
                <w:szCs w:val="22"/>
                <w:lang w:val="en-US"/>
              </w:rPr>
              <w:t>delivered through:</w:t>
            </w:r>
          </w:p>
          <w:p w14:paraId="39343A19" w14:textId="7F328FC8" w:rsidR="00E948D4" w:rsidRPr="00A64286" w:rsidRDefault="00382EE8" w:rsidP="00115BD6">
            <w:pPr>
              <w:pStyle w:val="ListParagraph"/>
              <w:numPr>
                <w:ilvl w:val="0"/>
                <w:numId w:val="80"/>
              </w:numPr>
              <w:spacing w:before="0" w:after="0" w:line="276" w:lineRule="auto"/>
              <w:ind w:left="770"/>
              <w:rPr>
                <w:rFonts w:asciiTheme="minorHAnsi" w:eastAsia="Aptos" w:hAnsiTheme="minorHAnsi" w:cs="Aptos"/>
                <w:szCs w:val="22"/>
                <w:lang w:val="en-US"/>
              </w:rPr>
            </w:pPr>
            <w:r>
              <w:rPr>
                <w:rFonts w:ascii="ZWAdobeF" w:eastAsia="Aptos" w:hAnsi="ZWAdobeF" w:cs="ZWAdobeF"/>
                <w:sz w:val="2"/>
                <w:szCs w:val="2"/>
                <w:lang w:val="en-US"/>
              </w:rPr>
              <w:t>15B</w:t>
            </w:r>
            <w:r w:rsidR="00E948D4" w:rsidRPr="00A64286">
              <w:rPr>
                <w:rFonts w:asciiTheme="minorHAnsi" w:eastAsia="Aptos" w:hAnsiTheme="minorHAnsi" w:cs="Aptos"/>
                <w:szCs w:val="22"/>
                <w:lang w:val="en-US"/>
              </w:rPr>
              <w:t xml:space="preserve">planned environmental water - rules-based variable baseflows and small freshes that provide certainty in operations and minimum outcomes </w:t>
            </w:r>
          </w:p>
          <w:p w14:paraId="23A598CA" w14:textId="606E36A0" w:rsidR="00E948D4" w:rsidRPr="00A64286" w:rsidRDefault="00382EE8" w:rsidP="00115BD6">
            <w:pPr>
              <w:pStyle w:val="ListParagraph"/>
              <w:numPr>
                <w:ilvl w:val="0"/>
                <w:numId w:val="80"/>
              </w:numPr>
              <w:spacing w:before="0" w:after="0" w:line="276" w:lineRule="auto"/>
              <w:ind w:left="770"/>
              <w:rPr>
                <w:rFonts w:asciiTheme="minorHAnsi" w:eastAsia="Aptos" w:hAnsiTheme="minorHAnsi" w:cs="Aptos"/>
                <w:szCs w:val="22"/>
                <w:lang w:val="en-US"/>
              </w:rPr>
            </w:pPr>
            <w:r>
              <w:rPr>
                <w:rFonts w:ascii="ZWAdobeF" w:eastAsia="Aptos" w:hAnsi="ZWAdobeF" w:cs="ZWAdobeF"/>
                <w:sz w:val="2"/>
                <w:szCs w:val="2"/>
                <w:lang w:val="en-US"/>
              </w:rPr>
              <w:t>16B</w:t>
            </w:r>
            <w:r w:rsidR="00E948D4" w:rsidRPr="00A64286">
              <w:rPr>
                <w:rFonts w:asciiTheme="minorHAnsi" w:eastAsia="Aptos" w:hAnsiTheme="minorHAnsi" w:cs="Aptos"/>
                <w:szCs w:val="22"/>
                <w:lang w:val="en-US"/>
              </w:rPr>
              <w:t>adaptive environmental water - managed through flexible operating arrangements with the scale and timing of releases aligned with climate conditions and proportionate to Tantangara Dam inflows</w:t>
            </w:r>
          </w:p>
          <w:p w14:paraId="22E350B5" w14:textId="4F007AA7" w:rsidR="00E948D4" w:rsidRPr="00A64286" w:rsidRDefault="00382EE8" w:rsidP="00115BD6">
            <w:pPr>
              <w:pStyle w:val="ListParagraph"/>
              <w:numPr>
                <w:ilvl w:val="0"/>
                <w:numId w:val="80"/>
              </w:numPr>
              <w:spacing w:before="0" w:after="0" w:line="276" w:lineRule="auto"/>
              <w:ind w:left="770"/>
              <w:rPr>
                <w:rFonts w:asciiTheme="minorHAnsi" w:eastAsia="Aptos" w:hAnsiTheme="minorHAnsi" w:cs="Aptos"/>
                <w:szCs w:val="22"/>
                <w:lang w:val="en-US"/>
              </w:rPr>
            </w:pPr>
            <w:r>
              <w:rPr>
                <w:rFonts w:ascii="ZWAdobeF" w:eastAsia="Aptos" w:hAnsi="ZWAdobeF" w:cs="ZWAdobeF"/>
                <w:sz w:val="2"/>
                <w:szCs w:val="2"/>
                <w:lang w:val="en-US"/>
              </w:rPr>
              <w:t>17B</w:t>
            </w:r>
            <w:r w:rsidR="00E948D4" w:rsidRPr="00A64286">
              <w:rPr>
                <w:rFonts w:asciiTheme="minorHAnsi" w:eastAsia="Aptos" w:hAnsiTheme="minorHAnsi" w:cs="Aptos"/>
                <w:szCs w:val="22"/>
                <w:lang w:val="en-US"/>
              </w:rPr>
              <w:t xml:space="preserve">the volume is in addition to other environmental flows for the associated montane rivers and the Snowy River </w:t>
            </w:r>
          </w:p>
          <w:p w14:paraId="059BE2A2" w14:textId="57AAD028" w:rsidR="00E948D4" w:rsidRPr="00A64286" w:rsidRDefault="00382EE8" w:rsidP="00115BD6">
            <w:pPr>
              <w:pStyle w:val="ListParagraph"/>
              <w:numPr>
                <w:ilvl w:val="0"/>
                <w:numId w:val="80"/>
              </w:numPr>
              <w:spacing w:before="0" w:after="0" w:line="276" w:lineRule="auto"/>
              <w:ind w:left="770"/>
              <w:rPr>
                <w:rFonts w:asciiTheme="minorHAnsi" w:eastAsia="Aptos" w:hAnsiTheme="minorHAnsi" w:cs="Aptos"/>
                <w:szCs w:val="22"/>
                <w:lang w:val="en-US"/>
              </w:rPr>
            </w:pPr>
            <w:r>
              <w:rPr>
                <w:rFonts w:ascii="ZWAdobeF" w:eastAsia="Aptos" w:hAnsi="ZWAdobeF" w:cs="ZWAdobeF"/>
                <w:sz w:val="2"/>
                <w:szCs w:val="2"/>
                <w:lang w:val="en-US"/>
              </w:rPr>
              <w:t>18B</w:t>
            </w:r>
            <w:r w:rsidR="00E948D4" w:rsidRPr="00A64286">
              <w:rPr>
                <w:rFonts w:asciiTheme="minorHAnsi" w:eastAsia="Aptos" w:hAnsiTheme="minorHAnsi" w:cs="Aptos"/>
                <w:szCs w:val="22"/>
                <w:lang w:val="en-US"/>
              </w:rPr>
              <w:t>staged delivery, commencing with an increase in the v</w:t>
            </w:r>
            <w:r w:rsidR="00E948D4" w:rsidRPr="00A64286">
              <w:rPr>
                <w:rFonts w:asciiTheme="minorHAnsi" w:eastAsiaTheme="minorEastAsia" w:hAnsiTheme="minorHAnsi"/>
                <w:szCs w:val="22"/>
                <w:lang w:val="en-US"/>
              </w:rPr>
              <w:t>olume of water to an average annual target of 23% (68 GL equivalent) of average annua</w:t>
            </w:r>
            <w:r w:rsidR="00E948D4" w:rsidRPr="00A64286">
              <w:rPr>
                <w:rFonts w:asciiTheme="minorHAnsi" w:eastAsia="Aptos" w:hAnsiTheme="minorHAnsi" w:cs="Aptos"/>
                <w:szCs w:val="22"/>
                <w:lang w:val="en-US"/>
              </w:rPr>
              <w:t>l inflow, with further increase subject to a 5-year audit on the effectiveness of environmental water delivery.</w:t>
            </w:r>
          </w:p>
          <w:p w14:paraId="02FA49CF" w14:textId="18BD75C2"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6AFA7A08"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58D64083" w14:textId="287339BB" w:rsidR="067792F2" w:rsidRPr="00A64286" w:rsidRDefault="067792F2" w:rsidP="1734B9EC">
            <w:pPr>
              <w:spacing w:before="0" w:after="0"/>
              <w:rPr>
                <w:rFonts w:asciiTheme="minorHAnsi" w:eastAsia="Aptos" w:hAnsiTheme="minorHAnsi" w:cs="Aptos"/>
                <w:b/>
              </w:rPr>
            </w:pPr>
            <w:r w:rsidRPr="6E62429A">
              <w:rPr>
                <w:rFonts w:asciiTheme="minorHAnsi" w:eastAsia="Aptos" w:hAnsiTheme="minorHAnsi" w:cs="Aptos"/>
                <w:b/>
              </w:rPr>
              <w:t xml:space="preserve">Recommendation </w:t>
            </w:r>
            <w:r w:rsidR="00587DAE">
              <w:rPr>
                <w:rFonts w:asciiTheme="minorHAnsi" w:eastAsia="Aptos" w:hAnsiTheme="minorHAnsi" w:cs="Aptos"/>
                <w:b/>
              </w:rPr>
              <w:t>2</w:t>
            </w:r>
            <w:r w:rsidRPr="6E62429A">
              <w:rPr>
                <w:rFonts w:asciiTheme="minorHAnsi" w:eastAsia="Aptos" w:hAnsiTheme="minorHAnsi" w:cs="Aptos"/>
                <w:b/>
              </w:rPr>
              <w:t xml:space="preserve"> </w:t>
            </w:r>
            <w:r w:rsidR="004F4122" w:rsidRPr="6E62429A">
              <w:rPr>
                <w:rFonts w:asciiTheme="minorHAnsi" w:eastAsia="Aptos" w:hAnsiTheme="minorHAnsi" w:cs="Aptos"/>
                <w:b/>
              </w:rPr>
              <w:t xml:space="preserve">– </w:t>
            </w:r>
            <w:r w:rsidRPr="6E62429A">
              <w:rPr>
                <w:rFonts w:asciiTheme="minorHAnsi" w:eastAsia="Aptos" w:hAnsiTheme="minorHAnsi" w:cs="Aptos"/>
                <w:b/>
              </w:rPr>
              <w:t xml:space="preserve">Tantangara Dam Outlet Upgrade </w:t>
            </w:r>
            <w:r w:rsidR="00846616" w:rsidRPr="6E62429A">
              <w:rPr>
                <w:rFonts w:asciiTheme="minorHAnsi" w:eastAsia="Aptos" w:hAnsiTheme="minorHAnsi" w:cs="Aptos"/>
                <w:b/>
                <w:bCs/>
              </w:rPr>
              <w:t>Feasibility</w:t>
            </w:r>
            <w:r w:rsidR="7434F6A1" w:rsidRPr="6E62429A">
              <w:rPr>
                <w:rFonts w:asciiTheme="minorHAnsi" w:eastAsia="Aptos" w:hAnsiTheme="minorHAnsi" w:cs="Aptos"/>
                <w:b/>
                <w:bCs/>
              </w:rPr>
              <w:t xml:space="preserve"> Study</w:t>
            </w:r>
          </w:p>
          <w:p w14:paraId="41E0C189" w14:textId="456AEEDE" w:rsidR="067792F2" w:rsidRPr="00A64286" w:rsidRDefault="067792F2" w:rsidP="00CC7A58">
            <w:pPr>
              <w:spacing w:before="0" w:after="0" w:line="276" w:lineRule="auto"/>
              <w:rPr>
                <w:rFonts w:asciiTheme="minorHAnsi" w:eastAsia="Aptos" w:hAnsiTheme="minorHAnsi" w:cs="Aptos"/>
                <w:b/>
                <w:szCs w:val="22"/>
              </w:rPr>
            </w:pPr>
            <w:r w:rsidRPr="00A64286">
              <w:rPr>
                <w:rFonts w:asciiTheme="minorHAnsi" w:eastAsia="Aptos" w:hAnsiTheme="minorHAnsi" w:cs="Aptos"/>
                <w:b/>
                <w:szCs w:val="22"/>
              </w:rPr>
              <w:t xml:space="preserve"> </w:t>
            </w:r>
          </w:p>
          <w:p w14:paraId="0BDFA0A9" w14:textId="3C68DBE6" w:rsidR="008F16A9" w:rsidRDefault="05CC312F" w:rsidP="007C1338">
            <w:pPr>
              <w:spacing w:before="0" w:after="0" w:line="276" w:lineRule="auto"/>
              <w:rPr>
                <w:rFonts w:ascii="Aptos" w:eastAsia="Aptos" w:hAnsi="Aptos" w:cs="Aptos"/>
              </w:rPr>
            </w:pPr>
            <w:r w:rsidRPr="078A0D1C">
              <w:rPr>
                <w:rFonts w:asciiTheme="minorHAnsi" w:eastAsia="Aptos" w:hAnsiTheme="minorHAnsi" w:cs="Aptos"/>
              </w:rPr>
              <w:t>Snowy Hydro to commission and submit to the Australian Government, within 2 years from th</w:t>
            </w:r>
            <w:r w:rsidR="740C62E0" w:rsidRPr="078A0D1C">
              <w:rPr>
                <w:rFonts w:asciiTheme="minorHAnsi" w:eastAsia="Aptos" w:hAnsiTheme="minorHAnsi" w:cs="Aptos"/>
              </w:rPr>
              <w:t>e acceptance of this</w:t>
            </w:r>
            <w:r w:rsidRPr="078A0D1C">
              <w:rPr>
                <w:rFonts w:asciiTheme="minorHAnsi" w:eastAsia="Aptos" w:hAnsiTheme="minorHAnsi" w:cs="Aptos"/>
              </w:rPr>
              <w:t xml:space="preserve"> </w:t>
            </w:r>
            <w:r w:rsidR="00D450DB">
              <w:rPr>
                <w:rFonts w:asciiTheme="minorHAnsi" w:eastAsia="Aptos" w:hAnsiTheme="minorHAnsi" w:cs="Aptos"/>
              </w:rPr>
              <w:t>R</w:t>
            </w:r>
            <w:r w:rsidRPr="078A0D1C">
              <w:rPr>
                <w:rFonts w:asciiTheme="minorHAnsi" w:eastAsia="Aptos" w:hAnsiTheme="minorHAnsi" w:cs="Aptos"/>
              </w:rPr>
              <w:t xml:space="preserve">eview report, </w:t>
            </w:r>
            <w:r w:rsidR="31160C6D" w:rsidRPr="078A0D1C">
              <w:rPr>
                <w:rFonts w:asciiTheme="minorHAnsi" w:eastAsia="Aptos" w:hAnsiTheme="minorHAnsi" w:cs="Aptos"/>
              </w:rPr>
              <w:t>a</w:t>
            </w:r>
            <w:r w:rsidR="731AFB40" w:rsidRPr="078A0D1C">
              <w:rPr>
                <w:rFonts w:asciiTheme="minorHAnsi" w:eastAsia="Aptos" w:hAnsiTheme="minorHAnsi" w:cs="Aptos"/>
              </w:rPr>
              <w:t>n independent</w:t>
            </w:r>
            <w:r w:rsidR="31160C6D" w:rsidRPr="078A0D1C">
              <w:rPr>
                <w:rFonts w:asciiTheme="minorHAnsi" w:eastAsia="Aptos" w:hAnsiTheme="minorHAnsi" w:cs="Aptos"/>
              </w:rPr>
              <w:t xml:space="preserve"> </w:t>
            </w:r>
            <w:r w:rsidR="6B6B06EA" w:rsidRPr="078A0D1C">
              <w:rPr>
                <w:rFonts w:asciiTheme="minorHAnsi" w:eastAsia="Aptos" w:hAnsiTheme="minorHAnsi" w:cs="Aptos"/>
              </w:rPr>
              <w:t>study</w:t>
            </w:r>
            <w:r w:rsidR="51DD44AF" w:rsidRPr="078A0D1C">
              <w:rPr>
                <w:rFonts w:asciiTheme="minorHAnsi" w:eastAsia="Aptos" w:hAnsiTheme="minorHAnsi" w:cs="Aptos"/>
              </w:rPr>
              <w:t xml:space="preserve"> </w:t>
            </w:r>
            <w:r w:rsidR="55A1521F" w:rsidRPr="078A0D1C">
              <w:rPr>
                <w:rFonts w:asciiTheme="minorHAnsi" w:eastAsia="Aptos" w:hAnsiTheme="minorHAnsi" w:cs="Aptos"/>
              </w:rPr>
              <w:t xml:space="preserve">to </w:t>
            </w:r>
            <w:r w:rsidR="07431ABD" w:rsidRPr="078A0D1C">
              <w:rPr>
                <w:rFonts w:asciiTheme="minorHAnsi" w:eastAsia="Aptos" w:hAnsiTheme="minorHAnsi" w:cs="Aptos"/>
              </w:rPr>
              <w:t xml:space="preserve">determine feasibility level costs of </w:t>
            </w:r>
            <w:r w:rsidRPr="078A0D1C">
              <w:rPr>
                <w:rFonts w:asciiTheme="minorHAnsi" w:eastAsia="Aptos" w:hAnsiTheme="minorHAnsi" w:cs="Aptos"/>
              </w:rPr>
              <w:t>upgrad</w:t>
            </w:r>
            <w:r w:rsidR="08867CD6" w:rsidRPr="078A0D1C">
              <w:rPr>
                <w:rFonts w:asciiTheme="minorHAnsi" w:eastAsia="Aptos" w:hAnsiTheme="minorHAnsi" w:cs="Aptos"/>
              </w:rPr>
              <w:t>ing</w:t>
            </w:r>
            <w:r w:rsidRPr="078A0D1C">
              <w:rPr>
                <w:rFonts w:asciiTheme="minorHAnsi" w:eastAsia="Aptos" w:hAnsiTheme="minorHAnsi" w:cs="Aptos"/>
              </w:rPr>
              <w:t xml:space="preserve"> the outlet </w:t>
            </w:r>
            <w:r w:rsidR="121D2733" w:rsidRPr="078A0D1C">
              <w:rPr>
                <w:rFonts w:asciiTheme="minorHAnsi" w:eastAsia="Aptos" w:hAnsiTheme="minorHAnsi" w:cs="Aptos"/>
              </w:rPr>
              <w:t>val</w:t>
            </w:r>
            <w:r w:rsidR="184A1B84" w:rsidRPr="078A0D1C">
              <w:rPr>
                <w:rFonts w:asciiTheme="minorHAnsi" w:eastAsia="Aptos" w:hAnsiTheme="minorHAnsi" w:cs="Aptos"/>
              </w:rPr>
              <w:t>v</w:t>
            </w:r>
            <w:r w:rsidR="121D2733" w:rsidRPr="078A0D1C">
              <w:rPr>
                <w:rFonts w:asciiTheme="minorHAnsi" w:eastAsia="Aptos" w:hAnsiTheme="minorHAnsi" w:cs="Aptos"/>
              </w:rPr>
              <w:t>e</w:t>
            </w:r>
            <w:r w:rsidRPr="078A0D1C">
              <w:rPr>
                <w:rFonts w:asciiTheme="minorHAnsi" w:eastAsia="Aptos" w:hAnsiTheme="minorHAnsi" w:cs="Aptos"/>
              </w:rPr>
              <w:t xml:space="preserve"> on Tantangara Dam, to enable flushing flows that are required to support ecosystem recovery.</w:t>
            </w:r>
            <w:r w:rsidR="7D577695" w:rsidRPr="078A0D1C">
              <w:rPr>
                <w:rFonts w:asciiTheme="minorHAnsi" w:eastAsia="Aptos" w:hAnsiTheme="minorHAnsi" w:cs="Aptos"/>
              </w:rPr>
              <w:t xml:space="preserve"> </w:t>
            </w:r>
            <w:r w:rsidR="115C41F1" w:rsidRPr="078A0D1C">
              <w:rPr>
                <w:rFonts w:asciiTheme="minorHAnsi" w:eastAsia="Aptos" w:hAnsiTheme="minorHAnsi" w:cs="Aptos"/>
              </w:rPr>
              <w:t>Following this,</w:t>
            </w:r>
            <w:r w:rsidR="7D577695" w:rsidRPr="078A0D1C">
              <w:rPr>
                <w:rFonts w:asciiTheme="minorHAnsi" w:eastAsia="Aptos" w:hAnsiTheme="minorHAnsi" w:cs="Aptos"/>
              </w:rPr>
              <w:t xml:space="preserve"> </w:t>
            </w:r>
            <w:r w:rsidR="361766EC" w:rsidRPr="078A0D1C">
              <w:rPr>
                <w:rFonts w:asciiTheme="minorHAnsi" w:eastAsia="Aptos" w:hAnsiTheme="minorHAnsi" w:cs="Aptos"/>
              </w:rPr>
              <w:t>the</w:t>
            </w:r>
            <w:r w:rsidR="7D577695" w:rsidRPr="078A0D1C">
              <w:rPr>
                <w:rFonts w:asciiTheme="minorHAnsi" w:eastAsia="Aptos" w:hAnsiTheme="minorHAnsi" w:cs="Aptos"/>
              </w:rPr>
              <w:t xml:space="preserve"> cost benefit analysis should then be </w:t>
            </w:r>
            <w:r w:rsidR="361766EC" w:rsidRPr="078A0D1C">
              <w:rPr>
                <w:rFonts w:asciiTheme="minorHAnsi" w:eastAsia="Aptos" w:hAnsiTheme="minorHAnsi" w:cs="Aptos"/>
              </w:rPr>
              <w:t>updated</w:t>
            </w:r>
            <w:r w:rsidR="2D97003F" w:rsidRPr="078A0D1C">
              <w:rPr>
                <w:rFonts w:asciiTheme="minorHAnsi" w:eastAsia="Aptos" w:hAnsiTheme="minorHAnsi" w:cs="Aptos"/>
              </w:rPr>
              <w:t xml:space="preserve"> </w:t>
            </w:r>
            <w:r w:rsidR="7D577695" w:rsidRPr="078A0D1C">
              <w:rPr>
                <w:rFonts w:asciiTheme="minorHAnsi" w:eastAsia="Aptos" w:hAnsiTheme="minorHAnsi" w:cs="Aptos"/>
              </w:rPr>
              <w:t xml:space="preserve">to determine whether the </w:t>
            </w:r>
            <w:r w:rsidR="60C4FF36" w:rsidRPr="078A0D1C">
              <w:rPr>
                <w:rFonts w:asciiTheme="minorHAnsi" w:eastAsia="Aptos" w:hAnsiTheme="minorHAnsi" w:cs="Aptos"/>
              </w:rPr>
              <w:t>upgrade should proceed.</w:t>
            </w:r>
            <w:r w:rsidR="2D97003F" w:rsidRPr="078A0D1C">
              <w:rPr>
                <w:rFonts w:ascii="Aptos" w:eastAsia="Aptos" w:hAnsi="Aptos" w:cs="Aptos"/>
              </w:rPr>
              <w:t xml:space="preserve"> </w:t>
            </w:r>
          </w:p>
          <w:p w14:paraId="1B176182" w14:textId="7471FBE0" w:rsidR="067792F2" w:rsidRPr="00A64286" w:rsidRDefault="2D97003F" w:rsidP="007C1338">
            <w:pPr>
              <w:spacing w:before="0" w:after="0" w:line="276" w:lineRule="auto"/>
              <w:rPr>
                <w:rFonts w:asciiTheme="minorHAnsi" w:eastAsia="Aptos" w:hAnsiTheme="minorHAnsi" w:cs="Aptos"/>
                <w:b/>
                <w:szCs w:val="22"/>
              </w:rPr>
            </w:pPr>
            <w:r w:rsidRPr="078A0D1C">
              <w:rPr>
                <w:rFonts w:ascii="Aptos" w:eastAsia="Aptos" w:hAnsi="Aptos" w:cs="Aptos"/>
              </w:rPr>
              <w:lastRenderedPageBreak/>
              <w:t>The development of the business case must be consistent with Infrastructure Australia’s Assessment Framework to reflect national standards for best-practice infrastructure development.</w:t>
            </w:r>
          </w:p>
        </w:tc>
      </w:tr>
      <w:tr w:rsidR="067792F2" w:rsidRPr="004D43C6" w14:paraId="1E701DCF"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2EC15D98" w14:textId="31F5DCF8" w:rsidR="067792F2" w:rsidRPr="00A64286" w:rsidRDefault="067792F2" w:rsidP="00BE3B29">
            <w:pPr>
              <w:keepNext/>
              <w:spacing w:before="0" w:after="0"/>
              <w:rPr>
                <w:rFonts w:asciiTheme="minorHAnsi" w:eastAsia="Aptos" w:hAnsiTheme="minorHAnsi" w:cs="Aptos"/>
                <w:b/>
              </w:rPr>
            </w:pPr>
            <w:r w:rsidRPr="67DB55ED">
              <w:rPr>
                <w:rFonts w:asciiTheme="minorHAnsi" w:eastAsia="Aptos" w:hAnsiTheme="minorHAnsi" w:cs="Aptos"/>
                <w:b/>
              </w:rPr>
              <w:lastRenderedPageBreak/>
              <w:t xml:space="preserve">Recommendation </w:t>
            </w:r>
            <w:r w:rsidR="00151F69">
              <w:rPr>
                <w:rFonts w:asciiTheme="minorHAnsi" w:eastAsia="Aptos" w:hAnsiTheme="minorHAnsi" w:cs="Aptos"/>
                <w:b/>
              </w:rPr>
              <w:t>3</w:t>
            </w:r>
            <w:r w:rsidR="006E2F6B">
              <w:rPr>
                <w:rFonts w:asciiTheme="minorHAnsi" w:eastAsia="Aptos" w:hAnsiTheme="minorHAnsi" w:cs="Aptos"/>
                <w:b/>
              </w:rPr>
              <w:t xml:space="preserve"> </w:t>
            </w:r>
            <w:r w:rsidR="004F4122" w:rsidRPr="67DB55ED">
              <w:rPr>
                <w:rFonts w:asciiTheme="minorHAnsi" w:eastAsia="Aptos" w:hAnsiTheme="minorHAnsi" w:cs="Aptos"/>
                <w:b/>
              </w:rPr>
              <w:t xml:space="preserve">– </w:t>
            </w:r>
            <w:r w:rsidRPr="67DB55ED">
              <w:rPr>
                <w:rFonts w:asciiTheme="minorHAnsi" w:eastAsia="Aptos" w:hAnsiTheme="minorHAnsi" w:cs="Aptos"/>
                <w:b/>
              </w:rPr>
              <w:t>Environmental Water Monitoring Program</w:t>
            </w:r>
          </w:p>
          <w:p w14:paraId="18409592" w14:textId="53724631" w:rsidR="067792F2" w:rsidRPr="00A64286" w:rsidRDefault="067792F2" w:rsidP="00BE3B29">
            <w:pPr>
              <w:keepNext/>
              <w:spacing w:before="0" w:after="0"/>
              <w:rPr>
                <w:rFonts w:asciiTheme="minorHAnsi" w:eastAsia="Aptos" w:hAnsiTheme="minorHAnsi" w:cs="Aptos"/>
                <w:b/>
              </w:rPr>
            </w:pPr>
            <w:r w:rsidRPr="67DB55ED">
              <w:rPr>
                <w:rFonts w:asciiTheme="minorHAnsi" w:eastAsia="Aptos" w:hAnsiTheme="minorHAnsi" w:cs="Aptos"/>
                <w:b/>
              </w:rPr>
              <w:t xml:space="preserve"> </w:t>
            </w:r>
          </w:p>
          <w:p w14:paraId="3AA5BDAC" w14:textId="380648D9" w:rsidR="067792F2" w:rsidRPr="00A64286" w:rsidRDefault="05CC312F" w:rsidP="078A0D1C">
            <w:pPr>
              <w:spacing w:before="0" w:after="0" w:line="276" w:lineRule="auto"/>
              <w:rPr>
                <w:rFonts w:asciiTheme="minorHAnsi" w:eastAsia="Aptos" w:hAnsiTheme="minorHAnsi" w:cs="Aptos"/>
              </w:rPr>
            </w:pPr>
            <w:r w:rsidRPr="078A0D1C">
              <w:rPr>
                <w:rFonts w:asciiTheme="minorHAnsi" w:eastAsia="Aptos" w:hAnsiTheme="minorHAnsi" w:cs="Aptos"/>
              </w:rPr>
              <w:t xml:space="preserve">The Commonwealth Environmental Water Holder, with </w:t>
            </w:r>
            <w:r w:rsidR="3DCB3184" w:rsidRPr="078A0D1C">
              <w:rPr>
                <w:rFonts w:asciiTheme="minorHAnsi" w:eastAsia="Aptos" w:hAnsiTheme="minorHAnsi" w:cs="Aptos"/>
              </w:rPr>
              <w:t>g</w:t>
            </w:r>
            <w:r w:rsidR="65B7DEC3" w:rsidRPr="078A0D1C">
              <w:rPr>
                <w:rFonts w:asciiTheme="minorHAnsi" w:eastAsia="Aptos" w:hAnsiTheme="minorHAnsi" w:cs="Aptos"/>
              </w:rPr>
              <w:t>overnments</w:t>
            </w:r>
            <w:r w:rsidRPr="078A0D1C">
              <w:rPr>
                <w:rFonts w:asciiTheme="minorHAnsi" w:eastAsia="Aptos" w:hAnsiTheme="minorHAnsi" w:cs="Aptos"/>
              </w:rPr>
              <w:t xml:space="preserve">, should establish, as a priority, a monitoring program that builds a baseline for assessing the effectiveness of environmental water delivery </w:t>
            </w:r>
            <w:r w:rsidR="00E22617">
              <w:rPr>
                <w:rFonts w:asciiTheme="minorHAnsi" w:eastAsia="Aptos" w:hAnsiTheme="minorHAnsi" w:cs="Aptos"/>
              </w:rPr>
              <w:t>by</w:t>
            </w:r>
            <w:r w:rsidRPr="078A0D1C">
              <w:rPr>
                <w:rFonts w:asciiTheme="minorHAnsi" w:eastAsia="Aptos" w:hAnsiTheme="minorHAnsi" w:cs="Aptos"/>
              </w:rPr>
              <w:t xml:space="preserve"> </w:t>
            </w:r>
            <w:r w:rsidR="66FCAD69" w:rsidRPr="078A0D1C">
              <w:rPr>
                <w:rFonts w:asciiTheme="minorHAnsi" w:eastAsia="Aptos" w:hAnsiTheme="minorHAnsi" w:cs="Aptos"/>
              </w:rPr>
              <w:t>g</w:t>
            </w:r>
            <w:r w:rsidR="65B7DEC3" w:rsidRPr="078A0D1C">
              <w:rPr>
                <w:rFonts w:asciiTheme="minorHAnsi" w:eastAsia="Aptos" w:hAnsiTheme="minorHAnsi" w:cs="Aptos"/>
              </w:rPr>
              <w:t>overnment</w:t>
            </w:r>
            <w:r w:rsidR="5DCE5ADE" w:rsidRPr="078A0D1C">
              <w:rPr>
                <w:rFonts w:asciiTheme="minorHAnsi" w:eastAsia="Aptos" w:hAnsiTheme="minorHAnsi" w:cs="Aptos"/>
              </w:rPr>
              <w:t>s</w:t>
            </w:r>
            <w:r w:rsidRPr="078A0D1C">
              <w:rPr>
                <w:rFonts w:asciiTheme="minorHAnsi" w:eastAsia="Aptos" w:hAnsiTheme="minorHAnsi" w:cs="Aptos"/>
              </w:rPr>
              <w:t xml:space="preserve"> </w:t>
            </w:r>
            <w:r w:rsidR="00C379D7">
              <w:rPr>
                <w:rFonts w:asciiTheme="minorHAnsi" w:eastAsia="Aptos" w:hAnsiTheme="minorHAnsi" w:cs="Aptos"/>
              </w:rPr>
              <w:t xml:space="preserve">when considering </w:t>
            </w:r>
            <w:r w:rsidRPr="078A0D1C">
              <w:rPr>
                <w:rFonts w:asciiTheme="minorHAnsi" w:eastAsia="Aptos" w:hAnsiTheme="minorHAnsi" w:cs="Aptos"/>
              </w:rPr>
              <w:t>the business case for infrastructure upgrades.</w:t>
            </w:r>
          </w:p>
          <w:p w14:paraId="1D8EA08F" w14:textId="48EFAEDA"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510757CB"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6DF6A52C" w14:textId="6416FEBB"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151F69">
              <w:rPr>
                <w:rFonts w:asciiTheme="minorHAnsi" w:eastAsia="Aptos" w:hAnsiTheme="minorHAnsi" w:cs="Aptos"/>
                <w:b/>
                <w:szCs w:val="22"/>
              </w:rPr>
              <w:t>4</w:t>
            </w:r>
            <w:r w:rsidRPr="00A64286">
              <w:rPr>
                <w:rFonts w:asciiTheme="minorHAnsi" w:eastAsia="Aptos" w:hAnsiTheme="minorHAnsi" w:cs="Aptos"/>
                <w:b/>
                <w:szCs w:val="22"/>
              </w:rPr>
              <w:t xml:space="preserve"> </w:t>
            </w:r>
            <w:r w:rsidR="004F4122" w:rsidRPr="00A64286">
              <w:rPr>
                <w:rFonts w:asciiTheme="minorHAnsi" w:eastAsia="Aptos" w:hAnsiTheme="minorHAnsi" w:cs="Aptos"/>
                <w:b/>
                <w:szCs w:val="22"/>
              </w:rPr>
              <w:t xml:space="preserve">– </w:t>
            </w:r>
            <w:r w:rsidRPr="00A64286">
              <w:rPr>
                <w:rFonts w:asciiTheme="minorHAnsi" w:eastAsia="Aptos" w:hAnsiTheme="minorHAnsi" w:cs="Aptos"/>
                <w:b/>
                <w:szCs w:val="22"/>
              </w:rPr>
              <w:t>ACT Water Entitlement Contribution to Environmental Flows</w:t>
            </w:r>
          </w:p>
          <w:p w14:paraId="4B8D2418" w14:textId="02B0A88E"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0BD53C9E" w14:textId="2B73E3BB" w:rsidR="067792F2" w:rsidRPr="00A64286" w:rsidRDefault="7E5FAC3C" w:rsidP="00CC7A58">
            <w:pPr>
              <w:spacing w:before="0" w:after="0" w:line="276" w:lineRule="auto"/>
              <w:rPr>
                <w:rFonts w:asciiTheme="minorHAnsi" w:eastAsia="Aptos" w:hAnsiTheme="minorHAnsi" w:cs="Aptos"/>
              </w:rPr>
            </w:pPr>
            <w:r w:rsidRPr="00A64286">
              <w:rPr>
                <w:rFonts w:asciiTheme="minorHAnsi" w:eastAsia="Aptos" w:hAnsiTheme="minorHAnsi" w:cs="Aptos"/>
              </w:rPr>
              <w:t>The ACT Government provide</w:t>
            </w:r>
            <w:r w:rsidR="00AE08B1">
              <w:rPr>
                <w:rFonts w:asciiTheme="minorHAnsi" w:eastAsia="Aptos" w:hAnsiTheme="minorHAnsi" w:cs="Aptos"/>
              </w:rPr>
              <w:t>s</w:t>
            </w:r>
            <w:r w:rsidRPr="00A64286">
              <w:rPr>
                <w:rFonts w:asciiTheme="minorHAnsi" w:eastAsia="Aptos" w:hAnsiTheme="minorHAnsi" w:cs="Aptos"/>
              </w:rPr>
              <w:t xml:space="preserve"> water entitlements to the Commonwealth Environmental Water Holder of a volume that offsets the actual volumetric risk to water reliability in the regulated Murrumbidgee from the additional </w:t>
            </w:r>
            <w:r w:rsidR="00151F69">
              <w:rPr>
                <w:rFonts w:asciiTheme="minorHAnsi" w:eastAsia="Aptos" w:hAnsiTheme="minorHAnsi" w:cs="Aptos"/>
              </w:rPr>
              <w:t xml:space="preserve">minor </w:t>
            </w:r>
            <w:r w:rsidRPr="00A64286">
              <w:rPr>
                <w:rFonts w:asciiTheme="minorHAnsi" w:eastAsia="Aptos" w:hAnsiTheme="minorHAnsi" w:cs="Aptos"/>
              </w:rPr>
              <w:t>transmission losses associated with improving environmental flows. This entitlement is a dependency for the increased environmental water and contributes towards the ACT Government’s inclusion as a Party to the new</w:t>
            </w:r>
            <w:r w:rsidR="008C79DE">
              <w:rPr>
                <w:rFonts w:asciiTheme="minorHAnsi" w:eastAsia="Aptos" w:hAnsiTheme="minorHAnsi" w:cs="Aptos"/>
              </w:rPr>
              <w:t xml:space="preserve"> Deed</w:t>
            </w:r>
            <w:r w:rsidRPr="00A64286">
              <w:rPr>
                <w:rFonts w:asciiTheme="minorHAnsi" w:eastAsia="Aptos" w:hAnsiTheme="minorHAnsi" w:cs="Aptos"/>
              </w:rPr>
              <w:t xml:space="preserve">. </w:t>
            </w:r>
          </w:p>
          <w:p w14:paraId="174E8F7D" w14:textId="19D48CB4"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15F7E76C"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6C56E405" w14:textId="613740BF"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151F69">
              <w:rPr>
                <w:rFonts w:asciiTheme="minorHAnsi" w:eastAsia="Aptos" w:hAnsiTheme="minorHAnsi" w:cs="Aptos"/>
                <w:b/>
                <w:szCs w:val="22"/>
              </w:rPr>
              <w:t>5</w:t>
            </w:r>
            <w:r w:rsidRPr="00A64286">
              <w:rPr>
                <w:rFonts w:asciiTheme="minorHAnsi" w:eastAsia="Aptos" w:hAnsiTheme="minorHAnsi" w:cs="Aptos"/>
                <w:b/>
                <w:szCs w:val="22"/>
              </w:rPr>
              <w:t xml:space="preserve"> – Snowy River Increased Flows</w:t>
            </w:r>
          </w:p>
          <w:p w14:paraId="43BE71BA" w14:textId="5205C115"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 </w:t>
            </w:r>
          </w:p>
          <w:p w14:paraId="671E2B21" w14:textId="5ED1FDDB" w:rsidR="00E30114" w:rsidRPr="00A64286" w:rsidRDefault="2BA0847A" w:rsidP="007C1338">
            <w:pPr>
              <w:spacing w:before="0" w:after="0" w:line="276" w:lineRule="auto"/>
              <w:rPr>
                <w:rFonts w:asciiTheme="minorHAnsi" w:eastAsia="Aptos" w:hAnsiTheme="minorHAnsi" w:cs="Aptos"/>
                <w:lang w:val="en-US"/>
              </w:rPr>
            </w:pPr>
            <w:r w:rsidRPr="06CF2A45">
              <w:rPr>
                <w:rFonts w:asciiTheme="minorHAnsi" w:eastAsia="Aptos" w:hAnsiTheme="minorHAnsi" w:cs="Aptos"/>
                <w:lang w:val="en-US"/>
              </w:rPr>
              <w:t xml:space="preserve">For the final report the IRP </w:t>
            </w:r>
            <w:r w:rsidR="000D1CA2">
              <w:rPr>
                <w:rFonts w:asciiTheme="minorHAnsi" w:eastAsia="Aptos" w:hAnsiTheme="minorHAnsi" w:cs="Aptos"/>
                <w:lang w:val="en-US"/>
              </w:rPr>
              <w:t xml:space="preserve">further </w:t>
            </w:r>
            <w:r w:rsidRPr="06CF2A45">
              <w:rPr>
                <w:rFonts w:asciiTheme="minorHAnsi" w:eastAsia="Aptos" w:hAnsiTheme="minorHAnsi" w:cs="Aptos"/>
                <w:lang w:val="en-US"/>
              </w:rPr>
              <w:t xml:space="preserve">investigate the impact on the NEM of </w:t>
            </w:r>
            <w:r w:rsidR="00151F69">
              <w:rPr>
                <w:rFonts w:asciiTheme="minorHAnsi" w:eastAsia="Aptos" w:hAnsiTheme="minorHAnsi" w:cs="Aptos"/>
                <w:lang w:val="en-US"/>
              </w:rPr>
              <w:t xml:space="preserve">Snowy Hydro </w:t>
            </w:r>
            <w:r w:rsidRPr="06CF2A45">
              <w:rPr>
                <w:rFonts w:asciiTheme="minorHAnsi" w:eastAsia="Aptos" w:hAnsiTheme="minorHAnsi" w:cs="Aptos"/>
                <w:lang w:val="en-US"/>
              </w:rPr>
              <w:t xml:space="preserve">delivering an annual average of 212 GL to the Snowy River, noting that this was the original intent of the Deed and that water was purchased for this purpose and that rather than being delivered to the Snowy River the water has been used for energy and irrigators.  In this </w:t>
            </w:r>
            <w:r w:rsidR="7EC57C69" w:rsidRPr="06CF2A45">
              <w:rPr>
                <w:rFonts w:asciiTheme="minorHAnsi" w:eastAsia="Aptos" w:hAnsiTheme="minorHAnsi" w:cs="Aptos"/>
                <w:lang w:val="en-US"/>
              </w:rPr>
              <w:t>context,</w:t>
            </w:r>
            <w:r w:rsidRPr="06CF2A45">
              <w:rPr>
                <w:rFonts w:asciiTheme="minorHAnsi" w:eastAsia="Aptos" w:hAnsiTheme="minorHAnsi" w:cs="Aptos"/>
                <w:lang w:val="en-US"/>
              </w:rPr>
              <w:t xml:space="preserve"> the Panel notes, </w:t>
            </w:r>
            <w:r w:rsidR="0462F03D" w:rsidRPr="06CF2A45">
              <w:rPr>
                <w:rFonts w:asciiTheme="minorHAnsi" w:eastAsia="Aptos" w:hAnsiTheme="minorHAnsi" w:cs="Aptos"/>
                <w:lang w:val="en-US"/>
              </w:rPr>
              <w:t>t</w:t>
            </w:r>
            <w:r w:rsidRPr="06CF2A45">
              <w:rPr>
                <w:rFonts w:asciiTheme="minorHAnsi" w:eastAsia="Aptos" w:hAnsiTheme="minorHAnsi" w:cs="Aptos"/>
                <w:lang w:val="en-US"/>
              </w:rPr>
              <w:t>here is no reasonable basis for applying existing compensation arrangements to deliver on the original policy intent of governments.</w:t>
            </w:r>
          </w:p>
          <w:p w14:paraId="15E253B3" w14:textId="61679637"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4967321E"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42A7EBBD" w14:textId="1FBBC00C"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1D2D1A">
              <w:rPr>
                <w:rFonts w:asciiTheme="minorHAnsi" w:eastAsia="Aptos" w:hAnsiTheme="minorHAnsi" w:cs="Aptos"/>
                <w:b/>
                <w:szCs w:val="22"/>
              </w:rPr>
              <w:t>6</w:t>
            </w:r>
            <w:r w:rsidRPr="00A64286">
              <w:rPr>
                <w:rFonts w:asciiTheme="minorHAnsi" w:eastAsia="Aptos" w:hAnsiTheme="minorHAnsi" w:cs="Aptos"/>
                <w:b/>
                <w:szCs w:val="22"/>
              </w:rPr>
              <w:t xml:space="preserve"> – Evaluation of Snowy River Increased Flows</w:t>
            </w:r>
            <w:r w:rsidR="00151F69">
              <w:rPr>
                <w:rFonts w:asciiTheme="minorHAnsi" w:eastAsia="Aptos" w:hAnsiTheme="minorHAnsi" w:cs="Aptos"/>
                <w:b/>
                <w:szCs w:val="22"/>
              </w:rPr>
              <w:t xml:space="preserve"> and other Snowy Montane Rivers</w:t>
            </w:r>
          </w:p>
          <w:p w14:paraId="6B139483" w14:textId="5F8002B2"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 </w:t>
            </w:r>
          </w:p>
          <w:p w14:paraId="56E438D3" w14:textId="09E289BC" w:rsidR="00C6641B" w:rsidRPr="00A64286" w:rsidRDefault="00C6641B" w:rsidP="0042099D">
            <w:pPr>
              <w:spacing w:before="0" w:after="0" w:line="276" w:lineRule="auto"/>
              <w:rPr>
                <w:rFonts w:asciiTheme="minorHAnsi" w:eastAsia="Aptos" w:hAnsiTheme="minorHAnsi" w:cs="Aptos"/>
                <w:szCs w:val="22"/>
                <w:lang w:val="en-US"/>
              </w:rPr>
            </w:pPr>
            <w:r w:rsidRPr="00A64286">
              <w:rPr>
                <w:rFonts w:asciiTheme="minorHAnsi" w:eastAsia="Aptos" w:hAnsiTheme="minorHAnsi" w:cs="Aptos"/>
                <w:szCs w:val="22"/>
                <w:lang w:val="en-US"/>
              </w:rPr>
              <w:t>Within 3 years of the acceptance of this report, the effectiveness of the existing Snowy River Increased Flows to be subject to a thorough, quantitative evaluation for delivering on the original agreed commitment of governments to restore the health of the Snowy River. This review</w:t>
            </w:r>
            <w:r w:rsidR="00151F69">
              <w:rPr>
                <w:rFonts w:asciiTheme="minorHAnsi" w:eastAsia="Aptos" w:hAnsiTheme="minorHAnsi" w:cs="Aptos"/>
                <w:szCs w:val="22"/>
                <w:lang w:val="en-US"/>
              </w:rPr>
              <w:t xml:space="preserve"> is to</w:t>
            </w:r>
            <w:r w:rsidRPr="00A64286">
              <w:rPr>
                <w:rFonts w:asciiTheme="minorHAnsi" w:eastAsia="Aptos" w:hAnsiTheme="minorHAnsi" w:cs="Aptos"/>
                <w:szCs w:val="22"/>
                <w:lang w:val="en-US"/>
              </w:rPr>
              <w:t>:</w:t>
            </w:r>
          </w:p>
          <w:p w14:paraId="0C64D211" w14:textId="1DD6E20D" w:rsidR="00C6641B" w:rsidRPr="00A64286" w:rsidRDefault="00382EE8" w:rsidP="00115BD6">
            <w:pPr>
              <w:pStyle w:val="ListParagraph"/>
              <w:numPr>
                <w:ilvl w:val="0"/>
                <w:numId w:val="113"/>
              </w:numPr>
              <w:spacing w:before="0" w:after="0" w:line="276" w:lineRule="auto"/>
              <w:rPr>
                <w:rFonts w:asciiTheme="minorHAnsi" w:eastAsia="Aptos" w:hAnsiTheme="minorHAnsi" w:cs="Aptos"/>
                <w:szCs w:val="22"/>
                <w:lang w:val="en-US"/>
              </w:rPr>
            </w:pPr>
            <w:r>
              <w:rPr>
                <w:rFonts w:ascii="ZWAdobeF" w:eastAsia="Aptos" w:hAnsi="ZWAdobeF" w:cs="ZWAdobeF"/>
                <w:sz w:val="2"/>
                <w:szCs w:val="2"/>
                <w:lang w:val="en-US"/>
              </w:rPr>
              <w:t>19B</w:t>
            </w:r>
            <w:r w:rsidR="00C6641B" w:rsidRPr="00A64286">
              <w:rPr>
                <w:rFonts w:asciiTheme="minorHAnsi" w:eastAsia="Aptos" w:hAnsiTheme="minorHAnsi" w:cs="Aptos"/>
                <w:szCs w:val="22"/>
                <w:lang w:val="en-US"/>
              </w:rPr>
              <w:t>be undertaken by the Australian Government, in consultation with relevant jurisdictions</w:t>
            </w:r>
          </w:p>
          <w:p w14:paraId="12DBA0BC" w14:textId="34C5A850" w:rsidR="00C6641B" w:rsidRPr="00A64286" w:rsidRDefault="00382EE8" w:rsidP="00115BD6">
            <w:pPr>
              <w:pStyle w:val="ListParagraph"/>
              <w:numPr>
                <w:ilvl w:val="0"/>
                <w:numId w:val="113"/>
              </w:numPr>
              <w:spacing w:before="0" w:after="0" w:line="276" w:lineRule="auto"/>
              <w:rPr>
                <w:rFonts w:asciiTheme="minorHAnsi" w:eastAsia="Aptos" w:hAnsiTheme="minorHAnsi" w:cs="Aptos"/>
                <w:szCs w:val="22"/>
                <w:lang w:val="en-US"/>
              </w:rPr>
            </w:pPr>
            <w:r>
              <w:rPr>
                <w:rFonts w:ascii="ZWAdobeF" w:eastAsia="Aptos" w:hAnsi="ZWAdobeF" w:cs="ZWAdobeF"/>
                <w:sz w:val="2"/>
                <w:szCs w:val="2"/>
                <w:lang w:val="en-US"/>
              </w:rPr>
              <w:t>20B</w:t>
            </w:r>
            <w:r w:rsidR="00C6641B" w:rsidRPr="00A64286">
              <w:rPr>
                <w:rFonts w:asciiTheme="minorHAnsi" w:eastAsia="Aptos" w:hAnsiTheme="minorHAnsi" w:cs="Aptos"/>
                <w:szCs w:val="22"/>
                <w:lang w:val="en-US"/>
              </w:rPr>
              <w:t>review the effective volume and adaptive flow approach of environmental water required to achieve the policy objective, with consideration for climate projections and growth in water demands along the river</w:t>
            </w:r>
          </w:p>
          <w:p w14:paraId="0EB1F583" w14:textId="19322BC3" w:rsidR="00C6641B" w:rsidRPr="00A64286" w:rsidRDefault="00382EE8" w:rsidP="00115BD6">
            <w:pPr>
              <w:pStyle w:val="ListParagraph"/>
              <w:numPr>
                <w:ilvl w:val="0"/>
                <w:numId w:val="113"/>
              </w:numPr>
              <w:spacing w:before="0" w:after="0" w:line="276" w:lineRule="auto"/>
              <w:rPr>
                <w:rFonts w:asciiTheme="minorHAnsi" w:eastAsia="Aptos" w:hAnsiTheme="minorHAnsi" w:cs="Aptos"/>
              </w:rPr>
            </w:pPr>
            <w:r>
              <w:rPr>
                <w:rFonts w:ascii="ZWAdobeF" w:eastAsia="Aptos" w:hAnsi="ZWAdobeF" w:cs="ZWAdobeF"/>
                <w:sz w:val="2"/>
                <w:szCs w:val="2"/>
              </w:rPr>
              <w:t>21B</w:t>
            </w:r>
            <w:r w:rsidR="00C6641B" w:rsidRPr="6E62429A">
              <w:rPr>
                <w:rFonts w:asciiTheme="minorHAnsi" w:eastAsia="Aptos" w:hAnsiTheme="minorHAnsi" w:cs="Aptos"/>
              </w:rPr>
              <w:t xml:space="preserve">develop </w:t>
            </w:r>
            <w:r w:rsidR="32947B11" w:rsidRPr="6E62429A">
              <w:rPr>
                <w:rFonts w:asciiTheme="minorHAnsi" w:eastAsia="Aptos" w:hAnsiTheme="minorHAnsi" w:cs="Aptos"/>
              </w:rPr>
              <w:t>measurable</w:t>
            </w:r>
            <w:r w:rsidR="00C6641B" w:rsidRPr="6E62429A">
              <w:rPr>
                <w:rFonts w:asciiTheme="minorHAnsi" w:eastAsia="Aptos" w:hAnsiTheme="minorHAnsi" w:cs="Aptos"/>
              </w:rPr>
              <w:t xml:space="preserve"> ecological objectives for the Snowy River as a priority under the renewed arrangement to support outcome-based environmental water delivery and long-term system performance</w:t>
            </w:r>
          </w:p>
          <w:p w14:paraId="1E7A6FA9" w14:textId="433D13EC" w:rsidR="00FA37C5" w:rsidRPr="00BE3B29" w:rsidRDefault="00382EE8" w:rsidP="00115BD6">
            <w:pPr>
              <w:pStyle w:val="ListParagraph"/>
              <w:numPr>
                <w:ilvl w:val="0"/>
                <w:numId w:val="113"/>
              </w:numPr>
              <w:spacing w:after="0" w:line="276" w:lineRule="auto"/>
              <w:rPr>
                <w:rFonts w:ascii="Aptos" w:eastAsia="Aptos" w:hAnsi="Aptos" w:cs="Aptos"/>
                <w:szCs w:val="22"/>
              </w:rPr>
            </w:pPr>
            <w:r>
              <w:rPr>
                <w:rFonts w:ascii="ZWAdobeF" w:eastAsia="Aptos" w:hAnsi="ZWAdobeF" w:cs="ZWAdobeF"/>
                <w:sz w:val="2"/>
                <w:szCs w:val="2"/>
              </w:rPr>
              <w:t>22B</w:t>
            </w:r>
            <w:r w:rsidR="00FA37C5" w:rsidRPr="655F6B9D">
              <w:rPr>
                <w:rFonts w:ascii="Aptos" w:eastAsia="Aptos" w:hAnsi="Aptos" w:cs="Aptos"/>
                <w:szCs w:val="22"/>
              </w:rPr>
              <w:t>investigate the impact on the NEM of S</w:t>
            </w:r>
            <w:r w:rsidR="00FA37C5">
              <w:rPr>
                <w:rFonts w:ascii="Aptos" w:eastAsia="Aptos" w:hAnsi="Aptos" w:cs="Aptos"/>
                <w:szCs w:val="22"/>
              </w:rPr>
              <w:t>nowy Hydro</w:t>
            </w:r>
            <w:r w:rsidR="00FA37C5" w:rsidRPr="655F6B9D">
              <w:rPr>
                <w:rFonts w:ascii="Aptos" w:eastAsia="Aptos" w:hAnsi="Aptos" w:cs="Aptos"/>
                <w:szCs w:val="22"/>
              </w:rPr>
              <w:t xml:space="preserve"> delivering</w:t>
            </w:r>
            <w:r w:rsidR="00FA37C5">
              <w:rPr>
                <w:rFonts w:ascii="Aptos" w:eastAsia="Aptos" w:hAnsi="Aptos" w:cs="Aptos"/>
                <w:szCs w:val="22"/>
              </w:rPr>
              <w:t xml:space="preserve"> up to </w:t>
            </w:r>
            <w:r w:rsidR="00FA37C5" w:rsidRPr="655F6B9D">
              <w:rPr>
                <w:rFonts w:ascii="Aptos" w:eastAsia="Aptos" w:hAnsi="Aptos" w:cs="Aptos"/>
                <w:szCs w:val="22"/>
              </w:rPr>
              <w:t>2</w:t>
            </w:r>
            <w:r w:rsidR="00FA37C5">
              <w:rPr>
                <w:rFonts w:ascii="Aptos" w:eastAsia="Aptos" w:hAnsi="Aptos" w:cs="Aptos"/>
                <w:szCs w:val="22"/>
              </w:rPr>
              <w:t>94</w:t>
            </w:r>
            <w:r w:rsidR="00FA37C5" w:rsidRPr="655F6B9D">
              <w:rPr>
                <w:rFonts w:ascii="Aptos" w:eastAsia="Aptos" w:hAnsi="Aptos" w:cs="Aptos"/>
                <w:szCs w:val="22"/>
              </w:rPr>
              <w:t xml:space="preserve"> GL to the Snowy River</w:t>
            </w:r>
          </w:p>
          <w:p w14:paraId="7876E250" w14:textId="1971F127" w:rsidR="00C6641B" w:rsidRPr="00A64286" w:rsidRDefault="00382EE8" w:rsidP="00115BD6">
            <w:pPr>
              <w:pStyle w:val="ListParagraph"/>
              <w:numPr>
                <w:ilvl w:val="0"/>
                <w:numId w:val="113"/>
              </w:numPr>
              <w:spacing w:before="0" w:after="0" w:line="276" w:lineRule="auto"/>
              <w:rPr>
                <w:rFonts w:asciiTheme="minorHAnsi" w:eastAsia="Aptos" w:hAnsiTheme="minorHAnsi" w:cs="Aptos"/>
                <w:szCs w:val="22"/>
              </w:rPr>
            </w:pPr>
            <w:r>
              <w:rPr>
                <w:rFonts w:ascii="ZWAdobeF" w:eastAsia="Aptos" w:hAnsi="ZWAdobeF" w:cs="ZWAdobeF"/>
                <w:sz w:val="2"/>
                <w:szCs w:val="2"/>
              </w:rPr>
              <w:t>23B</w:t>
            </w:r>
            <w:r w:rsidR="00C6641B" w:rsidRPr="00A64286">
              <w:rPr>
                <w:rFonts w:asciiTheme="minorHAnsi" w:eastAsia="Aptos" w:hAnsiTheme="minorHAnsi" w:cs="Aptos"/>
                <w:szCs w:val="22"/>
              </w:rPr>
              <w:t>on completion of the exercise for the Snowy River, prepare a plan and costings for undertaking a similar exercise for the other rivers in the Snowy scheme.</w:t>
            </w:r>
          </w:p>
          <w:p w14:paraId="5CC5B4F0" w14:textId="03D4FEB1" w:rsidR="067792F2" w:rsidRPr="00A64286" w:rsidRDefault="067792F2" w:rsidP="1734B9EC">
            <w:pPr>
              <w:spacing w:before="0" w:after="0"/>
              <w:rPr>
                <w:rFonts w:asciiTheme="minorHAnsi" w:eastAsia="Aptos" w:hAnsiTheme="minorHAnsi" w:cs="Aptos"/>
                <w:szCs w:val="22"/>
              </w:rPr>
            </w:pPr>
          </w:p>
        </w:tc>
      </w:tr>
      <w:tr w:rsidR="067792F2" w:rsidRPr="004D43C6" w14:paraId="2EF101E8"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2BD42C63" w14:textId="00C34BFA" w:rsidR="067792F2" w:rsidRPr="00A64286" w:rsidRDefault="067792F2" w:rsidP="00BE3B29">
            <w:pPr>
              <w:keepNext/>
              <w:spacing w:before="0" w:after="0"/>
              <w:rPr>
                <w:rFonts w:asciiTheme="minorHAnsi" w:eastAsia="Aptos" w:hAnsiTheme="minorHAnsi" w:cs="Aptos"/>
                <w:b/>
              </w:rPr>
            </w:pPr>
            <w:r w:rsidRPr="67DB55ED">
              <w:rPr>
                <w:rFonts w:asciiTheme="minorHAnsi" w:eastAsia="Aptos" w:hAnsiTheme="minorHAnsi" w:cs="Aptos"/>
                <w:b/>
              </w:rPr>
              <w:lastRenderedPageBreak/>
              <w:t xml:space="preserve">Recommendation </w:t>
            </w:r>
            <w:r w:rsidR="00881101">
              <w:rPr>
                <w:rFonts w:asciiTheme="minorHAnsi" w:eastAsia="Aptos" w:hAnsiTheme="minorHAnsi" w:cs="Aptos"/>
                <w:b/>
              </w:rPr>
              <w:t>7</w:t>
            </w:r>
            <w:r w:rsidRPr="67DB55ED">
              <w:rPr>
                <w:rFonts w:asciiTheme="minorHAnsi" w:eastAsia="Aptos" w:hAnsiTheme="minorHAnsi" w:cs="Aptos"/>
                <w:b/>
              </w:rPr>
              <w:t xml:space="preserve"> </w:t>
            </w:r>
            <w:r w:rsidR="006C6EC2" w:rsidRPr="67DB55ED">
              <w:rPr>
                <w:rFonts w:asciiTheme="minorHAnsi" w:eastAsia="Aptos" w:hAnsiTheme="minorHAnsi" w:cs="Aptos"/>
                <w:b/>
              </w:rPr>
              <w:t>–</w:t>
            </w:r>
            <w:r w:rsidRPr="67DB55ED">
              <w:rPr>
                <w:rFonts w:asciiTheme="minorHAnsi" w:eastAsia="Aptos" w:hAnsiTheme="minorHAnsi" w:cs="Aptos"/>
                <w:b/>
              </w:rPr>
              <w:t xml:space="preserve"> Decommissioning of Mowamba Weir </w:t>
            </w:r>
          </w:p>
          <w:p w14:paraId="38B01E6F" w14:textId="3CFDB2CE" w:rsidR="067792F2" w:rsidRPr="00A64286" w:rsidRDefault="067792F2" w:rsidP="00BE3B29">
            <w:pPr>
              <w:keepNext/>
              <w:spacing w:before="0" w:after="0"/>
              <w:rPr>
                <w:rFonts w:asciiTheme="minorHAnsi" w:eastAsia="Aptos" w:hAnsiTheme="minorHAnsi" w:cs="Aptos"/>
              </w:rPr>
            </w:pPr>
            <w:r w:rsidRPr="67DB55ED">
              <w:rPr>
                <w:rFonts w:asciiTheme="minorHAnsi" w:eastAsia="Aptos" w:hAnsiTheme="minorHAnsi" w:cs="Aptos"/>
              </w:rPr>
              <w:t xml:space="preserve"> </w:t>
            </w:r>
          </w:p>
          <w:p w14:paraId="77CC49F0" w14:textId="491A3FEC" w:rsidR="067792F2" w:rsidRPr="00A64286" w:rsidRDefault="00AF233E" w:rsidP="0042099D">
            <w:pPr>
              <w:spacing w:before="0" w:after="0" w:line="276" w:lineRule="auto"/>
              <w:rPr>
                <w:rFonts w:asciiTheme="minorHAnsi" w:eastAsia="Aptos" w:hAnsiTheme="minorHAnsi" w:cs="Aptos"/>
              </w:rPr>
            </w:pPr>
            <w:r>
              <w:rPr>
                <w:rFonts w:asciiTheme="minorHAnsi" w:eastAsia="Aptos" w:hAnsiTheme="minorHAnsi" w:cs="Aptos"/>
              </w:rPr>
              <w:t>D</w:t>
            </w:r>
            <w:r w:rsidR="7E5FAC3C" w:rsidRPr="6E62429A">
              <w:rPr>
                <w:rFonts w:asciiTheme="minorHAnsi" w:eastAsia="Aptos" w:hAnsiTheme="minorHAnsi" w:cs="Aptos"/>
              </w:rPr>
              <w:t>ecommission the Mowamba Weir within 5 years of</w:t>
            </w:r>
            <w:r w:rsidR="008565C3">
              <w:rPr>
                <w:rFonts w:asciiTheme="minorHAnsi" w:eastAsia="Aptos" w:hAnsiTheme="minorHAnsi" w:cs="Aptos"/>
              </w:rPr>
              <w:t xml:space="preserve"> acceptance of</w:t>
            </w:r>
            <w:r w:rsidR="7E5FAC3C" w:rsidRPr="6E62429A">
              <w:rPr>
                <w:rFonts w:asciiTheme="minorHAnsi" w:eastAsia="Aptos" w:hAnsiTheme="minorHAnsi" w:cs="Aptos"/>
              </w:rPr>
              <w:t xml:space="preserve"> this review, giving effect to recommendations from the Ten-Year Review of the Snowy Water Licence.</w:t>
            </w:r>
          </w:p>
          <w:p w14:paraId="28B52189" w14:textId="0735F6B3" w:rsidR="007C1338"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 </w:t>
            </w:r>
          </w:p>
        </w:tc>
      </w:tr>
      <w:tr w:rsidR="067792F2" w:rsidRPr="004D43C6" w14:paraId="3C645C8E"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00FFE93A" w14:textId="4825360D" w:rsidR="067792F2" w:rsidRPr="00A64286" w:rsidRDefault="7E5FAC3C"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881101">
              <w:rPr>
                <w:rFonts w:asciiTheme="minorHAnsi" w:eastAsia="Aptos" w:hAnsiTheme="minorHAnsi" w:cs="Aptos"/>
                <w:b/>
                <w:szCs w:val="22"/>
              </w:rPr>
              <w:t>8</w:t>
            </w:r>
            <w:r w:rsidRPr="00A64286">
              <w:rPr>
                <w:rFonts w:asciiTheme="minorHAnsi" w:eastAsia="Aptos" w:hAnsiTheme="minorHAnsi" w:cs="Aptos"/>
                <w:b/>
                <w:szCs w:val="22"/>
              </w:rPr>
              <w:t xml:space="preserve"> – Adaptive Operating Framework for </w:t>
            </w:r>
            <w:r w:rsidR="00597BD5">
              <w:rPr>
                <w:rFonts w:asciiTheme="minorHAnsi" w:eastAsia="Aptos" w:hAnsiTheme="minorHAnsi" w:cs="Aptos"/>
                <w:b/>
                <w:szCs w:val="22"/>
              </w:rPr>
              <w:t>the Upper Murrumbidgee</w:t>
            </w:r>
          </w:p>
          <w:p w14:paraId="1672C4CC" w14:textId="59044D44" w:rsidR="067792F2" w:rsidRPr="00A64286" w:rsidRDefault="7E5FAC3C"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 </w:t>
            </w:r>
          </w:p>
          <w:p w14:paraId="43A000C6" w14:textId="44D80AAC" w:rsidR="00895F16" w:rsidRPr="00A64286" w:rsidRDefault="5C7685C9" w:rsidP="0042099D">
            <w:pPr>
              <w:spacing w:before="0" w:after="0" w:line="276" w:lineRule="auto"/>
              <w:rPr>
                <w:rFonts w:asciiTheme="minorHAnsi" w:eastAsia="Aptos" w:hAnsiTheme="minorHAnsi" w:cs="Aptos"/>
                <w:lang w:val="en-US"/>
              </w:rPr>
            </w:pPr>
            <w:r w:rsidRPr="078A0D1C">
              <w:rPr>
                <w:rFonts w:asciiTheme="minorHAnsi" w:eastAsia="Aptos" w:hAnsiTheme="minorHAnsi" w:cs="Aptos"/>
                <w:lang w:val="en-US"/>
              </w:rPr>
              <w:t>NSW implement</w:t>
            </w:r>
            <w:r w:rsidR="1C6EED4D" w:rsidRPr="078A0D1C">
              <w:rPr>
                <w:rFonts w:asciiTheme="minorHAnsi" w:eastAsia="Aptos" w:hAnsiTheme="minorHAnsi" w:cs="Aptos"/>
                <w:lang w:val="en-US"/>
              </w:rPr>
              <w:t xml:space="preserve">, </w:t>
            </w:r>
            <w:r w:rsidR="235ED758" w:rsidRPr="078A0D1C">
              <w:rPr>
                <w:rFonts w:asciiTheme="minorHAnsi" w:eastAsia="Aptos" w:hAnsiTheme="minorHAnsi" w:cs="Aptos"/>
                <w:lang w:val="en-US"/>
              </w:rPr>
              <w:t xml:space="preserve">in consultation </w:t>
            </w:r>
            <w:r w:rsidR="1C6EED4D" w:rsidRPr="078A0D1C">
              <w:rPr>
                <w:rFonts w:asciiTheme="minorHAnsi" w:eastAsia="Aptos" w:hAnsiTheme="minorHAnsi" w:cs="Aptos"/>
                <w:lang w:val="en-US"/>
              </w:rPr>
              <w:t>with other governments</w:t>
            </w:r>
            <w:r w:rsidR="6FFFBAE6" w:rsidRPr="078A0D1C">
              <w:rPr>
                <w:rFonts w:asciiTheme="minorHAnsi" w:eastAsia="Aptos" w:hAnsiTheme="minorHAnsi" w:cs="Aptos"/>
                <w:lang w:val="en-US"/>
              </w:rPr>
              <w:t xml:space="preserve"> </w:t>
            </w:r>
            <w:r w:rsidR="04F5709B" w:rsidRPr="078A0D1C">
              <w:rPr>
                <w:rFonts w:asciiTheme="minorHAnsi" w:eastAsia="Aptos" w:hAnsiTheme="minorHAnsi" w:cs="Aptos"/>
                <w:lang w:val="en-US"/>
              </w:rPr>
              <w:t xml:space="preserve">and with advice from Snowy </w:t>
            </w:r>
            <w:r w:rsidR="00423FF0" w:rsidRPr="078A0D1C">
              <w:rPr>
                <w:rFonts w:asciiTheme="minorHAnsi" w:eastAsia="Aptos" w:hAnsiTheme="minorHAnsi" w:cs="Aptos"/>
                <w:lang w:val="en-US"/>
              </w:rPr>
              <w:t>Hydro, an</w:t>
            </w:r>
            <w:r w:rsidRPr="078A0D1C">
              <w:rPr>
                <w:rFonts w:asciiTheme="minorHAnsi" w:eastAsia="Aptos" w:hAnsiTheme="minorHAnsi" w:cs="Aptos"/>
                <w:lang w:val="en-US"/>
              </w:rPr>
              <w:t xml:space="preserve"> adaptive operating framework to provide flexible operating arrangements that </w:t>
            </w:r>
            <w:r w:rsidR="1C6EED4D" w:rsidRPr="078A0D1C">
              <w:rPr>
                <w:rFonts w:asciiTheme="minorHAnsi" w:eastAsia="Aptos" w:hAnsiTheme="minorHAnsi" w:cs="Aptos"/>
                <w:lang w:val="en-US"/>
              </w:rPr>
              <w:t xml:space="preserve">deliver </w:t>
            </w:r>
            <w:r w:rsidRPr="078A0D1C">
              <w:rPr>
                <w:rFonts w:asciiTheme="minorHAnsi" w:eastAsia="Aptos" w:hAnsiTheme="minorHAnsi" w:cs="Aptos"/>
                <w:lang w:val="en-US"/>
              </w:rPr>
              <w:t>environmental outcomes and provide flexible responsiveness to critical weather, water and energy events within the Upper Murrumbidgee River</w:t>
            </w:r>
            <w:r w:rsidR="6EEFBC9F" w:rsidRPr="078A0D1C">
              <w:rPr>
                <w:rFonts w:asciiTheme="minorHAnsi" w:eastAsia="Aptos" w:hAnsiTheme="minorHAnsi" w:cs="Aptos"/>
                <w:lang w:val="en-US"/>
              </w:rPr>
              <w:t>.</w:t>
            </w:r>
            <w:r w:rsidRPr="078A0D1C">
              <w:rPr>
                <w:rFonts w:asciiTheme="minorHAnsi" w:eastAsia="Aptos" w:hAnsiTheme="minorHAnsi" w:cs="Aptos"/>
                <w:lang w:val="en-US"/>
              </w:rPr>
              <w:t xml:space="preserve"> </w:t>
            </w:r>
          </w:p>
          <w:p w14:paraId="6C4A7B80" w14:textId="77777777" w:rsidR="00895F16" w:rsidRPr="00A64286" w:rsidRDefault="00895F16" w:rsidP="0042099D">
            <w:pPr>
              <w:spacing w:before="0" w:after="0" w:line="276" w:lineRule="auto"/>
              <w:rPr>
                <w:rFonts w:asciiTheme="minorHAnsi" w:eastAsia="Aptos" w:hAnsiTheme="minorHAnsi" w:cs="Aptos"/>
                <w:szCs w:val="22"/>
                <w:lang w:val="en-US"/>
              </w:rPr>
            </w:pPr>
          </w:p>
          <w:p w14:paraId="0070D9F6" w14:textId="3785B012" w:rsidR="00895F16" w:rsidRPr="00A64286" w:rsidRDefault="00895F16" w:rsidP="0042099D">
            <w:pPr>
              <w:spacing w:before="0" w:after="0" w:line="276" w:lineRule="auto"/>
              <w:rPr>
                <w:rFonts w:asciiTheme="minorHAnsi" w:eastAsia="Aptos" w:hAnsiTheme="minorHAnsi" w:cs="Aptos"/>
                <w:szCs w:val="22"/>
                <w:lang w:val="en-US"/>
              </w:rPr>
            </w:pPr>
            <w:r w:rsidRPr="00A64286">
              <w:rPr>
                <w:rFonts w:asciiTheme="minorHAnsi" w:eastAsia="Aptos" w:hAnsiTheme="minorHAnsi" w:cs="Aptos"/>
                <w:szCs w:val="22"/>
                <w:lang w:val="en-US"/>
              </w:rPr>
              <w:t xml:space="preserve">The environmental </w:t>
            </w:r>
            <w:r w:rsidR="00E35374" w:rsidRPr="00A64286">
              <w:rPr>
                <w:rFonts w:asciiTheme="minorHAnsi" w:eastAsia="Aptos" w:hAnsiTheme="minorHAnsi" w:cs="Aptos"/>
                <w:szCs w:val="22"/>
                <w:lang w:val="en-US"/>
              </w:rPr>
              <w:t>water</w:t>
            </w:r>
            <w:r w:rsidRPr="00A64286">
              <w:rPr>
                <w:rFonts w:asciiTheme="minorHAnsi" w:eastAsia="Aptos" w:hAnsiTheme="minorHAnsi" w:cs="Aptos"/>
                <w:szCs w:val="22"/>
                <w:lang w:val="en-US"/>
              </w:rPr>
              <w:t xml:space="preserve"> flow program for the Upper Murrumbidgee </w:t>
            </w:r>
            <w:r w:rsidR="00136072">
              <w:rPr>
                <w:rFonts w:asciiTheme="minorHAnsi" w:eastAsia="Aptos" w:hAnsiTheme="minorHAnsi" w:cs="Aptos"/>
                <w:szCs w:val="22"/>
                <w:lang w:val="en-US"/>
              </w:rPr>
              <w:t>is to</w:t>
            </w:r>
            <w:r w:rsidR="009675D1">
              <w:rPr>
                <w:rFonts w:asciiTheme="minorHAnsi" w:eastAsia="Aptos" w:hAnsiTheme="minorHAnsi" w:cs="Aptos"/>
                <w:szCs w:val="22"/>
                <w:lang w:val="en-US"/>
              </w:rPr>
              <w:t xml:space="preserve"> </w:t>
            </w:r>
            <w:r w:rsidRPr="00A64286">
              <w:rPr>
                <w:rFonts w:asciiTheme="minorHAnsi" w:eastAsia="Aptos" w:hAnsiTheme="minorHAnsi" w:cs="Aptos"/>
                <w:szCs w:val="22"/>
                <w:lang w:val="en-US"/>
              </w:rPr>
              <w:t>be supported by:</w:t>
            </w:r>
          </w:p>
          <w:p w14:paraId="04665A9C" w14:textId="26D6CC8C" w:rsidR="00895F16" w:rsidRPr="00A64286" w:rsidRDefault="00382EE8" w:rsidP="00115BD6">
            <w:pPr>
              <w:pStyle w:val="ListParagraph"/>
              <w:numPr>
                <w:ilvl w:val="0"/>
                <w:numId w:val="79"/>
              </w:numPr>
              <w:spacing w:before="0" w:after="0" w:line="276" w:lineRule="auto"/>
              <w:rPr>
                <w:rFonts w:asciiTheme="minorHAnsi" w:eastAsia="Aptos" w:hAnsiTheme="minorHAnsi" w:cs="Aptos"/>
                <w:szCs w:val="22"/>
                <w:lang w:val="en-US"/>
              </w:rPr>
            </w:pPr>
            <w:r>
              <w:rPr>
                <w:rFonts w:ascii="ZWAdobeF" w:eastAsia="Aptos" w:hAnsi="ZWAdobeF" w:cs="ZWAdobeF"/>
                <w:sz w:val="2"/>
                <w:szCs w:val="2"/>
                <w:lang w:val="en-US"/>
              </w:rPr>
              <w:t>24B</w:t>
            </w:r>
            <w:r w:rsidR="00895F16" w:rsidRPr="00A64286">
              <w:rPr>
                <w:rFonts w:asciiTheme="minorHAnsi" w:eastAsia="Aptos" w:hAnsiTheme="minorHAnsi" w:cs="Aptos"/>
                <w:szCs w:val="22"/>
                <w:lang w:val="en-US"/>
              </w:rPr>
              <w:t>enhanced environmental water planning with measurable objectives within the Annual Water Operating Plan</w:t>
            </w:r>
          </w:p>
          <w:p w14:paraId="65AEB48A" w14:textId="6AB7C393" w:rsidR="00895F16" w:rsidRPr="00A64286" w:rsidRDefault="00382EE8" w:rsidP="00115BD6">
            <w:pPr>
              <w:pStyle w:val="ListParagraph"/>
              <w:numPr>
                <w:ilvl w:val="0"/>
                <w:numId w:val="79"/>
              </w:numPr>
              <w:spacing w:before="0" w:after="0" w:line="276" w:lineRule="auto"/>
              <w:rPr>
                <w:rFonts w:asciiTheme="minorHAnsi" w:eastAsia="Aptos" w:hAnsiTheme="minorHAnsi" w:cs="Aptos"/>
                <w:lang w:val="en-US"/>
              </w:rPr>
            </w:pPr>
            <w:r>
              <w:rPr>
                <w:rFonts w:ascii="ZWAdobeF" w:eastAsia="Aptos" w:hAnsi="ZWAdobeF" w:cs="ZWAdobeF"/>
                <w:sz w:val="2"/>
                <w:szCs w:val="2"/>
                <w:lang w:val="en-US"/>
              </w:rPr>
              <w:t>25B</w:t>
            </w:r>
            <w:r w:rsidR="00895F16" w:rsidRPr="2B34931B">
              <w:rPr>
                <w:rFonts w:asciiTheme="minorHAnsi" w:eastAsia="Aptos" w:hAnsiTheme="minorHAnsi" w:cs="Aptos"/>
                <w:lang w:val="en-US"/>
              </w:rPr>
              <w:t xml:space="preserve">flexible operating arrangements and processes </w:t>
            </w:r>
            <w:r w:rsidR="007E2F3E">
              <w:rPr>
                <w:rFonts w:asciiTheme="minorHAnsi" w:eastAsia="Aptos" w:hAnsiTheme="minorHAnsi" w:cs="Aptos"/>
                <w:lang w:val="en-US"/>
              </w:rPr>
              <w:t xml:space="preserve">within a flexibility envelope </w:t>
            </w:r>
            <w:r w:rsidR="00895F16" w:rsidRPr="2B34931B">
              <w:rPr>
                <w:rFonts w:asciiTheme="minorHAnsi" w:eastAsia="Aptos" w:hAnsiTheme="minorHAnsi" w:cs="Aptos"/>
                <w:lang w:val="en-US"/>
              </w:rPr>
              <w:t xml:space="preserve">will include </w:t>
            </w:r>
            <w:r w:rsidR="1F2FB4E6" w:rsidRPr="2B34931B">
              <w:rPr>
                <w:rFonts w:asciiTheme="minorHAnsi" w:eastAsia="Aptos" w:hAnsiTheme="minorHAnsi" w:cs="Aptos"/>
                <w:lang w:val="en-US"/>
              </w:rPr>
              <w:t xml:space="preserve">a </w:t>
            </w:r>
            <w:r w:rsidR="00895F16" w:rsidRPr="2B34931B">
              <w:rPr>
                <w:rFonts w:asciiTheme="minorHAnsi" w:eastAsia="Aptos" w:hAnsiTheme="minorHAnsi" w:cs="Aptos"/>
                <w:lang w:val="en-US"/>
              </w:rPr>
              <w:t xml:space="preserve">water accounting framework that will establish annual and interannual water use </w:t>
            </w:r>
          </w:p>
          <w:p w14:paraId="7A50FB5D" w14:textId="5ED69FA7" w:rsidR="00895F16" w:rsidRPr="00A64286" w:rsidRDefault="00382EE8" w:rsidP="00115BD6">
            <w:pPr>
              <w:pStyle w:val="ListParagraph"/>
              <w:numPr>
                <w:ilvl w:val="0"/>
                <w:numId w:val="79"/>
              </w:numPr>
              <w:spacing w:before="0" w:after="0" w:line="276" w:lineRule="auto"/>
              <w:rPr>
                <w:rFonts w:asciiTheme="minorHAnsi" w:eastAsia="Aptos" w:hAnsiTheme="minorHAnsi" w:cs="Aptos"/>
                <w:szCs w:val="22"/>
                <w:lang w:val="en-US"/>
              </w:rPr>
            </w:pPr>
            <w:r>
              <w:rPr>
                <w:rFonts w:ascii="ZWAdobeF" w:eastAsia="Aptos" w:hAnsi="ZWAdobeF" w:cs="ZWAdobeF"/>
                <w:sz w:val="2"/>
                <w:szCs w:val="2"/>
                <w:lang w:val="en-US"/>
              </w:rPr>
              <w:t>26B</w:t>
            </w:r>
            <w:r w:rsidR="00895F16" w:rsidRPr="00A64286">
              <w:rPr>
                <w:rFonts w:asciiTheme="minorHAnsi" w:eastAsia="Aptos" w:hAnsiTheme="minorHAnsi" w:cs="Aptos"/>
                <w:szCs w:val="22"/>
                <w:lang w:val="en-US"/>
              </w:rPr>
              <w:t xml:space="preserve">a monitoring, evaluation and science program </w:t>
            </w:r>
          </w:p>
          <w:p w14:paraId="0FC80896" w14:textId="1EA9455C" w:rsidR="00895F16" w:rsidRPr="00A64286" w:rsidRDefault="00382EE8" w:rsidP="00115BD6">
            <w:pPr>
              <w:pStyle w:val="ListParagraph"/>
              <w:numPr>
                <w:ilvl w:val="0"/>
                <w:numId w:val="79"/>
              </w:numPr>
              <w:spacing w:before="0" w:after="0" w:line="276" w:lineRule="auto"/>
              <w:rPr>
                <w:rFonts w:asciiTheme="minorHAnsi" w:eastAsia="Aptos" w:hAnsiTheme="minorHAnsi" w:cs="Aptos"/>
                <w:lang w:val="en-US"/>
              </w:rPr>
            </w:pPr>
            <w:r>
              <w:rPr>
                <w:rFonts w:ascii="ZWAdobeF" w:eastAsia="Aptos" w:hAnsi="ZWAdobeF" w:cs="ZWAdobeF"/>
                <w:sz w:val="2"/>
                <w:szCs w:val="2"/>
                <w:lang w:val="en-US"/>
              </w:rPr>
              <w:t>27B</w:t>
            </w:r>
            <w:r w:rsidR="5C7685C9" w:rsidRPr="078A0D1C">
              <w:rPr>
                <w:rFonts w:asciiTheme="minorHAnsi" w:eastAsia="Aptos" w:hAnsiTheme="minorHAnsi" w:cs="Aptos"/>
                <w:lang w:val="en-US"/>
              </w:rPr>
              <w:t>First Nation</w:t>
            </w:r>
            <w:r w:rsidR="7F0108AC" w:rsidRPr="078A0D1C">
              <w:rPr>
                <w:rFonts w:asciiTheme="minorHAnsi" w:eastAsia="Aptos" w:hAnsiTheme="minorHAnsi" w:cs="Aptos"/>
                <w:lang w:val="en-US"/>
              </w:rPr>
              <w:t>s</w:t>
            </w:r>
            <w:r w:rsidR="5C7685C9" w:rsidRPr="078A0D1C">
              <w:rPr>
                <w:rFonts w:asciiTheme="minorHAnsi" w:eastAsia="Aptos" w:hAnsiTheme="minorHAnsi" w:cs="Aptos"/>
                <w:lang w:val="en-US"/>
              </w:rPr>
              <w:t xml:space="preserve"> and stakeholder participation</w:t>
            </w:r>
          </w:p>
          <w:p w14:paraId="07FE2841" w14:textId="4F377C52" w:rsidR="00895F16" w:rsidRDefault="00382EE8" w:rsidP="00115BD6">
            <w:pPr>
              <w:pStyle w:val="ListParagraph"/>
              <w:numPr>
                <w:ilvl w:val="0"/>
                <w:numId w:val="79"/>
              </w:numPr>
              <w:spacing w:before="0" w:after="0" w:line="276" w:lineRule="auto"/>
              <w:rPr>
                <w:rFonts w:asciiTheme="minorHAnsi" w:eastAsia="Aptos" w:hAnsiTheme="minorHAnsi" w:cs="Aptos"/>
                <w:lang w:val="en-US"/>
              </w:rPr>
            </w:pPr>
            <w:r>
              <w:rPr>
                <w:rFonts w:ascii="ZWAdobeF" w:eastAsia="Aptos" w:hAnsi="ZWAdobeF" w:cs="ZWAdobeF"/>
                <w:sz w:val="2"/>
                <w:szCs w:val="2"/>
                <w:lang w:val="en-US"/>
              </w:rPr>
              <w:t>28B</w:t>
            </w:r>
            <w:r w:rsidR="00895F16" w:rsidRPr="2B34931B">
              <w:rPr>
                <w:rFonts w:asciiTheme="minorHAnsi" w:eastAsia="Aptos" w:hAnsiTheme="minorHAnsi" w:cs="Aptos"/>
                <w:lang w:val="en-US"/>
              </w:rPr>
              <w:t>reporting and reviews.</w:t>
            </w:r>
          </w:p>
          <w:p w14:paraId="20F7B5CB" w14:textId="77777777" w:rsidR="008C79DE" w:rsidRPr="00A64286" w:rsidRDefault="008C79DE" w:rsidP="0042099D">
            <w:pPr>
              <w:pStyle w:val="ListParagraph"/>
              <w:spacing w:before="0" w:after="0" w:line="276" w:lineRule="auto"/>
              <w:rPr>
                <w:rFonts w:asciiTheme="minorHAnsi" w:eastAsia="Aptos" w:hAnsiTheme="minorHAnsi" w:cs="Aptos"/>
                <w:szCs w:val="22"/>
                <w:lang w:val="en-US"/>
              </w:rPr>
            </w:pPr>
          </w:p>
          <w:p w14:paraId="319AA942" w14:textId="0A97F3D5" w:rsidR="00E35374" w:rsidRDefault="5C7685C9" w:rsidP="0042099D">
            <w:pPr>
              <w:spacing w:before="0" w:after="0" w:line="276" w:lineRule="auto"/>
              <w:rPr>
                <w:rFonts w:asciiTheme="minorHAnsi" w:eastAsia="Aptos" w:hAnsiTheme="minorHAnsi" w:cs="Aptos"/>
                <w:lang w:val="en-US"/>
              </w:rPr>
            </w:pPr>
            <w:r w:rsidRPr="078A0D1C">
              <w:rPr>
                <w:rFonts w:asciiTheme="minorHAnsi" w:eastAsia="Aptos" w:hAnsiTheme="minorHAnsi" w:cs="Aptos"/>
                <w:lang w:val="en-US"/>
              </w:rPr>
              <w:t xml:space="preserve">The operating arrangements </w:t>
            </w:r>
            <w:r w:rsidR="6EEFBC9F" w:rsidRPr="078A0D1C">
              <w:rPr>
                <w:rFonts w:asciiTheme="minorHAnsi" w:eastAsia="Aptos" w:hAnsiTheme="minorHAnsi" w:cs="Aptos"/>
                <w:lang w:val="en-US"/>
              </w:rPr>
              <w:t>must</w:t>
            </w:r>
            <w:r w:rsidR="30355326" w:rsidRPr="078A0D1C">
              <w:rPr>
                <w:rFonts w:asciiTheme="minorHAnsi" w:eastAsia="Aptos" w:hAnsiTheme="minorHAnsi" w:cs="Aptos"/>
                <w:lang w:val="en-US"/>
              </w:rPr>
              <w:t xml:space="preserve"> </w:t>
            </w:r>
            <w:r w:rsidR="7E233E31" w:rsidRPr="078A0D1C">
              <w:rPr>
                <w:rFonts w:asciiTheme="minorHAnsi" w:eastAsia="Aptos" w:hAnsiTheme="minorHAnsi" w:cs="Aptos"/>
                <w:lang w:val="en-US"/>
              </w:rPr>
              <w:t xml:space="preserve">be </w:t>
            </w:r>
            <w:r w:rsidRPr="078A0D1C">
              <w:rPr>
                <w:rFonts w:asciiTheme="minorHAnsi" w:eastAsia="Aptos" w:hAnsiTheme="minorHAnsi" w:cs="Aptos"/>
                <w:lang w:val="en-US"/>
              </w:rPr>
              <w:t>consiste</w:t>
            </w:r>
            <w:r w:rsidR="0C6B85F2" w:rsidRPr="078A0D1C">
              <w:rPr>
                <w:rFonts w:asciiTheme="minorHAnsi" w:eastAsia="Aptos" w:hAnsiTheme="minorHAnsi" w:cs="Aptos"/>
                <w:lang w:val="en-US"/>
              </w:rPr>
              <w:t>nt</w:t>
            </w:r>
            <w:r w:rsidRPr="078A0D1C">
              <w:rPr>
                <w:rFonts w:asciiTheme="minorHAnsi" w:eastAsia="Aptos" w:hAnsiTheme="minorHAnsi" w:cs="Aptos"/>
                <w:lang w:val="en-US"/>
              </w:rPr>
              <w:t xml:space="preserve"> with Snowy Hydro's responsibilities as a NEM participant and support AEMO's planning and operation of the NEM.</w:t>
            </w:r>
          </w:p>
          <w:p w14:paraId="3C17CAFD" w14:textId="2E07E402" w:rsidR="00D90638" w:rsidRPr="00BE3B29" w:rsidRDefault="30355326" w:rsidP="0042099D">
            <w:pPr>
              <w:spacing w:line="276" w:lineRule="auto"/>
            </w:pPr>
            <w:r w:rsidRPr="078A0D1C">
              <w:rPr>
                <w:rFonts w:ascii="Aptos" w:eastAsia="Aptos" w:hAnsi="Aptos" w:cs="Aptos"/>
              </w:rPr>
              <w:t xml:space="preserve">Following the completion of Recommendation </w:t>
            </w:r>
            <w:r w:rsidR="3864861F" w:rsidRPr="078A0D1C">
              <w:rPr>
                <w:rFonts w:ascii="Aptos" w:eastAsia="Aptos" w:hAnsi="Aptos" w:cs="Aptos"/>
              </w:rPr>
              <w:t>6</w:t>
            </w:r>
            <w:r w:rsidRPr="078A0D1C">
              <w:rPr>
                <w:rFonts w:ascii="Aptos" w:eastAsia="Aptos" w:hAnsi="Aptos" w:cs="Aptos"/>
              </w:rPr>
              <w:t xml:space="preserve">, investigate if this </w:t>
            </w:r>
            <w:r w:rsidR="4E593091" w:rsidRPr="078A0D1C">
              <w:rPr>
                <w:rFonts w:ascii="Aptos" w:eastAsia="Aptos" w:hAnsi="Aptos" w:cs="Aptos"/>
              </w:rPr>
              <w:t xml:space="preserve">approach </w:t>
            </w:r>
            <w:r w:rsidRPr="078A0D1C">
              <w:rPr>
                <w:rFonts w:ascii="Aptos" w:eastAsia="Aptos" w:hAnsi="Aptos" w:cs="Aptos"/>
              </w:rPr>
              <w:t>could be applied to other Snowy and Snowy Montane Rivers.</w:t>
            </w:r>
          </w:p>
          <w:p w14:paraId="01168A87" w14:textId="7A3BF2A2" w:rsidR="067792F2" w:rsidRPr="00A64286" w:rsidRDefault="067792F2" w:rsidP="00CC7A58">
            <w:pPr>
              <w:pStyle w:val="ListParagraph"/>
              <w:spacing w:before="0" w:after="0"/>
              <w:rPr>
                <w:rFonts w:asciiTheme="minorHAnsi" w:eastAsia="Aptos" w:hAnsiTheme="minorHAnsi" w:cs="Aptos"/>
                <w:szCs w:val="22"/>
              </w:rPr>
            </w:pPr>
          </w:p>
        </w:tc>
      </w:tr>
      <w:tr w:rsidR="00F06343" w:rsidRPr="004D43C6" w14:paraId="6275BBD7"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Pr>
          <w:p w14:paraId="4D5D4A29" w14:textId="2C7BAC30" w:rsidR="00F06343" w:rsidRPr="00A64286" w:rsidRDefault="00F06343">
            <w:pPr>
              <w:spacing w:after="200" w:line="276" w:lineRule="auto"/>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1D2D1A">
              <w:rPr>
                <w:rFonts w:asciiTheme="minorHAnsi" w:eastAsia="Aptos" w:hAnsiTheme="minorHAnsi" w:cs="Aptos"/>
                <w:b/>
                <w:szCs w:val="22"/>
              </w:rPr>
              <w:t>9</w:t>
            </w:r>
            <w:r w:rsidRPr="00A64286">
              <w:rPr>
                <w:rFonts w:asciiTheme="minorHAnsi" w:eastAsia="Aptos" w:hAnsiTheme="minorHAnsi" w:cs="Aptos"/>
                <w:b/>
                <w:szCs w:val="22"/>
              </w:rPr>
              <w:t xml:space="preserve"> – Governance and decision-making framework</w:t>
            </w:r>
          </w:p>
          <w:p w14:paraId="0EF2E156" w14:textId="7893B42E" w:rsidR="00F06343" w:rsidRPr="00A64286" w:rsidRDefault="00F06343" w:rsidP="0042099D">
            <w:pPr>
              <w:spacing w:after="200" w:line="276" w:lineRule="auto"/>
              <w:rPr>
                <w:rFonts w:asciiTheme="minorHAnsi" w:eastAsia="Aptos" w:hAnsiTheme="minorHAnsi" w:cs="Aptos"/>
                <w:szCs w:val="22"/>
              </w:rPr>
            </w:pPr>
            <w:r w:rsidRPr="00A64286">
              <w:rPr>
                <w:rFonts w:asciiTheme="minorHAnsi" w:eastAsia="Aptos" w:hAnsiTheme="minorHAnsi" w:cs="Aptos"/>
                <w:szCs w:val="22"/>
              </w:rPr>
              <w:t>NSW</w:t>
            </w:r>
            <w:r w:rsidR="00C94E4F">
              <w:rPr>
                <w:rFonts w:asciiTheme="minorHAnsi" w:eastAsia="Aptos" w:hAnsiTheme="minorHAnsi" w:cs="Aptos"/>
                <w:szCs w:val="22"/>
              </w:rPr>
              <w:t>, in consultation with the Australian Government,</w:t>
            </w:r>
            <w:r w:rsidRPr="00A64286">
              <w:rPr>
                <w:rFonts w:asciiTheme="minorHAnsi" w:eastAsia="Aptos" w:hAnsiTheme="minorHAnsi" w:cs="Aptos"/>
                <w:szCs w:val="22"/>
              </w:rPr>
              <w:t xml:space="preserve"> establish a decision-making framework that:</w:t>
            </w:r>
          </w:p>
          <w:p w14:paraId="16BB5CF0" w14:textId="388B3330" w:rsidR="00F06343" w:rsidRPr="00A64286" w:rsidRDefault="00382EE8" w:rsidP="00115BD6">
            <w:pPr>
              <w:pStyle w:val="ListParagraph"/>
              <w:numPr>
                <w:ilvl w:val="0"/>
                <w:numId w:val="114"/>
              </w:numPr>
              <w:spacing w:before="0" w:after="0" w:line="276" w:lineRule="auto"/>
              <w:rPr>
                <w:rFonts w:asciiTheme="minorHAnsi" w:eastAsia="Aptos" w:hAnsiTheme="minorHAnsi" w:cs="Aptos"/>
                <w:szCs w:val="22"/>
              </w:rPr>
            </w:pPr>
            <w:r>
              <w:rPr>
                <w:rFonts w:ascii="ZWAdobeF" w:eastAsia="Aptos" w:hAnsi="ZWAdobeF" w:cs="ZWAdobeF"/>
                <w:sz w:val="2"/>
                <w:szCs w:val="2"/>
              </w:rPr>
              <w:t>29B</w:t>
            </w:r>
            <w:r w:rsidR="00F06343" w:rsidRPr="00A64286">
              <w:rPr>
                <w:rFonts w:asciiTheme="minorHAnsi" w:eastAsia="Aptos" w:hAnsiTheme="minorHAnsi" w:cs="Aptos"/>
                <w:szCs w:val="22"/>
              </w:rPr>
              <w:t xml:space="preserve">provides transparent and consistent processes for assessing trade-offs between environmental outcomes, water availability and energy system considerations </w:t>
            </w:r>
          </w:p>
          <w:p w14:paraId="2CE91B9C" w14:textId="69212B68" w:rsidR="00F06343" w:rsidRPr="00A64286" w:rsidRDefault="00382EE8" w:rsidP="00115BD6">
            <w:pPr>
              <w:pStyle w:val="ListParagraph"/>
              <w:numPr>
                <w:ilvl w:val="0"/>
                <w:numId w:val="114"/>
              </w:numPr>
              <w:spacing w:before="0" w:after="0" w:line="276" w:lineRule="auto"/>
              <w:rPr>
                <w:rFonts w:asciiTheme="minorHAnsi" w:eastAsia="Aptos" w:hAnsiTheme="minorHAnsi" w:cs="Aptos"/>
                <w:u w:val="single"/>
              </w:rPr>
            </w:pPr>
            <w:r>
              <w:rPr>
                <w:rFonts w:ascii="ZWAdobeF" w:eastAsia="Aptos" w:hAnsi="ZWAdobeF" w:cs="ZWAdobeF"/>
                <w:sz w:val="2"/>
                <w:szCs w:val="2"/>
              </w:rPr>
              <w:t>30B</w:t>
            </w:r>
            <w:r w:rsidR="00F06343" w:rsidRPr="2B34931B">
              <w:rPr>
                <w:rFonts w:asciiTheme="minorHAnsi" w:eastAsia="Aptos" w:hAnsiTheme="minorHAnsi" w:cs="Aptos"/>
              </w:rPr>
              <w:t>establishes an independent dispute resolution mechanism</w:t>
            </w:r>
            <w:r w:rsidR="57405D75" w:rsidRPr="6E62429A">
              <w:rPr>
                <w:rFonts w:asciiTheme="minorHAnsi" w:eastAsia="Aptos" w:hAnsiTheme="minorHAnsi" w:cs="Aptos"/>
              </w:rPr>
              <w:t xml:space="preserve"> </w:t>
            </w:r>
            <w:r w:rsidR="00C94E4F">
              <w:rPr>
                <w:rFonts w:asciiTheme="minorHAnsi" w:eastAsia="Aptos" w:hAnsiTheme="minorHAnsi" w:cs="Aptos"/>
              </w:rPr>
              <w:t xml:space="preserve">as </w:t>
            </w:r>
            <w:r w:rsidR="00F06343" w:rsidRPr="2B34931B">
              <w:rPr>
                <w:rFonts w:asciiTheme="minorHAnsi" w:eastAsia="Aptos" w:hAnsiTheme="minorHAnsi" w:cs="Aptos"/>
              </w:rPr>
              <w:t xml:space="preserve">a statutory appointment </w:t>
            </w:r>
            <w:r w:rsidR="00C94E4F">
              <w:rPr>
                <w:rFonts w:asciiTheme="minorHAnsi" w:eastAsia="Aptos" w:hAnsiTheme="minorHAnsi" w:cs="Aptos"/>
              </w:rPr>
              <w:t xml:space="preserve">of </w:t>
            </w:r>
            <w:r w:rsidR="67D5245A" w:rsidRPr="6E62429A">
              <w:rPr>
                <w:rFonts w:asciiTheme="minorHAnsi" w:eastAsia="Aptos" w:hAnsiTheme="minorHAnsi" w:cs="Aptos"/>
              </w:rPr>
              <w:t xml:space="preserve">an </w:t>
            </w:r>
            <w:r w:rsidR="00F06343" w:rsidRPr="2B34931B">
              <w:rPr>
                <w:rFonts w:asciiTheme="minorHAnsi" w:eastAsia="Aptos" w:hAnsiTheme="minorHAnsi" w:cs="Aptos"/>
              </w:rPr>
              <w:t>independent Snowy Water Commissioner</w:t>
            </w:r>
            <w:r w:rsidR="00C94E4F">
              <w:rPr>
                <w:rFonts w:asciiTheme="minorHAnsi" w:eastAsia="Aptos" w:hAnsiTheme="minorHAnsi" w:cs="Aptos"/>
              </w:rPr>
              <w:t xml:space="preserve"> under </w:t>
            </w:r>
            <w:r w:rsidR="00C94E4F" w:rsidRPr="00BE3B29">
              <w:rPr>
                <w:rFonts w:asciiTheme="minorHAnsi" w:eastAsia="Aptos" w:hAnsiTheme="minorHAnsi" w:cs="Aptos"/>
                <w:i/>
                <w:iCs/>
              </w:rPr>
              <w:t>the Water Management Act 2000</w:t>
            </w:r>
            <w:r w:rsidR="00C94E4F">
              <w:rPr>
                <w:rFonts w:asciiTheme="minorHAnsi" w:eastAsia="Aptos" w:hAnsiTheme="minorHAnsi" w:cs="Aptos"/>
              </w:rPr>
              <w:t xml:space="preserve"> (NSW)</w:t>
            </w:r>
            <w:r w:rsidR="00F06343" w:rsidRPr="2B34931B">
              <w:rPr>
                <w:rFonts w:asciiTheme="minorHAnsi" w:eastAsia="Aptos" w:hAnsiTheme="minorHAnsi" w:cs="Aptos"/>
              </w:rPr>
              <w:t xml:space="preserve">. </w:t>
            </w:r>
            <w:r w:rsidR="5E39D48B" w:rsidRPr="2B34931B">
              <w:rPr>
                <w:rFonts w:asciiTheme="minorHAnsi" w:eastAsia="Aptos" w:hAnsiTheme="minorHAnsi" w:cs="Aptos"/>
              </w:rPr>
              <w:t xml:space="preserve">The </w:t>
            </w:r>
            <w:r w:rsidR="3B72B1EF" w:rsidRPr="2B34931B">
              <w:rPr>
                <w:rFonts w:asciiTheme="minorHAnsi" w:eastAsia="Aptos" w:hAnsiTheme="minorHAnsi" w:cs="Aptos"/>
              </w:rPr>
              <w:t>appointment</w:t>
            </w:r>
            <w:r w:rsidR="00F06343" w:rsidRPr="2B34931B">
              <w:rPr>
                <w:rFonts w:asciiTheme="minorHAnsi" w:eastAsia="Aptos" w:hAnsiTheme="minorHAnsi" w:cs="Aptos"/>
              </w:rPr>
              <w:t xml:space="preserve"> </w:t>
            </w:r>
            <w:r w:rsidR="00C94E4F">
              <w:rPr>
                <w:rFonts w:asciiTheme="minorHAnsi" w:eastAsia="Aptos" w:hAnsiTheme="minorHAnsi" w:cs="Aptos"/>
              </w:rPr>
              <w:t xml:space="preserve">is </w:t>
            </w:r>
            <w:r w:rsidR="6B051069" w:rsidRPr="2B34931B">
              <w:rPr>
                <w:rFonts w:asciiTheme="minorHAnsi" w:eastAsia="Aptos" w:hAnsiTheme="minorHAnsi" w:cs="Aptos"/>
              </w:rPr>
              <w:t>subject</w:t>
            </w:r>
            <w:r w:rsidR="00F06343" w:rsidRPr="2B34931B">
              <w:rPr>
                <w:rFonts w:asciiTheme="minorHAnsi" w:eastAsia="Aptos" w:hAnsiTheme="minorHAnsi" w:cs="Aptos"/>
              </w:rPr>
              <w:t xml:space="preserve"> to consultation with </w:t>
            </w:r>
            <w:r w:rsidR="689EFAC0" w:rsidRPr="2B34931B">
              <w:rPr>
                <w:rFonts w:asciiTheme="minorHAnsi" w:eastAsia="Aptos" w:hAnsiTheme="minorHAnsi" w:cs="Aptos"/>
              </w:rPr>
              <w:t>Victoria, the</w:t>
            </w:r>
            <w:r w:rsidR="00F06343" w:rsidRPr="2B34931B">
              <w:rPr>
                <w:rFonts w:asciiTheme="minorHAnsi" w:eastAsia="Aptos" w:hAnsiTheme="minorHAnsi" w:cs="Aptos"/>
              </w:rPr>
              <w:t xml:space="preserve"> ACT </w:t>
            </w:r>
            <w:r w:rsidR="1D6A9F04" w:rsidRPr="2B34931B">
              <w:rPr>
                <w:rFonts w:asciiTheme="minorHAnsi" w:eastAsia="Aptos" w:hAnsiTheme="minorHAnsi" w:cs="Aptos"/>
              </w:rPr>
              <w:t>and the</w:t>
            </w:r>
            <w:r w:rsidR="00F06343" w:rsidRPr="2B34931B">
              <w:rPr>
                <w:rFonts w:asciiTheme="minorHAnsi" w:eastAsia="Aptos" w:hAnsiTheme="minorHAnsi" w:cs="Aptos"/>
              </w:rPr>
              <w:t xml:space="preserve"> Australian Government.</w:t>
            </w:r>
          </w:p>
          <w:p w14:paraId="05D500E6" w14:textId="781C1A12" w:rsidR="00F06343" w:rsidRPr="00A64286" w:rsidRDefault="00382EE8" w:rsidP="00115BD6">
            <w:pPr>
              <w:pStyle w:val="ListParagraph"/>
              <w:numPr>
                <w:ilvl w:val="0"/>
                <w:numId w:val="114"/>
              </w:numPr>
              <w:spacing w:before="0" w:after="0" w:line="276" w:lineRule="auto"/>
              <w:rPr>
                <w:rFonts w:asciiTheme="minorHAnsi" w:eastAsia="Aptos" w:hAnsiTheme="minorHAnsi" w:cs="Aptos"/>
                <w:szCs w:val="22"/>
              </w:rPr>
            </w:pPr>
            <w:r>
              <w:rPr>
                <w:rFonts w:ascii="ZWAdobeF" w:eastAsia="Aptos" w:hAnsi="ZWAdobeF" w:cs="ZWAdobeF"/>
                <w:sz w:val="2"/>
                <w:szCs w:val="2"/>
              </w:rPr>
              <w:t>31B</w:t>
            </w:r>
            <w:r w:rsidR="00F06343" w:rsidRPr="00A64286">
              <w:rPr>
                <w:rFonts w:asciiTheme="minorHAnsi" w:eastAsia="Aptos" w:hAnsiTheme="minorHAnsi" w:cs="Aptos"/>
                <w:szCs w:val="22"/>
              </w:rPr>
              <w:t>defines escalation pathways and decision-making timeframes</w:t>
            </w:r>
          </w:p>
          <w:p w14:paraId="57902722" w14:textId="55389E42" w:rsidR="00F06343" w:rsidRPr="00A64286" w:rsidRDefault="00382EE8" w:rsidP="00115BD6">
            <w:pPr>
              <w:pStyle w:val="ListParagraph"/>
              <w:numPr>
                <w:ilvl w:val="0"/>
                <w:numId w:val="114"/>
              </w:numPr>
              <w:spacing w:before="0" w:after="0" w:line="276" w:lineRule="auto"/>
              <w:rPr>
                <w:rFonts w:asciiTheme="minorHAnsi" w:eastAsia="Aptos" w:hAnsiTheme="minorHAnsi" w:cs="Aptos"/>
                <w:szCs w:val="22"/>
              </w:rPr>
            </w:pPr>
            <w:r>
              <w:rPr>
                <w:rFonts w:ascii="ZWAdobeF" w:eastAsia="Aptos" w:hAnsi="ZWAdobeF" w:cs="ZWAdobeF"/>
                <w:sz w:val="2"/>
                <w:szCs w:val="2"/>
              </w:rPr>
              <w:t>32B</w:t>
            </w:r>
            <w:r w:rsidR="00F06343" w:rsidRPr="00A64286">
              <w:rPr>
                <w:rFonts w:asciiTheme="minorHAnsi" w:eastAsia="Aptos" w:hAnsiTheme="minorHAnsi" w:cs="Aptos"/>
                <w:szCs w:val="22"/>
              </w:rPr>
              <w:t>requires documentation and public reporting of decisions and trade-offs.</w:t>
            </w:r>
          </w:p>
          <w:p w14:paraId="503A2A4D" w14:textId="77777777" w:rsidR="00F06343" w:rsidRPr="00A64286" w:rsidRDefault="00F06343">
            <w:pPr>
              <w:spacing w:before="0" w:after="0"/>
              <w:rPr>
                <w:rFonts w:asciiTheme="minorHAnsi" w:eastAsia="Aptos" w:hAnsiTheme="minorHAnsi" w:cs="Aptos"/>
                <w:b/>
                <w:bCs/>
                <w:szCs w:val="22"/>
              </w:rPr>
            </w:pPr>
            <w:r w:rsidRPr="00A64286">
              <w:rPr>
                <w:rFonts w:asciiTheme="minorHAnsi" w:eastAsia="Aptos" w:hAnsiTheme="minorHAnsi" w:cs="Aptos"/>
                <w:b/>
                <w:szCs w:val="22"/>
              </w:rPr>
              <w:t xml:space="preserve"> </w:t>
            </w:r>
          </w:p>
        </w:tc>
      </w:tr>
      <w:tr w:rsidR="067792F2" w:rsidRPr="004D43C6" w14:paraId="59F932B6"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71502D4D" w14:textId="41B97EE1"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Recommendation 1</w:t>
            </w:r>
            <w:r w:rsidR="00E70AA8">
              <w:rPr>
                <w:rFonts w:asciiTheme="minorHAnsi" w:eastAsia="Aptos" w:hAnsiTheme="minorHAnsi" w:cs="Aptos"/>
                <w:b/>
                <w:szCs w:val="22"/>
              </w:rPr>
              <w:t>0</w:t>
            </w:r>
            <w:r w:rsidRPr="00A64286">
              <w:rPr>
                <w:rFonts w:asciiTheme="minorHAnsi" w:eastAsia="Aptos" w:hAnsiTheme="minorHAnsi" w:cs="Aptos"/>
                <w:b/>
                <w:szCs w:val="22"/>
              </w:rPr>
              <w:t xml:space="preserve"> – </w:t>
            </w:r>
            <w:r w:rsidR="00956568" w:rsidRPr="00A64286">
              <w:rPr>
                <w:rFonts w:asciiTheme="minorHAnsi" w:eastAsia="Aptos" w:hAnsiTheme="minorHAnsi" w:cs="Aptos"/>
                <w:b/>
                <w:szCs w:val="22"/>
              </w:rPr>
              <w:t>New Deed</w:t>
            </w:r>
            <w:r w:rsidRPr="00A64286">
              <w:rPr>
                <w:rFonts w:asciiTheme="minorHAnsi" w:eastAsia="Aptos" w:hAnsiTheme="minorHAnsi" w:cs="Aptos"/>
                <w:b/>
                <w:szCs w:val="22"/>
              </w:rPr>
              <w:t xml:space="preserve"> and system objectives</w:t>
            </w:r>
          </w:p>
          <w:p w14:paraId="195CDD74" w14:textId="41BB0B65" w:rsidR="067792F2" w:rsidRPr="00A64286" w:rsidRDefault="067792F2"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6A051D5A" w14:textId="7874B8BA" w:rsidR="00F246CA" w:rsidRPr="00A64286" w:rsidRDefault="00F246CA"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Governments replace the Snowy Water Inquiry Outcomes Implementation Deed with a new Deed that:</w:t>
            </w:r>
          </w:p>
          <w:p w14:paraId="6143F569" w14:textId="650D95CC" w:rsidR="00F246CA" w:rsidRPr="00A64286" w:rsidRDefault="00382EE8" w:rsidP="00115BD6">
            <w:pPr>
              <w:pStyle w:val="ListParagraph"/>
              <w:numPr>
                <w:ilvl w:val="0"/>
                <w:numId w:val="115"/>
              </w:numPr>
              <w:spacing w:before="0" w:after="0" w:line="276" w:lineRule="auto"/>
              <w:rPr>
                <w:rFonts w:asciiTheme="minorHAnsi" w:eastAsia="Aptos" w:hAnsiTheme="minorHAnsi" w:cs="Aptos"/>
                <w:szCs w:val="22"/>
              </w:rPr>
            </w:pPr>
            <w:r>
              <w:rPr>
                <w:rFonts w:ascii="ZWAdobeF" w:eastAsia="Aptos" w:hAnsi="ZWAdobeF" w:cs="ZWAdobeF"/>
                <w:sz w:val="2"/>
                <w:szCs w:val="2"/>
              </w:rPr>
              <w:t>33B</w:t>
            </w:r>
            <w:r w:rsidR="00F246CA" w:rsidRPr="00A64286">
              <w:rPr>
                <w:rFonts w:asciiTheme="minorHAnsi" w:eastAsia="Aptos" w:hAnsiTheme="minorHAnsi" w:cs="Aptos"/>
                <w:szCs w:val="22"/>
              </w:rPr>
              <w:t>establishes clear, system-level objectives across environmental, water, energy, cultural and community outcomes</w:t>
            </w:r>
          </w:p>
          <w:p w14:paraId="072AB6AF" w14:textId="49FF5FDE" w:rsidR="00F246CA" w:rsidRPr="00A64286" w:rsidRDefault="00382EE8" w:rsidP="00115BD6">
            <w:pPr>
              <w:pStyle w:val="ListParagraph"/>
              <w:numPr>
                <w:ilvl w:val="0"/>
                <w:numId w:val="115"/>
              </w:numPr>
              <w:spacing w:before="0" w:after="0" w:line="276" w:lineRule="auto"/>
              <w:rPr>
                <w:rFonts w:asciiTheme="minorHAnsi" w:eastAsia="Aptos" w:hAnsiTheme="minorHAnsi" w:cs="Aptos"/>
                <w:szCs w:val="22"/>
              </w:rPr>
            </w:pPr>
            <w:r>
              <w:rPr>
                <w:rFonts w:ascii="ZWAdobeF" w:eastAsia="Aptos" w:hAnsi="ZWAdobeF" w:cs="ZWAdobeF"/>
                <w:sz w:val="2"/>
                <w:szCs w:val="2"/>
              </w:rPr>
              <w:lastRenderedPageBreak/>
              <w:t>34B</w:t>
            </w:r>
            <w:r w:rsidR="00F246CA" w:rsidRPr="00A64286">
              <w:rPr>
                <w:rFonts w:asciiTheme="minorHAnsi" w:eastAsia="Aptos" w:hAnsiTheme="minorHAnsi" w:cs="Aptos"/>
                <w:szCs w:val="22"/>
              </w:rPr>
              <w:t>includes all relevant jurisdictions, with the ACT joining as a full participant following agreement on the contribution of the ACT to the arrangement</w:t>
            </w:r>
          </w:p>
          <w:p w14:paraId="0CAEFC84" w14:textId="684213D2" w:rsidR="00F246CA" w:rsidRPr="00A64286" w:rsidRDefault="00382EE8" w:rsidP="00115BD6">
            <w:pPr>
              <w:pStyle w:val="ListParagraph"/>
              <w:numPr>
                <w:ilvl w:val="0"/>
                <w:numId w:val="115"/>
              </w:numPr>
              <w:spacing w:before="0" w:after="0" w:line="276" w:lineRule="auto"/>
              <w:rPr>
                <w:rFonts w:asciiTheme="minorHAnsi" w:eastAsia="Aptos" w:hAnsiTheme="minorHAnsi" w:cs="Aptos"/>
                <w:szCs w:val="22"/>
              </w:rPr>
            </w:pPr>
            <w:r>
              <w:rPr>
                <w:rFonts w:ascii="ZWAdobeF" w:eastAsia="Aptos" w:hAnsi="ZWAdobeF" w:cs="ZWAdobeF"/>
                <w:sz w:val="2"/>
                <w:szCs w:val="2"/>
              </w:rPr>
              <w:t>35B</w:t>
            </w:r>
            <w:r w:rsidR="00F246CA" w:rsidRPr="00A64286">
              <w:rPr>
                <w:rFonts w:asciiTheme="minorHAnsi" w:eastAsia="Aptos" w:hAnsiTheme="minorHAnsi" w:cs="Aptos"/>
                <w:szCs w:val="22"/>
              </w:rPr>
              <w:t>defines roles, responsibilities and decision-making arrangements across governments</w:t>
            </w:r>
          </w:p>
          <w:p w14:paraId="5FAAF901" w14:textId="2A285498" w:rsidR="00B27F7F" w:rsidRDefault="00382EE8" w:rsidP="00115BD6">
            <w:pPr>
              <w:pStyle w:val="ListParagraph"/>
              <w:numPr>
                <w:ilvl w:val="0"/>
                <w:numId w:val="115"/>
              </w:numPr>
              <w:spacing w:before="0" w:after="0" w:line="276" w:lineRule="auto"/>
              <w:rPr>
                <w:rFonts w:asciiTheme="minorHAnsi" w:eastAsia="Aptos" w:hAnsiTheme="minorHAnsi" w:cs="Aptos"/>
                <w:szCs w:val="22"/>
              </w:rPr>
            </w:pPr>
            <w:r>
              <w:rPr>
                <w:rFonts w:ascii="ZWAdobeF" w:eastAsia="Aptos" w:hAnsi="ZWAdobeF" w:cs="ZWAdobeF"/>
                <w:sz w:val="2"/>
                <w:szCs w:val="2"/>
              </w:rPr>
              <w:t>36B</w:t>
            </w:r>
            <w:r w:rsidR="00F246CA" w:rsidRPr="00A64286">
              <w:rPr>
                <w:rFonts w:asciiTheme="minorHAnsi" w:eastAsia="Aptos" w:hAnsiTheme="minorHAnsi" w:cs="Aptos"/>
                <w:szCs w:val="22"/>
              </w:rPr>
              <w:t>provides the foundation for coordinated planning, funding, implementation and monitoring</w:t>
            </w:r>
          </w:p>
          <w:p w14:paraId="301A1C7C" w14:textId="061336C2" w:rsidR="00F246CA" w:rsidRPr="00A64286" w:rsidRDefault="00382EE8" w:rsidP="00115BD6">
            <w:pPr>
              <w:pStyle w:val="ListParagraph"/>
              <w:numPr>
                <w:ilvl w:val="0"/>
                <w:numId w:val="115"/>
              </w:numPr>
              <w:spacing w:before="0" w:after="0" w:line="276" w:lineRule="auto"/>
              <w:rPr>
                <w:rFonts w:asciiTheme="minorHAnsi" w:eastAsia="Aptos" w:hAnsiTheme="minorHAnsi" w:cs="Aptos"/>
                <w:szCs w:val="22"/>
              </w:rPr>
            </w:pPr>
            <w:r>
              <w:rPr>
                <w:rFonts w:ascii="ZWAdobeF" w:eastAsia="Aptos" w:hAnsi="ZWAdobeF" w:cs="ZWAdobeF"/>
                <w:sz w:val="2"/>
                <w:szCs w:val="2"/>
              </w:rPr>
              <w:t>37B</w:t>
            </w:r>
            <w:r w:rsidR="00D111D3">
              <w:rPr>
                <w:rFonts w:asciiTheme="minorHAnsi" w:eastAsia="Aptos" w:hAnsiTheme="minorHAnsi" w:cs="Aptos"/>
                <w:szCs w:val="22"/>
              </w:rPr>
              <w:t>establishes 5</w:t>
            </w:r>
            <w:r w:rsidR="00BF5A18">
              <w:rPr>
                <w:rFonts w:asciiTheme="minorHAnsi" w:eastAsia="Aptos" w:hAnsiTheme="minorHAnsi" w:cs="Aptos"/>
                <w:szCs w:val="22"/>
              </w:rPr>
              <w:t>-</w:t>
            </w:r>
            <w:r w:rsidR="00D111D3">
              <w:rPr>
                <w:rFonts w:asciiTheme="minorHAnsi" w:eastAsia="Aptos" w:hAnsiTheme="minorHAnsi" w:cs="Aptos"/>
                <w:szCs w:val="22"/>
              </w:rPr>
              <w:t>yearly audits and 10</w:t>
            </w:r>
            <w:r w:rsidR="00BF5A18">
              <w:rPr>
                <w:rFonts w:asciiTheme="minorHAnsi" w:eastAsia="Aptos" w:hAnsiTheme="minorHAnsi" w:cs="Aptos"/>
                <w:szCs w:val="22"/>
              </w:rPr>
              <w:t>-</w:t>
            </w:r>
            <w:r w:rsidR="00D111D3">
              <w:rPr>
                <w:rFonts w:asciiTheme="minorHAnsi" w:eastAsia="Aptos" w:hAnsiTheme="minorHAnsi" w:cs="Aptos"/>
                <w:szCs w:val="22"/>
              </w:rPr>
              <w:t>yearly reviews</w:t>
            </w:r>
            <w:r w:rsidR="00F246CA" w:rsidRPr="00A64286">
              <w:rPr>
                <w:rFonts w:asciiTheme="minorHAnsi" w:eastAsia="Aptos" w:hAnsiTheme="minorHAnsi" w:cs="Aptos"/>
                <w:szCs w:val="22"/>
              </w:rPr>
              <w:t>.</w:t>
            </w:r>
          </w:p>
          <w:p w14:paraId="74C3944A" w14:textId="77777777" w:rsidR="00F246CA" w:rsidRPr="00A64286" w:rsidRDefault="00F246CA" w:rsidP="0042099D">
            <w:pPr>
              <w:spacing w:before="0" w:after="0" w:line="276" w:lineRule="auto"/>
              <w:ind w:left="720"/>
              <w:rPr>
                <w:rFonts w:asciiTheme="minorHAnsi" w:eastAsia="Aptos" w:hAnsiTheme="minorHAnsi" w:cs="Aptos"/>
                <w:szCs w:val="22"/>
              </w:rPr>
            </w:pPr>
            <w:r w:rsidRPr="00A64286">
              <w:rPr>
                <w:rFonts w:asciiTheme="minorHAnsi" w:eastAsia="Aptos" w:hAnsiTheme="minorHAnsi" w:cs="Aptos"/>
                <w:szCs w:val="22"/>
              </w:rPr>
              <w:t xml:space="preserve"> </w:t>
            </w:r>
          </w:p>
          <w:p w14:paraId="0E1CD385" w14:textId="47468A32" w:rsidR="00F246CA" w:rsidRPr="00A64286" w:rsidRDefault="00F246CA"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The </w:t>
            </w:r>
            <w:r w:rsidR="00956568" w:rsidRPr="00A64286">
              <w:rPr>
                <w:rFonts w:asciiTheme="minorHAnsi" w:eastAsia="Aptos" w:hAnsiTheme="minorHAnsi" w:cs="Aptos"/>
                <w:szCs w:val="22"/>
              </w:rPr>
              <w:t>new Deed</w:t>
            </w:r>
            <w:r w:rsidRPr="00A64286">
              <w:rPr>
                <w:rFonts w:asciiTheme="minorHAnsi" w:eastAsia="Aptos" w:hAnsiTheme="minorHAnsi" w:cs="Aptos"/>
                <w:szCs w:val="22"/>
              </w:rPr>
              <w:t xml:space="preserve"> should be clearly structured and accessible, supported by appropriate explanatory material, and include:</w:t>
            </w:r>
          </w:p>
          <w:p w14:paraId="02EB59E1" w14:textId="433C9454" w:rsidR="00F246CA" w:rsidRPr="00A64286" w:rsidRDefault="00382EE8" w:rsidP="00115BD6">
            <w:pPr>
              <w:pStyle w:val="ListParagraph"/>
              <w:numPr>
                <w:ilvl w:val="0"/>
                <w:numId w:val="116"/>
              </w:numPr>
              <w:spacing w:before="0" w:after="0" w:line="276" w:lineRule="auto"/>
              <w:rPr>
                <w:rFonts w:asciiTheme="minorHAnsi" w:eastAsia="Aptos" w:hAnsiTheme="minorHAnsi" w:cs="Aptos"/>
                <w:szCs w:val="22"/>
              </w:rPr>
            </w:pPr>
            <w:r>
              <w:rPr>
                <w:rFonts w:ascii="ZWAdobeF" w:eastAsia="Aptos" w:hAnsi="ZWAdobeF" w:cs="ZWAdobeF"/>
                <w:sz w:val="2"/>
                <w:szCs w:val="2"/>
              </w:rPr>
              <w:t>38B</w:t>
            </w:r>
            <w:r w:rsidR="00F246CA" w:rsidRPr="00A64286">
              <w:rPr>
                <w:rFonts w:asciiTheme="minorHAnsi" w:eastAsia="Aptos" w:hAnsiTheme="minorHAnsi" w:cs="Aptos"/>
                <w:szCs w:val="22"/>
              </w:rPr>
              <w:t>measurable ecological performance indicators for the Upper Murrumbidgee and</w:t>
            </w:r>
            <w:r w:rsidR="00B472E8">
              <w:rPr>
                <w:rFonts w:asciiTheme="minorHAnsi" w:eastAsia="Aptos" w:hAnsiTheme="minorHAnsi" w:cs="Aptos"/>
                <w:szCs w:val="22"/>
              </w:rPr>
              <w:t>,</w:t>
            </w:r>
            <w:r w:rsidR="00F246CA" w:rsidRPr="00A64286">
              <w:rPr>
                <w:rFonts w:asciiTheme="minorHAnsi" w:eastAsia="Aptos" w:hAnsiTheme="minorHAnsi" w:cs="Aptos"/>
                <w:szCs w:val="22"/>
              </w:rPr>
              <w:t xml:space="preserve"> in time</w:t>
            </w:r>
            <w:r w:rsidR="00B472E8">
              <w:rPr>
                <w:rFonts w:asciiTheme="minorHAnsi" w:eastAsia="Aptos" w:hAnsiTheme="minorHAnsi" w:cs="Aptos"/>
                <w:szCs w:val="22"/>
              </w:rPr>
              <w:t>,</w:t>
            </w:r>
            <w:r w:rsidR="00F246CA" w:rsidRPr="00A64286">
              <w:rPr>
                <w:rFonts w:asciiTheme="minorHAnsi" w:eastAsia="Aptos" w:hAnsiTheme="minorHAnsi" w:cs="Aptos"/>
                <w:szCs w:val="22"/>
              </w:rPr>
              <w:t xml:space="preserve"> the Snowy </w:t>
            </w:r>
            <w:r w:rsidR="00B472E8">
              <w:rPr>
                <w:rFonts w:asciiTheme="minorHAnsi" w:eastAsia="Aptos" w:hAnsiTheme="minorHAnsi" w:cs="Aptos"/>
                <w:szCs w:val="22"/>
              </w:rPr>
              <w:t>and other Snowy Montane rivers</w:t>
            </w:r>
          </w:p>
          <w:p w14:paraId="28ECC4CD" w14:textId="76A21640" w:rsidR="00F246CA" w:rsidRPr="00A64286" w:rsidRDefault="00382EE8" w:rsidP="00115BD6">
            <w:pPr>
              <w:pStyle w:val="ListParagraph"/>
              <w:numPr>
                <w:ilvl w:val="0"/>
                <w:numId w:val="116"/>
              </w:numPr>
              <w:spacing w:before="0" w:after="0" w:line="276" w:lineRule="auto"/>
              <w:rPr>
                <w:rFonts w:asciiTheme="minorHAnsi" w:eastAsia="Aptos" w:hAnsiTheme="minorHAnsi" w:cs="Aptos"/>
              </w:rPr>
            </w:pPr>
            <w:r>
              <w:rPr>
                <w:rFonts w:ascii="ZWAdobeF" w:eastAsia="Aptos" w:hAnsi="ZWAdobeF" w:cs="ZWAdobeF"/>
                <w:sz w:val="2"/>
                <w:szCs w:val="2"/>
              </w:rPr>
              <w:t>39B</w:t>
            </w:r>
            <w:r w:rsidR="4FE7D395" w:rsidRPr="078A0D1C">
              <w:rPr>
                <w:rFonts w:asciiTheme="minorHAnsi" w:eastAsia="Aptos" w:hAnsiTheme="minorHAnsi" w:cs="Aptos"/>
              </w:rPr>
              <w:t>responsibility for transparent public reporting on performance</w:t>
            </w:r>
            <w:r w:rsidR="4035B2A3" w:rsidRPr="078A0D1C">
              <w:rPr>
                <w:rFonts w:asciiTheme="minorHAnsi" w:eastAsia="Aptos" w:hAnsiTheme="minorHAnsi" w:cs="Aptos"/>
              </w:rPr>
              <w:t>,</w:t>
            </w:r>
            <w:r w:rsidR="4FE7D395" w:rsidRPr="078A0D1C">
              <w:rPr>
                <w:rFonts w:asciiTheme="minorHAnsi" w:eastAsia="Aptos" w:hAnsiTheme="minorHAnsi" w:cs="Aptos"/>
              </w:rPr>
              <w:t xml:space="preserve"> </w:t>
            </w:r>
            <w:r w:rsidR="4035B2A3" w:rsidRPr="078A0D1C">
              <w:rPr>
                <w:rFonts w:asciiTheme="minorHAnsi" w:eastAsia="Aptos" w:hAnsiTheme="minorHAnsi" w:cs="Aptos"/>
              </w:rPr>
              <w:t xml:space="preserve">monitoring </w:t>
            </w:r>
            <w:r w:rsidR="4FE7D395" w:rsidRPr="078A0D1C">
              <w:rPr>
                <w:rFonts w:asciiTheme="minorHAnsi" w:eastAsia="Aptos" w:hAnsiTheme="minorHAnsi" w:cs="Aptos"/>
              </w:rPr>
              <w:t>outcomes</w:t>
            </w:r>
            <w:r w:rsidR="72294148" w:rsidRPr="078A0D1C">
              <w:rPr>
                <w:rFonts w:ascii="Aptos" w:eastAsia="Aptos" w:hAnsi="Aptos" w:cs="Aptos"/>
              </w:rPr>
              <w:t xml:space="preserve"> and compliance (including in line with Recommendation 14 on compliance and enforcement).</w:t>
            </w:r>
          </w:p>
          <w:p w14:paraId="7C30A7EE" w14:textId="6ACA7946" w:rsidR="067792F2" w:rsidRPr="00A64286" w:rsidRDefault="067792F2" w:rsidP="1734B9EC">
            <w:pPr>
              <w:spacing w:before="0" w:after="0"/>
              <w:ind w:left="72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2C343F84"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01CFB765" w14:textId="044564D8"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lastRenderedPageBreak/>
              <w:t>Recommendation 1</w:t>
            </w:r>
            <w:r w:rsidR="0001493C">
              <w:rPr>
                <w:rFonts w:asciiTheme="minorHAnsi" w:eastAsia="Aptos" w:hAnsiTheme="minorHAnsi" w:cs="Aptos"/>
                <w:b/>
                <w:szCs w:val="22"/>
              </w:rPr>
              <w:t>1</w:t>
            </w:r>
            <w:r w:rsidRPr="00A64286">
              <w:rPr>
                <w:rFonts w:asciiTheme="minorHAnsi" w:eastAsia="Aptos" w:hAnsiTheme="minorHAnsi" w:cs="Aptos"/>
                <w:b/>
                <w:szCs w:val="22"/>
              </w:rPr>
              <w:t xml:space="preserve"> – Intergovernmental coordination (Senior Officials)</w:t>
            </w:r>
          </w:p>
          <w:p w14:paraId="412D4990" w14:textId="6B7CE25B"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7EE2F25F" w14:textId="4519BAFC" w:rsidR="00AD192C" w:rsidRPr="00A64286" w:rsidRDefault="00AD192C"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Governments establish a senior officials level</w:t>
            </w:r>
            <w:r w:rsidR="00865F5C">
              <w:rPr>
                <w:rFonts w:asciiTheme="minorHAnsi" w:eastAsia="Aptos" w:hAnsiTheme="minorHAnsi" w:cs="Aptos"/>
                <w:szCs w:val="22"/>
              </w:rPr>
              <w:t xml:space="preserve"> </w:t>
            </w:r>
            <w:r w:rsidR="00865F5C">
              <w:rPr>
                <w:rFonts w:ascii="Aptos" w:eastAsia="Aptos" w:hAnsi="Aptos" w:cs="Aptos"/>
                <w:szCs w:val="22"/>
              </w:rPr>
              <w:t xml:space="preserve">committee with authority and </w:t>
            </w:r>
            <w:r w:rsidR="00865F5C" w:rsidRPr="006D319D">
              <w:rPr>
                <w:rFonts w:ascii="Aptos" w:eastAsia="Aptos" w:hAnsi="Aptos" w:cs="Aptos"/>
                <w:szCs w:val="22"/>
              </w:rPr>
              <w:t>accountability</w:t>
            </w:r>
            <w:r w:rsidRPr="00A64286">
              <w:rPr>
                <w:rFonts w:asciiTheme="minorHAnsi" w:eastAsia="Aptos" w:hAnsiTheme="minorHAnsi" w:cs="Aptos"/>
                <w:szCs w:val="22"/>
              </w:rPr>
              <w:t xml:space="preserve"> to support implementation and whole-of-system operation.</w:t>
            </w:r>
          </w:p>
          <w:p w14:paraId="637933AD" w14:textId="77777777" w:rsidR="00AD192C" w:rsidRPr="00A64286" w:rsidRDefault="00AD192C"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3BC055C8" w14:textId="262AB421" w:rsidR="00AD192C" w:rsidRPr="00A64286" w:rsidRDefault="00AD192C"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This function</w:t>
            </w:r>
            <w:r w:rsidR="00865F5C">
              <w:rPr>
                <w:rFonts w:asciiTheme="minorHAnsi" w:eastAsia="Aptos" w:hAnsiTheme="minorHAnsi" w:cs="Aptos"/>
                <w:szCs w:val="22"/>
              </w:rPr>
              <w:t xml:space="preserve"> must</w:t>
            </w:r>
            <w:r w:rsidRPr="00A64286">
              <w:rPr>
                <w:rFonts w:asciiTheme="minorHAnsi" w:eastAsia="Aptos" w:hAnsiTheme="minorHAnsi" w:cs="Aptos"/>
                <w:szCs w:val="22"/>
              </w:rPr>
              <w:t>:</w:t>
            </w:r>
          </w:p>
          <w:p w14:paraId="5CA79CA4" w14:textId="5B8ACB32" w:rsidR="00AD192C" w:rsidRPr="00A64286" w:rsidRDefault="00382EE8" w:rsidP="00115BD6">
            <w:pPr>
              <w:pStyle w:val="ListParagraph"/>
              <w:numPr>
                <w:ilvl w:val="0"/>
                <w:numId w:val="78"/>
              </w:numPr>
              <w:spacing w:before="0" w:after="0" w:line="276" w:lineRule="auto"/>
              <w:rPr>
                <w:rFonts w:asciiTheme="minorHAnsi" w:eastAsia="Aptos" w:hAnsiTheme="minorHAnsi" w:cs="Aptos"/>
                <w:u w:val="single"/>
              </w:rPr>
            </w:pPr>
            <w:r>
              <w:rPr>
                <w:rFonts w:ascii="ZWAdobeF" w:eastAsia="Aptos" w:hAnsi="ZWAdobeF" w:cs="ZWAdobeF"/>
                <w:sz w:val="2"/>
                <w:szCs w:val="2"/>
              </w:rPr>
              <w:t>40B</w:t>
            </w:r>
            <w:r w:rsidR="00AD192C" w:rsidRPr="260626C7">
              <w:rPr>
                <w:rFonts w:asciiTheme="minorHAnsi" w:eastAsia="Aptos" w:hAnsiTheme="minorHAnsi" w:cs="Aptos"/>
              </w:rPr>
              <w:t>provide whole-of-system oversight of implementation, sequencing and coordination</w:t>
            </w:r>
          </w:p>
          <w:p w14:paraId="25312841" w14:textId="2D16B782" w:rsidR="00AD192C" w:rsidRPr="00A64286" w:rsidRDefault="00382EE8" w:rsidP="00115BD6">
            <w:pPr>
              <w:pStyle w:val="ListParagraph"/>
              <w:numPr>
                <w:ilvl w:val="0"/>
                <w:numId w:val="78"/>
              </w:numPr>
              <w:spacing w:before="0" w:after="0" w:line="276" w:lineRule="auto"/>
              <w:rPr>
                <w:rFonts w:asciiTheme="minorHAnsi" w:eastAsia="Aptos" w:hAnsiTheme="minorHAnsi" w:cs="Aptos"/>
                <w:szCs w:val="22"/>
              </w:rPr>
            </w:pPr>
            <w:r>
              <w:rPr>
                <w:rFonts w:ascii="ZWAdobeF" w:eastAsia="Aptos" w:hAnsi="ZWAdobeF" w:cs="ZWAdobeF"/>
                <w:sz w:val="2"/>
                <w:szCs w:val="2"/>
              </w:rPr>
              <w:t>41B</w:t>
            </w:r>
            <w:r w:rsidR="00AD192C" w:rsidRPr="00A64286">
              <w:rPr>
                <w:rFonts w:asciiTheme="minorHAnsi" w:eastAsia="Aptos" w:hAnsiTheme="minorHAnsi" w:cs="Aptos"/>
                <w:szCs w:val="22"/>
              </w:rPr>
              <w:t xml:space="preserve">ensure alignment across water, environment, energy, First Nations and community objectives </w:t>
            </w:r>
          </w:p>
          <w:p w14:paraId="69E215EF" w14:textId="174E2CBB" w:rsidR="00AD192C" w:rsidRPr="00A64286" w:rsidRDefault="00382EE8" w:rsidP="00115BD6">
            <w:pPr>
              <w:pStyle w:val="ListParagraph"/>
              <w:numPr>
                <w:ilvl w:val="0"/>
                <w:numId w:val="78"/>
              </w:numPr>
              <w:spacing w:before="0" w:after="0" w:line="276" w:lineRule="auto"/>
              <w:rPr>
                <w:rFonts w:asciiTheme="minorHAnsi" w:eastAsia="Aptos" w:hAnsiTheme="minorHAnsi" w:cs="Aptos"/>
                <w:szCs w:val="22"/>
              </w:rPr>
            </w:pPr>
            <w:r>
              <w:rPr>
                <w:rFonts w:ascii="ZWAdobeF" w:eastAsia="Aptos" w:hAnsi="ZWAdobeF" w:cs="ZWAdobeF"/>
                <w:sz w:val="2"/>
                <w:szCs w:val="2"/>
              </w:rPr>
              <w:t>42B</w:t>
            </w:r>
            <w:r w:rsidR="00AD192C" w:rsidRPr="00A64286">
              <w:rPr>
                <w:rFonts w:asciiTheme="minorHAnsi" w:eastAsia="Aptos" w:hAnsiTheme="minorHAnsi" w:cs="Aptos"/>
                <w:szCs w:val="22"/>
              </w:rPr>
              <w:t>Approve an annual plan</w:t>
            </w:r>
            <w:r w:rsidR="00865F5C">
              <w:rPr>
                <w:rFonts w:asciiTheme="minorHAnsi" w:eastAsia="Aptos" w:hAnsiTheme="minorHAnsi" w:cs="Aptos"/>
                <w:szCs w:val="22"/>
              </w:rPr>
              <w:t>, for example,</w:t>
            </w:r>
            <w:r w:rsidR="00AD192C" w:rsidRPr="00A64286">
              <w:rPr>
                <w:rFonts w:asciiTheme="minorHAnsi" w:eastAsia="Aptos" w:hAnsiTheme="minorHAnsi" w:cs="Aptos"/>
                <w:szCs w:val="22"/>
              </w:rPr>
              <w:t xml:space="preserve"> from the MDBA</w:t>
            </w:r>
            <w:r w:rsidR="00865F5C">
              <w:rPr>
                <w:rFonts w:asciiTheme="minorHAnsi" w:eastAsia="Aptos" w:hAnsiTheme="minorHAnsi" w:cs="Aptos"/>
                <w:szCs w:val="22"/>
              </w:rPr>
              <w:t>,</w:t>
            </w:r>
            <w:r w:rsidR="00AD192C" w:rsidRPr="00A64286">
              <w:rPr>
                <w:rFonts w:asciiTheme="minorHAnsi" w:eastAsia="Aptos" w:hAnsiTheme="minorHAnsi" w:cs="Aptos"/>
                <w:szCs w:val="22"/>
              </w:rPr>
              <w:t xml:space="preserve"> which coordinates as necessary</w:t>
            </w:r>
            <w:r w:rsidR="00EF2F0F" w:rsidRPr="00A64286">
              <w:rPr>
                <w:rFonts w:asciiTheme="minorHAnsi" w:eastAsia="Aptos" w:hAnsiTheme="minorHAnsi" w:cs="Aptos"/>
                <w:szCs w:val="22"/>
              </w:rPr>
              <w:t>,</w:t>
            </w:r>
            <w:r w:rsidR="00AD192C" w:rsidRPr="00A64286">
              <w:rPr>
                <w:rFonts w:asciiTheme="minorHAnsi" w:eastAsia="Aptos" w:hAnsiTheme="minorHAnsi" w:cs="Aptos"/>
                <w:szCs w:val="22"/>
              </w:rPr>
              <w:t xml:space="preserve"> activities under the Deed </w:t>
            </w:r>
          </w:p>
          <w:p w14:paraId="2170673D" w14:textId="13073A24" w:rsidR="00AD192C" w:rsidRPr="00A64286" w:rsidRDefault="00382EE8" w:rsidP="00115BD6">
            <w:pPr>
              <w:pStyle w:val="ListParagraph"/>
              <w:numPr>
                <w:ilvl w:val="0"/>
                <w:numId w:val="78"/>
              </w:numPr>
              <w:spacing w:before="0" w:after="0" w:line="276" w:lineRule="auto"/>
              <w:rPr>
                <w:rFonts w:asciiTheme="minorHAnsi" w:eastAsia="Aptos" w:hAnsiTheme="minorHAnsi" w:cs="Aptos"/>
                <w:szCs w:val="22"/>
              </w:rPr>
            </w:pPr>
            <w:r>
              <w:rPr>
                <w:rFonts w:ascii="ZWAdobeF" w:eastAsia="Aptos" w:hAnsi="ZWAdobeF" w:cs="ZWAdobeF"/>
                <w:sz w:val="2"/>
                <w:szCs w:val="2"/>
              </w:rPr>
              <w:t>43B</w:t>
            </w:r>
            <w:r w:rsidR="00AD192C" w:rsidRPr="00A64286">
              <w:rPr>
                <w:rFonts w:asciiTheme="minorHAnsi" w:eastAsia="Aptos" w:hAnsiTheme="minorHAnsi" w:cs="Aptos"/>
                <w:szCs w:val="22"/>
              </w:rPr>
              <w:t>support effective collaboration across jurisdictions</w:t>
            </w:r>
          </w:p>
          <w:p w14:paraId="70355AD6" w14:textId="3327A58F" w:rsidR="00AD192C" w:rsidRPr="00A64286" w:rsidRDefault="00382EE8" w:rsidP="00115BD6">
            <w:pPr>
              <w:pStyle w:val="ListParagraph"/>
              <w:numPr>
                <w:ilvl w:val="0"/>
                <w:numId w:val="78"/>
              </w:numPr>
              <w:spacing w:before="0" w:after="0" w:line="276" w:lineRule="auto"/>
              <w:rPr>
                <w:rFonts w:asciiTheme="minorHAnsi" w:eastAsia="Aptos" w:hAnsiTheme="minorHAnsi" w:cs="Aptos"/>
                <w:szCs w:val="22"/>
              </w:rPr>
            </w:pPr>
            <w:r>
              <w:rPr>
                <w:rFonts w:ascii="ZWAdobeF" w:eastAsia="Aptos" w:hAnsi="ZWAdobeF" w:cs="ZWAdobeF"/>
                <w:sz w:val="2"/>
                <w:szCs w:val="2"/>
              </w:rPr>
              <w:t>44B</w:t>
            </w:r>
            <w:r w:rsidR="00AD192C" w:rsidRPr="00A64286">
              <w:rPr>
                <w:rFonts w:asciiTheme="minorHAnsi" w:eastAsia="Aptos" w:hAnsiTheme="minorHAnsi" w:cs="Aptos"/>
                <w:szCs w:val="22"/>
              </w:rPr>
              <w:t xml:space="preserve">include and respond to the advice of First Nations, the community and scientific input. </w:t>
            </w:r>
          </w:p>
          <w:p w14:paraId="1CD0C517" w14:textId="1DFA8B9F" w:rsidR="067792F2" w:rsidRPr="00A64286" w:rsidRDefault="067792F2" w:rsidP="1734B9EC">
            <w:pPr>
              <w:spacing w:before="0" w:after="0"/>
              <w:ind w:left="72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1219CBE4"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01076594" w14:textId="753A638B" w:rsidR="067792F2" w:rsidRPr="00A64286" w:rsidRDefault="067792F2" w:rsidP="0042099D">
            <w:pPr>
              <w:spacing w:before="0" w:after="0" w:line="276" w:lineRule="auto"/>
              <w:rPr>
                <w:rFonts w:asciiTheme="minorHAnsi" w:eastAsia="Aptos" w:hAnsiTheme="minorHAnsi" w:cs="Aptos"/>
                <w:b/>
                <w:szCs w:val="22"/>
              </w:rPr>
            </w:pPr>
            <w:r w:rsidRPr="00A64286">
              <w:rPr>
                <w:rFonts w:asciiTheme="minorHAnsi" w:eastAsia="Aptos" w:hAnsiTheme="minorHAnsi" w:cs="Aptos"/>
                <w:b/>
                <w:szCs w:val="22"/>
              </w:rPr>
              <w:t>Recommendation 1</w:t>
            </w:r>
            <w:r w:rsidR="00F77F5B">
              <w:rPr>
                <w:rFonts w:asciiTheme="minorHAnsi" w:eastAsia="Aptos" w:hAnsiTheme="minorHAnsi" w:cs="Aptos"/>
                <w:b/>
                <w:szCs w:val="22"/>
              </w:rPr>
              <w:t>2</w:t>
            </w:r>
            <w:r w:rsidRPr="00A64286">
              <w:rPr>
                <w:rFonts w:asciiTheme="minorHAnsi" w:eastAsia="Aptos" w:hAnsiTheme="minorHAnsi" w:cs="Aptos"/>
                <w:b/>
                <w:szCs w:val="22"/>
              </w:rPr>
              <w:t xml:space="preserve"> – Advisory and participatory inputs</w:t>
            </w:r>
          </w:p>
          <w:p w14:paraId="0C72034B" w14:textId="208B4357" w:rsidR="067792F2" w:rsidRPr="00A64286" w:rsidRDefault="067792F2"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530DB9FC" w14:textId="7FD84A16" w:rsidR="00D3603A" w:rsidRPr="00A64286" w:rsidRDefault="00D3603A"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Governments strengthen advisory and participatory arrangements to support decision-making across the system.</w:t>
            </w:r>
          </w:p>
          <w:p w14:paraId="50A4DFDF" w14:textId="77777777" w:rsidR="00D3603A" w:rsidRPr="00A64286" w:rsidRDefault="00D3603A"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602D5A5B" w14:textId="6A55F8F6" w:rsidR="00D3603A" w:rsidRPr="00A64286" w:rsidRDefault="00D3603A"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This include</w:t>
            </w:r>
            <w:r w:rsidR="00F77F5B">
              <w:rPr>
                <w:rFonts w:asciiTheme="minorHAnsi" w:eastAsia="Aptos" w:hAnsiTheme="minorHAnsi" w:cs="Aptos"/>
                <w:szCs w:val="22"/>
              </w:rPr>
              <w:t>s</w:t>
            </w:r>
            <w:r w:rsidRPr="00A64286">
              <w:rPr>
                <w:rFonts w:asciiTheme="minorHAnsi" w:eastAsia="Aptos" w:hAnsiTheme="minorHAnsi" w:cs="Aptos"/>
                <w:szCs w:val="22"/>
              </w:rPr>
              <w:t>:</w:t>
            </w:r>
          </w:p>
          <w:p w14:paraId="46F047EC" w14:textId="5A0955A6" w:rsidR="00D3603A" w:rsidRPr="00A64286" w:rsidRDefault="00382EE8" w:rsidP="00115BD6">
            <w:pPr>
              <w:pStyle w:val="ListParagraph"/>
              <w:numPr>
                <w:ilvl w:val="0"/>
                <w:numId w:val="117"/>
              </w:numPr>
              <w:spacing w:before="0" w:after="0" w:line="276" w:lineRule="auto"/>
              <w:rPr>
                <w:rFonts w:asciiTheme="minorHAnsi" w:eastAsia="Aptos" w:hAnsiTheme="minorHAnsi" w:cs="Aptos"/>
                <w:szCs w:val="22"/>
              </w:rPr>
            </w:pPr>
            <w:r>
              <w:rPr>
                <w:rFonts w:ascii="ZWAdobeF" w:eastAsia="Aptos" w:hAnsi="ZWAdobeF" w:cs="ZWAdobeF"/>
                <w:sz w:val="2"/>
                <w:szCs w:val="2"/>
              </w:rPr>
              <w:t>45B</w:t>
            </w:r>
            <w:r w:rsidR="00D3603A" w:rsidRPr="00A64286">
              <w:rPr>
                <w:rFonts w:asciiTheme="minorHAnsi" w:eastAsia="Aptos" w:hAnsiTheme="minorHAnsi" w:cs="Aptos"/>
                <w:szCs w:val="22"/>
              </w:rPr>
              <w:t>NSW expanding advisory arrangements (such as the Snowy Advisory Committee) to include additional ACT, First Nations and community representation</w:t>
            </w:r>
          </w:p>
          <w:p w14:paraId="0B041409" w14:textId="3D14979E" w:rsidR="00D3603A" w:rsidRPr="00A64286" w:rsidRDefault="00382EE8" w:rsidP="00115BD6">
            <w:pPr>
              <w:pStyle w:val="ListParagraph"/>
              <w:numPr>
                <w:ilvl w:val="0"/>
                <w:numId w:val="117"/>
              </w:numPr>
              <w:spacing w:before="0" w:after="0" w:line="276" w:lineRule="auto"/>
              <w:rPr>
                <w:rFonts w:asciiTheme="minorHAnsi" w:eastAsia="Aptos" w:hAnsiTheme="minorHAnsi" w:cs="Aptos"/>
              </w:rPr>
            </w:pPr>
            <w:r>
              <w:rPr>
                <w:rFonts w:ascii="ZWAdobeF" w:eastAsia="Aptos" w:hAnsi="ZWAdobeF" w:cs="ZWAdobeF"/>
                <w:sz w:val="2"/>
                <w:szCs w:val="2"/>
              </w:rPr>
              <w:t>46B</w:t>
            </w:r>
            <w:r w:rsidR="00D3603A" w:rsidRPr="6E62429A">
              <w:rPr>
                <w:rFonts w:asciiTheme="minorHAnsi" w:eastAsia="Aptos" w:hAnsiTheme="minorHAnsi" w:cs="Aptos"/>
              </w:rPr>
              <w:t xml:space="preserve">ensuring input into planning, decision-making and review processes </w:t>
            </w:r>
            <w:r w:rsidR="2C7537AD" w:rsidRPr="6E62429A">
              <w:rPr>
                <w:rFonts w:asciiTheme="minorHAnsi" w:eastAsia="Aptos" w:hAnsiTheme="minorHAnsi" w:cs="Aptos"/>
              </w:rPr>
              <w:t>is</w:t>
            </w:r>
            <w:r w:rsidR="00D3603A" w:rsidRPr="6E62429A">
              <w:rPr>
                <w:rFonts w:asciiTheme="minorHAnsi" w:eastAsia="Aptos" w:hAnsiTheme="minorHAnsi" w:cs="Aptos"/>
              </w:rPr>
              <w:t xml:space="preserve"> consistent and coordinated</w:t>
            </w:r>
          </w:p>
          <w:p w14:paraId="368154F1" w14:textId="73DB3F34" w:rsidR="00D3603A" w:rsidRPr="00A64286" w:rsidRDefault="00382EE8" w:rsidP="00115BD6">
            <w:pPr>
              <w:pStyle w:val="ListParagraph"/>
              <w:numPr>
                <w:ilvl w:val="0"/>
                <w:numId w:val="117"/>
              </w:numPr>
              <w:spacing w:before="0" w:after="0" w:line="276" w:lineRule="auto"/>
              <w:rPr>
                <w:rFonts w:asciiTheme="minorHAnsi" w:eastAsia="Aptos" w:hAnsiTheme="minorHAnsi" w:cs="Aptos"/>
                <w:szCs w:val="22"/>
              </w:rPr>
            </w:pPr>
            <w:r>
              <w:rPr>
                <w:rFonts w:ascii="ZWAdobeF" w:eastAsia="Aptos" w:hAnsi="ZWAdobeF" w:cs="ZWAdobeF"/>
                <w:sz w:val="2"/>
                <w:szCs w:val="2"/>
              </w:rPr>
              <w:t>47B</w:t>
            </w:r>
            <w:r w:rsidR="00D3603A" w:rsidRPr="00A64286">
              <w:rPr>
                <w:rFonts w:asciiTheme="minorHAnsi" w:eastAsia="Aptos" w:hAnsiTheme="minorHAnsi" w:cs="Aptos"/>
                <w:szCs w:val="22"/>
              </w:rPr>
              <w:t>including the Commonwealth Environmental Water Holder in relevant advisory and coordination forums</w:t>
            </w:r>
          </w:p>
          <w:p w14:paraId="1AA479D2" w14:textId="005C66AA" w:rsidR="067792F2" w:rsidRDefault="00382EE8" w:rsidP="00115BD6">
            <w:pPr>
              <w:pStyle w:val="ListParagraph"/>
              <w:numPr>
                <w:ilvl w:val="0"/>
                <w:numId w:val="117"/>
              </w:numPr>
              <w:spacing w:before="0" w:after="0" w:line="276" w:lineRule="auto"/>
              <w:rPr>
                <w:rFonts w:asciiTheme="minorHAnsi" w:eastAsia="Aptos" w:hAnsiTheme="minorHAnsi" w:cs="Aptos"/>
                <w:szCs w:val="22"/>
              </w:rPr>
            </w:pPr>
            <w:r>
              <w:rPr>
                <w:rFonts w:ascii="ZWAdobeF" w:eastAsia="Aptos" w:hAnsi="ZWAdobeF" w:cs="ZWAdobeF"/>
                <w:sz w:val="2"/>
                <w:szCs w:val="2"/>
              </w:rPr>
              <w:t>48B</w:t>
            </w:r>
            <w:r w:rsidR="00D3603A" w:rsidRPr="00A64286">
              <w:rPr>
                <w:rFonts w:asciiTheme="minorHAnsi" w:eastAsia="Aptos" w:hAnsiTheme="minorHAnsi" w:cs="Aptos"/>
                <w:szCs w:val="22"/>
              </w:rPr>
              <w:t>supporting transparency and community confidence through clear engagement processes and public reporting.</w:t>
            </w:r>
          </w:p>
          <w:p w14:paraId="7A0130D6" w14:textId="30197379" w:rsidR="0042099D" w:rsidRPr="0042099D" w:rsidRDefault="0042099D" w:rsidP="0042099D">
            <w:pPr>
              <w:pStyle w:val="ListParagraph"/>
              <w:spacing w:before="0" w:after="0" w:line="276" w:lineRule="auto"/>
              <w:rPr>
                <w:rFonts w:asciiTheme="minorHAnsi" w:eastAsia="Aptos" w:hAnsiTheme="minorHAnsi" w:cs="Aptos"/>
                <w:szCs w:val="22"/>
              </w:rPr>
            </w:pPr>
          </w:p>
        </w:tc>
      </w:tr>
    </w:tbl>
    <w:p w14:paraId="7A937A7F" w14:textId="77777777" w:rsidR="00EA4631" w:rsidRDefault="00EA4631">
      <w:r>
        <w:br w:type="page"/>
      </w:r>
    </w:p>
    <w:tbl>
      <w:tblPr>
        <w:tblStyle w:val="TableGrid"/>
        <w:tblW w:w="9351" w:type="dxa"/>
        <w:tblLook w:val="04A0" w:firstRow="1" w:lastRow="0" w:firstColumn="1" w:lastColumn="0" w:noHBand="0" w:noVBand="1"/>
      </w:tblPr>
      <w:tblGrid>
        <w:gridCol w:w="9351"/>
      </w:tblGrid>
      <w:tr w:rsidR="067792F2" w:rsidRPr="004D43C6" w14:paraId="09E2E308"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46A3A528" w14:textId="7FA5113E" w:rsidR="067792F2" w:rsidRPr="00A64286" w:rsidRDefault="7E5FAC3C" w:rsidP="1734B9EC">
            <w:pPr>
              <w:spacing w:before="0" w:after="0"/>
              <w:rPr>
                <w:rFonts w:asciiTheme="minorHAnsi" w:eastAsia="Aptos" w:hAnsiTheme="minorHAnsi" w:cs="Aptos"/>
                <w:b/>
                <w:szCs w:val="22"/>
              </w:rPr>
            </w:pPr>
            <w:r w:rsidRPr="00A64286">
              <w:rPr>
                <w:rFonts w:asciiTheme="minorHAnsi" w:eastAsia="Aptos" w:hAnsiTheme="minorHAnsi" w:cs="Aptos"/>
                <w:b/>
                <w:szCs w:val="22"/>
              </w:rPr>
              <w:lastRenderedPageBreak/>
              <w:t>Recommendation 1</w:t>
            </w:r>
            <w:r w:rsidR="00821B5B">
              <w:rPr>
                <w:rFonts w:asciiTheme="minorHAnsi" w:eastAsia="Aptos" w:hAnsiTheme="minorHAnsi" w:cs="Aptos"/>
                <w:b/>
                <w:szCs w:val="22"/>
              </w:rPr>
              <w:t>3</w:t>
            </w:r>
            <w:r w:rsidRPr="00A64286">
              <w:rPr>
                <w:rFonts w:asciiTheme="minorHAnsi" w:eastAsia="Aptos" w:hAnsiTheme="minorHAnsi" w:cs="Aptos"/>
                <w:b/>
                <w:szCs w:val="22"/>
              </w:rPr>
              <w:t xml:space="preserve"> </w:t>
            </w:r>
            <w:r w:rsidR="006106C2" w:rsidRPr="00A64286">
              <w:rPr>
                <w:rFonts w:asciiTheme="minorHAnsi" w:eastAsia="Aptos" w:hAnsiTheme="minorHAnsi" w:cs="Aptos"/>
                <w:b/>
                <w:szCs w:val="22"/>
              </w:rPr>
              <w:t>–</w:t>
            </w:r>
            <w:r w:rsidRPr="00A64286">
              <w:rPr>
                <w:rFonts w:asciiTheme="minorHAnsi" w:eastAsia="Aptos" w:hAnsiTheme="minorHAnsi" w:cs="Aptos"/>
                <w:b/>
                <w:szCs w:val="22"/>
              </w:rPr>
              <w:t xml:space="preserve"> Monitoring, reporting and review</w:t>
            </w:r>
          </w:p>
          <w:p w14:paraId="6CFC93EB" w14:textId="570BF554" w:rsidR="067792F2" w:rsidRPr="00A64286" w:rsidRDefault="067792F2" w:rsidP="0042099D">
            <w:pPr>
              <w:spacing w:before="0" w:after="0" w:line="276" w:lineRule="auto"/>
              <w:rPr>
                <w:rFonts w:asciiTheme="minorHAnsi" w:eastAsia="Aptos" w:hAnsiTheme="minorHAnsi" w:cs="Aptos"/>
                <w:b/>
                <w:szCs w:val="22"/>
              </w:rPr>
            </w:pPr>
            <w:r w:rsidRPr="00A64286">
              <w:rPr>
                <w:rFonts w:asciiTheme="minorHAnsi" w:eastAsia="Aptos" w:hAnsiTheme="minorHAnsi" w:cs="Aptos"/>
                <w:b/>
                <w:szCs w:val="22"/>
              </w:rPr>
              <w:t xml:space="preserve"> </w:t>
            </w:r>
          </w:p>
          <w:p w14:paraId="2ED4F31D" w14:textId="56C693A9" w:rsidR="067792F2" w:rsidRPr="00A64286" w:rsidRDefault="067792F2" w:rsidP="0042099D">
            <w:pPr>
              <w:spacing w:before="0" w:after="0" w:line="276" w:lineRule="auto"/>
              <w:rPr>
                <w:rFonts w:asciiTheme="minorHAnsi" w:eastAsia="Aptos" w:hAnsiTheme="minorHAnsi" w:cs="Aptos"/>
              </w:rPr>
            </w:pPr>
            <w:r w:rsidRPr="260626C7">
              <w:rPr>
                <w:rFonts w:asciiTheme="minorHAnsi" w:eastAsia="Aptos" w:hAnsiTheme="minorHAnsi" w:cs="Aptos"/>
              </w:rPr>
              <w:t>Governments establish an integrated monitoring, reporting and review framework</w:t>
            </w:r>
            <w:r w:rsidRPr="00A64286">
              <w:rPr>
                <w:rFonts w:asciiTheme="minorHAnsi" w:eastAsia="Aptos" w:hAnsiTheme="minorHAnsi"/>
              </w:rPr>
              <w:t xml:space="preserve"> </w:t>
            </w:r>
            <w:r w:rsidR="00EA5F4D" w:rsidRPr="260626C7">
              <w:rPr>
                <w:rFonts w:asciiTheme="minorHAnsi" w:eastAsia="Aptos" w:hAnsiTheme="minorHAnsi" w:cs="Aptos"/>
              </w:rPr>
              <w:t xml:space="preserve">which brings together monitoring undertaken by relevant entities (including the Commonwealth Environmental Water Holder) </w:t>
            </w:r>
            <w:r w:rsidRPr="260626C7">
              <w:rPr>
                <w:rFonts w:asciiTheme="minorHAnsi" w:eastAsia="Aptos" w:hAnsiTheme="minorHAnsi" w:cs="Aptos"/>
              </w:rPr>
              <w:t>that:</w:t>
            </w:r>
          </w:p>
          <w:p w14:paraId="7D42ADBC" w14:textId="3CCF8635" w:rsidR="067792F2" w:rsidRPr="00A64286" w:rsidRDefault="00382EE8" w:rsidP="00115BD6">
            <w:pPr>
              <w:pStyle w:val="ListParagraph"/>
              <w:numPr>
                <w:ilvl w:val="0"/>
                <w:numId w:val="118"/>
              </w:numPr>
              <w:spacing w:before="0" w:after="0" w:line="276" w:lineRule="auto"/>
              <w:rPr>
                <w:rFonts w:asciiTheme="minorHAnsi" w:eastAsia="Aptos" w:hAnsiTheme="minorHAnsi" w:cs="Aptos"/>
                <w:szCs w:val="22"/>
              </w:rPr>
            </w:pPr>
            <w:r>
              <w:rPr>
                <w:rFonts w:ascii="ZWAdobeF" w:eastAsia="Aptos" w:hAnsi="ZWAdobeF" w:cs="ZWAdobeF"/>
                <w:sz w:val="2"/>
                <w:szCs w:val="2"/>
              </w:rPr>
              <w:t>49B</w:t>
            </w:r>
            <w:r w:rsidR="067792F2" w:rsidRPr="00A64286">
              <w:rPr>
                <w:rFonts w:asciiTheme="minorHAnsi" w:eastAsia="Aptos" w:hAnsiTheme="minorHAnsi" w:cs="Aptos"/>
                <w:szCs w:val="22"/>
              </w:rPr>
              <w:t>assesses performance against agreed objectives and indicators</w:t>
            </w:r>
          </w:p>
          <w:p w14:paraId="5DA5CD8A" w14:textId="05482C13" w:rsidR="067792F2" w:rsidRPr="00A64286" w:rsidRDefault="00382EE8" w:rsidP="00115BD6">
            <w:pPr>
              <w:pStyle w:val="ListParagraph"/>
              <w:numPr>
                <w:ilvl w:val="0"/>
                <w:numId w:val="118"/>
              </w:numPr>
              <w:spacing w:before="0" w:after="0" w:line="276" w:lineRule="auto"/>
              <w:rPr>
                <w:rFonts w:asciiTheme="minorHAnsi" w:eastAsia="Aptos" w:hAnsiTheme="minorHAnsi" w:cs="Aptos"/>
                <w:szCs w:val="22"/>
              </w:rPr>
            </w:pPr>
            <w:r>
              <w:rPr>
                <w:rFonts w:ascii="ZWAdobeF" w:eastAsia="Aptos" w:hAnsi="ZWAdobeF" w:cs="ZWAdobeF"/>
                <w:sz w:val="2"/>
                <w:szCs w:val="2"/>
              </w:rPr>
              <w:t>50B</w:t>
            </w:r>
            <w:r w:rsidR="067792F2" w:rsidRPr="00A64286">
              <w:rPr>
                <w:rFonts w:asciiTheme="minorHAnsi" w:eastAsia="Aptos" w:hAnsiTheme="minorHAnsi" w:cs="Aptos"/>
                <w:szCs w:val="22"/>
              </w:rPr>
              <w:t>provides independent, transparent reporting on system outcomes</w:t>
            </w:r>
          </w:p>
          <w:p w14:paraId="5A314B01" w14:textId="44B8EC25" w:rsidR="067792F2" w:rsidRPr="00A64286" w:rsidRDefault="00382EE8" w:rsidP="00115BD6">
            <w:pPr>
              <w:pStyle w:val="ListParagraph"/>
              <w:numPr>
                <w:ilvl w:val="0"/>
                <w:numId w:val="118"/>
              </w:numPr>
              <w:spacing w:before="0" w:after="0" w:line="276" w:lineRule="auto"/>
              <w:rPr>
                <w:rFonts w:asciiTheme="minorHAnsi" w:eastAsia="Aptos" w:hAnsiTheme="minorHAnsi" w:cs="Aptos"/>
                <w:szCs w:val="22"/>
              </w:rPr>
            </w:pPr>
            <w:r>
              <w:rPr>
                <w:rFonts w:ascii="ZWAdobeF" w:eastAsia="Aptos" w:hAnsi="ZWAdobeF" w:cs="ZWAdobeF"/>
                <w:sz w:val="2"/>
                <w:szCs w:val="2"/>
              </w:rPr>
              <w:t>51B</w:t>
            </w:r>
            <w:r w:rsidR="067792F2" w:rsidRPr="00A64286">
              <w:rPr>
                <w:rFonts w:asciiTheme="minorHAnsi" w:eastAsia="Aptos" w:hAnsiTheme="minorHAnsi" w:cs="Aptos"/>
                <w:szCs w:val="22"/>
              </w:rPr>
              <w:t>supports adaptive management through feedback into decision-making</w:t>
            </w:r>
          </w:p>
          <w:p w14:paraId="21C48806" w14:textId="6B5205E4" w:rsidR="00016787" w:rsidRDefault="00382EE8" w:rsidP="00115BD6">
            <w:pPr>
              <w:pStyle w:val="ListParagraph"/>
              <w:numPr>
                <w:ilvl w:val="0"/>
                <w:numId w:val="118"/>
              </w:numPr>
              <w:spacing w:before="0" w:after="0" w:line="276" w:lineRule="auto"/>
              <w:rPr>
                <w:rFonts w:asciiTheme="minorHAnsi" w:eastAsia="Aptos" w:hAnsiTheme="minorHAnsi" w:cs="Aptos"/>
              </w:rPr>
            </w:pPr>
            <w:r>
              <w:rPr>
                <w:rFonts w:ascii="ZWAdobeF" w:eastAsia="Aptos" w:hAnsi="ZWAdobeF" w:cs="ZWAdobeF"/>
                <w:sz w:val="2"/>
                <w:szCs w:val="2"/>
              </w:rPr>
              <w:t>52B</w:t>
            </w:r>
            <w:r w:rsidR="067792F2" w:rsidRPr="6E62429A">
              <w:rPr>
                <w:rFonts w:asciiTheme="minorHAnsi" w:eastAsia="Aptos" w:hAnsiTheme="minorHAnsi" w:cs="Aptos"/>
              </w:rPr>
              <w:t xml:space="preserve">includes regular independent audit (e.g. 5-yearly) and </w:t>
            </w:r>
            <w:r w:rsidR="3FFB68B6" w:rsidRPr="6E62429A">
              <w:rPr>
                <w:rFonts w:asciiTheme="minorHAnsi" w:eastAsia="Aptos" w:hAnsiTheme="minorHAnsi" w:cs="Aptos"/>
              </w:rPr>
              <w:t>10</w:t>
            </w:r>
            <w:r w:rsidR="00026322">
              <w:rPr>
                <w:rFonts w:asciiTheme="minorHAnsi" w:eastAsia="Aptos" w:hAnsiTheme="minorHAnsi" w:cs="Aptos"/>
              </w:rPr>
              <w:t>-</w:t>
            </w:r>
            <w:r w:rsidR="3FFB68B6" w:rsidRPr="6E62429A">
              <w:rPr>
                <w:rFonts w:asciiTheme="minorHAnsi" w:eastAsia="Aptos" w:hAnsiTheme="minorHAnsi" w:cs="Aptos"/>
              </w:rPr>
              <w:t xml:space="preserve">yearly </w:t>
            </w:r>
            <w:r w:rsidR="60F11136" w:rsidRPr="6E62429A">
              <w:rPr>
                <w:rFonts w:asciiTheme="minorHAnsi" w:eastAsia="Aptos" w:hAnsiTheme="minorHAnsi" w:cs="Aptos"/>
              </w:rPr>
              <w:t>Deed</w:t>
            </w:r>
            <w:r w:rsidR="067792F2" w:rsidRPr="6E62429A">
              <w:rPr>
                <w:rFonts w:asciiTheme="minorHAnsi" w:eastAsia="Aptos" w:hAnsiTheme="minorHAnsi" w:cs="Aptos"/>
              </w:rPr>
              <w:t xml:space="preserve"> review</w:t>
            </w:r>
          </w:p>
          <w:p w14:paraId="1BF6067C" w14:textId="25A94F40" w:rsidR="067792F2" w:rsidRPr="00BE3B29" w:rsidRDefault="00382EE8" w:rsidP="00115BD6">
            <w:pPr>
              <w:pStyle w:val="ListParagraph"/>
              <w:numPr>
                <w:ilvl w:val="0"/>
                <w:numId w:val="118"/>
              </w:numPr>
              <w:spacing w:after="0" w:line="276" w:lineRule="auto"/>
              <w:rPr>
                <w:rFonts w:ascii="Aptos" w:eastAsia="Aptos" w:hAnsi="Aptos" w:cs="Aptos"/>
              </w:rPr>
            </w:pPr>
            <w:r>
              <w:rPr>
                <w:rFonts w:ascii="ZWAdobeF" w:eastAsia="Aptos" w:hAnsi="ZWAdobeF" w:cs="ZWAdobeF"/>
                <w:sz w:val="2"/>
                <w:szCs w:val="2"/>
              </w:rPr>
              <w:t>53B</w:t>
            </w:r>
            <w:r w:rsidR="66D166B6" w:rsidRPr="078A0D1C">
              <w:rPr>
                <w:rFonts w:ascii="Aptos" w:eastAsia="Aptos" w:hAnsi="Aptos" w:cs="Aptos"/>
              </w:rPr>
              <w:t>p</w:t>
            </w:r>
            <w:r w:rsidR="36E97F59" w:rsidRPr="078A0D1C">
              <w:rPr>
                <w:rFonts w:ascii="Aptos" w:eastAsia="Aptos" w:hAnsi="Aptos" w:cs="Aptos"/>
              </w:rPr>
              <w:t xml:space="preserve">rovides coordination across jurisdictions. </w:t>
            </w:r>
            <w:r w:rsidR="3BB0A1FF" w:rsidRPr="078A0D1C">
              <w:rPr>
                <w:rFonts w:eastAsia="Aptos" w:cs="Aptos"/>
              </w:rPr>
              <w:t xml:space="preserve"> </w:t>
            </w:r>
          </w:p>
          <w:p w14:paraId="11C2208F" w14:textId="70EE3E24" w:rsidR="067792F2" w:rsidRPr="00A64286" w:rsidRDefault="067792F2" w:rsidP="1734B9EC">
            <w:pPr>
              <w:spacing w:before="0" w:after="0"/>
              <w:ind w:left="360"/>
              <w:rPr>
                <w:rFonts w:asciiTheme="minorHAnsi" w:eastAsia="Aptos" w:hAnsiTheme="minorHAnsi" w:cs="Aptos"/>
                <w:b/>
                <w:szCs w:val="22"/>
              </w:rPr>
            </w:pPr>
            <w:r w:rsidRPr="00A64286">
              <w:rPr>
                <w:rFonts w:asciiTheme="minorHAnsi" w:eastAsia="Aptos" w:hAnsiTheme="minorHAnsi" w:cs="Aptos"/>
                <w:b/>
                <w:szCs w:val="22"/>
              </w:rPr>
              <w:t xml:space="preserve"> </w:t>
            </w:r>
          </w:p>
        </w:tc>
      </w:tr>
      <w:tr w:rsidR="067792F2" w:rsidRPr="004D43C6" w14:paraId="57123425"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2504B7F2" w14:textId="24BC6702" w:rsidR="067792F2" w:rsidRPr="00A64286" w:rsidRDefault="067792F2" w:rsidP="1734B9EC">
            <w:pPr>
              <w:spacing w:before="0" w:after="0"/>
              <w:rPr>
                <w:rFonts w:asciiTheme="minorHAnsi" w:eastAsia="Aptos" w:hAnsiTheme="minorHAnsi" w:cs="Aptos"/>
                <w:b/>
              </w:rPr>
            </w:pPr>
            <w:r w:rsidRPr="6E62429A">
              <w:rPr>
                <w:rFonts w:asciiTheme="minorHAnsi" w:eastAsia="Aptos" w:hAnsiTheme="minorHAnsi" w:cs="Aptos"/>
                <w:b/>
              </w:rPr>
              <w:t>Recommendation 1</w:t>
            </w:r>
            <w:r w:rsidR="00016787">
              <w:rPr>
                <w:rFonts w:asciiTheme="minorHAnsi" w:eastAsia="Aptos" w:hAnsiTheme="minorHAnsi" w:cs="Aptos"/>
                <w:b/>
              </w:rPr>
              <w:t>4</w:t>
            </w:r>
            <w:r w:rsidRPr="6E62429A">
              <w:rPr>
                <w:rFonts w:asciiTheme="minorHAnsi" w:eastAsia="Aptos" w:hAnsiTheme="minorHAnsi" w:cs="Aptos"/>
                <w:b/>
              </w:rPr>
              <w:t xml:space="preserve"> – Compliance and enforcement </w:t>
            </w:r>
          </w:p>
          <w:p w14:paraId="5773CF6B" w14:textId="52C989FD"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306F3E5D" w14:textId="4202D017" w:rsidR="00830F25" w:rsidRPr="00A64286" w:rsidRDefault="00830F25"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Governments establish a strengthened compliance and enforcement framework that:</w:t>
            </w:r>
          </w:p>
          <w:p w14:paraId="36B85206" w14:textId="1336500A" w:rsidR="00830F25" w:rsidRPr="00A64286" w:rsidRDefault="00382EE8" w:rsidP="00115BD6">
            <w:pPr>
              <w:pStyle w:val="ListParagraph"/>
              <w:numPr>
                <w:ilvl w:val="0"/>
                <w:numId w:val="119"/>
              </w:numPr>
              <w:spacing w:before="0" w:after="0" w:line="276" w:lineRule="auto"/>
              <w:rPr>
                <w:rFonts w:asciiTheme="minorHAnsi" w:eastAsia="Aptos" w:hAnsiTheme="minorHAnsi" w:cs="Aptos"/>
                <w:szCs w:val="22"/>
              </w:rPr>
            </w:pPr>
            <w:r>
              <w:rPr>
                <w:rFonts w:ascii="ZWAdobeF" w:eastAsia="Aptos" w:hAnsi="ZWAdobeF" w:cs="ZWAdobeF"/>
                <w:sz w:val="2"/>
                <w:szCs w:val="2"/>
              </w:rPr>
              <w:t>54B</w:t>
            </w:r>
            <w:r w:rsidR="00830F25" w:rsidRPr="00A64286">
              <w:rPr>
                <w:rFonts w:asciiTheme="minorHAnsi" w:eastAsia="Aptos" w:hAnsiTheme="minorHAnsi" w:cs="Aptos"/>
                <w:szCs w:val="22"/>
              </w:rPr>
              <w:t>supports delivery of system-level objectives</w:t>
            </w:r>
          </w:p>
          <w:p w14:paraId="582F7AA8" w14:textId="1C0F54D6" w:rsidR="00830F25" w:rsidRPr="00A64286" w:rsidRDefault="00382EE8" w:rsidP="00115BD6">
            <w:pPr>
              <w:pStyle w:val="ListParagraph"/>
              <w:numPr>
                <w:ilvl w:val="0"/>
                <w:numId w:val="119"/>
              </w:numPr>
              <w:spacing w:before="0" w:after="0" w:line="276" w:lineRule="auto"/>
              <w:rPr>
                <w:rFonts w:asciiTheme="minorHAnsi" w:eastAsia="Aptos" w:hAnsiTheme="minorHAnsi" w:cs="Aptos"/>
                <w:szCs w:val="22"/>
              </w:rPr>
            </w:pPr>
            <w:r>
              <w:rPr>
                <w:rFonts w:ascii="ZWAdobeF" w:eastAsia="Aptos" w:hAnsi="ZWAdobeF" w:cs="ZWAdobeF"/>
                <w:sz w:val="2"/>
                <w:szCs w:val="2"/>
              </w:rPr>
              <w:t>55B</w:t>
            </w:r>
            <w:r w:rsidR="00830F25" w:rsidRPr="00A64286">
              <w:rPr>
                <w:rFonts w:asciiTheme="minorHAnsi" w:eastAsia="Aptos" w:hAnsiTheme="minorHAnsi" w:cs="Aptos"/>
                <w:szCs w:val="22"/>
              </w:rPr>
              <w:t>separates compliance and enforcement functions from policy decision-making and operational and delivery to ensure independent oversight and clear accountability</w:t>
            </w:r>
          </w:p>
          <w:p w14:paraId="30816E00" w14:textId="078F35CB" w:rsidR="00830F25" w:rsidRPr="00A64286" w:rsidRDefault="00382EE8" w:rsidP="00115BD6">
            <w:pPr>
              <w:pStyle w:val="ListParagraph"/>
              <w:numPr>
                <w:ilvl w:val="0"/>
                <w:numId w:val="119"/>
              </w:numPr>
              <w:spacing w:before="0" w:after="0" w:line="276" w:lineRule="auto"/>
              <w:rPr>
                <w:rFonts w:asciiTheme="minorHAnsi" w:eastAsia="Aptos" w:hAnsiTheme="minorHAnsi" w:cs="Aptos"/>
                <w:szCs w:val="22"/>
              </w:rPr>
            </w:pPr>
            <w:r>
              <w:rPr>
                <w:rFonts w:ascii="ZWAdobeF" w:eastAsia="Aptos" w:hAnsi="ZWAdobeF" w:cs="ZWAdobeF"/>
                <w:sz w:val="2"/>
                <w:szCs w:val="2"/>
              </w:rPr>
              <w:t>56B</w:t>
            </w:r>
            <w:r w:rsidR="00830F25" w:rsidRPr="00A64286">
              <w:rPr>
                <w:rFonts w:asciiTheme="minorHAnsi" w:eastAsia="Aptos" w:hAnsiTheme="minorHAnsi" w:cs="Aptos"/>
                <w:szCs w:val="22"/>
              </w:rPr>
              <w:t>applies proportionate enforcement mechanisms</w:t>
            </w:r>
          </w:p>
          <w:p w14:paraId="7065D036" w14:textId="70805D7B" w:rsidR="00830F25" w:rsidRPr="00A64286" w:rsidRDefault="00382EE8" w:rsidP="00115BD6">
            <w:pPr>
              <w:pStyle w:val="ListParagraph"/>
              <w:numPr>
                <w:ilvl w:val="0"/>
                <w:numId w:val="119"/>
              </w:numPr>
              <w:spacing w:before="0" w:after="0" w:line="276" w:lineRule="auto"/>
              <w:rPr>
                <w:rFonts w:asciiTheme="minorHAnsi" w:eastAsia="Aptos" w:hAnsiTheme="minorHAnsi" w:cs="Aptos"/>
                <w:szCs w:val="22"/>
              </w:rPr>
            </w:pPr>
            <w:r>
              <w:rPr>
                <w:rFonts w:ascii="ZWAdobeF" w:eastAsia="Aptos" w:hAnsi="ZWAdobeF" w:cs="ZWAdobeF"/>
                <w:sz w:val="2"/>
                <w:szCs w:val="2"/>
              </w:rPr>
              <w:t>57B</w:t>
            </w:r>
            <w:r w:rsidR="00830F25" w:rsidRPr="00A64286">
              <w:rPr>
                <w:rFonts w:asciiTheme="minorHAnsi" w:eastAsia="Aptos" w:hAnsiTheme="minorHAnsi" w:cs="Aptos"/>
                <w:szCs w:val="22"/>
              </w:rPr>
              <w:t xml:space="preserve">provides transparent and regular (e.g. annual) public reporting on compliance </w:t>
            </w:r>
          </w:p>
          <w:p w14:paraId="0CF19C22" w14:textId="537CA986" w:rsidR="00830F25" w:rsidRPr="00A64286" w:rsidRDefault="00382EE8" w:rsidP="00115BD6">
            <w:pPr>
              <w:pStyle w:val="ListParagraph"/>
              <w:numPr>
                <w:ilvl w:val="0"/>
                <w:numId w:val="119"/>
              </w:numPr>
              <w:spacing w:before="0" w:after="0" w:line="276" w:lineRule="auto"/>
              <w:rPr>
                <w:rFonts w:asciiTheme="minorHAnsi" w:eastAsia="Aptos" w:hAnsiTheme="minorHAnsi" w:cs="Aptos"/>
                <w:szCs w:val="22"/>
              </w:rPr>
            </w:pPr>
            <w:r>
              <w:rPr>
                <w:rFonts w:ascii="ZWAdobeF" w:eastAsia="Aptos" w:hAnsi="ZWAdobeF" w:cs="ZWAdobeF"/>
                <w:sz w:val="2"/>
                <w:szCs w:val="2"/>
              </w:rPr>
              <w:t>58B</w:t>
            </w:r>
            <w:r w:rsidR="00830F25" w:rsidRPr="00A64286">
              <w:rPr>
                <w:rFonts w:asciiTheme="minorHAnsi" w:eastAsia="Aptos" w:hAnsiTheme="minorHAnsi" w:cs="Aptos"/>
                <w:szCs w:val="22"/>
              </w:rPr>
              <w:t>integrates with monitoring and review processes to support continuous improvement.</w:t>
            </w:r>
          </w:p>
          <w:p w14:paraId="1363E560" w14:textId="44FE283E" w:rsidR="067792F2" w:rsidRPr="00A64286" w:rsidRDefault="067792F2" w:rsidP="1734B9EC">
            <w:pPr>
              <w:spacing w:before="0" w:after="0"/>
              <w:ind w:left="72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3B21DB5C" w14:textId="77777777" w:rsidTr="001D1B58">
        <w:trPr>
          <w:trHeight w:val="3233"/>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6535267B" w14:textId="6AC8862D" w:rsidR="067792F2" w:rsidRPr="00A64286" w:rsidRDefault="7E5FAC3C" w:rsidP="1734B9EC">
            <w:pPr>
              <w:spacing w:before="0" w:after="0"/>
              <w:rPr>
                <w:rFonts w:asciiTheme="minorHAnsi" w:eastAsia="Aptos" w:hAnsiTheme="minorHAnsi" w:cs="Aptos"/>
                <w:b/>
                <w:szCs w:val="22"/>
              </w:rPr>
            </w:pPr>
            <w:r w:rsidRPr="00A64286">
              <w:rPr>
                <w:rFonts w:asciiTheme="minorHAnsi" w:eastAsia="Aptos" w:hAnsiTheme="minorHAnsi" w:cs="Aptos"/>
                <w:b/>
                <w:szCs w:val="22"/>
              </w:rPr>
              <w:t>Recommendation 1</w:t>
            </w:r>
            <w:r w:rsidR="00016787">
              <w:rPr>
                <w:rFonts w:asciiTheme="minorHAnsi" w:eastAsia="Aptos" w:hAnsiTheme="minorHAnsi" w:cs="Aptos"/>
                <w:b/>
                <w:szCs w:val="22"/>
              </w:rPr>
              <w:t>5</w:t>
            </w:r>
            <w:r w:rsidRPr="00A64286">
              <w:rPr>
                <w:rFonts w:asciiTheme="minorHAnsi" w:eastAsia="Aptos" w:hAnsiTheme="minorHAnsi" w:cs="Aptos"/>
                <w:b/>
                <w:szCs w:val="22"/>
              </w:rPr>
              <w:t xml:space="preserve"> – ACT and NSW </w:t>
            </w:r>
            <w:r w:rsidR="00830F25" w:rsidRPr="00A64286">
              <w:rPr>
                <w:rFonts w:asciiTheme="minorHAnsi" w:eastAsia="Aptos" w:hAnsiTheme="minorHAnsi" w:cs="Aptos"/>
                <w:b/>
                <w:szCs w:val="22"/>
              </w:rPr>
              <w:t>R</w:t>
            </w:r>
            <w:r w:rsidRPr="00A64286">
              <w:rPr>
                <w:rFonts w:asciiTheme="minorHAnsi" w:eastAsia="Aptos" w:hAnsiTheme="minorHAnsi" w:cs="Aptos"/>
                <w:b/>
                <w:bCs/>
                <w:szCs w:val="22"/>
              </w:rPr>
              <w:t>egional</w:t>
            </w:r>
            <w:r w:rsidRPr="00A64286">
              <w:rPr>
                <w:rFonts w:asciiTheme="minorHAnsi" w:eastAsia="Aptos" w:hAnsiTheme="minorHAnsi" w:cs="Aptos"/>
                <w:b/>
                <w:szCs w:val="22"/>
              </w:rPr>
              <w:t xml:space="preserve"> </w:t>
            </w:r>
            <w:r w:rsidR="00830F25" w:rsidRPr="00A64286">
              <w:rPr>
                <w:rFonts w:asciiTheme="minorHAnsi" w:eastAsia="Aptos" w:hAnsiTheme="minorHAnsi" w:cs="Aptos"/>
                <w:b/>
                <w:szCs w:val="22"/>
              </w:rPr>
              <w:t>G</w:t>
            </w:r>
            <w:r w:rsidRPr="00A64286">
              <w:rPr>
                <w:rFonts w:asciiTheme="minorHAnsi" w:eastAsia="Aptos" w:hAnsiTheme="minorHAnsi" w:cs="Aptos"/>
                <w:b/>
                <w:szCs w:val="22"/>
              </w:rPr>
              <w:t xml:space="preserve">rowth </w:t>
            </w:r>
            <w:r w:rsidR="00830F25" w:rsidRPr="00A64286">
              <w:rPr>
                <w:rFonts w:asciiTheme="minorHAnsi" w:eastAsia="Aptos" w:hAnsiTheme="minorHAnsi" w:cs="Aptos"/>
                <w:b/>
                <w:szCs w:val="22"/>
              </w:rPr>
              <w:t>S</w:t>
            </w:r>
            <w:r w:rsidRPr="00A64286">
              <w:rPr>
                <w:rFonts w:asciiTheme="minorHAnsi" w:eastAsia="Aptos" w:hAnsiTheme="minorHAnsi" w:cs="Aptos"/>
                <w:b/>
                <w:szCs w:val="22"/>
              </w:rPr>
              <w:t xml:space="preserve">trategy </w:t>
            </w:r>
          </w:p>
          <w:p w14:paraId="7F84F309" w14:textId="6528375C"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7EBD1172" w14:textId="625DA565" w:rsidR="067792F2" w:rsidRPr="00A64286" w:rsidRDefault="7E5FAC3C"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The ACT and NSW governments </w:t>
            </w:r>
            <w:r w:rsidR="7C9AE66B" w:rsidRPr="00A64286">
              <w:rPr>
                <w:rFonts w:asciiTheme="minorHAnsi" w:eastAsia="Aptos" w:hAnsiTheme="minorHAnsi" w:cs="Aptos"/>
                <w:szCs w:val="22"/>
              </w:rPr>
              <w:t xml:space="preserve">jointly </w:t>
            </w:r>
            <w:r w:rsidR="00016787">
              <w:rPr>
                <w:rFonts w:asciiTheme="minorHAnsi" w:eastAsia="Aptos" w:hAnsiTheme="minorHAnsi" w:cs="Aptos"/>
                <w:szCs w:val="22"/>
              </w:rPr>
              <w:t xml:space="preserve">develop </w:t>
            </w:r>
            <w:r w:rsidRPr="00A64286">
              <w:rPr>
                <w:rFonts w:asciiTheme="minorHAnsi" w:eastAsia="Aptos" w:hAnsiTheme="minorHAnsi" w:cs="Aptos"/>
                <w:szCs w:val="22"/>
              </w:rPr>
              <w:t xml:space="preserve">a regional growth strategy to manage water resources in a way that meets Canberra and surrounding </w:t>
            </w:r>
            <w:r w:rsidR="2F7F67D8" w:rsidRPr="00A64286">
              <w:rPr>
                <w:rFonts w:asciiTheme="minorHAnsi" w:eastAsia="Aptos" w:hAnsiTheme="minorHAnsi" w:cs="Aptos"/>
                <w:szCs w:val="22"/>
              </w:rPr>
              <w:t xml:space="preserve">NSW </w:t>
            </w:r>
            <w:r w:rsidRPr="00A64286">
              <w:rPr>
                <w:rFonts w:asciiTheme="minorHAnsi" w:eastAsia="Aptos" w:hAnsiTheme="minorHAnsi" w:cs="Aptos"/>
                <w:szCs w:val="22"/>
              </w:rPr>
              <w:t>region water needs including during dry and drought periods.</w:t>
            </w:r>
          </w:p>
          <w:p w14:paraId="2908F339" w14:textId="4C397941" w:rsidR="067792F2" w:rsidRPr="00A64286" w:rsidRDefault="067792F2"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0C42F490" w14:textId="53437C1A" w:rsidR="067792F2" w:rsidRPr="00A64286" w:rsidRDefault="067792F2"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This strategy must:</w:t>
            </w:r>
          </w:p>
          <w:p w14:paraId="2F52A6E0" w14:textId="6174A8CD" w:rsidR="067792F2" w:rsidRPr="00A64286" w:rsidRDefault="00382EE8" w:rsidP="00115BD6">
            <w:pPr>
              <w:pStyle w:val="ListParagraph"/>
              <w:numPr>
                <w:ilvl w:val="0"/>
                <w:numId w:val="120"/>
              </w:numPr>
              <w:spacing w:before="0" w:after="0" w:line="276" w:lineRule="auto"/>
              <w:rPr>
                <w:rFonts w:asciiTheme="minorHAnsi" w:eastAsia="Aptos" w:hAnsiTheme="minorHAnsi" w:cs="Aptos"/>
                <w:szCs w:val="22"/>
              </w:rPr>
            </w:pPr>
            <w:r>
              <w:rPr>
                <w:rFonts w:ascii="ZWAdobeF" w:eastAsia="Aptos" w:hAnsi="ZWAdobeF" w:cs="ZWAdobeF"/>
                <w:sz w:val="2"/>
                <w:szCs w:val="2"/>
              </w:rPr>
              <w:t>59B</w:t>
            </w:r>
            <w:r w:rsidR="067792F2" w:rsidRPr="00A64286">
              <w:rPr>
                <w:rFonts w:asciiTheme="minorHAnsi" w:eastAsia="Aptos" w:hAnsiTheme="minorHAnsi" w:cs="Aptos"/>
                <w:szCs w:val="22"/>
              </w:rPr>
              <w:t>explicitly account for trade-offs between different water uses and be adaptive, enabling responses to changing climatic, environmental and operational conditions</w:t>
            </w:r>
          </w:p>
          <w:p w14:paraId="1A0FE070" w14:textId="025712B0" w:rsidR="067792F2" w:rsidRPr="00A64286" w:rsidRDefault="00382EE8" w:rsidP="00115BD6">
            <w:pPr>
              <w:pStyle w:val="ListParagraph"/>
              <w:numPr>
                <w:ilvl w:val="0"/>
                <w:numId w:val="120"/>
              </w:numPr>
              <w:spacing w:before="0" w:after="0" w:line="276" w:lineRule="auto"/>
              <w:rPr>
                <w:rFonts w:asciiTheme="minorHAnsi" w:eastAsia="Aptos" w:hAnsiTheme="minorHAnsi" w:cs="Aptos"/>
                <w:szCs w:val="22"/>
              </w:rPr>
            </w:pPr>
            <w:r>
              <w:rPr>
                <w:rFonts w:ascii="ZWAdobeF" w:eastAsia="Aptos" w:hAnsi="ZWAdobeF" w:cs="ZWAdobeF"/>
                <w:sz w:val="2"/>
                <w:szCs w:val="2"/>
              </w:rPr>
              <w:t>60B</w:t>
            </w:r>
            <w:r w:rsidR="067792F2" w:rsidRPr="00A64286">
              <w:rPr>
                <w:rFonts w:asciiTheme="minorHAnsi" w:eastAsia="Aptos" w:hAnsiTheme="minorHAnsi" w:cs="Aptos"/>
                <w:szCs w:val="22"/>
              </w:rPr>
              <w:t>provide sufficient certainty for long-term planning outside of scheduled review points</w:t>
            </w:r>
          </w:p>
          <w:p w14:paraId="046088FC" w14:textId="44B5825D" w:rsidR="067792F2" w:rsidRPr="00A64286" w:rsidRDefault="00382EE8" w:rsidP="00115BD6">
            <w:pPr>
              <w:pStyle w:val="ListParagraph"/>
              <w:numPr>
                <w:ilvl w:val="0"/>
                <w:numId w:val="120"/>
              </w:numPr>
              <w:spacing w:before="0" w:after="0" w:line="276" w:lineRule="auto"/>
              <w:rPr>
                <w:rFonts w:asciiTheme="minorHAnsi" w:eastAsia="Aptos" w:hAnsiTheme="minorHAnsi" w:cs="Aptos"/>
              </w:rPr>
            </w:pPr>
            <w:r>
              <w:rPr>
                <w:rFonts w:ascii="ZWAdobeF" w:eastAsia="Aptos" w:hAnsi="ZWAdobeF" w:cs="ZWAdobeF"/>
                <w:sz w:val="2"/>
                <w:szCs w:val="2"/>
              </w:rPr>
              <w:t>61B</w:t>
            </w:r>
            <w:r w:rsidR="067792F2" w:rsidRPr="6E62429A">
              <w:rPr>
                <w:rFonts w:asciiTheme="minorHAnsi" w:eastAsia="Aptos" w:hAnsiTheme="minorHAnsi" w:cs="Aptos"/>
              </w:rPr>
              <w:t xml:space="preserve">deliver on the </w:t>
            </w:r>
            <w:r w:rsidR="68669748" w:rsidRPr="6E62429A">
              <w:rPr>
                <w:rFonts w:asciiTheme="minorHAnsi" w:eastAsia="Aptos" w:hAnsiTheme="minorHAnsi" w:cs="Aptos"/>
              </w:rPr>
              <w:t>environmentally</w:t>
            </w:r>
            <w:r w:rsidR="067792F2" w:rsidRPr="6E62429A">
              <w:rPr>
                <w:rFonts w:asciiTheme="minorHAnsi" w:eastAsia="Aptos" w:hAnsiTheme="minorHAnsi" w:cs="Aptos"/>
              </w:rPr>
              <w:t xml:space="preserve"> sustainable level of take </w:t>
            </w:r>
          </w:p>
          <w:p w14:paraId="689B0E73" w14:textId="1C74B7A2" w:rsidR="067792F2" w:rsidRPr="00A64286" w:rsidRDefault="00382EE8" w:rsidP="00115BD6">
            <w:pPr>
              <w:pStyle w:val="ListParagraph"/>
              <w:numPr>
                <w:ilvl w:val="0"/>
                <w:numId w:val="120"/>
              </w:numPr>
              <w:spacing w:before="0" w:after="0" w:line="276" w:lineRule="auto"/>
              <w:rPr>
                <w:rFonts w:asciiTheme="minorHAnsi" w:eastAsia="Aptos" w:hAnsiTheme="minorHAnsi" w:cs="Aptos"/>
              </w:rPr>
            </w:pPr>
            <w:r>
              <w:rPr>
                <w:rFonts w:ascii="ZWAdobeF" w:eastAsia="Aptos" w:hAnsi="ZWAdobeF" w:cs="ZWAdobeF"/>
                <w:sz w:val="2"/>
                <w:szCs w:val="2"/>
              </w:rPr>
              <w:t>62B</w:t>
            </w:r>
            <w:r w:rsidR="00016787">
              <w:rPr>
                <w:rFonts w:asciiTheme="minorHAnsi" w:eastAsia="Aptos" w:hAnsiTheme="minorHAnsi" w:cs="Aptos"/>
              </w:rPr>
              <w:t>engage</w:t>
            </w:r>
            <w:r w:rsidR="38EF009D" w:rsidRPr="6E62429A">
              <w:rPr>
                <w:rFonts w:asciiTheme="minorHAnsi" w:eastAsia="Aptos" w:hAnsiTheme="minorHAnsi" w:cs="Aptos"/>
              </w:rPr>
              <w:t xml:space="preserve"> the </w:t>
            </w:r>
            <w:r w:rsidR="00016787">
              <w:rPr>
                <w:rFonts w:asciiTheme="minorHAnsi" w:eastAsia="Aptos" w:hAnsiTheme="minorHAnsi" w:cs="Aptos"/>
              </w:rPr>
              <w:t xml:space="preserve">NSW </w:t>
            </w:r>
            <w:r w:rsidR="38EF009D" w:rsidRPr="6E62429A">
              <w:rPr>
                <w:rFonts w:asciiTheme="minorHAnsi" w:eastAsia="Aptos" w:hAnsiTheme="minorHAnsi" w:cs="Aptos"/>
              </w:rPr>
              <w:t>Cross Border Commissioner</w:t>
            </w:r>
            <w:r w:rsidR="6A674F41" w:rsidRPr="6E62429A">
              <w:rPr>
                <w:rFonts w:asciiTheme="minorHAnsi" w:eastAsia="Aptos" w:hAnsiTheme="minorHAnsi" w:cs="Aptos"/>
              </w:rPr>
              <w:t>.</w:t>
            </w:r>
            <w:r w:rsidR="067792F2" w:rsidRPr="6E62429A">
              <w:rPr>
                <w:rFonts w:asciiTheme="minorHAnsi" w:eastAsia="Aptos" w:hAnsiTheme="minorHAnsi" w:cs="Aptos"/>
              </w:rPr>
              <w:t xml:space="preserve"> </w:t>
            </w:r>
          </w:p>
          <w:p w14:paraId="3972F387" w14:textId="1A09567B"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74CEC89F"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57DA37E0" w14:textId="29D04D02" w:rsidR="00F066DE" w:rsidRPr="00A64286" w:rsidRDefault="00F066DE" w:rsidP="00F066DE">
            <w:pPr>
              <w:spacing w:after="0"/>
              <w:rPr>
                <w:rFonts w:asciiTheme="minorHAnsi" w:eastAsia="Aptos" w:hAnsiTheme="minorHAnsi" w:cs="Aptos"/>
                <w:b/>
                <w:color w:val="000000" w:themeColor="text1"/>
                <w:szCs w:val="22"/>
              </w:rPr>
            </w:pPr>
            <w:r w:rsidRPr="00A64286">
              <w:rPr>
                <w:rFonts w:asciiTheme="minorHAnsi" w:eastAsia="Aptos" w:hAnsiTheme="minorHAnsi" w:cs="Aptos"/>
                <w:b/>
                <w:color w:val="000000" w:themeColor="text1"/>
                <w:szCs w:val="22"/>
              </w:rPr>
              <w:t xml:space="preserve">Recommendation </w:t>
            </w:r>
            <w:r w:rsidR="00016787">
              <w:rPr>
                <w:rFonts w:asciiTheme="minorHAnsi" w:eastAsia="Aptos" w:hAnsiTheme="minorHAnsi" w:cs="Aptos"/>
                <w:b/>
                <w:color w:val="000000" w:themeColor="text1"/>
                <w:szCs w:val="22"/>
              </w:rPr>
              <w:t>16</w:t>
            </w:r>
            <w:r w:rsidRPr="00A64286">
              <w:rPr>
                <w:rFonts w:asciiTheme="minorHAnsi" w:eastAsia="Aptos" w:hAnsiTheme="minorHAnsi" w:cs="Aptos"/>
                <w:b/>
                <w:color w:val="000000" w:themeColor="text1"/>
                <w:szCs w:val="22"/>
              </w:rPr>
              <w:t xml:space="preserve"> – First Nations custodianship framework </w:t>
            </w:r>
          </w:p>
          <w:p w14:paraId="480E10A4" w14:textId="2092A293" w:rsidR="00863536" w:rsidRDefault="00863536" w:rsidP="0042099D">
            <w:pPr>
              <w:spacing w:after="0" w:line="276" w:lineRule="auto"/>
              <w:rPr>
                <w:rFonts w:asciiTheme="minorHAnsi" w:eastAsia="Aptos" w:hAnsiTheme="minorHAnsi" w:cs="Aptos"/>
                <w:color w:val="000000" w:themeColor="text1"/>
                <w:szCs w:val="22"/>
              </w:rPr>
            </w:pPr>
            <w:r w:rsidRPr="00A64286">
              <w:rPr>
                <w:rFonts w:asciiTheme="minorHAnsi" w:eastAsia="Aptos" w:hAnsiTheme="minorHAnsi" w:cs="Aptos"/>
                <w:color w:val="000000" w:themeColor="text1"/>
                <w:szCs w:val="22"/>
              </w:rPr>
              <w:t xml:space="preserve">Governments </w:t>
            </w:r>
            <w:r w:rsidR="00016787">
              <w:rPr>
                <w:rFonts w:asciiTheme="minorHAnsi" w:eastAsia="Aptos" w:hAnsiTheme="minorHAnsi" w:cs="Aptos"/>
                <w:color w:val="000000" w:themeColor="text1"/>
                <w:szCs w:val="22"/>
              </w:rPr>
              <w:t xml:space="preserve">proactively </w:t>
            </w:r>
            <w:r w:rsidRPr="00A64286">
              <w:rPr>
                <w:rFonts w:asciiTheme="minorHAnsi" w:eastAsia="Aptos" w:hAnsiTheme="minorHAnsi" w:cs="Aptos"/>
                <w:color w:val="000000" w:themeColor="text1"/>
                <w:szCs w:val="22"/>
              </w:rPr>
              <w:t xml:space="preserve">work with all Nations of the Upper Murrumbidgee and Snowy River systems to establish a First Nations custodianship framework, described in </w:t>
            </w:r>
            <w:r w:rsidR="00016787">
              <w:rPr>
                <w:rFonts w:asciiTheme="minorHAnsi" w:eastAsia="Aptos" w:hAnsiTheme="minorHAnsi" w:cs="Aptos"/>
                <w:color w:val="000000" w:themeColor="text1"/>
                <w:szCs w:val="22"/>
              </w:rPr>
              <w:t>Chapter</w:t>
            </w:r>
            <w:r w:rsidR="00CC1B22">
              <w:rPr>
                <w:rFonts w:asciiTheme="minorHAnsi" w:eastAsia="Aptos" w:hAnsiTheme="minorHAnsi" w:cs="Aptos"/>
                <w:color w:val="000000" w:themeColor="text1"/>
                <w:szCs w:val="22"/>
              </w:rPr>
              <w:t xml:space="preserve"> </w:t>
            </w:r>
            <w:r w:rsidRPr="00A64286">
              <w:rPr>
                <w:rFonts w:asciiTheme="minorHAnsi" w:eastAsia="Aptos" w:hAnsiTheme="minorHAnsi" w:cs="Aptos"/>
                <w:color w:val="000000" w:themeColor="text1"/>
                <w:szCs w:val="22"/>
              </w:rPr>
              <w:t>6.1, that provides a structured pathway towards shared governance and decision-making on matters affecting cultural values, and to progress broader aspirations that may include river rights, cultural water ownership and access to river Country. </w:t>
            </w:r>
          </w:p>
          <w:p w14:paraId="45FAF4BB" w14:textId="4121EADD" w:rsidR="00BB7F71" w:rsidRPr="00BE3B29" w:rsidRDefault="00BB7F71" w:rsidP="0042099D">
            <w:pPr>
              <w:spacing w:line="276" w:lineRule="auto"/>
              <w:rPr>
                <w:rFonts w:asciiTheme="minorHAnsi" w:hAnsiTheme="minorHAnsi"/>
                <w:szCs w:val="22"/>
              </w:rPr>
            </w:pPr>
            <w:r w:rsidRPr="00BE3B29">
              <w:rPr>
                <w:rFonts w:asciiTheme="minorHAnsi" w:hAnsiTheme="minorHAnsi"/>
                <w:szCs w:val="22"/>
              </w:rPr>
              <w:t>Governments are to invest appropriately to support the implementation of this recommendation.</w:t>
            </w:r>
          </w:p>
          <w:p w14:paraId="4B0ADBE7" w14:textId="77777777" w:rsidR="067792F2" w:rsidRDefault="067792F2" w:rsidP="1734B9EC">
            <w:pPr>
              <w:spacing w:before="0" w:after="0"/>
              <w:rPr>
                <w:rFonts w:asciiTheme="minorHAnsi" w:eastAsia="Aptos" w:hAnsiTheme="minorHAnsi" w:cs="Aptos"/>
                <w:szCs w:val="22"/>
              </w:rPr>
            </w:pPr>
          </w:p>
          <w:p w14:paraId="693F7D48" w14:textId="77777777" w:rsidR="0042099D" w:rsidRDefault="0042099D" w:rsidP="1734B9EC">
            <w:pPr>
              <w:spacing w:before="0" w:after="0"/>
              <w:rPr>
                <w:rFonts w:asciiTheme="minorHAnsi" w:eastAsia="Aptos" w:hAnsiTheme="minorHAnsi" w:cs="Aptos"/>
                <w:szCs w:val="22"/>
              </w:rPr>
            </w:pPr>
          </w:p>
          <w:p w14:paraId="3CE95284" w14:textId="7A87CA75" w:rsidR="0042099D" w:rsidRPr="00A64286" w:rsidRDefault="0042099D" w:rsidP="1734B9EC">
            <w:pPr>
              <w:spacing w:before="0" w:after="0"/>
              <w:rPr>
                <w:rFonts w:asciiTheme="minorHAnsi" w:eastAsia="Aptos" w:hAnsiTheme="minorHAnsi" w:cs="Aptos"/>
                <w:szCs w:val="22"/>
              </w:rPr>
            </w:pPr>
          </w:p>
        </w:tc>
      </w:tr>
    </w:tbl>
    <w:p w14:paraId="5C8EE5AB" w14:textId="77777777" w:rsidR="00FC5319" w:rsidRDefault="00FC5319">
      <w:r>
        <w:br w:type="page"/>
      </w:r>
    </w:p>
    <w:tbl>
      <w:tblPr>
        <w:tblStyle w:val="TableGrid"/>
        <w:tblW w:w="9351" w:type="dxa"/>
        <w:tblLook w:val="04A0" w:firstRow="1" w:lastRow="0" w:firstColumn="1" w:lastColumn="0" w:noHBand="0" w:noVBand="1"/>
      </w:tblPr>
      <w:tblGrid>
        <w:gridCol w:w="9351"/>
      </w:tblGrid>
      <w:tr w:rsidR="067792F2" w:rsidRPr="004D43C6" w14:paraId="64743B88"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3B6A7DB5" w14:textId="7A66C310" w:rsidR="067792F2" w:rsidRPr="00A64286" w:rsidRDefault="7E5FAC3C" w:rsidP="1734B9EC">
            <w:pPr>
              <w:spacing w:before="0" w:after="0"/>
              <w:rPr>
                <w:rFonts w:asciiTheme="minorHAnsi" w:eastAsia="Aptos" w:hAnsiTheme="minorHAnsi" w:cs="Aptos"/>
                <w:b/>
                <w:szCs w:val="22"/>
              </w:rPr>
            </w:pPr>
            <w:r w:rsidRPr="00A64286">
              <w:rPr>
                <w:rFonts w:asciiTheme="minorHAnsi" w:eastAsia="Aptos" w:hAnsiTheme="minorHAnsi" w:cs="Aptos"/>
                <w:b/>
                <w:szCs w:val="22"/>
              </w:rPr>
              <w:lastRenderedPageBreak/>
              <w:t xml:space="preserve">Recommendation </w:t>
            </w:r>
            <w:r w:rsidR="00BB7F71">
              <w:rPr>
                <w:rFonts w:asciiTheme="minorHAnsi" w:eastAsia="Aptos" w:hAnsiTheme="minorHAnsi" w:cs="Aptos"/>
                <w:b/>
                <w:szCs w:val="22"/>
              </w:rPr>
              <w:t>17</w:t>
            </w:r>
            <w:r w:rsidRPr="00A64286">
              <w:rPr>
                <w:rFonts w:asciiTheme="minorHAnsi" w:eastAsia="Aptos" w:hAnsiTheme="minorHAnsi" w:cs="Aptos"/>
                <w:b/>
                <w:szCs w:val="22"/>
              </w:rPr>
              <w:t xml:space="preserve"> – Water </w:t>
            </w:r>
            <w:r w:rsidR="540DCF1B" w:rsidRPr="00A64286">
              <w:rPr>
                <w:rFonts w:asciiTheme="minorHAnsi" w:eastAsia="Aptos" w:hAnsiTheme="minorHAnsi" w:cs="Aptos"/>
                <w:b/>
                <w:szCs w:val="22"/>
              </w:rPr>
              <w:t>e</w:t>
            </w:r>
            <w:r w:rsidRPr="00A64286">
              <w:rPr>
                <w:rFonts w:asciiTheme="minorHAnsi" w:eastAsia="Aptos" w:hAnsiTheme="minorHAnsi" w:cs="Aptos"/>
                <w:b/>
                <w:szCs w:val="22"/>
              </w:rPr>
              <w:t xml:space="preserve">ntitlements for First Nations </w:t>
            </w:r>
          </w:p>
          <w:p w14:paraId="40B6587E" w14:textId="6E915E5D" w:rsidR="002241DC" w:rsidRPr="00A64286" w:rsidRDefault="067792F2" w:rsidP="0042099D">
            <w:pPr>
              <w:spacing w:after="0" w:line="276" w:lineRule="auto"/>
              <w:rPr>
                <w:rFonts w:asciiTheme="minorHAnsi" w:eastAsia="Aptos" w:hAnsiTheme="minorHAnsi" w:cs="Aptos"/>
                <w:b/>
                <w:color w:val="000000" w:themeColor="text1"/>
                <w:szCs w:val="22"/>
              </w:rPr>
            </w:pPr>
            <w:r w:rsidRPr="00A64286">
              <w:rPr>
                <w:rFonts w:asciiTheme="minorHAnsi" w:eastAsia="Aptos" w:hAnsiTheme="minorHAnsi" w:cs="Aptos"/>
                <w:szCs w:val="22"/>
              </w:rPr>
              <w:t xml:space="preserve"> </w:t>
            </w:r>
            <w:r w:rsidR="002241DC" w:rsidRPr="00A64286">
              <w:rPr>
                <w:rFonts w:asciiTheme="minorHAnsi" w:eastAsia="Aptos" w:hAnsiTheme="minorHAnsi" w:cs="Aptos"/>
                <w:b/>
                <w:color w:val="000000" w:themeColor="text1"/>
                <w:szCs w:val="22"/>
              </w:rPr>
              <w:t>  </w:t>
            </w:r>
          </w:p>
          <w:p w14:paraId="2E6DA66D" w14:textId="3A36F4EE" w:rsidR="002241DC" w:rsidRPr="00A64286" w:rsidRDefault="002241DC" w:rsidP="0042099D">
            <w:pPr>
              <w:spacing w:after="0" w:line="276" w:lineRule="auto"/>
              <w:rPr>
                <w:rFonts w:asciiTheme="minorHAnsi" w:eastAsia="Aptos" w:hAnsiTheme="minorHAnsi" w:cs="Aptos"/>
                <w:color w:val="000000" w:themeColor="text1"/>
              </w:rPr>
            </w:pPr>
            <w:r w:rsidRPr="760D2302">
              <w:rPr>
                <w:rFonts w:asciiTheme="minorHAnsi" w:eastAsia="Aptos" w:hAnsiTheme="minorHAnsi" w:cs="Aptos"/>
                <w:color w:val="000000" w:themeColor="text1"/>
              </w:rPr>
              <w:t>Governments proactively work with and support First Nations along the Upper Murrumbidgee and Snowy rivers</w:t>
            </w:r>
            <w:r w:rsidR="00F2509C">
              <w:rPr>
                <w:rFonts w:asciiTheme="minorHAnsi" w:eastAsia="Aptos" w:hAnsiTheme="minorHAnsi" w:cs="Aptos"/>
                <w:color w:val="000000" w:themeColor="text1"/>
              </w:rPr>
              <w:t xml:space="preserve">, </w:t>
            </w:r>
            <w:r w:rsidR="00F2509C">
              <w:rPr>
                <w:rFonts w:ascii="Aptos" w:eastAsia="Aptos" w:hAnsi="Aptos" w:cs="Aptos"/>
                <w:color w:val="000000" w:themeColor="text1"/>
                <w:szCs w:val="22"/>
              </w:rPr>
              <w:t>including through targeted and sustained investments to enable</w:t>
            </w:r>
            <w:r w:rsidRPr="760D2302">
              <w:rPr>
                <w:rFonts w:asciiTheme="minorHAnsi" w:eastAsia="Aptos" w:hAnsiTheme="minorHAnsi" w:cs="Aptos"/>
                <w:color w:val="000000" w:themeColor="text1"/>
              </w:rPr>
              <w:t xml:space="preserve"> access </w:t>
            </w:r>
            <w:r w:rsidR="00F2509C">
              <w:rPr>
                <w:rFonts w:asciiTheme="minorHAnsi" w:eastAsia="Aptos" w:hAnsiTheme="minorHAnsi" w:cs="Aptos"/>
                <w:color w:val="000000" w:themeColor="text1"/>
              </w:rPr>
              <w:t xml:space="preserve">to </w:t>
            </w:r>
            <w:r w:rsidRPr="760D2302">
              <w:rPr>
                <w:rFonts w:asciiTheme="minorHAnsi" w:eastAsia="Aptos" w:hAnsiTheme="minorHAnsi" w:cs="Aptos"/>
                <w:color w:val="000000" w:themeColor="text1"/>
              </w:rPr>
              <w:t>water entitlements that may be progressed through a Nation</w:t>
            </w:r>
            <w:r w:rsidR="00225E78">
              <w:rPr>
                <w:rFonts w:asciiTheme="minorHAnsi" w:eastAsia="Aptos" w:hAnsiTheme="minorHAnsi" w:cs="Aptos"/>
                <w:color w:val="000000" w:themeColor="text1"/>
              </w:rPr>
              <w:t>-</w:t>
            </w:r>
            <w:r w:rsidRPr="760D2302">
              <w:rPr>
                <w:rFonts w:asciiTheme="minorHAnsi" w:eastAsia="Aptos" w:hAnsiTheme="minorHAnsi" w:cs="Aptos"/>
                <w:color w:val="000000" w:themeColor="text1"/>
              </w:rPr>
              <w:t>led</w:t>
            </w:r>
            <w:r w:rsidR="6D00D198" w:rsidRPr="760D2302">
              <w:rPr>
                <w:rFonts w:asciiTheme="minorHAnsi" w:eastAsia="Aptos" w:hAnsiTheme="minorHAnsi" w:cs="Aptos"/>
                <w:color w:val="000000" w:themeColor="text1"/>
              </w:rPr>
              <w:t xml:space="preserve"> </w:t>
            </w:r>
            <w:r w:rsidRPr="760D2302">
              <w:rPr>
                <w:rFonts w:asciiTheme="minorHAnsi" w:eastAsia="Aptos" w:hAnsiTheme="minorHAnsi" w:cs="Aptos"/>
                <w:color w:val="000000" w:themeColor="text1"/>
              </w:rPr>
              <w:t>program that: </w:t>
            </w:r>
          </w:p>
          <w:p w14:paraId="3F967678" w14:textId="77777777" w:rsidR="002241DC" w:rsidRPr="00A64286" w:rsidRDefault="002241DC" w:rsidP="00115BD6">
            <w:pPr>
              <w:numPr>
                <w:ilvl w:val="0"/>
                <w:numId w:val="121"/>
              </w:numPr>
              <w:spacing w:after="0" w:line="276" w:lineRule="auto"/>
              <w:rPr>
                <w:rFonts w:asciiTheme="minorHAnsi" w:eastAsia="Aptos" w:hAnsiTheme="minorHAnsi" w:cs="Aptos"/>
                <w:color w:val="000000" w:themeColor="text1"/>
                <w:szCs w:val="22"/>
              </w:rPr>
            </w:pPr>
            <w:r w:rsidRPr="00A64286">
              <w:rPr>
                <w:rFonts w:asciiTheme="minorHAnsi" w:eastAsia="Aptos" w:hAnsiTheme="minorHAnsi" w:cs="Aptos"/>
                <w:color w:val="000000" w:themeColor="text1"/>
                <w:szCs w:val="22"/>
              </w:rPr>
              <w:t>identifies the mechanism for legal authority to hold and manage water interests  </w:t>
            </w:r>
          </w:p>
          <w:p w14:paraId="0A4BAF64" w14:textId="77777777" w:rsidR="002241DC" w:rsidRPr="00A64286" w:rsidRDefault="002241DC" w:rsidP="00115BD6">
            <w:pPr>
              <w:numPr>
                <w:ilvl w:val="0"/>
                <w:numId w:val="121"/>
              </w:numPr>
              <w:spacing w:after="0" w:line="276" w:lineRule="auto"/>
              <w:rPr>
                <w:rFonts w:asciiTheme="minorHAnsi" w:eastAsia="Aptos" w:hAnsiTheme="minorHAnsi" w:cs="Aptos"/>
                <w:color w:val="000000" w:themeColor="text1"/>
                <w:szCs w:val="22"/>
              </w:rPr>
            </w:pPr>
            <w:r w:rsidRPr="00A64286">
              <w:rPr>
                <w:rFonts w:asciiTheme="minorHAnsi" w:eastAsia="Aptos" w:hAnsiTheme="minorHAnsi" w:cs="Aptos"/>
                <w:color w:val="000000" w:themeColor="text1"/>
                <w:szCs w:val="22"/>
              </w:rPr>
              <w:t>supports First Nations defining objectives, timing, location and use of cultural water  </w:t>
            </w:r>
          </w:p>
          <w:p w14:paraId="149441FC" w14:textId="77777777" w:rsidR="002241DC" w:rsidRPr="00A64286" w:rsidRDefault="002241DC" w:rsidP="00115BD6">
            <w:pPr>
              <w:numPr>
                <w:ilvl w:val="0"/>
                <w:numId w:val="121"/>
              </w:numPr>
              <w:spacing w:after="0" w:line="276" w:lineRule="auto"/>
              <w:rPr>
                <w:rFonts w:asciiTheme="minorHAnsi" w:eastAsia="Aptos" w:hAnsiTheme="minorHAnsi" w:cs="Aptos"/>
                <w:color w:val="000000" w:themeColor="text1"/>
                <w:szCs w:val="22"/>
              </w:rPr>
            </w:pPr>
            <w:r w:rsidRPr="00A64286">
              <w:rPr>
                <w:rFonts w:asciiTheme="minorHAnsi" w:eastAsia="Aptos" w:hAnsiTheme="minorHAnsi" w:cs="Aptos"/>
                <w:color w:val="000000" w:themeColor="text1"/>
                <w:szCs w:val="22"/>
              </w:rPr>
              <w:t>develops strategic guidance, coordination and long-term capacity building/knowledge sharing prepared by the First Nations Authority </w:t>
            </w:r>
          </w:p>
          <w:p w14:paraId="16B40BEF" w14:textId="77777777" w:rsidR="002241DC" w:rsidRPr="00A64286" w:rsidRDefault="002241DC" w:rsidP="00115BD6">
            <w:pPr>
              <w:numPr>
                <w:ilvl w:val="0"/>
                <w:numId w:val="121"/>
              </w:numPr>
              <w:spacing w:after="0" w:line="276" w:lineRule="auto"/>
              <w:rPr>
                <w:rFonts w:asciiTheme="minorHAnsi" w:eastAsia="Aptos" w:hAnsiTheme="minorHAnsi" w:cs="Aptos"/>
                <w:color w:val="000000" w:themeColor="text1"/>
                <w:szCs w:val="22"/>
              </w:rPr>
            </w:pPr>
            <w:r w:rsidRPr="00A64286">
              <w:rPr>
                <w:rFonts w:asciiTheme="minorHAnsi" w:eastAsia="Aptos" w:hAnsiTheme="minorHAnsi" w:cs="Aptos"/>
                <w:color w:val="000000" w:themeColor="text1"/>
                <w:szCs w:val="22"/>
              </w:rPr>
              <w:t>establishes operational arrangements for coordinating cultural water delivery alongside environmental and other water uses </w:t>
            </w:r>
          </w:p>
          <w:p w14:paraId="143A89D2" w14:textId="77777777" w:rsidR="002241DC" w:rsidRPr="00A64286" w:rsidRDefault="002241DC" w:rsidP="00115BD6">
            <w:pPr>
              <w:numPr>
                <w:ilvl w:val="0"/>
                <w:numId w:val="121"/>
              </w:numPr>
              <w:spacing w:after="0" w:line="276" w:lineRule="auto"/>
              <w:rPr>
                <w:rFonts w:asciiTheme="minorHAnsi" w:eastAsia="Aptos" w:hAnsiTheme="minorHAnsi" w:cs="Aptos"/>
                <w:color w:val="000000" w:themeColor="text1"/>
              </w:rPr>
            </w:pPr>
            <w:r w:rsidRPr="4D39A23B">
              <w:rPr>
                <w:rFonts w:asciiTheme="minorHAnsi" w:eastAsia="Aptos" w:hAnsiTheme="minorHAnsi" w:cs="Aptos"/>
                <w:color w:val="000000" w:themeColor="text1"/>
              </w:rPr>
              <w:t>establishes monitoring and reporting against cultural objectives. </w:t>
            </w:r>
          </w:p>
          <w:p w14:paraId="5723BF6F" w14:textId="2D607164" w:rsidR="067792F2" w:rsidRPr="00A64286" w:rsidRDefault="067792F2" w:rsidP="1734B9EC">
            <w:pPr>
              <w:spacing w:before="0" w:after="0"/>
              <w:rPr>
                <w:rFonts w:asciiTheme="minorHAnsi" w:eastAsia="Aptos" w:hAnsiTheme="minorHAnsi" w:cs="Aptos"/>
                <w:szCs w:val="22"/>
              </w:rPr>
            </w:pPr>
          </w:p>
        </w:tc>
      </w:tr>
      <w:tr w:rsidR="067792F2" w:rsidRPr="004D43C6" w14:paraId="6DFB6A3C"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0BEF70CA" w14:textId="53564841"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F2509C">
              <w:rPr>
                <w:rFonts w:asciiTheme="minorHAnsi" w:eastAsia="Aptos" w:hAnsiTheme="minorHAnsi" w:cs="Aptos"/>
                <w:b/>
                <w:szCs w:val="22"/>
              </w:rPr>
              <w:t>18</w:t>
            </w:r>
            <w:r w:rsidRPr="00A64286">
              <w:rPr>
                <w:rFonts w:asciiTheme="minorHAnsi" w:eastAsia="Aptos" w:hAnsiTheme="minorHAnsi" w:cs="Aptos"/>
                <w:b/>
                <w:szCs w:val="22"/>
              </w:rPr>
              <w:t xml:space="preserve"> – Integration of environmental water delivery and catchment management actions </w:t>
            </w:r>
          </w:p>
          <w:p w14:paraId="67583293" w14:textId="5701AB5F" w:rsidR="067792F2" w:rsidRPr="00A64286" w:rsidRDefault="067792F2"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6C113FFF" w14:textId="7E0F8412" w:rsidR="067792F2" w:rsidRPr="00A64286" w:rsidRDefault="067792F2"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Governments </w:t>
            </w:r>
            <w:r w:rsidR="101EFE48" w:rsidRPr="00A64286">
              <w:rPr>
                <w:rFonts w:asciiTheme="minorHAnsi" w:eastAsia="Aptos" w:hAnsiTheme="minorHAnsi" w:cs="Aptos"/>
                <w:szCs w:val="22"/>
              </w:rPr>
              <w:t>ensure</w:t>
            </w:r>
            <w:r w:rsidRPr="00A64286">
              <w:rPr>
                <w:rFonts w:asciiTheme="minorHAnsi" w:eastAsia="Aptos" w:hAnsiTheme="minorHAnsi" w:cs="Aptos"/>
                <w:szCs w:val="22"/>
              </w:rPr>
              <w:t xml:space="preserve"> that environmental water delivery and targeted catchment management actions are integrated through a coordinated, whole-of-system approach. This </w:t>
            </w:r>
            <w:r w:rsidR="00F2509C">
              <w:rPr>
                <w:rFonts w:asciiTheme="minorHAnsi" w:eastAsia="Aptos" w:hAnsiTheme="minorHAnsi" w:cs="Aptos"/>
                <w:szCs w:val="22"/>
              </w:rPr>
              <w:t xml:space="preserve">may </w:t>
            </w:r>
            <w:r w:rsidRPr="00A64286">
              <w:rPr>
                <w:rFonts w:asciiTheme="minorHAnsi" w:eastAsia="Aptos" w:hAnsiTheme="minorHAnsi" w:cs="Aptos"/>
                <w:szCs w:val="22"/>
              </w:rPr>
              <w:t>include:</w:t>
            </w:r>
          </w:p>
          <w:p w14:paraId="01A9D362" w14:textId="4EC5FC81" w:rsidR="067792F2" w:rsidRPr="00A64286" w:rsidRDefault="00382EE8" w:rsidP="00115BD6">
            <w:pPr>
              <w:pStyle w:val="ListParagraph"/>
              <w:numPr>
                <w:ilvl w:val="0"/>
                <w:numId w:val="122"/>
              </w:numPr>
              <w:spacing w:before="0" w:after="0" w:line="276" w:lineRule="auto"/>
              <w:rPr>
                <w:rFonts w:asciiTheme="minorHAnsi" w:eastAsia="Aptos" w:hAnsiTheme="minorHAnsi" w:cs="Aptos"/>
                <w:szCs w:val="22"/>
              </w:rPr>
            </w:pPr>
            <w:r>
              <w:rPr>
                <w:rFonts w:ascii="ZWAdobeF" w:eastAsia="Aptos" w:hAnsi="ZWAdobeF" w:cs="ZWAdobeF"/>
                <w:sz w:val="2"/>
                <w:szCs w:val="2"/>
              </w:rPr>
              <w:t>63B</w:t>
            </w:r>
            <w:r w:rsidR="7B5F6B03" w:rsidRPr="00A64286">
              <w:rPr>
                <w:rFonts w:asciiTheme="minorHAnsi" w:eastAsia="Aptos" w:hAnsiTheme="minorHAnsi" w:cs="Aptos"/>
                <w:szCs w:val="22"/>
              </w:rPr>
              <w:t>d</w:t>
            </w:r>
            <w:r w:rsidR="101EFE48" w:rsidRPr="00A64286">
              <w:rPr>
                <w:rFonts w:asciiTheme="minorHAnsi" w:eastAsia="Aptos" w:hAnsiTheme="minorHAnsi" w:cs="Aptos"/>
                <w:szCs w:val="22"/>
              </w:rPr>
              <w:t>elivering</w:t>
            </w:r>
            <w:r w:rsidR="067792F2" w:rsidRPr="00A64286">
              <w:rPr>
                <w:rFonts w:asciiTheme="minorHAnsi" w:eastAsia="Aptos" w:hAnsiTheme="minorHAnsi" w:cs="Aptos"/>
                <w:szCs w:val="22"/>
              </w:rPr>
              <w:t xml:space="preserve"> environmental releases with complementary on-ground interventions (such as riparian restoration, erosion control and habitat improvement) to </w:t>
            </w:r>
            <w:r w:rsidR="00D654B4">
              <w:rPr>
                <w:rFonts w:asciiTheme="minorHAnsi" w:eastAsia="Aptos" w:hAnsiTheme="minorHAnsi" w:cs="Aptos"/>
                <w:szCs w:val="22"/>
              </w:rPr>
              <w:t>deliver</w:t>
            </w:r>
            <w:r w:rsidR="067792F2" w:rsidRPr="00A64286">
              <w:rPr>
                <w:rFonts w:asciiTheme="minorHAnsi" w:eastAsia="Aptos" w:hAnsiTheme="minorHAnsi" w:cs="Aptos"/>
                <w:szCs w:val="22"/>
              </w:rPr>
              <w:t xml:space="preserve"> ecological outcomes</w:t>
            </w:r>
          </w:p>
          <w:p w14:paraId="26849367" w14:textId="3FA8EE2D" w:rsidR="067792F2" w:rsidRPr="00A64286" w:rsidRDefault="00382EE8" w:rsidP="00115BD6">
            <w:pPr>
              <w:pStyle w:val="ListParagraph"/>
              <w:numPr>
                <w:ilvl w:val="0"/>
                <w:numId w:val="122"/>
              </w:numPr>
              <w:spacing w:before="0" w:after="0" w:line="276" w:lineRule="auto"/>
              <w:rPr>
                <w:rFonts w:asciiTheme="minorHAnsi" w:eastAsia="Aptos" w:hAnsiTheme="minorHAnsi" w:cs="Aptos"/>
                <w:szCs w:val="22"/>
              </w:rPr>
            </w:pPr>
            <w:r>
              <w:rPr>
                <w:rFonts w:ascii="ZWAdobeF" w:eastAsia="Aptos" w:hAnsi="ZWAdobeF" w:cs="ZWAdobeF"/>
                <w:sz w:val="2"/>
                <w:szCs w:val="2"/>
              </w:rPr>
              <w:t>64B</w:t>
            </w:r>
            <w:r w:rsidR="4DA490C3" w:rsidRPr="00A64286">
              <w:rPr>
                <w:rFonts w:asciiTheme="minorHAnsi" w:eastAsia="Aptos" w:hAnsiTheme="minorHAnsi" w:cs="Aptos"/>
                <w:szCs w:val="22"/>
              </w:rPr>
              <w:t>s</w:t>
            </w:r>
            <w:r w:rsidR="101EFE48" w:rsidRPr="00A64286">
              <w:rPr>
                <w:rFonts w:asciiTheme="minorHAnsi" w:eastAsia="Aptos" w:hAnsiTheme="minorHAnsi" w:cs="Aptos"/>
                <w:szCs w:val="22"/>
              </w:rPr>
              <w:t>trengthening</w:t>
            </w:r>
            <w:r w:rsidR="067792F2" w:rsidRPr="00A64286">
              <w:rPr>
                <w:rFonts w:asciiTheme="minorHAnsi" w:eastAsia="Aptos" w:hAnsiTheme="minorHAnsi" w:cs="Aptos"/>
                <w:szCs w:val="22"/>
              </w:rPr>
              <w:t xml:space="preserve"> integration between land and water management across planning, delivery and monitoring processes.</w:t>
            </w:r>
          </w:p>
          <w:p w14:paraId="1B32992D" w14:textId="5AF375B6" w:rsidR="067792F2" w:rsidRPr="00A64286" w:rsidRDefault="067792F2" w:rsidP="1734B9EC">
            <w:pPr>
              <w:spacing w:before="0" w:after="0"/>
              <w:ind w:left="72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440C2EC5"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52225A71" w14:textId="301EC0CD" w:rsidR="00A1158E" w:rsidRPr="00A64286" w:rsidRDefault="00A1158E" w:rsidP="00A1158E">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D654B4">
              <w:rPr>
                <w:rFonts w:asciiTheme="minorHAnsi" w:eastAsia="Aptos" w:hAnsiTheme="minorHAnsi" w:cs="Aptos"/>
                <w:b/>
                <w:szCs w:val="22"/>
              </w:rPr>
              <w:t>19</w:t>
            </w:r>
            <w:r w:rsidRPr="00A64286">
              <w:rPr>
                <w:rFonts w:asciiTheme="minorHAnsi" w:eastAsia="Aptos" w:hAnsiTheme="minorHAnsi" w:cs="Aptos"/>
                <w:b/>
                <w:szCs w:val="22"/>
              </w:rPr>
              <w:t xml:space="preserve"> – Whole-of-system catchment investment coordination and alignment </w:t>
            </w:r>
          </w:p>
          <w:p w14:paraId="0AF48130" w14:textId="77777777" w:rsidR="00A1158E" w:rsidRPr="00A64286" w:rsidRDefault="00A1158E"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610CC3A3" w14:textId="4D2E77D0" w:rsidR="00A1158E" w:rsidRPr="00A64286" w:rsidRDefault="00A1158E" w:rsidP="0042099D">
            <w:pPr>
              <w:spacing w:before="0" w:after="0" w:line="276" w:lineRule="auto"/>
              <w:rPr>
                <w:rFonts w:asciiTheme="minorHAnsi" w:eastAsia="Aptos" w:hAnsiTheme="minorHAnsi" w:cs="Aptos"/>
              </w:rPr>
            </w:pPr>
            <w:r w:rsidRPr="7A3D008D">
              <w:rPr>
                <w:rFonts w:asciiTheme="minorHAnsi" w:eastAsia="Aptos" w:hAnsiTheme="minorHAnsi" w:cs="Aptos"/>
              </w:rPr>
              <w:t>Governments improve coordination and alignment across jurisdictions, agencies and programs to enable a more integrated, whole-of-system approach for catchments, under the oversight of the senior officials committee and coordinated by</w:t>
            </w:r>
            <w:r w:rsidR="00D654B4">
              <w:rPr>
                <w:rFonts w:asciiTheme="minorHAnsi" w:eastAsia="Aptos" w:hAnsiTheme="minorHAnsi" w:cs="Aptos"/>
              </w:rPr>
              <w:t>, for example,</w:t>
            </w:r>
            <w:r w:rsidRPr="7A3D008D">
              <w:rPr>
                <w:rFonts w:asciiTheme="minorHAnsi" w:eastAsia="Aptos" w:hAnsiTheme="minorHAnsi" w:cs="Aptos"/>
              </w:rPr>
              <w:t xml:space="preserve"> the MDBA</w:t>
            </w:r>
            <w:r w:rsidR="131F1D48" w:rsidRPr="7A3D008D">
              <w:rPr>
                <w:rFonts w:asciiTheme="minorHAnsi" w:eastAsia="Aptos" w:hAnsiTheme="minorHAnsi" w:cs="Aptos"/>
              </w:rPr>
              <w:t>.</w:t>
            </w:r>
            <w:r w:rsidRPr="7A3D008D">
              <w:rPr>
                <w:rFonts w:asciiTheme="minorHAnsi" w:eastAsia="Aptos" w:hAnsiTheme="minorHAnsi" w:cs="Aptos"/>
              </w:rPr>
              <w:t xml:space="preserve"> This </w:t>
            </w:r>
            <w:r w:rsidR="00D654B4">
              <w:rPr>
                <w:rFonts w:asciiTheme="minorHAnsi" w:eastAsia="Aptos" w:hAnsiTheme="minorHAnsi" w:cs="Aptos"/>
              </w:rPr>
              <w:t>may</w:t>
            </w:r>
            <w:r w:rsidRPr="7A3D008D">
              <w:rPr>
                <w:rFonts w:asciiTheme="minorHAnsi" w:eastAsia="Aptos" w:hAnsiTheme="minorHAnsi" w:cs="Aptos"/>
              </w:rPr>
              <w:t xml:space="preserve"> include:</w:t>
            </w:r>
          </w:p>
          <w:p w14:paraId="41BA1CB5" w14:textId="77777777" w:rsidR="00A1158E" w:rsidRPr="00A64286" w:rsidRDefault="00A1158E" w:rsidP="0042099D">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1BEC1317" w14:textId="738B3CD0" w:rsidR="00A1158E" w:rsidRPr="00A64286" w:rsidRDefault="00382EE8" w:rsidP="00115BD6">
            <w:pPr>
              <w:pStyle w:val="ListParagraph"/>
              <w:numPr>
                <w:ilvl w:val="0"/>
                <w:numId w:val="123"/>
              </w:numPr>
              <w:spacing w:before="0" w:after="0" w:line="276" w:lineRule="auto"/>
              <w:rPr>
                <w:rFonts w:asciiTheme="minorHAnsi" w:eastAsia="Aptos" w:hAnsiTheme="minorHAnsi" w:cs="Aptos"/>
                <w:szCs w:val="22"/>
              </w:rPr>
            </w:pPr>
            <w:r>
              <w:rPr>
                <w:rFonts w:ascii="ZWAdobeF" w:eastAsia="Aptos" w:hAnsi="ZWAdobeF" w:cs="ZWAdobeF"/>
                <w:sz w:val="2"/>
                <w:szCs w:val="2"/>
              </w:rPr>
              <w:t>65B</w:t>
            </w:r>
            <w:r w:rsidR="00A1158E" w:rsidRPr="00A64286">
              <w:rPr>
                <w:rFonts w:asciiTheme="minorHAnsi" w:eastAsia="Aptos" w:hAnsiTheme="minorHAnsi" w:cs="Aptos"/>
                <w:szCs w:val="22"/>
              </w:rPr>
              <w:t>establishing a coordinated, cross-jurisdictional approach to catchment investment that builds on existing arrangements and progressively strengthens delivery</w:t>
            </w:r>
          </w:p>
          <w:p w14:paraId="4AA509D5" w14:textId="3C03A986" w:rsidR="00A1158E" w:rsidRPr="00A64286" w:rsidRDefault="00382EE8" w:rsidP="00115BD6">
            <w:pPr>
              <w:pStyle w:val="ListParagraph"/>
              <w:numPr>
                <w:ilvl w:val="0"/>
                <w:numId w:val="123"/>
              </w:numPr>
              <w:spacing w:before="0" w:after="0" w:line="276" w:lineRule="auto"/>
              <w:rPr>
                <w:rFonts w:asciiTheme="minorHAnsi" w:eastAsia="Aptos" w:hAnsiTheme="minorHAnsi" w:cs="Aptos"/>
                <w:szCs w:val="22"/>
              </w:rPr>
            </w:pPr>
            <w:r>
              <w:rPr>
                <w:rFonts w:ascii="ZWAdobeF" w:eastAsia="Aptos" w:hAnsi="ZWAdobeF" w:cs="ZWAdobeF"/>
                <w:sz w:val="2"/>
                <w:szCs w:val="2"/>
              </w:rPr>
              <w:t>66B</w:t>
            </w:r>
            <w:r w:rsidR="00A1158E" w:rsidRPr="00A64286">
              <w:rPr>
                <w:rFonts w:asciiTheme="minorHAnsi" w:eastAsia="Aptos" w:hAnsiTheme="minorHAnsi" w:cs="Aptos"/>
                <w:szCs w:val="22"/>
              </w:rPr>
              <w:t>providing sustained, long-term funding to support continuity of on-ground works, enable scaling of successful initiatives, and build regional capability</w:t>
            </w:r>
          </w:p>
          <w:p w14:paraId="38771E39" w14:textId="3974418E" w:rsidR="00A1158E" w:rsidRPr="00A64286" w:rsidRDefault="00382EE8" w:rsidP="00115BD6">
            <w:pPr>
              <w:pStyle w:val="ListParagraph"/>
              <w:numPr>
                <w:ilvl w:val="0"/>
                <w:numId w:val="123"/>
              </w:numPr>
              <w:spacing w:before="0" w:after="0" w:line="276" w:lineRule="auto"/>
              <w:rPr>
                <w:rFonts w:asciiTheme="minorHAnsi" w:eastAsia="Aptos" w:hAnsiTheme="minorHAnsi" w:cs="Aptos"/>
                <w:szCs w:val="22"/>
              </w:rPr>
            </w:pPr>
            <w:r>
              <w:rPr>
                <w:rFonts w:ascii="ZWAdobeF" w:eastAsia="Aptos" w:hAnsi="ZWAdobeF" w:cs="ZWAdobeF"/>
                <w:sz w:val="2"/>
                <w:szCs w:val="2"/>
              </w:rPr>
              <w:t>67B</w:t>
            </w:r>
            <w:r w:rsidR="00A1158E" w:rsidRPr="00A64286">
              <w:rPr>
                <w:rFonts w:asciiTheme="minorHAnsi" w:eastAsia="Aptos" w:hAnsiTheme="minorHAnsi" w:cs="Aptos"/>
                <w:szCs w:val="22"/>
              </w:rPr>
              <w:t>ensuring monitoring, evaluation and learning is embedded within a structured adaptive management framework to support continuous improvement in catchment and environmental flow outcomes.</w:t>
            </w:r>
          </w:p>
          <w:p w14:paraId="3AF6C044" w14:textId="18849F0D"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19987187"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31DEB157" w14:textId="26D7547D" w:rsidR="002C587D" w:rsidRPr="00A64286" w:rsidRDefault="002C587D" w:rsidP="002C587D">
            <w:pPr>
              <w:spacing w:before="0" w:after="0"/>
              <w:rPr>
                <w:rFonts w:asciiTheme="minorHAnsi" w:eastAsia="Aptos" w:hAnsiTheme="minorHAnsi" w:cs="Aptos"/>
                <w:b/>
                <w:szCs w:val="22"/>
              </w:rPr>
            </w:pPr>
            <w:r w:rsidRPr="00A64286">
              <w:rPr>
                <w:rFonts w:asciiTheme="minorHAnsi" w:eastAsia="Aptos" w:hAnsiTheme="minorHAnsi" w:cs="Aptos"/>
                <w:b/>
                <w:szCs w:val="22"/>
              </w:rPr>
              <w:t>Recommendation 2</w:t>
            </w:r>
            <w:r w:rsidR="00D654B4">
              <w:rPr>
                <w:rFonts w:asciiTheme="minorHAnsi" w:eastAsia="Aptos" w:hAnsiTheme="minorHAnsi" w:cs="Aptos"/>
                <w:b/>
                <w:szCs w:val="22"/>
              </w:rPr>
              <w:t>0</w:t>
            </w:r>
            <w:r w:rsidRPr="00A64286">
              <w:rPr>
                <w:rFonts w:asciiTheme="minorHAnsi" w:eastAsia="Aptos" w:hAnsiTheme="minorHAnsi" w:cs="Aptos"/>
                <w:b/>
                <w:szCs w:val="22"/>
              </w:rPr>
              <w:t xml:space="preserve"> – Supporting First Nations custodianship and community stewardship in catchment management activities </w:t>
            </w:r>
          </w:p>
          <w:p w14:paraId="474632D8" w14:textId="77777777" w:rsidR="002C587D" w:rsidRPr="00A64286" w:rsidRDefault="002C587D" w:rsidP="002C587D">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4CDF8559" w14:textId="77777777" w:rsidR="007E338C" w:rsidRDefault="002C587D" w:rsidP="007E338C">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Governments embed First Nations and community in catchment management activities through enduring stewardship roles.</w:t>
            </w:r>
            <w:r w:rsidR="007E338C">
              <w:rPr>
                <w:rFonts w:asciiTheme="minorHAnsi" w:eastAsia="Aptos" w:hAnsiTheme="minorHAnsi" w:cs="Aptos"/>
                <w:szCs w:val="22"/>
              </w:rPr>
              <w:t xml:space="preserve"> </w:t>
            </w:r>
          </w:p>
          <w:p w14:paraId="6B1952F2" w14:textId="74506060" w:rsidR="002C587D" w:rsidRPr="00A64286" w:rsidRDefault="002C587D" w:rsidP="007E338C">
            <w:pPr>
              <w:spacing w:before="0" w:after="0" w:line="276" w:lineRule="auto"/>
              <w:jc w:val="left"/>
              <w:rPr>
                <w:rFonts w:asciiTheme="minorHAnsi" w:eastAsia="Aptos" w:hAnsiTheme="minorHAnsi" w:cs="Aptos"/>
                <w:szCs w:val="22"/>
              </w:rPr>
            </w:pPr>
            <w:r w:rsidRPr="00A64286">
              <w:rPr>
                <w:rFonts w:asciiTheme="minorHAnsi" w:eastAsia="Aptos" w:hAnsiTheme="minorHAnsi" w:cs="Aptos"/>
                <w:szCs w:val="22"/>
              </w:rPr>
              <w:t>This</w:t>
            </w:r>
            <w:r w:rsidR="007E338C">
              <w:rPr>
                <w:rFonts w:asciiTheme="minorHAnsi" w:eastAsia="Aptos" w:hAnsiTheme="minorHAnsi" w:cs="Aptos"/>
                <w:szCs w:val="22"/>
              </w:rPr>
              <w:t xml:space="preserve"> </w:t>
            </w:r>
            <w:r w:rsidRPr="00A64286">
              <w:rPr>
                <w:rFonts w:asciiTheme="minorHAnsi" w:eastAsia="Aptos" w:hAnsiTheme="minorHAnsi" w:cs="Aptos"/>
                <w:szCs w:val="22"/>
              </w:rPr>
              <w:t>include</w:t>
            </w:r>
            <w:r w:rsidR="00D654B4">
              <w:rPr>
                <w:rFonts w:asciiTheme="minorHAnsi" w:eastAsia="Aptos" w:hAnsiTheme="minorHAnsi" w:cs="Aptos"/>
                <w:szCs w:val="22"/>
              </w:rPr>
              <w:t>s</w:t>
            </w:r>
            <w:r w:rsidRPr="00A64286">
              <w:rPr>
                <w:rFonts w:asciiTheme="minorHAnsi" w:eastAsia="Aptos" w:hAnsiTheme="minorHAnsi" w:cs="Aptos"/>
                <w:szCs w:val="22"/>
              </w:rPr>
              <w:t>:</w:t>
            </w:r>
          </w:p>
          <w:p w14:paraId="458FFCE2" w14:textId="007C3E72" w:rsidR="002C587D" w:rsidRPr="00A64286" w:rsidRDefault="00382EE8" w:rsidP="00115BD6">
            <w:pPr>
              <w:pStyle w:val="ListParagraph"/>
              <w:numPr>
                <w:ilvl w:val="0"/>
                <w:numId w:val="124"/>
              </w:numPr>
              <w:spacing w:before="0" w:after="0" w:line="276" w:lineRule="auto"/>
              <w:rPr>
                <w:rFonts w:asciiTheme="minorHAnsi" w:eastAsia="Aptos" w:hAnsiTheme="minorHAnsi" w:cs="Aptos"/>
                <w:szCs w:val="22"/>
              </w:rPr>
            </w:pPr>
            <w:r>
              <w:rPr>
                <w:rFonts w:ascii="ZWAdobeF" w:eastAsia="Aptos" w:hAnsi="ZWAdobeF" w:cs="ZWAdobeF"/>
                <w:sz w:val="2"/>
                <w:szCs w:val="2"/>
              </w:rPr>
              <w:lastRenderedPageBreak/>
              <w:t>68B</w:t>
            </w:r>
            <w:r w:rsidR="002C587D" w:rsidRPr="00A64286">
              <w:rPr>
                <w:rFonts w:asciiTheme="minorHAnsi" w:eastAsia="Aptos" w:hAnsiTheme="minorHAnsi" w:cs="Aptos"/>
                <w:szCs w:val="22"/>
              </w:rPr>
              <w:t>expanding participation in catchment management from the outset, including planning, delivery and monitoring, moving beyond consultation toward shared decision-making</w:t>
            </w:r>
          </w:p>
          <w:p w14:paraId="3FE54464" w14:textId="79565809" w:rsidR="002C587D" w:rsidRPr="00A64286" w:rsidRDefault="00382EE8" w:rsidP="00115BD6">
            <w:pPr>
              <w:pStyle w:val="ListParagraph"/>
              <w:numPr>
                <w:ilvl w:val="0"/>
                <w:numId w:val="124"/>
              </w:numPr>
              <w:spacing w:before="0" w:after="0" w:line="276" w:lineRule="auto"/>
              <w:rPr>
                <w:rFonts w:asciiTheme="minorHAnsi" w:eastAsia="Aptos" w:hAnsiTheme="minorHAnsi" w:cs="Aptos"/>
              </w:rPr>
            </w:pPr>
            <w:r>
              <w:rPr>
                <w:rFonts w:ascii="ZWAdobeF" w:eastAsia="Aptos" w:hAnsi="ZWAdobeF" w:cs="ZWAdobeF"/>
                <w:sz w:val="2"/>
                <w:szCs w:val="2"/>
              </w:rPr>
              <w:t>69B</w:t>
            </w:r>
            <w:r w:rsidR="002C587D" w:rsidRPr="558A61FA">
              <w:rPr>
                <w:rFonts w:asciiTheme="minorHAnsi" w:eastAsia="Aptos" w:hAnsiTheme="minorHAnsi" w:cs="Aptos"/>
              </w:rPr>
              <w:t>investing in ranger programs, on-</w:t>
            </w:r>
            <w:r w:rsidR="38E05188" w:rsidRPr="2C56D917">
              <w:rPr>
                <w:rFonts w:asciiTheme="minorHAnsi" w:eastAsia="Aptos" w:hAnsiTheme="minorHAnsi" w:cs="Aptos"/>
              </w:rPr>
              <w:t>C</w:t>
            </w:r>
            <w:r w:rsidR="002C587D" w:rsidRPr="2C56D917">
              <w:rPr>
                <w:rFonts w:asciiTheme="minorHAnsi" w:eastAsia="Aptos" w:hAnsiTheme="minorHAnsi" w:cs="Aptos"/>
              </w:rPr>
              <w:t>ountry</w:t>
            </w:r>
            <w:r w:rsidR="002C587D" w:rsidRPr="558A61FA">
              <w:rPr>
                <w:rFonts w:asciiTheme="minorHAnsi" w:eastAsia="Aptos" w:hAnsiTheme="minorHAnsi" w:cs="Aptos"/>
              </w:rPr>
              <w:t xml:space="preserve"> stewardship and workforce development to support long-term capability</w:t>
            </w:r>
          </w:p>
          <w:p w14:paraId="597D8572" w14:textId="37595673" w:rsidR="002C587D" w:rsidRPr="00A64286" w:rsidRDefault="00382EE8" w:rsidP="00115BD6">
            <w:pPr>
              <w:pStyle w:val="ListParagraph"/>
              <w:numPr>
                <w:ilvl w:val="0"/>
                <w:numId w:val="124"/>
              </w:numPr>
              <w:spacing w:before="0" w:after="0" w:line="276" w:lineRule="auto"/>
              <w:rPr>
                <w:rFonts w:asciiTheme="minorHAnsi" w:eastAsia="Aptos" w:hAnsiTheme="minorHAnsi" w:cs="Aptos"/>
                <w:szCs w:val="22"/>
              </w:rPr>
            </w:pPr>
            <w:r>
              <w:rPr>
                <w:rFonts w:ascii="ZWAdobeF" w:eastAsia="Aptos" w:hAnsi="ZWAdobeF" w:cs="ZWAdobeF"/>
                <w:sz w:val="2"/>
                <w:szCs w:val="2"/>
              </w:rPr>
              <w:t>70B</w:t>
            </w:r>
            <w:r w:rsidR="002C587D" w:rsidRPr="00A64286">
              <w:rPr>
                <w:rFonts w:asciiTheme="minorHAnsi" w:eastAsia="Aptos" w:hAnsiTheme="minorHAnsi" w:cs="Aptos"/>
                <w:szCs w:val="22"/>
              </w:rPr>
              <w:t>supporting the integration of cultural and local knowledge and indicators of river health in catchment activities and monitoring.</w:t>
            </w:r>
          </w:p>
          <w:p w14:paraId="6C394B6C" w14:textId="16ABED87"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00744B44" w14:textId="77777777" w:rsidTr="001D1B58">
        <w:trPr>
          <w:trHeight w:val="841"/>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18E9D8F5" w14:textId="2DD0F4FC"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lastRenderedPageBreak/>
              <w:t>Recommendation 2</w:t>
            </w:r>
            <w:r w:rsidR="007778C8">
              <w:rPr>
                <w:rFonts w:asciiTheme="minorHAnsi" w:eastAsia="Aptos" w:hAnsiTheme="minorHAnsi" w:cs="Aptos"/>
                <w:b/>
                <w:szCs w:val="22"/>
              </w:rPr>
              <w:t>1</w:t>
            </w:r>
            <w:r w:rsidRPr="00A64286">
              <w:rPr>
                <w:rFonts w:asciiTheme="minorHAnsi" w:eastAsia="Aptos" w:hAnsiTheme="minorHAnsi" w:cs="Aptos"/>
                <w:b/>
                <w:szCs w:val="22"/>
              </w:rPr>
              <w:t xml:space="preserve"> – Shared government funding </w:t>
            </w:r>
          </w:p>
          <w:p w14:paraId="5C3BF4AA" w14:textId="031068AC"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785EB69F" w14:textId="46A03D81" w:rsidR="00B1154A" w:rsidRPr="00A64286" w:rsidRDefault="00B1154A" w:rsidP="007E338C">
            <w:pPr>
              <w:spacing w:before="0" w:after="0" w:line="276" w:lineRule="auto"/>
              <w:rPr>
                <w:rFonts w:asciiTheme="minorHAnsi" w:eastAsia="Aptos" w:hAnsiTheme="minorHAnsi" w:cs="Aptos"/>
              </w:rPr>
            </w:pPr>
            <w:r w:rsidRPr="627E6BE6">
              <w:rPr>
                <w:rFonts w:asciiTheme="minorHAnsi" w:eastAsia="Aptos" w:hAnsiTheme="minorHAnsi" w:cs="Aptos"/>
              </w:rPr>
              <w:t xml:space="preserve">The Australian, NSW, Victorian and </w:t>
            </w:r>
            <w:r w:rsidR="1C979777" w:rsidRPr="45BA697D">
              <w:rPr>
                <w:rFonts w:asciiTheme="minorHAnsi" w:eastAsia="Aptos" w:hAnsiTheme="minorHAnsi" w:cs="Aptos"/>
              </w:rPr>
              <w:t>ACT</w:t>
            </w:r>
            <w:r w:rsidRPr="627E6BE6">
              <w:rPr>
                <w:rFonts w:asciiTheme="minorHAnsi" w:eastAsia="Aptos" w:hAnsiTheme="minorHAnsi" w:cs="Aptos"/>
              </w:rPr>
              <w:t xml:space="preserve"> governments establish a shared funding model, including coordinated contributions to support system-level functions, planning and investment across the catchments.</w:t>
            </w:r>
          </w:p>
          <w:p w14:paraId="6490DDBB" w14:textId="77777777" w:rsidR="00B1154A" w:rsidRPr="00A64286" w:rsidRDefault="00B1154A" w:rsidP="007E338C">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02F64B32" w14:textId="10443B60" w:rsidR="00BE40C1" w:rsidRPr="00A64286" w:rsidRDefault="00B1154A" w:rsidP="007E338C">
            <w:pPr>
              <w:spacing w:before="0" w:after="0" w:line="276" w:lineRule="auto"/>
              <w:rPr>
                <w:rFonts w:asciiTheme="minorHAnsi" w:eastAsia="Aptos" w:hAnsiTheme="minorHAnsi" w:cs="Aptos"/>
              </w:rPr>
            </w:pPr>
            <w:r w:rsidRPr="5C4DA2DC">
              <w:rPr>
                <w:rFonts w:asciiTheme="minorHAnsi" w:eastAsia="Aptos" w:hAnsiTheme="minorHAnsi" w:cs="Aptos"/>
              </w:rPr>
              <w:t xml:space="preserve">These contributions </w:t>
            </w:r>
            <w:r w:rsidR="007778C8">
              <w:rPr>
                <w:rFonts w:asciiTheme="minorHAnsi" w:eastAsia="Aptos" w:hAnsiTheme="minorHAnsi" w:cs="Aptos"/>
              </w:rPr>
              <w:t xml:space="preserve">are to </w:t>
            </w:r>
            <w:r w:rsidRPr="5C4DA2DC">
              <w:rPr>
                <w:rFonts w:asciiTheme="minorHAnsi" w:eastAsia="Aptos" w:hAnsiTheme="minorHAnsi" w:cs="Aptos"/>
              </w:rPr>
              <w:t>reflect system roles and responsibilities and may take different forms, including financial contributions, provision of water or entitlements, and targeted investment in catchment and system functions</w:t>
            </w:r>
            <w:r w:rsidR="0A83A35B" w:rsidRPr="5C4DA2DC">
              <w:rPr>
                <w:rFonts w:asciiTheme="minorHAnsi" w:eastAsia="Aptos" w:hAnsiTheme="minorHAnsi" w:cs="Aptos"/>
              </w:rPr>
              <w:t>.</w:t>
            </w:r>
            <w:r w:rsidR="0A83A35B" w:rsidRPr="7F54185C">
              <w:rPr>
                <w:rFonts w:asciiTheme="minorHAnsi" w:eastAsia="Aptos" w:hAnsiTheme="minorHAnsi" w:cs="Aptos"/>
              </w:rPr>
              <w:t xml:space="preserve"> </w:t>
            </w:r>
            <w:r w:rsidR="00BE40C1" w:rsidRPr="5C4DA2DC">
              <w:rPr>
                <w:rFonts w:asciiTheme="minorHAnsi" w:eastAsia="Aptos" w:hAnsiTheme="minorHAnsi" w:cs="Aptos"/>
              </w:rPr>
              <w:t>Governments should establish enduring funding arrangements to:</w:t>
            </w:r>
          </w:p>
          <w:p w14:paraId="0C1FB0AC" w14:textId="49680A20" w:rsidR="00BE40C1" w:rsidRPr="00A64286" w:rsidRDefault="00382EE8" w:rsidP="00115BD6">
            <w:pPr>
              <w:pStyle w:val="ListParagraph"/>
              <w:numPr>
                <w:ilvl w:val="0"/>
                <w:numId w:val="125"/>
              </w:numPr>
              <w:spacing w:before="0" w:after="0" w:line="276" w:lineRule="auto"/>
              <w:rPr>
                <w:rFonts w:asciiTheme="minorHAnsi" w:eastAsia="Aptos" w:hAnsiTheme="minorHAnsi" w:cs="Aptos"/>
                <w:szCs w:val="22"/>
              </w:rPr>
            </w:pPr>
            <w:r>
              <w:rPr>
                <w:rFonts w:ascii="ZWAdobeF" w:eastAsia="Aptos" w:hAnsi="ZWAdobeF" w:cs="ZWAdobeF"/>
                <w:sz w:val="2"/>
                <w:szCs w:val="2"/>
              </w:rPr>
              <w:t>71B</w:t>
            </w:r>
            <w:r w:rsidR="00BE40C1" w:rsidRPr="00A64286">
              <w:rPr>
                <w:rFonts w:asciiTheme="minorHAnsi" w:eastAsia="Aptos" w:hAnsiTheme="minorHAnsi" w:cs="Aptos"/>
                <w:szCs w:val="22"/>
              </w:rPr>
              <w:t>support coordinated, cross-jurisdictional investment</w:t>
            </w:r>
          </w:p>
          <w:p w14:paraId="36C977D3" w14:textId="22BD0B52" w:rsidR="00BE40C1" w:rsidRPr="00A64286" w:rsidRDefault="00382EE8" w:rsidP="00115BD6">
            <w:pPr>
              <w:pStyle w:val="ListParagraph"/>
              <w:numPr>
                <w:ilvl w:val="0"/>
                <w:numId w:val="125"/>
              </w:numPr>
              <w:spacing w:before="0" w:after="0" w:line="276" w:lineRule="auto"/>
              <w:rPr>
                <w:rFonts w:asciiTheme="minorHAnsi" w:eastAsia="Aptos" w:hAnsiTheme="minorHAnsi" w:cs="Aptos"/>
                <w:szCs w:val="22"/>
              </w:rPr>
            </w:pPr>
            <w:r>
              <w:rPr>
                <w:rFonts w:ascii="ZWAdobeF" w:eastAsia="Aptos" w:hAnsi="ZWAdobeF" w:cs="ZWAdobeF"/>
                <w:sz w:val="2"/>
                <w:szCs w:val="2"/>
              </w:rPr>
              <w:t>72B</w:t>
            </w:r>
            <w:r w:rsidR="00BE40C1" w:rsidRPr="00A64286">
              <w:rPr>
                <w:rFonts w:asciiTheme="minorHAnsi" w:eastAsia="Aptos" w:hAnsiTheme="minorHAnsi" w:cs="Aptos"/>
                <w:szCs w:val="22"/>
              </w:rPr>
              <w:t>allocate funding based on agreed system-level priorities.</w:t>
            </w:r>
          </w:p>
          <w:p w14:paraId="6A069C1D" w14:textId="77777777" w:rsidR="00BE40C1" w:rsidRPr="00A64286" w:rsidRDefault="00BE40C1" w:rsidP="007E338C">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3D03D6AC" w14:textId="33FEE11F" w:rsidR="002E3790" w:rsidRDefault="00BE40C1" w:rsidP="007E338C">
            <w:pPr>
              <w:spacing w:before="0" w:after="0" w:line="276" w:lineRule="auto"/>
              <w:rPr>
                <w:rFonts w:eastAsia="Aptos" w:cs="Aptos"/>
                <w:szCs w:val="22"/>
              </w:rPr>
            </w:pPr>
            <w:r w:rsidRPr="00A64286">
              <w:rPr>
                <w:rFonts w:asciiTheme="minorHAnsi" w:eastAsia="Aptos" w:hAnsiTheme="minorHAnsi" w:cs="Aptos"/>
                <w:szCs w:val="22"/>
              </w:rPr>
              <w:t xml:space="preserve">Funding </w:t>
            </w:r>
            <w:r w:rsidR="007778C8">
              <w:rPr>
                <w:rFonts w:asciiTheme="minorHAnsi" w:eastAsia="Aptos" w:hAnsiTheme="minorHAnsi" w:cs="Aptos"/>
                <w:szCs w:val="22"/>
              </w:rPr>
              <w:t xml:space="preserve">is to </w:t>
            </w:r>
            <w:r w:rsidRPr="00A64286">
              <w:rPr>
                <w:rFonts w:asciiTheme="minorHAnsi" w:eastAsia="Aptos" w:hAnsiTheme="minorHAnsi" w:cs="Aptos"/>
                <w:szCs w:val="22"/>
              </w:rPr>
              <w:t>be allocated based on:</w:t>
            </w:r>
          </w:p>
          <w:p w14:paraId="79A7DA0B" w14:textId="376E6F9F" w:rsidR="002E3790" w:rsidRPr="00BE3B29" w:rsidRDefault="00382EE8" w:rsidP="00115BD6">
            <w:pPr>
              <w:pStyle w:val="ListParagraph"/>
              <w:numPr>
                <w:ilvl w:val="0"/>
                <w:numId w:val="127"/>
              </w:numPr>
              <w:spacing w:after="0" w:line="276" w:lineRule="auto"/>
              <w:rPr>
                <w:rFonts w:asciiTheme="minorHAnsi" w:eastAsia="Aptos" w:hAnsiTheme="minorHAnsi" w:cs="Aptos"/>
                <w:szCs w:val="22"/>
              </w:rPr>
            </w:pPr>
            <w:r>
              <w:rPr>
                <w:rFonts w:ascii="ZWAdobeF" w:eastAsia="Aptos" w:hAnsi="ZWAdobeF" w:cs="ZWAdobeF"/>
                <w:sz w:val="2"/>
                <w:szCs w:val="2"/>
              </w:rPr>
              <w:t>73B</w:t>
            </w:r>
            <w:r w:rsidR="00155CDB" w:rsidRPr="00BE3B29">
              <w:rPr>
                <w:rFonts w:asciiTheme="minorHAnsi" w:eastAsia="Aptos" w:hAnsiTheme="minorHAnsi" w:cs="Aptos"/>
                <w:szCs w:val="22"/>
              </w:rPr>
              <w:t>scientific evidence and monitoring</w:t>
            </w:r>
          </w:p>
          <w:p w14:paraId="219CFE01" w14:textId="01C32BA8" w:rsidR="002E3790" w:rsidRPr="00BE3B29" w:rsidRDefault="00382EE8" w:rsidP="00115BD6">
            <w:pPr>
              <w:pStyle w:val="ListParagraph"/>
              <w:numPr>
                <w:ilvl w:val="0"/>
                <w:numId w:val="127"/>
              </w:numPr>
              <w:spacing w:after="0" w:line="276" w:lineRule="auto"/>
              <w:rPr>
                <w:rFonts w:asciiTheme="minorHAnsi" w:eastAsia="Aptos" w:hAnsiTheme="minorHAnsi" w:cs="Aptos"/>
                <w:szCs w:val="22"/>
              </w:rPr>
            </w:pPr>
            <w:r>
              <w:rPr>
                <w:rFonts w:ascii="ZWAdobeF" w:eastAsia="Aptos" w:hAnsi="ZWAdobeF" w:cs="ZWAdobeF"/>
                <w:sz w:val="2"/>
                <w:szCs w:val="2"/>
              </w:rPr>
              <w:t>74B</w:t>
            </w:r>
            <w:r w:rsidR="00155CDB" w:rsidRPr="00BE3B29">
              <w:rPr>
                <w:rFonts w:asciiTheme="minorHAnsi" w:eastAsia="Aptos" w:hAnsiTheme="minorHAnsi" w:cs="Aptos"/>
                <w:szCs w:val="22"/>
              </w:rPr>
              <w:t>agreed system-level priorities</w:t>
            </w:r>
          </w:p>
          <w:p w14:paraId="326334D9" w14:textId="630CEBE9" w:rsidR="00BE40C1" w:rsidRPr="00BE3B29" w:rsidRDefault="00382EE8" w:rsidP="00115BD6">
            <w:pPr>
              <w:pStyle w:val="ListParagraph"/>
              <w:numPr>
                <w:ilvl w:val="0"/>
                <w:numId w:val="127"/>
              </w:numPr>
              <w:spacing w:after="0" w:line="276" w:lineRule="auto"/>
              <w:rPr>
                <w:rFonts w:asciiTheme="minorHAnsi" w:eastAsia="Aptos" w:hAnsiTheme="minorHAnsi" w:cs="Aptos"/>
                <w:szCs w:val="22"/>
              </w:rPr>
            </w:pPr>
            <w:r>
              <w:rPr>
                <w:rFonts w:ascii="ZWAdobeF" w:eastAsia="Aptos" w:hAnsi="ZWAdobeF" w:cs="ZWAdobeF"/>
                <w:sz w:val="2"/>
                <w:szCs w:val="2"/>
              </w:rPr>
              <w:t>75B</w:t>
            </w:r>
            <w:r w:rsidR="00155CDB" w:rsidRPr="00BE3B29">
              <w:rPr>
                <w:rFonts w:asciiTheme="minorHAnsi" w:eastAsia="Aptos" w:hAnsiTheme="minorHAnsi" w:cs="Aptos"/>
                <w:szCs w:val="22"/>
              </w:rPr>
              <w:t>input from community and First Nations</w:t>
            </w:r>
            <w:r w:rsidR="003833C5">
              <w:rPr>
                <w:rFonts w:asciiTheme="minorHAnsi" w:eastAsia="Aptos" w:hAnsiTheme="minorHAnsi" w:cs="Aptos"/>
                <w:szCs w:val="22"/>
              </w:rPr>
              <w:t>.</w:t>
            </w:r>
          </w:p>
          <w:p w14:paraId="64B1A931" w14:textId="3E2972F8" w:rsidR="00155CDB" w:rsidRPr="00A64286" w:rsidRDefault="002E3790" w:rsidP="007E338C">
            <w:pPr>
              <w:spacing w:line="276" w:lineRule="auto"/>
              <w:rPr>
                <w:rFonts w:asciiTheme="minorHAnsi" w:eastAsia="Aptos" w:hAnsiTheme="minorHAnsi" w:cs="Aptos"/>
                <w:szCs w:val="22"/>
              </w:rPr>
            </w:pPr>
            <w:r w:rsidRPr="00BE3B29">
              <w:rPr>
                <w:rFonts w:asciiTheme="minorHAnsi" w:hAnsiTheme="minorHAnsi"/>
                <w:szCs w:val="22"/>
              </w:rPr>
              <w:t>The arrangement is to be transitional and staged, including interim measures to extend the Australian Government investments to ensure continuity (including the Restoring the Upper Murrumbidgee River Program and drought response).</w:t>
            </w:r>
          </w:p>
          <w:p w14:paraId="253E2542" w14:textId="7755058F" w:rsidR="067792F2" w:rsidRPr="00A64286" w:rsidRDefault="067792F2" w:rsidP="1734B9EC">
            <w:pPr>
              <w:spacing w:before="0" w:after="0"/>
              <w:rPr>
                <w:rFonts w:asciiTheme="minorHAnsi" w:eastAsia="Aptos" w:hAnsiTheme="minorHAnsi" w:cs="Aptos"/>
                <w:szCs w:val="22"/>
              </w:rPr>
            </w:pPr>
          </w:p>
        </w:tc>
      </w:tr>
      <w:tr w:rsidR="067792F2" w:rsidRPr="004D43C6" w14:paraId="0D832094"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780A5D2B" w14:textId="44533C84"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2E3790">
              <w:rPr>
                <w:rFonts w:asciiTheme="minorHAnsi" w:eastAsia="Aptos" w:hAnsiTheme="minorHAnsi" w:cs="Aptos"/>
                <w:b/>
                <w:szCs w:val="22"/>
              </w:rPr>
              <w:t>22 – Snowy Hydro funding</w:t>
            </w:r>
          </w:p>
          <w:p w14:paraId="45BF29BE" w14:textId="5E9AED6A"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6502D99F" w14:textId="069F5083" w:rsidR="067792F2" w:rsidRPr="00A64286" w:rsidRDefault="00886E5D"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Consistent with the beneficiary</w:t>
            </w:r>
            <w:r w:rsidR="00776444">
              <w:rPr>
                <w:rFonts w:asciiTheme="minorHAnsi" w:eastAsia="Aptos" w:hAnsiTheme="minorHAnsi" w:cs="Aptos"/>
                <w:szCs w:val="22"/>
              </w:rPr>
              <w:t>-</w:t>
            </w:r>
            <w:r w:rsidRPr="00A64286">
              <w:rPr>
                <w:rFonts w:asciiTheme="minorHAnsi" w:eastAsia="Aptos" w:hAnsiTheme="minorHAnsi" w:cs="Aptos"/>
                <w:szCs w:val="22"/>
              </w:rPr>
              <w:t xml:space="preserve">pays principle, </w:t>
            </w:r>
            <w:r w:rsidR="7E5FAC3C" w:rsidRPr="00A64286">
              <w:rPr>
                <w:rFonts w:asciiTheme="minorHAnsi" w:eastAsia="Aptos" w:hAnsiTheme="minorHAnsi" w:cs="Aptos"/>
                <w:szCs w:val="22"/>
              </w:rPr>
              <w:t xml:space="preserve">Snowy Hydro make an ongoing financial contribution to support environmental and system outcomes under the renewed </w:t>
            </w:r>
            <w:r w:rsidR="002E3790">
              <w:rPr>
                <w:rFonts w:asciiTheme="minorHAnsi" w:eastAsia="Aptos" w:hAnsiTheme="minorHAnsi" w:cs="Aptos"/>
                <w:szCs w:val="22"/>
              </w:rPr>
              <w:t xml:space="preserve">Deed </w:t>
            </w:r>
            <w:r w:rsidR="7E5FAC3C" w:rsidRPr="00A64286">
              <w:rPr>
                <w:rFonts w:asciiTheme="minorHAnsi" w:eastAsia="Aptos" w:hAnsiTheme="minorHAnsi" w:cs="Aptos"/>
                <w:szCs w:val="22"/>
              </w:rPr>
              <w:t>arrangement</w:t>
            </w:r>
            <w:r w:rsidR="06CDBA04" w:rsidRPr="00A64286">
              <w:rPr>
                <w:rFonts w:asciiTheme="minorHAnsi" w:eastAsia="Aptos" w:hAnsiTheme="minorHAnsi" w:cs="Aptos"/>
                <w:szCs w:val="22"/>
              </w:rPr>
              <w:t>.</w:t>
            </w:r>
          </w:p>
          <w:p w14:paraId="607A8209" w14:textId="45DA10AE"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09416A7F" w14:textId="2C13472D"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This contribution:</w:t>
            </w:r>
          </w:p>
          <w:p w14:paraId="1675CBF4" w14:textId="213400BC" w:rsidR="067792F2" w:rsidRPr="00A64286" w:rsidRDefault="00382EE8" w:rsidP="00115BD6">
            <w:pPr>
              <w:pStyle w:val="ListParagraph"/>
              <w:numPr>
                <w:ilvl w:val="0"/>
                <w:numId w:val="126"/>
              </w:numPr>
              <w:spacing w:before="0" w:after="0" w:line="276" w:lineRule="auto"/>
              <w:rPr>
                <w:rFonts w:asciiTheme="minorHAnsi" w:eastAsia="Aptos" w:hAnsiTheme="minorHAnsi" w:cs="Aptos"/>
                <w:szCs w:val="22"/>
              </w:rPr>
            </w:pPr>
            <w:r>
              <w:rPr>
                <w:rFonts w:ascii="ZWAdobeF" w:eastAsia="Aptos" w:hAnsi="ZWAdobeF" w:cs="ZWAdobeF"/>
                <w:sz w:val="2"/>
                <w:szCs w:val="2"/>
              </w:rPr>
              <w:t>76B</w:t>
            </w:r>
            <w:r w:rsidR="067792F2" w:rsidRPr="00A64286">
              <w:rPr>
                <w:rFonts w:asciiTheme="minorHAnsi" w:eastAsia="Aptos" w:hAnsiTheme="minorHAnsi" w:cs="Aptos"/>
                <w:szCs w:val="22"/>
              </w:rPr>
              <w:t>reflect</w:t>
            </w:r>
            <w:r w:rsidR="002E3790">
              <w:rPr>
                <w:rFonts w:asciiTheme="minorHAnsi" w:eastAsia="Aptos" w:hAnsiTheme="minorHAnsi" w:cs="Aptos"/>
                <w:szCs w:val="22"/>
              </w:rPr>
              <w:t>s</w:t>
            </w:r>
            <w:r w:rsidR="067792F2" w:rsidRPr="00A64286">
              <w:rPr>
                <w:rFonts w:asciiTheme="minorHAnsi" w:eastAsia="Aptos" w:hAnsiTheme="minorHAnsi" w:cs="Aptos"/>
                <w:szCs w:val="22"/>
              </w:rPr>
              <w:t xml:space="preserve"> its role in operating and influencing outcomes across the system</w:t>
            </w:r>
          </w:p>
          <w:p w14:paraId="2134A46D" w14:textId="03D51930" w:rsidR="067792F2" w:rsidRPr="00A64286" w:rsidRDefault="00382EE8" w:rsidP="00115BD6">
            <w:pPr>
              <w:pStyle w:val="ListParagraph"/>
              <w:numPr>
                <w:ilvl w:val="0"/>
                <w:numId w:val="126"/>
              </w:numPr>
              <w:spacing w:before="0" w:after="0" w:line="276" w:lineRule="auto"/>
              <w:rPr>
                <w:rFonts w:asciiTheme="minorHAnsi" w:eastAsia="Aptos" w:hAnsiTheme="minorHAnsi" w:cs="Aptos"/>
                <w:szCs w:val="22"/>
              </w:rPr>
            </w:pPr>
            <w:r>
              <w:rPr>
                <w:rFonts w:ascii="ZWAdobeF" w:eastAsia="Aptos" w:hAnsi="ZWAdobeF" w:cs="ZWAdobeF"/>
                <w:sz w:val="2"/>
                <w:szCs w:val="2"/>
              </w:rPr>
              <w:t>77B</w:t>
            </w:r>
            <w:r w:rsidR="067792F2" w:rsidRPr="00A64286">
              <w:rPr>
                <w:rFonts w:asciiTheme="minorHAnsi" w:eastAsia="Aptos" w:hAnsiTheme="minorHAnsi" w:cs="Aptos"/>
                <w:szCs w:val="22"/>
              </w:rPr>
              <w:t>contribute to the costs of environmental, catchment and system functions, coordinated by governments</w:t>
            </w:r>
          </w:p>
          <w:p w14:paraId="1277F560" w14:textId="536FD1EB" w:rsidR="067792F2" w:rsidRPr="00A64286" w:rsidRDefault="00382EE8" w:rsidP="00115BD6">
            <w:pPr>
              <w:pStyle w:val="ListParagraph"/>
              <w:numPr>
                <w:ilvl w:val="0"/>
                <w:numId w:val="126"/>
              </w:numPr>
              <w:spacing w:before="0" w:after="0" w:line="276" w:lineRule="auto"/>
              <w:rPr>
                <w:rFonts w:asciiTheme="minorHAnsi" w:eastAsia="Aptos" w:hAnsiTheme="minorHAnsi" w:cs="Aptos"/>
                <w:szCs w:val="22"/>
              </w:rPr>
            </w:pPr>
            <w:r>
              <w:rPr>
                <w:rFonts w:ascii="ZWAdobeF" w:eastAsia="Aptos" w:hAnsi="ZWAdobeF" w:cs="ZWAdobeF"/>
                <w:sz w:val="2"/>
                <w:szCs w:val="2"/>
              </w:rPr>
              <w:t>78B</w:t>
            </w:r>
            <w:r w:rsidR="067792F2" w:rsidRPr="00A64286">
              <w:rPr>
                <w:rFonts w:asciiTheme="minorHAnsi" w:eastAsia="Aptos" w:hAnsiTheme="minorHAnsi" w:cs="Aptos"/>
                <w:szCs w:val="22"/>
              </w:rPr>
              <w:t>provide certainty over time</w:t>
            </w:r>
          </w:p>
          <w:p w14:paraId="2A6A2BD5" w14:textId="584B14F5" w:rsidR="067792F2" w:rsidRPr="00A64286" w:rsidRDefault="00382EE8" w:rsidP="00115BD6">
            <w:pPr>
              <w:pStyle w:val="ListParagraph"/>
              <w:numPr>
                <w:ilvl w:val="0"/>
                <w:numId w:val="126"/>
              </w:numPr>
              <w:spacing w:before="0" w:after="0" w:line="276" w:lineRule="auto"/>
              <w:rPr>
                <w:rFonts w:asciiTheme="minorHAnsi" w:eastAsia="Aptos" w:hAnsiTheme="minorHAnsi" w:cs="Aptos"/>
                <w:szCs w:val="22"/>
              </w:rPr>
            </w:pPr>
            <w:r>
              <w:rPr>
                <w:rFonts w:ascii="ZWAdobeF" w:eastAsia="Aptos" w:hAnsi="ZWAdobeF" w:cs="ZWAdobeF"/>
                <w:sz w:val="2"/>
                <w:szCs w:val="2"/>
              </w:rPr>
              <w:t>79B</w:t>
            </w:r>
            <w:r w:rsidR="067792F2" w:rsidRPr="00A64286">
              <w:rPr>
                <w:rFonts w:asciiTheme="minorHAnsi" w:eastAsia="Aptos" w:hAnsiTheme="minorHAnsi" w:cs="Aptos"/>
                <w:szCs w:val="22"/>
              </w:rPr>
              <w:t>include a base contribution and where appropriate, an additional contribution linked to system-level effects of operations</w:t>
            </w:r>
            <w:r w:rsidR="75CA7AB2" w:rsidRPr="00A64286">
              <w:rPr>
                <w:rFonts w:asciiTheme="minorHAnsi" w:eastAsia="Aptos" w:hAnsiTheme="minorHAnsi" w:cs="Aptos"/>
                <w:szCs w:val="22"/>
              </w:rPr>
              <w:t>.</w:t>
            </w:r>
          </w:p>
          <w:p w14:paraId="3FADC1FC" w14:textId="7D57BB90"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5ABEFE12" w14:textId="00C87146"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The level and structure of these contributions </w:t>
            </w:r>
            <w:r w:rsidR="00A50EC2">
              <w:rPr>
                <w:rFonts w:asciiTheme="minorHAnsi" w:eastAsia="Aptos" w:hAnsiTheme="minorHAnsi" w:cs="Aptos"/>
                <w:szCs w:val="22"/>
              </w:rPr>
              <w:t xml:space="preserve">are to be </w:t>
            </w:r>
            <w:r w:rsidRPr="00A64286">
              <w:rPr>
                <w:rFonts w:asciiTheme="minorHAnsi" w:eastAsia="Aptos" w:hAnsiTheme="minorHAnsi" w:cs="Aptos"/>
                <w:szCs w:val="22"/>
              </w:rPr>
              <w:t>determined through an independent pricing or regulatory process (such as IPART), to ensure transparency, consistency and objectivity.</w:t>
            </w:r>
          </w:p>
          <w:p w14:paraId="3145FBD6" w14:textId="39614388"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2F745648"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52813FB5" w14:textId="2A69EADB"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lastRenderedPageBreak/>
              <w:t xml:space="preserve">Recommendation </w:t>
            </w:r>
            <w:r w:rsidR="00A50EC2">
              <w:rPr>
                <w:rFonts w:asciiTheme="minorHAnsi" w:eastAsia="Aptos" w:hAnsiTheme="minorHAnsi" w:cs="Aptos"/>
                <w:b/>
                <w:szCs w:val="22"/>
              </w:rPr>
              <w:t>23</w:t>
            </w:r>
            <w:r w:rsidRPr="00A64286">
              <w:rPr>
                <w:rFonts w:asciiTheme="minorHAnsi" w:eastAsia="Aptos" w:hAnsiTheme="minorHAnsi" w:cs="Aptos"/>
                <w:b/>
                <w:szCs w:val="22"/>
              </w:rPr>
              <w:t xml:space="preserve"> – Alignment of </w:t>
            </w:r>
            <w:r w:rsidR="007E338C">
              <w:rPr>
                <w:rFonts w:asciiTheme="minorHAnsi" w:eastAsia="Aptos" w:hAnsiTheme="minorHAnsi" w:cs="Aptos"/>
                <w:b/>
                <w:szCs w:val="22"/>
              </w:rPr>
              <w:t>C</w:t>
            </w:r>
            <w:r w:rsidRPr="00A64286">
              <w:rPr>
                <w:rFonts w:asciiTheme="minorHAnsi" w:eastAsia="Aptos" w:hAnsiTheme="minorHAnsi" w:cs="Aptos"/>
                <w:b/>
                <w:szCs w:val="22"/>
              </w:rPr>
              <w:t xml:space="preserve">orporate </w:t>
            </w:r>
            <w:r w:rsidR="007E338C">
              <w:rPr>
                <w:rFonts w:asciiTheme="minorHAnsi" w:eastAsia="Aptos" w:hAnsiTheme="minorHAnsi" w:cs="Aptos"/>
                <w:b/>
                <w:szCs w:val="22"/>
              </w:rPr>
              <w:t>G</w:t>
            </w:r>
            <w:r w:rsidRPr="00A64286">
              <w:rPr>
                <w:rFonts w:asciiTheme="minorHAnsi" w:eastAsia="Aptos" w:hAnsiTheme="minorHAnsi" w:cs="Aptos"/>
                <w:b/>
                <w:szCs w:val="22"/>
              </w:rPr>
              <w:t>overnance (Snowy Hydro)</w:t>
            </w:r>
          </w:p>
          <w:p w14:paraId="5FFF58D5" w14:textId="5A41E3A1"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73C012AD" w14:textId="7C241A50" w:rsidR="001E1503" w:rsidRPr="00A64286" w:rsidRDefault="001E1503" w:rsidP="007E338C">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The Australian Government should strengthen alignment between Snowy Hydro</w:t>
            </w:r>
            <w:r w:rsidR="00A50EC2">
              <w:rPr>
                <w:rFonts w:asciiTheme="minorHAnsi" w:eastAsia="Aptos" w:hAnsiTheme="minorHAnsi" w:cs="Aptos"/>
                <w:szCs w:val="22"/>
              </w:rPr>
              <w:t>’s</w:t>
            </w:r>
            <w:r w:rsidRPr="00A64286">
              <w:rPr>
                <w:rFonts w:asciiTheme="minorHAnsi" w:eastAsia="Aptos" w:hAnsiTheme="minorHAnsi" w:cs="Aptos"/>
                <w:szCs w:val="22"/>
              </w:rPr>
              <w:t xml:space="preserve"> corporate governance and system-level objectives.</w:t>
            </w:r>
          </w:p>
          <w:p w14:paraId="2A996E5C" w14:textId="77777777" w:rsidR="001E1503" w:rsidRPr="00A64286" w:rsidRDefault="001E1503" w:rsidP="007E338C">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 </w:t>
            </w:r>
          </w:p>
          <w:p w14:paraId="5B2B8E78" w14:textId="284BA79D" w:rsidR="001E1503" w:rsidRPr="00A64286" w:rsidRDefault="001E1503" w:rsidP="007E338C">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This include</w:t>
            </w:r>
            <w:r w:rsidR="00A50EC2">
              <w:rPr>
                <w:rFonts w:asciiTheme="minorHAnsi" w:eastAsia="Aptos" w:hAnsiTheme="minorHAnsi" w:cs="Aptos"/>
                <w:szCs w:val="22"/>
              </w:rPr>
              <w:t>s</w:t>
            </w:r>
            <w:r w:rsidRPr="00A64286">
              <w:rPr>
                <w:rFonts w:asciiTheme="minorHAnsi" w:eastAsia="Aptos" w:hAnsiTheme="minorHAnsi" w:cs="Aptos"/>
                <w:szCs w:val="22"/>
              </w:rPr>
              <w:t>:</w:t>
            </w:r>
          </w:p>
          <w:p w14:paraId="310583A3" w14:textId="226D5B0F" w:rsidR="001E1503" w:rsidRPr="00A64286" w:rsidRDefault="00382EE8" w:rsidP="00115BD6">
            <w:pPr>
              <w:pStyle w:val="ListParagraph"/>
              <w:numPr>
                <w:ilvl w:val="0"/>
                <w:numId w:val="128"/>
              </w:numPr>
              <w:spacing w:before="0" w:after="0" w:line="276" w:lineRule="auto"/>
              <w:rPr>
                <w:rFonts w:asciiTheme="minorHAnsi" w:eastAsia="Aptos" w:hAnsiTheme="minorHAnsi" w:cs="Aptos"/>
                <w:szCs w:val="22"/>
              </w:rPr>
            </w:pPr>
            <w:r>
              <w:rPr>
                <w:rFonts w:ascii="ZWAdobeF" w:eastAsia="Aptos" w:hAnsi="ZWAdobeF" w:cs="ZWAdobeF"/>
                <w:sz w:val="2"/>
                <w:szCs w:val="2"/>
              </w:rPr>
              <w:t>80B</w:t>
            </w:r>
            <w:r w:rsidR="001E1503" w:rsidRPr="00A64286">
              <w:rPr>
                <w:rFonts w:asciiTheme="minorHAnsi" w:eastAsia="Aptos" w:hAnsiTheme="minorHAnsi" w:cs="Aptos"/>
                <w:szCs w:val="22"/>
              </w:rPr>
              <w:t>revising Statements of Expectations to reflect environmental, water and public benefit outcomes</w:t>
            </w:r>
          </w:p>
          <w:p w14:paraId="3B97C939" w14:textId="21B7C781" w:rsidR="001E1503" w:rsidRPr="00A64286" w:rsidRDefault="00382EE8" w:rsidP="00115BD6">
            <w:pPr>
              <w:pStyle w:val="ListParagraph"/>
              <w:numPr>
                <w:ilvl w:val="0"/>
                <w:numId w:val="128"/>
              </w:numPr>
              <w:spacing w:before="0" w:after="0" w:line="276" w:lineRule="auto"/>
              <w:rPr>
                <w:rFonts w:asciiTheme="minorHAnsi" w:eastAsia="Aptos" w:hAnsiTheme="minorHAnsi" w:cs="Aptos"/>
                <w:szCs w:val="22"/>
              </w:rPr>
            </w:pPr>
            <w:r>
              <w:rPr>
                <w:rFonts w:ascii="ZWAdobeF" w:eastAsia="Aptos" w:hAnsi="ZWAdobeF" w:cs="ZWAdobeF"/>
                <w:sz w:val="2"/>
                <w:szCs w:val="2"/>
              </w:rPr>
              <w:t>81B</w:t>
            </w:r>
            <w:r w:rsidR="001E1503" w:rsidRPr="00A64286">
              <w:rPr>
                <w:rFonts w:asciiTheme="minorHAnsi" w:eastAsia="Aptos" w:hAnsiTheme="minorHAnsi" w:cs="Aptos"/>
                <w:szCs w:val="22"/>
              </w:rPr>
              <w:t>incorporating specific performance measures linked to river environmental flow and system outcomes in Snowy Hydro’s Balanced Scorecard framework to inform performance assessment for bonuses for senior staff</w:t>
            </w:r>
          </w:p>
          <w:p w14:paraId="490F74B6" w14:textId="3C04DDA5" w:rsidR="001E1503" w:rsidRPr="00A64286" w:rsidRDefault="00382EE8" w:rsidP="00115BD6">
            <w:pPr>
              <w:pStyle w:val="ListParagraph"/>
              <w:numPr>
                <w:ilvl w:val="0"/>
                <w:numId w:val="128"/>
              </w:numPr>
              <w:spacing w:before="0" w:after="0" w:line="276" w:lineRule="auto"/>
              <w:rPr>
                <w:rFonts w:asciiTheme="minorHAnsi" w:eastAsia="Aptos" w:hAnsiTheme="minorHAnsi" w:cs="Aptos"/>
              </w:rPr>
            </w:pPr>
            <w:r>
              <w:rPr>
                <w:rFonts w:ascii="ZWAdobeF" w:eastAsia="Aptos" w:hAnsi="ZWAdobeF" w:cs="ZWAdobeF"/>
                <w:sz w:val="2"/>
                <w:szCs w:val="2"/>
              </w:rPr>
              <w:t>82B</w:t>
            </w:r>
            <w:r w:rsidR="65975AC1" w:rsidRPr="078A0D1C">
              <w:rPr>
                <w:rFonts w:asciiTheme="minorHAnsi" w:eastAsia="Aptos" w:hAnsiTheme="minorHAnsi" w:cs="Aptos"/>
              </w:rPr>
              <w:t xml:space="preserve">ensuring board capability is balanced across priority sectors and functions, including water, environment, public policy (in addition to energy, risk, strategy, finance </w:t>
            </w:r>
            <w:r w:rsidR="47A61671" w:rsidRPr="078A0D1C">
              <w:rPr>
                <w:rFonts w:asciiTheme="minorHAnsi" w:eastAsia="Aptos" w:hAnsiTheme="minorHAnsi" w:cs="Aptos"/>
              </w:rPr>
              <w:t>and other</w:t>
            </w:r>
            <w:r w:rsidR="330EDD35" w:rsidRPr="078A0D1C">
              <w:rPr>
                <w:rFonts w:asciiTheme="minorHAnsi" w:eastAsia="Aptos" w:hAnsiTheme="minorHAnsi" w:cs="Aptos"/>
              </w:rPr>
              <w:t xml:space="preserve"> relevant skills</w:t>
            </w:r>
            <w:r w:rsidR="65975AC1" w:rsidRPr="078A0D1C">
              <w:rPr>
                <w:rFonts w:asciiTheme="minorHAnsi" w:eastAsia="Aptos" w:hAnsiTheme="minorHAnsi" w:cs="Aptos"/>
              </w:rPr>
              <w:t>)</w:t>
            </w:r>
          </w:p>
          <w:p w14:paraId="70FD3E42" w14:textId="4106C6C9" w:rsidR="001E1503" w:rsidRPr="00A64286" w:rsidRDefault="00382EE8" w:rsidP="00115BD6">
            <w:pPr>
              <w:pStyle w:val="ListParagraph"/>
              <w:numPr>
                <w:ilvl w:val="0"/>
                <w:numId w:val="128"/>
              </w:numPr>
              <w:spacing w:before="0" w:after="0" w:line="276" w:lineRule="auto"/>
              <w:rPr>
                <w:rFonts w:asciiTheme="minorHAnsi" w:eastAsia="Aptos" w:hAnsiTheme="minorHAnsi" w:cs="Aptos"/>
                <w:szCs w:val="22"/>
              </w:rPr>
            </w:pPr>
            <w:r>
              <w:rPr>
                <w:rFonts w:ascii="ZWAdobeF" w:eastAsia="Aptos" w:hAnsi="ZWAdobeF" w:cs="ZWAdobeF"/>
                <w:sz w:val="2"/>
                <w:szCs w:val="2"/>
              </w:rPr>
              <w:t>83B</w:t>
            </w:r>
            <w:r w:rsidR="001E1503" w:rsidRPr="00A64286">
              <w:rPr>
                <w:rFonts w:asciiTheme="minorHAnsi" w:eastAsia="Aptos" w:hAnsiTheme="minorHAnsi" w:cs="Aptos"/>
                <w:szCs w:val="22"/>
              </w:rPr>
              <w:t xml:space="preserve">appointing the </w:t>
            </w:r>
            <w:r w:rsidR="00A50EC2">
              <w:rPr>
                <w:rFonts w:asciiTheme="minorHAnsi" w:eastAsia="Aptos" w:hAnsiTheme="minorHAnsi" w:cs="Aptos"/>
                <w:szCs w:val="22"/>
              </w:rPr>
              <w:t xml:space="preserve">Australian </w:t>
            </w:r>
            <w:r w:rsidR="00BE3B29">
              <w:rPr>
                <w:rFonts w:asciiTheme="minorHAnsi" w:eastAsia="Aptos" w:hAnsiTheme="minorHAnsi" w:cs="Aptos"/>
                <w:szCs w:val="22"/>
              </w:rPr>
              <w:t>Government M</w:t>
            </w:r>
            <w:r w:rsidR="001E1503" w:rsidRPr="00A64286">
              <w:rPr>
                <w:rFonts w:asciiTheme="minorHAnsi" w:eastAsia="Aptos" w:hAnsiTheme="minorHAnsi" w:cs="Aptos"/>
                <w:szCs w:val="22"/>
              </w:rPr>
              <w:t xml:space="preserve">inister responsible for water as a shareholder minister. </w:t>
            </w:r>
          </w:p>
          <w:p w14:paraId="26E8284B" w14:textId="7245290E" w:rsidR="067792F2" w:rsidRPr="00A64286" w:rsidRDefault="067792F2" w:rsidP="00CC7A58">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tc>
      </w:tr>
      <w:tr w:rsidR="067792F2" w:rsidRPr="004D43C6" w14:paraId="636D0E87" w14:textId="77777777" w:rsidTr="001D1B58">
        <w:trPr>
          <w:trHeight w:val="300"/>
        </w:trPr>
        <w:tc>
          <w:tcPr>
            <w:tcW w:w="9351" w:type="dxa"/>
            <w:tcBorders>
              <w:top w:val="single" w:sz="4" w:space="0" w:color="auto"/>
              <w:left w:val="single" w:sz="4" w:space="0" w:color="auto"/>
              <w:bottom w:val="single" w:sz="4" w:space="0" w:color="auto"/>
              <w:right w:val="single" w:sz="4" w:space="0" w:color="auto"/>
            </w:tcBorders>
            <w:tcMar>
              <w:left w:w="108" w:type="dxa"/>
              <w:right w:w="108" w:type="dxa"/>
            </w:tcMar>
          </w:tcPr>
          <w:p w14:paraId="04BCE7CB" w14:textId="4CFF72F2" w:rsidR="067792F2" w:rsidRPr="00A64286" w:rsidRDefault="067792F2" w:rsidP="1734B9EC">
            <w:pPr>
              <w:spacing w:before="0" w:after="0"/>
              <w:rPr>
                <w:rFonts w:asciiTheme="minorHAnsi" w:eastAsia="Aptos" w:hAnsiTheme="minorHAnsi" w:cs="Aptos"/>
                <w:b/>
                <w:szCs w:val="22"/>
              </w:rPr>
            </w:pPr>
            <w:r w:rsidRPr="00A64286">
              <w:rPr>
                <w:rFonts w:asciiTheme="minorHAnsi" w:eastAsia="Aptos" w:hAnsiTheme="minorHAnsi" w:cs="Aptos"/>
                <w:b/>
                <w:szCs w:val="22"/>
              </w:rPr>
              <w:t xml:space="preserve">Recommendation </w:t>
            </w:r>
            <w:r w:rsidR="00BE3B29">
              <w:rPr>
                <w:rFonts w:asciiTheme="minorHAnsi" w:eastAsia="Aptos" w:hAnsiTheme="minorHAnsi" w:cs="Aptos"/>
                <w:b/>
                <w:szCs w:val="22"/>
              </w:rPr>
              <w:t>24</w:t>
            </w:r>
            <w:r w:rsidRPr="00A64286">
              <w:rPr>
                <w:rFonts w:asciiTheme="minorHAnsi" w:eastAsia="Aptos" w:hAnsiTheme="minorHAnsi" w:cs="Aptos"/>
                <w:b/>
                <w:szCs w:val="22"/>
              </w:rPr>
              <w:t xml:space="preserve"> – Establish a </w:t>
            </w:r>
            <w:r w:rsidR="007E338C">
              <w:rPr>
                <w:rFonts w:asciiTheme="minorHAnsi" w:eastAsia="Aptos" w:hAnsiTheme="minorHAnsi" w:cs="Aptos"/>
                <w:b/>
                <w:szCs w:val="22"/>
              </w:rPr>
              <w:t>R</w:t>
            </w:r>
            <w:r w:rsidRPr="00A64286">
              <w:rPr>
                <w:rFonts w:asciiTheme="minorHAnsi" w:eastAsia="Aptos" w:hAnsiTheme="minorHAnsi" w:cs="Aptos"/>
                <w:b/>
                <w:szCs w:val="22"/>
              </w:rPr>
              <w:t xml:space="preserve">ule-based </w:t>
            </w:r>
            <w:r w:rsidR="007E338C">
              <w:rPr>
                <w:rFonts w:asciiTheme="minorHAnsi" w:eastAsia="Aptos" w:hAnsiTheme="minorHAnsi" w:cs="Aptos"/>
                <w:b/>
                <w:szCs w:val="22"/>
              </w:rPr>
              <w:t>C</w:t>
            </w:r>
            <w:r w:rsidRPr="00A64286">
              <w:rPr>
                <w:rFonts w:asciiTheme="minorHAnsi" w:eastAsia="Aptos" w:hAnsiTheme="minorHAnsi" w:cs="Aptos"/>
                <w:b/>
                <w:szCs w:val="22"/>
              </w:rPr>
              <w:t xml:space="preserve">ompensation Framework </w:t>
            </w:r>
          </w:p>
          <w:p w14:paraId="4CA058D1" w14:textId="6739A389" w:rsidR="067792F2" w:rsidRPr="00A64286" w:rsidRDefault="067792F2" w:rsidP="1734B9EC">
            <w:pPr>
              <w:spacing w:before="0" w:after="0"/>
              <w:rPr>
                <w:rFonts w:asciiTheme="minorHAnsi" w:eastAsia="Aptos" w:hAnsiTheme="minorHAnsi" w:cs="Aptos"/>
                <w:szCs w:val="22"/>
              </w:rPr>
            </w:pPr>
            <w:r w:rsidRPr="00A64286">
              <w:rPr>
                <w:rFonts w:asciiTheme="minorHAnsi" w:eastAsia="Aptos" w:hAnsiTheme="minorHAnsi" w:cs="Aptos"/>
                <w:szCs w:val="22"/>
              </w:rPr>
              <w:t xml:space="preserve"> </w:t>
            </w:r>
          </w:p>
          <w:p w14:paraId="6AAAA7E4" w14:textId="0BD0A6C7"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Governments establish a rule-based compensation framework that limits compensation to clearly defined circumstances and supports adaptive system management. Under this framework:</w:t>
            </w:r>
          </w:p>
          <w:p w14:paraId="6710C87C" w14:textId="64238088" w:rsidR="067792F2" w:rsidRPr="00A64286" w:rsidRDefault="00382EE8" w:rsidP="00115BD6">
            <w:pPr>
              <w:pStyle w:val="ListParagraph"/>
              <w:numPr>
                <w:ilvl w:val="0"/>
                <w:numId w:val="129"/>
              </w:numPr>
              <w:spacing w:before="0" w:after="0" w:line="276" w:lineRule="auto"/>
              <w:rPr>
                <w:rFonts w:asciiTheme="minorHAnsi" w:eastAsia="Aptos" w:hAnsiTheme="minorHAnsi" w:cs="Aptos"/>
                <w:szCs w:val="22"/>
              </w:rPr>
            </w:pPr>
            <w:r>
              <w:rPr>
                <w:rFonts w:ascii="ZWAdobeF" w:eastAsia="Aptos" w:hAnsi="ZWAdobeF" w:cs="ZWAdobeF"/>
                <w:sz w:val="2"/>
                <w:szCs w:val="2"/>
              </w:rPr>
              <w:t>84B</w:t>
            </w:r>
            <w:r w:rsidR="4662816D" w:rsidRPr="00A64286">
              <w:rPr>
                <w:rFonts w:asciiTheme="minorHAnsi" w:eastAsia="Aptos" w:hAnsiTheme="minorHAnsi" w:cs="Aptos"/>
                <w:szCs w:val="22"/>
              </w:rPr>
              <w:t>n</w:t>
            </w:r>
            <w:r w:rsidR="067792F2" w:rsidRPr="00A64286">
              <w:rPr>
                <w:rFonts w:asciiTheme="minorHAnsi" w:eastAsia="Aptos" w:hAnsiTheme="minorHAnsi" w:cs="Aptos"/>
                <w:szCs w:val="22"/>
              </w:rPr>
              <w:t>o compensation applies to changes agreed through periodic reviews, audits or updates to objectives and operating arrangements</w:t>
            </w:r>
          </w:p>
          <w:p w14:paraId="7D0704D5" w14:textId="053BD9E9" w:rsidR="067792F2" w:rsidRPr="00A64286" w:rsidRDefault="00382EE8" w:rsidP="00115BD6">
            <w:pPr>
              <w:pStyle w:val="ListParagraph"/>
              <w:numPr>
                <w:ilvl w:val="0"/>
                <w:numId w:val="129"/>
              </w:numPr>
              <w:spacing w:before="0" w:after="0" w:line="276" w:lineRule="auto"/>
              <w:rPr>
                <w:rFonts w:asciiTheme="minorHAnsi" w:eastAsia="Aptos" w:hAnsiTheme="minorHAnsi" w:cs="Aptos"/>
                <w:szCs w:val="22"/>
              </w:rPr>
            </w:pPr>
            <w:r>
              <w:rPr>
                <w:rFonts w:ascii="ZWAdobeF" w:eastAsia="Aptos" w:hAnsi="ZWAdobeF" w:cs="ZWAdobeF"/>
                <w:sz w:val="2"/>
                <w:szCs w:val="2"/>
              </w:rPr>
              <w:t>85B</w:t>
            </w:r>
            <w:r w:rsidR="34721F15" w:rsidRPr="00A64286">
              <w:rPr>
                <w:rFonts w:asciiTheme="minorHAnsi" w:eastAsia="Aptos" w:hAnsiTheme="minorHAnsi" w:cs="Aptos"/>
                <w:szCs w:val="22"/>
              </w:rPr>
              <w:t>c</w:t>
            </w:r>
            <w:r w:rsidR="067792F2" w:rsidRPr="00A64286">
              <w:rPr>
                <w:rFonts w:asciiTheme="minorHAnsi" w:eastAsia="Aptos" w:hAnsiTheme="minorHAnsi" w:cs="Aptos"/>
                <w:szCs w:val="22"/>
              </w:rPr>
              <w:t>ompensation applies only where outcomes fall outside a defined operating envelope, with impacts assessed against agreed criteria</w:t>
            </w:r>
          </w:p>
          <w:p w14:paraId="78F8D0DC" w14:textId="5329CA1F" w:rsidR="067792F2" w:rsidRPr="00A64286" w:rsidRDefault="00382EE8" w:rsidP="00115BD6">
            <w:pPr>
              <w:pStyle w:val="ListParagraph"/>
              <w:numPr>
                <w:ilvl w:val="0"/>
                <w:numId w:val="129"/>
              </w:numPr>
              <w:spacing w:before="0" w:after="0" w:line="276" w:lineRule="auto"/>
              <w:rPr>
                <w:rFonts w:asciiTheme="minorHAnsi" w:eastAsia="Aptos" w:hAnsiTheme="minorHAnsi" w:cs="Aptos"/>
                <w:szCs w:val="22"/>
              </w:rPr>
            </w:pPr>
            <w:r>
              <w:rPr>
                <w:rFonts w:ascii="ZWAdobeF" w:eastAsia="Aptos" w:hAnsi="ZWAdobeF" w:cs="ZWAdobeF"/>
                <w:sz w:val="2"/>
                <w:szCs w:val="2"/>
              </w:rPr>
              <w:t>86B</w:t>
            </w:r>
            <w:r w:rsidR="742FC7C4" w:rsidRPr="00A64286">
              <w:rPr>
                <w:rFonts w:asciiTheme="minorHAnsi" w:eastAsia="Aptos" w:hAnsiTheme="minorHAnsi" w:cs="Aptos"/>
                <w:szCs w:val="22"/>
              </w:rPr>
              <w:t>t</w:t>
            </w:r>
            <w:r w:rsidR="067792F2" w:rsidRPr="00A64286">
              <w:rPr>
                <w:rFonts w:asciiTheme="minorHAnsi" w:eastAsia="Aptos" w:hAnsiTheme="minorHAnsi" w:cs="Aptos"/>
                <w:szCs w:val="22"/>
              </w:rPr>
              <w:t>he amount of any compensation is determined using a transparent, publicly available method or formula</w:t>
            </w:r>
            <w:r w:rsidR="3A3994CC" w:rsidRPr="00A64286">
              <w:rPr>
                <w:rFonts w:asciiTheme="minorHAnsi" w:eastAsia="Aptos" w:hAnsiTheme="minorHAnsi" w:cs="Aptos"/>
                <w:szCs w:val="22"/>
              </w:rPr>
              <w:t>.</w:t>
            </w:r>
          </w:p>
          <w:p w14:paraId="74149C6A" w14:textId="77777777" w:rsidR="0099540E" w:rsidRPr="00A64286" w:rsidRDefault="0099540E" w:rsidP="00CC7A58">
            <w:pPr>
              <w:pStyle w:val="ListParagraph"/>
              <w:spacing w:before="0" w:after="0" w:line="276" w:lineRule="auto"/>
              <w:rPr>
                <w:rFonts w:asciiTheme="minorHAnsi" w:eastAsia="Aptos" w:hAnsiTheme="minorHAnsi" w:cs="Aptos"/>
                <w:szCs w:val="22"/>
              </w:rPr>
            </w:pPr>
          </w:p>
          <w:p w14:paraId="2E4504BB" w14:textId="1A2F0785" w:rsidR="067792F2" w:rsidRPr="00A64286" w:rsidRDefault="067792F2" w:rsidP="00CC7A58">
            <w:pPr>
              <w:spacing w:before="0" w:after="0" w:line="276" w:lineRule="auto"/>
              <w:rPr>
                <w:rFonts w:asciiTheme="minorHAnsi" w:eastAsia="Aptos" w:hAnsiTheme="minorHAnsi" w:cs="Aptos"/>
                <w:szCs w:val="22"/>
              </w:rPr>
            </w:pPr>
            <w:r w:rsidRPr="00A64286">
              <w:rPr>
                <w:rFonts w:asciiTheme="minorHAnsi" w:eastAsia="Aptos" w:hAnsiTheme="minorHAnsi" w:cs="Aptos"/>
                <w:szCs w:val="22"/>
              </w:rPr>
              <w:t xml:space="preserve">The framework </w:t>
            </w:r>
            <w:r w:rsidR="00BE3B29">
              <w:rPr>
                <w:rFonts w:asciiTheme="minorHAnsi" w:eastAsia="Aptos" w:hAnsiTheme="minorHAnsi" w:cs="Aptos"/>
                <w:szCs w:val="22"/>
              </w:rPr>
              <w:t>is to</w:t>
            </w:r>
            <w:r w:rsidR="006E2F6B">
              <w:rPr>
                <w:rFonts w:asciiTheme="minorHAnsi" w:eastAsia="Aptos" w:hAnsiTheme="minorHAnsi" w:cs="Aptos"/>
                <w:szCs w:val="22"/>
              </w:rPr>
              <w:t xml:space="preserve"> </w:t>
            </w:r>
            <w:r w:rsidRPr="00A64286">
              <w:rPr>
                <w:rFonts w:asciiTheme="minorHAnsi" w:eastAsia="Aptos" w:hAnsiTheme="minorHAnsi" w:cs="Aptos"/>
                <w:szCs w:val="22"/>
              </w:rPr>
              <w:t>also include:</w:t>
            </w:r>
          </w:p>
          <w:p w14:paraId="3F902565" w14:textId="7F89590A" w:rsidR="067792F2" w:rsidRPr="00A64286" w:rsidRDefault="00382EE8" w:rsidP="00115BD6">
            <w:pPr>
              <w:pStyle w:val="ListParagraph"/>
              <w:numPr>
                <w:ilvl w:val="0"/>
                <w:numId w:val="130"/>
              </w:numPr>
              <w:spacing w:before="0" w:after="0" w:line="276" w:lineRule="auto"/>
              <w:rPr>
                <w:rFonts w:asciiTheme="minorHAnsi" w:eastAsia="Aptos" w:hAnsiTheme="minorHAnsi" w:cs="Aptos"/>
                <w:szCs w:val="22"/>
              </w:rPr>
            </w:pPr>
            <w:r>
              <w:rPr>
                <w:rFonts w:ascii="ZWAdobeF" w:eastAsia="Aptos" w:hAnsi="ZWAdobeF" w:cs="ZWAdobeF"/>
                <w:sz w:val="2"/>
                <w:szCs w:val="2"/>
              </w:rPr>
              <w:t>87B</w:t>
            </w:r>
            <w:r w:rsidR="067792F2" w:rsidRPr="00A64286">
              <w:rPr>
                <w:rFonts w:asciiTheme="minorHAnsi" w:eastAsia="Aptos" w:hAnsiTheme="minorHAnsi" w:cs="Aptos"/>
                <w:szCs w:val="22"/>
              </w:rPr>
              <w:t>clear triggers and rules for when compensation applies</w:t>
            </w:r>
          </w:p>
          <w:p w14:paraId="0D95DB32" w14:textId="2217A107" w:rsidR="067792F2" w:rsidRPr="00A64286" w:rsidRDefault="00382EE8" w:rsidP="00115BD6">
            <w:pPr>
              <w:pStyle w:val="ListParagraph"/>
              <w:numPr>
                <w:ilvl w:val="0"/>
                <w:numId w:val="130"/>
              </w:numPr>
              <w:spacing w:before="0" w:after="0" w:line="276" w:lineRule="auto"/>
              <w:rPr>
                <w:rFonts w:asciiTheme="minorHAnsi" w:eastAsia="Aptos" w:hAnsiTheme="minorHAnsi" w:cs="Aptos"/>
                <w:szCs w:val="22"/>
              </w:rPr>
            </w:pPr>
            <w:r>
              <w:rPr>
                <w:rFonts w:ascii="ZWAdobeF" w:eastAsia="Aptos" w:hAnsi="ZWAdobeF" w:cs="ZWAdobeF"/>
                <w:sz w:val="2"/>
                <w:szCs w:val="2"/>
              </w:rPr>
              <w:t>88B</w:t>
            </w:r>
            <w:r w:rsidR="067792F2" w:rsidRPr="00A64286">
              <w:rPr>
                <w:rFonts w:asciiTheme="minorHAnsi" w:eastAsia="Aptos" w:hAnsiTheme="minorHAnsi" w:cs="Aptos"/>
                <w:szCs w:val="22"/>
              </w:rPr>
              <w:t>compliance enforcement, including financial penalties for non-performance against agreed obligations</w:t>
            </w:r>
            <w:r w:rsidR="492F43B1" w:rsidRPr="00A64286">
              <w:rPr>
                <w:rFonts w:asciiTheme="minorHAnsi" w:eastAsia="Aptos" w:hAnsiTheme="minorHAnsi" w:cs="Aptos"/>
                <w:szCs w:val="22"/>
              </w:rPr>
              <w:t>.</w:t>
            </w:r>
          </w:p>
          <w:p w14:paraId="410C7406" w14:textId="05D07670" w:rsidR="067792F2" w:rsidRPr="00A64286" w:rsidRDefault="067792F2" w:rsidP="00CC7A58">
            <w:pPr>
              <w:pStyle w:val="ListParagraph"/>
              <w:spacing w:before="0" w:after="0"/>
              <w:rPr>
                <w:rFonts w:asciiTheme="minorHAnsi" w:eastAsia="Aptos" w:hAnsiTheme="minorHAnsi" w:cs="Aptos"/>
                <w:szCs w:val="22"/>
              </w:rPr>
            </w:pPr>
          </w:p>
        </w:tc>
      </w:tr>
    </w:tbl>
    <w:p w14:paraId="2DBFD835" w14:textId="15C43FC8" w:rsidR="009634E3" w:rsidRDefault="0A186AAD" w:rsidP="314E821D">
      <w:pPr>
        <w:spacing w:line="276" w:lineRule="auto"/>
        <w:rPr>
          <w:rFonts w:ascii="Aptos" w:eastAsia="Aptos" w:hAnsi="Aptos" w:cs="Aptos"/>
          <w:sz w:val="24"/>
        </w:rPr>
      </w:pPr>
      <w:r w:rsidRPr="067792F2">
        <w:rPr>
          <w:rFonts w:ascii="Aptos" w:eastAsia="Aptos" w:hAnsi="Aptos" w:cs="Aptos"/>
          <w:sz w:val="24"/>
        </w:rPr>
        <w:t xml:space="preserve"> </w:t>
      </w:r>
    </w:p>
    <w:p w14:paraId="77EA3D44" w14:textId="5FCEEB03" w:rsidR="009634E3" w:rsidRDefault="009634E3" w:rsidP="009634E3"/>
    <w:p w14:paraId="4F85915C" w14:textId="2D865AFC" w:rsidR="009634E3" w:rsidRDefault="009634E3" w:rsidP="009634E3"/>
    <w:p w14:paraId="25491057" w14:textId="7F048D14" w:rsidR="009634E3" w:rsidRDefault="009634E3">
      <w:r>
        <w:br w:type="page"/>
      </w:r>
    </w:p>
    <w:p w14:paraId="6CA5304C" w14:textId="30B4C5DE" w:rsidR="009634E3" w:rsidRDefault="00382EE8" w:rsidP="00600AD0">
      <w:pPr>
        <w:pStyle w:val="ReviewHeading"/>
      </w:pPr>
      <w:bookmarkStart w:id="10" w:name="_Toc233285577"/>
      <w:bookmarkStart w:id="11" w:name="_Toc233801456"/>
      <w:r>
        <w:rPr>
          <w:rFonts w:ascii="ZWAdobeF" w:hAnsi="ZWAdobeF" w:cs="ZWAdobeF"/>
          <w:b w:val="0"/>
          <w:color w:val="auto"/>
          <w:spacing w:val="0"/>
          <w:sz w:val="2"/>
          <w:szCs w:val="2"/>
        </w:rPr>
        <w:lastRenderedPageBreak/>
        <w:t>1659B</w:t>
      </w:r>
      <w:r w:rsidR="00A43856">
        <w:t>Introduction</w:t>
      </w:r>
      <w:bookmarkEnd w:id="10"/>
      <w:bookmarkEnd w:id="11"/>
    </w:p>
    <w:p w14:paraId="7B35D878" w14:textId="1C5C6204" w:rsidR="002670C3" w:rsidRDefault="002670C3" w:rsidP="00B93BBB">
      <w:pPr>
        <w:pStyle w:val="ReviewHeading2"/>
      </w:pPr>
      <w:bookmarkStart w:id="12" w:name="_Toc233285578"/>
      <w:bookmarkStart w:id="13" w:name="_Toc233801457"/>
      <w:r>
        <w:t>Purpose of the Review</w:t>
      </w:r>
      <w:bookmarkEnd w:id="12"/>
      <w:bookmarkEnd w:id="13"/>
    </w:p>
    <w:p w14:paraId="5BBE63FC" w14:textId="5DDADF48" w:rsidR="002670C3" w:rsidRDefault="00382EE8" w:rsidP="00B93BBB">
      <w:r>
        <w:rPr>
          <w:rFonts w:ascii="ZWAdobeF" w:hAnsi="ZWAdobeF" w:cs="ZWAdobeF"/>
          <w:sz w:val="2"/>
          <w:szCs w:val="2"/>
        </w:rPr>
        <w:t>557B</w:t>
      </w:r>
      <w:r w:rsidR="002670C3">
        <w:t>The Australian Government commissioned this independent review of the Snowy Water Inquiry Outcomes Implementation Deed (the</w:t>
      </w:r>
      <w:r w:rsidR="008203F0">
        <w:t xml:space="preserve"> SWIOID or</w:t>
      </w:r>
      <w:r w:rsidR="002670C3">
        <w:t xml:space="preserve"> Deed). The Deed is a legally binding agreement made in 2002 between the Australian, New South Wales and Victorian governments to provide more water for rivers affected by the operations of Snowy Hydro Limited (Snowy Hydro). The Deed has not been reviewed since its inception.</w:t>
      </w:r>
    </w:p>
    <w:p w14:paraId="320EA612" w14:textId="7F3636A2" w:rsidR="002670C3" w:rsidRDefault="00382EE8" w:rsidP="00B93BBB">
      <w:r>
        <w:rPr>
          <w:rFonts w:ascii="ZWAdobeF" w:hAnsi="ZWAdobeF" w:cs="ZWAdobeF"/>
          <w:sz w:val="2"/>
          <w:szCs w:val="2"/>
        </w:rPr>
        <w:t>558B</w:t>
      </w:r>
      <w:r w:rsidR="002670C3">
        <w:t xml:space="preserve">The Deed </w:t>
      </w:r>
      <w:r w:rsidR="103D616D">
        <w:t xml:space="preserve">states the volume or </w:t>
      </w:r>
      <w:r w:rsidR="5725800D">
        <w:t>energy</w:t>
      </w:r>
      <w:r w:rsidR="103D616D">
        <w:t xml:space="preserve"> equivalent of</w:t>
      </w:r>
      <w:r w:rsidR="002670C3">
        <w:t xml:space="preserve"> water in the Snowy Hydro Mountain</w:t>
      </w:r>
      <w:r w:rsidR="2427CE9C">
        <w:t xml:space="preserve">s </w:t>
      </w:r>
      <w:r w:rsidR="002670C3">
        <w:t xml:space="preserve">Electric Scheme (Snowy Scheme) system </w:t>
      </w:r>
      <w:r w:rsidR="5C4CBC37">
        <w:t>which</w:t>
      </w:r>
      <w:r w:rsidR="327E880C">
        <w:t xml:space="preserve"> </w:t>
      </w:r>
      <w:r w:rsidR="002670C3">
        <w:t xml:space="preserve">will be provided for the environment. This includes the Snowy River, the Upper Murrumbidgee River and </w:t>
      </w:r>
      <w:r w:rsidR="169B1672">
        <w:t>several</w:t>
      </w:r>
      <w:r w:rsidR="002670C3">
        <w:t xml:space="preserve"> other high-altitude Snowy </w:t>
      </w:r>
      <w:r w:rsidR="0F3471A2">
        <w:t>m</w:t>
      </w:r>
      <w:r w:rsidR="002670C3">
        <w:t xml:space="preserve">ontane rivers.   While its intent was </w:t>
      </w:r>
      <w:r w:rsidR="602D6790">
        <w:t>commendable</w:t>
      </w:r>
      <w:r w:rsidR="002670C3">
        <w:t xml:space="preserve">, implementation of the Deed over </w:t>
      </w:r>
      <w:r w:rsidR="005D278C">
        <w:t xml:space="preserve">two </w:t>
      </w:r>
      <w:r w:rsidR="002670C3">
        <w:t xml:space="preserve">decades has </w:t>
      </w:r>
      <w:r w:rsidR="311A2CE9">
        <w:t>demonstr</w:t>
      </w:r>
      <w:r w:rsidR="07B21C52">
        <w:t>at</w:t>
      </w:r>
      <w:r w:rsidR="311A2CE9">
        <w:t xml:space="preserve">ed that the </w:t>
      </w:r>
      <w:r w:rsidR="6C03B188">
        <w:t>releases</w:t>
      </w:r>
      <w:r w:rsidR="311A2CE9">
        <w:t xml:space="preserve"> of </w:t>
      </w:r>
      <w:r w:rsidR="002670C3">
        <w:t xml:space="preserve">environmental water </w:t>
      </w:r>
      <w:r w:rsidR="2B1AF3FE">
        <w:t>are</w:t>
      </w:r>
      <w:r w:rsidR="35BB0D2D">
        <w:t xml:space="preserve"> inadequate</w:t>
      </w:r>
      <w:r w:rsidR="002670C3">
        <w:t xml:space="preserve"> and</w:t>
      </w:r>
      <w:r w:rsidR="032500F1">
        <w:t>,</w:t>
      </w:r>
      <w:r w:rsidR="2C59DF40">
        <w:t xml:space="preserve"> with the exception of recent trials, </w:t>
      </w:r>
      <w:r w:rsidR="43DBA88E">
        <w:t>inflexible and poorly timed</w:t>
      </w:r>
      <w:r w:rsidR="002670C3">
        <w:t>, at a time of increasing demands on water for energy, agricultural production, regional development and urban supply.</w:t>
      </w:r>
    </w:p>
    <w:p w14:paraId="7705CD1D" w14:textId="293C091C" w:rsidR="002670C3" w:rsidRDefault="00382EE8" w:rsidP="00B93BBB">
      <w:r>
        <w:rPr>
          <w:rFonts w:ascii="ZWAdobeF" w:hAnsi="ZWAdobeF" w:cs="ZWAdobeF"/>
          <w:sz w:val="2"/>
          <w:szCs w:val="2"/>
        </w:rPr>
        <w:t>559B</w:t>
      </w:r>
      <w:r w:rsidR="002670C3">
        <w:t>T</w:t>
      </w:r>
      <w:r w:rsidR="002670C3" w:rsidRPr="004E777D">
        <w:t>h</w:t>
      </w:r>
      <w:r w:rsidR="002670C3">
        <w:t>e Review</w:t>
      </w:r>
      <w:r w:rsidR="002670C3" w:rsidDel="00050EB6">
        <w:t xml:space="preserve"> </w:t>
      </w:r>
      <w:r w:rsidR="002670C3">
        <w:t>provide</w:t>
      </w:r>
      <w:r w:rsidR="00050EB6">
        <w:t>s</w:t>
      </w:r>
      <w:r w:rsidR="002670C3">
        <w:t xml:space="preserve"> independent advice on whether, and how, water management arrangements in the Snowy Scheme should be contemporised with a focus on improving the health of the Upper Murrumbidgee River. </w:t>
      </w:r>
    </w:p>
    <w:p w14:paraId="349AC3CD" w14:textId="58CC1B31" w:rsidR="002670C3" w:rsidRDefault="00382EE8" w:rsidP="00B93BBB">
      <w:r>
        <w:rPr>
          <w:rFonts w:ascii="ZWAdobeF" w:hAnsi="ZWAdobeF" w:cs="ZWAdobeF"/>
          <w:sz w:val="2"/>
          <w:szCs w:val="2"/>
        </w:rPr>
        <w:t>560B</w:t>
      </w:r>
      <w:r w:rsidR="002670C3">
        <w:t xml:space="preserve">This Review has been undertaken in a substantially changed policy and governance context from that which existed when the Deed was agreed in 2002. Since that time, water reform frameworks have evolved, expectations of environmental stewardship have increased, and governments have adopted broader strategies and agreements relevant to river health, climate resilience, intergovernmental coordination and First Nations </w:t>
      </w:r>
      <w:r w:rsidR="2713AE6E">
        <w:t>and community</w:t>
      </w:r>
      <w:r w:rsidR="23171554">
        <w:t xml:space="preserve"> </w:t>
      </w:r>
      <w:r w:rsidR="002670C3">
        <w:t xml:space="preserve">engagement. </w:t>
      </w:r>
    </w:p>
    <w:p w14:paraId="30566976" w14:textId="4FED2C5F" w:rsidR="002670C3" w:rsidRDefault="00382EE8" w:rsidP="00B93BBB">
      <w:r>
        <w:rPr>
          <w:rFonts w:ascii="ZWAdobeF" w:hAnsi="ZWAdobeF" w:cs="ZWAdobeF"/>
          <w:sz w:val="2"/>
          <w:szCs w:val="2"/>
        </w:rPr>
        <w:t>561B</w:t>
      </w:r>
      <w:r w:rsidR="002670C3">
        <w:t xml:space="preserve">These developments include environmental water reforms, contemporary national water policy settings, </w:t>
      </w:r>
      <w:r w:rsidR="0909BA18">
        <w:t xml:space="preserve">the National Agreement on </w:t>
      </w:r>
      <w:r w:rsidR="002670C3">
        <w:t>Closing the Gap commitments, climate resilience strategies, and related governance and accountability expectations. Together, these contextual matters are relevant to the Review because they shape both the contemporary objectives against which existing arrangements should be assessed and the broader institutional conditions needed to support enduring river health.</w:t>
      </w:r>
    </w:p>
    <w:p w14:paraId="7E18B379" w14:textId="6E7D1721" w:rsidR="002670C3" w:rsidRDefault="00382EE8" w:rsidP="00B93BBB">
      <w:r>
        <w:rPr>
          <w:rFonts w:ascii="ZWAdobeF" w:hAnsi="ZWAdobeF" w:cs="ZWAdobeF"/>
          <w:sz w:val="2"/>
          <w:szCs w:val="2"/>
        </w:rPr>
        <w:t>562B</w:t>
      </w:r>
      <w:r w:rsidR="002670C3">
        <w:t xml:space="preserve">Any contemporary review of the Deed must consider not only the adequacy of existing arrangements, but also how prospective changes would interact with downstream users, the operational role of Snowy Hydro in the NEM, </w:t>
      </w:r>
      <w:r w:rsidR="18E0CB5C">
        <w:t>the national decarbonisation agenda,</w:t>
      </w:r>
      <w:r w:rsidR="002670C3">
        <w:t xml:space="preserve"> intergovernmental responsibilities, local communities, First Nations’ interests, and the wider implementation settings on which enduring river health depends. </w:t>
      </w:r>
    </w:p>
    <w:p w14:paraId="3044B738" w14:textId="77777777" w:rsidR="008C79DE" w:rsidRDefault="008C79DE" w:rsidP="00B93BBB">
      <w:pPr>
        <w:pStyle w:val="ReviewHeading2"/>
      </w:pPr>
      <w:r>
        <w:br w:type="page"/>
      </w:r>
    </w:p>
    <w:p w14:paraId="14AA2078" w14:textId="33B48AFC" w:rsidR="002670C3" w:rsidRDefault="002670C3" w:rsidP="00B93BBB">
      <w:pPr>
        <w:pStyle w:val="ReviewHeading2"/>
      </w:pPr>
      <w:bookmarkStart w:id="14" w:name="_Toc233285579"/>
      <w:bookmarkStart w:id="15" w:name="_Toc233801458"/>
      <w:r>
        <w:lastRenderedPageBreak/>
        <w:t>Terms of Reference</w:t>
      </w:r>
      <w:bookmarkEnd w:id="14"/>
      <w:bookmarkEnd w:id="15"/>
    </w:p>
    <w:p w14:paraId="5DAC6AA4" w14:textId="3E58C4A7" w:rsidR="002670C3" w:rsidRDefault="00382EE8" w:rsidP="00B93BBB">
      <w:r>
        <w:rPr>
          <w:rFonts w:ascii="ZWAdobeF" w:hAnsi="ZWAdobeF" w:cs="ZWAdobeF"/>
          <w:sz w:val="2"/>
          <w:szCs w:val="2"/>
        </w:rPr>
        <w:t>563B</w:t>
      </w:r>
      <w:r w:rsidR="002670C3">
        <w:t xml:space="preserve">The Review’s </w:t>
      </w:r>
      <w:hyperlink r:id="rId20" w:history="1">
        <w:r w:rsidR="002670C3" w:rsidRPr="005B3B44">
          <w:rPr>
            <w:rStyle w:val="Hyperlink"/>
          </w:rPr>
          <w:t>Terms of Reference</w:t>
        </w:r>
      </w:hyperlink>
      <w:r w:rsidR="002670C3">
        <w:t xml:space="preserve"> reflect the breadth of considerations relevant to the Deed and require the Independent Review Panel (the Panel) to assess it in its full environmental, social, cultural, economic and energy context. While the Deed is the formal subject of the Review, the Terms of Reference make clear that its operation cannot be understood in isolation from the wider governance, regulatory and operational settings through which it is implemented. </w:t>
      </w:r>
    </w:p>
    <w:p w14:paraId="3A84079F" w14:textId="69C4CF7C" w:rsidR="002670C3" w:rsidRDefault="00382EE8" w:rsidP="00B93BBB">
      <w:r>
        <w:rPr>
          <w:rFonts w:ascii="ZWAdobeF" w:hAnsi="ZWAdobeF" w:cs="ZWAdobeF"/>
          <w:sz w:val="2"/>
          <w:szCs w:val="2"/>
        </w:rPr>
        <w:t>564B</w:t>
      </w:r>
      <w:r w:rsidR="002670C3">
        <w:t xml:space="preserve">In practice, the Deed gives effect to environmental water commitments through a suite of interrelated instruments, including Snowy Hydro’s operating licence and associated documents, water sharing and licensing arrangements, operational protocols, and governance and compliance mechanisms. Consistent with this broader framing, the Panel considered the Deed not as a stand-alone instrument, but as part of the wider system through which environmental outcomes are delivered, governed, monitored and adapted over time. </w:t>
      </w:r>
    </w:p>
    <w:p w14:paraId="12350D0E" w14:textId="3F02CED0" w:rsidR="002670C3" w:rsidRDefault="00382EE8" w:rsidP="00B93BBB">
      <w:r>
        <w:rPr>
          <w:rFonts w:ascii="ZWAdobeF" w:hAnsi="ZWAdobeF" w:cs="ZWAdobeF"/>
          <w:sz w:val="2"/>
          <w:szCs w:val="2"/>
        </w:rPr>
        <w:t>565B</w:t>
      </w:r>
      <w:r w:rsidR="002670C3">
        <w:t xml:space="preserve">The </w:t>
      </w:r>
      <w:hyperlink r:id="rId21">
        <w:r w:rsidR="002670C3" w:rsidRPr="5E926C1E">
          <w:rPr>
            <w:rStyle w:val="Hyperlink"/>
          </w:rPr>
          <w:t>Terms of Reference</w:t>
        </w:r>
      </w:hyperlink>
      <w:r w:rsidR="002670C3">
        <w:t xml:space="preserve"> also require th</w:t>
      </w:r>
      <w:r w:rsidR="6EC4048D">
        <w:t xml:space="preserve">e </w:t>
      </w:r>
      <w:r w:rsidR="002670C3">
        <w:t xml:space="preserve">Panel to </w:t>
      </w:r>
      <w:r w:rsidR="513714DB">
        <w:t>pay</w:t>
      </w:r>
      <w:r w:rsidR="002670C3">
        <w:t xml:space="preserve"> particular attention to the health of the Upper Murrumbidgee River upstream of Burrinjuck Dam. </w:t>
      </w:r>
      <w:r w:rsidR="4BD42060">
        <w:t>The Panel concluded that some of the changes needed to improve river outcomes sit outside the formal scope of the Deed itself. Enduring improvement in river health would depend not only on changes to Deed</w:t>
      </w:r>
      <w:r w:rsidR="000641C3">
        <w:t xml:space="preserve"> </w:t>
      </w:r>
      <w:r w:rsidR="00F67237">
        <w:t>economic</w:t>
      </w:r>
      <w:r w:rsidR="00423FF0">
        <w:t xml:space="preserve"> </w:t>
      </w:r>
      <w:r w:rsidR="4BD42060">
        <w:t>based arrangements, but also on complementary regulatory, policy, investment and governance actions beyond the Deed framework.</w:t>
      </w:r>
    </w:p>
    <w:p w14:paraId="09DA2193" w14:textId="6A86589F" w:rsidR="002670C3" w:rsidRDefault="00382EE8" w:rsidP="00B93BBB">
      <w:r>
        <w:rPr>
          <w:rFonts w:ascii="ZWAdobeF" w:hAnsi="ZWAdobeF" w:cs="ZWAdobeF"/>
          <w:sz w:val="2"/>
          <w:szCs w:val="2"/>
        </w:rPr>
        <w:t>566B</w:t>
      </w:r>
      <w:r w:rsidR="002670C3">
        <w:t>In addition, the Panel was to consider the broader Scheme</w:t>
      </w:r>
      <w:r w:rsidR="00530553" w:rsidRPr="5E325084">
        <w:rPr>
          <w:rFonts w:ascii="Cambria Math" w:hAnsi="Cambria Math" w:cs="Cambria Math"/>
        </w:rPr>
        <w:t>-</w:t>
      </w:r>
      <w:r w:rsidR="002670C3">
        <w:t>wide implications of any changes, including interactions with energy generation, downstream water users and whole</w:t>
      </w:r>
      <w:r w:rsidR="60EF6C09">
        <w:t>-</w:t>
      </w:r>
      <w:r w:rsidR="002670C3">
        <w:t>of</w:t>
      </w:r>
      <w:r w:rsidR="5886F85A" w:rsidRPr="5B11C911">
        <w:rPr>
          <w:rFonts w:ascii="Cambria Math" w:hAnsi="Cambria Math" w:cs="Cambria Math"/>
        </w:rPr>
        <w:t>-</w:t>
      </w:r>
      <w:r w:rsidR="002670C3">
        <w:t xml:space="preserve">system reliability. </w:t>
      </w:r>
    </w:p>
    <w:p w14:paraId="0701CB97" w14:textId="3C783497" w:rsidR="002670C3" w:rsidRDefault="00382EE8" w:rsidP="03B4BFA1">
      <w:r>
        <w:rPr>
          <w:rFonts w:ascii="ZWAdobeF" w:hAnsi="ZWAdobeF" w:cs="ZWAdobeF"/>
          <w:sz w:val="2"/>
          <w:szCs w:val="2"/>
        </w:rPr>
        <w:t>567B</w:t>
      </w:r>
      <w:r w:rsidR="002670C3">
        <w:t>The Review did not include detailed quantitative re</w:t>
      </w:r>
      <w:r w:rsidR="00E87732" w:rsidRPr="6332CC80">
        <w:rPr>
          <w:rFonts w:ascii="Cambria Math" w:hAnsi="Cambria Math" w:cs="Cambria Math"/>
        </w:rPr>
        <w:t>-</w:t>
      </w:r>
      <w:r w:rsidR="002670C3">
        <w:t>modelling of the River Murray Increased Flows package or full re</w:t>
      </w:r>
      <w:r w:rsidR="00E87732" w:rsidRPr="6332CC80">
        <w:rPr>
          <w:rFonts w:ascii="Cambria Math" w:hAnsi="Cambria Math" w:cs="Cambria Math"/>
        </w:rPr>
        <w:t>-</w:t>
      </w:r>
      <w:r w:rsidR="002670C3">
        <w:t xml:space="preserve">modelling of Snowy River hydrology. Consistent with the Terms of Reference, Snowy River outcomes were considered qualitatively, with analytical effort prioritised toward the Upper Murrumbidgee River between Tantangara and Burrinjuck </w:t>
      </w:r>
      <w:r w:rsidR="462B60B3">
        <w:t>d</w:t>
      </w:r>
      <w:r w:rsidR="002670C3">
        <w:t xml:space="preserve">ams, where the most pressing ecological concerns </w:t>
      </w:r>
      <w:r w:rsidR="0B346422">
        <w:t xml:space="preserve">had been identified. </w:t>
      </w:r>
    </w:p>
    <w:p w14:paraId="3C4D5A90" w14:textId="046BF3E4" w:rsidR="0003217D" w:rsidRDefault="00382EE8" w:rsidP="0003217D">
      <w:r>
        <w:rPr>
          <w:rFonts w:ascii="ZWAdobeF" w:hAnsi="ZWAdobeF" w:cs="ZWAdobeF"/>
          <w:sz w:val="2"/>
          <w:szCs w:val="2"/>
        </w:rPr>
        <w:t>568B</w:t>
      </w:r>
      <w:r w:rsidR="002670C3">
        <w:t xml:space="preserve">During the course of the Review, the Terms of Reference were updated. Following feedback from </w:t>
      </w:r>
      <w:r w:rsidR="0574FD2A">
        <w:t>NSW</w:t>
      </w:r>
      <w:r w:rsidR="002670C3">
        <w:t xml:space="preserve">, Victoria and the </w:t>
      </w:r>
      <w:r w:rsidR="2B70394A">
        <w:t>ACT</w:t>
      </w:r>
      <w:r w:rsidR="002670C3">
        <w:t xml:space="preserve"> through the Intergovernmental Review Consultation Group</w:t>
      </w:r>
      <w:r w:rsidR="006B4513">
        <w:t>. T</w:t>
      </w:r>
      <w:r w:rsidR="002670C3">
        <w:t>he Australian Government published</w:t>
      </w:r>
      <w:r w:rsidR="793F7096">
        <w:t xml:space="preserve"> </w:t>
      </w:r>
      <w:r w:rsidR="002670C3">
        <w:t>revised Terms of Reference in October</w:t>
      </w:r>
      <w:r w:rsidR="008B673A" w:rsidRPr="1F7C545C">
        <w:rPr>
          <w:rFonts w:ascii="Arial" w:hAnsi="Arial" w:cs="Arial"/>
        </w:rPr>
        <w:t xml:space="preserve"> </w:t>
      </w:r>
      <w:r w:rsidR="002670C3">
        <w:t>2025, including explicit reference to clauses associated with delivery of the 212 gigalitres (GL) increased flows to the Snowy River.</w:t>
      </w:r>
      <w:r w:rsidR="0003217D">
        <w:t xml:space="preserve"> </w:t>
      </w:r>
    </w:p>
    <w:p w14:paraId="42692DFC" w14:textId="5BF77B29" w:rsidR="00ED6068" w:rsidRPr="00ED6068" w:rsidRDefault="00ED6068" w:rsidP="006618B6">
      <w:pPr>
        <w:pStyle w:val="Sub-Heading"/>
        <w:jc w:val="center"/>
      </w:pPr>
      <w:r w:rsidRPr="00ED6068">
        <w:lastRenderedPageBreak/>
        <w:t xml:space="preserve">Figure </w:t>
      </w:r>
      <w:fldSimple w:instr=" SEQ Figure \* ARABIC ">
        <w:r w:rsidR="0005178F">
          <w:rPr>
            <w:noProof/>
          </w:rPr>
          <w:t>2</w:t>
        </w:r>
      </w:fldSimple>
      <w:r w:rsidRPr="00ED6068">
        <w:t xml:space="preserve">: Map of the Snowy Hydro </w:t>
      </w:r>
      <w:r w:rsidR="00913A5F">
        <w:t>Scheme</w:t>
      </w:r>
    </w:p>
    <w:p w14:paraId="22B23131" w14:textId="3853DDAC" w:rsidR="0003217D" w:rsidRDefault="00382EE8" w:rsidP="00752715">
      <w:pPr>
        <w:jc w:val="center"/>
      </w:pPr>
      <w:r>
        <w:rPr>
          <w:rFonts w:ascii="ZWAdobeF" w:hAnsi="ZWAdobeF" w:cs="ZWAdobeF"/>
          <w:sz w:val="2"/>
          <w:szCs w:val="2"/>
        </w:rPr>
        <w:t>569B</w:t>
      </w:r>
      <w:r w:rsidR="00752715">
        <w:rPr>
          <w:noProof/>
        </w:rPr>
        <w:drawing>
          <wp:inline distT="0" distB="0" distL="0" distR="0" wp14:anchorId="529B1022" wp14:editId="57DACB2A">
            <wp:extent cx="6037406" cy="8431618"/>
            <wp:effectExtent l="0" t="0" r="1905" b="7620"/>
            <wp:docPr id="1739181951" name="Picture 25" descr="P3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81951" name="Picture 25" descr="P399#yIS1"/>
                    <pic:cNvPicPr/>
                  </pic:nvPicPr>
                  <pic:blipFill rotWithShape="1">
                    <a:blip r:embed="rId22">
                      <a:extLst>
                        <a:ext uri="{28A0092B-C50C-407E-A947-70E740481C1C}">
                          <a14:useLocalDpi xmlns:a14="http://schemas.microsoft.com/office/drawing/2010/main" val="0"/>
                        </a:ext>
                      </a:extLst>
                    </a:blip>
                    <a:srcRect l="3434" t="2321" r="3217" b="2479"/>
                    <a:stretch>
                      <a:fillRect/>
                    </a:stretch>
                  </pic:blipFill>
                  <pic:spPr bwMode="auto">
                    <a:xfrm>
                      <a:off x="0" y="0"/>
                      <a:ext cx="6103926" cy="8524517"/>
                    </a:xfrm>
                    <a:prstGeom prst="rect">
                      <a:avLst/>
                    </a:prstGeom>
                    <a:ln>
                      <a:noFill/>
                    </a:ln>
                    <a:extLst>
                      <a:ext uri="{53640926-AAD7-44D8-BBD7-CCE9431645EC}">
                        <a14:shadowObscured xmlns:a14="http://schemas.microsoft.com/office/drawing/2010/main"/>
                      </a:ext>
                    </a:extLst>
                  </pic:spPr>
                </pic:pic>
              </a:graphicData>
            </a:graphic>
          </wp:inline>
        </w:drawing>
      </w:r>
    </w:p>
    <w:p w14:paraId="7EE207B6" w14:textId="65F80C6E" w:rsidR="002670C3" w:rsidRDefault="002A52B5" w:rsidP="00B93BBB">
      <w:pPr>
        <w:pStyle w:val="ReviewHeading2"/>
      </w:pPr>
      <w:r>
        <w:br w:type="page"/>
      </w:r>
      <w:bookmarkStart w:id="16" w:name="_Toc233285580"/>
      <w:bookmarkStart w:id="17" w:name="_Toc233801459"/>
      <w:r w:rsidR="002670C3">
        <w:lastRenderedPageBreak/>
        <w:t xml:space="preserve">The </w:t>
      </w:r>
      <w:r>
        <w:t>R</w:t>
      </w:r>
      <w:r w:rsidR="002670C3">
        <w:t xml:space="preserve">eview </w:t>
      </w:r>
      <w:r>
        <w:t>P</w:t>
      </w:r>
      <w:r w:rsidR="002670C3">
        <w:t>rocess</w:t>
      </w:r>
      <w:bookmarkEnd w:id="16"/>
      <w:bookmarkEnd w:id="17"/>
    </w:p>
    <w:p w14:paraId="47B02B34" w14:textId="176FD53A" w:rsidR="6BAB1A44" w:rsidRPr="00CC7A58" w:rsidRDefault="00382EE8" w:rsidP="13B94E2E">
      <w:r>
        <w:rPr>
          <w:rFonts w:ascii="ZWAdobeF" w:hAnsi="ZWAdobeF" w:cs="ZWAdobeF"/>
          <w:sz w:val="2"/>
          <w:szCs w:val="2"/>
        </w:rPr>
        <w:t>570B</w:t>
      </w:r>
      <w:r w:rsidR="6BAB1A44" w:rsidRPr="00CC7A58">
        <w:t xml:space="preserve">The Review has been informed by a structured, deliberative methodology combining stakeholder engagement, technical analysis and iterative testing of reform options. Input has been drawn from advisory groups, including intergovernmental, stakeholder and First Nations forums, together with public consultation on the Panel’s </w:t>
      </w:r>
      <w:hyperlink r:id="rId23">
        <w:r w:rsidR="6BAB1A44" w:rsidRPr="00CC7A58">
          <w:rPr>
            <w:rStyle w:val="Hyperlink"/>
          </w:rPr>
          <w:t>Issues Consultation Report</w:t>
        </w:r>
      </w:hyperlink>
      <w:r w:rsidR="6BAB1A44" w:rsidRPr="00CC7A58">
        <w:t>, and extensive direct engagement with governments, Snowy Hydro Limited, market bodies, technical experts and community stakeholders.</w:t>
      </w:r>
    </w:p>
    <w:p w14:paraId="0C4A9095" w14:textId="687CD121" w:rsidR="49BF1E75" w:rsidRPr="00CC7A58" w:rsidRDefault="00382EE8">
      <w:r>
        <w:rPr>
          <w:rFonts w:ascii="ZWAdobeF" w:hAnsi="ZWAdobeF" w:cs="ZWAdobeF"/>
          <w:sz w:val="2"/>
          <w:szCs w:val="2"/>
        </w:rPr>
        <w:t>571B</w:t>
      </w:r>
      <w:r w:rsidR="49BF1E75" w:rsidRPr="00CC7A58">
        <w:t xml:space="preserve">The Issues Consultation Report outlined matters within </w:t>
      </w:r>
      <w:r w:rsidR="287114F9" w:rsidRPr="00CC7A58">
        <w:t>the</w:t>
      </w:r>
      <w:r w:rsidR="49BF1E75" w:rsidRPr="00CC7A58">
        <w:t xml:space="preserve"> scope of the Review and sought feedback on ways in which the Deed could be improved to meet contemporary water management objectives and community expectations. The public consultation process ran from 12 December 2025 to 13 February 2026, with the Panel receiving 136 submissions from a broad cross-section of stakeholders, including industry groups, First Nations people, academia, catchment management organisations, landholders, community members and government agencies. This input has informed the Panel</w:t>
      </w:r>
      <w:r w:rsidR="009A5307">
        <w:t xml:space="preserve"> </w:t>
      </w:r>
      <w:r w:rsidR="49BF1E75" w:rsidRPr="00CC7A58">
        <w:t>deliberations and the development of draft recommendations.</w:t>
      </w:r>
    </w:p>
    <w:p w14:paraId="742BD5D6" w14:textId="229FD360" w:rsidR="49BF1E75" w:rsidRPr="00CC7A58" w:rsidRDefault="00382EE8">
      <w:r>
        <w:rPr>
          <w:rFonts w:ascii="ZWAdobeF" w:hAnsi="ZWAdobeF" w:cs="ZWAdobeF"/>
          <w:sz w:val="2"/>
          <w:szCs w:val="2"/>
        </w:rPr>
        <w:t>572B</w:t>
      </w:r>
      <w:r w:rsidR="49BF1E75" w:rsidRPr="00CC7A58">
        <w:t xml:space="preserve">Consistent with the </w:t>
      </w:r>
      <w:hyperlink r:id="rId24">
        <w:r w:rsidR="49BF1E75" w:rsidRPr="00CC7A58">
          <w:rPr>
            <w:rFonts w:eastAsiaTheme="minorEastAsia"/>
            <w:color w:val="467886"/>
            <w:u w:val="single"/>
          </w:rPr>
          <w:t>Review Framework</w:t>
        </w:r>
        <w:r w:rsidR="49BF1E75" w:rsidRPr="00CC7A58">
          <w:t>,</w:t>
        </w:r>
      </w:hyperlink>
      <w:r w:rsidR="49BF1E75" w:rsidRPr="00CC7A58">
        <w:t xml:space="preserve"> the Panel has applied a structured deliberative design to test potential reforms against multiple objectives, integrating environmental, water, energy and community considerations. This has involved iterative development and assessment of reform scenarios, informed by technical modelling and stakeholder feedback, to evaluate trade-offs and identify options capable of delivering improved environmental outcomes while maintaining broader system performance.</w:t>
      </w:r>
    </w:p>
    <w:p w14:paraId="23996ADD" w14:textId="7F63617C" w:rsidR="49BF1E75" w:rsidRPr="00CC7A58" w:rsidRDefault="00382EE8" w:rsidP="39768A9F">
      <w:r>
        <w:rPr>
          <w:rFonts w:ascii="ZWAdobeF" w:hAnsi="ZWAdobeF" w:cs="ZWAdobeF"/>
          <w:sz w:val="2"/>
          <w:szCs w:val="2"/>
        </w:rPr>
        <w:t>573B</w:t>
      </w:r>
      <w:r w:rsidR="49BF1E75">
        <w:t>The Panel’s deliberations have been supported by technical analysis assessing alternative environmental flow arrangements for the Upper Murrumbidgee River and their implications for connected water systems, energy generation and the broader community. This has included hydrological modelling, ecological assessment, integrated river system modelling, energy modelling, and economic and social analysis. Together, this work has enabled the Panel to evaluate environmental outcomes alongside system-wide impacts in a consistent and transparent manner. Further d</w:t>
      </w:r>
      <w:r w:rsidR="00D0119E">
        <w:t>a</w:t>
      </w:r>
      <w:r w:rsidR="49BF1E75">
        <w:t>ta</w:t>
      </w:r>
      <w:r w:rsidR="00D0119E">
        <w:t xml:space="preserve"> </w:t>
      </w:r>
      <w:r w:rsidR="49BF1E75">
        <w:t xml:space="preserve">on the consultation and analytical approach </w:t>
      </w:r>
      <w:r w:rsidR="18F98246">
        <w:t>are</w:t>
      </w:r>
      <w:r w:rsidR="49BF1E75">
        <w:t xml:space="preserve"> provided in </w:t>
      </w:r>
      <w:r w:rsidR="49BF1E75" w:rsidRPr="00A2059F">
        <w:rPr>
          <w:b/>
          <w:bCs/>
        </w:rPr>
        <w:t>Chapter 2</w:t>
      </w:r>
      <w:r w:rsidR="49BF1E75">
        <w:t xml:space="preserve"> (Review Methodology).</w:t>
      </w:r>
    </w:p>
    <w:p w14:paraId="2A8A64CE" w14:textId="48E19B18" w:rsidR="002617E1" w:rsidRDefault="002617E1" w:rsidP="4AE81EB7">
      <w:pPr>
        <w:rPr>
          <w:rFonts w:eastAsia="Calibri" w:cs="Calibri"/>
        </w:rPr>
      </w:pPr>
      <w:r>
        <w:rPr>
          <w:rFonts w:eastAsia="Calibri" w:cs="Calibri"/>
        </w:rPr>
        <w:br w:type="page"/>
      </w:r>
    </w:p>
    <w:p w14:paraId="34C924BA" w14:textId="4D20D39F" w:rsidR="002670C3" w:rsidRPr="00CC7A58" w:rsidRDefault="00382EE8" w:rsidP="00115BD6">
      <w:pPr>
        <w:pStyle w:val="ReviewHeading"/>
        <w:numPr>
          <w:ilvl w:val="0"/>
          <w:numId w:val="39"/>
        </w:numPr>
        <w:ind w:left="426"/>
        <w:rPr>
          <w:sz w:val="24"/>
          <w:szCs w:val="24"/>
        </w:rPr>
      </w:pPr>
      <w:bookmarkStart w:id="18" w:name="_Toc233285581"/>
      <w:bookmarkStart w:id="19" w:name="_Toc233801460"/>
      <w:r>
        <w:rPr>
          <w:rFonts w:ascii="ZWAdobeF" w:hAnsi="ZWAdobeF" w:cs="ZWAdobeF"/>
          <w:b w:val="0"/>
          <w:color w:val="auto"/>
          <w:spacing w:val="0"/>
          <w:sz w:val="2"/>
          <w:szCs w:val="2"/>
        </w:rPr>
        <w:lastRenderedPageBreak/>
        <w:t>1660B</w:t>
      </w:r>
      <w:r w:rsidR="00A15883" w:rsidRPr="00E43A3E">
        <w:t>B</w:t>
      </w:r>
      <w:r w:rsidR="00BF270A">
        <w:t>ackground</w:t>
      </w:r>
      <w:bookmarkEnd w:id="18"/>
      <w:bookmarkEnd w:id="19"/>
    </w:p>
    <w:p w14:paraId="1BD84490" w14:textId="3648B919" w:rsidR="00816EC6" w:rsidRDefault="00B10D54" w:rsidP="00CC7A58">
      <w:pPr>
        <w:pStyle w:val="ReviewHeading2"/>
      </w:pPr>
      <w:bookmarkStart w:id="20" w:name="_Toc233285582"/>
      <w:bookmarkStart w:id="21" w:name="_Toc233801461"/>
      <w:r>
        <w:t>1</w:t>
      </w:r>
      <w:r w:rsidR="00873F55">
        <w:t xml:space="preserve">.1 </w:t>
      </w:r>
      <w:r w:rsidR="00816EC6">
        <w:t>A river under pressure</w:t>
      </w:r>
      <w:bookmarkEnd w:id="20"/>
      <w:bookmarkEnd w:id="21"/>
    </w:p>
    <w:p w14:paraId="4ABB40DE" w14:textId="25912AB9" w:rsidR="003B0FD3" w:rsidRDefault="00382EE8" w:rsidP="00CC7A58">
      <w:r>
        <w:rPr>
          <w:rFonts w:ascii="ZWAdobeF" w:hAnsi="ZWAdobeF" w:cs="ZWAdobeF"/>
          <w:sz w:val="2"/>
          <w:szCs w:val="2"/>
        </w:rPr>
        <w:t>574B</w:t>
      </w:r>
      <w:r w:rsidR="003B0FD3">
        <w:t xml:space="preserve">The Upper Murrumbidgee River is one of the headwater systems of the Murray–Darling Basin and a river of ecological, social and cultural </w:t>
      </w:r>
      <w:r w:rsidR="74DD0798">
        <w:t>importance</w:t>
      </w:r>
      <w:r w:rsidR="003B0FD3">
        <w:t xml:space="preserve">. Yet for decades its condition has been shaped by a water management system designed for a different era — one in which the diversion and regulation of mountain rivers </w:t>
      </w:r>
      <w:r w:rsidR="4BBE28C1">
        <w:t xml:space="preserve">was acceptable as rivers </w:t>
      </w:r>
      <w:r w:rsidR="003B0FD3">
        <w:t xml:space="preserve">were understood primarily as </w:t>
      </w:r>
      <w:r w:rsidR="0B7D80F0">
        <w:t>infrastructure</w:t>
      </w:r>
      <w:r w:rsidR="2FF1FF7E">
        <w:t xml:space="preserve"> for </w:t>
      </w:r>
      <w:r w:rsidR="003B0FD3">
        <w:t xml:space="preserve">nation-building, irrigation development and electricity generation. </w:t>
      </w:r>
    </w:p>
    <w:p w14:paraId="00431FF2" w14:textId="03D5364F" w:rsidR="003B0FD3" w:rsidRDefault="00382EE8" w:rsidP="00CC7A58">
      <w:r>
        <w:rPr>
          <w:rFonts w:ascii="ZWAdobeF" w:hAnsi="ZWAdobeF" w:cs="ZWAdobeF"/>
          <w:sz w:val="2"/>
          <w:szCs w:val="2"/>
        </w:rPr>
        <w:t>575B</w:t>
      </w:r>
      <w:r w:rsidR="003B0FD3">
        <w:t xml:space="preserve">The Snowy Mountains Scheme (the Snowy Scheme) delivered profound national benefits. But </w:t>
      </w:r>
      <w:r w:rsidR="3F47E581">
        <w:t xml:space="preserve">it also altered </w:t>
      </w:r>
      <w:r w:rsidR="003B0FD3">
        <w:t xml:space="preserve">the natural flow patterns on which river health depends. In the Upper Murrumbidgee, those changes have contributed to a long period of ecological </w:t>
      </w:r>
      <w:r w:rsidR="00AA24DB">
        <w:t>degrad</w:t>
      </w:r>
      <w:r w:rsidR="00CA0AA5">
        <w:t>ation</w:t>
      </w:r>
      <w:r w:rsidR="003B0FD3">
        <w:t xml:space="preserve">, including diminished flow and flow variability, habitat simplification, pressure on already endangered native species, and declining resilience in the face of drought, </w:t>
      </w:r>
      <w:r w:rsidR="00F10951">
        <w:t xml:space="preserve">increased </w:t>
      </w:r>
      <w:r w:rsidR="003B0FD3">
        <w:t>bushfire</w:t>
      </w:r>
      <w:r w:rsidR="00F10951">
        <w:t xml:space="preserve"> risk</w:t>
      </w:r>
      <w:r w:rsidR="003B0FD3">
        <w:t xml:space="preserve"> and climate change. </w:t>
      </w:r>
    </w:p>
    <w:p w14:paraId="70B23E6C" w14:textId="3D97CE61" w:rsidR="00816EC6" w:rsidRDefault="00382EE8" w:rsidP="00CC7A58">
      <w:r>
        <w:rPr>
          <w:rFonts w:ascii="ZWAdobeF" w:hAnsi="ZWAdobeF" w:cs="ZWAdobeF"/>
          <w:sz w:val="2"/>
          <w:szCs w:val="2"/>
        </w:rPr>
        <w:t>576B</w:t>
      </w:r>
      <w:r w:rsidR="003B0FD3">
        <w:t xml:space="preserve">These impacts have not always received the same public attention as the impacts experienced in the Snowy River, </w:t>
      </w:r>
      <w:r w:rsidR="188B90D5">
        <w:t xml:space="preserve">although the </w:t>
      </w:r>
      <w:r w:rsidR="23091FC9">
        <w:t>degradation</w:t>
      </w:r>
      <w:r w:rsidR="188B90D5">
        <w:t xml:space="preserve"> is more profound</w:t>
      </w:r>
      <w:r w:rsidR="003B0FD3">
        <w:t>. They are the product of cumulative decisions made over many decades, and they now require a contemporary response grounded in evidence, accountability and adaptive water management.</w:t>
      </w:r>
    </w:p>
    <w:p w14:paraId="3AC32431" w14:textId="132CED49" w:rsidR="004C34E8" w:rsidRDefault="00382EE8" w:rsidP="00CC7A58">
      <w:r>
        <w:rPr>
          <w:rFonts w:ascii="ZWAdobeF" w:hAnsi="ZWAdobeF" w:cs="ZWAdobeF"/>
          <w:sz w:val="2"/>
          <w:szCs w:val="2"/>
        </w:rPr>
        <w:t>577B</w:t>
      </w:r>
      <w:r w:rsidR="004C34E8">
        <w:t xml:space="preserve">Improving the health of the Upper Murrumbidgee River is not straightforward. It cannot be achieved through a single intervention, nor by reference to environmental flows alone. The river’s condition is shaped by a complex interaction of hydrology, infrastructure, catchment and river ecology, governance, climate, catchment processes and competing water and energy demands.  </w:t>
      </w:r>
    </w:p>
    <w:p w14:paraId="7F78AE2C" w14:textId="7156349A" w:rsidR="004C34E8" w:rsidRDefault="00382EE8" w:rsidP="00CC7A58">
      <w:r>
        <w:rPr>
          <w:rFonts w:ascii="ZWAdobeF" w:hAnsi="ZWAdobeF" w:cs="ZWAdobeF"/>
          <w:sz w:val="2"/>
          <w:szCs w:val="2"/>
        </w:rPr>
        <w:t>578B</w:t>
      </w:r>
      <w:r w:rsidR="004C34E8">
        <w:t xml:space="preserve">Any contemporary review of the Deed must therefore consider not only the adequacy of existing arrangements, but also how prospective changes would interact with downstream users, the operational role of Snowy Hydro Limited </w:t>
      </w:r>
      <w:r w:rsidR="00E270B3">
        <w:t>(Snowy Hydro) i</w:t>
      </w:r>
      <w:r w:rsidR="004C34E8">
        <w:t>n the National Electricity Market</w:t>
      </w:r>
      <w:r w:rsidR="00E270B3">
        <w:t xml:space="preserve"> (NEM)</w:t>
      </w:r>
      <w:r w:rsidR="004C34E8">
        <w:t xml:space="preserve">, intergovernmental responsibilities, local communities, First Nations’ interests, and the wider implementation settings on which enduring river health depends. </w:t>
      </w:r>
    </w:p>
    <w:p w14:paraId="075BE1DC" w14:textId="37F450B1" w:rsidR="0074672F" w:rsidRDefault="00B10D54" w:rsidP="00CC7A58">
      <w:pPr>
        <w:pStyle w:val="ReviewHeading2"/>
      </w:pPr>
      <w:bookmarkStart w:id="22" w:name="_Toc233285583"/>
      <w:bookmarkStart w:id="23" w:name="_Toc233801462"/>
      <w:r>
        <w:t>1</w:t>
      </w:r>
      <w:r w:rsidR="0030673C">
        <w:t xml:space="preserve">.2 </w:t>
      </w:r>
      <w:r w:rsidR="0074672F">
        <w:t>Energy context: the National Electricity Market and Snowy Hydro</w:t>
      </w:r>
      <w:r w:rsidR="2A30317A">
        <w:t xml:space="preserve"> L</w:t>
      </w:r>
      <w:r w:rsidR="565DA0DA">
        <w:t>imited</w:t>
      </w:r>
      <w:bookmarkEnd w:id="22"/>
      <w:bookmarkEnd w:id="23"/>
    </w:p>
    <w:p w14:paraId="22561A45" w14:textId="029C965A" w:rsidR="00086793" w:rsidRDefault="00382EE8" w:rsidP="00CC7A58">
      <w:r>
        <w:rPr>
          <w:rFonts w:ascii="ZWAdobeF" w:hAnsi="ZWAdobeF" w:cs="ZWAdobeF"/>
          <w:sz w:val="2"/>
          <w:szCs w:val="2"/>
        </w:rPr>
        <w:t>579B</w:t>
      </w:r>
      <w:r w:rsidR="00086793">
        <w:t>Snowy Hydro is a</w:t>
      </w:r>
      <w:r w:rsidR="688847F9">
        <w:t>n important</w:t>
      </w:r>
      <w:r w:rsidR="00086793">
        <w:t xml:space="preserve"> participant in the NEM. The NEM provides electricity to eastern and south-eastern Australia including the interconnected regions of Queensland, </w:t>
      </w:r>
      <w:r w:rsidR="002C67CC">
        <w:t>NSW</w:t>
      </w:r>
      <w:r w:rsidR="00086793">
        <w:t xml:space="preserve">, the </w:t>
      </w:r>
      <w:r w:rsidR="002C67CC">
        <w:t>ACT</w:t>
      </w:r>
      <w:r w:rsidR="00086793">
        <w:t>, Victoria, South Australia and Tasmania. It supplies around 80% of Australia’s electricity or around 200,000 gigawatt-hours (GWh) per annum to approximately 10 million customers.</w:t>
      </w:r>
      <w:r>
        <w:rPr>
          <w:rFonts w:ascii="ZWAdobeF" w:hAnsi="ZWAdobeF" w:cs="ZWAdobeF"/>
          <w:sz w:val="2"/>
          <w:szCs w:val="2"/>
        </w:rPr>
        <w:t>0F</w:t>
      </w:r>
      <w:r w:rsidR="008E1F20">
        <w:rPr>
          <w:rStyle w:val="FootnoteReference"/>
        </w:rPr>
        <w:footnoteReference w:id="1"/>
      </w:r>
      <w:r w:rsidR="00086793">
        <w:t xml:space="preserve"> </w:t>
      </w:r>
    </w:p>
    <w:p w14:paraId="4A9214A0" w14:textId="4C40BD62" w:rsidR="00086793" w:rsidRDefault="00382EE8" w:rsidP="00CC7A58">
      <w:r>
        <w:rPr>
          <w:rFonts w:ascii="ZWAdobeF" w:hAnsi="ZWAdobeF" w:cs="ZWAdobeF"/>
          <w:sz w:val="2"/>
          <w:szCs w:val="2"/>
        </w:rPr>
        <w:t>580B</w:t>
      </w:r>
      <w:r w:rsidR="00086793">
        <w:t xml:space="preserve">The electricity is supplied competitively through a 5-minute spot market managed by the Australian Energy Market Operator (AEMO). There are currently around 340 registered providers of generation </w:t>
      </w:r>
      <w:r w:rsidR="00086793">
        <w:lastRenderedPageBreak/>
        <w:t xml:space="preserve">and storage in the NEM with a total capacity of 68,000 megawatts (MW) of various types </w:t>
      </w:r>
      <w:r w:rsidR="00086793" w:rsidRPr="00ED6068">
        <w:t xml:space="preserve">(see </w:t>
      </w:r>
      <w:r w:rsidR="00ED6068" w:rsidRPr="00ED6068">
        <w:t>Table 1</w:t>
      </w:r>
      <w:r w:rsidR="00ED6068">
        <w:t xml:space="preserve"> below</w:t>
      </w:r>
      <w:r w:rsidR="00086793" w:rsidRPr="00ED6068">
        <w:t>).</w:t>
      </w:r>
      <w:r>
        <w:rPr>
          <w:rFonts w:ascii="ZWAdobeF" w:hAnsi="ZWAdobeF" w:cs="ZWAdobeF"/>
          <w:sz w:val="2"/>
          <w:szCs w:val="2"/>
        </w:rPr>
        <w:t>1F</w:t>
      </w:r>
      <w:r w:rsidR="008E1F20" w:rsidRPr="00ED6068">
        <w:rPr>
          <w:rStyle w:val="FootnoteReference"/>
        </w:rPr>
        <w:footnoteReference w:id="2"/>
      </w:r>
      <w:r w:rsidR="00086793">
        <w:t xml:space="preserve">  </w:t>
      </w:r>
    </w:p>
    <w:p w14:paraId="4B29B9BF" w14:textId="5AB4AFD4" w:rsidR="002E3104" w:rsidRPr="006618B6" w:rsidRDefault="00382EE8" w:rsidP="00F246A4">
      <w:pPr>
        <w:pStyle w:val="Caption"/>
        <w:keepNext/>
        <w:jc w:val="both"/>
        <w:rPr>
          <w:b/>
          <w:bCs/>
          <w:color w:val="auto"/>
          <w:sz w:val="20"/>
          <w:szCs w:val="20"/>
        </w:rPr>
      </w:pPr>
      <w:r>
        <w:rPr>
          <w:rFonts w:ascii="ZWAdobeF" w:hAnsi="ZWAdobeF" w:cs="ZWAdobeF"/>
          <w:bCs/>
          <w:i w:val="0"/>
          <w:color w:val="auto"/>
          <w:sz w:val="2"/>
          <w:szCs w:val="2"/>
        </w:rPr>
        <w:t>1B</w:t>
      </w:r>
      <w:r w:rsidR="002E3104" w:rsidRPr="006618B6">
        <w:rPr>
          <w:b/>
          <w:bCs/>
          <w:color w:val="auto"/>
          <w:sz w:val="20"/>
          <w:szCs w:val="20"/>
        </w:rPr>
        <w:t xml:space="preserve">Table </w:t>
      </w:r>
      <w:r w:rsidR="002E3104" w:rsidRPr="006618B6">
        <w:rPr>
          <w:b/>
          <w:bCs/>
          <w:color w:val="auto"/>
          <w:sz w:val="20"/>
          <w:szCs w:val="20"/>
        </w:rPr>
        <w:fldChar w:fldCharType="begin"/>
      </w:r>
      <w:r w:rsidR="002E3104" w:rsidRPr="006618B6">
        <w:rPr>
          <w:b/>
          <w:bCs/>
          <w:color w:val="auto"/>
          <w:sz w:val="20"/>
          <w:szCs w:val="20"/>
        </w:rPr>
        <w:instrText xml:space="preserve"> SEQ Table \* ARABIC </w:instrText>
      </w:r>
      <w:r w:rsidR="002E3104" w:rsidRPr="006618B6">
        <w:rPr>
          <w:b/>
          <w:bCs/>
          <w:color w:val="auto"/>
          <w:sz w:val="20"/>
          <w:szCs w:val="20"/>
        </w:rPr>
        <w:fldChar w:fldCharType="separate"/>
      </w:r>
      <w:r w:rsidR="0005178F">
        <w:rPr>
          <w:b/>
          <w:bCs/>
          <w:noProof/>
          <w:color w:val="auto"/>
          <w:sz w:val="20"/>
          <w:szCs w:val="20"/>
        </w:rPr>
        <w:t>1</w:t>
      </w:r>
      <w:r w:rsidR="002E3104" w:rsidRPr="006618B6">
        <w:rPr>
          <w:b/>
          <w:bCs/>
          <w:color w:val="auto"/>
          <w:sz w:val="20"/>
          <w:szCs w:val="20"/>
        </w:rPr>
        <w:fldChar w:fldCharType="end"/>
      </w:r>
      <w:r w:rsidR="002E3104" w:rsidRPr="006618B6">
        <w:rPr>
          <w:b/>
          <w:bCs/>
          <w:color w:val="auto"/>
          <w:sz w:val="20"/>
          <w:szCs w:val="20"/>
        </w:rPr>
        <w:t>: Utility Scale Supply Plan in the National Electricity Market (NEM), April 2026</w:t>
      </w:r>
    </w:p>
    <w:p w14:paraId="612E1916" w14:textId="28E7ABC0" w:rsidR="00086793" w:rsidRDefault="00382EE8" w:rsidP="0079183D">
      <w:pPr>
        <w:jc w:val="center"/>
      </w:pPr>
      <w:r>
        <w:rPr>
          <w:rFonts w:ascii="ZWAdobeF" w:hAnsi="ZWAdobeF" w:cs="ZWAdobeF"/>
          <w:sz w:val="2"/>
          <w:szCs w:val="2"/>
        </w:rPr>
        <w:t>581B</w:t>
      </w:r>
      <w:r w:rsidR="00356ED1" w:rsidRPr="004D4D79">
        <w:rPr>
          <w:noProof/>
        </w:rPr>
        <w:drawing>
          <wp:inline distT="0" distB="0" distL="0" distR="0" wp14:anchorId="366C1C48" wp14:editId="43C61B3E">
            <wp:extent cx="5510530" cy="3172460"/>
            <wp:effectExtent l="0" t="0" r="0" b="8890"/>
            <wp:docPr id="1589298246" name="Picture 9" descr="P4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98246" name="Picture 9" descr="P41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0530" cy="3172460"/>
                    </a:xfrm>
                    <a:prstGeom prst="rect">
                      <a:avLst/>
                    </a:prstGeom>
                    <a:noFill/>
                    <a:ln>
                      <a:noFill/>
                    </a:ln>
                  </pic:spPr>
                </pic:pic>
              </a:graphicData>
            </a:graphic>
          </wp:inline>
        </w:drawing>
      </w:r>
    </w:p>
    <w:p w14:paraId="44DA5E77" w14:textId="6AAE2567" w:rsidR="00086793" w:rsidRDefault="00382EE8" w:rsidP="00A065D3">
      <w:pPr>
        <w:keepNext/>
        <w:rPr>
          <w:sz w:val="18"/>
          <w:szCs w:val="18"/>
        </w:rPr>
      </w:pPr>
      <w:r>
        <w:rPr>
          <w:rFonts w:ascii="ZWAdobeF" w:hAnsi="ZWAdobeF" w:cs="ZWAdobeF"/>
          <w:sz w:val="2"/>
          <w:szCs w:val="2"/>
        </w:rPr>
        <w:t>582B</w:t>
      </w:r>
      <w:r w:rsidR="00086793">
        <w:t>The NEM is in transition from a system primarily based on coal fired generation to one based on renewable generation firmed by storage</w:t>
      </w:r>
      <w:r w:rsidR="6E488EC3">
        <w:t xml:space="preserve"> </w:t>
      </w:r>
      <w:r w:rsidR="00086793">
        <w:t>and gas fired generation. Over 7,000 MW of ageing coal and gas-fired plant ha</w:t>
      </w:r>
      <w:r w:rsidR="00582612">
        <w:t>ve</w:t>
      </w:r>
      <w:r w:rsidR="00086793">
        <w:t xml:space="preserve"> announced they are withdrawing from the market while 12,700 MW of plant is currently committed to construction.</w:t>
      </w:r>
      <w:r>
        <w:rPr>
          <w:rFonts w:ascii="ZWAdobeF" w:hAnsi="ZWAdobeF" w:cs="ZWAdobeF"/>
          <w:sz w:val="2"/>
          <w:szCs w:val="2"/>
        </w:rPr>
        <w:t>2F</w:t>
      </w:r>
      <w:r w:rsidR="008E1F20">
        <w:rPr>
          <w:rStyle w:val="FootnoteReference"/>
        </w:rPr>
        <w:footnoteReference w:id="3"/>
      </w:r>
      <w:r w:rsidR="00086793">
        <w:t xml:space="preserve"> Just over half of the </w:t>
      </w:r>
      <w:r w:rsidR="133D5B62">
        <w:t xml:space="preserve">new entrant </w:t>
      </w:r>
      <w:r w:rsidR="00086793">
        <w:t xml:space="preserve">plant </w:t>
      </w:r>
      <w:r w:rsidR="35B698BE">
        <w:t xml:space="preserve">committed to construction </w:t>
      </w:r>
      <w:r w:rsidR="00086793">
        <w:t>is battery storage.  Further plant is in various stages of consideration as the Australian Government targets 82% renewables by 2030 and net zero</w:t>
      </w:r>
      <w:r w:rsidR="00B55799">
        <w:t xml:space="preserve"> greenhouse gas emissions</w:t>
      </w:r>
      <w:r w:rsidR="00A8527C">
        <w:t xml:space="preserve"> </w:t>
      </w:r>
      <w:r w:rsidR="00086793">
        <w:t xml:space="preserve">by 2050. </w:t>
      </w:r>
    </w:p>
    <w:p w14:paraId="6D817444" w14:textId="62B1F8F5" w:rsidR="00086793" w:rsidRDefault="00382EE8" w:rsidP="00105A4D">
      <w:r>
        <w:rPr>
          <w:rFonts w:ascii="ZWAdobeF" w:hAnsi="ZWAdobeF" w:cs="ZWAdobeF"/>
          <w:sz w:val="2"/>
          <w:szCs w:val="2"/>
        </w:rPr>
        <w:t>583B</w:t>
      </w:r>
      <w:r w:rsidR="00086793">
        <w:t>Snowy Hydro plays an important role in the NEM because of its ability to dispatch</w:t>
      </w:r>
      <w:r w:rsidR="5FFEC413">
        <w:t xml:space="preserve"> electricity </w:t>
      </w:r>
      <w:r w:rsidR="00086793">
        <w:t>when needed and to ramp its generation up and down quickly. Snowy Hydro currently has 4,114 MW of hydrogeneration registered in the NEM which is supplemented by 1,909 MW of registered gas and liquid fuelled plants across the NEM.</w:t>
      </w:r>
      <w:r>
        <w:rPr>
          <w:rFonts w:ascii="ZWAdobeF" w:hAnsi="ZWAdobeF" w:cs="ZWAdobeF"/>
          <w:sz w:val="2"/>
          <w:szCs w:val="2"/>
        </w:rPr>
        <w:t>3F</w:t>
      </w:r>
      <w:r w:rsidR="008E1F20">
        <w:rPr>
          <w:rStyle w:val="FootnoteReference"/>
        </w:rPr>
        <w:footnoteReference w:id="4"/>
      </w:r>
      <w:r w:rsidR="00086793">
        <w:t xml:space="preserve"> Snowy 2.0 is under construction and will add 2,200 MW of generation and around 2,000 MW of pump capacity.</w:t>
      </w:r>
      <w:r>
        <w:rPr>
          <w:rFonts w:ascii="ZWAdobeF" w:hAnsi="ZWAdobeF" w:cs="ZWAdobeF"/>
          <w:sz w:val="2"/>
          <w:szCs w:val="2"/>
        </w:rPr>
        <w:t>4F</w:t>
      </w:r>
      <w:r w:rsidR="00A33DB3">
        <w:rPr>
          <w:rStyle w:val="FootnoteReference"/>
        </w:rPr>
        <w:footnoteReference w:id="5"/>
      </w:r>
      <w:r w:rsidR="00086793">
        <w:t xml:space="preserve"> In recent years, Snowy Hydro’s plant has generated around 4,500 GWh per annum.</w:t>
      </w:r>
      <w:r>
        <w:rPr>
          <w:rFonts w:ascii="ZWAdobeF" w:hAnsi="ZWAdobeF" w:cs="ZWAdobeF"/>
          <w:sz w:val="2"/>
          <w:szCs w:val="2"/>
        </w:rPr>
        <w:t>5F</w:t>
      </w:r>
      <w:r w:rsidR="00A33DB3">
        <w:rPr>
          <w:rStyle w:val="FootnoteReference"/>
        </w:rPr>
        <w:footnoteReference w:id="6"/>
      </w:r>
      <w:r w:rsidR="00086793">
        <w:t xml:space="preserve"> </w:t>
      </w:r>
    </w:p>
    <w:p w14:paraId="42890734" w14:textId="316FBE78" w:rsidR="00086793" w:rsidRDefault="00382EE8">
      <w:r>
        <w:rPr>
          <w:rFonts w:ascii="ZWAdobeF" w:hAnsi="ZWAdobeF" w:cs="ZWAdobeF"/>
          <w:sz w:val="2"/>
          <w:szCs w:val="2"/>
        </w:rPr>
        <w:t>584B</w:t>
      </w:r>
      <w:r w:rsidR="00086793">
        <w:t>As the NEM continues its transition, the existing Snowy Hydro generation, supplemented by Snowy</w:t>
      </w:r>
      <w:r w:rsidR="00086793" w:rsidRPr="53E47205">
        <w:rPr>
          <w:rFonts w:ascii="Arial" w:hAnsi="Arial" w:cs="Arial"/>
        </w:rPr>
        <w:t> </w:t>
      </w:r>
      <w:r w:rsidR="00086793">
        <w:t xml:space="preserve">2.0 will play an even more important role in the NEM. </w:t>
      </w:r>
      <w:r w:rsidR="173C2C60">
        <w:t xml:space="preserve">Snowy Hydro also pays an annual dividend to the Australian Government.  </w:t>
      </w:r>
    </w:p>
    <w:p w14:paraId="379FC52B" w14:textId="52C6D895" w:rsidR="0074672F" w:rsidRDefault="00382EE8" w:rsidP="00105A4D">
      <w:r>
        <w:rPr>
          <w:rFonts w:ascii="ZWAdobeF" w:hAnsi="ZWAdobeF" w:cs="ZWAdobeF"/>
          <w:sz w:val="2"/>
          <w:szCs w:val="2"/>
        </w:rPr>
        <w:lastRenderedPageBreak/>
        <w:t>585B</w:t>
      </w:r>
      <w:r w:rsidR="00086793">
        <w:t>The Review considered energy impacts of environmental watering regimes at two distinct but related levels:</w:t>
      </w:r>
    </w:p>
    <w:p w14:paraId="0456008E" w14:textId="485728D9" w:rsidR="00356ED1" w:rsidRPr="00356ED1" w:rsidRDefault="00382EE8" w:rsidP="002852C7">
      <w:pPr>
        <w:numPr>
          <w:ilvl w:val="0"/>
          <w:numId w:val="2"/>
        </w:numPr>
      </w:pPr>
      <w:r>
        <w:rPr>
          <w:rFonts w:ascii="ZWAdobeF" w:hAnsi="ZWAdobeF" w:cs="ZWAdobeF"/>
          <w:sz w:val="2"/>
          <w:szCs w:val="2"/>
        </w:rPr>
        <w:t>586B</w:t>
      </w:r>
      <w:r w:rsidR="00356ED1" w:rsidRPr="00356ED1">
        <w:t>impacts on the NEM as a whole; and </w:t>
      </w:r>
    </w:p>
    <w:p w14:paraId="72600267" w14:textId="74CF1B4C" w:rsidR="00356ED1" w:rsidRPr="00356ED1" w:rsidRDefault="00382EE8" w:rsidP="002852C7">
      <w:pPr>
        <w:numPr>
          <w:ilvl w:val="0"/>
          <w:numId w:val="3"/>
        </w:numPr>
      </w:pPr>
      <w:r>
        <w:rPr>
          <w:rFonts w:ascii="ZWAdobeF" w:hAnsi="ZWAdobeF" w:cs="ZWAdobeF"/>
          <w:sz w:val="2"/>
          <w:szCs w:val="2"/>
        </w:rPr>
        <w:t>587B</w:t>
      </w:r>
      <w:r w:rsidR="00356ED1">
        <w:t>impacts on Snowy Hydro as the operator of the</w:t>
      </w:r>
      <w:r w:rsidR="3D32CA99">
        <w:t xml:space="preserve"> </w:t>
      </w:r>
      <w:r w:rsidR="00356ED1">
        <w:t>Hydro</w:t>
      </w:r>
      <w:r w:rsidR="681CE8EC">
        <w:t xml:space="preserve"> </w:t>
      </w:r>
      <w:r w:rsidR="00356ED1">
        <w:t>Scheme</w:t>
      </w:r>
      <w:r w:rsidR="005265FD">
        <w:t xml:space="preserve"> </w:t>
      </w:r>
      <w:r w:rsidR="00356ED1">
        <w:t>and, in the future, the pumped hydro facility</w:t>
      </w:r>
      <w:r w:rsidR="4574CA58">
        <w:t xml:space="preserve"> (Snowy 2.0)</w:t>
      </w:r>
      <w:r w:rsidR="00356ED1">
        <w:t> </w:t>
      </w:r>
    </w:p>
    <w:p w14:paraId="21EC109E" w14:textId="1832ED87" w:rsidR="0D74B59D" w:rsidRDefault="00382EE8">
      <w:r>
        <w:rPr>
          <w:rFonts w:ascii="ZWAdobeF" w:hAnsi="ZWAdobeF" w:cs="ZWAdobeF"/>
          <w:sz w:val="2"/>
          <w:szCs w:val="2"/>
        </w:rPr>
        <w:t>588B</w:t>
      </w:r>
      <w:r w:rsidR="63C24FB0">
        <w:t xml:space="preserve">Consistent with the </w:t>
      </w:r>
      <w:hyperlink r:id="rId26">
        <w:r w:rsidR="63C24FB0" w:rsidRPr="593432D6">
          <w:rPr>
            <w:rStyle w:val="Hyperlink"/>
          </w:rPr>
          <w:t>Review Framework’s</w:t>
        </w:r>
      </w:hyperlink>
      <w:r w:rsidR="63C24FB0">
        <w:t xml:space="preserve"> structured, evidence-based approach, a cost–benefit analysis (CBA) was undertaken to support transparent comparison of reform options and their system-wide impacts. </w:t>
      </w:r>
      <w:r w:rsidR="7274B1EC">
        <w:t xml:space="preserve"> The CBA supports informed decision-making by quantifying</w:t>
      </w:r>
      <w:r w:rsidR="63C24FB0">
        <w:t xml:space="preserve"> trade-offs between environmental outcomes, energy system performance and broader economic and social effects, </w:t>
      </w:r>
      <w:r w:rsidR="7274B1EC">
        <w:t>and by identifying options that deliver</w:t>
      </w:r>
      <w:r w:rsidR="63C24FB0">
        <w:t xml:space="preserve"> the </w:t>
      </w:r>
      <w:r w:rsidR="7274B1EC">
        <w:t>greatest net benefit across these objectives.</w:t>
      </w:r>
    </w:p>
    <w:p w14:paraId="27810646" w14:textId="6A59F5AD" w:rsidR="00201602" w:rsidRDefault="00382EE8" w:rsidP="00105A4D">
      <w:r>
        <w:rPr>
          <w:rFonts w:ascii="ZWAdobeF" w:hAnsi="ZWAdobeF" w:cs="ZWAdobeF"/>
          <w:sz w:val="2"/>
          <w:szCs w:val="2"/>
        </w:rPr>
        <w:t>589B</w:t>
      </w:r>
      <w:r w:rsidR="00201602">
        <w:t>The C</w:t>
      </w:r>
      <w:r w:rsidR="00F2D5B6">
        <w:t>BA</w:t>
      </w:r>
      <w:r w:rsidR="00201602">
        <w:t xml:space="preserve"> is based on the impacts of the different levels and timing of environmental flows on the NEM and the customers it supplies. This reflects the potential impact on society and the economy given the scale of the NEM and the importance of electricity. At the NEM level, consideration of changes to environmental flow arrangements will reduce the energy Snowy Hydro can provide to the NEM over a year.  </w:t>
      </w:r>
    </w:p>
    <w:p w14:paraId="240A555C" w14:textId="25813EFB" w:rsidR="00201602" w:rsidRDefault="00382EE8" w:rsidP="00105A4D">
      <w:r>
        <w:rPr>
          <w:rFonts w:ascii="ZWAdobeF" w:hAnsi="ZWAdobeF" w:cs="ZWAdobeF"/>
          <w:sz w:val="2"/>
          <w:szCs w:val="2"/>
        </w:rPr>
        <w:t>590B</w:t>
      </w:r>
      <w:r w:rsidR="00201602">
        <w:t xml:space="preserve">However, because of the storage within the scheme, Snowy Hydro has flexibility to choose when it generates and when it pumps although that flexibility is limited by the operational capability of the scheme and a range of constraints on its operation.  </w:t>
      </w:r>
    </w:p>
    <w:p w14:paraId="3D025079" w14:textId="6CFC48C9" w:rsidR="00201602" w:rsidRDefault="00382EE8" w:rsidP="00105A4D">
      <w:r>
        <w:rPr>
          <w:rFonts w:ascii="ZWAdobeF" w:hAnsi="ZWAdobeF" w:cs="ZWAdobeF"/>
          <w:sz w:val="2"/>
          <w:szCs w:val="2"/>
        </w:rPr>
        <w:t>591B</w:t>
      </w:r>
      <w:r w:rsidR="00201602">
        <w:t xml:space="preserve">As part of the Review, different environmental flow regimes have been </w:t>
      </w:r>
      <w:r w:rsidR="00DF2E6C">
        <w:t xml:space="preserve">applied </w:t>
      </w:r>
      <w:r w:rsidR="7B94BD42">
        <w:t xml:space="preserve">to meet the differing </w:t>
      </w:r>
      <w:r w:rsidR="2BF5A5C9">
        <w:t>environmental</w:t>
      </w:r>
      <w:r w:rsidR="7B94BD42">
        <w:t xml:space="preserve"> water requirements of </w:t>
      </w:r>
      <w:r w:rsidR="67625D9B">
        <w:t>key</w:t>
      </w:r>
      <w:r w:rsidR="00B26975">
        <w:t xml:space="preserve"> indicator species</w:t>
      </w:r>
      <w:r w:rsidR="7B94BD42">
        <w:t xml:space="preserve"> and ecosystems</w:t>
      </w:r>
      <w:r w:rsidR="14354B12">
        <w:t>.</w:t>
      </w:r>
      <w:r w:rsidR="13EF27CE">
        <w:t xml:space="preserve"> </w:t>
      </w:r>
      <w:r w:rsidR="748FF0BF">
        <w:t>T</w:t>
      </w:r>
      <w:r w:rsidR="5F1F9130">
        <w:t>heir</w:t>
      </w:r>
      <w:r w:rsidR="00201602">
        <w:t xml:space="preserve"> impact on the NEM </w:t>
      </w:r>
      <w:r w:rsidR="6717982C">
        <w:t xml:space="preserve">was </w:t>
      </w:r>
      <w:r w:rsidR="00201602">
        <w:t xml:space="preserve">analysed taking into account the capabilities and limitations of Snowy Hydro’s plant, noting its importance to the reliability of the NEM and Australia’s ongoing transition to a more diversified and renewable energy mix. </w:t>
      </w:r>
    </w:p>
    <w:p w14:paraId="5A478603" w14:textId="465604A0" w:rsidR="00201602" w:rsidRDefault="00382EE8" w:rsidP="00105A4D">
      <w:r>
        <w:rPr>
          <w:rFonts w:ascii="ZWAdobeF" w:hAnsi="ZWAdobeF" w:cs="ZWAdobeF"/>
          <w:sz w:val="2"/>
          <w:szCs w:val="2"/>
        </w:rPr>
        <w:t>592B</w:t>
      </w:r>
      <w:r w:rsidR="00201602">
        <w:t>At the level of Snowy Hydro’s operations, changes to flow timing, flexibility or volumes may have implications for operational optimisation, opportunity costs and commercial risk. These impacts are an important consideration for governments, given Snowy Hydro’s dual role as a commercial entity</w:t>
      </w:r>
      <w:r w:rsidR="13610A08">
        <w:t>, government business enterprise</w:t>
      </w:r>
      <w:r w:rsidR="00201602">
        <w:t xml:space="preserve"> and a key part of Australia’s energy and water infrastructure. </w:t>
      </w:r>
    </w:p>
    <w:p w14:paraId="16430185" w14:textId="2CFB78CC" w:rsidR="00201602" w:rsidRDefault="00382EE8" w:rsidP="00105A4D">
      <w:r>
        <w:rPr>
          <w:rFonts w:ascii="ZWAdobeF" w:hAnsi="ZWAdobeF" w:cs="ZWAdobeF"/>
          <w:sz w:val="2"/>
          <w:szCs w:val="2"/>
        </w:rPr>
        <w:t>593B</w:t>
      </w:r>
      <w:r w:rsidR="00201602">
        <w:t>The Review has therefore treated NEM</w:t>
      </w:r>
      <w:r w:rsidR="00201602">
        <w:rPr>
          <w:rFonts w:ascii="Cambria Math" w:hAnsi="Cambria Math" w:cs="Cambria Math"/>
        </w:rPr>
        <w:t>‑</w:t>
      </w:r>
      <w:r w:rsidR="00201602">
        <w:t>level impacts and Snowy Hydro business impacts as analytically distinct, while recognising their interrelationship. A reduction in the water available to Snowy Hydro</w:t>
      </w:r>
      <w:r w:rsidR="00201602">
        <w:rPr>
          <w:rFonts w:ascii="Aptos" w:hAnsi="Aptos" w:cs="Aptos"/>
        </w:rPr>
        <w:t>’</w:t>
      </w:r>
      <w:r w:rsidR="00201602">
        <w:t xml:space="preserve">s generation may also lead to reductions in the revenue Snowy Hydro provides to the </w:t>
      </w:r>
      <w:r w:rsidR="009E26B8">
        <w:t>Australian</w:t>
      </w:r>
      <w:r w:rsidR="00201602">
        <w:t xml:space="preserve"> Government.  </w:t>
      </w:r>
    </w:p>
    <w:p w14:paraId="7EDA2833" w14:textId="0241AFA2" w:rsidR="00201602" w:rsidRDefault="00382EE8" w:rsidP="00105A4D">
      <w:r>
        <w:rPr>
          <w:rFonts w:ascii="ZWAdobeF" w:hAnsi="ZWAdobeF" w:cs="ZWAdobeF"/>
          <w:sz w:val="2"/>
          <w:szCs w:val="2"/>
        </w:rPr>
        <w:t>594B</w:t>
      </w:r>
      <w:r w:rsidR="49FFD49D">
        <w:t xml:space="preserve">Importantly, the </w:t>
      </w:r>
      <w:r w:rsidR="00201602">
        <w:t xml:space="preserve">Panel has placed strong emphasis on minimising the adverse effects of increased environmental flows on Snowy Hydro’s power generation operations and on Australia’s transition to net zero, and its recommendations reflect that aim.   </w:t>
      </w:r>
    </w:p>
    <w:p w14:paraId="029B3611" w14:textId="60A8BFFE" w:rsidR="00201602" w:rsidRDefault="00382EE8" w:rsidP="00105A4D">
      <w:r>
        <w:rPr>
          <w:rFonts w:ascii="ZWAdobeF" w:hAnsi="ZWAdobeF" w:cs="ZWAdobeF"/>
          <w:sz w:val="2"/>
          <w:szCs w:val="2"/>
        </w:rPr>
        <w:t>595B</w:t>
      </w:r>
      <w:r w:rsidR="00201602">
        <w:t>The NEM spot market provides a dynamic 5-minute price for each region of the NEM which reflects the supply-demand balance in real time</w:t>
      </w:r>
      <w:r w:rsidR="00D66422">
        <w:t xml:space="preserve">, </w:t>
      </w:r>
      <w:r w:rsidR="004C3087">
        <w:t>i</w:t>
      </w:r>
      <w:r w:rsidR="001965DB">
        <w:t>nfluenced</w:t>
      </w:r>
      <w:r w:rsidR="002B7789">
        <w:t xml:space="preserve"> by renewable energy generation peaks and seasonal demand</w:t>
      </w:r>
      <w:r w:rsidR="00201602">
        <w:t xml:space="preserve">. To allow firming and peaking plants to recover their costs over a year, the NEM </w:t>
      </w:r>
      <w:r w:rsidR="00201602">
        <w:lastRenderedPageBreak/>
        <w:t xml:space="preserve">operates over a wide range of prices </w:t>
      </w:r>
      <w:r w:rsidR="00201602" w:rsidRPr="004C3087">
        <w:t xml:space="preserve">from </w:t>
      </w:r>
      <w:r w:rsidR="009B0AAF" w:rsidRPr="004C3087">
        <w:t>-</w:t>
      </w:r>
      <w:r w:rsidR="00201602" w:rsidRPr="004C3087">
        <w:t>$1,000 /</w:t>
      </w:r>
      <w:r w:rsidR="00201602">
        <w:t>MWh to $20,300 /MWh.</w:t>
      </w:r>
      <w:r>
        <w:rPr>
          <w:rFonts w:ascii="ZWAdobeF" w:hAnsi="ZWAdobeF" w:cs="ZWAdobeF"/>
          <w:sz w:val="2"/>
          <w:szCs w:val="2"/>
        </w:rPr>
        <w:t>6F</w:t>
      </w:r>
      <w:r w:rsidR="001E18D5">
        <w:rPr>
          <w:rStyle w:val="FootnoteReference"/>
        </w:rPr>
        <w:footnoteReference w:id="7"/>
      </w:r>
      <w:r w:rsidR="00201602">
        <w:t xml:space="preserve"> This is important in </w:t>
      </w:r>
      <w:r w:rsidR="106A181B">
        <w:t>the</w:t>
      </w:r>
      <w:r w:rsidR="00201602">
        <w:t xml:space="preserve"> economic analysis as spot prices received by generators and storage should reasonably reflect their value to the market.   </w:t>
      </w:r>
    </w:p>
    <w:p w14:paraId="1FF03F68" w14:textId="53F29742" w:rsidR="00201602" w:rsidRDefault="00382EE8" w:rsidP="00105A4D">
      <w:r>
        <w:rPr>
          <w:rFonts w:ascii="ZWAdobeF" w:hAnsi="ZWAdobeF" w:cs="ZWAdobeF"/>
          <w:sz w:val="2"/>
          <w:szCs w:val="2"/>
        </w:rPr>
        <w:t>596B</w:t>
      </w:r>
      <w:r w:rsidR="00201602">
        <w:t>Such a volatile price is generally not preferred by customers or by generators who need some price certainty to manage their budgets. Financial derivative markets are therefore important, allowing market participants including retailers acting on behalf of customers, to contract around the spot market and fix prices in the medium</w:t>
      </w:r>
      <w:r w:rsidR="38BC7400">
        <w:t>-</w:t>
      </w:r>
      <w:r w:rsidR="00201602">
        <w:t xml:space="preserve">term.  </w:t>
      </w:r>
    </w:p>
    <w:p w14:paraId="79A933F9" w14:textId="7DD4489C" w:rsidR="00356ED1" w:rsidRDefault="00382EE8" w:rsidP="00105A4D">
      <w:r>
        <w:rPr>
          <w:rFonts w:ascii="ZWAdobeF" w:hAnsi="ZWAdobeF" w:cs="ZWAdobeF"/>
          <w:sz w:val="2"/>
          <w:szCs w:val="2"/>
        </w:rPr>
        <w:t>597B</w:t>
      </w:r>
      <w:r w:rsidR="00201602">
        <w:t>Snowy Hydro is an important participant in financial markets operating around the NEM and particularly in the provision of contracts to manage periods of very high pool prices. The Panel’s recommendations aim to minimise or eliminate any effects of increased environmental flows on Snowy Hydro’s ability to support its important role in financial markets or to firm its own retail load.</w:t>
      </w:r>
    </w:p>
    <w:p w14:paraId="292FF53B" w14:textId="183E46BB" w:rsidR="00201602" w:rsidRDefault="00DD3965" w:rsidP="00CC7A58">
      <w:pPr>
        <w:pStyle w:val="ReviewHeading2"/>
      </w:pPr>
      <w:bookmarkStart w:id="24" w:name="_Toc233285584"/>
      <w:bookmarkStart w:id="25" w:name="_Toc233801463"/>
      <w:r>
        <w:t>1</w:t>
      </w:r>
      <w:r w:rsidR="0030673C">
        <w:t xml:space="preserve">.3 </w:t>
      </w:r>
      <w:r w:rsidR="00332E53">
        <w:t>The Snowy Scheme</w:t>
      </w:r>
      <w:r w:rsidR="00864C78">
        <w:t xml:space="preserve"> - </w:t>
      </w:r>
      <w:r w:rsidR="00540753">
        <w:t>a</w:t>
      </w:r>
      <w:r w:rsidR="00201602">
        <w:t xml:space="preserve"> legacy of ambition</w:t>
      </w:r>
      <w:bookmarkEnd w:id="24"/>
      <w:bookmarkEnd w:id="25"/>
    </w:p>
    <w:p w14:paraId="7B3DD0D6" w14:textId="76AA498B" w:rsidR="00015E05" w:rsidRDefault="00382EE8" w:rsidP="00105A4D">
      <w:r>
        <w:rPr>
          <w:rFonts w:ascii="ZWAdobeF" w:hAnsi="ZWAdobeF" w:cs="ZWAdobeF"/>
          <w:sz w:val="2"/>
          <w:szCs w:val="2"/>
        </w:rPr>
        <w:t>598B</w:t>
      </w:r>
      <w:r w:rsidR="00015E05">
        <w:t>When the Snowy Scheme was conceived and constructed in the 1950s, it stood as a nation</w:t>
      </w:r>
      <w:r w:rsidR="00526003" w:rsidRPr="646B584D">
        <w:rPr>
          <w:rFonts w:ascii="Cambria Math" w:hAnsi="Cambria Math" w:cs="Cambria Math"/>
        </w:rPr>
        <w:t>-</w:t>
      </w:r>
      <w:r w:rsidR="00015E05">
        <w:t xml:space="preserve">building achievement of extraordinary scale and vision. </w:t>
      </w:r>
      <w:r w:rsidR="00C35C01">
        <w:t>B</w:t>
      </w:r>
      <w:r w:rsidR="00C35C01" w:rsidRPr="00C35C01">
        <w:t>ringing in more than 100,000 workers from over 30 countries</w:t>
      </w:r>
      <w:r w:rsidR="00864C78">
        <w:t>,</w:t>
      </w:r>
      <w:r w:rsidR="00B97E13">
        <w:t xml:space="preserve"> the Snowy Scheme reflects</w:t>
      </w:r>
      <w:r w:rsidR="00015E05">
        <w:t xml:space="preserve"> an era defined by post</w:t>
      </w:r>
      <w:r w:rsidR="00526003" w:rsidRPr="646B584D">
        <w:rPr>
          <w:rFonts w:ascii="Cambria Math" w:hAnsi="Cambria Math" w:cs="Cambria Math"/>
        </w:rPr>
        <w:t>-</w:t>
      </w:r>
      <w:r w:rsidR="00015E05">
        <w:t xml:space="preserve">war optimism, engineering ingenuity and a determination to fuel economic growth, the diversion of mountain rivers to support inland irrigation </w:t>
      </w:r>
      <w:r w:rsidR="64BE221D">
        <w:t xml:space="preserve">paid for by </w:t>
      </w:r>
      <w:r w:rsidR="00015E05">
        <w:t>generat</w:t>
      </w:r>
      <w:r w:rsidR="7B6ACA75">
        <w:t>ing</w:t>
      </w:r>
      <w:r w:rsidR="00015E05">
        <w:t xml:space="preserve"> electricity was widely celebrated.  </w:t>
      </w:r>
    </w:p>
    <w:p w14:paraId="3EE9ECC9" w14:textId="78873933" w:rsidR="00015E05" w:rsidRDefault="00382EE8" w:rsidP="00105A4D">
      <w:r>
        <w:rPr>
          <w:rFonts w:ascii="ZWAdobeF" w:hAnsi="ZWAdobeF" w:cs="ZWAdobeF"/>
          <w:sz w:val="2"/>
          <w:szCs w:val="2"/>
        </w:rPr>
        <w:t>599B</w:t>
      </w:r>
      <w:r w:rsidR="00015E05">
        <w:t>Water was viewed as something to be captured, redirected and put to work</w:t>
      </w:r>
      <w:r w:rsidR="00864C78">
        <w:t xml:space="preserve"> - </w:t>
      </w:r>
      <w:r w:rsidR="215FA918">
        <w:t xml:space="preserve">rivers </w:t>
      </w:r>
      <w:r w:rsidR="00015E05">
        <w:t xml:space="preserve">were valued primarily for what they could deliver to farms, cities and industry. </w:t>
      </w:r>
    </w:p>
    <w:p w14:paraId="06BF9643" w14:textId="5FA5D91E" w:rsidR="00015E05" w:rsidRDefault="00382EE8" w:rsidP="00105A4D">
      <w:r>
        <w:rPr>
          <w:rFonts w:ascii="ZWAdobeF" w:hAnsi="ZWAdobeF" w:cs="ZWAdobeF"/>
          <w:sz w:val="2"/>
          <w:szCs w:val="2"/>
        </w:rPr>
        <w:t>600B</w:t>
      </w:r>
      <w:r w:rsidR="00015E05">
        <w:t>While large-scale water and hydro-electric developments were distinguished in the mid</w:t>
      </w:r>
      <w:r w:rsidR="00015E05">
        <w:rPr>
          <w:rFonts w:ascii="Cambria Math" w:hAnsi="Cambria Math" w:cs="Cambria Math"/>
        </w:rPr>
        <w:t>‑</w:t>
      </w:r>
      <w:r w:rsidR="00015E05">
        <w:t xml:space="preserve">20th century as symbols of national progress and modernity, this vision was not uncontested. In the United States, conservation organisations such as the Sierra Club were, by the 1950s, actively opposing major dam projects in environmentally significant areas, contributing to the emergence of the modern environmental movement and reshaping public attitudes to river systems and wilderness protection.  </w:t>
      </w:r>
    </w:p>
    <w:p w14:paraId="7BB8A64F" w14:textId="1A202E88" w:rsidR="00015E05" w:rsidRDefault="00382EE8" w:rsidP="00105A4D">
      <w:r>
        <w:rPr>
          <w:rFonts w:ascii="ZWAdobeF" w:hAnsi="ZWAdobeF" w:cs="ZWAdobeF"/>
          <w:sz w:val="2"/>
          <w:szCs w:val="2"/>
        </w:rPr>
        <w:t>601B</w:t>
      </w:r>
      <w:r w:rsidR="00015E05">
        <w:t>Similar debates emerged in Australia from the late 1960s onwards, including campaigns opposing the flooding of Lake Pedder and later, the Franklin River dam proposal in Tasmania. These movements reflected a growing recognition of the ecological, cultural and social values of free</w:t>
      </w:r>
      <w:r w:rsidR="00015E05">
        <w:rPr>
          <w:rFonts w:ascii="Cambria Math" w:hAnsi="Cambria Math" w:cs="Cambria Math"/>
        </w:rPr>
        <w:t>‑</w:t>
      </w:r>
      <w:r w:rsidR="00015E05">
        <w:t xml:space="preserve">flowing rivers, and marked a shift away from a purely developmental view of water resources toward more balanced and contested approaches to their management. </w:t>
      </w:r>
    </w:p>
    <w:p w14:paraId="724551E3" w14:textId="5E48638E" w:rsidR="00015E05" w:rsidRDefault="00382EE8" w:rsidP="00105A4D">
      <w:r>
        <w:rPr>
          <w:rFonts w:ascii="ZWAdobeF" w:hAnsi="ZWAdobeF" w:cs="ZWAdobeF"/>
          <w:sz w:val="2"/>
          <w:szCs w:val="2"/>
        </w:rPr>
        <w:t>602B</w:t>
      </w:r>
      <w:r w:rsidR="00015E05">
        <w:t>That said, the environmental consequences of such large</w:t>
      </w:r>
      <w:r w:rsidR="00015E05">
        <w:rPr>
          <w:rFonts w:ascii="Cambria Math" w:hAnsi="Cambria Math" w:cs="Cambria Math"/>
        </w:rPr>
        <w:t>‑</w:t>
      </w:r>
      <w:r w:rsidR="00015E05">
        <w:t>scale river regulation remained poorly understood at the time as ecological science was in its infancy in Australia and the concept of</w:t>
      </w:r>
      <w:r w:rsidR="00015E05">
        <w:rPr>
          <w:rFonts w:ascii="Aptos" w:hAnsi="Aptos" w:cs="Aptos"/>
        </w:rPr>
        <w:t xml:space="preserve"> </w:t>
      </w:r>
      <w:r w:rsidR="00664ECA">
        <w:rPr>
          <w:rFonts w:ascii="Aptos" w:hAnsi="Aptos" w:cs="Aptos"/>
        </w:rPr>
        <w:t>‘</w:t>
      </w:r>
      <w:r w:rsidR="00015E05">
        <w:t>environmental water</w:t>
      </w:r>
      <w:r w:rsidR="00783A64">
        <w:t>’</w:t>
      </w:r>
      <w:r w:rsidR="00015E05">
        <w:t xml:space="preserve"> had not yet emerged. Despite some vocal pockets of opposition, the health of river systems was rarely considered a constraint on development.  </w:t>
      </w:r>
    </w:p>
    <w:p w14:paraId="652074DB" w14:textId="1AE50047" w:rsidR="00201602" w:rsidRDefault="00382EE8" w:rsidP="00105A4D">
      <w:r>
        <w:rPr>
          <w:rFonts w:ascii="ZWAdobeF" w:hAnsi="ZWAdobeF" w:cs="ZWAdobeF"/>
          <w:sz w:val="2"/>
          <w:szCs w:val="2"/>
        </w:rPr>
        <w:lastRenderedPageBreak/>
        <w:t>603B</w:t>
      </w:r>
      <w:r w:rsidR="00015E05">
        <w:t xml:space="preserve">Over the decades that followed, the consequences of these interventions became increasingly evident. Reduced flows led to noticeably declining river health, simplified habitats, stress on populations of native fish and other organisms, and altered water quality and temperature regimes.  </w:t>
      </w:r>
    </w:p>
    <w:p w14:paraId="58056730" w14:textId="34AECB71" w:rsidR="00015E05" w:rsidRDefault="00DD3965" w:rsidP="00CC7A58">
      <w:pPr>
        <w:pStyle w:val="ReviewHeading2"/>
      </w:pPr>
      <w:bookmarkStart w:id="26" w:name="_Toc233285585"/>
      <w:bookmarkStart w:id="27" w:name="_Toc233801464"/>
      <w:r>
        <w:t>1</w:t>
      </w:r>
      <w:r w:rsidR="00D0461B">
        <w:t xml:space="preserve">.4 </w:t>
      </w:r>
      <w:r w:rsidR="003B2974">
        <w:t>The gradual shift</w:t>
      </w:r>
      <w:bookmarkEnd w:id="26"/>
      <w:bookmarkEnd w:id="27"/>
      <w:r w:rsidR="003B2974">
        <w:t xml:space="preserve"> </w:t>
      </w:r>
    </w:p>
    <w:p w14:paraId="59EBBBD3" w14:textId="37538A14" w:rsidR="00A77BD4" w:rsidRPr="00A77BD4" w:rsidRDefault="00382EE8" w:rsidP="00DD064C">
      <w:r>
        <w:rPr>
          <w:rFonts w:ascii="ZWAdobeF" w:hAnsi="ZWAdobeF" w:cs="ZWAdobeF"/>
          <w:sz w:val="2"/>
          <w:szCs w:val="2"/>
        </w:rPr>
        <w:t>604B</w:t>
      </w:r>
      <w:r w:rsidR="00A77BD4" w:rsidRPr="00A77BD4">
        <w:t>At the same time,</w:t>
      </w:r>
      <w:r w:rsidR="00EE3CD4">
        <w:t xml:space="preserve"> </w:t>
      </w:r>
      <w:r w:rsidR="00A77BD4" w:rsidRPr="00A77BD4">
        <w:t>public awareness and scientific</w:t>
      </w:r>
      <w:r w:rsidR="000C418B">
        <w:t xml:space="preserve"> </w:t>
      </w:r>
      <w:r w:rsidR="00A77BD4" w:rsidRPr="00A77BD4">
        <w:t>understanding</w:t>
      </w:r>
      <w:r w:rsidR="000C418B">
        <w:t xml:space="preserve"> </w:t>
      </w:r>
      <w:r w:rsidR="00A77BD4" w:rsidRPr="00A77BD4">
        <w:t>w</w:t>
      </w:r>
      <w:r w:rsidR="001E5B1F">
        <w:t>ere</w:t>
      </w:r>
      <w:r w:rsidR="00A77BD4" w:rsidRPr="00A77BD4">
        <w:t xml:space="preserve"> </w:t>
      </w:r>
      <w:r w:rsidR="0096796C">
        <w:t>d</w:t>
      </w:r>
      <w:r w:rsidR="00A77BD4" w:rsidRPr="00A77BD4">
        <w:t>eepening.</w:t>
      </w:r>
      <w:r w:rsidR="000C418B">
        <w:t xml:space="preserve"> </w:t>
      </w:r>
      <w:r w:rsidR="00A77BD4" w:rsidRPr="00A77BD4">
        <w:t>Landmark community advocacy during the 1990s focused strongly on the highly visible degradation of the Snowy River downstream of Jindabyne, which became a powerful national symbol of environmental loss.</w:t>
      </w:r>
      <w:r w:rsidR="00EE3CD4">
        <w:t xml:space="preserve"> </w:t>
      </w:r>
      <w:r w:rsidR="00A77BD4" w:rsidRPr="00A77BD4">
        <w:t>By contrast,</w:t>
      </w:r>
      <w:r w:rsidR="00EE3CD4">
        <w:t xml:space="preserve"> </w:t>
      </w:r>
      <w:r w:rsidR="00A77BD4" w:rsidRPr="00A77BD4">
        <w:t>impacts</w:t>
      </w:r>
      <w:r w:rsidR="00EE3CD4">
        <w:t xml:space="preserve"> </w:t>
      </w:r>
      <w:r w:rsidR="00A77BD4" w:rsidRPr="00A77BD4">
        <w:t>on the</w:t>
      </w:r>
      <w:r w:rsidR="00EE3CD4">
        <w:t xml:space="preserve"> </w:t>
      </w:r>
      <w:r w:rsidR="00A77BD4" w:rsidRPr="00A77BD4">
        <w:t>Upper Murrumbidgee</w:t>
      </w:r>
      <w:r w:rsidR="00EE3CD4">
        <w:t xml:space="preserve"> </w:t>
      </w:r>
      <w:r w:rsidR="00A77BD4" w:rsidRPr="00A77BD4">
        <w:t>River —</w:t>
      </w:r>
      <w:r w:rsidR="006E23A3">
        <w:t xml:space="preserve"> </w:t>
      </w:r>
      <w:r w:rsidR="00A77BD4" w:rsidRPr="00A77BD4">
        <w:t>located</w:t>
      </w:r>
      <w:r w:rsidR="00EE3CD4">
        <w:t xml:space="preserve"> </w:t>
      </w:r>
      <w:r w:rsidR="00A77BD4" w:rsidRPr="00A77BD4">
        <w:t xml:space="preserve">upstream of major storages </w:t>
      </w:r>
      <w:r w:rsidR="006E23A3">
        <w:t xml:space="preserve">and </w:t>
      </w:r>
      <w:r w:rsidR="006E23A3" w:rsidRPr="00A77BD4">
        <w:t xml:space="preserve">less visible to the broader community </w:t>
      </w:r>
      <w:r w:rsidR="00A77BD4" w:rsidRPr="00A77BD4">
        <w:t>— received comparatively limited public attention, despite experiencing substantial ecological degradation. </w:t>
      </w:r>
    </w:p>
    <w:p w14:paraId="43916A91" w14:textId="3591D98B" w:rsidR="00A77BD4" w:rsidRPr="00A77BD4" w:rsidRDefault="00382EE8" w:rsidP="00DD064C">
      <w:r>
        <w:rPr>
          <w:rFonts w:ascii="ZWAdobeF" w:hAnsi="ZWAdobeF" w:cs="ZWAdobeF"/>
          <w:sz w:val="2"/>
          <w:szCs w:val="2"/>
        </w:rPr>
        <w:t>605B</w:t>
      </w:r>
      <w:r w:rsidR="00A77BD4">
        <w:t>The shift</w:t>
      </w:r>
      <w:r w:rsidR="00BB5965">
        <w:t xml:space="preserve"> </w:t>
      </w:r>
      <w:r w:rsidR="00A77BD4">
        <w:t>in understanding culminated</w:t>
      </w:r>
      <w:r w:rsidR="00BB5965">
        <w:t xml:space="preserve"> </w:t>
      </w:r>
      <w:r w:rsidR="00A77BD4">
        <w:t>in</w:t>
      </w:r>
      <w:r w:rsidR="00BB5965">
        <w:t xml:space="preserve"> </w:t>
      </w:r>
      <w:r w:rsidR="00A77BD4">
        <w:t xml:space="preserve">the 1998 Snowy Water Inquiry and </w:t>
      </w:r>
      <w:r w:rsidR="004E4F6F">
        <w:t>t</w:t>
      </w:r>
      <w:r w:rsidR="00A77BD4">
        <w:t>he</w:t>
      </w:r>
      <w:r w:rsidR="004E4F6F">
        <w:t xml:space="preserve"> </w:t>
      </w:r>
      <w:r w:rsidR="00A77BD4">
        <w:t>subsequent</w:t>
      </w:r>
      <w:r w:rsidR="00BB5965">
        <w:t xml:space="preserve"> </w:t>
      </w:r>
      <w:r w:rsidR="57D16335">
        <w:t xml:space="preserve">Snowy Water Inquiry Outcomes Implementation Deed </w:t>
      </w:r>
      <w:r w:rsidR="00FD44CC">
        <w:t>(</w:t>
      </w:r>
      <w:r w:rsidR="57D16335">
        <w:t xml:space="preserve">the </w:t>
      </w:r>
      <w:r w:rsidR="00A77BD4">
        <w:t>Deed</w:t>
      </w:r>
      <w:r w:rsidR="00FD44CC">
        <w:t>)</w:t>
      </w:r>
      <w:r w:rsidR="0042519A">
        <w:t xml:space="preserve">. The Deed </w:t>
      </w:r>
      <w:r w:rsidR="00AD2C2A">
        <w:t>resulted in</w:t>
      </w:r>
      <w:r w:rsidR="003905B8">
        <w:t xml:space="preserve"> </w:t>
      </w:r>
      <w:r w:rsidR="00A77BD4">
        <w:t>landmark</w:t>
      </w:r>
      <w:r w:rsidR="007702FE">
        <w:t xml:space="preserve"> </w:t>
      </w:r>
      <w:r w:rsidR="00A77BD4">
        <w:t>reforms</w:t>
      </w:r>
      <w:r w:rsidR="007702FE">
        <w:t xml:space="preserve"> </w:t>
      </w:r>
      <w:r w:rsidR="00A77BD4">
        <w:t>at the time.</w:t>
      </w:r>
      <w:r w:rsidR="00BB5965">
        <w:t xml:space="preserve"> </w:t>
      </w:r>
      <w:r w:rsidR="00A77BD4">
        <w:t>For the first time, governments formally</w:t>
      </w:r>
      <w:r w:rsidR="0096796C">
        <w:t xml:space="preserve"> </w:t>
      </w:r>
      <w:r w:rsidR="00A77BD4">
        <w:t>acknowledged that environmental outcomes</w:t>
      </w:r>
      <w:r w:rsidR="00BB5965">
        <w:t xml:space="preserve"> </w:t>
      </w:r>
      <w:r w:rsidR="00A77BD4">
        <w:t>in the</w:t>
      </w:r>
      <w:r w:rsidR="00BB5965">
        <w:t xml:space="preserve"> </w:t>
      </w:r>
      <w:r w:rsidR="00A77BD4">
        <w:t>Snowy Mountains Scheme</w:t>
      </w:r>
      <w:r w:rsidR="0096796C">
        <w:t xml:space="preserve"> </w:t>
      </w:r>
      <w:r w:rsidR="00A77BD4">
        <w:t>rivers</w:t>
      </w:r>
      <w:r w:rsidR="00BB5965">
        <w:t xml:space="preserve"> </w:t>
      </w:r>
      <w:r w:rsidR="00A77BD4">
        <w:t>mattered and that operation of</w:t>
      </w:r>
      <w:r w:rsidR="00BB5965">
        <w:t xml:space="preserve"> </w:t>
      </w:r>
      <w:r w:rsidR="00A77BD4">
        <w:t>th</w:t>
      </w:r>
      <w:r w:rsidR="15120BFB">
        <w:t xml:space="preserve">e </w:t>
      </w:r>
      <w:r w:rsidR="00A77BD4">
        <w:t>Scheme</w:t>
      </w:r>
      <w:r w:rsidR="00BB5965">
        <w:t xml:space="preserve"> </w:t>
      </w:r>
      <w:r w:rsidR="00A77BD4">
        <w:t>needed to</w:t>
      </w:r>
      <w:r w:rsidR="00BB5965">
        <w:t xml:space="preserve"> </w:t>
      </w:r>
      <w:r w:rsidR="00A77BD4">
        <w:t>ensure river</w:t>
      </w:r>
      <w:r w:rsidR="0096796C">
        <w:t xml:space="preserve"> </w:t>
      </w:r>
      <w:r w:rsidR="00A77BD4">
        <w:t>health alongside irrigation reliability</w:t>
      </w:r>
      <w:r w:rsidR="00BB5965">
        <w:t xml:space="preserve"> </w:t>
      </w:r>
      <w:r w:rsidR="00A77BD4">
        <w:t>and electricity generation. </w:t>
      </w:r>
    </w:p>
    <w:p w14:paraId="3CB2049C" w14:textId="7DAB7419" w:rsidR="00A77BD4" w:rsidRPr="00A77BD4" w:rsidRDefault="00382EE8" w:rsidP="00DD064C">
      <w:r>
        <w:rPr>
          <w:rFonts w:ascii="ZWAdobeF" w:hAnsi="ZWAdobeF" w:cs="ZWAdobeF"/>
          <w:sz w:val="2"/>
          <w:szCs w:val="2"/>
        </w:rPr>
        <w:t>606B</w:t>
      </w:r>
      <w:r w:rsidR="00A77BD4" w:rsidRPr="00A77BD4">
        <w:t>The Deed</w:t>
      </w:r>
      <w:r w:rsidR="00092194">
        <w:t xml:space="preserve"> </w:t>
      </w:r>
      <w:r w:rsidR="00A77BD4" w:rsidRPr="00A77BD4">
        <w:t>represented</w:t>
      </w:r>
      <w:r w:rsidR="00092194">
        <w:t xml:space="preserve"> </w:t>
      </w:r>
      <w:r w:rsidR="00A77BD4" w:rsidRPr="00A77BD4">
        <w:t>a significant course correction, applying contemporary knowledge to a system designed in</w:t>
      </w:r>
      <w:r w:rsidR="00092194">
        <w:t xml:space="preserve"> </w:t>
      </w:r>
      <w:r w:rsidR="00A77BD4" w:rsidRPr="00A77BD4">
        <w:t>a very different</w:t>
      </w:r>
      <w:r w:rsidR="00092194">
        <w:t xml:space="preserve"> </w:t>
      </w:r>
      <w:r w:rsidR="00A77BD4" w:rsidRPr="00A77BD4">
        <w:t>time. </w:t>
      </w:r>
    </w:p>
    <w:p w14:paraId="6384B908" w14:textId="27305ACD" w:rsidR="00A77BD4" w:rsidRDefault="00DD3965" w:rsidP="00CC7A58">
      <w:pPr>
        <w:pStyle w:val="ReviewHeading2"/>
      </w:pPr>
      <w:bookmarkStart w:id="28" w:name="_Toc233285586"/>
      <w:bookmarkStart w:id="29" w:name="_Toc233801465"/>
      <w:r>
        <w:t>1</w:t>
      </w:r>
      <w:r w:rsidR="00D0461B">
        <w:t xml:space="preserve">.5 </w:t>
      </w:r>
      <w:r w:rsidR="00A77BD4">
        <w:t>From nation building to environmental accountability</w:t>
      </w:r>
      <w:bookmarkEnd w:id="28"/>
      <w:bookmarkEnd w:id="29"/>
    </w:p>
    <w:p w14:paraId="6AF1865B" w14:textId="3867B585" w:rsidR="007C6A17" w:rsidRDefault="00382EE8" w:rsidP="00DD064C">
      <w:r>
        <w:rPr>
          <w:rFonts w:ascii="ZWAdobeF" w:hAnsi="ZWAdobeF" w:cs="ZWAdobeF"/>
          <w:sz w:val="2"/>
          <w:szCs w:val="2"/>
        </w:rPr>
        <w:t>607B</w:t>
      </w:r>
      <w:r w:rsidR="007C6A17">
        <w:t xml:space="preserve">More than two decades later, the policy and environmental contexts have again shifted. Climate change is altering hydrological regimes with a general reduction in the Scheme’s water availability </w:t>
      </w:r>
      <w:r w:rsidR="00EE6285">
        <w:t xml:space="preserve">predicted </w:t>
      </w:r>
      <w:r w:rsidR="007C6A17">
        <w:t xml:space="preserve">and increasing frequency and severity of extreme events. Regional population growth and economic development have intensified competition for water resources, increasing pressures on already stressed river systems. </w:t>
      </w:r>
    </w:p>
    <w:p w14:paraId="26616D4D" w14:textId="655992F5" w:rsidR="007C6A17" w:rsidRDefault="00382EE8" w:rsidP="00DD064C">
      <w:r>
        <w:rPr>
          <w:rFonts w:ascii="ZWAdobeF" w:hAnsi="ZWAdobeF" w:cs="ZWAdobeF"/>
          <w:sz w:val="2"/>
          <w:szCs w:val="2"/>
        </w:rPr>
        <w:t>608B</w:t>
      </w:r>
      <w:r w:rsidR="007C6A17">
        <w:t xml:space="preserve">Expectations of environmental stewardship are higher and </w:t>
      </w:r>
      <w:r w:rsidR="00A56B2E">
        <w:t xml:space="preserve">community </w:t>
      </w:r>
      <w:r w:rsidR="007C6A17">
        <w:t xml:space="preserve">understanding of the ecological processes that sustain montane rivers, including the Snowy and Upper Murrumbidgee, is more sophisticated.  </w:t>
      </w:r>
    </w:p>
    <w:p w14:paraId="705EDB06" w14:textId="23C8B1CC" w:rsidR="007C6A17" w:rsidRDefault="00382EE8" w:rsidP="00DD064C">
      <w:r>
        <w:rPr>
          <w:rFonts w:ascii="ZWAdobeF" w:hAnsi="ZWAdobeF" w:cs="ZWAdobeF"/>
          <w:sz w:val="2"/>
          <w:szCs w:val="2"/>
        </w:rPr>
        <w:t>609B</w:t>
      </w:r>
      <w:r w:rsidR="007C6A17">
        <w:t xml:space="preserve">The role of the Snowy Scheme within the NEM has also evolved, even as its contribution to energy security remains significant. That role is expected to continue evolving with the commissioning of Snowy 2.0 and the continued growth of renewable energy in the NEM. </w:t>
      </w:r>
    </w:p>
    <w:p w14:paraId="22B224AD" w14:textId="17549AF0" w:rsidR="007C6A17" w:rsidRDefault="00382EE8" w:rsidP="00DD064C">
      <w:r>
        <w:rPr>
          <w:rFonts w:ascii="ZWAdobeF" w:hAnsi="ZWAdobeF" w:cs="ZWAdobeF"/>
          <w:sz w:val="2"/>
          <w:szCs w:val="2"/>
        </w:rPr>
        <w:t>610B</w:t>
      </w:r>
      <w:r w:rsidR="007C6A17">
        <w:t>While the Deed delivered measurable improvements for the Snowy River relative to its pre</w:t>
      </w:r>
      <w:r w:rsidR="007C6A17">
        <w:rPr>
          <w:rFonts w:ascii="Cambria Math" w:hAnsi="Cambria Math" w:cs="Cambria Math"/>
        </w:rPr>
        <w:t>‑</w:t>
      </w:r>
      <w:r w:rsidR="007C6A17">
        <w:t>Inquiry condition, it was a point</w:t>
      </w:r>
      <w:r w:rsidR="007C6A17">
        <w:rPr>
          <w:rFonts w:ascii="Cambria Math" w:hAnsi="Cambria Math" w:cs="Cambria Math"/>
        </w:rPr>
        <w:t>‑</w:t>
      </w:r>
      <w:r w:rsidR="007C6A17">
        <w:t>in</w:t>
      </w:r>
      <w:r w:rsidR="007C6A17">
        <w:rPr>
          <w:rFonts w:ascii="Cambria Math" w:hAnsi="Cambria Math" w:cs="Cambria Math"/>
        </w:rPr>
        <w:t>‑</w:t>
      </w:r>
      <w:r w:rsidR="007C6A17">
        <w:t xml:space="preserve">time response. Subsequent ecological understanding indicates that both the Snowy River and the Upper Murrumbidgee River now face challenges that were not fully appreciated in 2002.  </w:t>
      </w:r>
    </w:p>
    <w:p w14:paraId="132966AF" w14:textId="158480F9" w:rsidR="00A77BD4" w:rsidRDefault="00382EE8" w:rsidP="00DD064C">
      <w:r>
        <w:rPr>
          <w:rFonts w:ascii="ZWAdobeF" w:hAnsi="ZWAdobeF" w:cs="ZWAdobeF"/>
          <w:sz w:val="2"/>
          <w:szCs w:val="2"/>
        </w:rPr>
        <w:t>611B</w:t>
      </w:r>
      <w:r w:rsidR="007C6A17">
        <w:t xml:space="preserve">In particular, the Upper Murrumbidgee River has experienced sustained ecological </w:t>
      </w:r>
      <w:r w:rsidR="00825F25">
        <w:t>degradation</w:t>
      </w:r>
      <w:r w:rsidR="007C6A17">
        <w:t>, while the Snowy River, although comparatively better provided for under the Deed, is also unlikely, under current arrangements, to be receiving the volume, variability and adaptive management attention required to support long</w:t>
      </w:r>
      <w:r w:rsidR="00AE76E5">
        <w:rPr>
          <w:rFonts w:ascii="Cambria Math" w:hAnsi="Cambria Math" w:cs="Cambria Math"/>
        </w:rPr>
        <w:t>-</w:t>
      </w:r>
      <w:r w:rsidR="007C6A17">
        <w:t>term river health under changing climatic conditions.</w:t>
      </w:r>
    </w:p>
    <w:tbl>
      <w:tblPr>
        <w:tblStyle w:val="TableGrid"/>
        <w:tblW w:w="0" w:type="auto"/>
        <w:tblBorders>
          <w:top w:val="single" w:sz="6" w:space="0" w:color="000099"/>
          <w:left w:val="single" w:sz="6" w:space="0" w:color="000099"/>
          <w:bottom w:val="single" w:sz="6" w:space="0" w:color="000099"/>
          <w:right w:val="single" w:sz="6" w:space="0" w:color="000099"/>
        </w:tblBorders>
        <w:tblLook w:val="04A0" w:firstRow="1" w:lastRow="0" w:firstColumn="1" w:lastColumn="0" w:noHBand="0" w:noVBand="1"/>
      </w:tblPr>
      <w:tblGrid>
        <w:gridCol w:w="9282"/>
      </w:tblGrid>
      <w:tr w:rsidR="00732BDB" w14:paraId="0D3CEB94" w14:textId="77777777" w:rsidTr="00362BA7">
        <w:tc>
          <w:tcPr>
            <w:tcW w:w="9298" w:type="dxa"/>
          </w:tcPr>
          <w:p w14:paraId="559D43BF" w14:textId="7A07792F" w:rsidR="00732BDB" w:rsidRDefault="00362BA7" w:rsidP="00362BA7">
            <w:pPr>
              <w:jc w:val="left"/>
            </w:pPr>
            <w:r w:rsidRPr="00877D23">
              <w:rPr>
                <w:rFonts w:asciiTheme="minorHAnsi" w:hAnsiTheme="minorHAnsi"/>
                <w:b/>
                <w:bCs/>
              </w:rPr>
              <w:lastRenderedPageBreak/>
              <w:t>1950s–1970s | Nation</w:t>
            </w:r>
            <w:r w:rsidRPr="00877D23">
              <w:rPr>
                <w:rFonts w:asciiTheme="minorHAnsi" w:hAnsiTheme="minorHAnsi"/>
                <w:b/>
                <w:bCs/>
              </w:rPr>
              <w:noBreakHyphen/>
              <w:t>building era</w:t>
            </w:r>
            <w:r w:rsidRPr="00877D23">
              <w:rPr>
                <w:rFonts w:asciiTheme="minorHAnsi" w:hAnsiTheme="minorHAnsi"/>
              </w:rPr>
              <w:t> </w:t>
            </w:r>
            <w:r w:rsidRPr="00877D23">
              <w:rPr>
                <w:rFonts w:asciiTheme="minorHAnsi" w:hAnsiTheme="minorHAnsi"/>
              </w:rPr>
              <w:br/>
              <w:t>The Snowy Mountains Scheme is designed and constructed to support inland irrigation and paid for by electricity generation. Environmental impacts of large</w:t>
            </w:r>
            <w:r w:rsidRPr="00877D23">
              <w:rPr>
                <w:rFonts w:asciiTheme="minorHAnsi" w:hAnsiTheme="minorHAnsi"/>
              </w:rPr>
              <w:noBreakHyphen/>
              <w:t>scale river regulation are largely unrecognised or unaddressed. </w:t>
            </w:r>
          </w:p>
        </w:tc>
      </w:tr>
    </w:tbl>
    <w:p w14:paraId="575C0A14" w14:textId="77777777" w:rsidR="00041737" w:rsidRPr="00362BA7" w:rsidRDefault="00041737" w:rsidP="00362BA7">
      <w:pPr>
        <w:spacing w:after="0"/>
        <w:rPr>
          <w:sz w:val="16"/>
          <w:szCs w:val="16"/>
        </w:rPr>
      </w:pPr>
    </w:p>
    <w:tbl>
      <w:tblPr>
        <w:tblStyle w:val="TableGrid"/>
        <w:tblW w:w="0" w:type="auto"/>
        <w:tblLook w:val="04A0" w:firstRow="1" w:lastRow="0" w:firstColumn="1" w:lastColumn="0" w:noHBand="0" w:noVBand="1"/>
      </w:tblPr>
      <w:tblGrid>
        <w:gridCol w:w="9282"/>
      </w:tblGrid>
      <w:tr w:rsidR="00362BA7" w14:paraId="46DAF166" w14:textId="77777777" w:rsidTr="00362BA7">
        <w:tc>
          <w:tcPr>
            <w:tcW w:w="9298" w:type="dxa"/>
            <w:tcBorders>
              <w:top w:val="single" w:sz="6" w:space="0" w:color="000099"/>
              <w:left w:val="single" w:sz="6" w:space="0" w:color="000099"/>
              <w:bottom w:val="single" w:sz="6" w:space="0" w:color="000099"/>
              <w:right w:val="single" w:sz="6" w:space="0" w:color="000099"/>
            </w:tcBorders>
          </w:tcPr>
          <w:p w14:paraId="13635B5E" w14:textId="77777777" w:rsidR="00362BA7" w:rsidRPr="005F7665" w:rsidRDefault="00362BA7" w:rsidP="00362BA7">
            <w:pPr>
              <w:jc w:val="left"/>
              <w:rPr>
                <w:rFonts w:asciiTheme="minorHAnsi" w:hAnsiTheme="minorHAnsi"/>
                <w:b/>
                <w:bCs/>
              </w:rPr>
            </w:pPr>
            <w:r w:rsidRPr="005F7665">
              <w:rPr>
                <w:rFonts w:asciiTheme="minorHAnsi" w:hAnsiTheme="minorHAnsi"/>
                <w:b/>
                <w:bCs/>
              </w:rPr>
              <w:t xml:space="preserve">1980s–1990s | Emerging consequences </w:t>
            </w:r>
          </w:p>
          <w:p w14:paraId="65B4F1DF" w14:textId="77777777" w:rsidR="00362BA7" w:rsidRPr="005F7665" w:rsidRDefault="00362BA7" w:rsidP="00362BA7">
            <w:pPr>
              <w:jc w:val="left"/>
              <w:rPr>
                <w:rFonts w:asciiTheme="minorHAnsi" w:hAnsiTheme="minorHAnsi"/>
              </w:rPr>
            </w:pPr>
            <w:r w:rsidRPr="6332CC80">
              <w:rPr>
                <w:rFonts w:asciiTheme="minorHAnsi" w:hAnsiTheme="minorHAnsi"/>
              </w:rPr>
              <w:t xml:space="preserve">Reduced river flows and altered hydrology contribute to declining river condition. Scientific understanding of river ecology and flow dependence begins to mature. </w:t>
            </w:r>
          </w:p>
          <w:p w14:paraId="69AFF836" w14:textId="77777777" w:rsidR="00362BA7" w:rsidRPr="005F7665" w:rsidRDefault="00362BA7" w:rsidP="00362BA7">
            <w:pPr>
              <w:jc w:val="left"/>
              <w:rPr>
                <w:rFonts w:asciiTheme="minorHAnsi" w:hAnsiTheme="minorHAnsi"/>
                <w:b/>
                <w:bCs/>
              </w:rPr>
            </w:pPr>
            <w:r w:rsidRPr="005F7665">
              <w:rPr>
                <w:rFonts w:asciiTheme="minorHAnsi" w:hAnsiTheme="minorHAnsi"/>
                <w:b/>
                <w:bCs/>
              </w:rPr>
              <w:t xml:space="preserve">1998–2002 | A turning point </w:t>
            </w:r>
          </w:p>
          <w:p w14:paraId="27A02C94" w14:textId="1ED227A8" w:rsidR="00362BA7" w:rsidRDefault="00362BA7" w:rsidP="00362BA7">
            <w:r w:rsidRPr="005F7665">
              <w:rPr>
                <w:rFonts w:asciiTheme="minorHAnsi" w:hAnsiTheme="minorHAnsi"/>
              </w:rPr>
              <w:t>The Snowy Water Inquiry leads to the Snowy Water Inquiry Outcomes Implementation Deed (SWIOID), formally recognising the need for environmental water.</w:t>
            </w:r>
          </w:p>
        </w:tc>
      </w:tr>
    </w:tbl>
    <w:p w14:paraId="37A30E97" w14:textId="77777777" w:rsidR="00362BA7" w:rsidRPr="00362BA7" w:rsidRDefault="00362BA7" w:rsidP="00362BA7">
      <w:pPr>
        <w:spacing w:after="0"/>
        <w:rPr>
          <w:sz w:val="16"/>
          <w:szCs w:val="16"/>
        </w:rPr>
      </w:pPr>
    </w:p>
    <w:tbl>
      <w:tblPr>
        <w:tblStyle w:val="TableGrid"/>
        <w:tblW w:w="0" w:type="auto"/>
        <w:tblLook w:val="04A0" w:firstRow="1" w:lastRow="0" w:firstColumn="1" w:lastColumn="0" w:noHBand="0" w:noVBand="1"/>
      </w:tblPr>
      <w:tblGrid>
        <w:gridCol w:w="9282"/>
      </w:tblGrid>
      <w:tr w:rsidR="00362BA7" w14:paraId="0668CDDA" w14:textId="77777777" w:rsidTr="00362BA7">
        <w:tc>
          <w:tcPr>
            <w:tcW w:w="9298" w:type="dxa"/>
            <w:tcBorders>
              <w:top w:val="single" w:sz="6" w:space="0" w:color="000099"/>
              <w:left w:val="single" w:sz="6" w:space="0" w:color="000099"/>
              <w:bottom w:val="single" w:sz="6" w:space="0" w:color="000099"/>
              <w:right w:val="single" w:sz="6" w:space="0" w:color="000099"/>
            </w:tcBorders>
          </w:tcPr>
          <w:p w14:paraId="345A0262" w14:textId="77777777" w:rsidR="00362BA7" w:rsidRPr="004326B3" w:rsidRDefault="00362BA7" w:rsidP="00362BA7">
            <w:pPr>
              <w:spacing w:after="0"/>
              <w:jc w:val="left"/>
              <w:rPr>
                <w:rFonts w:asciiTheme="minorHAnsi" w:hAnsiTheme="minorHAnsi"/>
                <w:b/>
                <w:bCs/>
              </w:rPr>
            </w:pPr>
            <w:r w:rsidRPr="6A103459">
              <w:rPr>
                <w:rFonts w:asciiTheme="minorHAnsi" w:hAnsiTheme="minorHAnsi"/>
                <w:b/>
                <w:bCs/>
              </w:rPr>
              <w:t>2000s–2010s | Implementation and learning </w:t>
            </w:r>
            <w:r>
              <w:br/>
            </w:r>
            <w:r w:rsidRPr="6A103459">
              <w:rPr>
                <w:rFonts w:asciiTheme="minorHAnsi" w:hAnsiTheme="minorHAnsi"/>
              </w:rPr>
              <w:t>Environmental flows are progressively delivered, although inconsistencies remain between the Deed, its Annexes and the operating licence. Monitoring and evaluation occur intermittently, scientific understanding improves, but gaps in continuity and long</w:t>
            </w:r>
            <w:r>
              <w:noBreakHyphen/>
            </w:r>
            <w:r w:rsidRPr="6A103459">
              <w:rPr>
                <w:rFonts w:asciiTheme="minorHAnsi" w:hAnsiTheme="minorHAnsi"/>
              </w:rPr>
              <w:t xml:space="preserve">term datasets remain a persistent shortcoming. </w:t>
            </w:r>
          </w:p>
          <w:p w14:paraId="69553F43" w14:textId="7C1A42FD" w:rsidR="00362BA7" w:rsidRDefault="00362BA7" w:rsidP="00362BA7">
            <w:r w:rsidRPr="1F7C545C">
              <w:rPr>
                <w:rFonts w:asciiTheme="minorHAnsi" w:hAnsiTheme="minorHAnsi"/>
              </w:rPr>
              <w:t>Formal reviews of whether objectives were achieved, and of the Deed itself, were not instigated. Even when licence reviews were undertaken (a 5-year review in 2007-2009 and the 10-year review in 2017-2018) and recommended</w:t>
            </w:r>
            <w:r w:rsidRPr="1F7C545C">
              <w:rPr>
                <w:rFonts w:asciiTheme="minorHAnsi" w:hAnsiTheme="minorHAnsi"/>
                <w:b/>
                <w:bCs/>
              </w:rPr>
              <w:t xml:space="preserve"> </w:t>
            </w:r>
            <w:r w:rsidRPr="1F7C545C">
              <w:rPr>
                <w:rFonts w:asciiTheme="minorHAnsi" w:hAnsiTheme="minorHAnsi"/>
              </w:rPr>
              <w:t>changes, agreed compensation arrangements requiring the NSW Government to compensate Snowy Hydro for any licence change</w:t>
            </w:r>
            <w:r w:rsidRPr="6E62429A">
              <w:rPr>
                <w:rFonts w:asciiTheme="minorHAnsi" w:hAnsiTheme="minorHAnsi"/>
              </w:rPr>
              <w:t xml:space="preserve"> with which they do not agree</w:t>
            </w:r>
            <w:r>
              <w:rPr>
                <w:rFonts w:asciiTheme="minorHAnsi" w:hAnsiTheme="minorHAnsi"/>
              </w:rPr>
              <w:t>.</w:t>
            </w:r>
            <w:r w:rsidRPr="1F7C545C">
              <w:rPr>
                <w:rFonts w:asciiTheme="minorHAnsi" w:hAnsiTheme="minorHAnsi"/>
              </w:rPr>
              <w:t> </w:t>
            </w:r>
          </w:p>
        </w:tc>
      </w:tr>
    </w:tbl>
    <w:p w14:paraId="2BC9B8E5" w14:textId="77777777" w:rsidR="00362BA7" w:rsidRPr="00362BA7" w:rsidRDefault="00362BA7" w:rsidP="00362BA7">
      <w:pPr>
        <w:spacing w:after="0"/>
        <w:rPr>
          <w:sz w:val="16"/>
          <w:szCs w:val="16"/>
        </w:rPr>
      </w:pPr>
    </w:p>
    <w:tbl>
      <w:tblPr>
        <w:tblStyle w:val="TableGrid"/>
        <w:tblW w:w="0" w:type="auto"/>
        <w:tblLook w:val="04A0" w:firstRow="1" w:lastRow="0" w:firstColumn="1" w:lastColumn="0" w:noHBand="0" w:noVBand="1"/>
      </w:tblPr>
      <w:tblGrid>
        <w:gridCol w:w="9282"/>
      </w:tblGrid>
      <w:tr w:rsidR="00362BA7" w14:paraId="577206AB" w14:textId="77777777" w:rsidTr="00362BA7">
        <w:tc>
          <w:tcPr>
            <w:tcW w:w="9298" w:type="dxa"/>
            <w:tcBorders>
              <w:top w:val="single" w:sz="6" w:space="0" w:color="000099"/>
              <w:left w:val="single" w:sz="6" w:space="0" w:color="000099"/>
              <w:bottom w:val="single" w:sz="6" w:space="0" w:color="000099"/>
              <w:right w:val="single" w:sz="6" w:space="0" w:color="000099"/>
            </w:tcBorders>
          </w:tcPr>
          <w:p w14:paraId="63F56008" w14:textId="4EC656F5" w:rsidR="00362BA7" w:rsidRDefault="00362BA7" w:rsidP="00362BA7">
            <w:pPr>
              <w:jc w:val="left"/>
            </w:pPr>
            <w:r w:rsidRPr="004326B3">
              <w:rPr>
                <w:rFonts w:asciiTheme="minorHAnsi" w:hAnsiTheme="minorHAnsi"/>
                <w:b/>
                <w:bCs/>
              </w:rPr>
              <w:t>Today | A new context </w:t>
            </w:r>
            <w:r w:rsidRPr="004326B3">
              <w:rPr>
                <w:rFonts w:asciiTheme="minorHAnsi" w:hAnsiTheme="minorHAnsi"/>
                <w:b/>
                <w:bCs/>
              </w:rPr>
              <w:br/>
            </w:r>
            <w:r w:rsidRPr="004326B3">
              <w:rPr>
                <w:rFonts w:asciiTheme="minorHAnsi" w:hAnsiTheme="minorHAnsi"/>
              </w:rPr>
              <w:t>Climate change, higher community expectations and improved ecological knowledge place new demands on water management and governance. Contemporary water management has changed significantly since 2002, but the Snowy Scheme’s governing arrangements have not kept pace to the same extent.</w:t>
            </w:r>
            <w:r w:rsidRPr="004326B3">
              <w:rPr>
                <w:rFonts w:asciiTheme="minorHAnsi" w:hAnsiTheme="minorHAnsi"/>
                <w:b/>
                <w:bCs/>
              </w:rPr>
              <w:t> </w:t>
            </w:r>
          </w:p>
        </w:tc>
      </w:tr>
    </w:tbl>
    <w:p w14:paraId="7F80788E" w14:textId="5E95A4F3" w:rsidR="006953C6" w:rsidRDefault="00DD3965" w:rsidP="00CC7A58">
      <w:pPr>
        <w:pStyle w:val="ReviewHeading2"/>
      </w:pPr>
      <w:bookmarkStart w:id="30" w:name="_Toc233285587"/>
      <w:bookmarkStart w:id="31" w:name="_Toc233801466"/>
      <w:r>
        <w:t>1</w:t>
      </w:r>
      <w:r w:rsidR="00D0461B">
        <w:t xml:space="preserve">.6 </w:t>
      </w:r>
      <w:r w:rsidR="006953C6">
        <w:t>Why this review matters now</w:t>
      </w:r>
      <w:bookmarkEnd w:id="30"/>
      <w:bookmarkEnd w:id="31"/>
    </w:p>
    <w:p w14:paraId="30367DBE" w14:textId="3AF2F3EC" w:rsidR="000E3F1F" w:rsidRDefault="00382EE8" w:rsidP="00BA709D">
      <w:r>
        <w:rPr>
          <w:rFonts w:ascii="ZWAdobeF" w:hAnsi="ZWAdobeF" w:cs="ZWAdobeF"/>
          <w:sz w:val="2"/>
          <w:szCs w:val="2"/>
        </w:rPr>
        <w:t>612B</w:t>
      </w:r>
      <w:r w:rsidR="000E3F1F">
        <w:t xml:space="preserve">The Deed has not been comprehensively reviewed since it was signed, despite significant changes in water availability, river science, national water policy settings, the NEM, the transition to net zero, social and cultural expectations, and the role of the Snowy Scheme within the NEM. </w:t>
      </w:r>
    </w:p>
    <w:p w14:paraId="6EB97524" w14:textId="7EF5E8DA" w:rsidR="000E3F1F" w:rsidRDefault="00382EE8" w:rsidP="00BA709D">
      <w:r>
        <w:rPr>
          <w:rFonts w:ascii="ZWAdobeF" w:hAnsi="ZWAdobeF" w:cs="ZWAdobeF"/>
          <w:sz w:val="2"/>
          <w:szCs w:val="2"/>
        </w:rPr>
        <w:t>613B</w:t>
      </w:r>
      <w:r w:rsidR="000E3F1F">
        <w:t xml:space="preserve">Against this backdrop, the review of the Deed is both a practical necessity and a collective responsibility. It reflects an acceptance that the challenges facing the Upper Murrumbidgee River today are not the result of a single decision, but of cumulative choices made over generations, often with the best available knowledge of the time. The task </w:t>
      </w:r>
      <w:r w:rsidR="19201AFF">
        <w:t>is</w:t>
      </w:r>
      <w:r w:rsidR="000E3F1F">
        <w:t xml:space="preserve"> not to revisit those choices with hindsight alone, but to respond using the best evidence, tools and governance arrangements available today. </w:t>
      </w:r>
    </w:p>
    <w:p w14:paraId="51BF4A1B" w14:textId="3D86FF1E" w:rsidR="000E3F1F" w:rsidRDefault="00382EE8" w:rsidP="00BA709D">
      <w:r>
        <w:rPr>
          <w:rFonts w:ascii="ZWAdobeF" w:hAnsi="ZWAdobeF" w:cs="ZWAdobeF"/>
          <w:sz w:val="2"/>
          <w:szCs w:val="2"/>
        </w:rPr>
        <w:t>614B</w:t>
      </w:r>
      <w:r w:rsidR="000E3F1F">
        <w:t>Past decisions, including the original design of the Snowy Scheme and the parameters set by the Deed, have materially shaped present</w:t>
      </w:r>
      <w:r w:rsidR="639B2B4B">
        <w:t xml:space="preserve"> </w:t>
      </w:r>
      <w:r w:rsidR="000E3F1F">
        <w:t xml:space="preserve">day river condition. The Review therefore starts from a clear acknowledgment that these arrangements are a significant cause of current outcomes, notwithstanding that they reflected prevailing practice at the time.  </w:t>
      </w:r>
    </w:p>
    <w:p w14:paraId="13BD7E97" w14:textId="150D6276" w:rsidR="000E3F1F" w:rsidRDefault="00382EE8" w:rsidP="00BA709D">
      <w:r>
        <w:rPr>
          <w:rFonts w:ascii="ZWAdobeF" w:hAnsi="ZWAdobeF" w:cs="ZWAdobeF"/>
          <w:sz w:val="2"/>
          <w:szCs w:val="2"/>
        </w:rPr>
        <w:lastRenderedPageBreak/>
        <w:t>615B</w:t>
      </w:r>
      <w:r w:rsidR="00041737">
        <w:t>These legacy places</w:t>
      </w:r>
      <w:r w:rsidR="000E3F1F">
        <w:t xml:space="preserve"> a heightened responsibility on today’s governments and institutions to act decisively, transparently and accountably to address the consequences</w:t>
      </w:r>
      <w:r w:rsidR="00FF150E">
        <w:t>, in a manner which adapt</w:t>
      </w:r>
      <w:r w:rsidR="00A561CF">
        <w:t>s</w:t>
      </w:r>
      <w:r w:rsidR="00FF150E">
        <w:t xml:space="preserve"> to future changes</w:t>
      </w:r>
      <w:r w:rsidR="000E3F1F">
        <w:t xml:space="preserve">. </w:t>
      </w:r>
    </w:p>
    <w:p w14:paraId="1BBC717F" w14:textId="133C8D82" w:rsidR="000E3F1F" w:rsidRDefault="00382EE8" w:rsidP="00BA709D">
      <w:r>
        <w:rPr>
          <w:rFonts w:ascii="ZWAdobeF" w:hAnsi="ZWAdobeF" w:cs="ZWAdobeF"/>
          <w:sz w:val="2"/>
          <w:szCs w:val="2"/>
        </w:rPr>
        <w:t>616B</w:t>
      </w:r>
      <w:r w:rsidR="000E3F1F">
        <w:t>In effect, the Review ask</w:t>
      </w:r>
      <w:r w:rsidR="23630705">
        <w:t>s</w:t>
      </w:r>
      <w:r w:rsidR="000E3F1F">
        <w:t xml:space="preserve"> whether arrangements designed as an early response to environmental decline are still adequate in a world where signals of stress in regulated rivers are clearer, and the consequences of inaction better understood. </w:t>
      </w:r>
    </w:p>
    <w:p w14:paraId="6F42B862" w14:textId="158E681B" w:rsidR="006953C6" w:rsidRDefault="00382EE8" w:rsidP="00BA709D">
      <w:r>
        <w:rPr>
          <w:rFonts w:ascii="ZWAdobeF" w:hAnsi="ZWAdobeF" w:cs="ZWAdobeF"/>
          <w:sz w:val="2"/>
          <w:szCs w:val="2"/>
        </w:rPr>
        <w:t>617B</w:t>
      </w:r>
      <w:r w:rsidR="000E3F1F">
        <w:t xml:space="preserve">This Review </w:t>
      </w:r>
      <w:r w:rsidR="7F2E2692">
        <w:t>is</w:t>
      </w:r>
      <w:r w:rsidR="000E3F1F">
        <w:t xml:space="preserve"> an opportunity to take stock of how far Australia ha</w:t>
      </w:r>
      <w:r w:rsidR="00BC1A0E">
        <w:t>s</w:t>
      </w:r>
      <w:r w:rsidR="000E3F1F">
        <w:t xml:space="preserve"> come in understanding river systems and to determine how that understanding should be reflected in the contemporary management of one of the nation’s most significant pieces of water and energy infrastructure.</w:t>
      </w:r>
    </w:p>
    <w:p w14:paraId="665DE63C" w14:textId="6891E6AF" w:rsidR="00B0635F" w:rsidRDefault="00DD3965" w:rsidP="00CC7A58">
      <w:pPr>
        <w:pStyle w:val="ReviewHeading2"/>
      </w:pPr>
      <w:bookmarkStart w:id="32" w:name="_Toc233285588"/>
      <w:bookmarkStart w:id="33" w:name="_Toc233801467"/>
      <w:r>
        <w:t>1</w:t>
      </w:r>
      <w:r w:rsidR="00050673">
        <w:t xml:space="preserve">.7 </w:t>
      </w:r>
      <w:r w:rsidR="00B0635F">
        <w:t>More than just the Deed</w:t>
      </w:r>
      <w:bookmarkEnd w:id="32"/>
      <w:bookmarkEnd w:id="33"/>
    </w:p>
    <w:p w14:paraId="4B236627" w14:textId="3724B05B" w:rsidR="00396C4F" w:rsidRPr="00396C4F" w:rsidRDefault="00382EE8" w:rsidP="00BA709D">
      <w:r>
        <w:rPr>
          <w:rFonts w:ascii="ZWAdobeF" w:hAnsi="ZWAdobeF" w:cs="ZWAdobeF"/>
          <w:sz w:val="2"/>
          <w:szCs w:val="2"/>
        </w:rPr>
        <w:t>618B</w:t>
      </w:r>
      <w:r w:rsidR="00396C4F" w:rsidRPr="00396C4F">
        <w:t>Experience over recent decades</w:t>
      </w:r>
      <w:r w:rsidR="00B227F2">
        <w:t xml:space="preserve"> </w:t>
      </w:r>
      <w:r w:rsidR="594AE642">
        <w:t>demonstrate</w:t>
      </w:r>
      <w:r w:rsidR="00B227F2">
        <w:t xml:space="preserve"> </w:t>
      </w:r>
      <w:r w:rsidR="00396C4F" w:rsidRPr="00396C4F">
        <w:t>that environmental recovery cannot be achieved through flow rules alone. </w:t>
      </w:r>
    </w:p>
    <w:p w14:paraId="2812C33B" w14:textId="7B639A55" w:rsidR="00396C4F" w:rsidRPr="00396C4F" w:rsidRDefault="00382EE8" w:rsidP="00BA709D">
      <w:r>
        <w:rPr>
          <w:rFonts w:ascii="ZWAdobeF" w:hAnsi="ZWAdobeF" w:cs="ZWAdobeF"/>
          <w:sz w:val="2"/>
          <w:szCs w:val="2"/>
        </w:rPr>
        <w:t>619B</w:t>
      </w:r>
      <w:r w:rsidR="00396C4F" w:rsidRPr="00396C4F">
        <w:t>Although the Review focuses on the Deed, the Panel recognises that achieving contemporary</w:t>
      </w:r>
      <w:r w:rsidR="00C15ABA">
        <w:t xml:space="preserve"> </w:t>
      </w:r>
      <w:r w:rsidR="00396C4F" w:rsidRPr="00396C4F">
        <w:t>best</w:t>
      </w:r>
      <w:r w:rsidR="20E841A4">
        <w:t xml:space="preserve"> </w:t>
      </w:r>
      <w:r w:rsidR="00396C4F" w:rsidRPr="00396C4F">
        <w:t>practice</w:t>
      </w:r>
      <w:r w:rsidR="00C15ABA">
        <w:t xml:space="preserve"> </w:t>
      </w:r>
      <w:r w:rsidR="00396C4F" w:rsidRPr="00396C4F">
        <w:t>outcomes for the Snowy, the</w:t>
      </w:r>
      <w:r w:rsidR="00C15ABA">
        <w:t xml:space="preserve"> </w:t>
      </w:r>
      <w:r w:rsidR="00396C4F" w:rsidRPr="00396C4F">
        <w:t>Upper Murrumbidgee</w:t>
      </w:r>
      <w:r w:rsidR="00C15ABA">
        <w:t xml:space="preserve"> </w:t>
      </w:r>
      <w:r w:rsidR="00396C4F" w:rsidRPr="00396C4F">
        <w:t>and other affected montane rivers will depend on governance, regulatory, community engagement and investment settings that extend beyond the Deed. </w:t>
      </w:r>
    </w:p>
    <w:p w14:paraId="72D878D6" w14:textId="4277722A" w:rsidR="00396C4F" w:rsidRPr="00396C4F" w:rsidRDefault="00382EE8" w:rsidP="00BA709D">
      <w:r>
        <w:rPr>
          <w:rFonts w:ascii="ZWAdobeF" w:hAnsi="ZWAdobeF" w:cs="ZWAdobeF"/>
          <w:sz w:val="2"/>
          <w:szCs w:val="2"/>
        </w:rPr>
        <w:t>620B</w:t>
      </w:r>
      <w:r w:rsidR="00396C4F">
        <w:t>The Deed is an intergovernmental</w:t>
      </w:r>
      <w:r w:rsidR="00A92BCB">
        <w:t xml:space="preserve"> arrangement </w:t>
      </w:r>
      <w:r w:rsidR="00396C4F">
        <w:t>governing water sharing and operational arrangements, with environmental flow commitments implemented through Snowy Hydro’s operating licence. As such, its scope is inherently confined to matters</w:t>
      </w:r>
      <w:r w:rsidR="00C15ABA">
        <w:t xml:space="preserve"> </w:t>
      </w:r>
      <w:r w:rsidR="00396C4F">
        <w:t>directly related</w:t>
      </w:r>
      <w:r w:rsidR="00C15ABA">
        <w:t xml:space="preserve"> </w:t>
      </w:r>
      <w:r w:rsidR="00396C4F">
        <w:t>to water releases, operational</w:t>
      </w:r>
      <w:r w:rsidR="00C15ABA">
        <w:t xml:space="preserve"> </w:t>
      </w:r>
      <w:r w:rsidR="00396C4F">
        <w:t>flexibility</w:t>
      </w:r>
      <w:r w:rsidR="00C15ABA">
        <w:t xml:space="preserve"> </w:t>
      </w:r>
      <w:r w:rsidR="00396C4F">
        <w:t>and intergovernmental governance. Many of the drivers of ecological condition in the</w:t>
      </w:r>
      <w:r w:rsidR="00C15ABA">
        <w:t xml:space="preserve"> </w:t>
      </w:r>
      <w:r w:rsidR="00396C4F">
        <w:t>Upper Murrumbidgee</w:t>
      </w:r>
      <w:r w:rsidR="00C15ABA">
        <w:t xml:space="preserve"> </w:t>
      </w:r>
      <w:r w:rsidR="00396C4F">
        <w:t>River</w:t>
      </w:r>
      <w:r w:rsidR="00C15ABA">
        <w:t xml:space="preserve"> </w:t>
      </w:r>
      <w:r w:rsidR="00FF4BC3">
        <w:t>—</w:t>
      </w:r>
      <w:r w:rsidR="00396C4F">
        <w:t xml:space="preserve"> including catchment processes, riverine habitat condition, water quality, and resilience to climate variability</w:t>
      </w:r>
      <w:r w:rsidR="00C15ABA">
        <w:t xml:space="preserve"> </w:t>
      </w:r>
      <w:r w:rsidR="00FF4BC3">
        <w:t>—</w:t>
      </w:r>
      <w:r w:rsidR="00396C4F">
        <w:t xml:space="preserve"> are</w:t>
      </w:r>
      <w:r w:rsidR="00C15ABA">
        <w:t xml:space="preserve"> </w:t>
      </w:r>
      <w:r w:rsidR="0039729D">
        <w:t>also</w:t>
      </w:r>
      <w:r w:rsidR="00C15ABA">
        <w:t xml:space="preserve"> </w:t>
      </w:r>
      <w:r w:rsidR="00396C4F">
        <w:t xml:space="preserve">shaped by </w:t>
      </w:r>
      <w:r w:rsidR="0013328A">
        <w:t>comp</w:t>
      </w:r>
      <w:r w:rsidR="00861DAB">
        <w:t xml:space="preserve">lementary </w:t>
      </w:r>
      <w:r w:rsidR="00396C4F">
        <w:t>actions and decisions that sit outside the Deed. </w:t>
      </w:r>
    </w:p>
    <w:p w14:paraId="75A091BD" w14:textId="1BE53037" w:rsidR="00396C4F" w:rsidRPr="00396C4F" w:rsidRDefault="00382EE8" w:rsidP="00BA709D">
      <w:r>
        <w:rPr>
          <w:rFonts w:ascii="ZWAdobeF" w:hAnsi="ZWAdobeF" w:cs="ZWAdobeF"/>
          <w:sz w:val="2"/>
          <w:szCs w:val="2"/>
        </w:rPr>
        <w:t>621B</w:t>
      </w:r>
      <w:r w:rsidR="00396C4F" w:rsidRPr="00396C4F">
        <w:t>These actions include: </w:t>
      </w:r>
    </w:p>
    <w:p w14:paraId="2C04045C" w14:textId="627E21D7" w:rsidR="00396C4F" w:rsidRPr="00396C4F" w:rsidRDefault="00382EE8" w:rsidP="00115BD6">
      <w:pPr>
        <w:pStyle w:val="ListParagraph"/>
        <w:numPr>
          <w:ilvl w:val="0"/>
          <w:numId w:val="74"/>
        </w:numPr>
      </w:pPr>
      <w:r>
        <w:rPr>
          <w:rFonts w:ascii="ZWAdobeF" w:hAnsi="ZWAdobeF" w:cs="ZWAdobeF"/>
          <w:sz w:val="2"/>
          <w:szCs w:val="2"/>
        </w:rPr>
        <w:t>89B</w:t>
      </w:r>
      <w:r w:rsidR="00396C4F" w:rsidRPr="00396C4F">
        <w:t>regulatory and policy settings administered by water, environmental and land management authorities </w:t>
      </w:r>
    </w:p>
    <w:p w14:paraId="31280B46" w14:textId="682B5C3B" w:rsidR="00396C4F" w:rsidRPr="00396C4F" w:rsidRDefault="00382EE8" w:rsidP="00115BD6">
      <w:pPr>
        <w:pStyle w:val="ListParagraph"/>
        <w:numPr>
          <w:ilvl w:val="0"/>
          <w:numId w:val="74"/>
        </w:numPr>
      </w:pPr>
      <w:r>
        <w:rPr>
          <w:rFonts w:ascii="ZWAdobeF" w:hAnsi="ZWAdobeF" w:cs="ZWAdobeF"/>
          <w:sz w:val="2"/>
          <w:szCs w:val="2"/>
        </w:rPr>
        <w:t>90B</w:t>
      </w:r>
      <w:r w:rsidR="00396C4F" w:rsidRPr="00396C4F">
        <w:t>catchment</w:t>
      </w:r>
      <w:r w:rsidR="00396C4F" w:rsidRPr="00396C4F">
        <w:noBreakHyphen/>
        <w:t>scale</w:t>
      </w:r>
      <w:r w:rsidR="00992362">
        <w:t xml:space="preserve"> </w:t>
      </w:r>
      <w:r w:rsidR="00396C4F" w:rsidRPr="00396C4F">
        <w:t>rehabilitation and protection measures </w:t>
      </w:r>
    </w:p>
    <w:p w14:paraId="68454BB4" w14:textId="04811C67" w:rsidR="00396C4F" w:rsidRPr="00396C4F" w:rsidRDefault="00382EE8" w:rsidP="00115BD6">
      <w:pPr>
        <w:pStyle w:val="ListParagraph"/>
        <w:numPr>
          <w:ilvl w:val="0"/>
          <w:numId w:val="74"/>
        </w:numPr>
      </w:pPr>
      <w:r>
        <w:rPr>
          <w:rFonts w:ascii="ZWAdobeF" w:hAnsi="ZWAdobeF" w:cs="ZWAdobeF"/>
          <w:sz w:val="2"/>
          <w:szCs w:val="2"/>
        </w:rPr>
        <w:t>91B</w:t>
      </w:r>
      <w:r w:rsidR="00396C4F" w:rsidRPr="00396C4F">
        <w:t>investment in river restoration,</w:t>
      </w:r>
      <w:r w:rsidR="005E13D6">
        <w:t xml:space="preserve"> </w:t>
      </w:r>
      <w:r w:rsidR="00396C4F" w:rsidRPr="00396C4F">
        <w:t>monitoring</w:t>
      </w:r>
      <w:r w:rsidR="005E13D6">
        <w:t xml:space="preserve"> </w:t>
      </w:r>
      <w:r w:rsidR="00396C4F" w:rsidRPr="00396C4F">
        <w:t>and adaptive management capacity </w:t>
      </w:r>
    </w:p>
    <w:p w14:paraId="230BBDFF" w14:textId="126D41C7" w:rsidR="0085384B" w:rsidRDefault="00382EE8" w:rsidP="00115BD6">
      <w:pPr>
        <w:pStyle w:val="ListParagraph"/>
        <w:numPr>
          <w:ilvl w:val="0"/>
          <w:numId w:val="74"/>
        </w:numPr>
      </w:pPr>
      <w:r>
        <w:rPr>
          <w:rFonts w:ascii="ZWAdobeF" w:hAnsi="ZWAdobeF" w:cs="ZWAdobeF"/>
          <w:sz w:val="2"/>
          <w:szCs w:val="2"/>
        </w:rPr>
        <w:t>92B</w:t>
      </w:r>
      <w:r w:rsidR="00396C4F">
        <w:t>governance and coordination arrangements that support integration across water,</w:t>
      </w:r>
      <w:r w:rsidR="00F751A0">
        <w:t xml:space="preserve"> </w:t>
      </w:r>
      <w:r w:rsidR="00396C4F">
        <w:t>environment</w:t>
      </w:r>
      <w:r w:rsidR="00F751A0">
        <w:t xml:space="preserve"> </w:t>
      </w:r>
      <w:r w:rsidR="00396C4F">
        <w:t>and</w:t>
      </w:r>
      <w:r w:rsidR="00F751A0">
        <w:t xml:space="preserve"> </w:t>
      </w:r>
      <w:r w:rsidR="7E267143">
        <w:t>land use</w:t>
      </w:r>
      <w:r w:rsidR="00F751A0">
        <w:t xml:space="preserve"> </w:t>
      </w:r>
      <w:r w:rsidR="00396C4F">
        <w:t>management systems</w:t>
      </w:r>
    </w:p>
    <w:p w14:paraId="457618F9" w14:textId="1AFA6123" w:rsidR="00396C4F" w:rsidRPr="00396C4F" w:rsidRDefault="00382EE8" w:rsidP="00115BD6">
      <w:pPr>
        <w:pStyle w:val="ListParagraph"/>
        <w:numPr>
          <w:ilvl w:val="0"/>
          <w:numId w:val="74"/>
        </w:numPr>
      </w:pPr>
      <w:r>
        <w:rPr>
          <w:rFonts w:ascii="ZWAdobeF" w:hAnsi="ZWAdobeF" w:cs="ZWAdobeF"/>
          <w:sz w:val="2"/>
          <w:szCs w:val="2"/>
        </w:rPr>
        <w:t>93B</w:t>
      </w:r>
      <w:r w:rsidR="0085384B">
        <w:t>urban planning and development</w:t>
      </w:r>
      <w:r w:rsidR="00785FCA">
        <w:t>.</w:t>
      </w:r>
      <w:r w:rsidR="00396C4F">
        <w:t> </w:t>
      </w:r>
    </w:p>
    <w:p w14:paraId="5EA8E777" w14:textId="3F86370A" w:rsidR="00396C4F" w:rsidRPr="00396C4F" w:rsidRDefault="00382EE8" w:rsidP="00BA709D">
      <w:r>
        <w:rPr>
          <w:rFonts w:ascii="ZWAdobeF" w:hAnsi="ZWAdobeF" w:cs="ZWAdobeF"/>
          <w:sz w:val="2"/>
          <w:szCs w:val="2"/>
        </w:rPr>
        <w:t>622B</w:t>
      </w:r>
      <w:r w:rsidR="00396C4F" w:rsidRPr="00396C4F">
        <w:t>The Panel considers it important to</w:t>
      </w:r>
      <w:r w:rsidR="00F751A0">
        <w:t xml:space="preserve"> </w:t>
      </w:r>
      <w:r w:rsidR="00396C4F" w:rsidRPr="00396C4F">
        <w:t>identify</w:t>
      </w:r>
      <w:r w:rsidR="00F751A0">
        <w:t xml:space="preserve"> </w:t>
      </w:r>
      <w:r w:rsidR="00396C4F" w:rsidRPr="00396C4F">
        <w:t>and make explicit the dependencies between</w:t>
      </w:r>
      <w:r w:rsidR="00940FBD">
        <w:t xml:space="preserve"> </w:t>
      </w:r>
      <w:r w:rsidR="00396C4F" w:rsidRPr="00396C4F">
        <w:t>Deed</w:t>
      </w:r>
      <w:r w:rsidR="00396C4F" w:rsidRPr="00396C4F">
        <w:noBreakHyphen/>
        <w:t>based</w:t>
      </w:r>
      <w:r w:rsidR="00940FBD">
        <w:t xml:space="preserve"> </w:t>
      </w:r>
      <w:r w:rsidR="00396C4F" w:rsidRPr="00396C4F">
        <w:t>water management arrangements and broader policy and management settings, because those dependencies influence the feasibility, effectiveness and durability of any options considered. </w:t>
      </w:r>
    </w:p>
    <w:p w14:paraId="63009408" w14:textId="77777777" w:rsidR="00FF5797" w:rsidRDefault="00FF5797" w:rsidP="00BA709D"/>
    <w:p w14:paraId="4AB93373" w14:textId="77777777" w:rsidR="00FF5797" w:rsidRDefault="00FF5797" w:rsidP="00BA709D"/>
    <w:p w14:paraId="10C4A65C" w14:textId="4FF9DC53" w:rsidR="00396C4F" w:rsidRPr="00396C4F" w:rsidRDefault="00382EE8" w:rsidP="00BA709D">
      <w:r>
        <w:rPr>
          <w:rFonts w:ascii="ZWAdobeF" w:hAnsi="ZWAdobeF" w:cs="ZWAdobeF"/>
          <w:sz w:val="2"/>
          <w:szCs w:val="2"/>
        </w:rPr>
        <w:lastRenderedPageBreak/>
        <w:t>623B</w:t>
      </w:r>
      <w:r w:rsidR="00396C4F" w:rsidRPr="00396C4F">
        <w:t>Accordingly, the Panel has approached its task on the basis that: </w:t>
      </w:r>
    </w:p>
    <w:p w14:paraId="632EE100" w14:textId="0A1B2F7F" w:rsidR="00396C4F" w:rsidRPr="00396C4F" w:rsidRDefault="00382EE8" w:rsidP="00115BD6">
      <w:pPr>
        <w:pStyle w:val="ListParagraph"/>
        <w:numPr>
          <w:ilvl w:val="0"/>
          <w:numId w:val="74"/>
        </w:numPr>
      </w:pPr>
      <w:r>
        <w:rPr>
          <w:rFonts w:ascii="ZWAdobeF" w:hAnsi="ZWAdobeF" w:cs="ZWAdobeF"/>
          <w:sz w:val="2"/>
          <w:szCs w:val="2"/>
        </w:rPr>
        <w:t>94B</w:t>
      </w:r>
      <w:r w:rsidR="00396C4F">
        <w:t>the Review can assess how the Deed currently</w:t>
      </w:r>
      <w:r w:rsidR="001F573C">
        <w:t xml:space="preserve"> </w:t>
      </w:r>
      <w:r w:rsidR="3321EC8B">
        <w:t>operates</w:t>
      </w:r>
      <w:r w:rsidR="001F573C">
        <w:t xml:space="preserve"> </w:t>
      </w:r>
      <w:r w:rsidR="3321EC8B">
        <w:t>and</w:t>
      </w:r>
      <w:r w:rsidR="001F573C">
        <w:t xml:space="preserve"> </w:t>
      </w:r>
      <w:r w:rsidR="00396C4F">
        <w:t>identifies</w:t>
      </w:r>
      <w:r w:rsidR="001F573C">
        <w:t xml:space="preserve"> </w:t>
      </w:r>
      <w:r w:rsidR="00396C4F">
        <w:t>options to improve environmental outcomes through changes to flow management</w:t>
      </w:r>
      <w:r w:rsidR="00E061CD">
        <w:t xml:space="preserve"> and</w:t>
      </w:r>
      <w:r w:rsidR="001F573C">
        <w:t xml:space="preserve"> </w:t>
      </w:r>
      <w:r w:rsidR="00396C4F">
        <w:t>governance</w:t>
      </w:r>
      <w:r w:rsidR="001F573C">
        <w:t xml:space="preserve"> </w:t>
      </w:r>
      <w:r w:rsidR="00396C4F">
        <w:t>and</w:t>
      </w:r>
      <w:r w:rsidR="00E061CD">
        <w:t xml:space="preserve"> by adopting</w:t>
      </w:r>
      <w:r w:rsidR="00396C4F">
        <w:t xml:space="preserve"> adaptive management arrangements </w:t>
      </w:r>
    </w:p>
    <w:p w14:paraId="187AA514" w14:textId="3146F469" w:rsidR="00396C4F" w:rsidRPr="00396C4F" w:rsidRDefault="00382EE8" w:rsidP="00115BD6">
      <w:pPr>
        <w:pStyle w:val="ListParagraph"/>
        <w:numPr>
          <w:ilvl w:val="0"/>
          <w:numId w:val="74"/>
        </w:numPr>
      </w:pPr>
      <w:r>
        <w:rPr>
          <w:rFonts w:ascii="ZWAdobeF" w:hAnsi="ZWAdobeF" w:cs="ZWAdobeF"/>
          <w:sz w:val="2"/>
          <w:szCs w:val="2"/>
        </w:rPr>
        <w:t>95B</w:t>
      </w:r>
      <w:r w:rsidR="00396C4F" w:rsidRPr="00396C4F">
        <w:t>the Review can</w:t>
      </w:r>
      <w:r w:rsidR="001F573C">
        <w:t xml:space="preserve"> </w:t>
      </w:r>
      <w:r w:rsidR="00396C4F" w:rsidRPr="00396C4F">
        <w:t>identify</w:t>
      </w:r>
      <w:r w:rsidR="001F573C">
        <w:t xml:space="preserve"> </w:t>
      </w:r>
      <w:r w:rsidR="00396C4F" w:rsidRPr="00396C4F">
        <w:t>interactions with and dependencies on actions outside the Deed including the establishment of operating arrangements and responsible bodies to deliver on the</w:t>
      </w:r>
      <w:r w:rsidR="00C2550D">
        <w:t xml:space="preserve"> </w:t>
      </w:r>
      <w:r w:rsidR="00396C4F" w:rsidRPr="00396C4F">
        <w:t>objectives</w:t>
      </w:r>
      <w:r w:rsidR="00C2550D">
        <w:t xml:space="preserve"> </w:t>
      </w:r>
      <w:r w:rsidR="00396C4F" w:rsidRPr="00396C4F">
        <w:t>in the Deed and ensure compliance </w:t>
      </w:r>
    </w:p>
    <w:p w14:paraId="341BAF35" w14:textId="5CC94AC9" w:rsidR="00396C4F" w:rsidRPr="00396C4F" w:rsidRDefault="00382EE8" w:rsidP="00115BD6">
      <w:pPr>
        <w:pStyle w:val="ListParagraph"/>
        <w:numPr>
          <w:ilvl w:val="0"/>
          <w:numId w:val="74"/>
        </w:numPr>
      </w:pPr>
      <w:r>
        <w:rPr>
          <w:rFonts w:ascii="ZWAdobeF" w:hAnsi="ZWAdobeF" w:cs="ZWAdobeF"/>
          <w:sz w:val="2"/>
          <w:szCs w:val="2"/>
        </w:rPr>
        <w:t>96B</w:t>
      </w:r>
      <w:r w:rsidR="00396C4F" w:rsidRPr="00396C4F">
        <w:t>achieving the Review’s intended outcomes will</w:t>
      </w:r>
      <w:r w:rsidR="00C2550D">
        <w:t xml:space="preserve"> </w:t>
      </w:r>
      <w:r w:rsidR="00396C4F" w:rsidRPr="00396C4F">
        <w:t>ultimately require</w:t>
      </w:r>
      <w:r w:rsidR="00C2550D">
        <w:t xml:space="preserve"> </w:t>
      </w:r>
      <w:r w:rsidR="00396C4F" w:rsidRPr="00396C4F">
        <w:t>governments to consider and, where necessary, commit to complementary actions beyond the Deed.  </w:t>
      </w:r>
    </w:p>
    <w:p w14:paraId="251D4DE9" w14:textId="214485AF" w:rsidR="00396C4F" w:rsidRPr="00396C4F" w:rsidRDefault="00382EE8" w:rsidP="00BA709D">
      <w:r>
        <w:rPr>
          <w:rFonts w:ascii="ZWAdobeF" w:hAnsi="ZWAdobeF" w:cs="ZWAdobeF"/>
          <w:sz w:val="2"/>
          <w:szCs w:val="2"/>
        </w:rPr>
        <w:t>624B</w:t>
      </w:r>
      <w:r w:rsidR="00396C4F" w:rsidRPr="00396C4F">
        <w:t>In this sense, the Review</w:t>
      </w:r>
      <w:r w:rsidR="00C2550D">
        <w:t xml:space="preserve"> </w:t>
      </w:r>
      <w:r w:rsidR="00396C4F" w:rsidRPr="00396C4F">
        <w:t>is</w:t>
      </w:r>
      <w:r w:rsidR="00C2550D">
        <w:t xml:space="preserve"> </w:t>
      </w:r>
      <w:r w:rsidR="00396C4F" w:rsidRPr="00396C4F">
        <w:t>an opportunity to consider whether Australia’s approach to managing the Snowy Scheme, across water, energy and environmental dimensions, continues</w:t>
      </w:r>
      <w:r w:rsidR="00660E09">
        <w:t xml:space="preserve"> </w:t>
      </w:r>
      <w:r w:rsidR="00396C4F" w:rsidRPr="00396C4F">
        <w:t xml:space="preserve">to reflect contemporary best practice, or whether </w:t>
      </w:r>
      <w:r w:rsidR="054F5CFA">
        <w:t>a</w:t>
      </w:r>
      <w:r w:rsidR="5779BBCE">
        <w:t xml:space="preserve"> </w:t>
      </w:r>
      <w:r w:rsidR="00396C4F" w:rsidRPr="00396C4F">
        <w:t xml:space="preserve">new </w:t>
      </w:r>
      <w:r w:rsidR="00041737">
        <w:t xml:space="preserve">Deed </w:t>
      </w:r>
      <w:r w:rsidR="00041737" w:rsidRPr="00396C4F">
        <w:t>is</w:t>
      </w:r>
      <w:r w:rsidR="00A92BCB">
        <w:t xml:space="preserve"> </w:t>
      </w:r>
      <w:r w:rsidR="00396C4F" w:rsidRPr="00396C4F">
        <w:t>required. </w:t>
      </w:r>
    </w:p>
    <w:p w14:paraId="464529B5" w14:textId="77777777" w:rsidR="00B0635F" w:rsidRDefault="00B0635F" w:rsidP="000E3F1F"/>
    <w:p w14:paraId="59FDF2E9" w14:textId="187878C5" w:rsidR="00EB6DFB" w:rsidRDefault="00EB6DFB">
      <w:r>
        <w:br w:type="page"/>
      </w:r>
    </w:p>
    <w:p w14:paraId="2BB58A7C" w14:textId="124CA437" w:rsidR="009634E3" w:rsidRDefault="00382EE8" w:rsidP="002852C7">
      <w:pPr>
        <w:pStyle w:val="ReviewHeading"/>
        <w:numPr>
          <w:ilvl w:val="0"/>
          <w:numId w:val="2"/>
        </w:numPr>
        <w:tabs>
          <w:tab w:val="clear" w:pos="720"/>
        </w:tabs>
        <w:ind w:left="426"/>
      </w:pPr>
      <w:bookmarkStart w:id="34" w:name="_Toc233285589"/>
      <w:bookmarkStart w:id="35" w:name="_Toc233801468"/>
      <w:r>
        <w:rPr>
          <w:rFonts w:ascii="ZWAdobeF" w:hAnsi="ZWAdobeF" w:cs="ZWAdobeF"/>
          <w:b w:val="0"/>
          <w:color w:val="auto"/>
          <w:spacing w:val="0"/>
          <w:sz w:val="2"/>
          <w:szCs w:val="2"/>
        </w:rPr>
        <w:lastRenderedPageBreak/>
        <w:t>1661B</w:t>
      </w:r>
      <w:r w:rsidR="009634E3">
        <w:t>Review Methodology</w:t>
      </w:r>
      <w:bookmarkEnd w:id="34"/>
      <w:bookmarkEnd w:id="35"/>
    </w:p>
    <w:p w14:paraId="14B6AA71" w14:textId="5220546E" w:rsidR="009634E3" w:rsidRDefault="009634E3" w:rsidP="009634E3"/>
    <w:p w14:paraId="454FDF6D" w14:textId="3E991879" w:rsidR="00D83A34" w:rsidRDefault="00382EE8" w:rsidP="00D83A34">
      <w:r>
        <w:rPr>
          <w:rFonts w:ascii="ZWAdobeF" w:hAnsi="ZWAdobeF" w:cs="ZWAdobeF"/>
          <w:sz w:val="2"/>
          <w:szCs w:val="2"/>
        </w:rPr>
        <w:t>625B</w:t>
      </w:r>
      <w:r w:rsidR="00D83A34">
        <w:t xml:space="preserve">This chapter outlines the methodology adopted by the Panel, in accordance with the Terms of Reference released in October 2025 (available at the </w:t>
      </w:r>
      <w:hyperlink r:id="rId27">
        <w:r w:rsidR="00041737" w:rsidRPr="1F7C545C">
          <w:rPr>
            <w:rStyle w:val="Hyperlink"/>
            <w:rFonts w:cs="Calibri"/>
          </w:rPr>
          <w:t xml:space="preserve">Australian Government </w:t>
        </w:r>
        <w:r w:rsidR="00D83A34" w:rsidRPr="1F7C545C">
          <w:rPr>
            <w:rStyle w:val="Hyperlink"/>
            <w:rFonts w:cs="Calibri"/>
          </w:rPr>
          <w:t>DCCEEW website</w:t>
        </w:r>
      </w:hyperlink>
      <w:r w:rsidR="00D83A34">
        <w:t>). It details the consultation processes, technical analysis, and key limitations that have informed the Panel</w:t>
      </w:r>
      <w:r w:rsidR="3401D12C">
        <w:t xml:space="preserve">’s </w:t>
      </w:r>
      <w:r w:rsidR="00D83A34">
        <w:t xml:space="preserve">assessment and recommendations for this </w:t>
      </w:r>
      <w:r w:rsidR="1A55260D">
        <w:t>r</w:t>
      </w:r>
      <w:r w:rsidR="00D83A34">
        <w:t>eport.</w:t>
      </w:r>
    </w:p>
    <w:p w14:paraId="72B2923D" w14:textId="53163866" w:rsidR="00D83A34" w:rsidRDefault="71FFD2BF" w:rsidP="00D83A34">
      <w:pPr>
        <w:pStyle w:val="ReviewHeading2"/>
        <w:rPr>
          <w:rFonts w:eastAsia="Calibri"/>
        </w:rPr>
      </w:pPr>
      <w:bookmarkStart w:id="36" w:name="_Toc233285590"/>
      <w:bookmarkStart w:id="37" w:name="_Toc233801469"/>
      <w:r w:rsidRPr="6BFEA83A">
        <w:rPr>
          <w:rFonts w:eastAsia="Calibri"/>
        </w:rPr>
        <w:t>2.1 Consultation</w:t>
      </w:r>
      <w:r w:rsidR="00D83A34" w:rsidRPr="6BFEA83A">
        <w:rPr>
          <w:rFonts w:eastAsia="Calibri"/>
        </w:rPr>
        <w:t xml:space="preserve"> process</w:t>
      </w:r>
      <w:bookmarkEnd w:id="36"/>
      <w:bookmarkEnd w:id="37"/>
    </w:p>
    <w:p w14:paraId="13E1DB38" w14:textId="6D49ADB0" w:rsidR="00E06FE5" w:rsidRPr="00B3365A" w:rsidRDefault="00382EE8" w:rsidP="00E06FE5">
      <w:r>
        <w:rPr>
          <w:rFonts w:ascii="ZWAdobeF" w:hAnsi="ZWAdobeF" w:cs="ZWAdobeF"/>
          <w:sz w:val="2"/>
          <w:szCs w:val="2"/>
        </w:rPr>
        <w:t>626B</w:t>
      </w:r>
      <w:r w:rsidR="00E06FE5" w:rsidRPr="00B3365A">
        <w:t>A comprehensive consultation program was undertaken to inform the Review, ensuring that a wide range of perspectives were captured and meaningfully considered.</w:t>
      </w:r>
    </w:p>
    <w:p w14:paraId="5AA3B0DC" w14:textId="2D213060" w:rsidR="00E06FE5" w:rsidRPr="00B3365A" w:rsidRDefault="00382EE8" w:rsidP="00E06FE5">
      <w:r>
        <w:rPr>
          <w:rFonts w:ascii="ZWAdobeF" w:hAnsi="ZWAdobeF" w:cs="ZWAdobeF"/>
          <w:sz w:val="2"/>
          <w:szCs w:val="2"/>
        </w:rPr>
        <w:t>627B</w:t>
      </w:r>
      <w:r w:rsidR="00E06FE5">
        <w:t xml:space="preserve">The </w:t>
      </w:r>
      <w:r w:rsidR="435240C1">
        <w:t>P</w:t>
      </w:r>
      <w:r w:rsidR="7F2B9345">
        <w:t>anel</w:t>
      </w:r>
      <w:r w:rsidR="00E06FE5">
        <w:t xml:space="preserve"> met </w:t>
      </w:r>
      <w:r w:rsidR="00881CFD">
        <w:t xml:space="preserve">on a number of occasions </w:t>
      </w:r>
      <w:r w:rsidR="00E06FE5">
        <w:t>and carefully considered the input of the First Nations Advisory Group (FNAG), the Intergovernmental Review Consultation Group (RCG)</w:t>
      </w:r>
      <w:r w:rsidR="476DDB12">
        <w:t xml:space="preserve">, </w:t>
      </w:r>
      <w:r w:rsidR="15449A8A">
        <w:t>energy, water and environment agencies in the Australian Government, NSW, Victoria and the ACT</w:t>
      </w:r>
      <w:r w:rsidR="00E06FE5">
        <w:t xml:space="preserve">, and the Stakeholder Advisory Group (SAG) throughout the </w:t>
      </w:r>
      <w:r w:rsidR="631517EA">
        <w:t>R</w:t>
      </w:r>
      <w:r w:rsidR="7F2B9345">
        <w:t>eview.</w:t>
      </w:r>
      <w:r w:rsidR="00E06FE5">
        <w:t xml:space="preserve"> Each of the three </w:t>
      </w:r>
      <w:r w:rsidR="59D1B501">
        <w:t xml:space="preserve">stakeholder </w:t>
      </w:r>
      <w:r w:rsidR="00E06FE5">
        <w:t xml:space="preserve">groups were independently facilitated through a deliberative process designed to bring </w:t>
      </w:r>
      <w:r w:rsidR="764B85D2">
        <w:t>them</w:t>
      </w:r>
      <w:r w:rsidR="00E06FE5">
        <w:t xml:space="preserve"> along and to gather informed perspectives on the complex trade-offs presented by the Review. The advice of the three groups to the Panel can be found at</w:t>
      </w:r>
      <w:r w:rsidR="003C779B">
        <w:t xml:space="preserve"> </w:t>
      </w:r>
      <w:hyperlink r:id="rId28" w:history="1">
        <w:r w:rsidR="003C779B" w:rsidRPr="003C779B">
          <w:rPr>
            <w:rStyle w:val="Hyperlink"/>
          </w:rPr>
          <w:t>Review of the Snowy Water Inquiry Outcomes Implementation Deed - DCCEEW</w:t>
        </w:r>
      </w:hyperlink>
      <w:r w:rsidR="00C62140" w:rsidRPr="00C62140">
        <w:t>.</w:t>
      </w:r>
    </w:p>
    <w:p w14:paraId="54C4C6A1" w14:textId="1790E801" w:rsidR="00E06FE5" w:rsidRPr="00CC7A58" w:rsidRDefault="00382EE8" w:rsidP="00E06FE5">
      <w:r>
        <w:rPr>
          <w:rFonts w:ascii="ZWAdobeF" w:hAnsi="ZWAdobeF" w:cs="ZWAdobeF"/>
          <w:sz w:val="2"/>
          <w:szCs w:val="2"/>
        </w:rPr>
        <w:t>628B</w:t>
      </w:r>
      <w:r w:rsidR="00E06FE5">
        <w:t xml:space="preserve">In addition to formal advisory groups, the </w:t>
      </w:r>
      <w:r w:rsidR="3679BA5E">
        <w:t>P</w:t>
      </w:r>
      <w:r w:rsidR="7F2B9345">
        <w:t>anel</w:t>
      </w:r>
      <w:r w:rsidR="00E06FE5">
        <w:t xml:space="preserve"> engaged directly with a broad range of key stakeholders, including </w:t>
      </w:r>
      <w:r w:rsidR="00E06FE5" w:rsidRPr="00A71BA6">
        <w:t>academics, First Nations representatives, irrigators, environmental advocates and relevant government bodies</w:t>
      </w:r>
      <w:r w:rsidR="00973861" w:rsidRPr="00A71BA6">
        <w:t>, including catchment management authorities</w:t>
      </w:r>
      <w:r w:rsidR="00E06FE5" w:rsidRPr="00A71BA6">
        <w:t xml:space="preserve">. A comprehensive list of consultation activities </w:t>
      </w:r>
      <w:r w:rsidR="002C0E1B" w:rsidRPr="00A71BA6">
        <w:t>undertaken for this Report</w:t>
      </w:r>
      <w:r w:rsidR="00E06FE5" w:rsidRPr="00A71BA6">
        <w:t xml:space="preserve"> is provided at </w:t>
      </w:r>
      <w:r w:rsidR="00E06FE5" w:rsidRPr="00CC7A58">
        <w:rPr>
          <w:b/>
        </w:rPr>
        <w:t xml:space="preserve">Appendix </w:t>
      </w:r>
      <w:r w:rsidR="00A71BA6" w:rsidRPr="00CC7A58">
        <w:rPr>
          <w:b/>
          <w:bCs/>
        </w:rPr>
        <w:t>A</w:t>
      </w:r>
      <w:r w:rsidR="00E06FE5" w:rsidRPr="00CC7A58">
        <w:t>.</w:t>
      </w:r>
    </w:p>
    <w:p w14:paraId="1C04FF1C" w14:textId="06481D18" w:rsidR="00E06FE5" w:rsidRPr="00A71BA6" w:rsidRDefault="00382EE8" w:rsidP="00E06FE5">
      <w:r>
        <w:rPr>
          <w:rFonts w:ascii="ZWAdobeF" w:hAnsi="ZWAdobeF" w:cs="ZWAdobeF"/>
          <w:sz w:val="2"/>
          <w:szCs w:val="2"/>
        </w:rPr>
        <w:t>629B</w:t>
      </w:r>
      <w:r w:rsidR="00E06FE5">
        <w:t xml:space="preserve">In addition to the </w:t>
      </w:r>
      <w:r w:rsidR="1DD5BA6F">
        <w:t>U</w:t>
      </w:r>
      <w:r w:rsidR="00E06FE5">
        <w:t xml:space="preserve">pper Murrumbidgee stakeholders, the Panel undertook consultation activities across the Snowy region, including visits to Marlo, Victoria and Dalgety, NSW in January 2026, to engage directly with local stakeholders. The Panel also undertook site inspection of the Mowamba Weir which provided further context </w:t>
      </w:r>
      <w:r w:rsidR="60131CC0">
        <w:t>for</w:t>
      </w:r>
      <w:r w:rsidR="00E06FE5">
        <w:t xml:space="preserve"> community concerns. First Nations’ perspectives in the Snowy region were conveyed to the </w:t>
      </w:r>
      <w:r w:rsidR="097FA4A2">
        <w:t>P</w:t>
      </w:r>
      <w:r w:rsidR="00E06FE5">
        <w:t>anel through the appointed First Nations facilitator.</w:t>
      </w:r>
    </w:p>
    <w:p w14:paraId="637EB996" w14:textId="17006C51" w:rsidR="00E06FE5" w:rsidRPr="00B3365A" w:rsidRDefault="00382EE8" w:rsidP="00E06FE5">
      <w:pPr>
        <w:rPr>
          <w:rFonts w:eastAsia="Aptos" w:cs="Aptos"/>
        </w:rPr>
      </w:pPr>
      <w:r>
        <w:rPr>
          <w:rFonts w:ascii="ZWAdobeF" w:hAnsi="ZWAdobeF" w:cs="ZWAdobeF"/>
          <w:sz w:val="2"/>
          <w:szCs w:val="2"/>
        </w:rPr>
        <w:t>630B</w:t>
      </w:r>
      <w:r w:rsidR="00E06FE5">
        <w:t xml:space="preserve">The Panel also met with Snowy Hydro on a number of occasions throughout the review process, captured at </w:t>
      </w:r>
      <w:r w:rsidR="00E06FE5" w:rsidRPr="1F7C545C">
        <w:rPr>
          <w:b/>
          <w:bCs/>
        </w:rPr>
        <w:t xml:space="preserve">Appendix </w:t>
      </w:r>
      <w:r w:rsidR="00A71BA6" w:rsidRPr="1F7C545C">
        <w:rPr>
          <w:b/>
          <w:bCs/>
        </w:rPr>
        <w:t>A</w:t>
      </w:r>
      <w:r w:rsidR="00E06FE5">
        <w:t xml:space="preserve">. The Panel visited Snowy Hydro facilities, </w:t>
      </w:r>
      <w:r w:rsidR="007E5B78">
        <w:t>as part of</w:t>
      </w:r>
      <w:r w:rsidR="00E06FE5">
        <w:t xml:space="preserve"> a tour of key infrastructure assets including Tantangara Dam. This site visit provided valuable context, enabling the Panel to better understand the operational, engineering and environmental considerations associated with water management and delivery across the </w:t>
      </w:r>
      <w:r w:rsidR="30D202D8">
        <w:t>S</w:t>
      </w:r>
      <w:r w:rsidR="00E06FE5">
        <w:t>cheme.</w:t>
      </w:r>
      <w:r w:rsidR="00E06FE5" w:rsidRPr="1F7C545C">
        <w:rPr>
          <w:rFonts w:eastAsia="Aptos" w:cs="Aptos"/>
        </w:rPr>
        <w:t xml:space="preserve"> </w:t>
      </w:r>
    </w:p>
    <w:p w14:paraId="0FA2A2E3" w14:textId="040A3784" w:rsidR="00E06FE5" w:rsidRPr="00B3365A" w:rsidRDefault="00382EE8">
      <w:r>
        <w:rPr>
          <w:rFonts w:ascii="ZWAdobeF" w:hAnsi="ZWAdobeF" w:cs="ZWAdobeF"/>
          <w:sz w:val="2"/>
          <w:szCs w:val="2"/>
        </w:rPr>
        <w:t>631B</w:t>
      </w:r>
      <w:r w:rsidR="00E06FE5">
        <w:t xml:space="preserve">The Review also considered findings from the public Have Your Say consultation on the Panel’s Issues Consultation Report, published in December 2025. The Panel received 136 submissions, reflective of the strong community interest in the review. Insights from the </w:t>
      </w:r>
      <w:r w:rsidR="0DEAE466">
        <w:t xml:space="preserve">consultation </w:t>
      </w:r>
      <w:r w:rsidR="00E06FE5">
        <w:t>have been incorporated throughout this draft report, with stakeholder feedback carefully considered in shaping and testing the recommendations. Key findings from th</w:t>
      </w:r>
      <w:r w:rsidR="5B636F12">
        <w:t>is</w:t>
      </w:r>
      <w:r w:rsidR="00E06FE5">
        <w:t xml:space="preserve"> consultation </w:t>
      </w:r>
      <w:r w:rsidR="696AEB11">
        <w:t xml:space="preserve">process </w:t>
      </w:r>
      <w:r w:rsidR="00E06FE5">
        <w:t xml:space="preserve">are available on the </w:t>
      </w:r>
      <w:r w:rsidR="0DEAE466">
        <w:t>Commonwealth DCCEEW website</w:t>
      </w:r>
      <w:r w:rsidR="00E06FE5">
        <w:t>.</w:t>
      </w:r>
    </w:p>
    <w:p w14:paraId="6D4F8773" w14:textId="3A41A957" w:rsidR="00E06FE5" w:rsidRPr="00B3365A" w:rsidRDefault="00382EE8" w:rsidP="00E06FE5">
      <w:r>
        <w:rPr>
          <w:rFonts w:ascii="ZWAdobeF" w:hAnsi="ZWAdobeF" w:cs="ZWAdobeF"/>
          <w:sz w:val="2"/>
          <w:szCs w:val="2"/>
        </w:rPr>
        <w:lastRenderedPageBreak/>
        <w:t>632B</w:t>
      </w:r>
      <w:r w:rsidR="00E06FE5">
        <w:t xml:space="preserve">Overall, the Review consultation process was designed to ensure that diverse stakeholder views were captured and systematically integrated into the Review. Further detail on the consultation methodology is provided in the </w:t>
      </w:r>
      <w:hyperlink r:id="rId29">
        <w:r w:rsidR="00E06FE5" w:rsidRPr="1F7C545C">
          <w:rPr>
            <w:rStyle w:val="Hyperlink"/>
          </w:rPr>
          <w:t>Commonwealth DCCEEW’s Review Framework.</w:t>
        </w:r>
      </w:hyperlink>
    </w:p>
    <w:p w14:paraId="10F5DE98" w14:textId="4200F848" w:rsidR="00507DAE" w:rsidRPr="006618B6" w:rsidRDefault="00382EE8" w:rsidP="00C6428D">
      <w:pPr>
        <w:pStyle w:val="Caption"/>
        <w:keepNext/>
        <w:rPr>
          <w:b/>
          <w:bCs/>
          <w:color w:val="auto"/>
          <w:sz w:val="20"/>
          <w:szCs w:val="20"/>
        </w:rPr>
      </w:pPr>
      <w:r>
        <w:rPr>
          <w:rFonts w:ascii="ZWAdobeF" w:hAnsi="ZWAdobeF" w:cs="ZWAdobeF"/>
          <w:bCs/>
          <w:i w:val="0"/>
          <w:color w:val="auto"/>
          <w:sz w:val="2"/>
          <w:szCs w:val="2"/>
        </w:rPr>
        <w:t>2B</w:t>
      </w:r>
      <w:r w:rsidR="00507DAE" w:rsidRPr="006618B6">
        <w:rPr>
          <w:b/>
          <w:bCs/>
          <w:color w:val="auto"/>
          <w:sz w:val="20"/>
          <w:szCs w:val="20"/>
        </w:rPr>
        <w:t xml:space="preserve">Figure </w:t>
      </w:r>
      <w:r w:rsidR="00507DAE" w:rsidRPr="006618B6">
        <w:rPr>
          <w:b/>
          <w:bCs/>
          <w:color w:val="auto"/>
          <w:sz w:val="20"/>
          <w:szCs w:val="20"/>
        </w:rPr>
        <w:fldChar w:fldCharType="begin"/>
      </w:r>
      <w:r w:rsidR="00507DAE" w:rsidRPr="003C779B">
        <w:rPr>
          <w:b/>
          <w:bCs/>
          <w:color w:val="auto"/>
          <w:sz w:val="20"/>
          <w:szCs w:val="20"/>
        </w:rPr>
        <w:instrText xml:space="preserve"> SEQ Figure \* ARABIC </w:instrText>
      </w:r>
      <w:r w:rsidR="00507DAE" w:rsidRPr="006618B6">
        <w:rPr>
          <w:b/>
          <w:bCs/>
          <w:color w:val="auto"/>
          <w:sz w:val="20"/>
          <w:szCs w:val="20"/>
        </w:rPr>
        <w:fldChar w:fldCharType="separate"/>
      </w:r>
      <w:r w:rsidR="0005178F" w:rsidRPr="003C779B">
        <w:rPr>
          <w:b/>
          <w:bCs/>
          <w:color w:val="auto"/>
          <w:sz w:val="20"/>
          <w:szCs w:val="20"/>
        </w:rPr>
        <w:t>3</w:t>
      </w:r>
      <w:r w:rsidR="00507DAE" w:rsidRPr="006618B6">
        <w:rPr>
          <w:b/>
          <w:bCs/>
          <w:color w:val="auto"/>
          <w:sz w:val="20"/>
          <w:szCs w:val="20"/>
        </w:rPr>
        <w:fldChar w:fldCharType="end"/>
      </w:r>
      <w:r w:rsidR="00507DAE" w:rsidRPr="006618B6">
        <w:rPr>
          <w:b/>
          <w:bCs/>
          <w:color w:val="auto"/>
          <w:sz w:val="20"/>
          <w:szCs w:val="20"/>
        </w:rPr>
        <w:t>: Community Consultation in Marlo, Victoria (</w:t>
      </w:r>
      <w:r w:rsidR="007140D6" w:rsidRPr="006618B6">
        <w:rPr>
          <w:b/>
          <w:bCs/>
          <w:color w:val="auto"/>
          <w:sz w:val="20"/>
          <w:szCs w:val="20"/>
        </w:rPr>
        <w:t xml:space="preserve">February </w:t>
      </w:r>
      <w:r w:rsidR="00507DAE" w:rsidRPr="006618B6">
        <w:rPr>
          <w:b/>
          <w:bCs/>
          <w:color w:val="auto"/>
          <w:sz w:val="20"/>
          <w:szCs w:val="20"/>
        </w:rPr>
        <w:t xml:space="preserve">2026). </w:t>
      </w:r>
      <w:r w:rsidR="007F3B8D" w:rsidRPr="006618B6">
        <w:rPr>
          <w:b/>
          <w:bCs/>
          <w:color w:val="auto"/>
          <w:sz w:val="20"/>
          <w:szCs w:val="20"/>
        </w:rPr>
        <w:t>Source</w:t>
      </w:r>
      <w:r w:rsidR="00507DAE" w:rsidRPr="006618B6">
        <w:rPr>
          <w:b/>
          <w:bCs/>
          <w:color w:val="auto"/>
          <w:sz w:val="20"/>
          <w:szCs w:val="20"/>
        </w:rPr>
        <w:t>: Australian Government DCCEEW.</w:t>
      </w:r>
    </w:p>
    <w:p w14:paraId="499E0493" w14:textId="2F49EC74" w:rsidR="00D83A34" w:rsidRPr="00B3365A" w:rsidRDefault="00382EE8" w:rsidP="009A9765">
      <w:pPr>
        <w:jc w:val="center"/>
      </w:pPr>
      <w:r>
        <w:rPr>
          <w:rFonts w:ascii="ZWAdobeF" w:hAnsi="ZWAdobeF" w:cs="ZWAdobeF"/>
          <w:sz w:val="2"/>
          <w:szCs w:val="2"/>
        </w:rPr>
        <w:t>633B</w:t>
      </w:r>
      <w:r w:rsidR="00A61B95" w:rsidRPr="004D4D79">
        <w:rPr>
          <w:noProof/>
        </w:rPr>
        <w:drawing>
          <wp:inline distT="0" distB="0" distL="0" distR="0" wp14:anchorId="5858BAED" wp14:editId="5623A90C">
            <wp:extent cx="5448300" cy="3352800"/>
            <wp:effectExtent l="0" t="0" r="0" b="0"/>
            <wp:docPr id="724533730" name="drawing" descr="P5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33730" name="drawing" descr="P505#yIS1"/>
                    <pic:cNvPicPr/>
                  </pic:nvPicPr>
                  <pic:blipFill>
                    <a:blip r:embed="rId30">
                      <a:extLst>
                        <a:ext uri="{28A0092B-C50C-407E-A947-70E740481C1C}">
                          <a14:useLocalDpi xmlns:a14="http://schemas.microsoft.com/office/drawing/2010/main"/>
                        </a:ext>
                      </a:extLst>
                    </a:blip>
                    <a:stretch>
                      <a:fillRect/>
                    </a:stretch>
                  </pic:blipFill>
                  <pic:spPr>
                    <a:xfrm>
                      <a:off x="0" y="0"/>
                      <a:ext cx="5448300" cy="3352800"/>
                    </a:xfrm>
                    <a:prstGeom prst="rect">
                      <a:avLst/>
                    </a:prstGeom>
                  </pic:spPr>
                </pic:pic>
              </a:graphicData>
            </a:graphic>
          </wp:inline>
        </w:drawing>
      </w:r>
    </w:p>
    <w:p w14:paraId="53C0EF15" w14:textId="641988BB" w:rsidR="00567F66" w:rsidRDefault="00567F66" w:rsidP="00567F66">
      <w:pPr>
        <w:pStyle w:val="ReviewHeading2"/>
      </w:pPr>
      <w:bookmarkStart w:id="38" w:name="_Toc233285591"/>
      <w:bookmarkStart w:id="39" w:name="_Toc233801470"/>
      <w:r>
        <w:t>2.2</w:t>
      </w:r>
      <w:r w:rsidDel="00567F66">
        <w:t xml:space="preserve"> </w:t>
      </w:r>
      <w:r>
        <w:t>Technical evidence considered by the Panel</w:t>
      </w:r>
      <w:bookmarkEnd w:id="38"/>
      <w:bookmarkEnd w:id="39"/>
    </w:p>
    <w:p w14:paraId="71C41FC7" w14:textId="6004B2BD" w:rsidR="00FF7B2A" w:rsidRPr="00B3365A" w:rsidRDefault="00382EE8" w:rsidP="00FF7B2A">
      <w:r>
        <w:rPr>
          <w:rFonts w:ascii="ZWAdobeF" w:hAnsi="ZWAdobeF" w:cs="ZWAdobeF"/>
          <w:sz w:val="2"/>
          <w:szCs w:val="2"/>
        </w:rPr>
        <w:t>634B</w:t>
      </w:r>
      <w:r w:rsidR="00FF7B2A">
        <w:t xml:space="preserve">The Review was supported by an integrated program of technical analysis designed to assess how alternative environmental flow arrangements could improve environmental outcomes in the </w:t>
      </w:r>
      <w:r w:rsidR="32FF2020">
        <w:t>U</w:t>
      </w:r>
      <w:r w:rsidR="00FF7B2A">
        <w:t xml:space="preserve">pper </w:t>
      </w:r>
      <w:r w:rsidR="65141634">
        <w:t>Murrumbidgee while</w:t>
      </w:r>
      <w:r w:rsidR="00FF7B2A">
        <w:t xml:space="preserve"> considering implications for connected water systems, energy generation and the broader community.</w:t>
      </w:r>
    </w:p>
    <w:p w14:paraId="0C041B1E" w14:textId="63737963" w:rsidR="00FF7B2A" w:rsidRPr="00B3365A" w:rsidRDefault="00382EE8" w:rsidP="00FF7B2A">
      <w:r>
        <w:rPr>
          <w:rFonts w:ascii="ZWAdobeF" w:hAnsi="ZWAdobeF" w:cs="ZWAdobeF"/>
          <w:sz w:val="2"/>
          <w:szCs w:val="2"/>
        </w:rPr>
        <w:t>635B</w:t>
      </w:r>
      <w:r w:rsidR="00FF7B2A">
        <w:t xml:space="preserve">The technical program combined hydrological modelling, ecological assessment, integrated river system modelling, energy modelling and economic and social analysis. Each technical workstream served a distinct purpose within the Review, however these workstreams were not undertaken independently. </w:t>
      </w:r>
      <w:r w:rsidR="007F5F7C">
        <w:t>Outcomes from e</w:t>
      </w:r>
      <w:r w:rsidR="00FF7B2A">
        <w:t xml:space="preserve">ach workstream </w:t>
      </w:r>
      <w:r w:rsidR="007321C3">
        <w:t>iteratively</w:t>
      </w:r>
      <w:r w:rsidR="007F5F7C">
        <w:t xml:space="preserve"> </w:t>
      </w:r>
      <w:r w:rsidR="00FF7B2A">
        <w:t xml:space="preserve">informed the </w:t>
      </w:r>
      <w:r w:rsidR="007F5F7C">
        <w:t xml:space="preserve">other </w:t>
      </w:r>
      <w:r w:rsidR="007321C3">
        <w:t>workstreams</w:t>
      </w:r>
      <w:r w:rsidR="00FF7B2A">
        <w:t>, creating a linked evidence base that enabled the Panel to evaluate environmental outcomes alongside broader system impacts.</w:t>
      </w:r>
    </w:p>
    <w:p w14:paraId="14911143" w14:textId="05533060" w:rsidR="00FF7B2A" w:rsidRPr="00B3365A" w:rsidRDefault="00382EE8" w:rsidP="00FF7B2A">
      <w:r>
        <w:rPr>
          <w:rFonts w:ascii="ZWAdobeF" w:hAnsi="ZWAdobeF" w:cs="ZWAdobeF"/>
          <w:bCs/>
          <w:sz w:val="2"/>
          <w:szCs w:val="2"/>
        </w:rPr>
        <w:t>636B</w:t>
      </w:r>
      <w:r w:rsidR="007140D6" w:rsidRPr="007140D6">
        <w:rPr>
          <w:b/>
          <w:bCs/>
        </w:rPr>
        <w:t>Figure 4</w:t>
      </w:r>
      <w:r w:rsidR="00FF7B2A" w:rsidRPr="007140D6">
        <w:t xml:space="preserve"> summarises</w:t>
      </w:r>
      <w:r w:rsidR="00FF7B2A" w:rsidRPr="00B3365A">
        <w:t xml:space="preserve"> the relationship between the technical workstreams considered by the Panel.</w:t>
      </w:r>
    </w:p>
    <w:p w14:paraId="38BEFEB4" w14:textId="77777777" w:rsidR="00A23692" w:rsidRDefault="00A23692" w:rsidP="00A23692">
      <w:pPr>
        <w:pStyle w:val="ReviewHeading3"/>
      </w:pPr>
      <w:r>
        <w:t>Technical workstreams and evidence integration</w:t>
      </w:r>
    </w:p>
    <w:p w14:paraId="2510C53F" w14:textId="490FFC69" w:rsidR="00DF24BA" w:rsidRPr="00B3365A" w:rsidRDefault="00382EE8" w:rsidP="00DF24BA">
      <w:r>
        <w:rPr>
          <w:rFonts w:ascii="ZWAdobeF" w:hAnsi="ZWAdobeF" w:cs="ZWAdobeF"/>
          <w:sz w:val="2"/>
          <w:szCs w:val="2"/>
        </w:rPr>
        <w:t>637B</w:t>
      </w:r>
      <w:r w:rsidR="00DF24BA">
        <w:t xml:space="preserve">The technical program commenced with a detailed assessment of current ecological conditions, and the development of ecological objectives and Environmental Water Requirements (EWRs) for the Upper Murrumbidgee. Ecological objectives defined the environmental outcomes sought through the Review and provided the basis for assessing alternative environmental flow </w:t>
      </w:r>
      <w:r w:rsidR="00DF24BA">
        <w:lastRenderedPageBreak/>
        <w:t>arrangements. The EWRs translated those objectives into measurable flow components, specifying the magnitude, timing, duration and frequency of flows required to support ecological processes and river health.</w:t>
      </w:r>
    </w:p>
    <w:p w14:paraId="3EA4881E" w14:textId="4E7A68B6" w:rsidR="00C90BE9" w:rsidRPr="00C90BE9" w:rsidRDefault="00382EE8" w:rsidP="00C90BE9">
      <w:pPr>
        <w:rPr>
          <w:b/>
          <w:bCs/>
        </w:rPr>
      </w:pPr>
      <w:r>
        <w:rPr>
          <w:rFonts w:ascii="ZWAdobeF" w:hAnsi="ZWAdobeF" w:cs="ZWAdobeF"/>
          <w:sz w:val="2"/>
          <w:szCs w:val="2"/>
        </w:rPr>
        <w:t>638B</w:t>
      </w:r>
      <w:r w:rsidR="00DF24BA" w:rsidRPr="00B3365A">
        <w:t xml:space="preserve">Upper Murrumbidgee Hydrological modelling formed the central analytical platform for the Review. The modelling tested alternative environmental flow </w:t>
      </w:r>
      <w:r w:rsidR="00DF24BA">
        <w:t>o</w:t>
      </w:r>
      <w:r w:rsidR="00DF24BA" w:rsidRPr="00B3365A">
        <w:t xml:space="preserve">ptions and quantified the water required to achieve different combinations of </w:t>
      </w:r>
      <w:r w:rsidR="00DF24BA">
        <w:t>EWRs</w:t>
      </w:r>
      <w:r w:rsidR="00DF24BA" w:rsidRPr="00B3365A">
        <w:t xml:space="preserve">. The hydrological modelling also provided the inputs required for all subsequent technical assessments. </w:t>
      </w:r>
      <w:r w:rsidR="00B926D6" w:rsidRPr="00B926D6">
        <w:t xml:space="preserve">Further information is published on DCCEEW's website: </w:t>
      </w:r>
      <w:hyperlink r:id="rId31" w:tgtFrame="_blank" w:tooltip="https://www.dcceew.gov.au/water/policy/publications/technical-expert-group-input-review-snowy-water-inquiry-outcomes-implementation-deed" w:history="1">
        <w:r w:rsidR="00B926D6" w:rsidRPr="00B926D6">
          <w:rPr>
            <w:rStyle w:val="Hyperlink"/>
          </w:rPr>
          <w:t>Technical Expert Group input into the Review of the Snowy Water Inquiry Outcomes Implementation Deed</w:t>
        </w:r>
      </w:hyperlink>
      <w:r w:rsidR="00B926D6" w:rsidRPr="00B926D6">
        <w:t>.</w:t>
      </w:r>
    </w:p>
    <w:p w14:paraId="32E59947" w14:textId="23C4C305" w:rsidR="00DF24BA" w:rsidRPr="00B3365A" w:rsidRDefault="00382EE8" w:rsidP="00DF24BA">
      <w:r>
        <w:rPr>
          <w:rFonts w:ascii="ZWAdobeF" w:hAnsi="ZWAdobeF" w:cs="ZWAdobeF"/>
          <w:sz w:val="2"/>
          <w:szCs w:val="2"/>
        </w:rPr>
        <w:t>639B</w:t>
      </w:r>
      <w:r w:rsidR="00DF24BA">
        <w:t>Three assessment</w:t>
      </w:r>
      <w:r w:rsidR="76872057">
        <w:t>s</w:t>
      </w:r>
      <w:r w:rsidR="00DF24BA">
        <w:t xml:space="preserve"> were then undertaken using the Upper Murrumbidgee hydrological modelling outputs.</w:t>
      </w:r>
    </w:p>
    <w:p w14:paraId="2D35FA22" w14:textId="613AB1D3" w:rsidR="00DF24BA" w:rsidRPr="00B3365A" w:rsidRDefault="00382EE8" w:rsidP="00DF24BA">
      <w:r>
        <w:rPr>
          <w:rFonts w:ascii="ZWAdobeF" w:hAnsi="ZWAdobeF" w:cs="ZWAdobeF"/>
          <w:sz w:val="2"/>
          <w:szCs w:val="2"/>
        </w:rPr>
        <w:t>640B</w:t>
      </w:r>
      <w:r w:rsidR="00DF24BA">
        <w:t xml:space="preserve">The ecological assessment examined the extent to which EWRs were achieved under each option and assessed the likely ecological response of the river system. This included consideration of river connectivity, habitat condition, geomorphic processes, water quality and native fish populations. </w:t>
      </w:r>
    </w:p>
    <w:p w14:paraId="0AC9ACD1" w14:textId="3643C71F" w:rsidR="00DF24BA" w:rsidRPr="00B3365A" w:rsidRDefault="00382EE8" w:rsidP="00DF24BA">
      <w:r>
        <w:rPr>
          <w:rFonts w:ascii="ZWAdobeF" w:hAnsi="ZWAdobeF" w:cs="ZWAdobeF"/>
          <w:sz w:val="2"/>
          <w:szCs w:val="2"/>
        </w:rPr>
        <w:t>641B</w:t>
      </w:r>
      <w:r w:rsidR="00DF24BA" w:rsidRPr="00B3365A">
        <w:t xml:space="preserve">Integrated river system modelling assessed implications of the options for the regulated Murrumbidgee River and other connected water systems. This work examined changes to downstream flows, water availability, allocations, diversions, storage behaviour and transmission losses. </w:t>
      </w:r>
    </w:p>
    <w:p w14:paraId="75F785D2" w14:textId="5276E533" w:rsidR="00DF24BA" w:rsidRPr="00B3365A" w:rsidRDefault="00382EE8" w:rsidP="00DF24BA">
      <w:r>
        <w:rPr>
          <w:rFonts w:ascii="ZWAdobeF" w:hAnsi="ZWAdobeF" w:cs="ZWAdobeF"/>
          <w:sz w:val="2"/>
          <w:szCs w:val="2"/>
        </w:rPr>
        <w:t>642B</w:t>
      </w:r>
      <w:r w:rsidR="00DF24BA">
        <w:t xml:space="preserve">Energy modelling assessed implications of the options for Snowy Hydro operations and the NEM. This included consideration of generation outcomes, storage operations, market impacts and energy system reliability. </w:t>
      </w:r>
    </w:p>
    <w:p w14:paraId="33D5B676" w14:textId="67F238B8" w:rsidR="00DF24BA" w:rsidRPr="00B3365A" w:rsidRDefault="00382EE8" w:rsidP="00DF24BA">
      <w:r>
        <w:rPr>
          <w:rFonts w:ascii="ZWAdobeF" w:hAnsi="ZWAdobeF" w:cs="ZWAdobeF"/>
          <w:sz w:val="2"/>
          <w:szCs w:val="2"/>
        </w:rPr>
        <w:t>643B</w:t>
      </w:r>
      <w:r w:rsidR="00DF24BA" w:rsidRPr="00B3365A">
        <w:t>The outputs from these technical assessments were then integrated through an economic assessment, including cost-benefit analysis and evaluation of broader socio</w:t>
      </w:r>
      <w:r w:rsidR="00EB7773">
        <w:t>-</w:t>
      </w:r>
      <w:r w:rsidR="00DF24BA" w:rsidRPr="00B3365A">
        <w:t xml:space="preserve">economic outcomes. This work combined ecological, hydrological and energy outcomes to assess the relative costs and benefits of alternative environmental flow options. </w:t>
      </w:r>
    </w:p>
    <w:p w14:paraId="28C5995F" w14:textId="0723153B" w:rsidR="00DF24BA" w:rsidRPr="00B3365A" w:rsidRDefault="00382EE8" w:rsidP="00DF24BA">
      <w:r>
        <w:rPr>
          <w:rFonts w:ascii="ZWAdobeF" w:hAnsi="ZWAdobeF" w:cs="ZWAdobeF"/>
          <w:sz w:val="2"/>
          <w:szCs w:val="2"/>
        </w:rPr>
        <w:t>644B</w:t>
      </w:r>
      <w:r w:rsidR="00DF24BA" w:rsidRPr="00B3365A">
        <w:t>While the economic assessment drew together information from multiple workstreams, the Panel considered each technical assessment directly. The Panel's conclusions were informed by the full body of evidence rather than any single model or assessment framework.</w:t>
      </w:r>
    </w:p>
    <w:p w14:paraId="3F999672" w14:textId="636DD221" w:rsidR="00DF24BA" w:rsidRDefault="00382EE8" w:rsidP="00DF24BA">
      <w:r>
        <w:rPr>
          <w:rFonts w:ascii="ZWAdobeF" w:hAnsi="ZWAdobeF" w:cs="ZWAdobeF"/>
          <w:sz w:val="2"/>
          <w:szCs w:val="2"/>
        </w:rPr>
        <w:t>645B</w:t>
      </w:r>
      <w:r w:rsidR="00DF24BA" w:rsidRPr="00B3365A">
        <w:t>The final stage of the process involved the Panel's integrated assessment, which combined technical evidence, stakeholder input and expert judgement to develop recommendations.</w:t>
      </w:r>
    </w:p>
    <w:p w14:paraId="7E854D1C" w14:textId="11BB8F1C" w:rsidR="007310AE" w:rsidRPr="00B3365A" w:rsidRDefault="00382EE8" w:rsidP="00DF24BA">
      <w:r>
        <w:rPr>
          <w:rFonts w:ascii="ZWAdobeF" w:hAnsi="ZWAdobeF" w:cs="ZWAdobeF"/>
          <w:sz w:val="2"/>
          <w:szCs w:val="2"/>
        </w:rPr>
        <w:t>646B</w:t>
      </w:r>
      <w:r w:rsidR="007310AE" w:rsidRPr="007310AE">
        <w:t xml:space="preserve">Further information is published on DCCEEW's website: </w:t>
      </w:r>
      <w:hyperlink r:id="rId32" w:tgtFrame="_blank" w:tooltip="https://www.dcceew.gov.au/water/policy/publications/technical-expert-group-input-review-snowy-water-inquiry-outcomes-implementation-deed" w:history="1">
        <w:r w:rsidR="007310AE" w:rsidRPr="007310AE">
          <w:rPr>
            <w:rStyle w:val="Hyperlink"/>
          </w:rPr>
          <w:t>Technical Expert Group input into the Review of the Snowy Water Inquiry Outcomes Implementation Deed</w:t>
        </w:r>
      </w:hyperlink>
      <w:r w:rsidR="007310AE" w:rsidRPr="007310AE">
        <w:t>.</w:t>
      </w:r>
    </w:p>
    <w:p w14:paraId="022D7174" w14:textId="4A0DE29D" w:rsidR="00DF24BA" w:rsidRDefault="00382EE8" w:rsidP="00DF24BA">
      <w:r>
        <w:rPr>
          <w:rFonts w:ascii="ZWAdobeF" w:hAnsi="ZWAdobeF" w:cs="ZWAdobeF"/>
          <w:sz w:val="2"/>
          <w:szCs w:val="2"/>
        </w:rPr>
        <w:t>647B</w:t>
      </w:r>
      <w:r w:rsidR="00DF24BA">
        <w:t xml:space="preserve">Throughout the Review, advisory group input </w:t>
      </w:r>
      <w:r w:rsidR="24B374A5">
        <w:t xml:space="preserve">regularly </w:t>
      </w:r>
      <w:r w:rsidR="00DF24BA">
        <w:t xml:space="preserve">informed </w:t>
      </w:r>
      <w:r w:rsidR="363B844F">
        <w:t>t</w:t>
      </w:r>
      <w:r w:rsidR="00DF24BA">
        <w:t>he technical program. The FNAG, SAG and RCG provided advice on ecological objectives, environmental water requirements, option design, modelling assumptions and interpretation of results</w:t>
      </w:r>
      <w:r w:rsidR="04FD774B">
        <w:t xml:space="preserve"> including considerations about impacts (to the NEM, downstream water users etc)</w:t>
      </w:r>
      <w:r w:rsidR="00DF24BA">
        <w:t>. Technical experts and government agencies also provided specialist input throughout the process.</w:t>
      </w:r>
    </w:p>
    <w:p w14:paraId="0D5A2DD5" w14:textId="77777777" w:rsidR="00DF24BA" w:rsidRDefault="00DF24BA" w:rsidP="00DF24BA"/>
    <w:p w14:paraId="5508352E" w14:textId="3C229067" w:rsidR="00575DCA" w:rsidRDefault="006618B6" w:rsidP="6332CC80">
      <w:pPr>
        <w:pStyle w:val="Sub-Heading"/>
      </w:pPr>
      <w:r w:rsidRPr="004D4D79">
        <w:rPr>
          <w:noProof/>
        </w:rPr>
        <w:lastRenderedPageBreak/>
        <w:drawing>
          <wp:anchor distT="0" distB="0" distL="114300" distR="114300" simplePos="0" relativeHeight="251658274" behindDoc="0" locked="0" layoutInCell="1" allowOverlap="1" wp14:anchorId="491EA156" wp14:editId="7881C602">
            <wp:simplePos x="0" y="0"/>
            <wp:positionH relativeFrom="margin">
              <wp:align>center</wp:align>
            </wp:positionH>
            <wp:positionV relativeFrom="paragraph">
              <wp:posOffset>403860</wp:posOffset>
            </wp:positionV>
            <wp:extent cx="6499860" cy="8239760"/>
            <wp:effectExtent l="0" t="0" r="0" b="0"/>
            <wp:wrapSquare wrapText="bothSides"/>
            <wp:docPr id="407807759" name="drawing" descr="P5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7759" name="drawing" descr="P523#y1"/>
                    <pic:cNvPicPr/>
                  </pic:nvPicPr>
                  <pic:blipFill>
                    <a:blip r:embed="rId33">
                      <a:extLst>
                        <a:ext uri="{96DAC541-7B7A-43D3-8B79-37D633B846F1}">
                          <asvg:svgBlip xmlns:asvg="http://schemas.microsoft.com/office/drawing/2016/SVG/main" r:embed="rId34"/>
                        </a:ext>
                      </a:extLst>
                    </a:blip>
                    <a:stretch>
                      <a:fillRect/>
                    </a:stretch>
                  </pic:blipFill>
                  <pic:spPr>
                    <a:xfrm>
                      <a:off x="0" y="0"/>
                      <a:ext cx="6499860" cy="8239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6" behindDoc="0" locked="0" layoutInCell="1" allowOverlap="1" wp14:anchorId="65D372D6" wp14:editId="606EE453">
                <wp:simplePos x="0" y="0"/>
                <wp:positionH relativeFrom="margin">
                  <wp:align>left</wp:align>
                </wp:positionH>
                <wp:positionV relativeFrom="paragraph">
                  <wp:posOffset>0</wp:posOffset>
                </wp:positionV>
                <wp:extent cx="6267450" cy="350520"/>
                <wp:effectExtent l="0" t="0" r="0" b="0"/>
                <wp:wrapSquare wrapText="bothSides"/>
                <wp:docPr id="119946014" name="Text Box 1" descr="P523TB27#y1"/>
                <wp:cNvGraphicFramePr/>
                <a:graphic xmlns:a="http://schemas.openxmlformats.org/drawingml/2006/main">
                  <a:graphicData uri="http://schemas.microsoft.com/office/word/2010/wordprocessingShape">
                    <wps:wsp>
                      <wps:cNvSpPr txBox="1"/>
                      <wps:spPr>
                        <a:xfrm>
                          <a:off x="0" y="0"/>
                          <a:ext cx="6267450" cy="350874"/>
                        </a:xfrm>
                        <a:prstGeom prst="rect">
                          <a:avLst/>
                        </a:prstGeom>
                        <a:solidFill>
                          <a:prstClr val="white"/>
                        </a:solidFill>
                        <a:ln>
                          <a:noFill/>
                        </a:ln>
                      </wps:spPr>
                      <wps:txbx>
                        <w:txbxContent>
                          <w:p w14:paraId="5A49B178" w14:textId="442D28D3" w:rsidR="00507DAE" w:rsidRPr="007140D6" w:rsidRDefault="00507DAE" w:rsidP="006618B6">
                            <w:pPr>
                              <w:pStyle w:val="Sub-Heading"/>
                              <w:jc w:val="center"/>
                              <w:rPr>
                                <w:noProof/>
                              </w:rPr>
                            </w:pPr>
                            <w:r w:rsidRPr="007140D6">
                              <w:t xml:space="preserve">Figure </w:t>
                            </w:r>
                            <w:fldSimple w:instr=" SEQ Figure \* ARABIC ">
                              <w:r w:rsidR="0005178F">
                                <w:rPr>
                                  <w:noProof/>
                                </w:rPr>
                                <w:t>4</w:t>
                              </w:r>
                            </w:fldSimple>
                            <w:r w:rsidRPr="007140D6">
                              <w:t>: SWIOID Review Technical Modelling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D372D6" id="_x0000_t202" coordsize="21600,21600" o:spt="202" path="m,l,21600r21600,l21600,xe">
                <v:stroke joinstyle="miter"/>
                <v:path gradientshapeok="t" o:connecttype="rect"/>
              </v:shapetype>
              <v:shape id="Text Box 1" o:spid="_x0000_s1026" type="#_x0000_t202" alt="P523TB27#y1" style="position:absolute;margin-left:0;margin-top:0;width:493.5pt;height:27.6pt;z-index:25165826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" stroked="f">
                <v:textbox inset="0,0,0,0">
                  <w:txbxContent>
                    <w:p w14:paraId="5A49B178" w14:textId="442D28D3" w:rsidR="00507DAE" w:rsidRPr="007140D6" w:rsidRDefault="00507DAE" w:rsidP="006618B6">
                      <w:pPr>
                        <w:pStyle w:val="Sub-Heading"/>
                        <w:jc w:val="center"/>
                        <w:rPr>
                          <w:noProof/>
                        </w:rPr>
                      </w:pPr>
                      <w:r w:rsidRPr="007140D6">
                        <w:t xml:space="preserve">Figure </w:t>
                      </w:r>
                      <w:fldSimple w:instr=" SEQ Figure \* ARABIC ">
                        <w:r w:rsidR="0005178F">
                          <w:rPr>
                            <w:noProof/>
                          </w:rPr>
                          <w:t>4</w:t>
                        </w:r>
                      </w:fldSimple>
                      <w:r w:rsidRPr="007140D6">
                        <w:t>: SWIOID Review Technical Modelling Process</w:t>
                      </w:r>
                    </w:p>
                  </w:txbxContent>
                </v:textbox>
                <w10:wrap type="square" anchorx="margin"/>
              </v:shape>
            </w:pict>
          </mc:Fallback>
        </mc:AlternateContent>
      </w:r>
    </w:p>
    <w:p w14:paraId="707CC131" w14:textId="3ADEBE80" w:rsidR="00F63DF6" w:rsidRDefault="00F63DF6" w:rsidP="009F70ED">
      <w:pPr>
        <w:pStyle w:val="ReviewHeading3"/>
        <w:rPr>
          <w:rFonts w:eastAsia="Calibri"/>
        </w:rPr>
      </w:pPr>
      <w:r>
        <w:rPr>
          <w:rFonts w:eastAsia="Calibri"/>
        </w:rPr>
        <w:lastRenderedPageBreak/>
        <w:t>Development of ecological objectives and Environmental Water Requirements</w:t>
      </w:r>
    </w:p>
    <w:p w14:paraId="7C416127" w14:textId="57AE054B" w:rsidR="00362D82" w:rsidRPr="00B3365A" w:rsidRDefault="00382EE8" w:rsidP="00362D82">
      <w:pPr>
        <w:rPr>
          <w:rFonts w:eastAsia="Calibri" w:cs="Calibri"/>
          <w:color w:val="000000" w:themeColor="text1"/>
        </w:rPr>
      </w:pPr>
      <w:r>
        <w:rPr>
          <w:rFonts w:ascii="ZWAdobeF" w:eastAsia="Calibri" w:hAnsi="ZWAdobeF" w:cs="ZWAdobeF"/>
          <w:sz w:val="2"/>
          <w:szCs w:val="2"/>
        </w:rPr>
        <w:t>648B</w:t>
      </w:r>
      <w:r w:rsidR="00362D82" w:rsidRPr="6332CC80">
        <w:rPr>
          <w:rFonts w:eastAsia="Calibri" w:cs="Calibri"/>
          <w:color w:val="000000" w:themeColor="text1"/>
        </w:rPr>
        <w:t xml:space="preserve">The development of ecological objectives and EWRs provided the starting point for the Review. This reflected the focus of the Review on the declining ecological condition of the Upper Murrumbidgee and the need to design a flow regime that would protect and </w:t>
      </w:r>
      <w:r w:rsidR="0A5B9F40" w:rsidRPr="6332CC80">
        <w:rPr>
          <w:rFonts w:eastAsia="Calibri" w:cs="Calibri"/>
          <w:color w:val="000000" w:themeColor="text1"/>
        </w:rPr>
        <w:t>enhance</w:t>
      </w:r>
      <w:r w:rsidR="00362D82" w:rsidRPr="6332CC80">
        <w:rPr>
          <w:rFonts w:eastAsia="Calibri" w:cs="Calibri"/>
          <w:color w:val="000000" w:themeColor="text1"/>
        </w:rPr>
        <w:t xml:space="preserve"> river health.</w:t>
      </w:r>
    </w:p>
    <w:p w14:paraId="20501CBC" w14:textId="5EF2F332" w:rsidR="00F63DF6" w:rsidRDefault="00362D82" w:rsidP="00F63DF6">
      <w:pPr>
        <w:pStyle w:val="Sub-Heading"/>
        <w:rPr>
          <w:rFonts w:eastAsia="Calibri"/>
        </w:rPr>
      </w:pPr>
      <w:r>
        <w:rPr>
          <w:rFonts w:eastAsia="Calibri"/>
        </w:rPr>
        <w:t>Ecological objectives and evidence review</w:t>
      </w:r>
    </w:p>
    <w:p w14:paraId="09440528" w14:textId="679B9B9F" w:rsidR="006362FF" w:rsidRPr="00B3365A" w:rsidRDefault="00382EE8" w:rsidP="006362FF">
      <w:r>
        <w:rPr>
          <w:rFonts w:ascii="ZWAdobeF" w:hAnsi="ZWAdobeF" w:cs="ZWAdobeF"/>
          <w:sz w:val="2"/>
          <w:szCs w:val="2"/>
        </w:rPr>
        <w:t>649B</w:t>
      </w:r>
      <w:r w:rsidR="006362FF">
        <w:t>A structured process involving ecological experts, government agencies and advisory groups was undertaken to understand the current condition of the Upper Murrumbidgee and identify key ecological values, flow-dependent processes and environmental outcomes that should guide the Review. This process was supported by an evidence review that drew together existing information on river condition, hydrology, ecology and flow-ecology relationships. A summary of the evidence review is</w:t>
      </w:r>
      <w:r w:rsidR="00642608">
        <w:t xml:space="preserve"> </w:t>
      </w:r>
      <w:r w:rsidR="00221DC8">
        <w:t>published on</w:t>
      </w:r>
      <w:r w:rsidR="00221DC8" w:rsidRPr="00221DC8">
        <w:t xml:space="preserve"> DCCEEW's website: </w:t>
      </w:r>
      <w:hyperlink r:id="rId35" w:tgtFrame="_blank" w:tooltip="https://www.dcceew.gov.au/water/policy/publications/technical-expert-group-input-review-snowy-water-inquiry-outcomes-implementation-deed" w:history="1">
        <w:r w:rsidR="00221DC8" w:rsidRPr="00221DC8">
          <w:rPr>
            <w:rStyle w:val="Hyperlink"/>
          </w:rPr>
          <w:t>Technical Expert Group input into the Review of the Snowy Water Inquiry Outcomes Implementation Deed</w:t>
        </w:r>
      </w:hyperlink>
      <w:r w:rsidR="00221DC8" w:rsidRPr="00221DC8">
        <w:t>.</w:t>
      </w:r>
    </w:p>
    <w:p w14:paraId="11867DEA" w14:textId="128DDE73" w:rsidR="006362FF" w:rsidRPr="00B3365A" w:rsidRDefault="00382EE8" w:rsidP="006362FF">
      <w:r>
        <w:rPr>
          <w:rFonts w:ascii="ZWAdobeF" w:hAnsi="ZWAdobeF" w:cs="ZWAdobeF"/>
          <w:sz w:val="2"/>
          <w:szCs w:val="2"/>
        </w:rPr>
        <w:t>650B</w:t>
      </w:r>
      <w:r w:rsidR="006362FF" w:rsidRPr="00B3365A">
        <w:t>The primary ecological objectives for assessing the environmental flow options were:</w:t>
      </w:r>
    </w:p>
    <w:p w14:paraId="6F993E31" w14:textId="3276CC71" w:rsidR="006362FF" w:rsidRPr="00B3365A" w:rsidRDefault="00382EE8" w:rsidP="00115BD6">
      <w:pPr>
        <w:pStyle w:val="ListParagraph"/>
        <w:numPr>
          <w:ilvl w:val="0"/>
          <w:numId w:val="74"/>
        </w:numPr>
      </w:pPr>
      <w:r>
        <w:rPr>
          <w:rFonts w:ascii="ZWAdobeF" w:hAnsi="ZWAdobeF" w:cs="ZWAdobeF"/>
          <w:sz w:val="2"/>
          <w:szCs w:val="2"/>
        </w:rPr>
        <w:t>97B</w:t>
      </w:r>
      <w:r w:rsidR="006362FF">
        <w:t>i</w:t>
      </w:r>
      <w:r w:rsidR="006362FF" w:rsidRPr="00B3365A">
        <w:t xml:space="preserve">mproved and resilient Macquarie </w:t>
      </w:r>
      <w:r w:rsidR="006362FF">
        <w:t>P</w:t>
      </w:r>
      <w:r w:rsidR="006362FF" w:rsidRPr="00B3365A">
        <w:t>erch population</w:t>
      </w:r>
    </w:p>
    <w:p w14:paraId="64F3C2E1" w14:textId="2EF2C4DB" w:rsidR="006362FF" w:rsidRPr="00B3365A" w:rsidRDefault="00382EE8" w:rsidP="00115BD6">
      <w:pPr>
        <w:pStyle w:val="ListParagraph"/>
        <w:numPr>
          <w:ilvl w:val="0"/>
          <w:numId w:val="74"/>
        </w:numPr>
      </w:pPr>
      <w:r>
        <w:rPr>
          <w:rFonts w:ascii="ZWAdobeF" w:hAnsi="ZWAdobeF" w:cs="ZWAdobeF"/>
          <w:sz w:val="2"/>
          <w:szCs w:val="2"/>
        </w:rPr>
        <w:t>98B</w:t>
      </w:r>
      <w:r w:rsidR="006362FF">
        <w:t>i</w:t>
      </w:r>
      <w:r w:rsidR="006362FF" w:rsidRPr="00B3365A">
        <w:t xml:space="preserve">mproved and resilient Murray </w:t>
      </w:r>
      <w:r w:rsidR="006362FF">
        <w:t>C</w:t>
      </w:r>
      <w:r w:rsidR="006362FF" w:rsidRPr="00B3365A">
        <w:t>od population</w:t>
      </w:r>
    </w:p>
    <w:p w14:paraId="76880CEC" w14:textId="19D8D868" w:rsidR="006362FF" w:rsidRPr="00B3365A" w:rsidRDefault="00382EE8" w:rsidP="00115BD6">
      <w:pPr>
        <w:pStyle w:val="ListParagraph"/>
        <w:numPr>
          <w:ilvl w:val="0"/>
          <w:numId w:val="74"/>
        </w:numPr>
      </w:pPr>
      <w:r>
        <w:rPr>
          <w:rFonts w:ascii="ZWAdobeF" w:hAnsi="ZWAdobeF" w:cs="ZWAdobeF"/>
          <w:sz w:val="2"/>
          <w:szCs w:val="2"/>
        </w:rPr>
        <w:t>99B</w:t>
      </w:r>
      <w:r w:rsidR="006362FF">
        <w:t>i</w:t>
      </w:r>
      <w:r w:rsidR="006362FF" w:rsidRPr="00B3365A">
        <w:t>mproved and resilient macroinvertebrate populations</w:t>
      </w:r>
    </w:p>
    <w:p w14:paraId="5C64BC1C" w14:textId="7145B25F" w:rsidR="006362FF" w:rsidRPr="00B3365A" w:rsidRDefault="00382EE8" w:rsidP="00115BD6">
      <w:pPr>
        <w:pStyle w:val="ListParagraph"/>
        <w:numPr>
          <w:ilvl w:val="0"/>
          <w:numId w:val="74"/>
        </w:numPr>
      </w:pPr>
      <w:r>
        <w:rPr>
          <w:rFonts w:ascii="ZWAdobeF" w:hAnsi="ZWAdobeF" w:cs="ZWAdobeF"/>
          <w:sz w:val="2"/>
          <w:szCs w:val="2"/>
        </w:rPr>
        <w:t>100B</w:t>
      </w:r>
      <w:r w:rsidR="006362FF">
        <w:t>i</w:t>
      </w:r>
      <w:r w:rsidR="006362FF" w:rsidRPr="00B3365A">
        <w:t>mproved and resilient in-stream vegetation</w:t>
      </w:r>
    </w:p>
    <w:p w14:paraId="1F915A1C" w14:textId="0F4F5392" w:rsidR="006362FF" w:rsidRPr="00B3365A" w:rsidRDefault="00382EE8" w:rsidP="00115BD6">
      <w:pPr>
        <w:pStyle w:val="ListParagraph"/>
        <w:numPr>
          <w:ilvl w:val="0"/>
          <w:numId w:val="74"/>
        </w:numPr>
      </w:pPr>
      <w:r>
        <w:rPr>
          <w:rFonts w:ascii="ZWAdobeF" w:hAnsi="ZWAdobeF" w:cs="ZWAdobeF"/>
          <w:sz w:val="2"/>
          <w:szCs w:val="2"/>
        </w:rPr>
        <w:t>101B</w:t>
      </w:r>
      <w:r w:rsidR="006362FF">
        <w:t>i</w:t>
      </w:r>
      <w:r w:rsidR="006362FF" w:rsidRPr="00B3365A">
        <w:t>mproved and resilient riparian and pocket wetland vegetation</w:t>
      </w:r>
    </w:p>
    <w:p w14:paraId="263AB924" w14:textId="280CD4E0" w:rsidR="006362FF" w:rsidRPr="00B3365A" w:rsidRDefault="00382EE8" w:rsidP="00115BD6">
      <w:pPr>
        <w:pStyle w:val="ListParagraph"/>
        <w:numPr>
          <w:ilvl w:val="0"/>
          <w:numId w:val="74"/>
        </w:numPr>
      </w:pPr>
      <w:r>
        <w:rPr>
          <w:rFonts w:ascii="ZWAdobeF" w:hAnsi="ZWAdobeF" w:cs="ZWAdobeF"/>
          <w:sz w:val="2"/>
          <w:szCs w:val="2"/>
        </w:rPr>
        <w:t>102B</w:t>
      </w:r>
      <w:r w:rsidR="006362FF">
        <w:t>f</w:t>
      </w:r>
      <w:r w:rsidR="006362FF" w:rsidRPr="00B3365A">
        <w:t>low components align with aspects of the natural regime</w:t>
      </w:r>
    </w:p>
    <w:p w14:paraId="35DD732B" w14:textId="440251E7" w:rsidR="006362FF" w:rsidRPr="00B3365A" w:rsidRDefault="00382EE8" w:rsidP="00115BD6">
      <w:pPr>
        <w:pStyle w:val="ListParagraph"/>
        <w:numPr>
          <w:ilvl w:val="0"/>
          <w:numId w:val="74"/>
        </w:numPr>
      </w:pPr>
      <w:r>
        <w:rPr>
          <w:rFonts w:ascii="ZWAdobeF" w:hAnsi="ZWAdobeF" w:cs="ZWAdobeF"/>
          <w:sz w:val="2"/>
          <w:szCs w:val="2"/>
        </w:rPr>
        <w:t>103B</w:t>
      </w:r>
      <w:r w:rsidR="006362FF">
        <w:t>f</w:t>
      </w:r>
      <w:r w:rsidR="006362FF" w:rsidRPr="00B3365A">
        <w:t>low regime that mobilises sediment</w:t>
      </w:r>
    </w:p>
    <w:p w14:paraId="0B981157" w14:textId="2BC1C72A" w:rsidR="006362FF" w:rsidRPr="00B3365A" w:rsidRDefault="00382EE8" w:rsidP="00115BD6">
      <w:pPr>
        <w:pStyle w:val="ListParagraph"/>
        <w:numPr>
          <w:ilvl w:val="0"/>
          <w:numId w:val="74"/>
        </w:numPr>
      </w:pPr>
      <w:r>
        <w:rPr>
          <w:rFonts w:ascii="ZWAdobeF" w:hAnsi="ZWAdobeF" w:cs="ZWAdobeF"/>
          <w:sz w:val="2"/>
          <w:szCs w:val="2"/>
        </w:rPr>
        <w:t>104B</w:t>
      </w:r>
      <w:r w:rsidR="006362FF">
        <w:t>m</w:t>
      </w:r>
      <w:r w:rsidR="006362FF" w:rsidRPr="00B3365A">
        <w:t>aintain water quality sufficient to protect and restore ecosystems and ecosystem functions.</w:t>
      </w:r>
    </w:p>
    <w:p w14:paraId="63DDEC7A" w14:textId="4AD014FB" w:rsidR="006362FF" w:rsidRPr="00B3365A" w:rsidRDefault="00382EE8" w:rsidP="006362FF">
      <w:r>
        <w:rPr>
          <w:rFonts w:ascii="ZWAdobeF" w:hAnsi="ZWAdobeF" w:cs="ZWAdobeF"/>
          <w:sz w:val="2"/>
          <w:szCs w:val="2"/>
        </w:rPr>
        <w:t>651B</w:t>
      </w:r>
      <w:r w:rsidR="006362FF">
        <w:t>Macquarie Perch was used as a key indicator species for the quantitative assessment because, as a flow</w:t>
      </w:r>
      <w:r w:rsidR="006362FF">
        <w:noBreakHyphen/>
        <w:t>dependent</w:t>
      </w:r>
      <w:r w:rsidR="3AB5F8F4">
        <w:t xml:space="preserve"> </w:t>
      </w:r>
      <w:r w:rsidR="006362FF">
        <w:t xml:space="preserve">threatened native fish with </w:t>
      </w:r>
      <w:r w:rsidR="52B51199">
        <w:t>well understood</w:t>
      </w:r>
      <w:r w:rsidR="006362FF">
        <w:t xml:space="preserve"> life</w:t>
      </w:r>
      <w:r w:rsidR="195F0E43">
        <w:t xml:space="preserve"> </w:t>
      </w:r>
      <w:r w:rsidR="006362FF">
        <w:t>history requirements, its population response provides a sensitive and integrative measure of how changes in flow regime, connectivity, habitat condition and water quality affect river health in the Upper Murrumbidgee.</w:t>
      </w:r>
      <w:r w:rsidR="00C173CC">
        <w:t xml:space="preserve"> </w:t>
      </w:r>
      <w:r w:rsidR="0054176F">
        <w:t xml:space="preserve">Additionally, </w:t>
      </w:r>
      <w:r w:rsidR="00E72EA6">
        <w:t xml:space="preserve">as </w:t>
      </w:r>
      <w:r w:rsidR="0054176F">
        <w:t>t</w:t>
      </w:r>
      <w:r w:rsidR="008340E7">
        <w:t xml:space="preserve">he Macquarie Perch </w:t>
      </w:r>
      <w:r w:rsidR="0054176F">
        <w:t>po</w:t>
      </w:r>
      <w:r w:rsidR="00665E2F">
        <w:t xml:space="preserve">pulations are </w:t>
      </w:r>
      <w:r w:rsidR="008340E7">
        <w:t xml:space="preserve">well </w:t>
      </w:r>
      <w:r w:rsidR="00C03376">
        <w:t>stud</w:t>
      </w:r>
      <w:r w:rsidR="6D29663F">
        <w:t>ied</w:t>
      </w:r>
      <w:r w:rsidR="00C03376">
        <w:t xml:space="preserve"> in the Upper </w:t>
      </w:r>
      <w:r w:rsidR="008B2841">
        <w:t>Murrumbidgee</w:t>
      </w:r>
      <w:r w:rsidR="00E72EA6">
        <w:t xml:space="preserve"> </w:t>
      </w:r>
      <w:r w:rsidR="00DC5638">
        <w:t xml:space="preserve">improvements </w:t>
      </w:r>
      <w:r w:rsidR="1BCFC9D9">
        <w:t>resulting from</w:t>
      </w:r>
      <w:r w:rsidR="00DC5638">
        <w:t xml:space="preserve"> increased flow</w:t>
      </w:r>
      <w:r w:rsidR="00A20EFF">
        <w:t xml:space="preserve">s and </w:t>
      </w:r>
      <w:r w:rsidR="004C373E">
        <w:t xml:space="preserve">improved </w:t>
      </w:r>
      <w:r w:rsidR="00A20EFF">
        <w:t xml:space="preserve">flow patterns can be </w:t>
      </w:r>
      <w:r w:rsidR="00C6520A">
        <w:t>attributable</w:t>
      </w:r>
      <w:r w:rsidR="008B2841">
        <w:t xml:space="preserve">. </w:t>
      </w:r>
    </w:p>
    <w:p w14:paraId="3282832B" w14:textId="46CA9583" w:rsidR="00362D82" w:rsidRDefault="006362FF" w:rsidP="00F63DF6">
      <w:pPr>
        <w:pStyle w:val="Sub-Heading"/>
        <w:rPr>
          <w:rFonts w:eastAsia="Calibri"/>
        </w:rPr>
      </w:pPr>
      <w:r>
        <w:rPr>
          <w:rFonts w:eastAsia="Calibri"/>
        </w:rPr>
        <w:t>Environmental Water Requirements</w:t>
      </w:r>
    </w:p>
    <w:p w14:paraId="2FB0E4AB" w14:textId="7CC5C97F" w:rsidR="00B720A4" w:rsidRPr="00B3365A" w:rsidRDefault="00382EE8" w:rsidP="00B720A4">
      <w:r>
        <w:rPr>
          <w:rFonts w:ascii="ZWAdobeF" w:hAnsi="ZWAdobeF" w:cs="ZWAdobeF"/>
          <w:sz w:val="2"/>
          <w:szCs w:val="2"/>
        </w:rPr>
        <w:t>652B</w:t>
      </w:r>
      <w:r w:rsidR="00B720A4">
        <w:t>The ecologi</w:t>
      </w:r>
      <w:r w:rsidR="33A356DA">
        <w:t>cal objectives</w:t>
      </w:r>
      <w:r w:rsidR="00B720A4">
        <w:t xml:space="preserve"> were then translated into a set of EWRs using the best available scientific and technical evidence. The EWRs were informed by expert workshops, existing environmental flow studies, NSW and ACT environmental water planning frameworks, analysis of modelled natural and current flow conditions, and advice from NSW and ACT agencies. Together, these inputs were used to identify the flow components required to support ecological outcomes, including low flows, baseflows, freshes, bankfull flows and channel maintenance flows. For each of these flow components, their magnitude, timing, duration and frequency were specified on a reach-specific basis at three locations in the Upper Murrumbidgee River:</w:t>
      </w:r>
    </w:p>
    <w:p w14:paraId="30413FA6" w14:textId="73D2E5C6" w:rsidR="00B720A4" w:rsidRPr="00B3365A" w:rsidRDefault="00382EE8" w:rsidP="00115BD6">
      <w:pPr>
        <w:pStyle w:val="ListParagraph"/>
        <w:numPr>
          <w:ilvl w:val="0"/>
          <w:numId w:val="75"/>
        </w:numPr>
      </w:pPr>
      <w:r>
        <w:rPr>
          <w:rFonts w:ascii="ZWAdobeF" w:hAnsi="ZWAdobeF" w:cs="ZWAdobeF"/>
          <w:sz w:val="2"/>
          <w:szCs w:val="2"/>
        </w:rPr>
        <w:t>105B</w:t>
      </w:r>
      <w:r w:rsidR="00B720A4">
        <w:t>downstream of Tantangara Dam, representing the upper reach</w:t>
      </w:r>
    </w:p>
    <w:p w14:paraId="5233A0BD" w14:textId="37B69DDD" w:rsidR="00B720A4" w:rsidRPr="00B3365A" w:rsidRDefault="00382EE8" w:rsidP="00115BD6">
      <w:pPr>
        <w:pStyle w:val="ListParagraph"/>
        <w:numPr>
          <w:ilvl w:val="0"/>
          <w:numId w:val="75"/>
        </w:numPr>
      </w:pPr>
      <w:r>
        <w:rPr>
          <w:rFonts w:ascii="ZWAdobeF" w:hAnsi="ZWAdobeF" w:cs="ZWAdobeF"/>
          <w:sz w:val="2"/>
          <w:szCs w:val="2"/>
        </w:rPr>
        <w:lastRenderedPageBreak/>
        <w:t>106B</w:t>
      </w:r>
      <w:r w:rsidR="00B720A4">
        <w:t>Mittagang Crossing, representing the middle reach</w:t>
      </w:r>
    </w:p>
    <w:p w14:paraId="21AA5FE8" w14:textId="0E06D8C4" w:rsidR="00B720A4" w:rsidRPr="00B3365A" w:rsidRDefault="00382EE8" w:rsidP="00115BD6">
      <w:pPr>
        <w:pStyle w:val="ListParagraph"/>
        <w:numPr>
          <w:ilvl w:val="0"/>
          <w:numId w:val="75"/>
        </w:numPr>
      </w:pPr>
      <w:r>
        <w:rPr>
          <w:rFonts w:ascii="ZWAdobeF" w:hAnsi="ZWAdobeF" w:cs="ZWAdobeF"/>
          <w:sz w:val="2"/>
          <w:szCs w:val="2"/>
        </w:rPr>
        <w:t>107B</w:t>
      </w:r>
      <w:r w:rsidR="00B720A4">
        <w:t xml:space="preserve">Lobbs Hole, representing the lower reach. </w:t>
      </w:r>
    </w:p>
    <w:p w14:paraId="202E1AAE" w14:textId="0E8B3898" w:rsidR="00B720A4" w:rsidRPr="00B3365A" w:rsidRDefault="00382EE8" w:rsidP="00B720A4">
      <w:r>
        <w:rPr>
          <w:rFonts w:ascii="ZWAdobeF" w:hAnsi="ZWAdobeF" w:cs="ZWAdobeF"/>
          <w:sz w:val="2"/>
          <w:szCs w:val="2"/>
        </w:rPr>
        <w:t>653B</w:t>
      </w:r>
      <w:r w:rsidR="00B720A4">
        <w:t>The EWRs provided the foundation for option development and assessment. They were used as a consistent framework for testing alternative environmental flow scenarios, assessing ecological performance and understanding the trade-offs associated with different levels of environmental improvement. They were not intended to represent a final environmental watering plan.</w:t>
      </w:r>
    </w:p>
    <w:p w14:paraId="23C23F0F" w14:textId="3F9D3F1E" w:rsidR="00B720A4" w:rsidRPr="00B3365A" w:rsidRDefault="00382EE8" w:rsidP="00B720A4">
      <w:r>
        <w:rPr>
          <w:rFonts w:ascii="ZWAdobeF" w:hAnsi="ZWAdobeF" w:cs="ZWAdobeF"/>
          <w:sz w:val="2"/>
          <w:szCs w:val="2"/>
        </w:rPr>
        <w:t>654B</w:t>
      </w:r>
      <w:r w:rsidR="00B720A4" w:rsidRPr="00B3365A">
        <w:t xml:space="preserve">Further information on the EWRs, the evidence base for option development and the ecological assessment of the </w:t>
      </w:r>
      <w:r w:rsidR="00B720A4">
        <w:t>o</w:t>
      </w:r>
      <w:r w:rsidR="00B720A4" w:rsidRPr="00B3365A">
        <w:t xml:space="preserve">ptions is </w:t>
      </w:r>
      <w:r w:rsidR="00CF5F9A">
        <w:t>published</w:t>
      </w:r>
      <w:r w:rsidR="00CF5F9A" w:rsidRPr="00221DC8">
        <w:t xml:space="preserve"> </w:t>
      </w:r>
      <w:r w:rsidR="00221DC8" w:rsidRPr="00221DC8">
        <w:t xml:space="preserve">on DCCEEW's website: </w:t>
      </w:r>
      <w:hyperlink r:id="rId36" w:tgtFrame="_blank" w:tooltip="https://www.dcceew.gov.au/water/policy/publications/technical-expert-group-input-review-snowy-water-inquiry-outcomes-implementation-deed" w:history="1">
        <w:r w:rsidR="00221DC8" w:rsidRPr="00221DC8">
          <w:rPr>
            <w:rStyle w:val="Hyperlink"/>
          </w:rPr>
          <w:t>Technical Expert Group input into the Review of the Snowy Water Inquiry Outcomes Implementation Deed</w:t>
        </w:r>
      </w:hyperlink>
      <w:r w:rsidR="00221DC8" w:rsidRPr="00221DC8">
        <w:t>.</w:t>
      </w:r>
    </w:p>
    <w:p w14:paraId="15959828" w14:textId="6AF872D6" w:rsidR="006362FF" w:rsidRDefault="00127F8A" w:rsidP="00B720A4">
      <w:pPr>
        <w:pStyle w:val="ReviewHeading3"/>
        <w:rPr>
          <w:rFonts w:eastAsia="Calibri"/>
        </w:rPr>
      </w:pPr>
      <w:r>
        <w:rPr>
          <w:rFonts w:eastAsia="Calibri"/>
        </w:rPr>
        <w:t>Development, modelling and refinement of environmental flow options</w:t>
      </w:r>
    </w:p>
    <w:p w14:paraId="45712BDF" w14:textId="5DEF47AA" w:rsidR="009029C5" w:rsidRPr="00B3365A" w:rsidRDefault="00382EE8" w:rsidP="009029C5">
      <w:r>
        <w:rPr>
          <w:rFonts w:ascii="ZWAdobeF" w:hAnsi="ZWAdobeF" w:cs="ZWAdobeF"/>
          <w:sz w:val="2"/>
          <w:szCs w:val="2"/>
        </w:rPr>
        <w:t>655B</w:t>
      </w:r>
      <w:r w:rsidR="009029C5">
        <w:t>Environmental flow options were developed through an iterative process that combined technical analysis, expert input and advisory group feedback over three rounds of modelling and refinement. The options were developed to investigate how different combinations of flow volume, delivery flexibility and infrastructure constraints influence ecological outcomes, operational feasibility and system</w:t>
      </w:r>
      <w:r w:rsidR="009029C5">
        <w:noBreakHyphen/>
        <w:t>wide trade</w:t>
      </w:r>
      <w:r w:rsidR="009029C5">
        <w:noBreakHyphen/>
        <w:t>offs.</w:t>
      </w:r>
    </w:p>
    <w:p w14:paraId="21ACEECB" w14:textId="00EB4CD5" w:rsidR="009029C5" w:rsidRPr="00B3365A" w:rsidRDefault="00382EE8" w:rsidP="009029C5">
      <w:r>
        <w:rPr>
          <w:rFonts w:ascii="ZWAdobeF" w:hAnsi="ZWAdobeF" w:cs="ZWAdobeF"/>
          <w:sz w:val="2"/>
          <w:szCs w:val="2"/>
        </w:rPr>
        <w:t>656B</w:t>
      </w:r>
      <w:r w:rsidR="009029C5">
        <w:t xml:space="preserve">These options represent alternative scenarios with </w:t>
      </w:r>
      <w:r w:rsidR="4C3461DB">
        <w:t xml:space="preserve">step changes in the volumes of environmental water, </w:t>
      </w:r>
      <w:r w:rsidR="009029C5">
        <w:t>different operating strategies,</w:t>
      </w:r>
      <w:r w:rsidR="353EB23E">
        <w:t xml:space="preserve"> flow</w:t>
      </w:r>
      <w:r w:rsidR="009029C5">
        <w:t xml:space="preserve"> characteristics</w:t>
      </w:r>
      <w:r w:rsidR="2E38C4D7">
        <w:t>,</w:t>
      </w:r>
      <w:r w:rsidR="2D2A6B17">
        <w:t xml:space="preserve"> </w:t>
      </w:r>
      <w:r w:rsidR="009029C5">
        <w:t>release patterns</w:t>
      </w:r>
      <w:r w:rsidR="7DEBDA24">
        <w:t xml:space="preserve"> and infrastructure upgrades or augmentation</w:t>
      </w:r>
      <w:r w:rsidR="009029C5">
        <w:t xml:space="preserve">. These strategies and characteristics are the focus for considering the nature and scale of improved arrangements, rather than any </w:t>
      </w:r>
      <w:r w:rsidR="7240D75D">
        <w:t>singl</w:t>
      </w:r>
      <w:r w:rsidR="009029C5">
        <w:t xml:space="preserve">e </w:t>
      </w:r>
      <w:r w:rsidR="05744816">
        <w:t>option being</w:t>
      </w:r>
      <w:r w:rsidR="009029C5">
        <w:t xml:space="preserve"> preferred</w:t>
      </w:r>
      <w:r w:rsidR="3C073CE8">
        <w:t xml:space="preserve"> </w:t>
      </w:r>
      <w:r w:rsidR="009029C5">
        <w:t>as a final rule set that could be implemented without further refinement.</w:t>
      </w:r>
    </w:p>
    <w:p w14:paraId="7498BFA9" w14:textId="1464FA84" w:rsidR="6C0E49C4" w:rsidRDefault="00382EE8" w:rsidP="6332CC80">
      <w:pPr>
        <w:rPr>
          <w:rFonts w:eastAsia="Calibri" w:cs="Calibri"/>
          <w:color w:val="000000" w:themeColor="text1"/>
        </w:rPr>
      </w:pPr>
      <w:r>
        <w:rPr>
          <w:rFonts w:ascii="ZWAdobeF" w:eastAsia="Calibri" w:hAnsi="ZWAdobeF" w:cs="ZWAdobeF"/>
          <w:sz w:val="2"/>
          <w:szCs w:val="2"/>
        </w:rPr>
        <w:t>657B</w:t>
      </w:r>
      <w:r w:rsidR="6C0E49C4" w:rsidRPr="6332CC80">
        <w:rPr>
          <w:rFonts w:eastAsia="Calibri" w:cs="Calibri"/>
          <w:color w:val="000000" w:themeColor="text1"/>
        </w:rPr>
        <w:t>Chapter 4 describes each of the different options and the environmental performance of each.</w:t>
      </w:r>
    </w:p>
    <w:p w14:paraId="202CBD4A" w14:textId="216B7C7D" w:rsidR="00127F8A" w:rsidRDefault="009029C5" w:rsidP="009029C5">
      <w:pPr>
        <w:pStyle w:val="Sub-Heading"/>
        <w:rPr>
          <w:rFonts w:eastAsia="Calibri"/>
        </w:rPr>
      </w:pPr>
      <w:r>
        <w:rPr>
          <w:rFonts w:eastAsia="Calibri"/>
        </w:rPr>
        <w:t>Hydrological modelling – purpose and approach</w:t>
      </w:r>
    </w:p>
    <w:p w14:paraId="3F64DED9" w14:textId="1043CEE6" w:rsidR="00D01D96" w:rsidRPr="00B3365A" w:rsidRDefault="00382EE8" w:rsidP="00D01D96">
      <w:r>
        <w:rPr>
          <w:rFonts w:ascii="ZWAdobeF" w:hAnsi="ZWAdobeF" w:cs="ZWAdobeF"/>
          <w:sz w:val="2"/>
          <w:szCs w:val="2"/>
        </w:rPr>
        <w:t>658B</w:t>
      </w:r>
      <w:r w:rsidR="00D01D96" w:rsidRPr="00B3365A">
        <w:t xml:space="preserve">Hydrological modelling was used to simulate flow regimes in the </w:t>
      </w:r>
      <w:r w:rsidR="00D01D96">
        <w:t>U</w:t>
      </w:r>
      <w:r w:rsidR="00D01D96" w:rsidRPr="00B3365A">
        <w:t xml:space="preserve">pper Murrumbidgee River, in the ACT Upper Murrumbidgee Source hydrological model, to assess the volume of water required to deliver different flow regimes and to determine the extent to which </w:t>
      </w:r>
      <w:r w:rsidR="00D01D96">
        <w:t>EWRs</w:t>
      </w:r>
      <w:r w:rsidR="00D01D96" w:rsidRPr="00B3365A">
        <w:t xml:space="preserve"> could be achieved under each option. </w:t>
      </w:r>
    </w:p>
    <w:p w14:paraId="1BC5FBFB" w14:textId="64C26259" w:rsidR="00D01D96" w:rsidRPr="00B3365A" w:rsidRDefault="00382EE8" w:rsidP="00D01D96">
      <w:r>
        <w:rPr>
          <w:rFonts w:ascii="ZWAdobeF" w:hAnsi="ZWAdobeF" w:cs="ZWAdobeF"/>
          <w:sz w:val="2"/>
          <w:szCs w:val="2"/>
        </w:rPr>
        <w:t>659B</w:t>
      </w:r>
      <w:r w:rsidR="00D01D96">
        <w:t xml:space="preserve">Each of the modelled flow options was then tested in the Murray–Darling Basin Authority’s Framework for Integrated River Models (FIRM) to assess impacts to the regulated Murrumbidgee River system downstream of Burrinjuck and Blowering </w:t>
      </w:r>
      <w:r w:rsidR="737B4F08">
        <w:t>d</w:t>
      </w:r>
      <w:r w:rsidR="00D01D96">
        <w:t xml:space="preserve">ams. </w:t>
      </w:r>
    </w:p>
    <w:p w14:paraId="15609B29" w14:textId="0203BEFB" w:rsidR="00D01D96" w:rsidRPr="00B3365A" w:rsidRDefault="00382EE8" w:rsidP="00D01D96">
      <w:r>
        <w:rPr>
          <w:rFonts w:ascii="ZWAdobeF" w:hAnsi="ZWAdobeF" w:cs="ZWAdobeF"/>
          <w:sz w:val="2"/>
          <w:szCs w:val="2"/>
        </w:rPr>
        <w:t>660B</w:t>
      </w:r>
      <w:r w:rsidR="00D01D96" w:rsidRPr="00B3365A">
        <w:t>The modelling approach prioritised:</w:t>
      </w:r>
    </w:p>
    <w:p w14:paraId="362D389B" w14:textId="5145E8E0" w:rsidR="00D01D96" w:rsidRPr="00B3365A" w:rsidRDefault="00382EE8" w:rsidP="00115BD6">
      <w:pPr>
        <w:pStyle w:val="ListParagraph"/>
        <w:numPr>
          <w:ilvl w:val="0"/>
          <w:numId w:val="76"/>
        </w:numPr>
      </w:pPr>
      <w:r>
        <w:rPr>
          <w:rFonts w:ascii="ZWAdobeF" w:hAnsi="ZWAdobeF" w:cs="ZWAdobeF"/>
          <w:sz w:val="2"/>
          <w:szCs w:val="2"/>
        </w:rPr>
        <w:t>108B</w:t>
      </w:r>
      <w:r w:rsidR="00D01D96" w:rsidRPr="00B3365A">
        <w:t>use of Basin</w:t>
      </w:r>
      <w:r w:rsidR="00D01D96" w:rsidRPr="00B3365A">
        <w:noBreakHyphen/>
        <w:t>accepted hydrologic models to ensure consistency with Basin Plan processes and acceptance across jurisdictions</w:t>
      </w:r>
    </w:p>
    <w:p w14:paraId="7FE15B6F" w14:textId="521380ED" w:rsidR="00D01D96" w:rsidRPr="00B3365A" w:rsidRDefault="00382EE8" w:rsidP="00115BD6">
      <w:pPr>
        <w:pStyle w:val="ListParagraph"/>
        <w:numPr>
          <w:ilvl w:val="0"/>
          <w:numId w:val="76"/>
        </w:numPr>
      </w:pPr>
      <w:r>
        <w:rPr>
          <w:rFonts w:ascii="ZWAdobeF" w:hAnsi="ZWAdobeF" w:cs="ZWAdobeF"/>
          <w:sz w:val="2"/>
          <w:szCs w:val="2"/>
        </w:rPr>
        <w:t>109B</w:t>
      </w:r>
      <w:r w:rsidR="00D01D96" w:rsidRPr="00B3365A">
        <w:t xml:space="preserve">representation of existing operational rules and infrastructure, including Snowy Montane </w:t>
      </w:r>
      <w:r w:rsidR="12A16ABA">
        <w:t>r</w:t>
      </w:r>
      <w:r w:rsidR="00D01D96" w:rsidRPr="00B3365A">
        <w:t xml:space="preserve">ivers Increased Flows (SMRIF) release practices, as the </w:t>
      </w:r>
      <w:r w:rsidR="004F5E86">
        <w:t>B</w:t>
      </w:r>
      <w:r w:rsidR="00D01D96" w:rsidRPr="00B3365A">
        <w:t xml:space="preserve">ase </w:t>
      </w:r>
      <w:r w:rsidR="004F5E86">
        <w:t>C</w:t>
      </w:r>
      <w:r w:rsidR="00D01D96" w:rsidRPr="00B3365A">
        <w:t>ase</w:t>
      </w:r>
    </w:p>
    <w:p w14:paraId="037DBC52" w14:textId="6AB8E419" w:rsidR="00D01D96" w:rsidRPr="00B3365A" w:rsidRDefault="00382EE8" w:rsidP="00115BD6">
      <w:pPr>
        <w:pStyle w:val="ListParagraph"/>
        <w:numPr>
          <w:ilvl w:val="0"/>
          <w:numId w:val="76"/>
        </w:numPr>
      </w:pPr>
      <w:r>
        <w:rPr>
          <w:rFonts w:ascii="ZWAdobeF" w:hAnsi="ZWAdobeF" w:cs="ZWAdobeF"/>
          <w:sz w:val="2"/>
          <w:szCs w:val="2"/>
        </w:rPr>
        <w:t>110B</w:t>
      </w:r>
      <w:r w:rsidR="00D01D96">
        <w:t>testing of alternative release strategies from Tantangara Dam that reflect contemporary environmental water management in the Upper Murrumbidgee River, including targeting specific EWRs rather than applying fixed release schedules</w:t>
      </w:r>
    </w:p>
    <w:p w14:paraId="09AE472C" w14:textId="541CAA2A" w:rsidR="00D01D96" w:rsidRPr="00B3365A" w:rsidRDefault="00382EE8" w:rsidP="00115BD6">
      <w:pPr>
        <w:pStyle w:val="ListParagraph"/>
        <w:numPr>
          <w:ilvl w:val="0"/>
          <w:numId w:val="76"/>
        </w:numPr>
      </w:pPr>
      <w:r>
        <w:rPr>
          <w:rFonts w:ascii="ZWAdobeF" w:hAnsi="ZWAdobeF" w:cs="ZWAdobeF"/>
          <w:sz w:val="2"/>
          <w:szCs w:val="2"/>
        </w:rPr>
        <w:lastRenderedPageBreak/>
        <w:t>111B</w:t>
      </w:r>
      <w:r w:rsidR="00D01D96">
        <w:t xml:space="preserve">assessment of downstream hydrologic, water availability and operational impacts, including in the </w:t>
      </w:r>
      <w:r w:rsidR="76A446F2">
        <w:t>R</w:t>
      </w:r>
      <w:r w:rsidR="00D01D96">
        <w:t>egulated Murrumbidgee (downstream of Blowering and Burrinjuck dams) through integrated modelling.</w:t>
      </w:r>
    </w:p>
    <w:p w14:paraId="7DED0AFE" w14:textId="3F3AF6D9" w:rsidR="00D01D96" w:rsidRPr="00B3365A" w:rsidRDefault="00382EE8" w:rsidP="00D01D96">
      <w:r>
        <w:rPr>
          <w:rFonts w:ascii="ZWAdobeF" w:hAnsi="ZWAdobeF" w:cs="ZWAdobeF"/>
          <w:sz w:val="2"/>
          <w:szCs w:val="2"/>
        </w:rPr>
        <w:t>661B</w:t>
      </w:r>
      <w:r w:rsidR="00D01D96">
        <w:t>A contemporary ‘current conditions’ Base Case represented the Snowy Scheme operations and SMRIF release practices. In the Base Case, environmental releases from Tantangara Dam are represented as scaled annual schedules (wet / moderate / dry years), derived from historic patterns.</w:t>
      </w:r>
    </w:p>
    <w:p w14:paraId="09CBB254" w14:textId="1F529C18" w:rsidR="00D01D96" w:rsidRPr="00B3365A" w:rsidRDefault="00382EE8" w:rsidP="00D01D96">
      <w:r>
        <w:rPr>
          <w:rFonts w:ascii="ZWAdobeF" w:hAnsi="ZWAdobeF" w:cs="ZWAdobeF"/>
          <w:sz w:val="2"/>
          <w:szCs w:val="2"/>
        </w:rPr>
        <w:t>662B</w:t>
      </w:r>
      <w:r w:rsidR="00D01D96">
        <w:t xml:space="preserve">A key structural assumption in the modelling is that additional releases from Tantangara Dam are accounted as Required Annual Release (RAR) from the Snowy-Tumut development of the Snowy Scheme, effectively delivering a portion of the Snowy-Tumut RAR into the </w:t>
      </w:r>
      <w:r w:rsidR="3C1FD1C3">
        <w:t>R</w:t>
      </w:r>
      <w:r w:rsidR="00D01D96">
        <w:t xml:space="preserve">egulated Murrumbidgee via the </w:t>
      </w:r>
      <w:r w:rsidR="2B1C2C56">
        <w:t>U</w:t>
      </w:r>
      <w:r w:rsidR="00D01D96">
        <w:t>pper Murrumbidgee. Under current conditions, the RAR is delivered into the Regulated Murrumbidgee through Jounama and Blowering dams. This approach simplifies the modelling but also means that trade</w:t>
      </w:r>
      <w:r w:rsidR="00D01D96">
        <w:noBreakHyphen/>
        <w:t>offs with downstream systems and energy generation are explicit and traceable.</w:t>
      </w:r>
    </w:p>
    <w:p w14:paraId="3E790A22" w14:textId="0CE31ED9" w:rsidR="009029C5" w:rsidRDefault="00D01D96" w:rsidP="009029C5">
      <w:pPr>
        <w:pStyle w:val="Sub-Heading"/>
        <w:rPr>
          <w:rFonts w:eastAsia="Calibri"/>
        </w:rPr>
      </w:pPr>
      <w:r>
        <w:rPr>
          <w:rFonts w:eastAsia="Calibri"/>
        </w:rPr>
        <w:t>Modelling iterations and options refinement</w:t>
      </w:r>
    </w:p>
    <w:p w14:paraId="2D71B46C" w14:textId="499CCC33" w:rsidR="00BF34B8" w:rsidRPr="00B3365A" w:rsidRDefault="00382EE8" w:rsidP="00BF34B8">
      <w:r>
        <w:rPr>
          <w:rFonts w:ascii="ZWAdobeF" w:hAnsi="ZWAdobeF" w:cs="ZWAdobeF"/>
          <w:sz w:val="2"/>
          <w:szCs w:val="2"/>
        </w:rPr>
        <w:t>663B</w:t>
      </w:r>
      <w:r w:rsidR="00BF34B8">
        <w:t>Modelling of the environmental flow options was undertaken in three rounds, progressively refining options in response to advisory group feedback, to address emerging system behaviours (within the model), to test infrastructure constraints and different operating approaches to target EWRs. Early rounds were used to establish indicative relationships between release volumes and ecological outcomes</w:t>
      </w:r>
      <w:r w:rsidR="745669C7">
        <w:t xml:space="preserve">—EWR </w:t>
      </w:r>
      <w:r w:rsidR="00BF34B8">
        <w:t>achievement</w:t>
      </w:r>
      <w:r w:rsidR="5677C1B4">
        <w:t xml:space="preserve">—while </w:t>
      </w:r>
      <w:r w:rsidR="00BF34B8">
        <w:t>later rounds focused on increased flexibility, mitigating trade</w:t>
      </w:r>
      <w:r w:rsidR="00BF34B8">
        <w:noBreakHyphen/>
        <w:t>offs, and near</w:t>
      </w:r>
      <w:r w:rsidR="00BF34B8">
        <w:noBreakHyphen/>
        <w:t xml:space="preserve">term feasibility. </w:t>
      </w:r>
    </w:p>
    <w:p w14:paraId="7E234F66" w14:textId="4C789945" w:rsidR="00BF34B8" w:rsidRPr="00B3365A" w:rsidRDefault="00382EE8" w:rsidP="00BF34B8">
      <w:pPr>
        <w:rPr>
          <w:color w:val="000000" w:themeColor="text1"/>
        </w:rPr>
      </w:pPr>
      <w:r>
        <w:rPr>
          <w:rFonts w:ascii="ZWAdobeF" w:hAnsi="ZWAdobeF" w:cs="ZWAdobeF"/>
          <w:sz w:val="2"/>
          <w:szCs w:val="2"/>
        </w:rPr>
        <w:t>664B</w:t>
      </w:r>
      <w:r w:rsidR="00BF34B8" w:rsidRPr="00B3365A">
        <w:rPr>
          <w:color w:val="000000" w:themeColor="text1"/>
        </w:rPr>
        <w:t>The process commenced with the ecological objectives and EWRs described above. These provided the foundation for developing alternative flow scenarios capable of delivering different levels of environmental improvement.</w:t>
      </w:r>
    </w:p>
    <w:p w14:paraId="2BA9F6CA" w14:textId="3CACCE71" w:rsidR="00BF34B8" w:rsidRPr="00B3365A" w:rsidRDefault="00382EE8" w:rsidP="00BF34B8">
      <w:pPr>
        <w:rPr>
          <w:color w:val="000000" w:themeColor="text1"/>
        </w:rPr>
      </w:pPr>
      <w:r>
        <w:rPr>
          <w:rFonts w:ascii="ZWAdobeF" w:hAnsi="ZWAdobeF" w:cs="ZWAdobeF"/>
          <w:sz w:val="2"/>
          <w:szCs w:val="2"/>
        </w:rPr>
        <w:t>665B</w:t>
      </w:r>
      <w:r w:rsidR="00BF34B8" w:rsidRPr="1F7C545C">
        <w:rPr>
          <w:color w:val="000000" w:themeColor="text1"/>
        </w:rPr>
        <w:t>The initial purpose of option development was to test a range of ecological ambitions for the Upper Murrumbidgee River</w:t>
      </w:r>
      <w:r w:rsidR="1E4EF50C" w:rsidRPr="1F7C545C">
        <w:rPr>
          <w:color w:val="000000" w:themeColor="text1"/>
        </w:rPr>
        <w:t xml:space="preserve">. Given the </w:t>
      </w:r>
      <w:r w:rsidR="00BF34B8" w:rsidRPr="1F7C545C">
        <w:rPr>
          <w:color w:val="000000" w:themeColor="text1"/>
        </w:rPr>
        <w:t>degraded condition of the river and uncertainty regarding the volume of water required to achieve different environmental outcomes, the Review did not begin with a preferred flow regime. Instead, the initial options were deliberately designed to represent different ecological trajectories, ranging from maintaining ecological persistence and reducing low</w:t>
      </w:r>
      <w:r w:rsidR="498698BB" w:rsidRPr="1F7C545C">
        <w:rPr>
          <w:color w:val="000000" w:themeColor="text1"/>
        </w:rPr>
        <w:t xml:space="preserve"> </w:t>
      </w:r>
      <w:r w:rsidR="00BF34B8" w:rsidRPr="1F7C545C">
        <w:rPr>
          <w:color w:val="000000" w:themeColor="text1"/>
        </w:rPr>
        <w:t>flow stress through to restoring key ecological and geomorphic processes required for ecosystem recovery.</w:t>
      </w:r>
    </w:p>
    <w:p w14:paraId="326D6B3D" w14:textId="592A091F" w:rsidR="00BF34B8" w:rsidRPr="00B3365A" w:rsidRDefault="00382EE8" w:rsidP="00BF34B8">
      <w:pPr>
        <w:rPr>
          <w:color w:val="000000" w:themeColor="text1"/>
        </w:rPr>
      </w:pPr>
      <w:r>
        <w:rPr>
          <w:rFonts w:ascii="ZWAdobeF" w:hAnsi="ZWAdobeF" w:cs="ZWAdobeF"/>
          <w:sz w:val="2"/>
          <w:szCs w:val="2"/>
        </w:rPr>
        <w:t>666B</w:t>
      </w:r>
      <w:r w:rsidR="00BF34B8" w:rsidRPr="1F7C545C">
        <w:rPr>
          <w:color w:val="000000" w:themeColor="text1"/>
        </w:rPr>
        <w:t>The first round focused on establishing indicative relationships between environmental water volumes, EWR achievement and ecological outcomes, without operational flexibility</w:t>
      </w:r>
      <w:r w:rsidR="56A6B080" w:rsidRPr="1F7C545C">
        <w:rPr>
          <w:color w:val="000000" w:themeColor="text1"/>
        </w:rPr>
        <w:t>—that</w:t>
      </w:r>
      <w:r w:rsidR="00BF34B8" w:rsidRPr="1F7C545C">
        <w:rPr>
          <w:color w:val="000000" w:themeColor="text1"/>
        </w:rPr>
        <w:t xml:space="preserve"> is, assuming an environmental release pattern would be “fixed” before the start of each water year, consistent with current arrangements. The modelling tested options representing different levels of ecological ambition, providing an initial understanding of the scale of change required to move from ecological persistence toward recovery.</w:t>
      </w:r>
    </w:p>
    <w:p w14:paraId="2AB7E46B" w14:textId="74E03A50" w:rsidR="00BF34B8" w:rsidRPr="00B3365A" w:rsidRDefault="00382EE8" w:rsidP="00BF34B8">
      <w:pPr>
        <w:rPr>
          <w:color w:val="000000" w:themeColor="text1"/>
        </w:rPr>
      </w:pPr>
      <w:r>
        <w:rPr>
          <w:rFonts w:ascii="ZWAdobeF" w:hAnsi="ZWAdobeF" w:cs="ZWAdobeF"/>
          <w:sz w:val="2"/>
          <w:szCs w:val="2"/>
        </w:rPr>
        <w:t>667B</w:t>
      </w:r>
      <w:r w:rsidR="00BF34B8" w:rsidRPr="1F7C545C">
        <w:rPr>
          <w:color w:val="000000" w:themeColor="text1"/>
        </w:rPr>
        <w:t xml:space="preserve">The second round refined the options in response to technical advice and feedback from </w:t>
      </w:r>
      <w:r w:rsidR="0DF08E27" w:rsidRPr="1F7C545C">
        <w:rPr>
          <w:color w:val="000000" w:themeColor="text1"/>
        </w:rPr>
        <w:t>advisory groups</w:t>
      </w:r>
      <w:r w:rsidR="00BF34B8" w:rsidRPr="1F7C545C">
        <w:rPr>
          <w:color w:val="000000" w:themeColor="text1"/>
        </w:rPr>
        <w:t>. This included the introduction of seasonal variable baseflows, delivery flexibility, cultural water allocations (6 GL/year added to all</w:t>
      </w:r>
      <w:r w:rsidR="03A33419" w:rsidRPr="1F7C545C">
        <w:rPr>
          <w:color w:val="000000" w:themeColor="text1"/>
        </w:rPr>
        <w:t xml:space="preserve"> subsequent</w:t>
      </w:r>
      <w:r w:rsidR="00BF34B8" w:rsidRPr="1F7C545C">
        <w:rPr>
          <w:color w:val="000000" w:themeColor="text1"/>
        </w:rPr>
        <w:t xml:space="preserve"> options) and higher-magnitude flow </w:t>
      </w:r>
      <w:r w:rsidR="00BF34B8" w:rsidRPr="1F7C545C">
        <w:rPr>
          <w:color w:val="000000" w:themeColor="text1"/>
        </w:rPr>
        <w:lastRenderedPageBreak/>
        <w:t xml:space="preserve">components, including channel maintenance flows to mobilise sediment and restore geomorphic processes. </w:t>
      </w:r>
    </w:p>
    <w:p w14:paraId="6BC2ADDE" w14:textId="003B0FF8" w:rsidR="00BF34B8" w:rsidRPr="00B3365A" w:rsidRDefault="00382EE8" w:rsidP="00BF34B8">
      <w:pPr>
        <w:rPr>
          <w:color w:val="000000" w:themeColor="text1"/>
        </w:rPr>
      </w:pPr>
      <w:r>
        <w:rPr>
          <w:rFonts w:ascii="ZWAdobeF" w:hAnsi="ZWAdobeF" w:cs="ZWAdobeF"/>
          <w:sz w:val="2"/>
          <w:szCs w:val="2"/>
        </w:rPr>
        <w:t>668B</w:t>
      </w:r>
      <w:r w:rsidR="00BF34B8" w:rsidRPr="00B3365A">
        <w:rPr>
          <w:color w:val="000000" w:themeColor="text1"/>
        </w:rPr>
        <w:t>The results of the second round were presented to advisory groups and technical experts. Feedback highlighted opportunities to further improve ecological outcomes and better reflect contemporary environmental water management principles.</w:t>
      </w:r>
    </w:p>
    <w:p w14:paraId="2695050D" w14:textId="59467D20" w:rsidR="00BF34B8" w:rsidRPr="00B3365A" w:rsidRDefault="00382EE8" w:rsidP="00BF34B8">
      <w:pPr>
        <w:rPr>
          <w:color w:val="000000" w:themeColor="text1"/>
        </w:rPr>
      </w:pPr>
      <w:r>
        <w:rPr>
          <w:rFonts w:ascii="ZWAdobeF" w:hAnsi="ZWAdobeF" w:cs="ZWAdobeF"/>
          <w:sz w:val="2"/>
          <w:szCs w:val="2"/>
        </w:rPr>
        <w:t>669B</w:t>
      </w:r>
      <w:r w:rsidR="00BF34B8" w:rsidRPr="6332CC80">
        <w:rPr>
          <w:color w:val="000000" w:themeColor="text1"/>
        </w:rPr>
        <w:t xml:space="preserve">The third round responded to this feedback through the development of an additional scenario, which involved a more climate-responsive approach to environmental water delivery and greater emphasis on improving environmental outcomes in the reach immediately downstream of Tantangara Dam. </w:t>
      </w:r>
    </w:p>
    <w:p w14:paraId="3DEF90AD" w14:textId="6F16D06B" w:rsidR="00BF34B8" w:rsidRPr="00B3365A" w:rsidRDefault="00382EE8" w:rsidP="00BF34B8">
      <w:pPr>
        <w:rPr>
          <w:color w:val="000000" w:themeColor="text1"/>
        </w:rPr>
      </w:pPr>
      <w:r>
        <w:rPr>
          <w:rFonts w:ascii="ZWAdobeF" w:hAnsi="ZWAdobeF" w:cs="ZWAdobeF"/>
          <w:sz w:val="2"/>
          <w:szCs w:val="2"/>
        </w:rPr>
        <w:t>670B</w:t>
      </w:r>
      <w:r w:rsidR="00BF34B8" w:rsidRPr="1F7C545C">
        <w:rPr>
          <w:color w:val="000000" w:themeColor="text1"/>
        </w:rPr>
        <w:t xml:space="preserve">This iterative process was underpinned by a feedback loop that involved technical analysis and </w:t>
      </w:r>
      <w:r w:rsidR="7E181C08" w:rsidRPr="1F7C545C">
        <w:rPr>
          <w:color w:val="000000" w:themeColor="text1"/>
        </w:rPr>
        <w:t>a</w:t>
      </w:r>
      <w:r w:rsidR="00BF34B8" w:rsidRPr="1F7C545C">
        <w:rPr>
          <w:color w:val="000000" w:themeColor="text1"/>
        </w:rPr>
        <w:t xml:space="preserve">dvisory </w:t>
      </w:r>
      <w:r w:rsidR="09222AC5" w:rsidRPr="1F7C545C">
        <w:rPr>
          <w:color w:val="000000" w:themeColor="text1"/>
        </w:rPr>
        <w:t>g</w:t>
      </w:r>
      <w:r w:rsidR="00BF34B8" w:rsidRPr="1F7C545C">
        <w:rPr>
          <w:color w:val="000000" w:themeColor="text1"/>
        </w:rPr>
        <w:t xml:space="preserve">roup input. Outcomes from modelling and technical assessments were presented to </w:t>
      </w:r>
      <w:r w:rsidR="0036461D" w:rsidRPr="1F7C545C">
        <w:rPr>
          <w:color w:val="000000" w:themeColor="text1"/>
        </w:rPr>
        <w:t xml:space="preserve">back to </w:t>
      </w:r>
      <w:r w:rsidR="25CEF185" w:rsidRPr="1F7C545C">
        <w:rPr>
          <w:color w:val="000000" w:themeColor="text1"/>
        </w:rPr>
        <w:t>a</w:t>
      </w:r>
      <w:r w:rsidR="00BF34B8" w:rsidRPr="1F7C545C">
        <w:rPr>
          <w:color w:val="000000" w:themeColor="text1"/>
        </w:rPr>
        <w:t xml:space="preserve">dvisory </w:t>
      </w:r>
      <w:r w:rsidR="56202504" w:rsidRPr="1F7C545C">
        <w:rPr>
          <w:color w:val="000000" w:themeColor="text1"/>
        </w:rPr>
        <w:t>g</w:t>
      </w:r>
      <w:r w:rsidR="00BF34B8" w:rsidRPr="1F7C545C">
        <w:rPr>
          <w:color w:val="000000" w:themeColor="text1"/>
        </w:rPr>
        <w:t xml:space="preserve">roups to support deliberations. The technical assessments and advice from </w:t>
      </w:r>
      <w:r w:rsidR="743A58BD" w:rsidRPr="1F7C545C">
        <w:rPr>
          <w:color w:val="000000" w:themeColor="text1"/>
        </w:rPr>
        <w:t>a</w:t>
      </w:r>
      <w:r w:rsidR="00BF34B8" w:rsidRPr="1F7C545C">
        <w:rPr>
          <w:color w:val="000000" w:themeColor="text1"/>
        </w:rPr>
        <w:t xml:space="preserve">dvisory </w:t>
      </w:r>
      <w:r w:rsidR="15450E6D" w:rsidRPr="1F7C545C">
        <w:rPr>
          <w:color w:val="000000" w:themeColor="text1"/>
        </w:rPr>
        <w:t>g</w:t>
      </w:r>
      <w:r w:rsidR="00BF34B8" w:rsidRPr="1F7C545C">
        <w:rPr>
          <w:color w:val="000000" w:themeColor="text1"/>
        </w:rPr>
        <w:t>roups informed subsequent option refinement and further modelling. The final options assessed by the Panel therefore represent the outcome of multiple cycles of technical testing, expert review and stakeholder deliberation rather than a single modelling exercise.</w:t>
      </w:r>
    </w:p>
    <w:p w14:paraId="2A8E053B" w14:textId="4C1C2727" w:rsidR="00BF34B8" w:rsidRPr="00B3365A" w:rsidRDefault="00382EE8" w:rsidP="00BF34B8">
      <w:pPr>
        <w:rPr>
          <w:color w:val="000000" w:themeColor="text1"/>
        </w:rPr>
      </w:pPr>
      <w:r>
        <w:rPr>
          <w:rFonts w:ascii="ZWAdobeF" w:hAnsi="ZWAdobeF" w:cs="ZWAdobeF"/>
          <w:sz w:val="2"/>
          <w:szCs w:val="2"/>
        </w:rPr>
        <w:t>671B</w:t>
      </w:r>
      <w:r w:rsidR="00BF34B8" w:rsidRPr="6332CC80">
        <w:rPr>
          <w:color w:val="000000" w:themeColor="text1"/>
        </w:rPr>
        <w:t>The Panel considers this iterative approach to be a significant strength of the Review. It enabled alternative environmental flow scenarios to be progressively refined in response to emerging evidence, identified trade-offs and stakeholder feedback, while providing a clearer understanding of the environmental outcomes associated with different levels of ecological ambition.</w:t>
      </w:r>
      <w:r w:rsidR="00BF34B8">
        <w:t xml:space="preserve"> Each environmental flow scenario is not defined in terms of a fixed annual water volume released, but rather a different level, frequency and spatial extent of various flow components aligned with the EWRs (ranging from low flows, baseflows and freshes, up to larger bankfull flows and channel maintenance flows). The freshes, bankfull flows and channel maintenance flows are each adapted to natural flow events and hence vary year to year. Some flows may not occur in dry years. </w:t>
      </w:r>
    </w:p>
    <w:p w14:paraId="5D54799F" w14:textId="173086DF" w:rsidR="00D01D96" w:rsidRDefault="00BF34B8" w:rsidP="00BF34B8">
      <w:pPr>
        <w:pStyle w:val="ReviewHeading3"/>
        <w:rPr>
          <w:rFonts w:eastAsia="Calibri"/>
        </w:rPr>
      </w:pPr>
      <w:r>
        <w:rPr>
          <w:rFonts w:eastAsia="Calibri"/>
        </w:rPr>
        <w:t>Energy modelling</w:t>
      </w:r>
    </w:p>
    <w:p w14:paraId="4C75086F" w14:textId="7208867C" w:rsidR="00B0351F" w:rsidRPr="00B3365A" w:rsidRDefault="00382EE8" w:rsidP="00B0351F">
      <w:r>
        <w:rPr>
          <w:rFonts w:ascii="ZWAdobeF" w:hAnsi="ZWAdobeF" w:cs="ZWAdobeF"/>
          <w:sz w:val="2"/>
          <w:szCs w:val="2"/>
        </w:rPr>
        <w:t>672B</w:t>
      </w:r>
      <w:r w:rsidR="00B0351F">
        <w:t>The Review took the alternative environmental flow scenarios and examined how they would impact the critical role of Snowy Hydro</w:t>
      </w:r>
      <w:r w:rsidR="2A7DC32B">
        <w:t>’s</w:t>
      </w:r>
      <w:r w:rsidR="00B0351F">
        <w:t xml:space="preserve"> role in the NEM and </w:t>
      </w:r>
      <w:r w:rsidR="00F923BF">
        <w:t>consequently</w:t>
      </w:r>
      <w:r w:rsidR="00B0351F">
        <w:t xml:space="preserve"> electricity customers. This analysis considered the operational and system-level impacts of each environmental flow option relative to a base case (current conditions) option without change to Snowy Hydro’s water releases.  </w:t>
      </w:r>
    </w:p>
    <w:p w14:paraId="40D17074" w14:textId="0939308F" w:rsidR="00B0351F" w:rsidRPr="00B3365A" w:rsidRDefault="00382EE8" w:rsidP="00B0351F">
      <w:r>
        <w:rPr>
          <w:rFonts w:ascii="ZWAdobeF" w:hAnsi="ZWAdobeF" w:cs="ZWAdobeF"/>
          <w:sz w:val="2"/>
          <w:szCs w:val="2"/>
        </w:rPr>
        <w:t>673B</w:t>
      </w:r>
      <w:r w:rsidR="00B0351F">
        <w:t xml:space="preserve">The </w:t>
      </w:r>
      <w:r w:rsidR="004F5E86">
        <w:t>B</w:t>
      </w:r>
      <w:r w:rsidR="00B0351F">
        <w:t xml:space="preserve">ase </w:t>
      </w:r>
      <w:r w:rsidR="004F5E86">
        <w:t>C</w:t>
      </w:r>
      <w:r w:rsidR="00B0351F">
        <w:t xml:space="preserve">ase was developed by Frontier Economics in their Energy42 model and is primarily based on the Step Change Scenario </w:t>
      </w:r>
      <w:r w:rsidR="000170CB">
        <w:t xml:space="preserve">in </w:t>
      </w:r>
      <w:r w:rsidR="00B0351F">
        <w:t>AEMO’s Integrated System Plan (ISP). Most inputs in the model were derived from AEMO’s “2025-26 Inputs, Assumptions and Scenarios” for the ISP but using a newly developed model of the Snowy Scheme inclu</w:t>
      </w:r>
      <w:r w:rsidR="005C2D07">
        <w:t>sive of</w:t>
      </w:r>
      <w:r w:rsidR="00B0351F">
        <w:t xml:space="preserve"> Snowy</w:t>
      </w:r>
      <w:r w:rsidR="00DF13E1">
        <w:t xml:space="preserve"> </w:t>
      </w:r>
      <w:r w:rsidR="00B0351F">
        <w:t xml:space="preserve">2.0 from 2028, which was developed in consultation with Snowy Hydro. The model optimises investment in generation and storage across the NEM to reliably meet customer demand and optimises the half-hourly dispatch of that plant in the NEM until 2054.  </w:t>
      </w:r>
    </w:p>
    <w:p w14:paraId="3DD3DBB8" w14:textId="2E122599" w:rsidR="00B0351F" w:rsidRPr="00B3365A" w:rsidRDefault="00382EE8" w:rsidP="00B0351F">
      <w:r>
        <w:rPr>
          <w:rFonts w:ascii="ZWAdobeF" w:hAnsi="ZWAdobeF" w:cs="ZWAdobeF"/>
          <w:sz w:val="2"/>
          <w:szCs w:val="2"/>
        </w:rPr>
        <w:t>674B</w:t>
      </w:r>
      <w:r w:rsidR="00B0351F">
        <w:t>Having established</w:t>
      </w:r>
      <w:r w:rsidR="0098647D">
        <w:t xml:space="preserve"> </w:t>
      </w:r>
      <w:r w:rsidR="00B0351F">
        <w:t xml:space="preserve">the </w:t>
      </w:r>
      <w:r w:rsidR="00DD3179">
        <w:t>Base Case</w:t>
      </w:r>
      <w:r w:rsidR="00B0351F">
        <w:t xml:space="preserve">, the model was then run with </w:t>
      </w:r>
      <w:r w:rsidR="07315EC9">
        <w:t>the environmental</w:t>
      </w:r>
      <w:r w:rsidR="00B0351F">
        <w:t xml:space="preserve"> water releases by Snowy Hydro</w:t>
      </w:r>
      <w:r w:rsidR="6E60A34E">
        <w:t xml:space="preserve"> being</w:t>
      </w:r>
      <w:r w:rsidR="00B0351F">
        <w:t xml:space="preserve"> </w:t>
      </w:r>
      <w:r w:rsidR="4B46911E">
        <w:t xml:space="preserve">the only change </w:t>
      </w:r>
      <w:r w:rsidR="00B0351F">
        <w:t>under each o</w:t>
      </w:r>
      <w:r w:rsidR="24F84C7F">
        <w:t xml:space="preserve">ption and </w:t>
      </w:r>
      <w:r w:rsidR="00B0351F">
        <w:t xml:space="preserve">the corresponding adjustment to RAR at Blowering Dam. The dispatch in each run was based on the marginal operating cost of all renewable generators and historical costs of legacy coal and gas-fired generation. Hydrogeneration, </w:t>
      </w:r>
      <w:r w:rsidR="00B0351F">
        <w:lastRenderedPageBreak/>
        <w:t xml:space="preserve">pumped hydro storage and battery storage were dispatched based on shadow prices. The cost differences between each option and the </w:t>
      </w:r>
      <w:r w:rsidR="00DD3179">
        <w:t>Base Case</w:t>
      </w:r>
      <w:r w:rsidR="00B0351F">
        <w:t xml:space="preserve"> represent the underlying resource cost of the additional environmental water releases in that option. </w:t>
      </w:r>
    </w:p>
    <w:p w14:paraId="03A109EC" w14:textId="4EA1BE66" w:rsidR="00B0351F" w:rsidRPr="00B3365A" w:rsidRDefault="00382EE8" w:rsidP="00B0351F">
      <w:r>
        <w:rPr>
          <w:rFonts w:ascii="ZWAdobeF" w:hAnsi="ZWAdobeF" w:cs="ZWAdobeF"/>
          <w:sz w:val="2"/>
          <w:szCs w:val="2"/>
        </w:rPr>
        <w:t>675B</w:t>
      </w:r>
      <w:r w:rsidR="00B0351F">
        <w:t xml:space="preserve">The outputs from the </w:t>
      </w:r>
      <w:r w:rsidR="00DD3179">
        <w:t>Base Case</w:t>
      </w:r>
      <w:r w:rsidR="00B0351F">
        <w:t xml:space="preserve"> and each option were examined to highlight differences in investment across the NEM, changes in dispatch patterns and the implications for energy market outcomes.  It is important to note that the additional releases to the Upper Murrumbidgee are offset by reduced releases from Blowering Dam to the Tumut River. The different options therefore leave the same quantity of water within the </w:t>
      </w:r>
      <w:r w:rsidR="0CF25ED3">
        <w:t>S</w:t>
      </w:r>
      <w:r w:rsidR="00B0351F">
        <w:t xml:space="preserve">cheme although the Scheme holds less stored energy with that water in lower elevation reservoirs. </w:t>
      </w:r>
    </w:p>
    <w:p w14:paraId="540661AC" w14:textId="6FF96B99" w:rsidR="00B0351F" w:rsidRPr="00B3365A" w:rsidRDefault="00382EE8" w:rsidP="00B0351F">
      <w:r>
        <w:rPr>
          <w:rFonts w:ascii="ZWAdobeF" w:hAnsi="ZWAdobeF" w:cs="ZWAdobeF"/>
          <w:sz w:val="2"/>
          <w:szCs w:val="2"/>
        </w:rPr>
        <w:t>676B</w:t>
      </w:r>
      <w:r w:rsidR="00B0351F">
        <w:t>The cost</w:t>
      </w:r>
      <w:r w:rsidR="5A20E65A">
        <w:t>-</w:t>
      </w:r>
      <w:r w:rsidR="00B0351F">
        <w:t xml:space="preserve">benefit analysis is based on the incremental resource cost of each option, but </w:t>
      </w:r>
      <w:r w:rsidR="49071B14">
        <w:t xml:space="preserve">the </w:t>
      </w:r>
      <w:r w:rsidR="00B0351F">
        <w:t>costs borne by Snowy Hydro are important to understand.  The operation of the Snowy Scheme within the model needs to reflect feasible operation within the Scheme’s limitations, to ensure the model reflects impacts on the NEM and indicates the potential financial outcomes on Snowy Hydro. The Scheme operation is more complex within the model and, given the period of interest, incorporates Snowy 2.0 which will allow pumping and storage in Tantangara Dam and in Lake Eucumbene.</w:t>
      </w:r>
    </w:p>
    <w:p w14:paraId="13DDF381" w14:textId="6F06B923" w:rsidR="00B0351F" w:rsidRPr="00B3365A" w:rsidRDefault="00382EE8" w:rsidP="00B0351F">
      <w:r>
        <w:rPr>
          <w:rFonts w:ascii="ZWAdobeF" w:hAnsi="ZWAdobeF" w:cs="ZWAdobeF"/>
          <w:sz w:val="2"/>
          <w:szCs w:val="2"/>
        </w:rPr>
        <w:t>677B</w:t>
      </w:r>
      <w:r w:rsidR="00B0351F">
        <w:t>The model outputs and detailed data from the model have been analysed to understand the impacts of the additional environmental water releases from the Scheme on the NEM and Snowy Hydro. The most efficient outcome for the NEM</w:t>
      </w:r>
      <w:r w:rsidR="00864700">
        <w:t xml:space="preserve"> </w:t>
      </w:r>
      <w:r w:rsidR="00B0351F">
        <w:t>and profit maximising behaviour for Snowy Hydro is to forego the generation lost from the additional environmental releases at times where the NEM spot price is low. This will also ensure minimal or no impact on reliability of supply and</w:t>
      </w:r>
      <w:r w:rsidR="43FDFC59">
        <w:t xml:space="preserve"> </w:t>
      </w:r>
      <w:r w:rsidR="00B0351F">
        <w:t xml:space="preserve">importantly, maintain the ability of Snowy Hydro to support trading in financial risk management instruments. The model aims to deliver that outcome through shadow bidding of its output, but this is constrained in </w:t>
      </w:r>
      <w:r w:rsidR="043D2E81">
        <w:t>several</w:t>
      </w:r>
      <w:r w:rsidR="00B0351F">
        <w:t xml:space="preserve"> ways. Scrutiny of the market model and further off-market analysis has therefore focused on the way the Snowy Hydro manages, within the broader NEM portfolio of generation, storage and interconnection, through extreme events including extended winter periods of high demand and low renewable generation. </w:t>
      </w:r>
    </w:p>
    <w:p w14:paraId="528AD98B" w14:textId="07414BD4" w:rsidR="009D0E0D" w:rsidRPr="00B3365A" w:rsidRDefault="00382EE8" w:rsidP="00B0351F">
      <w:r>
        <w:rPr>
          <w:rFonts w:ascii="ZWAdobeF" w:hAnsi="ZWAdobeF" w:cs="ZWAdobeF"/>
          <w:sz w:val="2"/>
          <w:szCs w:val="2"/>
        </w:rPr>
        <w:t>678B</w:t>
      </w:r>
      <w:r w:rsidR="009D0E0D" w:rsidRPr="009D0E0D">
        <w:t xml:space="preserve">Further information is published on DCCEEW's website: </w:t>
      </w:r>
      <w:hyperlink r:id="rId37" w:tgtFrame="_blank" w:tooltip="https://www.dcceew.gov.au/water/policy/publications/technical-expert-group-input-review-snowy-water-inquiry-outcomes-implementation-deed" w:history="1">
        <w:r w:rsidR="009D0E0D" w:rsidRPr="009D0E0D">
          <w:rPr>
            <w:rStyle w:val="Hyperlink"/>
          </w:rPr>
          <w:t>Technical Expert Group input into the Review of the Snowy Water Inquiry Outcomes Implementation Deed</w:t>
        </w:r>
      </w:hyperlink>
      <w:r w:rsidR="009D0E0D" w:rsidRPr="009D0E0D">
        <w:t>.</w:t>
      </w:r>
    </w:p>
    <w:p w14:paraId="5943FC13" w14:textId="4E3485CA" w:rsidR="00BF34B8" w:rsidRDefault="00B0351F" w:rsidP="00BF34B8">
      <w:pPr>
        <w:pStyle w:val="ReviewHeading3"/>
      </w:pPr>
      <w:r>
        <w:t>Cost</w:t>
      </w:r>
      <w:r w:rsidR="78CEC6C7" w:rsidRPr="01DAC0FF">
        <w:t>-</w:t>
      </w:r>
      <w:r>
        <w:t>Benefit Analysis</w:t>
      </w:r>
    </w:p>
    <w:p w14:paraId="71BA38BC" w14:textId="3589EC76" w:rsidR="00802FA8" w:rsidRPr="00B3365A" w:rsidRDefault="00382EE8" w:rsidP="00802FA8">
      <w:r>
        <w:rPr>
          <w:rFonts w:ascii="ZWAdobeF" w:hAnsi="ZWAdobeF" w:cs="ZWAdobeF"/>
          <w:sz w:val="2"/>
          <w:szCs w:val="2"/>
        </w:rPr>
        <w:t>679B</w:t>
      </w:r>
      <w:r w:rsidR="00802FA8">
        <w:t xml:space="preserve">A cost-benefit analysis (CBA) was undertaken to assess the trade-offs between environmental, social and economic outcomes, including energy system impacts, to inform decision making. The analysis includes broad consideration of costs and benefits and incorporates the results of hydrological and energy modelling to quantify the economic implications of each flow option.  All costs and benefits are the incremental cost between each option and the </w:t>
      </w:r>
      <w:r w:rsidR="00DD3179">
        <w:t>Base Case</w:t>
      </w:r>
      <w:r w:rsidR="00802FA8">
        <w:t>.</w:t>
      </w:r>
    </w:p>
    <w:p w14:paraId="101F8BB2" w14:textId="42F1139B" w:rsidR="00802FA8" w:rsidRPr="00B3365A" w:rsidRDefault="00382EE8" w:rsidP="00802FA8">
      <w:r>
        <w:rPr>
          <w:rFonts w:ascii="ZWAdobeF" w:hAnsi="ZWAdobeF" w:cs="ZWAdobeF"/>
          <w:sz w:val="2"/>
          <w:szCs w:val="2"/>
        </w:rPr>
        <w:t>680B</w:t>
      </w:r>
      <w:r w:rsidR="00802FA8" w:rsidRPr="00B3365A">
        <w:t xml:space="preserve">The largest cost items are the incremental cost of replacing foregone energy generation, in both capital and operating expenditure and the cost of increasing the outlet capacity of Tantangara Dam in Options 3 and 4. </w:t>
      </w:r>
      <w:r w:rsidR="6C3F3239">
        <w:t>Several</w:t>
      </w:r>
      <w:r w:rsidR="00802FA8" w:rsidRPr="00B3365A">
        <w:t xml:space="preserve"> lesser costs have been valued and included in the analysis.</w:t>
      </w:r>
    </w:p>
    <w:p w14:paraId="253EE7D5" w14:textId="6E22AA6D" w:rsidR="00802FA8" w:rsidRPr="00B3365A" w:rsidRDefault="00382EE8" w:rsidP="00802FA8">
      <w:r>
        <w:rPr>
          <w:rFonts w:ascii="ZWAdobeF" w:hAnsi="ZWAdobeF" w:cs="ZWAdobeF"/>
          <w:sz w:val="2"/>
          <w:szCs w:val="2"/>
        </w:rPr>
        <w:t>681B</w:t>
      </w:r>
      <w:r w:rsidR="00802FA8" w:rsidRPr="00B3365A">
        <w:t>The benefits are more widespread and required an evaluation of broader environmental and socio-economic outcomes including:</w:t>
      </w:r>
    </w:p>
    <w:p w14:paraId="7950AABF" w14:textId="6A58DCFC" w:rsidR="00802FA8" w:rsidRPr="00B3365A" w:rsidRDefault="00382EE8" w:rsidP="00115BD6">
      <w:pPr>
        <w:pStyle w:val="ListParagraph"/>
        <w:numPr>
          <w:ilvl w:val="0"/>
          <w:numId w:val="77"/>
        </w:numPr>
      </w:pPr>
      <w:r>
        <w:rPr>
          <w:rFonts w:ascii="ZWAdobeF" w:hAnsi="ZWAdobeF" w:cs="ZWAdobeF"/>
          <w:sz w:val="2"/>
          <w:szCs w:val="2"/>
        </w:rPr>
        <w:lastRenderedPageBreak/>
        <w:t>112B</w:t>
      </w:r>
      <w:r w:rsidR="00802FA8">
        <w:t>i</w:t>
      </w:r>
      <w:r w:rsidR="00802FA8" w:rsidRPr="00B3365A">
        <w:t>mproved environmental outcomes including support for endangered, vulnerable or near threatened</w:t>
      </w:r>
      <w:r w:rsidR="00802FA8">
        <w:t xml:space="preserve"> species/communities</w:t>
      </w:r>
    </w:p>
    <w:p w14:paraId="26B34F75" w14:textId="511694D7" w:rsidR="00802FA8" w:rsidRPr="00B3365A" w:rsidRDefault="00382EE8" w:rsidP="00115BD6">
      <w:pPr>
        <w:pStyle w:val="ListParagraph"/>
        <w:numPr>
          <w:ilvl w:val="0"/>
          <w:numId w:val="77"/>
        </w:numPr>
      </w:pPr>
      <w:r>
        <w:rPr>
          <w:rFonts w:ascii="ZWAdobeF" w:hAnsi="ZWAdobeF" w:cs="ZWAdobeF"/>
          <w:sz w:val="2"/>
          <w:szCs w:val="2"/>
        </w:rPr>
        <w:t>113B</w:t>
      </w:r>
      <w:r w:rsidR="00802FA8">
        <w:t>i</w:t>
      </w:r>
      <w:r w:rsidR="00802FA8" w:rsidRPr="00B3365A">
        <w:t>mproved cultural outcomes</w:t>
      </w:r>
    </w:p>
    <w:p w14:paraId="47FC0EE6" w14:textId="5B010480" w:rsidR="00802FA8" w:rsidRPr="00B3365A" w:rsidRDefault="00382EE8" w:rsidP="00115BD6">
      <w:pPr>
        <w:pStyle w:val="ListParagraph"/>
        <w:numPr>
          <w:ilvl w:val="0"/>
          <w:numId w:val="77"/>
        </w:numPr>
      </w:pPr>
      <w:r>
        <w:rPr>
          <w:rFonts w:ascii="ZWAdobeF" w:hAnsi="ZWAdobeF" w:cs="ZWAdobeF"/>
          <w:sz w:val="2"/>
          <w:szCs w:val="2"/>
        </w:rPr>
        <w:t>114B</w:t>
      </w:r>
      <w:r w:rsidR="00802FA8">
        <w:t>i</w:t>
      </w:r>
      <w:r w:rsidR="00802FA8" w:rsidRPr="00B3365A">
        <w:t>mproved water security for downstream communities</w:t>
      </w:r>
    </w:p>
    <w:p w14:paraId="2BD46DC4" w14:textId="2A780FC0" w:rsidR="00802FA8" w:rsidRPr="00B3365A" w:rsidRDefault="00382EE8" w:rsidP="00115BD6">
      <w:pPr>
        <w:pStyle w:val="ListParagraph"/>
        <w:numPr>
          <w:ilvl w:val="0"/>
          <w:numId w:val="77"/>
        </w:numPr>
      </w:pPr>
      <w:r>
        <w:rPr>
          <w:rFonts w:ascii="ZWAdobeF" w:hAnsi="ZWAdobeF" w:cs="ZWAdobeF"/>
          <w:sz w:val="2"/>
          <w:szCs w:val="2"/>
        </w:rPr>
        <w:t>115B</w:t>
      </w:r>
      <w:r w:rsidR="00802FA8">
        <w:t>i</w:t>
      </w:r>
      <w:r w:rsidR="00802FA8" w:rsidRPr="00B3365A">
        <w:t>mproved water quality</w:t>
      </w:r>
      <w:r w:rsidR="00802FA8">
        <w:t>.</w:t>
      </w:r>
    </w:p>
    <w:p w14:paraId="0F83B460" w14:textId="61FC633D" w:rsidR="00802FA8" w:rsidRPr="00B3365A" w:rsidRDefault="00382EE8" w:rsidP="00802FA8">
      <w:r>
        <w:rPr>
          <w:rFonts w:ascii="ZWAdobeF" w:hAnsi="ZWAdobeF" w:cs="ZWAdobeF"/>
          <w:sz w:val="2"/>
          <w:szCs w:val="2"/>
        </w:rPr>
        <w:t>682B</w:t>
      </w:r>
      <w:r w:rsidR="00802FA8">
        <w:t>Where possible these benefits have been quantified and included in the CBA. Where that was not possible, a qualitative assessment is made of the additional costs and benefits, including materiality and expected magnitude. A sensitivity analysis was also undertaken to test the robustness of the CBA to some of the key parameters and assumptions used in the assessment.</w:t>
      </w:r>
    </w:p>
    <w:p w14:paraId="4AAB74E1" w14:textId="03DA1FA3" w:rsidR="00802FA8" w:rsidRPr="00B3365A" w:rsidRDefault="00382EE8" w:rsidP="00802FA8">
      <w:r>
        <w:rPr>
          <w:rFonts w:ascii="ZWAdobeF" w:hAnsi="ZWAdobeF" w:cs="ZWAdobeF"/>
          <w:sz w:val="2"/>
          <w:szCs w:val="2"/>
        </w:rPr>
        <w:t>683B</w:t>
      </w:r>
      <w:r w:rsidR="00802FA8" w:rsidRPr="00B3365A">
        <w:t xml:space="preserve">Distributional impacts have also been considered. Most importantly, the costs are primarily borne by Snowy Hydro, </w:t>
      </w:r>
      <w:r w:rsidR="00802FA8">
        <w:t>a</w:t>
      </w:r>
      <w:r w:rsidR="4100FD8E">
        <w:t>n</w:t>
      </w:r>
      <w:r w:rsidR="00802FA8" w:rsidRPr="00B3365A">
        <w:t xml:space="preserve"> </w:t>
      </w:r>
      <w:r w:rsidR="01FBA051">
        <w:t>Australian Government</w:t>
      </w:r>
      <w:r w:rsidR="00802FA8" w:rsidRPr="00B3365A">
        <w:t>-owned Government Business Enterprise. The impacts on Snowy Hydro’s business have been assessed including the cost of foregone energy generation, loss of spot</w:t>
      </w:r>
      <w:r w:rsidR="64A5BDB9">
        <w:t xml:space="preserve"> </w:t>
      </w:r>
      <w:r w:rsidR="00802FA8" w:rsidRPr="00B3365A">
        <w:t xml:space="preserve">market revenue, and any additional pumping costs driven by the increased environmental water releases. </w:t>
      </w:r>
      <w:r w:rsidR="00802FA8">
        <w:t>The business’</w:t>
      </w:r>
      <w:r w:rsidR="14BBD0D0">
        <w:t>s</w:t>
      </w:r>
      <w:r w:rsidR="00802FA8" w:rsidRPr="00B3365A">
        <w:t xml:space="preserve"> ability to provide the most critical and valuable services to the NEM have also been identified.</w:t>
      </w:r>
    </w:p>
    <w:p w14:paraId="0B6A26B2" w14:textId="4FFEFA6E" w:rsidR="009C4492" w:rsidRDefault="00382EE8" w:rsidP="6332CC80">
      <w:r>
        <w:rPr>
          <w:rFonts w:ascii="ZWAdobeF" w:hAnsi="ZWAdobeF" w:cs="ZWAdobeF"/>
          <w:sz w:val="2"/>
          <w:szCs w:val="2"/>
        </w:rPr>
        <w:t>684B</w:t>
      </w:r>
      <w:r w:rsidR="00F16965" w:rsidRPr="00F16965">
        <w:t xml:space="preserve">Further information is published on DCCEEW's website: </w:t>
      </w:r>
      <w:hyperlink r:id="rId38" w:tgtFrame="_blank" w:tooltip="https://www.dcceew.gov.au/water/policy/publications/technical-expert-group-input-review-snowy-water-inquiry-outcomes-implementation-deed" w:history="1">
        <w:r w:rsidR="00F16965" w:rsidRPr="00F16965">
          <w:rPr>
            <w:rStyle w:val="Hyperlink"/>
          </w:rPr>
          <w:t>Technical Expert Group input into the Review of the Snowy Water Inquiry Outcomes Implementation Deed</w:t>
        </w:r>
      </w:hyperlink>
      <w:r w:rsidR="00F16965" w:rsidRPr="00F16965">
        <w:t>.</w:t>
      </w:r>
      <w:r w:rsidR="00F16965" w:rsidRPr="00F16965" w:rsidDel="00F16965">
        <w:t xml:space="preserve"> </w:t>
      </w:r>
      <w:r w:rsidR="009C4492">
        <w:br w:type="page"/>
      </w:r>
    </w:p>
    <w:p w14:paraId="004423F6" w14:textId="4B928B83" w:rsidR="009634E3" w:rsidRDefault="00382EE8" w:rsidP="002852C7">
      <w:pPr>
        <w:pStyle w:val="ReviewHeading"/>
        <w:numPr>
          <w:ilvl w:val="0"/>
          <w:numId w:val="2"/>
        </w:numPr>
        <w:tabs>
          <w:tab w:val="clear" w:pos="720"/>
        </w:tabs>
        <w:ind w:left="426"/>
      </w:pPr>
      <w:bookmarkStart w:id="40" w:name="_Toc233285592"/>
      <w:bookmarkStart w:id="41" w:name="_Toc233801471"/>
      <w:r>
        <w:rPr>
          <w:rFonts w:ascii="ZWAdobeF" w:hAnsi="ZWAdobeF" w:cs="ZWAdobeF"/>
          <w:b w:val="0"/>
          <w:color w:val="auto"/>
          <w:spacing w:val="0"/>
          <w:sz w:val="2"/>
          <w:szCs w:val="2"/>
        </w:rPr>
        <w:lastRenderedPageBreak/>
        <w:t>1662B</w:t>
      </w:r>
      <w:r w:rsidR="00BD4E73">
        <w:t>Orig</w:t>
      </w:r>
      <w:r w:rsidR="00FA7BC3">
        <w:t>i</w:t>
      </w:r>
      <w:r w:rsidR="00BD4E73">
        <w:t xml:space="preserve">nal Deed </w:t>
      </w:r>
      <w:r w:rsidR="00CD7809">
        <w:t>Effectiveness</w:t>
      </w:r>
      <w:bookmarkEnd w:id="40"/>
      <w:bookmarkEnd w:id="41"/>
      <w:r w:rsidR="00CD7809">
        <w:t xml:space="preserve"> </w:t>
      </w:r>
    </w:p>
    <w:p w14:paraId="1B1473BE" w14:textId="77777777" w:rsidR="004F4940" w:rsidRDefault="004F4940" w:rsidP="6332CC80"/>
    <w:p w14:paraId="1E942238" w14:textId="3F5C1B5D" w:rsidR="00B1231C" w:rsidRPr="00491560" w:rsidRDefault="00382EE8" w:rsidP="6332CC80">
      <w:r>
        <w:rPr>
          <w:rFonts w:ascii="ZWAdobeF" w:hAnsi="ZWAdobeF" w:cs="ZWAdobeF"/>
          <w:sz w:val="2"/>
          <w:szCs w:val="2"/>
        </w:rPr>
        <w:t>685B</w:t>
      </w:r>
      <w:r w:rsidR="00B1231C">
        <w:t xml:space="preserve">This chapter assesses the effectiveness of the Deed in accordance with section 11(a) of the Terms of Reference. It examines the extent to which the Deed has achieved its </w:t>
      </w:r>
      <w:r w:rsidR="00D35304">
        <w:t>original objectives</w:t>
      </w:r>
      <w:r w:rsidR="00B1231C">
        <w:t xml:space="preserve"> since its commencement in 2002, with a particular focus on the delivery of increased environmental flows to the Snowy River and Snowy Montane Rivers. </w:t>
      </w:r>
      <w:r w:rsidR="0E580D73">
        <w:t>This chapter</w:t>
      </w:r>
      <w:r w:rsidR="009002CE">
        <w:t xml:space="preserve"> </w:t>
      </w:r>
      <w:r w:rsidR="00B1231C">
        <w:t>also considers how the Deed operates in practice through its implementation and governance arrangements, recognising that effectiveness is shaped not only by the design of the Deed itself, but by the institutional and regulatory framework through which it is applied.</w:t>
      </w:r>
    </w:p>
    <w:p w14:paraId="33F18F7E" w14:textId="236045A2" w:rsidR="00B1231C" w:rsidRPr="00491560" w:rsidRDefault="00382EE8" w:rsidP="00FA7BC3">
      <w:r>
        <w:rPr>
          <w:rFonts w:ascii="ZWAdobeF" w:hAnsi="ZWAdobeF" w:cs="ZWAdobeF"/>
          <w:sz w:val="2"/>
          <w:szCs w:val="2"/>
        </w:rPr>
        <w:t>686B</w:t>
      </w:r>
      <w:r w:rsidR="00B1231C" w:rsidRPr="00491560">
        <w:t>The assessment draws on input from the intergovernmental Review Consultation Group, the Stakeholder Advisory Group and the First Nations Advisory Group, as well as stakeholder submissions, targeted engagement and relevant literature.</w:t>
      </w:r>
    </w:p>
    <w:p w14:paraId="551AA3BF" w14:textId="712E96E8" w:rsidR="00B1231C" w:rsidRPr="00491560" w:rsidRDefault="00382EE8" w:rsidP="00FA7BC3">
      <w:r>
        <w:rPr>
          <w:rFonts w:ascii="ZWAdobeF" w:hAnsi="ZWAdobeF" w:cs="ZWAdobeF"/>
          <w:sz w:val="2"/>
          <w:szCs w:val="2"/>
        </w:rPr>
        <w:t>687B</w:t>
      </w:r>
      <w:r w:rsidR="00B1231C">
        <w:t>Overall, the Panel finds that the Deed has been only partially effective in achieving the intent agreed by the Deed parties and is no longer fit</w:t>
      </w:r>
      <w:r w:rsidR="17D89A57">
        <w:t>-</w:t>
      </w:r>
      <w:r w:rsidR="00B1231C">
        <w:t>for</w:t>
      </w:r>
      <w:r w:rsidR="5964339E">
        <w:t>-</w:t>
      </w:r>
      <w:r w:rsidR="00B1231C">
        <w:t xml:space="preserve">purpose. </w:t>
      </w:r>
      <w:r w:rsidR="00AD5ADD">
        <w:t xml:space="preserve">Although </w:t>
      </w:r>
      <w:r w:rsidR="00B1231C">
        <w:t>some minor increases in environmental flows were achieved progress has been uneven and, in several key respects, insufficient to meet contemporary expectations for environmental water management or deliver sustained ecological improvement.</w:t>
      </w:r>
    </w:p>
    <w:p w14:paraId="7A08C175" w14:textId="4F119930" w:rsidR="00B1231C" w:rsidRPr="00491560" w:rsidRDefault="00382EE8" w:rsidP="00FA7BC3">
      <w:r>
        <w:rPr>
          <w:rFonts w:ascii="ZWAdobeF" w:hAnsi="ZWAdobeF" w:cs="ZWAdobeF"/>
          <w:sz w:val="2"/>
          <w:szCs w:val="2"/>
        </w:rPr>
        <w:t>688B</w:t>
      </w:r>
      <w:r w:rsidR="00B1231C" w:rsidRPr="00491560">
        <w:t>The Panel considers that these limitations reflect a fundamental design issue. The Deed operates predominantly as an output-focused framework, emphasising the delivery of prescribed water volumes, rather than an outcomes-focused framework that defines, measures and adapts to the environmental results those flows are intended to achieve.</w:t>
      </w:r>
    </w:p>
    <w:p w14:paraId="3CF294FF" w14:textId="3754E63E" w:rsidR="00B1231C" w:rsidRPr="00491560" w:rsidRDefault="00382EE8" w:rsidP="00FA7BC3">
      <w:r>
        <w:rPr>
          <w:rFonts w:ascii="ZWAdobeF" w:hAnsi="ZWAdobeF" w:cs="ZWAdobeF"/>
          <w:sz w:val="2"/>
          <w:szCs w:val="2"/>
        </w:rPr>
        <w:t>689B</w:t>
      </w:r>
      <w:r w:rsidR="00B1231C" w:rsidRPr="00491560">
        <w:t>Consistent with the analysis in this chapter, limitations in effectiveness are attributable to a combination of interrelated factors, including:</w:t>
      </w:r>
    </w:p>
    <w:p w14:paraId="414ADF44" w14:textId="60FF25AA" w:rsidR="00B1231C" w:rsidRPr="00491560" w:rsidRDefault="00382EE8" w:rsidP="00115BD6">
      <w:pPr>
        <w:pStyle w:val="ListParagraph"/>
        <w:numPr>
          <w:ilvl w:val="0"/>
          <w:numId w:val="47"/>
        </w:numPr>
      </w:pPr>
      <w:r>
        <w:rPr>
          <w:rFonts w:ascii="ZWAdobeF" w:hAnsi="ZWAdobeF" w:cs="ZWAdobeF"/>
          <w:sz w:val="2"/>
          <w:szCs w:val="2"/>
        </w:rPr>
        <w:t>116B</w:t>
      </w:r>
      <w:r w:rsidR="4FC83F9A">
        <w:t>a</w:t>
      </w:r>
      <w:r w:rsidR="3E5923B4">
        <w:t>bsence</w:t>
      </w:r>
      <w:r w:rsidR="78B724D6">
        <w:t xml:space="preserve"> of precision </w:t>
      </w:r>
      <w:r w:rsidR="6D6075A4">
        <w:t>of</w:t>
      </w:r>
      <w:r w:rsidR="71010C91">
        <w:t xml:space="preserve"> objective</w:t>
      </w:r>
      <w:r w:rsidR="6CFF79D3">
        <w:t>s</w:t>
      </w:r>
      <w:r w:rsidR="00B1231C" w:rsidDel="003F532D">
        <w:t xml:space="preserve"> </w:t>
      </w:r>
      <w:r w:rsidR="00B1231C">
        <w:t xml:space="preserve">and </w:t>
      </w:r>
      <w:r w:rsidR="48983474">
        <w:t xml:space="preserve">limitations on formal </w:t>
      </w:r>
      <w:r w:rsidR="00B1231C">
        <w:t xml:space="preserve">intergovernmental coordination, including limited mechanisms to update objectives over time and restricted </w:t>
      </w:r>
      <w:r w:rsidR="220696F8">
        <w:t xml:space="preserve">formal </w:t>
      </w:r>
      <w:r w:rsidR="00B1231C">
        <w:t>participation</w:t>
      </w:r>
    </w:p>
    <w:p w14:paraId="70640B5E" w14:textId="4F35E0D5" w:rsidR="00B1231C" w:rsidRPr="00491560" w:rsidRDefault="00382EE8" w:rsidP="00115BD6">
      <w:pPr>
        <w:pStyle w:val="ListParagraph"/>
        <w:numPr>
          <w:ilvl w:val="0"/>
          <w:numId w:val="47"/>
        </w:numPr>
      </w:pPr>
      <w:r>
        <w:rPr>
          <w:rFonts w:ascii="ZWAdobeF" w:hAnsi="ZWAdobeF" w:cs="ZWAdobeF"/>
          <w:sz w:val="2"/>
          <w:szCs w:val="2"/>
        </w:rPr>
        <w:t>117B</w:t>
      </w:r>
      <w:r w:rsidR="00B1231C" w:rsidRPr="00491560">
        <w:t>the absence of clear and transparent frameworks for decision-making and trade-off management, resulting in implicit balancing of competing environmental, water and energy objectives</w:t>
      </w:r>
    </w:p>
    <w:p w14:paraId="491502EB" w14:textId="21623271" w:rsidR="00B1231C" w:rsidRPr="00491560" w:rsidRDefault="00382EE8" w:rsidP="00115BD6">
      <w:pPr>
        <w:pStyle w:val="ListParagraph"/>
        <w:numPr>
          <w:ilvl w:val="0"/>
          <w:numId w:val="47"/>
        </w:numPr>
      </w:pPr>
      <w:r>
        <w:rPr>
          <w:rFonts w:ascii="ZWAdobeF" w:hAnsi="ZWAdobeF" w:cs="ZWAdobeF"/>
          <w:sz w:val="2"/>
          <w:szCs w:val="2"/>
        </w:rPr>
        <w:t>118B</w:t>
      </w:r>
      <w:r w:rsidR="00B1231C" w:rsidRPr="00491560">
        <w:t xml:space="preserve">operational arrangements that prioritise predefined rules over adaptive management, constraining the </w:t>
      </w:r>
      <w:r w:rsidR="00B1231C">
        <w:t>effectiveness</w:t>
      </w:r>
      <w:r w:rsidR="00B1231C" w:rsidRPr="00491560">
        <w:t xml:space="preserve"> of environmental flow delivery</w:t>
      </w:r>
    </w:p>
    <w:p w14:paraId="461DCF42" w14:textId="68E48228" w:rsidR="00B1231C" w:rsidRPr="00491560" w:rsidRDefault="00382EE8" w:rsidP="00115BD6">
      <w:pPr>
        <w:pStyle w:val="ListParagraph"/>
        <w:numPr>
          <w:ilvl w:val="0"/>
          <w:numId w:val="47"/>
        </w:numPr>
      </w:pPr>
      <w:r>
        <w:rPr>
          <w:rFonts w:ascii="ZWAdobeF" w:hAnsi="ZWAdobeF" w:cs="ZWAdobeF"/>
          <w:sz w:val="2"/>
          <w:szCs w:val="2"/>
        </w:rPr>
        <w:t>119B</w:t>
      </w:r>
      <w:r w:rsidR="00B1231C" w:rsidRPr="00491560">
        <w:t xml:space="preserve">regulatory and compliance frameworks focused on delivery of outputs rather than achievement of </w:t>
      </w:r>
      <w:r w:rsidR="00B1231C">
        <w:t xml:space="preserve">measurable, </w:t>
      </w:r>
      <w:r w:rsidR="00B1231C" w:rsidRPr="00491560">
        <w:t>system-level environmental outcomes</w:t>
      </w:r>
    </w:p>
    <w:p w14:paraId="00A4E14F" w14:textId="20DD67D1" w:rsidR="00B1231C" w:rsidRPr="00491560" w:rsidRDefault="00382EE8" w:rsidP="00115BD6">
      <w:pPr>
        <w:pStyle w:val="ListParagraph"/>
        <w:numPr>
          <w:ilvl w:val="0"/>
          <w:numId w:val="47"/>
        </w:numPr>
      </w:pPr>
      <w:r>
        <w:rPr>
          <w:rFonts w:ascii="ZWAdobeF" w:hAnsi="ZWAdobeF" w:cs="ZWAdobeF"/>
          <w:sz w:val="2"/>
          <w:szCs w:val="2"/>
        </w:rPr>
        <w:t>120B</w:t>
      </w:r>
      <w:r w:rsidR="00B1231C" w:rsidRPr="00491560">
        <w:t>monitoring, reporting and audit arrangements that are primarily compliance-focused, with limited evaluation of ecological outcomes or independent system-level oversight</w:t>
      </w:r>
    </w:p>
    <w:p w14:paraId="50644E5E" w14:textId="24B0774C" w:rsidR="00B1231C" w:rsidRPr="00491560" w:rsidRDefault="00382EE8" w:rsidP="00115BD6">
      <w:pPr>
        <w:pStyle w:val="ListParagraph"/>
        <w:numPr>
          <w:ilvl w:val="0"/>
          <w:numId w:val="47"/>
        </w:numPr>
      </w:pPr>
      <w:r>
        <w:rPr>
          <w:rFonts w:ascii="ZWAdobeF" w:hAnsi="ZWAdobeF" w:cs="ZWAdobeF"/>
          <w:sz w:val="2"/>
          <w:szCs w:val="2"/>
        </w:rPr>
        <w:t>121B</w:t>
      </w:r>
      <w:r w:rsidR="00B1231C" w:rsidRPr="00491560">
        <w:t>a lack of structured mechanisms for system review and adaptation, including the absence of a mandatory review cycle for the Deed</w:t>
      </w:r>
    </w:p>
    <w:p w14:paraId="331F4E9B" w14:textId="45D5587C" w:rsidR="00B1231C" w:rsidRPr="00491560" w:rsidRDefault="00382EE8" w:rsidP="00115BD6">
      <w:pPr>
        <w:pStyle w:val="ListParagraph"/>
        <w:numPr>
          <w:ilvl w:val="0"/>
          <w:numId w:val="47"/>
        </w:numPr>
      </w:pPr>
      <w:r>
        <w:rPr>
          <w:rFonts w:ascii="ZWAdobeF" w:hAnsi="ZWAdobeF" w:cs="ZWAdobeF"/>
          <w:sz w:val="2"/>
          <w:szCs w:val="2"/>
        </w:rPr>
        <w:t>122B</w:t>
      </w:r>
      <w:r w:rsidR="50519D99">
        <w:t>a</w:t>
      </w:r>
      <w:r w:rsidR="79DD61FB">
        <w:t>bsence of a dis</w:t>
      </w:r>
      <w:r w:rsidR="388756AA">
        <w:t>p</w:t>
      </w:r>
      <w:r w:rsidR="79DD61FB">
        <w:t xml:space="preserve">ute resolution mechanism and </w:t>
      </w:r>
      <w:r w:rsidR="00BC0184">
        <w:t xml:space="preserve">a </w:t>
      </w:r>
      <w:r w:rsidR="00B1231C">
        <w:t xml:space="preserve">compensation arrangement that </w:t>
      </w:r>
      <w:r w:rsidR="00D65132">
        <w:t xml:space="preserve">likely </w:t>
      </w:r>
      <w:r w:rsidR="00B1231C">
        <w:t xml:space="preserve">disincentivise </w:t>
      </w:r>
      <w:r w:rsidR="00B1231C" w:rsidDel="00B1231C">
        <w:t>changes to</w:t>
      </w:r>
      <w:r w:rsidR="00B1231C" w:rsidDel="00D76F8F">
        <w:t xml:space="preserve"> </w:t>
      </w:r>
      <w:r w:rsidR="00B1231C">
        <w:t xml:space="preserve">operational settings and </w:t>
      </w:r>
      <w:r w:rsidR="40B51DA1">
        <w:t>constrain</w:t>
      </w:r>
      <w:r w:rsidR="00B1231C">
        <w:t xml:space="preserve"> flexibility</w:t>
      </w:r>
      <w:r w:rsidR="6C675E1F">
        <w:t>.</w:t>
      </w:r>
    </w:p>
    <w:p w14:paraId="71B5CC39" w14:textId="0CD9744D" w:rsidR="00105FE2" w:rsidRDefault="00105FE2" w:rsidP="005B0BA7">
      <w:pPr>
        <w:pStyle w:val="ReviewHeading2"/>
      </w:pPr>
      <w:bookmarkStart w:id="42" w:name="_Toc233285593"/>
      <w:bookmarkStart w:id="43" w:name="_Toc233801472"/>
      <w:r>
        <w:lastRenderedPageBreak/>
        <w:t>3.1 Current Deed Arrangements</w:t>
      </w:r>
      <w:bookmarkEnd w:id="42"/>
      <w:bookmarkEnd w:id="43"/>
    </w:p>
    <w:p w14:paraId="564DF044" w14:textId="62F75719" w:rsidR="004003A3" w:rsidRDefault="00382EE8" w:rsidP="004003A3">
      <w:r>
        <w:rPr>
          <w:rFonts w:ascii="ZWAdobeF" w:hAnsi="ZWAdobeF" w:cs="ZWAdobeF"/>
          <w:sz w:val="2"/>
          <w:szCs w:val="2"/>
        </w:rPr>
        <w:t>690B</w:t>
      </w:r>
      <w:r w:rsidR="004003A3" w:rsidRPr="2FB8EB33">
        <w:t xml:space="preserve">The Deed is an intergovernmental </w:t>
      </w:r>
      <w:r w:rsidR="00A2793A">
        <w:t>arrangement</w:t>
      </w:r>
      <w:r w:rsidR="004003A3" w:rsidRPr="2FB8EB33">
        <w:t xml:space="preserve"> established in 2002 between the</w:t>
      </w:r>
      <w:r w:rsidR="004003A3">
        <w:t xml:space="preserve"> Australian</w:t>
      </w:r>
      <w:r w:rsidR="004003A3" w:rsidRPr="2FB8EB33">
        <w:t>, N</w:t>
      </w:r>
      <w:r w:rsidR="004003A3">
        <w:t xml:space="preserve">SW </w:t>
      </w:r>
      <w:r w:rsidR="004003A3" w:rsidRPr="2FB8EB33">
        <w:t xml:space="preserve">and </w:t>
      </w:r>
      <w:r w:rsidR="54B9DAD4">
        <w:t>Victoria</w:t>
      </w:r>
      <w:r w:rsidR="16EA9326">
        <w:t>n governments</w:t>
      </w:r>
      <w:r w:rsidR="54B9DAD4">
        <w:t>.</w:t>
      </w:r>
      <w:r w:rsidR="004003A3" w:rsidRPr="2FB8EB33">
        <w:t xml:space="preserve"> </w:t>
      </w:r>
      <w:r w:rsidR="004003A3">
        <w:t>The Deed</w:t>
      </w:r>
      <w:r w:rsidR="004003A3" w:rsidRPr="2FB8EB33">
        <w:t xml:space="preserve"> give</w:t>
      </w:r>
      <w:r w:rsidR="004003A3">
        <w:t>s</w:t>
      </w:r>
      <w:r w:rsidR="004003A3" w:rsidRPr="2FB8EB33">
        <w:t xml:space="preserve"> effect to the outcomes of the 1998 Snowy Water Inquiry following the corporatisation of Snowy Hydro.</w:t>
      </w:r>
    </w:p>
    <w:p w14:paraId="07073321" w14:textId="3F5CB778" w:rsidR="004003A3" w:rsidRDefault="00382EE8" w:rsidP="004003A3">
      <w:r>
        <w:rPr>
          <w:rFonts w:ascii="ZWAdobeF" w:hAnsi="ZWAdobeF" w:cs="ZWAdobeF"/>
          <w:sz w:val="2"/>
          <w:szCs w:val="2"/>
        </w:rPr>
        <w:t>691B</w:t>
      </w:r>
      <w:r w:rsidR="004003A3" w:rsidRPr="2FB8EB33">
        <w:t>The Deed sets the overarching policy framework for the management of Snowy water resources</w:t>
      </w:r>
      <w:r w:rsidR="004003A3">
        <w:t xml:space="preserve"> </w:t>
      </w:r>
      <w:r w:rsidR="004003A3" w:rsidRPr="2FB8EB33">
        <w:t>including commitments to environmental water recovery while recognising the ongoing role of the Scheme in electricity generation and downstream water supply.</w:t>
      </w:r>
    </w:p>
    <w:p w14:paraId="3A4124F9" w14:textId="62B470EA" w:rsidR="004003A3" w:rsidRDefault="00382EE8" w:rsidP="004003A3">
      <w:r>
        <w:rPr>
          <w:rFonts w:ascii="ZWAdobeF" w:hAnsi="ZWAdobeF" w:cs="ZWAdobeF"/>
          <w:sz w:val="2"/>
          <w:szCs w:val="2"/>
        </w:rPr>
        <w:t>692B</w:t>
      </w:r>
      <w:r w:rsidR="004003A3">
        <w:t xml:space="preserve">The Deed operates as a </w:t>
      </w:r>
      <w:r w:rsidR="009002CE">
        <w:t>high</w:t>
      </w:r>
      <w:r w:rsidR="004003A3">
        <w:t>-level agreement between governments. It sets policy intent and agreed outcomes but does not itself provide direct mechanisms for implementation</w:t>
      </w:r>
      <w:r w:rsidR="7AA9A24E">
        <w:t>,</w:t>
      </w:r>
      <w:r w:rsidR="004003A3">
        <w:t xml:space="preserve"> en</w:t>
      </w:r>
      <w:r w:rsidR="00447AC3">
        <w:t>suring compliance</w:t>
      </w:r>
      <w:r w:rsidR="553CA054">
        <w:t>, review, dispute resolution or adaptation.</w:t>
      </w:r>
    </w:p>
    <w:p w14:paraId="70342FD5" w14:textId="22F3168A" w:rsidR="004003A3" w:rsidRDefault="00382EE8" w:rsidP="004003A3">
      <w:r>
        <w:rPr>
          <w:rFonts w:ascii="ZWAdobeF" w:hAnsi="ZWAdobeF" w:cs="ZWAdobeF"/>
          <w:sz w:val="2"/>
          <w:szCs w:val="2"/>
        </w:rPr>
        <w:t>693B</w:t>
      </w:r>
      <w:r w:rsidR="004003A3" w:rsidRPr="2FB8EB33">
        <w:t xml:space="preserve">Implementation of the Deed is primarily delivered through subordinate instruments, most notably the Snowy Water Licence issued under </w:t>
      </w:r>
      <w:r w:rsidR="72B79D5D">
        <w:t>NSW</w:t>
      </w:r>
      <w:r w:rsidR="004003A3" w:rsidRPr="2FB8EB33">
        <w:t xml:space="preserve"> legislation.</w:t>
      </w:r>
    </w:p>
    <w:p w14:paraId="2FFC9EBE" w14:textId="5115CB40" w:rsidR="006F7133" w:rsidRDefault="006F7133" w:rsidP="6332CC80">
      <w:pPr>
        <w:pStyle w:val="ReviewHeading3"/>
        <w:rPr>
          <w:rFonts w:eastAsia="Calibri"/>
        </w:rPr>
      </w:pPr>
      <w:r w:rsidRPr="6332CC80">
        <w:rPr>
          <w:rFonts w:eastAsia="Calibri"/>
        </w:rPr>
        <w:t>Current implementation of the Deed</w:t>
      </w:r>
    </w:p>
    <w:p w14:paraId="5C6F405B" w14:textId="13E3BDBF" w:rsidR="00E1583B" w:rsidRPr="009C5DBE" w:rsidRDefault="00382EE8" w:rsidP="00E1583B">
      <w:pPr>
        <w:rPr>
          <w:rFonts w:cs="Calibri"/>
        </w:rPr>
      </w:pPr>
      <w:r>
        <w:rPr>
          <w:rFonts w:ascii="ZWAdobeF" w:hAnsi="ZWAdobeF" w:cs="ZWAdobeF"/>
          <w:sz w:val="2"/>
          <w:szCs w:val="2"/>
        </w:rPr>
        <w:t>694B</w:t>
      </w:r>
      <w:r w:rsidR="00E1583B" w:rsidRPr="009C5DBE">
        <w:rPr>
          <w:rFonts w:cs="Calibri"/>
        </w:rPr>
        <w:t>The Snowy Water Licence is the key instrument through which the Deed is implemented. It defines Snowy Hydro’s rights and obligations to collect, divert, store and release water, and establishes the rules for environmental flow releases. The licence is subject to mandatory review, initially after five years and then at intervals of ten years.</w:t>
      </w:r>
    </w:p>
    <w:p w14:paraId="3304CE22" w14:textId="74484749" w:rsidR="00E1583B" w:rsidRDefault="00382EE8" w:rsidP="00E1583B">
      <w:pPr>
        <w:rPr>
          <w:rFonts w:cs="Calibri"/>
        </w:rPr>
      </w:pPr>
      <w:r>
        <w:rPr>
          <w:rFonts w:ascii="ZWAdobeF" w:hAnsi="ZWAdobeF" w:cs="ZWAdobeF"/>
          <w:sz w:val="2"/>
          <w:szCs w:val="2"/>
        </w:rPr>
        <w:t>695B</w:t>
      </w:r>
      <w:r w:rsidR="00E1583B" w:rsidRPr="009C5DBE">
        <w:rPr>
          <w:rFonts w:cs="Calibri"/>
        </w:rPr>
        <w:t xml:space="preserve">The Snowy Water Licence is issued by the NSW Water Administration Ministerial Corporation (WAMC), with administrative and operational functions delegated to the NSW Department of Climate Change, Energy, the Environment and Water (NSW DCCEEW). </w:t>
      </w:r>
    </w:p>
    <w:p w14:paraId="41B361AF" w14:textId="5CB70504" w:rsidR="003B240F" w:rsidRDefault="00382EE8" w:rsidP="00E1583B">
      <w:pPr>
        <w:rPr>
          <w:rFonts w:eastAsia="Times New Roman"/>
          <w:lang w:eastAsia="en-AU"/>
        </w:rPr>
      </w:pPr>
      <w:r>
        <w:rPr>
          <w:rFonts w:ascii="ZWAdobeF" w:eastAsia="Times New Roman" w:hAnsi="ZWAdobeF" w:cs="ZWAdobeF"/>
          <w:sz w:val="2"/>
          <w:szCs w:val="2"/>
          <w:lang w:eastAsia="en-AU"/>
        </w:rPr>
        <w:t>696B</w:t>
      </w:r>
      <w:r w:rsidR="003B240F" w:rsidRPr="367DCBE7">
        <w:rPr>
          <w:rFonts w:eastAsia="Times New Roman"/>
          <w:lang w:eastAsia="en-AU"/>
        </w:rPr>
        <w:t xml:space="preserve">The current committee structure illustrates the distributed and function-specific nature of governance under existing arrangements. </w:t>
      </w:r>
      <w:r w:rsidR="003B240F" w:rsidRPr="0AF96881">
        <w:rPr>
          <w:rFonts w:eastAsia="Times New Roman"/>
          <w:lang w:eastAsia="en-AU"/>
        </w:rPr>
        <w:t xml:space="preserve">It </w:t>
      </w:r>
      <w:r w:rsidR="003B240F" w:rsidRPr="00577B2D">
        <w:rPr>
          <w:rFonts w:eastAsia="Times New Roman"/>
          <w:lang w:eastAsia="en-AU"/>
        </w:rPr>
        <w:t>comprises a range of bodies with responsibilities for policy oversight, coordination, compliance and advisory input, including the WAMC</w:t>
      </w:r>
      <w:r w:rsidR="4A15E375" w:rsidRPr="6E62429A">
        <w:rPr>
          <w:rFonts w:eastAsia="Times New Roman"/>
          <w:lang w:eastAsia="en-AU"/>
        </w:rPr>
        <w:t>,</w:t>
      </w:r>
      <w:r w:rsidR="003B240F" w:rsidRPr="00577B2D">
        <w:rPr>
          <w:rFonts w:eastAsia="Times New Roman"/>
          <w:lang w:eastAsia="en-AU"/>
        </w:rPr>
        <w:t xml:space="preserve"> Snowy Water Government Officials Committee (SWGOC), Water Consultation and Liaison Committee (WCLC</w:t>
      </w:r>
      <w:r w:rsidR="4A15E375" w:rsidRPr="6E62429A">
        <w:rPr>
          <w:rFonts w:eastAsia="Times New Roman"/>
          <w:lang w:eastAsia="en-AU"/>
        </w:rPr>
        <w:t>)</w:t>
      </w:r>
      <w:r w:rsidR="003B240F" w:rsidRPr="00577B2D">
        <w:rPr>
          <w:rFonts w:eastAsia="Times New Roman"/>
          <w:lang w:eastAsia="en-AU"/>
        </w:rPr>
        <w:t xml:space="preserve"> and the Snowy Advisory Committee (SAC). These arrangements provide multiple points of input and oversight but are distributed across functions, with responsibilities for coordination, decision</w:t>
      </w:r>
      <w:r w:rsidR="003B240F">
        <w:noBreakHyphen/>
      </w:r>
      <w:r w:rsidR="003B240F" w:rsidRPr="00577B2D">
        <w:rPr>
          <w:rFonts w:eastAsia="Times New Roman"/>
          <w:lang w:eastAsia="en-AU"/>
        </w:rPr>
        <w:t>making and advisory input not always clearly integrated at a system level.</w:t>
      </w:r>
    </w:p>
    <w:p w14:paraId="67CC6D2A" w14:textId="79C3844A" w:rsidR="006B1CD4" w:rsidRPr="00FC132A" w:rsidRDefault="00382EE8" w:rsidP="006B1CD4">
      <w:r>
        <w:rPr>
          <w:rFonts w:ascii="ZWAdobeF" w:hAnsi="ZWAdobeF" w:cs="ZWAdobeF"/>
          <w:sz w:val="2"/>
          <w:szCs w:val="2"/>
        </w:rPr>
        <w:t>697B</w:t>
      </w:r>
      <w:r w:rsidR="006B1CD4" w:rsidRPr="00FC132A">
        <w:t xml:space="preserve">As shown in </w:t>
      </w:r>
      <w:r w:rsidR="006B1CD4" w:rsidRPr="001F4168">
        <w:rPr>
          <w:b/>
          <w:bCs/>
        </w:rPr>
        <w:t xml:space="preserve">Figure </w:t>
      </w:r>
      <w:r w:rsidR="001F4168" w:rsidRPr="001F4168">
        <w:rPr>
          <w:b/>
          <w:bCs/>
        </w:rPr>
        <w:t>5</w:t>
      </w:r>
      <w:r w:rsidR="006B1CD4" w:rsidRPr="001F4168">
        <w:t>,</w:t>
      </w:r>
      <w:r w:rsidR="006B1CD4" w:rsidRPr="00FC132A">
        <w:t xml:space="preserve"> these arrangements operate across multiple levels and institutions, with responsibilities for decision-making, delivery, performance oversight and compliance distributed across the system. While these components collectively support scheme operation, they are not integrated through a single, coherent governance framework.</w:t>
      </w:r>
    </w:p>
    <w:p w14:paraId="08B128EB" w14:textId="1A819F28" w:rsidR="006B1CD4" w:rsidRDefault="00382EE8" w:rsidP="007140D6">
      <w:pPr>
        <w:jc w:val="left"/>
        <w:sectPr w:rsidR="006B1CD4" w:rsidSect="00282E9F">
          <w:headerReference w:type="even" r:id="rId39"/>
          <w:footerReference w:type="even" r:id="rId40"/>
          <w:footerReference w:type="default" r:id="rId41"/>
          <w:footerReference w:type="first" r:id="rId42"/>
          <w:pgSz w:w="11906" w:h="16838"/>
          <w:pgMar w:top="1440" w:right="1304" w:bottom="1440" w:left="1304" w:header="709" w:footer="709" w:gutter="0"/>
          <w:pgNumType w:start="1"/>
          <w:cols w:space="708"/>
          <w:titlePg/>
          <w:docGrid w:linePitch="360"/>
        </w:sectPr>
      </w:pPr>
      <w:r>
        <w:rPr>
          <w:rFonts w:ascii="ZWAdobeF" w:hAnsi="ZWAdobeF" w:cs="ZWAdobeF"/>
          <w:sz w:val="2"/>
          <w:szCs w:val="2"/>
        </w:rPr>
        <w:t>698B</w:t>
      </w:r>
      <w:r w:rsidR="000D222A" w:rsidRPr="00FC132A">
        <w:t>The current governance and legal framework for the Snowy Scheme system comprises intergovernmental, jurisdictional and corporate arrangements. These include the Deed, the Snowy Water Licence, relevant Commonwealth and state legislation and associated planning frameworks.</w:t>
      </w:r>
    </w:p>
    <w:p w14:paraId="55D48CC8" w14:textId="6E1B0183" w:rsidR="007140D6" w:rsidRDefault="007140D6" w:rsidP="001F4168">
      <w:pPr>
        <w:pStyle w:val="Sub-Heading"/>
        <w:jc w:val="center"/>
      </w:pPr>
      <w:r>
        <w:lastRenderedPageBreak/>
        <w:t xml:space="preserve">Figure </w:t>
      </w:r>
      <w:fldSimple w:instr=" SEQ Figure \* ARABIC ">
        <w:r w:rsidR="0005178F">
          <w:rPr>
            <w:noProof/>
          </w:rPr>
          <w:t>5</w:t>
        </w:r>
      </w:fldSimple>
      <w:r>
        <w:t>: Current Governance and Legal Framework - For Draft Purposes Only*</w:t>
      </w:r>
    </w:p>
    <w:p w14:paraId="626457C8" w14:textId="697B2028" w:rsidR="007140D6" w:rsidRDefault="002A15BC" w:rsidP="007140D6">
      <w:pPr>
        <w:pStyle w:val="Sub-Heading"/>
      </w:pPr>
      <w:r>
        <w:rPr>
          <w:noProof/>
        </w:rPr>
        <w:drawing>
          <wp:inline distT="0" distB="0" distL="0" distR="0" wp14:anchorId="1F29D422" wp14:editId="2925B152">
            <wp:extent cx="8863330" cy="4482528"/>
            <wp:effectExtent l="0" t="0" r="0" b="0"/>
            <wp:docPr id="1247605628" name="Picture 25" descr="P6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05628" name="Picture 25" descr="P614#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4482528"/>
                    </a:xfrm>
                    <a:prstGeom prst="rect">
                      <a:avLst/>
                    </a:prstGeom>
                    <a:noFill/>
                  </pic:spPr>
                </pic:pic>
              </a:graphicData>
            </a:graphic>
          </wp:inline>
        </w:drawing>
      </w:r>
    </w:p>
    <w:p w14:paraId="0377353F" w14:textId="2FA80390" w:rsidR="00784417" w:rsidRDefault="00CC3B27" w:rsidP="006B1CD4">
      <w:pPr>
        <w:rPr>
          <w:rFonts w:cs="Calibri"/>
        </w:rPr>
        <w:sectPr w:rsidR="00784417" w:rsidSect="00173DE0">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440" w:bottom="1440" w:left="1440" w:header="708" w:footer="708" w:gutter="0"/>
          <w:cols w:space="708"/>
          <w:titlePg/>
          <w:docGrid w:linePitch="360"/>
        </w:sectPr>
      </w:pPr>
      <w:r w:rsidRPr="001B080A">
        <w:rPr>
          <w:iCs/>
          <w:noProof/>
        </w:rPr>
        <mc:AlternateContent>
          <mc:Choice Requires="wps">
            <w:drawing>
              <wp:anchor distT="45720" distB="45720" distL="114300" distR="114300" simplePos="0" relativeHeight="251658241" behindDoc="0" locked="0" layoutInCell="1" allowOverlap="1" wp14:anchorId="6C272C79" wp14:editId="5F31F9FF">
                <wp:simplePos x="0" y="0"/>
                <wp:positionH relativeFrom="margin">
                  <wp:posOffset>0</wp:posOffset>
                </wp:positionH>
                <wp:positionV relativeFrom="page">
                  <wp:posOffset>6313336</wp:posOffset>
                </wp:positionV>
                <wp:extent cx="6560185" cy="363855"/>
                <wp:effectExtent l="0" t="0" r="0" b="0"/>
                <wp:wrapNone/>
                <wp:docPr id="1605731709" name="Text Box 2" descr="P615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363855"/>
                        </a:xfrm>
                        <a:prstGeom prst="rect">
                          <a:avLst/>
                        </a:prstGeom>
                        <a:solidFill>
                          <a:srgbClr val="FFFFFF"/>
                        </a:solidFill>
                        <a:ln w="9525">
                          <a:noFill/>
                          <a:miter lim="800000"/>
                          <a:headEnd/>
                          <a:tailEnd/>
                        </a:ln>
                      </wps:spPr>
                      <wps:txbx>
                        <w:txbxContent>
                          <w:p w14:paraId="311A1C10" w14:textId="123F3D3E" w:rsidR="001358F9" w:rsidRPr="00715EBD" w:rsidRDefault="007140D6" w:rsidP="001358F9">
                            <w:pPr>
                              <w:rPr>
                                <w:sz w:val="18"/>
                                <w:szCs w:val="20"/>
                              </w:rPr>
                            </w:pPr>
                            <w:r>
                              <w:rPr>
                                <w:b/>
                                <w:bCs/>
                                <w:i/>
                                <w:iCs/>
                                <w:sz w:val="18"/>
                                <w:szCs w:val="20"/>
                              </w:rPr>
                              <w:t>*</w:t>
                            </w:r>
                            <w:r w:rsidR="001358F9" w:rsidRPr="007140D6">
                              <w:rPr>
                                <w:b/>
                                <w:bCs/>
                                <w:i/>
                                <w:iCs/>
                                <w:sz w:val="18"/>
                                <w:szCs w:val="20"/>
                              </w:rPr>
                              <w:t>This diagram is provided for draft purposes only and remains subject to further review and amendment prior to finalisation</w:t>
                            </w:r>
                            <w:r w:rsidR="001358F9" w:rsidRPr="00715EBD">
                              <w:rPr>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72C79" id="Text Box 2" o:spid="_x0000_s1027" type="#_x0000_t202" alt="P615TB2#y1" style="position:absolute;left:0;text-align:left;margin-left:0;margin-top:497.1pt;width:516.55pt;height:28.65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" stroked="f">
                <v:textbox style="mso-fit-shape-to-text:t">
                  <w:txbxContent>
                    <w:p w14:paraId="311A1C10" w14:textId="123F3D3E" w:rsidR="001358F9" w:rsidRPr="00715EBD" w:rsidRDefault="007140D6" w:rsidP="001358F9">
                      <w:pPr>
                        <w:rPr>
                          <w:sz w:val="18"/>
                          <w:szCs w:val="20"/>
                        </w:rPr>
                      </w:pPr>
                      <w:r>
                        <w:rPr>
                          <w:b/>
                          <w:bCs/>
                          <w:i/>
                          <w:iCs/>
                          <w:sz w:val="18"/>
                          <w:szCs w:val="20"/>
                        </w:rPr>
                        <w:t>*</w:t>
                      </w:r>
                      <w:r w:rsidR="001358F9" w:rsidRPr="007140D6">
                        <w:rPr>
                          <w:b/>
                          <w:bCs/>
                          <w:i/>
                          <w:iCs/>
                          <w:sz w:val="18"/>
                          <w:szCs w:val="20"/>
                        </w:rPr>
                        <w:t>This diagram is provided for draft purposes only and remains subject to further review and amendment prior to finalisation</w:t>
                      </w:r>
                      <w:r w:rsidR="001358F9" w:rsidRPr="00715EBD">
                        <w:rPr>
                          <w:sz w:val="18"/>
                          <w:szCs w:val="20"/>
                        </w:rPr>
                        <w:t>.</w:t>
                      </w:r>
                    </w:p>
                  </w:txbxContent>
                </v:textbox>
                <w10:wrap anchorx="margin" anchory="page"/>
              </v:shape>
            </w:pict>
          </mc:Fallback>
        </mc:AlternateContent>
      </w:r>
    </w:p>
    <w:p w14:paraId="00B30918" w14:textId="2344C7B1" w:rsidR="006F7133" w:rsidRDefault="00E1583B" w:rsidP="6332CC80">
      <w:pPr>
        <w:pStyle w:val="ReviewHeading3"/>
        <w:rPr>
          <w:rFonts w:eastAsia="Calibri"/>
        </w:rPr>
      </w:pPr>
      <w:r w:rsidRPr="6332CC80">
        <w:rPr>
          <w:rFonts w:eastAsia="Calibri"/>
        </w:rPr>
        <w:lastRenderedPageBreak/>
        <w:t>Snowy Hydro</w:t>
      </w:r>
    </w:p>
    <w:p w14:paraId="731A3981" w14:textId="7F8488D0" w:rsidR="005A362A" w:rsidRPr="005A362A" w:rsidRDefault="00382EE8" w:rsidP="1C52CE68">
      <w:r>
        <w:rPr>
          <w:rFonts w:ascii="ZWAdobeF" w:hAnsi="ZWAdobeF" w:cs="ZWAdobeF"/>
          <w:sz w:val="2"/>
          <w:szCs w:val="2"/>
        </w:rPr>
        <w:t>699B</w:t>
      </w:r>
      <w:r w:rsidR="005A362A">
        <w:t>Snowy Hydro is a</w:t>
      </w:r>
      <w:r w:rsidR="175D1371">
        <w:t>n Australian</w:t>
      </w:r>
      <w:r w:rsidR="005A362A">
        <w:t xml:space="preserve"> </w:t>
      </w:r>
      <w:r w:rsidR="1FB54B97">
        <w:t>G</w:t>
      </w:r>
      <w:r w:rsidR="005A362A">
        <w:t xml:space="preserve">overnment-owned corporation </w:t>
      </w:r>
      <w:r w:rsidR="0DE5F567">
        <w:t xml:space="preserve">established under the </w:t>
      </w:r>
      <w:r w:rsidR="0DE5F567" w:rsidRPr="6332CC80">
        <w:rPr>
          <w:i/>
          <w:iCs/>
        </w:rPr>
        <w:t>Snowy Hydro Corporatisation Act 19</w:t>
      </w:r>
      <w:r w:rsidR="570B8724" w:rsidRPr="5FCB0061">
        <w:rPr>
          <w:i/>
          <w:iCs/>
        </w:rPr>
        <w:t>9</w:t>
      </w:r>
      <w:r w:rsidR="0DE5F567" w:rsidRPr="5FCB0061">
        <w:rPr>
          <w:i/>
          <w:iCs/>
        </w:rPr>
        <w:t>7</w:t>
      </w:r>
      <w:r w:rsidR="0DE5F567" w:rsidRPr="6332CC80">
        <w:rPr>
          <w:i/>
          <w:iCs/>
        </w:rPr>
        <w:t xml:space="preserve"> </w:t>
      </w:r>
      <w:r w:rsidR="24C30704" w:rsidRPr="6332CC80">
        <w:rPr>
          <w:i/>
          <w:iCs/>
        </w:rPr>
        <w:t>(</w:t>
      </w:r>
      <w:r w:rsidR="24C30704" w:rsidRPr="00CC7A58">
        <w:t>Cth</w:t>
      </w:r>
      <w:r w:rsidR="24C30704" w:rsidRPr="6332CC80">
        <w:rPr>
          <w:i/>
          <w:iCs/>
        </w:rPr>
        <w:t xml:space="preserve">) </w:t>
      </w:r>
      <w:r w:rsidR="24C30704">
        <w:t>and companion legislation</w:t>
      </w:r>
      <w:r w:rsidR="24003310">
        <w:t>,</w:t>
      </w:r>
      <w:r w:rsidR="24C30704">
        <w:t xml:space="preserve"> the </w:t>
      </w:r>
      <w:r w:rsidR="24C30704" w:rsidRPr="6332CC80">
        <w:rPr>
          <w:i/>
          <w:iCs/>
        </w:rPr>
        <w:t xml:space="preserve">Snowy Hydro Corporatisation Act </w:t>
      </w:r>
      <w:r w:rsidR="24C30704" w:rsidRPr="6CB08AF7">
        <w:rPr>
          <w:i/>
          <w:iCs/>
        </w:rPr>
        <w:t>19</w:t>
      </w:r>
      <w:r w:rsidR="52BB5852" w:rsidRPr="6CB08AF7">
        <w:rPr>
          <w:i/>
          <w:iCs/>
        </w:rPr>
        <w:t>9</w:t>
      </w:r>
      <w:r w:rsidR="005A362A" w:rsidRPr="6CB08AF7" w:rsidDel="24C30704">
        <w:rPr>
          <w:i/>
          <w:iCs/>
        </w:rPr>
        <w:t>7</w:t>
      </w:r>
      <w:r w:rsidR="24C30704" w:rsidRPr="6332CC80">
        <w:rPr>
          <w:i/>
          <w:iCs/>
        </w:rPr>
        <w:t xml:space="preserve"> </w:t>
      </w:r>
      <w:r w:rsidR="24C30704" w:rsidRPr="00E9634C">
        <w:t>(</w:t>
      </w:r>
      <w:r w:rsidR="24C30704" w:rsidRPr="00CC7A58">
        <w:t>NSW</w:t>
      </w:r>
      <w:r w:rsidR="24C30704" w:rsidRPr="00F246A4">
        <w:t>) and</w:t>
      </w:r>
      <w:r w:rsidR="24C30704" w:rsidRPr="172A63CB">
        <w:rPr>
          <w:i/>
        </w:rPr>
        <w:t xml:space="preserve"> </w:t>
      </w:r>
      <w:r w:rsidR="3134E1FA" w:rsidRPr="172A63CB">
        <w:rPr>
          <w:i/>
          <w:iCs/>
        </w:rPr>
        <w:t>the Sn</w:t>
      </w:r>
      <w:r w:rsidR="000F7FCE">
        <w:rPr>
          <w:i/>
          <w:iCs/>
        </w:rPr>
        <w:t>o</w:t>
      </w:r>
      <w:r w:rsidR="3134E1FA" w:rsidRPr="172A63CB">
        <w:rPr>
          <w:i/>
          <w:iCs/>
        </w:rPr>
        <w:t>wy corporatisation Act (</w:t>
      </w:r>
      <w:r w:rsidR="3134E1FA" w:rsidRPr="0AAA1EB2">
        <w:rPr>
          <w:i/>
          <w:iCs/>
        </w:rPr>
        <w:t>Vic) 1997</w:t>
      </w:r>
      <w:r w:rsidR="24C30704" w:rsidRPr="172A63CB">
        <w:rPr>
          <w:i/>
          <w:iCs/>
        </w:rPr>
        <w:t xml:space="preserve"> </w:t>
      </w:r>
      <w:r w:rsidR="24C30704">
        <w:t xml:space="preserve">and is </w:t>
      </w:r>
      <w:r w:rsidR="005A362A">
        <w:t xml:space="preserve">responsible for operating the Snowy Scheme. </w:t>
      </w:r>
      <w:r w:rsidR="2966AFB1">
        <w:t xml:space="preserve">The key operational and advisory bodies are the WCLC which coordinates </w:t>
      </w:r>
      <w:r w:rsidR="69681F22">
        <w:t xml:space="preserve">water interests balancing downstream agricultural/environmental needs with the </w:t>
      </w:r>
      <w:r w:rsidR="2C34CD3E">
        <w:t>electricity</w:t>
      </w:r>
      <w:r w:rsidR="69681F22">
        <w:t xml:space="preserve"> market demands of Snowy Hydro, and the SAC which provides formal re</w:t>
      </w:r>
      <w:r w:rsidR="078F903E">
        <w:t xml:space="preserve">commendations to the NSW Government on the timing and volume of environmental water releases into the Snowy and montane rivers. </w:t>
      </w:r>
      <w:r w:rsidR="2966AFB1">
        <w:t xml:space="preserve"> </w:t>
      </w:r>
    </w:p>
    <w:p w14:paraId="5642908A" w14:textId="2A14EAE8" w:rsidR="005A362A" w:rsidRPr="005A362A" w:rsidRDefault="00382EE8" w:rsidP="1C52CE68">
      <w:r>
        <w:rPr>
          <w:rFonts w:ascii="ZWAdobeF" w:hAnsi="ZWAdobeF" w:cs="ZWAdobeF"/>
          <w:sz w:val="2"/>
          <w:szCs w:val="2"/>
        </w:rPr>
        <w:t>700B</w:t>
      </w:r>
      <w:r w:rsidR="005A362A">
        <w:t>Snowy Hydro operates within:</w:t>
      </w:r>
    </w:p>
    <w:p w14:paraId="52AFDC04" w14:textId="1D4CE5B4" w:rsidR="005A362A" w:rsidRPr="005A362A" w:rsidRDefault="00382EE8" w:rsidP="00115BD6">
      <w:pPr>
        <w:pStyle w:val="ListParagraph"/>
        <w:numPr>
          <w:ilvl w:val="0"/>
          <w:numId w:val="103"/>
        </w:numPr>
      </w:pPr>
      <w:r>
        <w:rPr>
          <w:rFonts w:ascii="ZWAdobeF" w:hAnsi="ZWAdobeF" w:cs="ZWAdobeF"/>
          <w:sz w:val="2"/>
          <w:szCs w:val="2"/>
        </w:rPr>
        <w:t>123B</w:t>
      </w:r>
      <w:r w:rsidR="005A362A" w:rsidRPr="005A362A">
        <w:t>the policy framework established by the Deed</w:t>
      </w:r>
    </w:p>
    <w:p w14:paraId="3F987625" w14:textId="6E17ACCB" w:rsidR="005A362A" w:rsidRPr="005A362A" w:rsidRDefault="00382EE8" w:rsidP="00115BD6">
      <w:pPr>
        <w:pStyle w:val="ListParagraph"/>
        <w:numPr>
          <w:ilvl w:val="0"/>
          <w:numId w:val="103"/>
        </w:numPr>
      </w:pPr>
      <w:r>
        <w:rPr>
          <w:rFonts w:ascii="ZWAdobeF" w:hAnsi="ZWAdobeF" w:cs="ZWAdobeF"/>
          <w:sz w:val="2"/>
          <w:szCs w:val="2"/>
        </w:rPr>
        <w:t>124B</w:t>
      </w:r>
      <w:r w:rsidR="005A362A" w:rsidRPr="005A362A">
        <w:t>the legal obligations set out in the Snowy Water Licence</w:t>
      </w:r>
    </w:p>
    <w:p w14:paraId="56F94A79" w14:textId="44DA702E" w:rsidR="005A362A" w:rsidRPr="00B818B0" w:rsidRDefault="00382EE8" w:rsidP="00115BD6">
      <w:pPr>
        <w:pStyle w:val="ListParagraph"/>
        <w:numPr>
          <w:ilvl w:val="0"/>
          <w:numId w:val="103"/>
        </w:numPr>
        <w:rPr>
          <w:rFonts w:ascii="Aptos" w:eastAsia="Aptos" w:hAnsi="Aptos" w:cs="Aptos"/>
          <w:sz w:val="16"/>
          <w:szCs w:val="16"/>
        </w:rPr>
      </w:pPr>
      <w:r>
        <w:rPr>
          <w:rFonts w:ascii="ZWAdobeF" w:hAnsi="ZWAdobeF" w:cs="ZWAdobeF"/>
          <w:sz w:val="2"/>
          <w:szCs w:val="2"/>
        </w:rPr>
        <w:t>125B</w:t>
      </w:r>
      <w:r w:rsidR="005A362A" w:rsidRPr="6332CC80">
        <w:t xml:space="preserve">broader corporate frameworks, including </w:t>
      </w:r>
      <w:r w:rsidR="005A362A">
        <w:t xml:space="preserve">the </w:t>
      </w:r>
      <w:r w:rsidR="0028751A" w:rsidRPr="6332CC80">
        <w:rPr>
          <w:i/>
          <w:iCs/>
        </w:rPr>
        <w:t xml:space="preserve">Corporations Act 2001 </w:t>
      </w:r>
      <w:r w:rsidR="0028751A">
        <w:t xml:space="preserve">(Cth), </w:t>
      </w:r>
      <w:r w:rsidR="005A362A" w:rsidRPr="00B818B0">
        <w:rPr>
          <w:i/>
        </w:rPr>
        <w:t>Public Governance, Performance and Accountability Act 201</w:t>
      </w:r>
      <w:r w:rsidR="00CC3E6B">
        <w:rPr>
          <w:i/>
        </w:rPr>
        <w:t>3</w:t>
      </w:r>
      <w:r w:rsidR="005A362A" w:rsidRPr="00B818B0">
        <w:rPr>
          <w:i/>
        </w:rPr>
        <w:t xml:space="preserve"> </w:t>
      </w:r>
      <w:r w:rsidR="005A362A" w:rsidRPr="6332CC80">
        <w:t>(Cth)</w:t>
      </w:r>
      <w:r w:rsidR="005A362A" w:rsidRPr="00B818B0">
        <w:rPr>
          <w:i/>
        </w:rPr>
        <w:t>,</w:t>
      </w:r>
      <w:r w:rsidR="005A362A" w:rsidRPr="6332CC80">
        <w:t xml:space="preserve"> the Statement of Expectations issued by the Commonwealth Shareholder Ministers, Government Business Enterprise guidelines, ASX Corporate Governance Principles</w:t>
      </w:r>
      <w:r>
        <w:rPr>
          <w:rFonts w:ascii="ZWAdobeF" w:hAnsi="ZWAdobeF" w:cs="ZWAdobeF"/>
          <w:sz w:val="2"/>
          <w:szCs w:val="2"/>
        </w:rPr>
        <w:t>7F</w:t>
      </w:r>
      <w:r w:rsidR="005A362A" w:rsidRPr="6332CC80">
        <w:rPr>
          <w:rStyle w:val="FootnoteReference"/>
          <w:rFonts w:eastAsia="Calibri" w:cs="Calibri"/>
          <w:color w:val="000000" w:themeColor="text1"/>
        </w:rPr>
        <w:footnoteReference w:id="8"/>
      </w:r>
    </w:p>
    <w:p w14:paraId="34AAE66A" w14:textId="2789F28D" w:rsidR="005A362A" w:rsidRPr="005A362A" w:rsidRDefault="00382EE8" w:rsidP="00115BD6">
      <w:pPr>
        <w:pStyle w:val="ListParagraph"/>
        <w:numPr>
          <w:ilvl w:val="0"/>
          <w:numId w:val="103"/>
        </w:numPr>
        <w:rPr>
          <w:rStyle w:val="FootnoteReference"/>
          <w:rFonts w:eastAsia="Calibri" w:cs="Calibri"/>
          <w:color w:val="000000" w:themeColor="text1"/>
        </w:rPr>
      </w:pPr>
      <w:r>
        <w:rPr>
          <w:rFonts w:ascii="ZWAdobeF" w:hAnsi="ZWAdobeF" w:cs="ZWAdobeF"/>
          <w:sz w:val="2"/>
          <w:szCs w:val="2"/>
        </w:rPr>
        <w:t>126B</w:t>
      </w:r>
      <w:r w:rsidR="005A362A" w:rsidRPr="005A362A">
        <w:t>energy market frameworks, including participation in the National Electricity Market</w:t>
      </w:r>
    </w:p>
    <w:p w14:paraId="77491D09" w14:textId="151A2855" w:rsidR="1DC7B20C" w:rsidRPr="00715EBD" w:rsidRDefault="00382EE8" w:rsidP="00115BD6">
      <w:pPr>
        <w:pStyle w:val="ListParagraph"/>
        <w:numPr>
          <w:ilvl w:val="0"/>
          <w:numId w:val="103"/>
        </w:numPr>
      </w:pPr>
      <w:r>
        <w:rPr>
          <w:rFonts w:ascii="ZWAdobeF" w:hAnsi="ZWAdobeF" w:cs="ZWAdobeF"/>
          <w:sz w:val="2"/>
          <w:szCs w:val="2"/>
        </w:rPr>
        <w:t>127B</w:t>
      </w:r>
      <w:r w:rsidR="0092223D">
        <w:t>t</w:t>
      </w:r>
      <w:r w:rsidR="2D2259DF" w:rsidRPr="00715EBD">
        <w:t>he Annual water operating Plan approved by</w:t>
      </w:r>
      <w:r w:rsidR="000F7FCE">
        <w:t xml:space="preserve"> </w:t>
      </w:r>
      <w:r w:rsidR="2D2259DF" w:rsidRPr="00715EBD">
        <w:t>the WAMC</w:t>
      </w:r>
      <w:r w:rsidR="00A806D3">
        <w:t>,</w:t>
      </w:r>
      <w:r w:rsidR="2D2259DF" w:rsidRPr="00715EBD">
        <w:t xml:space="preserve"> which includes planned and trigger flex</w:t>
      </w:r>
      <w:r w:rsidR="32AF9A64" w:rsidRPr="00715EBD">
        <w:t>i</w:t>
      </w:r>
      <w:r w:rsidR="2D2259DF" w:rsidRPr="00715EBD">
        <w:t>bl</w:t>
      </w:r>
      <w:r w:rsidR="012221C3" w:rsidRPr="00715EBD">
        <w:t>e flows</w:t>
      </w:r>
      <w:r w:rsidR="00911193">
        <w:t>.</w:t>
      </w:r>
    </w:p>
    <w:p w14:paraId="1B563DE9" w14:textId="22042C09" w:rsidR="005A362A" w:rsidRPr="005A362A" w:rsidRDefault="00382EE8" w:rsidP="6332CC80">
      <w:pPr>
        <w:rPr>
          <w:rFonts w:eastAsia="Calibri" w:cs="Calibri"/>
          <w:color w:val="000000" w:themeColor="text1"/>
        </w:rPr>
      </w:pPr>
      <w:r>
        <w:rPr>
          <w:rFonts w:ascii="ZWAdobeF" w:eastAsia="Calibri" w:hAnsi="ZWAdobeF" w:cs="ZWAdobeF"/>
          <w:sz w:val="2"/>
          <w:szCs w:val="2"/>
        </w:rPr>
        <w:t>701B</w:t>
      </w:r>
      <w:r w:rsidR="005A362A" w:rsidRPr="6332CC80">
        <w:rPr>
          <w:rFonts w:eastAsia="Calibri" w:cs="Calibri"/>
          <w:color w:val="000000" w:themeColor="text1"/>
        </w:rPr>
        <w:t>Snowy Hydro plays a role in operational decision-making, including the timing and delivery of water releases in consultation with NSW DCCEEW and the Snowy Advisory Committee.</w:t>
      </w:r>
    </w:p>
    <w:p w14:paraId="679099D7" w14:textId="2B20BD20" w:rsidR="005F31F3" w:rsidRDefault="00382EE8" w:rsidP="005F31F3">
      <w:r>
        <w:rPr>
          <w:rFonts w:ascii="ZWAdobeF" w:hAnsi="ZWAdobeF" w:cs="ZWAdobeF"/>
          <w:sz w:val="2"/>
          <w:szCs w:val="2"/>
        </w:rPr>
        <w:t>702B</w:t>
      </w:r>
      <w:r w:rsidR="005F31F3" w:rsidRPr="2FB8EB33">
        <w:t xml:space="preserve">As a government-owned corporation, Snowy Hydro operates within </w:t>
      </w:r>
      <w:r w:rsidR="008F2DCB">
        <w:t xml:space="preserve">the </w:t>
      </w:r>
      <w:r w:rsidR="005F31F3" w:rsidRPr="2FB8EB33">
        <w:t xml:space="preserve">broader </w:t>
      </w:r>
      <w:r w:rsidR="106249B2">
        <w:t>Australian</w:t>
      </w:r>
      <w:r w:rsidR="79F6C8F4">
        <w:t xml:space="preserve"> Government</w:t>
      </w:r>
      <w:r w:rsidR="005F31F3" w:rsidRPr="2FB8EB33">
        <w:t xml:space="preserve"> corporate governance frameworks</w:t>
      </w:r>
      <w:r w:rsidR="0028751A">
        <w:t xml:space="preserve"> noted above.</w:t>
      </w:r>
      <w:r w:rsidR="005F31F3" w:rsidRPr="2FB8EB33">
        <w:t xml:space="preserve"> These frameworks establish obligations relating to financial performance, accountability and stewardship of public assets.</w:t>
      </w:r>
    </w:p>
    <w:p w14:paraId="316ABBDA" w14:textId="0B0E66B0" w:rsidR="005F31F3" w:rsidRDefault="00382EE8" w:rsidP="005F31F3">
      <w:r>
        <w:rPr>
          <w:rFonts w:ascii="ZWAdobeF" w:hAnsi="ZWAdobeF" w:cs="ZWAdobeF"/>
          <w:sz w:val="2"/>
          <w:szCs w:val="2"/>
        </w:rPr>
        <w:t>703B</w:t>
      </w:r>
      <w:r w:rsidR="005F31F3" w:rsidRPr="2FB8EB33">
        <w:t>The Statement of Expectations</w:t>
      </w:r>
      <w:r w:rsidR="78FB18D6" w:rsidRPr="2FB8EB33">
        <w:t xml:space="preserve"> (</w:t>
      </w:r>
      <w:r w:rsidR="78FB18D6">
        <w:t>S</w:t>
      </w:r>
      <w:r w:rsidR="512BD0EE">
        <w:t>o</w:t>
      </w:r>
      <w:r w:rsidR="78FB18D6" w:rsidRPr="2FB8EB33">
        <w:t>E)</w:t>
      </w:r>
      <w:r w:rsidR="005F31F3" w:rsidRPr="2FB8EB33">
        <w:t xml:space="preserve"> </w:t>
      </w:r>
      <w:r w:rsidR="00367F44">
        <w:t xml:space="preserve">issued by the </w:t>
      </w:r>
      <w:r w:rsidR="6D292E31">
        <w:t>Shareholder</w:t>
      </w:r>
      <w:r w:rsidR="4A613F1C">
        <w:t xml:space="preserve"> Ministers</w:t>
      </w:r>
      <w:r w:rsidR="00367F44">
        <w:t xml:space="preserve"> </w:t>
      </w:r>
      <w:r w:rsidR="00A462FD">
        <w:t>t</w:t>
      </w:r>
      <w:r w:rsidR="005F31F3" w:rsidRPr="2FB8EB33">
        <w:t>o Snowy Hydro provide</w:t>
      </w:r>
      <w:r w:rsidR="5936388A" w:rsidRPr="2FB8EB33">
        <w:t>s</w:t>
      </w:r>
      <w:r w:rsidR="005F31F3" w:rsidRPr="2FB8EB33">
        <w:t xml:space="preserve"> high</w:t>
      </w:r>
      <w:r w:rsidR="64C38030" w:rsidRPr="2FB8EB33">
        <w:t xml:space="preserve"> </w:t>
      </w:r>
      <w:r w:rsidR="005F31F3" w:rsidRPr="2FB8EB33">
        <w:t xml:space="preserve">level guidance on the Government’s priorities and expectations for the company’s performance. </w:t>
      </w:r>
      <w:r w:rsidR="2AD88DBC" w:rsidRPr="2FB8EB33">
        <w:t xml:space="preserve">The most recent </w:t>
      </w:r>
      <w:r w:rsidR="02CE6F97" w:rsidRPr="16B5E4DC">
        <w:t>S</w:t>
      </w:r>
      <w:r w:rsidR="3E1DC7E8" w:rsidRPr="16B5E4DC">
        <w:t>o</w:t>
      </w:r>
      <w:r w:rsidR="00A462FD" w:rsidRPr="16B5E4DC">
        <w:t>E</w:t>
      </w:r>
      <w:r w:rsidR="005F31F3" w:rsidRPr="2FB8EB33">
        <w:t xml:space="preserve"> was issued in 2024, emphasising energy generation, financial returns and broader energy system contributions.</w:t>
      </w:r>
      <w:r>
        <w:rPr>
          <w:rFonts w:ascii="ZWAdobeF" w:hAnsi="ZWAdobeF" w:cs="ZWAdobeF"/>
          <w:sz w:val="2"/>
          <w:szCs w:val="2"/>
        </w:rPr>
        <w:t>8F</w:t>
      </w:r>
      <w:r w:rsidR="005F31F3">
        <w:rPr>
          <w:rStyle w:val="FootnoteReference"/>
          <w:rFonts w:ascii="Calibri" w:eastAsia="Calibri" w:hAnsi="Calibri" w:cs="Calibri"/>
          <w:color w:val="000000" w:themeColor="text1"/>
        </w:rPr>
        <w:footnoteReference w:id="9"/>
      </w:r>
      <w:r w:rsidR="005F31F3" w:rsidRPr="2FB8EB33">
        <w:t xml:space="preserve"> </w:t>
      </w:r>
    </w:p>
    <w:p w14:paraId="0CE1D819" w14:textId="42861679" w:rsidR="1FEB98D8" w:rsidRDefault="00382EE8">
      <w:r>
        <w:rPr>
          <w:rFonts w:ascii="ZWAdobeF" w:hAnsi="ZWAdobeF" w:cs="ZWAdobeF"/>
          <w:sz w:val="2"/>
          <w:szCs w:val="2"/>
        </w:rPr>
        <w:t>704B</w:t>
      </w:r>
      <w:r w:rsidR="1FEB98D8">
        <w:t>The S</w:t>
      </w:r>
      <w:r w:rsidR="10E37513">
        <w:t>o</w:t>
      </w:r>
      <w:r w:rsidR="1FEB98D8">
        <w:t>E also states that “in achieving its</w:t>
      </w:r>
      <w:r w:rsidR="012802E0">
        <w:t xml:space="preserve"> </w:t>
      </w:r>
      <w:r w:rsidR="1FEB98D8">
        <w:t xml:space="preserve">primary policy objectives, </w:t>
      </w:r>
      <w:r w:rsidR="10F0F30D">
        <w:t xml:space="preserve">Snowy Hydro </w:t>
      </w:r>
      <w:r w:rsidR="1FEB98D8">
        <w:t>is expected to continue to</w:t>
      </w:r>
      <w:r w:rsidR="48050ADD">
        <w:t xml:space="preserve"> ...recognise </w:t>
      </w:r>
      <w:r w:rsidR="4FDDD0EE">
        <w:t>environmental</w:t>
      </w:r>
      <w:r w:rsidR="48050ADD">
        <w:t>, social and sustainability responsibilities, including the health of t</w:t>
      </w:r>
      <w:r w:rsidR="592C23A4">
        <w:t>he bro</w:t>
      </w:r>
      <w:r w:rsidR="5CF8D6A7">
        <w:t>a</w:t>
      </w:r>
      <w:r w:rsidR="592C23A4">
        <w:t>der river system and downstream water needs</w:t>
      </w:r>
      <w:r w:rsidR="75B1253B">
        <w:t>,</w:t>
      </w:r>
      <w:r w:rsidR="592C23A4">
        <w:t xml:space="preserve"> pursuing good outcomes for all water users, within its</w:t>
      </w:r>
      <w:r w:rsidR="11DC6EAB">
        <w:t xml:space="preserve"> </w:t>
      </w:r>
      <w:r w:rsidR="592C23A4">
        <w:t xml:space="preserve">regulatory and policy frameworks, while delivering on its commercial objectives </w:t>
      </w:r>
      <w:r w:rsidR="1A048588">
        <w:t>and balancing the needs of the NEM”...and “comply with all relevant water ob</w:t>
      </w:r>
      <w:r w:rsidR="01AF3A54">
        <w:t>l</w:t>
      </w:r>
      <w:r w:rsidR="7B180EE2">
        <w:t xml:space="preserve">igations, including the Snowy Water Licence and the </w:t>
      </w:r>
      <w:r w:rsidR="7B180EE2" w:rsidRPr="6332CC80">
        <w:rPr>
          <w:i/>
          <w:iCs/>
        </w:rPr>
        <w:t>Water Act</w:t>
      </w:r>
      <w:r w:rsidR="7B180EE2">
        <w:t xml:space="preserve"> </w:t>
      </w:r>
      <w:r w:rsidR="7B180EE2" w:rsidRPr="6332CC80">
        <w:rPr>
          <w:i/>
          <w:iCs/>
        </w:rPr>
        <w:t>2007</w:t>
      </w:r>
      <w:r w:rsidR="000075EA">
        <w:t xml:space="preserve"> [Cth]</w:t>
      </w:r>
      <w:r w:rsidR="7B180EE2">
        <w:t>”</w:t>
      </w:r>
      <w:r w:rsidR="48D953D5">
        <w:t>.</w:t>
      </w:r>
      <w:r>
        <w:rPr>
          <w:rFonts w:ascii="ZWAdobeF" w:hAnsi="ZWAdobeF" w:cs="ZWAdobeF"/>
          <w:sz w:val="2"/>
          <w:szCs w:val="2"/>
        </w:rPr>
        <w:t>9F</w:t>
      </w:r>
      <w:r w:rsidR="1FEB98D8" w:rsidRPr="6332CC80">
        <w:rPr>
          <w:rStyle w:val="FootnoteReference"/>
        </w:rPr>
        <w:footnoteReference w:id="10"/>
      </w:r>
    </w:p>
    <w:p w14:paraId="66B57681" w14:textId="00597499" w:rsidR="005F31F3" w:rsidRPr="00E61898" w:rsidRDefault="00382EE8" w:rsidP="005F31F3">
      <w:r>
        <w:rPr>
          <w:rFonts w:ascii="ZWAdobeF" w:hAnsi="ZWAdobeF" w:cs="ZWAdobeF"/>
          <w:sz w:val="2"/>
          <w:szCs w:val="2"/>
        </w:rPr>
        <w:t>705B</w:t>
      </w:r>
      <w:r w:rsidR="005F31F3" w:rsidRPr="43BECDFB">
        <w:t xml:space="preserve">Snowy Hydro operates within the </w:t>
      </w:r>
      <w:r w:rsidR="65792A54">
        <w:t>NEM</w:t>
      </w:r>
      <w:r w:rsidR="005F31F3" w:rsidRPr="43BECDFB">
        <w:t xml:space="preserve"> and is subject to the </w:t>
      </w:r>
      <w:r w:rsidR="005F31F3" w:rsidRPr="43BECDFB">
        <w:rPr>
          <w:i/>
          <w:iCs/>
        </w:rPr>
        <w:t>National Electricity Law</w:t>
      </w:r>
      <w:r w:rsidR="005F31F3" w:rsidRPr="43BECDFB">
        <w:t xml:space="preserve"> and </w:t>
      </w:r>
      <w:r w:rsidR="005F31F3" w:rsidRPr="43BECDFB">
        <w:rPr>
          <w:i/>
          <w:iCs/>
        </w:rPr>
        <w:t>National Electricity Rules</w:t>
      </w:r>
      <w:r w:rsidR="005F31F3" w:rsidRPr="43BECDFB">
        <w:t xml:space="preserve">. These frameworks govern participation in electricity markets, including dispatch, </w:t>
      </w:r>
      <w:r w:rsidR="005F31F3" w:rsidRPr="43BECDFB">
        <w:lastRenderedPageBreak/>
        <w:t>pricing and system reliability requirements, and create strong operational and commercial incentives linked to energy system performance.</w:t>
      </w:r>
    </w:p>
    <w:p w14:paraId="3D5AB5F6" w14:textId="77777777" w:rsidR="000340AE" w:rsidRDefault="005F31F3" w:rsidP="6332CC80">
      <w:pPr>
        <w:pStyle w:val="ReviewHeading3"/>
      </w:pPr>
      <w:r>
        <w:t>Current Deed objectives</w:t>
      </w:r>
    </w:p>
    <w:p w14:paraId="5C037AFA" w14:textId="0E3E1FDF" w:rsidR="000340AE" w:rsidRPr="008C7D24" w:rsidRDefault="00382EE8" w:rsidP="000340AE">
      <w:r>
        <w:rPr>
          <w:rFonts w:ascii="ZWAdobeF" w:hAnsi="ZWAdobeF" w:cs="ZWAdobeF"/>
          <w:sz w:val="2"/>
          <w:szCs w:val="2"/>
        </w:rPr>
        <w:t>706B</w:t>
      </w:r>
      <w:r w:rsidR="000340AE">
        <w:t>High</w:t>
      </w:r>
      <w:r w:rsidR="644306D0">
        <w:t xml:space="preserve"> </w:t>
      </w:r>
      <w:r w:rsidR="000340AE">
        <w:t>level environmental objectives are specified for environmental flow releases under the existing Deed framework. However, in practice the Deed operates predominantly as an output-based rather than outcomes-based framework. The stated objectives are relatively narrow in scope and exert limited influence on implementation, which is largely driven by the delivery of fixed water volumes rather than the achievement of measurable ecological outcomes.</w:t>
      </w:r>
    </w:p>
    <w:p w14:paraId="0C91B625" w14:textId="1865A380" w:rsidR="000340AE" w:rsidRPr="00E61898" w:rsidRDefault="00382EE8" w:rsidP="000340AE">
      <w:r>
        <w:rPr>
          <w:rFonts w:ascii="ZWAdobeF" w:hAnsi="ZWAdobeF" w:cs="ZWAdobeF"/>
          <w:sz w:val="2"/>
          <w:szCs w:val="2"/>
        </w:rPr>
        <w:t>707B</w:t>
      </w:r>
      <w:r w:rsidR="000340AE" w:rsidRPr="43BECDFB">
        <w:t xml:space="preserve">Under the current Deed, the objectives for Snowy Montane Rivers Increased Flows (SMRIF), delivered to the </w:t>
      </w:r>
      <w:r w:rsidR="00162AB4">
        <w:t>U</w:t>
      </w:r>
      <w:r w:rsidR="000340AE" w:rsidRPr="43BECDFB">
        <w:t>pper Murrumbidgee River through the Snowy Water Licence, are prioritised as follows:</w:t>
      </w:r>
    </w:p>
    <w:p w14:paraId="4D055D71" w14:textId="6CA5316A" w:rsidR="000340AE" w:rsidRPr="00E61898" w:rsidRDefault="00382EE8" w:rsidP="00115BD6">
      <w:pPr>
        <w:pStyle w:val="ListParagraph"/>
        <w:numPr>
          <w:ilvl w:val="0"/>
          <w:numId w:val="48"/>
        </w:numPr>
      </w:pPr>
      <w:r>
        <w:rPr>
          <w:rFonts w:ascii="ZWAdobeF" w:hAnsi="ZWAdobeF" w:cs="ZWAdobeF"/>
          <w:sz w:val="2"/>
          <w:szCs w:val="2"/>
        </w:rPr>
        <w:t>128B</w:t>
      </w:r>
      <w:r w:rsidR="000340AE" w:rsidRPr="43BECDFB">
        <w:t>protection of endangered or threatened species</w:t>
      </w:r>
    </w:p>
    <w:p w14:paraId="61DE9423" w14:textId="24A1C23C" w:rsidR="000340AE" w:rsidRPr="00E61898" w:rsidRDefault="00382EE8" w:rsidP="00115BD6">
      <w:pPr>
        <w:pStyle w:val="ListParagraph"/>
        <w:numPr>
          <w:ilvl w:val="0"/>
          <w:numId w:val="48"/>
        </w:numPr>
      </w:pPr>
      <w:r>
        <w:rPr>
          <w:rFonts w:ascii="ZWAdobeF" w:hAnsi="ZWAdobeF" w:cs="ZWAdobeF"/>
          <w:sz w:val="2"/>
          <w:szCs w:val="2"/>
        </w:rPr>
        <w:t>129B</w:t>
      </w:r>
      <w:r w:rsidR="000340AE" w:rsidRPr="43BECDFB">
        <w:t>maintenance of natural habitats</w:t>
      </w:r>
    </w:p>
    <w:p w14:paraId="32E5E59F" w14:textId="2D190410" w:rsidR="000340AE" w:rsidRPr="00A6026D" w:rsidRDefault="00382EE8" w:rsidP="00115BD6">
      <w:pPr>
        <w:pStyle w:val="ListParagraph"/>
        <w:numPr>
          <w:ilvl w:val="0"/>
          <w:numId w:val="48"/>
        </w:numPr>
      </w:pPr>
      <w:r>
        <w:rPr>
          <w:rFonts w:ascii="ZWAdobeF" w:hAnsi="ZWAdobeF" w:cs="ZWAdobeF"/>
          <w:sz w:val="2"/>
          <w:szCs w:val="2"/>
        </w:rPr>
        <w:t>130B</w:t>
      </w:r>
      <w:r w:rsidR="000340AE" w:rsidRPr="43BECDFB">
        <w:t>maintenance of wilderness and national park values</w:t>
      </w:r>
      <w:r w:rsidR="000340AE">
        <w:t>.</w:t>
      </w:r>
      <w:r>
        <w:rPr>
          <w:rFonts w:ascii="ZWAdobeF" w:hAnsi="ZWAdobeF" w:cs="ZWAdobeF"/>
          <w:sz w:val="2"/>
          <w:szCs w:val="2"/>
        </w:rPr>
        <w:t>10F</w:t>
      </w:r>
      <w:r w:rsidR="000340AE">
        <w:rPr>
          <w:rStyle w:val="FootnoteReference"/>
          <w:rFonts w:ascii="Calibri" w:eastAsia="Calibri" w:hAnsi="Calibri" w:cs="Calibri"/>
        </w:rPr>
        <w:footnoteReference w:id="11"/>
      </w:r>
    </w:p>
    <w:p w14:paraId="38A6D59C" w14:textId="0DBEF512" w:rsidR="000340AE" w:rsidRPr="00E61898" w:rsidRDefault="00382EE8" w:rsidP="000340AE">
      <w:r>
        <w:rPr>
          <w:rFonts w:ascii="ZWAdobeF" w:hAnsi="ZWAdobeF" w:cs="ZWAdobeF"/>
          <w:sz w:val="2"/>
          <w:szCs w:val="2"/>
        </w:rPr>
        <w:t>708B</w:t>
      </w:r>
      <w:r w:rsidR="000340AE" w:rsidRPr="43BECDFB">
        <w:t xml:space="preserve">In the 2025-26 water year, 19,800 megalitres (ML) was allocated to the </w:t>
      </w:r>
      <w:r w:rsidR="007E0FEF">
        <w:t>U</w:t>
      </w:r>
      <w:r w:rsidR="000340AE" w:rsidRPr="43BECDFB">
        <w:t>pper Murrumbidgee River for environmental releases.</w:t>
      </w:r>
      <w:r>
        <w:rPr>
          <w:rFonts w:ascii="ZWAdobeF" w:hAnsi="ZWAdobeF" w:cs="ZWAdobeF"/>
          <w:sz w:val="2"/>
          <w:szCs w:val="2"/>
        </w:rPr>
        <w:t>11F</w:t>
      </w:r>
      <w:r w:rsidR="00CB5520">
        <w:rPr>
          <w:rStyle w:val="FootnoteReference"/>
        </w:rPr>
        <w:footnoteReference w:id="12"/>
      </w:r>
      <w:r w:rsidR="000340AE" w:rsidRPr="43BECDFB">
        <w:t xml:space="preserve"> This volume represents foregone electricity generation of approximately </w:t>
      </w:r>
      <w:r w:rsidR="147C997C">
        <w:t>36.86</w:t>
      </w:r>
      <w:r w:rsidR="00E74F3F">
        <w:t xml:space="preserve"> </w:t>
      </w:r>
      <w:r w:rsidR="000340AE" w:rsidRPr="224CDAFC">
        <w:t>gigawatt hours (GWh</w:t>
      </w:r>
      <w:r w:rsidR="00F70F13">
        <w:t>)</w:t>
      </w:r>
      <w:r>
        <w:rPr>
          <w:rFonts w:ascii="ZWAdobeF" w:hAnsi="ZWAdobeF" w:cs="ZWAdobeF"/>
          <w:sz w:val="2"/>
          <w:szCs w:val="2"/>
        </w:rPr>
        <w:t>12F</w:t>
      </w:r>
      <w:r w:rsidR="000340AE">
        <w:rPr>
          <w:rStyle w:val="FootnoteReference"/>
          <w:rFonts w:ascii="Calibri" w:eastAsia="Calibri" w:hAnsi="Calibri" w:cs="Calibri"/>
        </w:rPr>
        <w:footnoteReference w:id="13"/>
      </w:r>
    </w:p>
    <w:p w14:paraId="599414E9" w14:textId="687CA0D2" w:rsidR="52487805" w:rsidRDefault="00382EE8">
      <w:r>
        <w:rPr>
          <w:rFonts w:ascii="ZWAdobeF" w:hAnsi="ZWAdobeF" w:cs="ZWAdobeF"/>
          <w:sz w:val="2"/>
          <w:szCs w:val="2"/>
        </w:rPr>
        <w:t>709B</w:t>
      </w:r>
      <w:r w:rsidR="74F1F2D3">
        <w:t>The environmental release target is 27,000ML equivalent</w:t>
      </w:r>
      <w:r w:rsidR="2F4CE2CE">
        <w:t xml:space="preserve"> to approximately 9% of mean annual</w:t>
      </w:r>
      <w:r w:rsidR="2F4CE2CE" w:rsidDel="000F7FCE">
        <w:t xml:space="preserve"> </w:t>
      </w:r>
      <w:r w:rsidR="2F4CE2CE">
        <w:t>natural flow.</w:t>
      </w:r>
    </w:p>
    <w:p w14:paraId="735D9B22" w14:textId="747FDE36" w:rsidR="000340AE" w:rsidRPr="00E61898" w:rsidRDefault="00382EE8" w:rsidP="000340AE">
      <w:r>
        <w:rPr>
          <w:rFonts w:ascii="ZWAdobeF" w:hAnsi="ZWAdobeF" w:cs="ZWAdobeF"/>
          <w:sz w:val="2"/>
          <w:szCs w:val="2"/>
        </w:rPr>
        <w:t>710B</w:t>
      </w:r>
      <w:r w:rsidR="000340AE" w:rsidRPr="43BECDFB">
        <w:t>For the Snowy River Increased Flows (SRIF), the stated objective is to improve habitat for a diverse range of plant and animal species through:</w:t>
      </w:r>
    </w:p>
    <w:p w14:paraId="6C8EF1BF" w14:textId="2EAE6C5C" w:rsidR="003012A4" w:rsidRPr="00E61898" w:rsidRDefault="00382EE8" w:rsidP="00115BD6">
      <w:pPr>
        <w:pStyle w:val="ListParagraph"/>
        <w:numPr>
          <w:ilvl w:val="0"/>
          <w:numId w:val="49"/>
        </w:numPr>
      </w:pPr>
      <w:r>
        <w:rPr>
          <w:rFonts w:ascii="ZWAdobeF" w:hAnsi="ZWAdobeF" w:cs="ZWAdobeF"/>
          <w:sz w:val="2"/>
          <w:szCs w:val="2"/>
        </w:rPr>
        <w:t>131B</w:t>
      </w:r>
      <w:r w:rsidR="003012A4" w:rsidRPr="43BECDFB">
        <w:t>improving river water temperature regimes</w:t>
      </w:r>
    </w:p>
    <w:p w14:paraId="42DD271F" w14:textId="379372F8" w:rsidR="003012A4" w:rsidRPr="00E61898" w:rsidRDefault="00382EE8" w:rsidP="00115BD6">
      <w:pPr>
        <w:pStyle w:val="ListParagraph"/>
        <w:numPr>
          <w:ilvl w:val="0"/>
          <w:numId w:val="49"/>
        </w:numPr>
      </w:pPr>
      <w:r>
        <w:rPr>
          <w:rFonts w:ascii="ZWAdobeF" w:hAnsi="ZWAdobeF" w:cs="ZWAdobeF"/>
          <w:sz w:val="2"/>
          <w:szCs w:val="2"/>
        </w:rPr>
        <w:t>132B</w:t>
      </w:r>
      <w:r w:rsidR="003012A4" w:rsidRPr="43BECDFB">
        <w:t>achieving channel maintenance and flushing flows</w:t>
      </w:r>
    </w:p>
    <w:p w14:paraId="3932981E" w14:textId="5E6DDBBB" w:rsidR="003012A4" w:rsidRPr="00E61898" w:rsidRDefault="00382EE8" w:rsidP="00115BD6">
      <w:pPr>
        <w:pStyle w:val="ListParagraph"/>
        <w:numPr>
          <w:ilvl w:val="0"/>
          <w:numId w:val="49"/>
        </w:numPr>
      </w:pPr>
      <w:r>
        <w:rPr>
          <w:rFonts w:ascii="ZWAdobeF" w:hAnsi="ZWAdobeF" w:cs="ZWAdobeF"/>
          <w:sz w:val="2"/>
          <w:szCs w:val="2"/>
        </w:rPr>
        <w:t>133B</w:t>
      </w:r>
      <w:r w:rsidR="003012A4" w:rsidRPr="43BECDFB">
        <w:t>restoring longitudinal connectivity for migratory species</w:t>
      </w:r>
    </w:p>
    <w:p w14:paraId="65029827" w14:textId="79E4ED3B" w:rsidR="003012A4" w:rsidRPr="00E61898" w:rsidRDefault="00382EE8" w:rsidP="00115BD6">
      <w:pPr>
        <w:pStyle w:val="ListParagraph"/>
        <w:numPr>
          <w:ilvl w:val="0"/>
          <w:numId w:val="49"/>
        </w:numPr>
      </w:pPr>
      <w:r>
        <w:rPr>
          <w:rFonts w:ascii="ZWAdobeF" w:hAnsi="ZWAdobeF" w:cs="ZWAdobeF"/>
          <w:sz w:val="2"/>
          <w:szCs w:val="2"/>
        </w:rPr>
        <w:t>134B</w:t>
      </w:r>
      <w:r w:rsidR="003012A4" w:rsidRPr="43BECDFB">
        <w:t>improving triggers for fish spawning</w:t>
      </w:r>
    </w:p>
    <w:p w14:paraId="2F940788" w14:textId="71CC685C" w:rsidR="003012A4" w:rsidRPr="00E61898" w:rsidRDefault="00382EE8" w:rsidP="00115BD6">
      <w:pPr>
        <w:pStyle w:val="ListParagraph"/>
        <w:numPr>
          <w:ilvl w:val="0"/>
          <w:numId w:val="49"/>
        </w:numPr>
      </w:pPr>
      <w:r>
        <w:rPr>
          <w:rFonts w:ascii="ZWAdobeF" w:hAnsi="ZWAdobeF" w:cs="ZWAdobeF"/>
          <w:sz w:val="2"/>
          <w:szCs w:val="2"/>
        </w:rPr>
        <w:t>135B</w:t>
      </w:r>
      <w:r w:rsidR="003012A4" w:rsidRPr="43BECDFB">
        <w:t>enhancing the aesthetics of degraded riverine environments</w:t>
      </w:r>
      <w:r w:rsidR="003012A4">
        <w:t>.</w:t>
      </w:r>
      <w:r>
        <w:rPr>
          <w:rFonts w:ascii="ZWAdobeF" w:hAnsi="ZWAdobeF" w:cs="ZWAdobeF"/>
          <w:sz w:val="2"/>
          <w:szCs w:val="2"/>
        </w:rPr>
        <w:t>13F</w:t>
      </w:r>
      <w:r w:rsidR="003012A4">
        <w:rPr>
          <w:rStyle w:val="FootnoteReference"/>
          <w:rFonts w:ascii="Calibri" w:eastAsia="Calibri" w:hAnsi="Calibri" w:cs="Calibri"/>
        </w:rPr>
        <w:footnoteReference w:id="14"/>
      </w:r>
    </w:p>
    <w:p w14:paraId="7B0AE475" w14:textId="49CC93CC" w:rsidR="005918EA" w:rsidRDefault="00382EE8" w:rsidP="003012A4">
      <w:r>
        <w:rPr>
          <w:rFonts w:ascii="ZWAdobeF" w:hAnsi="ZWAdobeF" w:cs="ZWAdobeF"/>
          <w:sz w:val="2"/>
          <w:szCs w:val="2"/>
        </w:rPr>
        <w:t>711B</w:t>
      </w:r>
      <w:r w:rsidR="003012A4" w:rsidRPr="43BECDFB">
        <w:t xml:space="preserve">In the 2025-26 water year, 176,860 ML of environmental water was available for the Snowy River to contribute toward these objectives, compared with a </w:t>
      </w:r>
      <w:r w:rsidR="003012A4" w:rsidRPr="00CA09A9">
        <w:t>target of an average of 212,000 ML.</w:t>
      </w:r>
      <w:r>
        <w:rPr>
          <w:rFonts w:ascii="ZWAdobeF" w:hAnsi="ZWAdobeF" w:cs="ZWAdobeF"/>
          <w:sz w:val="2"/>
          <w:szCs w:val="2"/>
        </w:rPr>
        <w:t>14F</w:t>
      </w:r>
      <w:r w:rsidR="003012A4" w:rsidRPr="00CA09A9">
        <w:rPr>
          <w:rStyle w:val="FootnoteReference"/>
          <w:rFonts w:ascii="Calibri" w:eastAsia="Calibri" w:hAnsi="Calibri" w:cs="Calibri"/>
        </w:rPr>
        <w:footnoteReference w:id="15"/>
      </w:r>
      <w:r w:rsidR="0037627B">
        <w:t xml:space="preserve"> </w:t>
      </w:r>
    </w:p>
    <w:p w14:paraId="5CF1AD71" w14:textId="4C95963F" w:rsidR="003012A4" w:rsidRDefault="00382EE8" w:rsidP="003012A4">
      <w:r>
        <w:rPr>
          <w:rFonts w:ascii="ZWAdobeF" w:hAnsi="ZWAdobeF" w:cs="ZWAdobeF"/>
          <w:sz w:val="2"/>
          <w:szCs w:val="2"/>
        </w:rPr>
        <w:t>712B</w:t>
      </w:r>
      <w:r w:rsidR="0037627B">
        <w:t xml:space="preserve">While the Panel views that </w:t>
      </w:r>
      <w:r w:rsidR="007A732B">
        <w:t>a</w:t>
      </w:r>
      <w:r w:rsidR="005918EA">
        <w:t xml:space="preserve"> target</w:t>
      </w:r>
      <w:r w:rsidR="007A732B">
        <w:t xml:space="preserve"> </w:t>
      </w:r>
      <w:r w:rsidR="007A732B" w:rsidRPr="00461EB7">
        <w:rPr>
          <w:i/>
        </w:rPr>
        <w:t xml:space="preserve">average </w:t>
      </w:r>
      <w:r w:rsidR="007A732B">
        <w:t>of 212,000 ML is not in dispute</w:t>
      </w:r>
      <w:r w:rsidR="00B35141">
        <w:t xml:space="preserve"> (and has not been met)</w:t>
      </w:r>
      <w:r w:rsidR="003D645D">
        <w:t>, the Deed in section 7 uses the term ‘Target’ many times, including</w:t>
      </w:r>
      <w:r w:rsidR="00B32EC8">
        <w:t xml:space="preserve"> ‘target levels’, ‘target volume’ and </w:t>
      </w:r>
      <w:r w:rsidR="00B32EC8">
        <w:lastRenderedPageBreak/>
        <w:t>‘target annual’</w:t>
      </w:r>
      <w:r w:rsidR="005918EA">
        <w:t xml:space="preserve">. </w:t>
      </w:r>
      <w:r w:rsidR="5A6DF34B">
        <w:t>Use of the t</w:t>
      </w:r>
      <w:r w:rsidR="2851F835">
        <w:t>er</w:t>
      </w:r>
      <w:r w:rsidR="5A6DF34B">
        <w:t xml:space="preserve">m target </w:t>
      </w:r>
      <w:r w:rsidR="64912243">
        <w:t xml:space="preserve">is </w:t>
      </w:r>
      <w:r w:rsidR="64912243" w:rsidDel="007807C9">
        <w:t>imprecise</w:t>
      </w:r>
      <w:r w:rsidR="007807C9">
        <w:t>;</w:t>
      </w:r>
      <w:r w:rsidR="64912243">
        <w:t xml:space="preserve"> </w:t>
      </w:r>
      <w:r w:rsidR="0131397F">
        <w:t>hence</w:t>
      </w:r>
      <w:r w:rsidR="5A6DF34B">
        <w:t xml:space="preserve"> a lesser amount c</w:t>
      </w:r>
      <w:r w:rsidR="5F39B13D">
        <w:t>ould</w:t>
      </w:r>
      <w:r w:rsidR="5A6DF34B">
        <w:t xml:space="preserve"> be </w:t>
      </w:r>
      <w:r w:rsidR="0BF07A4A">
        <w:t>deemed</w:t>
      </w:r>
      <w:r w:rsidR="5A6DF34B">
        <w:t xml:space="preserve"> as meeting Deed requirements.</w:t>
      </w:r>
    </w:p>
    <w:p w14:paraId="60A66B6B" w14:textId="16145A35" w:rsidR="003012A4" w:rsidRDefault="003012A4" w:rsidP="6332CC80">
      <w:pPr>
        <w:pStyle w:val="ReviewHeading3"/>
        <w:rPr>
          <w:rFonts w:eastAsia="Calibri"/>
        </w:rPr>
      </w:pPr>
      <w:r w:rsidRPr="6332CC80">
        <w:rPr>
          <w:rFonts w:eastAsia="Calibri"/>
        </w:rPr>
        <w:t>Planning and delivery</w:t>
      </w:r>
    </w:p>
    <w:p w14:paraId="13A4B9B1" w14:textId="74431550" w:rsidR="00BE06ED" w:rsidRPr="00BE06ED" w:rsidRDefault="00382EE8" w:rsidP="00BE06ED">
      <w:r>
        <w:rPr>
          <w:rFonts w:ascii="ZWAdobeF" w:hAnsi="ZWAdobeF" w:cs="ZWAdobeF"/>
          <w:sz w:val="2"/>
          <w:szCs w:val="2"/>
        </w:rPr>
        <w:t>713B</w:t>
      </w:r>
      <w:r w:rsidR="00BE06ED" w:rsidRPr="00BE06ED">
        <w:t>Environmental water releases from the Snowy Scheme are governed by the Deed and the Snowy Water Licence.</w:t>
      </w:r>
    </w:p>
    <w:p w14:paraId="5D5CDC59" w14:textId="4CCD1FA0" w:rsidR="00BE06ED" w:rsidRPr="00BE06ED" w:rsidRDefault="00382EE8" w:rsidP="00BE06ED">
      <w:r>
        <w:rPr>
          <w:rFonts w:ascii="ZWAdobeF" w:hAnsi="ZWAdobeF" w:cs="ZWAdobeF"/>
          <w:sz w:val="2"/>
          <w:szCs w:val="2"/>
        </w:rPr>
        <w:t>714B</w:t>
      </w:r>
      <w:r w:rsidR="00BE06ED" w:rsidRPr="00BE06ED">
        <w:t xml:space="preserve">The WAMC is the legal decision-making entity responsible for water resource management functions under the NSW </w:t>
      </w:r>
      <w:r w:rsidR="00BE06ED" w:rsidRPr="00CC7A58">
        <w:rPr>
          <w:i/>
        </w:rPr>
        <w:t>Water Management Act 2000</w:t>
      </w:r>
      <w:r w:rsidR="00BE06ED" w:rsidRPr="00BE06ED">
        <w:t xml:space="preserve">, including issuing and administering the Snowy Water Licence under Part 5 of the </w:t>
      </w:r>
      <w:r w:rsidR="00BE06ED" w:rsidRPr="00CC7A58">
        <w:rPr>
          <w:i/>
        </w:rPr>
        <w:t>Snowy Hydro Corporatisation Act 1997</w:t>
      </w:r>
      <w:r w:rsidR="00BE06ED" w:rsidRPr="00BE06ED">
        <w:t>. Statutory functions are delegated to</w:t>
      </w:r>
      <w:r w:rsidR="00BE06ED">
        <w:t xml:space="preserve"> NSW</w:t>
      </w:r>
      <w:r w:rsidR="00BE06ED" w:rsidRPr="00BE06ED">
        <w:t xml:space="preserve"> DCCEEW Water.</w:t>
      </w:r>
    </w:p>
    <w:p w14:paraId="59479BEB" w14:textId="0D2B2F95" w:rsidR="00BE06ED" w:rsidRPr="00BE06ED" w:rsidRDefault="00382EE8" w:rsidP="00BE06ED">
      <w:r>
        <w:rPr>
          <w:rFonts w:ascii="ZWAdobeF" w:hAnsi="ZWAdobeF" w:cs="ZWAdobeF"/>
          <w:sz w:val="2"/>
          <w:szCs w:val="2"/>
        </w:rPr>
        <w:t>715B</w:t>
      </w:r>
      <w:r w:rsidR="00BE06ED" w:rsidRPr="00BE06ED">
        <w:t>The Annual Water Operating Plan (AWOP), approved by WAMC, outlines how Snowy Hydro delivers its water release obligations under the Licence and Deed, and reports on delivery in the previous year.</w:t>
      </w:r>
    </w:p>
    <w:p w14:paraId="3D3C80CF" w14:textId="35FEDB2D" w:rsidR="00BE06ED" w:rsidRPr="00BE06ED" w:rsidRDefault="00382EE8" w:rsidP="00BE06ED">
      <w:r>
        <w:rPr>
          <w:rFonts w:ascii="ZWAdobeF" w:hAnsi="ZWAdobeF" w:cs="ZWAdobeF"/>
          <w:sz w:val="2"/>
          <w:szCs w:val="2"/>
        </w:rPr>
        <w:t>716B</w:t>
      </w:r>
      <w:r w:rsidR="00BE06ED" w:rsidRPr="00BE06ED">
        <w:t xml:space="preserve">The Snowy Advisory Committee (SAC), established under the </w:t>
      </w:r>
      <w:r w:rsidR="00BE06ED" w:rsidRPr="00CC7A58">
        <w:rPr>
          <w:i/>
          <w:iCs/>
        </w:rPr>
        <w:t>Snowy Hydro Corporatisation Act 1997</w:t>
      </w:r>
      <w:r w:rsidR="00BE06ED">
        <w:t xml:space="preserve"> (NSW)</w:t>
      </w:r>
      <w:r w:rsidR="00BE06ED" w:rsidRPr="00BE06ED">
        <w:t>, provides advice to WAMC. The SAC is appointed by the NSW Environment Minister and includes representatives of community, environmental, Aboriginal and government interests. Observers include ACT Government, Victorian Government (EWH), Snowy Hydro Limited and relevant NSW agencies.</w:t>
      </w:r>
    </w:p>
    <w:p w14:paraId="3E325C1F" w14:textId="7B6392AC" w:rsidR="00BE06ED" w:rsidRPr="00BE06ED" w:rsidRDefault="00382EE8" w:rsidP="00BE06ED">
      <w:r>
        <w:rPr>
          <w:rFonts w:ascii="ZWAdobeF" w:hAnsi="ZWAdobeF" w:cs="ZWAdobeF"/>
          <w:sz w:val="2"/>
          <w:szCs w:val="2"/>
        </w:rPr>
        <w:t>717B</w:t>
      </w:r>
      <w:r w:rsidR="00BE06ED" w:rsidRPr="00BE06ED">
        <w:t>The Water Consultation and Liaison Committee (WCLC), established under the Deed, provides advice to WAMC on the AWOP. Membership includes NSW DCCEEW, Australian Government representatives, Victoria, South Australia (observer), MDBA and Snowy Hydro.</w:t>
      </w:r>
    </w:p>
    <w:p w14:paraId="30297CB7" w14:textId="77470A50" w:rsidR="00BE06ED" w:rsidRPr="00BE06ED" w:rsidRDefault="00382EE8" w:rsidP="00BE06ED">
      <w:r>
        <w:rPr>
          <w:rFonts w:ascii="ZWAdobeF" w:hAnsi="ZWAdobeF" w:cs="ZWAdobeF"/>
          <w:sz w:val="2"/>
          <w:szCs w:val="2"/>
        </w:rPr>
        <w:t>718B</w:t>
      </w:r>
      <w:r w:rsidR="00BE06ED" w:rsidRPr="00BE06ED">
        <w:t>The Safety Technical Advisory Committee provides advice on operational risks and safety of releases, drawing on expertise from government agencies, emergency services, local government and other stakeholders.</w:t>
      </w:r>
    </w:p>
    <w:p w14:paraId="5D5B778F" w14:textId="484ED50C" w:rsidR="001C737C" w:rsidRDefault="00382EE8">
      <w:r>
        <w:rPr>
          <w:rFonts w:ascii="ZWAdobeF" w:hAnsi="ZWAdobeF" w:cs="ZWAdobeF"/>
          <w:sz w:val="2"/>
          <w:szCs w:val="2"/>
        </w:rPr>
        <w:t>719B</w:t>
      </w:r>
      <w:r w:rsidR="001C737C" w:rsidRPr="43BECDFB">
        <w:t>Delivery of both SMRIF and SRIF is managed by the NSW DCCEEW</w:t>
      </w:r>
      <w:r w:rsidR="0AA29B26" w:rsidRPr="43BECDFB">
        <w:t xml:space="preserve"> in </w:t>
      </w:r>
      <w:r w:rsidR="1742292B" w:rsidRPr="43BECDFB">
        <w:t>particular</w:t>
      </w:r>
      <w:r w:rsidR="0AA29B26" w:rsidRPr="43BECDFB">
        <w:t xml:space="preserve"> the C</w:t>
      </w:r>
      <w:r w:rsidR="00D05FE5">
        <w:t xml:space="preserve">onservation </w:t>
      </w:r>
      <w:r w:rsidR="0AA29B26" w:rsidRPr="43BECDFB">
        <w:t>P</w:t>
      </w:r>
      <w:r w:rsidR="00D05FE5">
        <w:t xml:space="preserve">rograms, </w:t>
      </w:r>
      <w:r w:rsidR="0AA29B26" w:rsidRPr="43BECDFB">
        <w:t>H</w:t>
      </w:r>
      <w:r w:rsidR="00D05FE5">
        <w:t xml:space="preserve">eritage and </w:t>
      </w:r>
      <w:r w:rsidR="0AA29B26" w:rsidRPr="43BECDFB">
        <w:t>R</w:t>
      </w:r>
      <w:r w:rsidR="00D05FE5">
        <w:t>egulation</w:t>
      </w:r>
      <w:r w:rsidR="0AA29B26" w:rsidRPr="43BECDFB">
        <w:t xml:space="preserve"> </w:t>
      </w:r>
      <w:r w:rsidR="00FB1ADB">
        <w:t>(C</w:t>
      </w:r>
      <w:r w:rsidR="0084118D">
        <w:t>PHR</w:t>
      </w:r>
      <w:r w:rsidR="00FB1ADB">
        <w:t xml:space="preserve">) </w:t>
      </w:r>
      <w:r w:rsidR="0AA29B26" w:rsidRPr="43BECDFB">
        <w:t>group</w:t>
      </w:r>
      <w:r w:rsidR="001C737C" w:rsidRPr="43BECDFB">
        <w:t xml:space="preserve">, in consultation with the </w:t>
      </w:r>
      <w:r w:rsidR="7ED9D979">
        <w:t>SAC</w:t>
      </w:r>
      <w:r w:rsidR="001C737C" w:rsidRPr="43BECDFB">
        <w:t>.</w:t>
      </w:r>
      <w:r>
        <w:rPr>
          <w:rFonts w:ascii="ZWAdobeF" w:hAnsi="ZWAdobeF" w:cs="ZWAdobeF"/>
          <w:sz w:val="2"/>
          <w:szCs w:val="2"/>
        </w:rPr>
        <w:t>15F</w:t>
      </w:r>
      <w:r w:rsidR="001C737C">
        <w:rPr>
          <w:rStyle w:val="FootnoteReference"/>
          <w:rFonts w:ascii="Calibri" w:eastAsia="Calibri" w:hAnsi="Calibri" w:cs="Calibri"/>
        </w:rPr>
        <w:footnoteReference w:id="16"/>
      </w:r>
      <w:r w:rsidR="001C737C" w:rsidRPr="43BECDFB">
        <w:t xml:space="preserve"> Environmental flow releases are planned up to 15 months in advance, with timing and volume formalised through Snowy Hydro’s </w:t>
      </w:r>
      <w:r w:rsidR="59AD6395">
        <w:t>AWOP</w:t>
      </w:r>
      <w:r w:rsidR="1EEC1544" w:rsidRPr="43BECDFB">
        <w:t>.</w:t>
      </w:r>
      <w:r w:rsidR="00537F9C">
        <w:t xml:space="preserve"> </w:t>
      </w:r>
      <w:r w:rsidR="00537F9C" w:rsidRPr="005B0200">
        <w:rPr>
          <w:b/>
          <w:szCs w:val="22"/>
        </w:rPr>
        <w:t>Figure 6</w:t>
      </w:r>
      <w:r w:rsidR="00537F9C" w:rsidRPr="00537F9C">
        <w:rPr>
          <w:szCs w:val="22"/>
        </w:rPr>
        <w:t xml:space="preserve"> provides an indicative </w:t>
      </w:r>
      <w:r w:rsidR="00537F9C">
        <w:rPr>
          <w:szCs w:val="22"/>
        </w:rPr>
        <w:t>o</w:t>
      </w:r>
      <w:r w:rsidR="00537F9C" w:rsidRPr="00537F9C">
        <w:rPr>
          <w:szCs w:val="22"/>
        </w:rPr>
        <w:t xml:space="preserve">verview of </w:t>
      </w:r>
      <w:r w:rsidR="00537F9C">
        <w:rPr>
          <w:szCs w:val="22"/>
        </w:rPr>
        <w:t>r</w:t>
      </w:r>
      <w:r w:rsidR="00537F9C" w:rsidRPr="00537F9C">
        <w:rPr>
          <w:szCs w:val="22"/>
        </w:rPr>
        <w:t xml:space="preserve">oles and </w:t>
      </w:r>
      <w:r w:rsidR="00537F9C">
        <w:rPr>
          <w:szCs w:val="22"/>
        </w:rPr>
        <w:t>r</w:t>
      </w:r>
      <w:r w:rsidR="00537F9C" w:rsidRPr="00537F9C">
        <w:rPr>
          <w:szCs w:val="22"/>
        </w:rPr>
        <w:t xml:space="preserve">esponsibilities for </w:t>
      </w:r>
      <w:r w:rsidR="00537F9C">
        <w:rPr>
          <w:szCs w:val="22"/>
        </w:rPr>
        <w:t>p</w:t>
      </w:r>
      <w:r w:rsidR="00537F9C" w:rsidRPr="00537F9C">
        <w:rPr>
          <w:szCs w:val="22"/>
        </w:rPr>
        <w:t xml:space="preserve">lanning and </w:t>
      </w:r>
      <w:r w:rsidR="00537F9C">
        <w:rPr>
          <w:szCs w:val="22"/>
        </w:rPr>
        <w:t>m</w:t>
      </w:r>
      <w:r w:rsidR="00537F9C" w:rsidRPr="00537F9C">
        <w:rPr>
          <w:szCs w:val="22"/>
        </w:rPr>
        <w:t xml:space="preserve">anagement of </w:t>
      </w:r>
      <w:r w:rsidR="00537F9C">
        <w:rPr>
          <w:szCs w:val="22"/>
        </w:rPr>
        <w:t>e</w:t>
      </w:r>
      <w:r w:rsidR="00537F9C" w:rsidRPr="00537F9C">
        <w:rPr>
          <w:szCs w:val="22"/>
        </w:rPr>
        <w:t xml:space="preserve">nvironmental </w:t>
      </w:r>
      <w:r w:rsidR="00537F9C">
        <w:rPr>
          <w:szCs w:val="22"/>
        </w:rPr>
        <w:t>re</w:t>
      </w:r>
      <w:r w:rsidR="00537F9C" w:rsidRPr="00537F9C">
        <w:rPr>
          <w:szCs w:val="22"/>
        </w:rPr>
        <w:t>leases</w:t>
      </w:r>
      <w:r w:rsidR="00537F9C">
        <w:rPr>
          <w:szCs w:val="22"/>
        </w:rPr>
        <w:t>.</w:t>
      </w:r>
      <w:r w:rsidR="005B0200">
        <w:rPr>
          <w:szCs w:val="22"/>
        </w:rPr>
        <w:t xml:space="preserve"> </w:t>
      </w:r>
      <w:r w:rsidR="005B0200" w:rsidRPr="005B0200">
        <w:rPr>
          <w:b/>
          <w:bCs/>
          <w:szCs w:val="22"/>
        </w:rPr>
        <w:t>Figure 7</w:t>
      </w:r>
      <w:r w:rsidR="005B0200" w:rsidRPr="005B0200">
        <w:rPr>
          <w:szCs w:val="22"/>
        </w:rPr>
        <w:t xml:space="preserve"> provides and indicative overview of annual planning </w:t>
      </w:r>
      <w:r w:rsidR="005B0200">
        <w:rPr>
          <w:szCs w:val="22"/>
        </w:rPr>
        <w:t>and</w:t>
      </w:r>
      <w:r w:rsidR="005B0200" w:rsidRPr="005B0200">
        <w:rPr>
          <w:szCs w:val="22"/>
        </w:rPr>
        <w:t xml:space="preserve"> delivery process for environmental releases (SRIF and SMRIF).</w:t>
      </w:r>
    </w:p>
    <w:p w14:paraId="19069167" w14:textId="13500255" w:rsidR="001C737C" w:rsidRDefault="00382EE8" w:rsidP="001C737C">
      <w:r>
        <w:rPr>
          <w:rFonts w:ascii="ZWAdobeF" w:hAnsi="ZWAdobeF" w:cs="ZWAdobeF"/>
          <w:sz w:val="2"/>
          <w:szCs w:val="2"/>
        </w:rPr>
        <w:t>720B</w:t>
      </w:r>
      <w:r w:rsidR="001C737C" w:rsidRPr="43BECDFB">
        <w:t>For 2025–26, priorities focus on supporting native fish breeding and movement, maintaining aquatic vegetation and habitats, and improving overall river health. This includes strategically timed flow events designed to restore natural river processes, improve channel condition, and sustain water-</w:t>
      </w:r>
      <w:r w:rsidR="001C737C" w:rsidRPr="009F655C">
        <w:t>dependent ecosystems</w:t>
      </w:r>
      <w:r w:rsidR="001C737C">
        <w:t xml:space="preserve"> as much as possible</w:t>
      </w:r>
      <w:r w:rsidR="001C737C" w:rsidRPr="009F655C">
        <w:t>.</w:t>
      </w:r>
      <w:r>
        <w:rPr>
          <w:rFonts w:ascii="ZWAdobeF" w:hAnsi="ZWAdobeF" w:cs="ZWAdobeF"/>
          <w:sz w:val="2"/>
          <w:szCs w:val="2"/>
        </w:rPr>
        <w:t>16F</w:t>
      </w:r>
      <w:r w:rsidR="001C737C">
        <w:rPr>
          <w:rStyle w:val="FootnoteReference"/>
          <w:rFonts w:ascii="Calibri" w:eastAsia="Calibri" w:hAnsi="Calibri" w:cs="Calibri"/>
        </w:rPr>
        <w:footnoteReference w:id="17"/>
      </w:r>
      <w:r w:rsidR="001C737C">
        <w:t xml:space="preserve"> </w:t>
      </w:r>
    </w:p>
    <w:p w14:paraId="5B5B9BD8" w14:textId="5D121558" w:rsidR="001C0716" w:rsidRPr="00537F9C" w:rsidRDefault="006419A0" w:rsidP="001C0716">
      <w:pPr>
        <w:pStyle w:val="Caption"/>
        <w:keepNext/>
        <w:rPr>
          <w:b/>
          <w:color w:val="auto"/>
          <w:sz w:val="20"/>
          <w:szCs w:val="20"/>
        </w:rPr>
      </w:pPr>
      <w:bookmarkStart w:id="44" w:name="_Toc233285594"/>
      <w:r>
        <w:rPr>
          <w:noProof/>
        </w:rPr>
        <w:lastRenderedPageBreak/>
        <w:drawing>
          <wp:anchor distT="0" distB="0" distL="114300" distR="114300" simplePos="0" relativeHeight="251658271" behindDoc="0" locked="0" layoutInCell="1" allowOverlap="1" wp14:anchorId="09185EFC" wp14:editId="3AEB804A">
            <wp:simplePos x="0" y="0"/>
            <wp:positionH relativeFrom="margin">
              <wp:align>center</wp:align>
            </wp:positionH>
            <wp:positionV relativeFrom="paragraph">
              <wp:posOffset>436880</wp:posOffset>
            </wp:positionV>
            <wp:extent cx="6520815" cy="3362325"/>
            <wp:effectExtent l="0" t="0" r="0" b="9525"/>
            <wp:wrapSquare wrapText="bothSides"/>
            <wp:docPr id="1866323415" name="Picture 27" descr="P65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23415" name="Picture 27" descr="P654#y1"/>
                    <pic:cNvPicPr/>
                  </pic:nvPicPr>
                  <pic:blipFill>
                    <a:blip r:embed="rId50">
                      <a:extLst>
                        <a:ext uri="{28A0092B-C50C-407E-A947-70E740481C1C}">
                          <a14:useLocalDpi xmlns:a14="http://schemas.microsoft.com/office/drawing/2010/main" val="0"/>
                        </a:ext>
                      </a:extLst>
                    </a:blip>
                    <a:stretch>
                      <a:fillRect/>
                    </a:stretch>
                  </pic:blipFill>
                  <pic:spPr>
                    <a:xfrm>
                      <a:off x="0" y="0"/>
                      <a:ext cx="6520815" cy="3362325"/>
                    </a:xfrm>
                    <a:prstGeom prst="rect">
                      <a:avLst/>
                    </a:prstGeom>
                  </pic:spPr>
                </pic:pic>
              </a:graphicData>
            </a:graphic>
          </wp:anchor>
        </w:drawing>
      </w:r>
      <w:r w:rsidR="00382EE8">
        <w:rPr>
          <w:rFonts w:ascii="ZWAdobeF" w:hAnsi="ZWAdobeF" w:cs="ZWAdobeF"/>
          <w:i w:val="0"/>
          <w:color w:val="auto"/>
          <w:sz w:val="2"/>
          <w:szCs w:val="2"/>
        </w:rPr>
        <w:t>3B</w:t>
      </w:r>
      <w:r w:rsidR="001C0716" w:rsidRPr="00537F9C">
        <w:rPr>
          <w:b/>
          <w:color w:val="auto"/>
          <w:sz w:val="20"/>
          <w:szCs w:val="20"/>
        </w:rPr>
        <w:t xml:space="preserve">Figure </w:t>
      </w:r>
      <w:r w:rsidR="001C0716" w:rsidRPr="00537F9C">
        <w:rPr>
          <w:b/>
          <w:color w:val="auto"/>
          <w:sz w:val="20"/>
          <w:szCs w:val="20"/>
        </w:rPr>
        <w:fldChar w:fldCharType="begin"/>
      </w:r>
      <w:r w:rsidR="001C0716" w:rsidRPr="00537F9C">
        <w:rPr>
          <w:b/>
          <w:color w:val="auto"/>
          <w:sz w:val="20"/>
          <w:szCs w:val="20"/>
        </w:rPr>
        <w:instrText xml:space="preserve"> SEQ Figure \* ARABIC </w:instrText>
      </w:r>
      <w:r w:rsidR="001C0716" w:rsidRPr="00537F9C">
        <w:rPr>
          <w:b/>
          <w:color w:val="auto"/>
          <w:sz w:val="20"/>
          <w:szCs w:val="20"/>
        </w:rPr>
        <w:fldChar w:fldCharType="separate"/>
      </w:r>
      <w:r w:rsidR="0005178F">
        <w:rPr>
          <w:b/>
          <w:noProof/>
          <w:color w:val="auto"/>
          <w:sz w:val="20"/>
          <w:szCs w:val="20"/>
        </w:rPr>
        <w:t>6</w:t>
      </w:r>
      <w:r w:rsidR="001C0716" w:rsidRPr="00537F9C">
        <w:rPr>
          <w:b/>
          <w:color w:val="auto"/>
          <w:sz w:val="20"/>
          <w:szCs w:val="20"/>
        </w:rPr>
        <w:fldChar w:fldCharType="end"/>
      </w:r>
      <w:r w:rsidR="001C0716" w:rsidRPr="00537F9C">
        <w:rPr>
          <w:b/>
          <w:color w:val="auto"/>
          <w:sz w:val="20"/>
          <w:szCs w:val="20"/>
        </w:rPr>
        <w:t>: Indicative Overview of Roles and Responsibilities for Planning and Management of Environmental Releases. Source: NSW DCCEEW</w:t>
      </w:r>
      <w:r w:rsidR="00537F9C" w:rsidRPr="00537F9C">
        <w:rPr>
          <w:b/>
          <w:bCs/>
          <w:color w:val="auto"/>
          <w:sz w:val="20"/>
          <w:szCs w:val="20"/>
        </w:rPr>
        <w:t>.</w:t>
      </w:r>
    </w:p>
    <w:p w14:paraId="1CDBAE47" w14:textId="77777777" w:rsidR="00A678EA" w:rsidRDefault="00A678EA" w:rsidP="003D1709"/>
    <w:p w14:paraId="157E49F2" w14:textId="77777777" w:rsidR="00956931" w:rsidRPr="003D1709" w:rsidRDefault="00956931" w:rsidP="003D1709"/>
    <w:p w14:paraId="2021D119" w14:textId="0AB501C8" w:rsidR="003D1709" w:rsidRPr="003D1709" w:rsidRDefault="00382EE8" w:rsidP="003D1709">
      <w:pPr>
        <w:pStyle w:val="Caption"/>
        <w:keepNext/>
        <w:rPr>
          <w:b/>
          <w:bCs/>
          <w:color w:val="auto"/>
          <w:sz w:val="20"/>
          <w:szCs w:val="20"/>
        </w:rPr>
      </w:pPr>
      <w:r>
        <w:rPr>
          <w:rFonts w:ascii="ZWAdobeF" w:hAnsi="ZWAdobeF" w:cs="ZWAdobeF"/>
          <w:bCs/>
          <w:i w:val="0"/>
          <w:color w:val="auto"/>
          <w:sz w:val="2"/>
          <w:szCs w:val="2"/>
        </w:rPr>
        <w:t>4B</w:t>
      </w:r>
      <w:r w:rsidR="003D1709" w:rsidRPr="003D1709">
        <w:rPr>
          <w:b/>
          <w:bCs/>
          <w:color w:val="auto"/>
          <w:sz w:val="20"/>
          <w:szCs w:val="20"/>
        </w:rPr>
        <w:t xml:space="preserve">Figure </w:t>
      </w:r>
      <w:r w:rsidR="003D1709" w:rsidRPr="003D1709">
        <w:rPr>
          <w:b/>
          <w:bCs/>
          <w:color w:val="auto"/>
          <w:sz w:val="20"/>
          <w:szCs w:val="20"/>
        </w:rPr>
        <w:fldChar w:fldCharType="begin"/>
      </w:r>
      <w:r w:rsidR="003D1709" w:rsidRPr="003D1709">
        <w:rPr>
          <w:b/>
          <w:bCs/>
          <w:color w:val="auto"/>
          <w:sz w:val="20"/>
          <w:szCs w:val="20"/>
        </w:rPr>
        <w:instrText xml:space="preserve"> SEQ Figure \* ARABIC </w:instrText>
      </w:r>
      <w:r w:rsidR="003D1709" w:rsidRPr="003D1709">
        <w:rPr>
          <w:b/>
          <w:bCs/>
          <w:color w:val="auto"/>
          <w:sz w:val="20"/>
          <w:szCs w:val="20"/>
        </w:rPr>
        <w:fldChar w:fldCharType="separate"/>
      </w:r>
      <w:r w:rsidR="0005178F">
        <w:rPr>
          <w:b/>
          <w:bCs/>
          <w:noProof/>
          <w:color w:val="auto"/>
          <w:sz w:val="20"/>
          <w:szCs w:val="20"/>
        </w:rPr>
        <w:t>7</w:t>
      </w:r>
      <w:r w:rsidR="003D1709" w:rsidRPr="003D1709">
        <w:rPr>
          <w:b/>
          <w:bCs/>
          <w:color w:val="auto"/>
          <w:sz w:val="20"/>
          <w:szCs w:val="20"/>
        </w:rPr>
        <w:fldChar w:fldCharType="end"/>
      </w:r>
      <w:r w:rsidR="003D1709" w:rsidRPr="003D1709">
        <w:rPr>
          <w:b/>
          <w:bCs/>
          <w:color w:val="auto"/>
          <w:sz w:val="20"/>
          <w:szCs w:val="20"/>
        </w:rPr>
        <w:t xml:space="preserve">: Indicative </w:t>
      </w:r>
      <w:r w:rsidR="005B0200">
        <w:rPr>
          <w:b/>
          <w:bCs/>
          <w:color w:val="auto"/>
          <w:sz w:val="20"/>
          <w:szCs w:val="20"/>
        </w:rPr>
        <w:t>O</w:t>
      </w:r>
      <w:r w:rsidR="003D1709" w:rsidRPr="003D1709">
        <w:rPr>
          <w:b/>
          <w:bCs/>
          <w:color w:val="auto"/>
          <w:sz w:val="20"/>
          <w:szCs w:val="20"/>
        </w:rPr>
        <w:t xml:space="preserve">verview of </w:t>
      </w:r>
      <w:r w:rsidR="005B0200">
        <w:rPr>
          <w:b/>
          <w:bCs/>
          <w:color w:val="auto"/>
          <w:sz w:val="20"/>
          <w:szCs w:val="20"/>
        </w:rPr>
        <w:t>A</w:t>
      </w:r>
      <w:r w:rsidR="003D1709" w:rsidRPr="003D1709">
        <w:rPr>
          <w:b/>
          <w:bCs/>
          <w:color w:val="auto"/>
          <w:sz w:val="20"/>
          <w:szCs w:val="20"/>
        </w:rPr>
        <w:t xml:space="preserve">nnual </w:t>
      </w:r>
      <w:r w:rsidR="005B0200">
        <w:rPr>
          <w:b/>
          <w:bCs/>
          <w:color w:val="auto"/>
          <w:sz w:val="20"/>
          <w:szCs w:val="20"/>
        </w:rPr>
        <w:t>P</w:t>
      </w:r>
      <w:r w:rsidR="003D1709" w:rsidRPr="003D1709">
        <w:rPr>
          <w:b/>
          <w:bCs/>
          <w:color w:val="auto"/>
          <w:sz w:val="20"/>
          <w:szCs w:val="20"/>
        </w:rPr>
        <w:t xml:space="preserve">lanning </w:t>
      </w:r>
      <w:r w:rsidR="005B0200">
        <w:rPr>
          <w:b/>
          <w:bCs/>
          <w:color w:val="auto"/>
          <w:sz w:val="20"/>
          <w:szCs w:val="20"/>
        </w:rPr>
        <w:t>and D</w:t>
      </w:r>
      <w:r w:rsidR="003D1709" w:rsidRPr="003D1709">
        <w:rPr>
          <w:b/>
          <w:bCs/>
          <w:color w:val="auto"/>
          <w:sz w:val="20"/>
          <w:szCs w:val="20"/>
        </w:rPr>
        <w:t>elivery</w:t>
      </w:r>
      <w:r w:rsidR="005B0200">
        <w:rPr>
          <w:b/>
          <w:bCs/>
          <w:color w:val="auto"/>
          <w:sz w:val="20"/>
          <w:szCs w:val="20"/>
        </w:rPr>
        <w:t xml:space="preserve"> P</w:t>
      </w:r>
      <w:r w:rsidR="003D1709" w:rsidRPr="003D1709">
        <w:rPr>
          <w:b/>
          <w:bCs/>
          <w:color w:val="auto"/>
          <w:sz w:val="20"/>
          <w:szCs w:val="20"/>
        </w:rPr>
        <w:t xml:space="preserve">rocess for </w:t>
      </w:r>
      <w:r w:rsidR="005B0200">
        <w:rPr>
          <w:b/>
          <w:bCs/>
          <w:color w:val="auto"/>
          <w:sz w:val="20"/>
          <w:szCs w:val="20"/>
        </w:rPr>
        <w:t>E</w:t>
      </w:r>
      <w:r w:rsidR="003D1709" w:rsidRPr="003D1709">
        <w:rPr>
          <w:b/>
          <w:bCs/>
          <w:color w:val="auto"/>
          <w:sz w:val="20"/>
          <w:szCs w:val="20"/>
        </w:rPr>
        <w:t xml:space="preserve">nvironmental </w:t>
      </w:r>
      <w:r w:rsidR="005B0200">
        <w:rPr>
          <w:b/>
          <w:bCs/>
          <w:color w:val="auto"/>
          <w:sz w:val="20"/>
          <w:szCs w:val="20"/>
        </w:rPr>
        <w:t>R</w:t>
      </w:r>
      <w:r w:rsidR="003D1709" w:rsidRPr="003D1709">
        <w:rPr>
          <w:b/>
          <w:bCs/>
          <w:color w:val="auto"/>
          <w:sz w:val="20"/>
          <w:szCs w:val="20"/>
        </w:rPr>
        <w:t>eleases (SRIF and SMRIF)</w:t>
      </w:r>
      <w:r w:rsidR="003D1709">
        <w:rPr>
          <w:b/>
          <w:bCs/>
          <w:color w:val="auto"/>
          <w:sz w:val="20"/>
          <w:szCs w:val="20"/>
        </w:rPr>
        <w:t>. Source: NSW DCCEEW.</w:t>
      </w:r>
    </w:p>
    <w:p w14:paraId="3E78BA2C" w14:textId="4CE8669A" w:rsidR="003D1709" w:rsidRPr="003D1709" w:rsidRDefault="00382EE8" w:rsidP="003D1709">
      <w:pPr>
        <w:jc w:val="center"/>
      </w:pPr>
      <w:r>
        <w:rPr>
          <w:rFonts w:ascii="ZWAdobeF" w:hAnsi="ZWAdobeF" w:cs="ZWAdobeF"/>
          <w:sz w:val="2"/>
          <w:szCs w:val="2"/>
        </w:rPr>
        <w:t>721B</w:t>
      </w:r>
      <w:r w:rsidR="003D1709">
        <w:rPr>
          <w:rFonts w:eastAsia="Calibri"/>
          <w:noProof/>
        </w:rPr>
        <w:drawing>
          <wp:inline distT="0" distB="0" distL="0" distR="0" wp14:anchorId="1E182107" wp14:editId="5E64B1AD">
            <wp:extent cx="6177972" cy="3124200"/>
            <wp:effectExtent l="0" t="0" r="0" b="0"/>
            <wp:docPr id="916147851" name="Picture 35" descr="P6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47851" name="Picture 35" descr="P658#yIS1"/>
                    <pic:cNvPicPr/>
                  </pic:nvPicPr>
                  <pic:blipFill>
                    <a:blip r:embed="rId51">
                      <a:extLst>
                        <a:ext uri="{28A0092B-C50C-407E-A947-70E740481C1C}">
                          <a14:useLocalDpi xmlns:a14="http://schemas.microsoft.com/office/drawing/2010/main" val="0"/>
                        </a:ext>
                      </a:extLst>
                    </a:blip>
                    <a:stretch>
                      <a:fillRect/>
                    </a:stretch>
                  </pic:blipFill>
                  <pic:spPr>
                    <a:xfrm>
                      <a:off x="0" y="0"/>
                      <a:ext cx="6197616" cy="3134134"/>
                    </a:xfrm>
                    <a:prstGeom prst="rect">
                      <a:avLst/>
                    </a:prstGeom>
                  </pic:spPr>
                </pic:pic>
              </a:graphicData>
            </a:graphic>
          </wp:inline>
        </w:drawing>
      </w:r>
    </w:p>
    <w:p w14:paraId="6A03169A" w14:textId="77777777" w:rsidR="003D1709" w:rsidRDefault="003D1709" w:rsidP="00B8696E">
      <w:pPr>
        <w:pStyle w:val="ReviewHeading2"/>
        <w:rPr>
          <w:rFonts w:eastAsia="Calibri"/>
        </w:rPr>
      </w:pPr>
    </w:p>
    <w:p w14:paraId="0489D451" w14:textId="3495985E" w:rsidR="003012A4" w:rsidRDefault="00556110" w:rsidP="00B8696E">
      <w:pPr>
        <w:pStyle w:val="ReviewHeading2"/>
        <w:rPr>
          <w:rFonts w:eastAsia="Calibri"/>
        </w:rPr>
      </w:pPr>
      <w:bookmarkStart w:id="45" w:name="_Toc233801473"/>
      <w:r>
        <w:rPr>
          <w:rFonts w:eastAsia="Calibri"/>
        </w:rPr>
        <w:t>3.2</w:t>
      </w:r>
      <w:r w:rsidR="000A099B">
        <w:rPr>
          <w:rFonts w:eastAsia="Calibri"/>
        </w:rPr>
        <w:t xml:space="preserve"> </w:t>
      </w:r>
      <w:r w:rsidR="00F024CB">
        <w:rPr>
          <w:rFonts w:eastAsia="Calibri"/>
        </w:rPr>
        <w:t>What we heard</w:t>
      </w:r>
      <w:bookmarkEnd w:id="44"/>
      <w:bookmarkEnd w:id="45"/>
    </w:p>
    <w:p w14:paraId="74DE7457" w14:textId="25FBEE0E" w:rsidR="00394508" w:rsidRDefault="00382EE8" w:rsidP="00394508">
      <w:r>
        <w:rPr>
          <w:rFonts w:ascii="ZWAdobeF" w:hAnsi="ZWAdobeF" w:cs="ZWAdobeF"/>
          <w:sz w:val="2"/>
          <w:szCs w:val="2"/>
        </w:rPr>
        <w:t>722B</w:t>
      </w:r>
      <w:r w:rsidR="00394508" w:rsidRPr="00A61CDC">
        <w:t xml:space="preserve">Stakeholder and advisory </w:t>
      </w:r>
      <w:r w:rsidR="00394508">
        <w:t>input</w:t>
      </w:r>
      <w:r w:rsidR="466D81BB">
        <w:t>s</w:t>
      </w:r>
      <w:r w:rsidR="00394508" w:rsidRPr="00A61CDC">
        <w:t xml:space="preserve"> </w:t>
      </w:r>
      <w:r w:rsidR="00394508">
        <w:t>reflect</w:t>
      </w:r>
      <w:r w:rsidR="00394508" w:rsidRPr="00A61CDC">
        <w:t xml:space="preserve"> a clear case for governance reform, particularly in relation to accountability, coordination and inclusion. </w:t>
      </w:r>
      <w:r w:rsidR="38FEA636">
        <w:t xml:space="preserve">It </w:t>
      </w:r>
      <w:r w:rsidR="00394508">
        <w:t>also</w:t>
      </w:r>
      <w:r w:rsidR="00394508" w:rsidRPr="00A61CDC">
        <w:t xml:space="preserve"> highlights important constraints and trade-offs, </w:t>
      </w:r>
      <w:r w:rsidR="19CD85E7">
        <w:t>emphasising</w:t>
      </w:r>
      <w:r w:rsidR="00394508" w:rsidRPr="00A61CDC">
        <w:t xml:space="preserve"> that the design of any revised governance framework will need to balance ambition for reform with practicality, system complexity and the need for institutional stability</w:t>
      </w:r>
      <w:r w:rsidR="00394508">
        <w:t>.</w:t>
      </w:r>
    </w:p>
    <w:p w14:paraId="314E1545" w14:textId="341A7513" w:rsidR="00F13FE2" w:rsidRDefault="00F13FE2" w:rsidP="00F13FE2">
      <w:pPr>
        <w:pStyle w:val="ReviewHeading3"/>
        <w:rPr>
          <w:rFonts w:eastAsia="Calibri"/>
        </w:rPr>
      </w:pPr>
      <w:r>
        <w:rPr>
          <w:rFonts w:eastAsia="Calibri"/>
        </w:rPr>
        <w:t>Public Submissions</w:t>
      </w:r>
    </w:p>
    <w:p w14:paraId="70084BE5" w14:textId="2B603C74" w:rsidR="00C2413B" w:rsidRPr="00A61CDC" w:rsidRDefault="00382EE8" w:rsidP="00C2413B">
      <w:r>
        <w:rPr>
          <w:rFonts w:ascii="ZWAdobeF" w:hAnsi="ZWAdobeF" w:cs="ZWAdobeF"/>
          <w:sz w:val="2"/>
          <w:szCs w:val="2"/>
        </w:rPr>
        <w:t>723B</w:t>
      </w:r>
      <w:r w:rsidR="00C2413B" w:rsidRPr="00A61CDC">
        <w:t xml:space="preserve">Stakeholder submissions received through a public ‘Have Your Say’ on the Panel’s </w:t>
      </w:r>
      <w:r w:rsidR="00C2413B" w:rsidRPr="41622D4A">
        <w:t xml:space="preserve">Issues Consultation </w:t>
      </w:r>
      <w:r w:rsidR="00C2413B">
        <w:t>Report</w:t>
      </w:r>
      <w:r w:rsidR="00C2413B" w:rsidRPr="00A61CDC">
        <w:t xml:space="preserve"> raised consistent concerns regarding the effectiveness, transparency and adaptability of the current governance framework, as well as differing perspectives on appropriate reform.</w:t>
      </w:r>
    </w:p>
    <w:p w14:paraId="7F44DF24" w14:textId="423E3D09" w:rsidR="00F13FE2" w:rsidRPr="00F41BA6" w:rsidRDefault="00C2413B" w:rsidP="00C2413B">
      <w:pPr>
        <w:pStyle w:val="Sub-Heading"/>
      </w:pPr>
      <w:r>
        <w:rPr>
          <w:rFonts w:eastAsia="Calibri"/>
        </w:rPr>
        <w:t>Governance effectiveness and fit-for-purpose</w:t>
      </w:r>
    </w:p>
    <w:p w14:paraId="2137A2B9" w14:textId="2117DC04" w:rsidR="00314854" w:rsidRPr="00314854" w:rsidRDefault="00382EE8" w:rsidP="00314854">
      <w:pPr>
        <w:rPr>
          <w:rFonts w:eastAsia="Calibri" w:cs="Calibri"/>
          <w:color w:val="000000" w:themeColor="text1"/>
        </w:rPr>
      </w:pPr>
      <w:r>
        <w:rPr>
          <w:rFonts w:ascii="ZWAdobeF" w:eastAsia="Calibri" w:hAnsi="ZWAdobeF" w:cs="ZWAdobeF"/>
          <w:sz w:val="2"/>
          <w:szCs w:val="2"/>
        </w:rPr>
        <w:t>724B</w:t>
      </w:r>
      <w:r w:rsidR="00314854" w:rsidRPr="00314854">
        <w:rPr>
          <w:rFonts w:eastAsia="Calibri" w:cs="Calibri"/>
          <w:color w:val="000000" w:themeColor="text1"/>
        </w:rPr>
        <w:t>Many stakeholders questioned whether the Deed remains fit</w:t>
      </w:r>
      <w:r w:rsidR="009C413C">
        <w:rPr>
          <w:rFonts w:eastAsia="Calibri" w:cs="Calibri"/>
          <w:color w:val="000000" w:themeColor="text1"/>
        </w:rPr>
        <w:t>-</w:t>
      </w:r>
      <w:r w:rsidR="00314854" w:rsidRPr="00314854">
        <w:rPr>
          <w:rFonts w:eastAsia="Calibri" w:cs="Calibri"/>
          <w:color w:val="000000" w:themeColor="text1"/>
        </w:rPr>
        <w:t>for</w:t>
      </w:r>
      <w:r w:rsidR="009C413C">
        <w:rPr>
          <w:rFonts w:eastAsia="Calibri" w:cs="Calibri"/>
          <w:color w:val="000000" w:themeColor="text1"/>
        </w:rPr>
        <w:t>-</w:t>
      </w:r>
      <w:r w:rsidR="00314854" w:rsidRPr="00314854">
        <w:rPr>
          <w:rFonts w:eastAsia="Calibri" w:cs="Calibri"/>
          <w:color w:val="000000" w:themeColor="text1"/>
        </w:rPr>
        <w:t>purpose and able to support contemporary water management.</w:t>
      </w:r>
    </w:p>
    <w:p w14:paraId="6E6A5777" w14:textId="63A3E1BC" w:rsidR="00314854" w:rsidRPr="00314854" w:rsidRDefault="00382EE8" w:rsidP="0027005E">
      <w:pPr>
        <w:jc w:val="left"/>
        <w:rPr>
          <w:rFonts w:eastAsia="Calibri" w:cs="Calibri"/>
          <w:color w:val="000000" w:themeColor="text1"/>
        </w:rPr>
      </w:pPr>
      <w:r>
        <w:rPr>
          <w:rFonts w:ascii="ZWAdobeF" w:eastAsia="Calibri" w:hAnsi="ZWAdobeF" w:cs="ZWAdobeF"/>
          <w:iCs/>
          <w:sz w:val="2"/>
          <w:szCs w:val="2"/>
        </w:rPr>
        <w:t>725B</w:t>
      </w:r>
      <w:r w:rsidR="00314854" w:rsidRPr="00314854">
        <w:rPr>
          <w:rFonts w:eastAsia="Calibri" w:cs="Calibri"/>
          <w:i/>
          <w:iCs/>
          <w:color w:val="000000" w:themeColor="text1"/>
        </w:rPr>
        <w:t>“The current framework of the Deed is not effective… it has failed to keep pace with</w:t>
      </w:r>
      <w:r w:rsidR="00F65F1E">
        <w:rPr>
          <w:rFonts w:eastAsia="Calibri" w:cs="Calibri"/>
          <w:i/>
          <w:iCs/>
          <w:color w:val="000000" w:themeColor="text1"/>
        </w:rPr>
        <w:t>…</w:t>
      </w:r>
      <w:r w:rsidR="00314854" w:rsidRPr="00314854">
        <w:rPr>
          <w:rFonts w:eastAsia="Calibri" w:cs="Calibri"/>
          <w:i/>
          <w:iCs/>
          <w:color w:val="000000" w:themeColor="text1"/>
        </w:rPr>
        <w:t xml:space="preserve"> contemporary governance standards.”</w:t>
      </w:r>
      <w:r w:rsidR="00314854">
        <w:br/>
      </w:r>
      <w:r w:rsidR="00314854" w:rsidRPr="00314854">
        <w:rPr>
          <w:rFonts w:eastAsia="Calibri" w:cs="Calibri"/>
          <w:color w:val="000000" w:themeColor="text1"/>
        </w:rPr>
        <w:t>— Australian River Restoration Centre (Submission 129)</w:t>
      </w:r>
    </w:p>
    <w:p w14:paraId="00AA5C48" w14:textId="79B659E7" w:rsidR="00314854" w:rsidRPr="00314854" w:rsidRDefault="00382EE8" w:rsidP="00314854">
      <w:pPr>
        <w:rPr>
          <w:rFonts w:eastAsia="Calibri" w:cs="Calibri"/>
          <w:color w:val="000000" w:themeColor="text1"/>
        </w:rPr>
      </w:pPr>
      <w:r>
        <w:rPr>
          <w:rFonts w:ascii="ZWAdobeF" w:eastAsia="Calibri" w:hAnsi="ZWAdobeF" w:cs="ZWAdobeF"/>
          <w:sz w:val="2"/>
          <w:szCs w:val="2"/>
        </w:rPr>
        <w:t>726B</w:t>
      </w:r>
      <w:r w:rsidR="00314854" w:rsidRPr="00314854">
        <w:rPr>
          <w:rFonts w:eastAsia="Calibri" w:cs="Calibri"/>
          <w:color w:val="000000" w:themeColor="text1"/>
        </w:rPr>
        <w:t>Some submissions identified more fundamental structural issues in the current arrangements:</w:t>
      </w:r>
    </w:p>
    <w:p w14:paraId="22A2E6F0" w14:textId="18907A73" w:rsidR="00314854" w:rsidRPr="00314854" w:rsidRDefault="00382EE8" w:rsidP="007609ED">
      <w:pPr>
        <w:jc w:val="left"/>
        <w:rPr>
          <w:rFonts w:eastAsia="Calibri" w:cs="Calibri"/>
          <w:color w:val="000000" w:themeColor="text1"/>
        </w:rPr>
      </w:pPr>
      <w:r>
        <w:rPr>
          <w:rFonts w:ascii="ZWAdobeF" w:eastAsia="Calibri" w:hAnsi="ZWAdobeF" w:cs="ZWAdobeF"/>
          <w:iCs/>
          <w:sz w:val="2"/>
          <w:szCs w:val="2"/>
        </w:rPr>
        <w:t>727B</w:t>
      </w:r>
      <w:r w:rsidR="00314854" w:rsidRPr="00314854">
        <w:rPr>
          <w:rFonts w:eastAsia="Calibri" w:cs="Calibri"/>
          <w:i/>
          <w:iCs/>
          <w:color w:val="000000" w:themeColor="text1"/>
        </w:rPr>
        <w:t xml:space="preserve">“The Deed is failing </w:t>
      </w:r>
      <w:r w:rsidR="00C81AF4">
        <w:rPr>
          <w:rFonts w:eastAsia="Calibri" w:cs="Calibri"/>
          <w:i/>
          <w:iCs/>
          <w:color w:val="000000" w:themeColor="text1"/>
        </w:rPr>
        <w:t xml:space="preserve">both </w:t>
      </w:r>
      <w:r w:rsidR="00314854" w:rsidRPr="00314854" w:rsidDel="00C81AF4">
        <w:rPr>
          <w:rFonts w:eastAsia="Calibri" w:cs="Calibri"/>
          <w:i/>
          <w:iCs/>
          <w:color w:val="000000" w:themeColor="text1"/>
        </w:rPr>
        <w:t>the</w:t>
      </w:r>
      <w:r w:rsidR="00A95625">
        <w:rPr>
          <w:rFonts w:eastAsia="Calibri" w:cs="Calibri"/>
          <w:i/>
          <w:iCs/>
          <w:color w:val="000000" w:themeColor="text1"/>
        </w:rPr>
        <w:t xml:space="preserve"> [Snowy and Upper Murrumbidgee]</w:t>
      </w:r>
      <w:r w:rsidR="00314854" w:rsidRPr="00314854" w:rsidDel="00C81AF4">
        <w:rPr>
          <w:rFonts w:eastAsia="Calibri" w:cs="Calibri"/>
          <w:i/>
          <w:iCs/>
          <w:color w:val="000000" w:themeColor="text1"/>
        </w:rPr>
        <w:t xml:space="preserve"> </w:t>
      </w:r>
      <w:r w:rsidR="00314854" w:rsidRPr="00314854">
        <w:rPr>
          <w:rFonts w:eastAsia="Calibri" w:cs="Calibri"/>
          <w:i/>
          <w:iCs/>
          <w:color w:val="000000" w:themeColor="text1"/>
        </w:rPr>
        <w:t>river system</w:t>
      </w:r>
      <w:r w:rsidR="00A95625">
        <w:rPr>
          <w:rFonts w:eastAsia="Calibri" w:cs="Calibri"/>
          <w:i/>
          <w:iCs/>
          <w:color w:val="000000" w:themeColor="text1"/>
        </w:rPr>
        <w:t>s</w:t>
      </w:r>
      <w:r w:rsidR="00314854" w:rsidRPr="00314854">
        <w:rPr>
          <w:rFonts w:eastAsia="Calibri" w:cs="Calibri"/>
          <w:i/>
          <w:iCs/>
          <w:color w:val="000000" w:themeColor="text1"/>
        </w:rPr>
        <w:t xml:space="preserve"> through </w:t>
      </w:r>
      <w:r w:rsidR="00A95625">
        <w:rPr>
          <w:rFonts w:eastAsia="Calibri" w:cs="Calibri"/>
          <w:i/>
          <w:iCs/>
          <w:color w:val="000000" w:themeColor="text1"/>
        </w:rPr>
        <w:t xml:space="preserve">the same </w:t>
      </w:r>
      <w:r w:rsidR="00314854" w:rsidRPr="00314854">
        <w:rPr>
          <w:rFonts w:eastAsia="Calibri" w:cs="Calibri"/>
          <w:i/>
          <w:iCs/>
          <w:color w:val="000000" w:themeColor="text1"/>
        </w:rPr>
        <w:t>structural deficiencie</w:t>
      </w:r>
      <w:r w:rsidR="000055FF">
        <w:rPr>
          <w:rFonts w:eastAsia="Calibri" w:cs="Calibri"/>
          <w:i/>
          <w:iCs/>
          <w:color w:val="000000" w:themeColor="text1"/>
        </w:rPr>
        <w:t>s</w:t>
      </w:r>
      <w:r w:rsidR="0004415D">
        <w:rPr>
          <w:rFonts w:eastAsia="Calibri" w:cs="Calibri"/>
          <w:i/>
          <w:iCs/>
          <w:color w:val="000000" w:themeColor="text1"/>
        </w:rPr>
        <w:t xml:space="preserve"> - </w:t>
      </w:r>
      <w:r w:rsidR="000055FF">
        <w:rPr>
          <w:rFonts w:eastAsia="Calibri" w:cs="Calibri"/>
          <w:i/>
          <w:iCs/>
          <w:color w:val="000000" w:themeColor="text1"/>
        </w:rPr>
        <w:t xml:space="preserve">inadequate </w:t>
      </w:r>
      <w:r w:rsidR="00C65592">
        <w:rPr>
          <w:rFonts w:eastAsia="Calibri" w:cs="Calibri"/>
          <w:i/>
          <w:iCs/>
          <w:color w:val="000000" w:themeColor="text1"/>
        </w:rPr>
        <w:t>water volumes,</w:t>
      </w:r>
      <w:r w:rsidR="00314854" w:rsidRPr="00314854">
        <w:rPr>
          <w:rFonts w:eastAsia="Calibri" w:cs="Calibri"/>
          <w:i/>
          <w:iCs/>
          <w:color w:val="000000" w:themeColor="text1"/>
        </w:rPr>
        <w:t xml:space="preserve"> lack of transparency</w:t>
      </w:r>
      <w:r w:rsidR="00C65592">
        <w:rPr>
          <w:rFonts w:eastAsia="Calibri" w:cs="Calibri"/>
          <w:i/>
          <w:iCs/>
          <w:color w:val="000000" w:themeColor="text1"/>
        </w:rPr>
        <w:t xml:space="preserve"> and</w:t>
      </w:r>
      <w:r w:rsidR="00314854" w:rsidRPr="00314854">
        <w:rPr>
          <w:rFonts w:eastAsia="Calibri" w:cs="Calibri"/>
          <w:i/>
          <w:iCs/>
          <w:color w:val="000000" w:themeColor="text1"/>
        </w:rPr>
        <w:t xml:space="preserve"> enforceability </w:t>
      </w:r>
      <w:r w:rsidR="001C61A0">
        <w:rPr>
          <w:rFonts w:eastAsia="Calibri" w:cs="Calibri"/>
          <w:i/>
          <w:iCs/>
          <w:color w:val="000000" w:themeColor="text1"/>
        </w:rPr>
        <w:t xml:space="preserve">… </w:t>
      </w:r>
      <w:r w:rsidR="00314854" w:rsidRPr="00314854">
        <w:rPr>
          <w:rFonts w:eastAsia="Calibri" w:cs="Calibri"/>
          <w:i/>
          <w:iCs/>
          <w:color w:val="000000" w:themeColor="text1"/>
        </w:rPr>
        <w:t xml:space="preserve">and </w:t>
      </w:r>
      <w:r w:rsidR="001C61A0">
        <w:rPr>
          <w:rFonts w:eastAsia="Calibri" w:cs="Calibri"/>
          <w:i/>
          <w:iCs/>
          <w:color w:val="000000" w:themeColor="text1"/>
        </w:rPr>
        <w:t xml:space="preserve">absence </w:t>
      </w:r>
      <w:r w:rsidR="00FA3A7D">
        <w:rPr>
          <w:rFonts w:eastAsia="Calibri" w:cs="Calibri"/>
          <w:i/>
          <w:iCs/>
          <w:color w:val="000000" w:themeColor="text1"/>
        </w:rPr>
        <w:t xml:space="preserve">of scheduled </w:t>
      </w:r>
      <w:r w:rsidR="00314854" w:rsidRPr="00314854">
        <w:rPr>
          <w:rFonts w:eastAsia="Calibri" w:cs="Calibri"/>
          <w:i/>
          <w:iCs/>
          <w:color w:val="000000" w:themeColor="text1"/>
        </w:rPr>
        <w:t>review</w:t>
      </w:r>
      <w:r w:rsidR="00FA3A7D">
        <w:rPr>
          <w:rFonts w:eastAsia="Calibri" w:cs="Calibri"/>
          <w:i/>
          <w:iCs/>
          <w:color w:val="000000" w:themeColor="text1"/>
        </w:rPr>
        <w:t xml:space="preserve"> mechanisms</w:t>
      </w:r>
      <w:r w:rsidR="00314854" w:rsidRPr="00314854">
        <w:rPr>
          <w:rFonts w:eastAsia="Calibri" w:cs="Calibri"/>
          <w:i/>
          <w:iCs/>
          <w:color w:val="000000" w:themeColor="text1"/>
        </w:rPr>
        <w:t>.”</w:t>
      </w:r>
      <w:r w:rsidR="00314854">
        <w:br/>
      </w:r>
      <w:r w:rsidR="00314854" w:rsidRPr="00314854">
        <w:rPr>
          <w:rFonts w:eastAsia="Calibri" w:cs="Calibri"/>
          <w:color w:val="000000" w:themeColor="text1"/>
        </w:rPr>
        <w:t>— East Gippsland Conservation Management Network (Submission 124)</w:t>
      </w:r>
    </w:p>
    <w:p w14:paraId="5E82422E" w14:textId="539BBC37" w:rsidR="00314854" w:rsidRPr="00314854" w:rsidRDefault="00382EE8" w:rsidP="00314854">
      <w:pPr>
        <w:rPr>
          <w:rFonts w:eastAsia="Calibri" w:cs="Calibri"/>
          <w:color w:val="000000" w:themeColor="text1"/>
        </w:rPr>
      </w:pPr>
      <w:r>
        <w:rPr>
          <w:rFonts w:ascii="ZWAdobeF" w:eastAsia="Calibri" w:hAnsi="ZWAdobeF" w:cs="ZWAdobeF"/>
          <w:sz w:val="2"/>
          <w:szCs w:val="2"/>
        </w:rPr>
        <w:t>728B</w:t>
      </w:r>
      <w:r w:rsidR="00314854" w:rsidRPr="00314854">
        <w:rPr>
          <w:rFonts w:eastAsia="Calibri" w:cs="Calibri"/>
          <w:color w:val="000000" w:themeColor="text1"/>
        </w:rPr>
        <w:t xml:space="preserve">Some stakeholders emphasised the importance of clearly defining </w:t>
      </w:r>
      <w:r w:rsidR="00F155D1">
        <w:rPr>
          <w:rFonts w:eastAsia="Calibri" w:cs="Calibri"/>
          <w:color w:val="000000" w:themeColor="text1"/>
        </w:rPr>
        <w:t>how trade-offs will be managed in a renewed agreement:</w:t>
      </w:r>
    </w:p>
    <w:p w14:paraId="4631BE82" w14:textId="04E1558D" w:rsidR="00314854" w:rsidRPr="00314854" w:rsidRDefault="00382EE8" w:rsidP="4200CB10">
      <w:pPr>
        <w:jc w:val="left"/>
        <w:rPr>
          <w:rFonts w:eastAsia="Calibri" w:cs="Calibri"/>
          <w:color w:val="000000" w:themeColor="text1"/>
        </w:rPr>
      </w:pPr>
      <w:r>
        <w:rPr>
          <w:rFonts w:ascii="ZWAdobeF" w:eastAsia="Calibri" w:hAnsi="ZWAdobeF" w:cs="ZWAdobeF"/>
          <w:iCs/>
          <w:sz w:val="2"/>
          <w:szCs w:val="2"/>
        </w:rPr>
        <w:t>729B</w:t>
      </w:r>
      <w:r w:rsidR="00314854" w:rsidRPr="6332CC80">
        <w:rPr>
          <w:rFonts w:eastAsia="Calibri" w:cs="Calibri"/>
          <w:i/>
          <w:iCs/>
          <w:color w:val="000000" w:themeColor="text1"/>
        </w:rPr>
        <w:t>“The Deed is primarily an enabling agreement…</w:t>
      </w:r>
      <w:r w:rsidR="00AC4B6F" w:rsidRPr="6332CC80">
        <w:rPr>
          <w:rFonts w:eastAsia="Calibri" w:cs="Calibri"/>
          <w:i/>
          <w:iCs/>
          <w:color w:val="000000" w:themeColor="text1"/>
        </w:rPr>
        <w:t xml:space="preserve">the renewed </w:t>
      </w:r>
      <w:r w:rsidR="00E52DB7" w:rsidRPr="6332CC80">
        <w:rPr>
          <w:rFonts w:eastAsia="Calibri" w:cs="Calibri"/>
          <w:i/>
          <w:iCs/>
          <w:color w:val="000000" w:themeColor="text1"/>
        </w:rPr>
        <w:t xml:space="preserve">Deed </w:t>
      </w:r>
      <w:r w:rsidR="00D51A15" w:rsidRPr="6332CC80">
        <w:rPr>
          <w:rFonts w:eastAsia="Calibri" w:cs="Calibri"/>
          <w:i/>
          <w:iCs/>
          <w:color w:val="000000" w:themeColor="text1"/>
        </w:rPr>
        <w:t>should also</w:t>
      </w:r>
      <w:r w:rsidR="00495BEB" w:rsidRPr="6332CC80">
        <w:rPr>
          <w:rFonts w:eastAsia="Calibri" w:cs="Calibri"/>
          <w:i/>
          <w:iCs/>
          <w:color w:val="000000" w:themeColor="text1"/>
        </w:rPr>
        <w:t xml:space="preserve"> articulate </w:t>
      </w:r>
      <w:r w:rsidR="00F155D1" w:rsidRPr="6332CC80">
        <w:rPr>
          <w:rFonts w:eastAsia="Calibri" w:cs="Calibri"/>
          <w:i/>
          <w:iCs/>
          <w:color w:val="000000" w:themeColor="text1"/>
        </w:rPr>
        <w:t>how and where the parties have collectively agreed to address the tension and trade-offs between competing interests</w:t>
      </w:r>
      <w:r w:rsidR="00314854" w:rsidRPr="6332CC80">
        <w:rPr>
          <w:rFonts w:eastAsia="Calibri" w:cs="Calibri"/>
          <w:i/>
          <w:iCs/>
          <w:color w:val="000000" w:themeColor="text1"/>
        </w:rPr>
        <w:t>.”</w:t>
      </w:r>
      <w:r w:rsidR="00314854">
        <w:br/>
      </w:r>
      <w:r w:rsidR="00314854" w:rsidRPr="6332CC80">
        <w:rPr>
          <w:rFonts w:eastAsia="Calibri" w:cs="Calibri"/>
          <w:color w:val="000000" w:themeColor="text1"/>
        </w:rPr>
        <w:t>—</w:t>
      </w:r>
      <w:r w:rsidR="00814F2E" w:rsidRPr="6332CC80">
        <w:rPr>
          <w:rFonts w:eastAsia="Calibri" w:cs="Calibri"/>
          <w:color w:val="000000" w:themeColor="text1"/>
        </w:rPr>
        <w:t xml:space="preserve"> Coleambally </w:t>
      </w:r>
      <w:r w:rsidR="00314854" w:rsidRPr="6332CC80">
        <w:rPr>
          <w:rFonts w:eastAsia="Calibri" w:cs="Calibri"/>
          <w:color w:val="000000" w:themeColor="text1"/>
        </w:rPr>
        <w:t xml:space="preserve">Irrigation </w:t>
      </w:r>
      <w:r w:rsidR="007A14B4" w:rsidRPr="6332CC80">
        <w:rPr>
          <w:rFonts w:eastAsia="Calibri" w:cs="Calibri"/>
          <w:color w:val="000000" w:themeColor="text1"/>
        </w:rPr>
        <w:t>Co-operative Ltd</w:t>
      </w:r>
      <w:r w:rsidR="00314854" w:rsidRPr="6332CC80">
        <w:rPr>
          <w:rFonts w:eastAsia="Calibri" w:cs="Calibri"/>
          <w:color w:val="000000" w:themeColor="text1"/>
        </w:rPr>
        <w:t xml:space="preserve"> (Submission </w:t>
      </w:r>
      <w:r w:rsidR="060907EF" w:rsidRPr="6332CC80">
        <w:rPr>
          <w:rFonts w:eastAsia="Calibri" w:cs="Calibri"/>
          <w:color w:val="000000" w:themeColor="text1"/>
        </w:rPr>
        <w:t>59</w:t>
      </w:r>
      <w:r w:rsidR="00314854" w:rsidRPr="6332CC80">
        <w:rPr>
          <w:rFonts w:eastAsia="Calibri" w:cs="Calibri"/>
          <w:color w:val="000000" w:themeColor="text1"/>
        </w:rPr>
        <w:t>)</w:t>
      </w:r>
    </w:p>
    <w:p w14:paraId="7D6650A6" w14:textId="0C571C32" w:rsidR="00314854" w:rsidRPr="00314854" w:rsidRDefault="00382EE8" w:rsidP="00314854">
      <w:pPr>
        <w:rPr>
          <w:rFonts w:eastAsia="Calibri" w:cs="Calibri"/>
          <w:color w:val="000000" w:themeColor="text1"/>
        </w:rPr>
      </w:pPr>
      <w:r>
        <w:rPr>
          <w:rFonts w:ascii="ZWAdobeF" w:eastAsia="Calibri" w:hAnsi="ZWAdobeF" w:cs="ZWAdobeF"/>
          <w:sz w:val="2"/>
          <w:szCs w:val="2"/>
        </w:rPr>
        <w:t>730B</w:t>
      </w:r>
      <w:r w:rsidR="00314854" w:rsidRPr="00314854">
        <w:rPr>
          <w:rFonts w:eastAsia="Calibri" w:cs="Calibri"/>
          <w:color w:val="000000" w:themeColor="text1"/>
        </w:rPr>
        <w:t>Others emphasised the need for more comprehensive reform of governance arrangements:</w:t>
      </w:r>
    </w:p>
    <w:p w14:paraId="6050E79B" w14:textId="299D2311" w:rsidR="00CC2D11" w:rsidRDefault="00382EE8" w:rsidP="00537F9C">
      <w:pPr>
        <w:jc w:val="left"/>
        <w:rPr>
          <w:rFonts w:eastAsia="Calibri" w:cs="Calibri"/>
          <w:color w:val="000000" w:themeColor="text1"/>
        </w:rPr>
      </w:pPr>
      <w:r>
        <w:rPr>
          <w:rFonts w:ascii="ZWAdobeF" w:eastAsia="Calibri" w:hAnsi="ZWAdobeF" w:cs="ZWAdobeF"/>
          <w:iCs/>
          <w:sz w:val="2"/>
          <w:szCs w:val="2"/>
        </w:rPr>
        <w:t>731B</w:t>
      </w:r>
      <w:r w:rsidR="00314854" w:rsidRPr="6332CC80">
        <w:rPr>
          <w:rFonts w:eastAsia="Calibri" w:cs="Calibri"/>
          <w:i/>
          <w:iCs/>
          <w:color w:val="000000" w:themeColor="text1"/>
        </w:rPr>
        <w:t>“Deliver best practice governance</w:t>
      </w:r>
      <w:r w:rsidR="007C7DCA" w:rsidRPr="6332CC80">
        <w:rPr>
          <w:rFonts w:eastAsia="Calibri" w:cs="Calibri"/>
          <w:i/>
          <w:iCs/>
          <w:color w:val="000000" w:themeColor="text1"/>
        </w:rPr>
        <w:t>,</w:t>
      </w:r>
      <w:r w:rsidR="00B7494B" w:rsidRPr="6332CC80">
        <w:rPr>
          <w:rFonts w:eastAsia="Calibri" w:cs="Calibri"/>
          <w:i/>
          <w:iCs/>
          <w:color w:val="000000" w:themeColor="text1"/>
        </w:rPr>
        <w:t xml:space="preserve"> [</w:t>
      </w:r>
      <w:r w:rsidR="6F505422" w:rsidRPr="6332CC80">
        <w:rPr>
          <w:rFonts w:eastAsia="Calibri" w:cs="Calibri"/>
          <w:i/>
          <w:iCs/>
          <w:color w:val="000000" w:themeColor="text1"/>
        </w:rPr>
        <w:t>and</w:t>
      </w:r>
      <w:r w:rsidR="00666EE5" w:rsidRPr="6332CC80">
        <w:rPr>
          <w:rFonts w:eastAsia="Calibri" w:cs="Calibri"/>
          <w:i/>
          <w:iCs/>
          <w:color w:val="000000" w:themeColor="text1"/>
        </w:rPr>
        <w:t>]</w:t>
      </w:r>
      <w:r w:rsidR="00314854" w:rsidRPr="6332CC80">
        <w:rPr>
          <w:rFonts w:eastAsia="Calibri" w:cs="Calibri"/>
          <w:i/>
          <w:iCs/>
          <w:color w:val="000000" w:themeColor="text1"/>
        </w:rPr>
        <w:t xml:space="preserve"> revis</w:t>
      </w:r>
      <w:r w:rsidR="2DAFFB30" w:rsidRPr="6332CC80">
        <w:rPr>
          <w:rFonts w:eastAsia="Calibri" w:cs="Calibri"/>
          <w:i/>
          <w:iCs/>
          <w:color w:val="000000" w:themeColor="text1"/>
        </w:rPr>
        <w:t>e</w:t>
      </w:r>
      <w:r w:rsidR="00314854" w:rsidRPr="6332CC80">
        <w:rPr>
          <w:rFonts w:eastAsia="Calibri" w:cs="Calibri"/>
          <w:i/>
          <w:iCs/>
          <w:color w:val="000000" w:themeColor="text1"/>
        </w:rPr>
        <w:t xml:space="preserve"> the entire Deed… </w:t>
      </w:r>
      <w:r w:rsidR="00434157" w:rsidRPr="6332CC80">
        <w:rPr>
          <w:rFonts w:eastAsia="Calibri" w:cs="Calibri"/>
          <w:i/>
          <w:iCs/>
          <w:color w:val="000000" w:themeColor="text1"/>
        </w:rPr>
        <w:t>include</w:t>
      </w:r>
      <w:r w:rsidR="00314854" w:rsidRPr="6332CC80">
        <w:rPr>
          <w:rFonts w:eastAsia="Calibri" w:cs="Calibri"/>
          <w:i/>
          <w:iCs/>
          <w:color w:val="000000" w:themeColor="text1"/>
        </w:rPr>
        <w:t xml:space="preserve"> the ACT Government… mandat</w:t>
      </w:r>
      <w:r w:rsidR="221F6E8C" w:rsidRPr="6332CC80">
        <w:rPr>
          <w:rFonts w:eastAsia="Calibri" w:cs="Calibri"/>
          <w:i/>
          <w:iCs/>
          <w:color w:val="000000" w:themeColor="text1"/>
        </w:rPr>
        <w:t>e</w:t>
      </w:r>
      <w:r w:rsidR="00314854" w:rsidRPr="6332CC80">
        <w:rPr>
          <w:rFonts w:eastAsia="Calibri" w:cs="Calibri"/>
          <w:i/>
          <w:iCs/>
          <w:color w:val="000000" w:themeColor="text1"/>
        </w:rPr>
        <w:t xml:space="preserve"> periodic review</w:t>
      </w:r>
      <w:r w:rsidR="00ED6754" w:rsidRPr="6332CC80">
        <w:rPr>
          <w:rFonts w:eastAsia="Calibri" w:cs="Calibri"/>
          <w:i/>
          <w:iCs/>
          <w:color w:val="000000" w:themeColor="text1"/>
        </w:rPr>
        <w:t xml:space="preserve">…apply </w:t>
      </w:r>
      <w:r w:rsidR="0019437F" w:rsidRPr="6332CC80">
        <w:rPr>
          <w:rFonts w:eastAsia="Calibri" w:cs="Calibri"/>
          <w:i/>
          <w:iCs/>
          <w:color w:val="000000" w:themeColor="text1"/>
        </w:rPr>
        <w:t>standard, volumetric environmental release targets for the Murrumbidgee and montane rivers..</w:t>
      </w:r>
      <w:r w:rsidR="081DF22B" w:rsidRPr="6332CC80">
        <w:rPr>
          <w:rFonts w:eastAsia="Calibri" w:cs="Calibri"/>
          <w:i/>
          <w:iCs/>
          <w:color w:val="000000" w:themeColor="text1"/>
        </w:rPr>
        <w:t>.</w:t>
      </w:r>
      <w:r w:rsidR="00A6015E" w:rsidRPr="6332CC80">
        <w:rPr>
          <w:rFonts w:eastAsia="Calibri" w:cs="Calibri"/>
          <w:i/>
          <w:iCs/>
          <w:color w:val="000000" w:themeColor="text1"/>
        </w:rPr>
        <w:t>requir</w:t>
      </w:r>
      <w:r w:rsidR="12B9C893" w:rsidRPr="6332CC80">
        <w:rPr>
          <w:rFonts w:eastAsia="Calibri" w:cs="Calibri"/>
          <w:i/>
          <w:iCs/>
          <w:color w:val="000000" w:themeColor="text1"/>
        </w:rPr>
        <w:t>e</w:t>
      </w:r>
      <w:r w:rsidR="00A6015E" w:rsidRPr="6332CC80">
        <w:rPr>
          <w:rFonts w:eastAsia="Calibri" w:cs="Calibri"/>
          <w:i/>
          <w:iCs/>
          <w:color w:val="000000" w:themeColor="text1"/>
        </w:rPr>
        <w:t xml:space="preserve"> the water user (Snowy Hydro) to pay</w:t>
      </w:r>
      <w:r w:rsidR="00D606C7" w:rsidRPr="6332CC80">
        <w:rPr>
          <w:rFonts w:eastAsia="Calibri" w:cs="Calibri"/>
          <w:i/>
          <w:iCs/>
          <w:color w:val="000000" w:themeColor="text1"/>
        </w:rPr>
        <w:t>.</w:t>
      </w:r>
      <w:r w:rsidR="00401036" w:rsidRPr="6332CC80">
        <w:rPr>
          <w:rFonts w:eastAsia="Calibri" w:cs="Calibri"/>
          <w:i/>
          <w:iCs/>
          <w:color w:val="000000" w:themeColor="text1"/>
        </w:rPr>
        <w:t>..improv</w:t>
      </w:r>
      <w:r w:rsidR="7B570CCE" w:rsidRPr="6332CC80">
        <w:rPr>
          <w:rFonts w:eastAsia="Calibri" w:cs="Calibri"/>
          <w:i/>
          <w:iCs/>
          <w:color w:val="000000" w:themeColor="text1"/>
        </w:rPr>
        <w:t>e</w:t>
      </w:r>
      <w:r w:rsidR="00401036" w:rsidRPr="6332CC80">
        <w:rPr>
          <w:rFonts w:eastAsia="Calibri" w:cs="Calibri"/>
          <w:i/>
          <w:iCs/>
          <w:color w:val="000000" w:themeColor="text1"/>
        </w:rPr>
        <w:t xml:space="preserve"> governance of the Snowy Water Licence</w:t>
      </w:r>
      <w:r w:rsidR="001948E2" w:rsidRPr="6332CC80">
        <w:rPr>
          <w:rFonts w:eastAsia="Calibri" w:cs="Calibri"/>
          <w:i/>
          <w:iCs/>
          <w:color w:val="000000" w:themeColor="text1"/>
        </w:rPr>
        <w:t xml:space="preserve">…reconsider the current </w:t>
      </w:r>
      <w:r w:rsidR="007C7DCA" w:rsidRPr="6332CC80">
        <w:rPr>
          <w:rFonts w:eastAsia="Calibri" w:cs="Calibri"/>
          <w:i/>
          <w:iCs/>
          <w:color w:val="000000" w:themeColor="text1"/>
        </w:rPr>
        <w:t>exemption</w:t>
      </w:r>
      <w:r w:rsidR="001948E2" w:rsidRPr="6332CC80">
        <w:rPr>
          <w:rFonts w:eastAsia="Calibri" w:cs="Calibri"/>
          <w:i/>
          <w:iCs/>
          <w:color w:val="000000" w:themeColor="text1"/>
        </w:rPr>
        <w:t xml:space="preserve"> of the Deed and Snowy </w:t>
      </w:r>
      <w:r w:rsidR="005820B9" w:rsidRPr="6332CC80">
        <w:rPr>
          <w:rFonts w:eastAsia="Calibri" w:cs="Calibri"/>
          <w:i/>
          <w:iCs/>
          <w:color w:val="000000" w:themeColor="text1"/>
        </w:rPr>
        <w:t>W</w:t>
      </w:r>
      <w:r w:rsidR="001948E2" w:rsidRPr="6332CC80">
        <w:rPr>
          <w:rFonts w:eastAsia="Calibri" w:cs="Calibri"/>
          <w:i/>
          <w:iCs/>
          <w:color w:val="000000" w:themeColor="text1"/>
        </w:rPr>
        <w:t>ater Licence from the provisions under the Commonwealth Water Act</w:t>
      </w:r>
      <w:r w:rsidR="00AF1200" w:rsidRPr="6332CC80">
        <w:rPr>
          <w:rFonts w:eastAsia="Calibri" w:cs="Calibri"/>
          <w:i/>
          <w:iCs/>
          <w:color w:val="000000" w:themeColor="text1"/>
        </w:rPr>
        <w:t>…[and] consider</w:t>
      </w:r>
      <w:r w:rsidR="0067454A" w:rsidRPr="6332CC80">
        <w:rPr>
          <w:rFonts w:eastAsia="Calibri" w:cs="Calibri"/>
          <w:i/>
          <w:iCs/>
          <w:color w:val="000000" w:themeColor="text1"/>
        </w:rPr>
        <w:t xml:space="preserve"> expanding the role of the Inspector General of Water Compliance to cover montane rivers</w:t>
      </w:r>
      <w:r w:rsidR="00314854" w:rsidRPr="6332CC80">
        <w:rPr>
          <w:rFonts w:eastAsia="Calibri" w:cs="Calibri"/>
          <w:i/>
          <w:iCs/>
          <w:color w:val="000000" w:themeColor="text1"/>
        </w:rPr>
        <w:t>.”</w:t>
      </w:r>
      <w:r w:rsidR="00314854">
        <w:br/>
      </w:r>
      <w:r w:rsidR="00314854" w:rsidRPr="6332CC80">
        <w:rPr>
          <w:rFonts w:eastAsia="Calibri" w:cs="Calibri"/>
          <w:color w:val="000000" w:themeColor="text1"/>
        </w:rPr>
        <w:t xml:space="preserve">— Prof Jamie Pittock &amp; </w:t>
      </w:r>
      <w:r w:rsidR="54883B1C" w:rsidRPr="6332CC80">
        <w:rPr>
          <w:rFonts w:eastAsia="Calibri" w:cs="Calibri"/>
          <w:color w:val="000000" w:themeColor="text1"/>
        </w:rPr>
        <w:t xml:space="preserve">Ms </w:t>
      </w:r>
      <w:r w:rsidR="00314854" w:rsidRPr="6332CC80">
        <w:rPr>
          <w:rFonts w:eastAsia="Calibri" w:cs="Calibri"/>
          <w:color w:val="000000" w:themeColor="text1"/>
        </w:rPr>
        <w:t>Anna McGuire (Submission 130)</w:t>
      </w:r>
    </w:p>
    <w:p w14:paraId="0719F82E" w14:textId="1F5561FE" w:rsidR="00314854" w:rsidRPr="00314854" w:rsidRDefault="00382EE8" w:rsidP="00314854">
      <w:pPr>
        <w:rPr>
          <w:rFonts w:eastAsia="Calibri" w:cs="Calibri"/>
          <w:color w:val="000000" w:themeColor="text1"/>
        </w:rPr>
      </w:pPr>
      <w:r>
        <w:rPr>
          <w:rFonts w:ascii="ZWAdobeF" w:eastAsia="Calibri" w:hAnsi="ZWAdobeF" w:cs="ZWAdobeF"/>
          <w:sz w:val="2"/>
          <w:szCs w:val="2"/>
        </w:rPr>
        <w:lastRenderedPageBreak/>
        <w:t>732B</w:t>
      </w:r>
      <w:r w:rsidR="00314854" w:rsidRPr="00314854">
        <w:rPr>
          <w:rFonts w:eastAsia="Calibri" w:cs="Calibri"/>
          <w:color w:val="000000" w:themeColor="text1"/>
        </w:rPr>
        <w:t xml:space="preserve">However, </w:t>
      </w:r>
      <w:r w:rsidR="004E7DCC">
        <w:rPr>
          <w:rFonts w:eastAsia="Calibri" w:cs="Calibri"/>
          <w:color w:val="000000" w:themeColor="text1"/>
        </w:rPr>
        <w:t>s</w:t>
      </w:r>
      <w:r w:rsidR="00314854" w:rsidRPr="00314854">
        <w:rPr>
          <w:rFonts w:eastAsia="Calibri" w:cs="Calibri"/>
          <w:color w:val="000000" w:themeColor="text1"/>
        </w:rPr>
        <w:t>ome also cautioned against expanding the scope of the Deed:</w:t>
      </w:r>
    </w:p>
    <w:p w14:paraId="0A52BBF4" w14:textId="143DBBAC" w:rsidR="00314854" w:rsidRDefault="00382EE8" w:rsidP="4200CB10">
      <w:pPr>
        <w:jc w:val="left"/>
        <w:rPr>
          <w:rFonts w:eastAsia="Calibri" w:cs="Calibri"/>
          <w:color w:val="000000" w:themeColor="text1"/>
        </w:rPr>
      </w:pPr>
      <w:r>
        <w:rPr>
          <w:rFonts w:ascii="ZWAdobeF" w:eastAsia="Calibri" w:hAnsi="ZWAdobeF" w:cs="ZWAdobeF"/>
          <w:iCs/>
          <w:sz w:val="2"/>
          <w:szCs w:val="2"/>
        </w:rPr>
        <w:t>733B</w:t>
      </w:r>
      <w:r w:rsidR="00314854" w:rsidRPr="00314854">
        <w:rPr>
          <w:rFonts w:eastAsia="Calibri" w:cs="Calibri"/>
          <w:i/>
          <w:iCs/>
          <w:color w:val="000000" w:themeColor="text1"/>
        </w:rPr>
        <w:t>“The Deed is not the appropriate mechanism to underwrite critical human needs</w:t>
      </w:r>
      <w:r w:rsidR="008A04E8">
        <w:rPr>
          <w:rFonts w:eastAsia="Calibri" w:cs="Calibri"/>
          <w:i/>
          <w:iCs/>
          <w:color w:val="000000" w:themeColor="text1"/>
        </w:rPr>
        <w:t xml:space="preserve"> </w:t>
      </w:r>
      <w:r w:rsidR="00850BF1">
        <w:rPr>
          <w:rFonts w:eastAsia="Calibri" w:cs="Calibri"/>
          <w:i/>
          <w:iCs/>
          <w:color w:val="000000" w:themeColor="text1"/>
        </w:rPr>
        <w:t xml:space="preserve">which are the responsibility of State and Territory </w:t>
      </w:r>
      <w:r w:rsidR="00706E06">
        <w:rPr>
          <w:rFonts w:eastAsia="Calibri" w:cs="Calibri"/>
          <w:i/>
          <w:iCs/>
          <w:color w:val="000000" w:themeColor="text1"/>
        </w:rPr>
        <w:t>governments and are covered in part in the Murray Darling Basin Plan</w:t>
      </w:r>
      <w:r w:rsidR="008A04E8">
        <w:rPr>
          <w:rFonts w:eastAsia="Calibri" w:cs="Calibri"/>
          <w:i/>
          <w:iCs/>
          <w:color w:val="000000" w:themeColor="text1"/>
        </w:rPr>
        <w:t xml:space="preserve"> which is also currently being reviewed.</w:t>
      </w:r>
      <w:r w:rsidR="00314854" w:rsidRPr="00314854">
        <w:rPr>
          <w:rFonts w:eastAsia="Calibri" w:cs="Calibri"/>
          <w:i/>
          <w:iCs/>
          <w:color w:val="000000" w:themeColor="text1"/>
        </w:rPr>
        <w:t>”</w:t>
      </w:r>
      <w:r w:rsidR="00314854">
        <w:br/>
      </w:r>
      <w:r w:rsidR="00314854" w:rsidRPr="00314854">
        <w:rPr>
          <w:rFonts w:eastAsia="Calibri" w:cs="Calibri"/>
          <w:color w:val="000000" w:themeColor="text1"/>
        </w:rPr>
        <w:t>— Ricegrowers’ Association of Australia (Submission 144)</w:t>
      </w:r>
    </w:p>
    <w:p w14:paraId="7DA43A6B" w14:textId="4114A63B" w:rsidR="009E59F9" w:rsidRDefault="009E59F9" w:rsidP="009E59F9">
      <w:pPr>
        <w:pStyle w:val="Sub-Heading"/>
        <w:rPr>
          <w:rFonts w:eastAsia="Calibri"/>
        </w:rPr>
      </w:pPr>
      <w:r>
        <w:rPr>
          <w:rFonts w:eastAsia="Calibri"/>
        </w:rPr>
        <w:t>Transparency and accountability</w:t>
      </w:r>
    </w:p>
    <w:p w14:paraId="23887806" w14:textId="18AF32D4" w:rsidR="000A20B4" w:rsidRPr="000A20B4" w:rsidRDefault="00382EE8" w:rsidP="000A20B4">
      <w:pPr>
        <w:rPr>
          <w:rFonts w:eastAsia="Calibri" w:cs="Calibri"/>
          <w:color w:val="000000" w:themeColor="text1"/>
        </w:rPr>
      </w:pPr>
      <w:r>
        <w:rPr>
          <w:rFonts w:ascii="ZWAdobeF" w:eastAsia="Calibri" w:hAnsi="ZWAdobeF" w:cs="ZWAdobeF"/>
          <w:sz w:val="2"/>
          <w:szCs w:val="2"/>
        </w:rPr>
        <w:t>734B</w:t>
      </w:r>
      <w:r w:rsidR="000A20B4" w:rsidRPr="000A20B4">
        <w:rPr>
          <w:rFonts w:eastAsia="Calibri" w:cs="Calibri"/>
          <w:color w:val="000000" w:themeColor="text1"/>
        </w:rPr>
        <w:t>A number of stakeholders highlighted concerns regarding transparency in decision-making and the need for clearer accountability mechanisms</w:t>
      </w:r>
      <w:r w:rsidR="009C413C">
        <w:rPr>
          <w:rFonts w:eastAsia="Calibri" w:cs="Calibri"/>
          <w:color w:val="000000" w:themeColor="text1"/>
        </w:rPr>
        <w:t>:</w:t>
      </w:r>
    </w:p>
    <w:p w14:paraId="45714762" w14:textId="6C948495" w:rsidR="000A20B4" w:rsidRPr="000A20B4" w:rsidRDefault="00382EE8" w:rsidP="009C413C">
      <w:pPr>
        <w:jc w:val="left"/>
        <w:rPr>
          <w:rFonts w:eastAsia="Calibri" w:cs="Calibri"/>
          <w:color w:val="000000" w:themeColor="text1"/>
        </w:rPr>
      </w:pPr>
      <w:r>
        <w:rPr>
          <w:rFonts w:ascii="ZWAdobeF" w:eastAsia="Calibri" w:hAnsi="ZWAdobeF" w:cs="ZWAdobeF"/>
          <w:iCs/>
          <w:sz w:val="2"/>
          <w:szCs w:val="2"/>
        </w:rPr>
        <w:t>735B</w:t>
      </w:r>
      <w:r w:rsidR="000A20B4" w:rsidRPr="000A20B4">
        <w:rPr>
          <w:rFonts w:eastAsia="Calibri" w:cs="Calibri"/>
          <w:i/>
          <w:iCs/>
          <w:color w:val="000000" w:themeColor="text1"/>
        </w:rPr>
        <w:t>“</w:t>
      </w:r>
      <w:r w:rsidR="008D689C">
        <w:rPr>
          <w:rFonts w:eastAsia="Calibri" w:cs="Calibri"/>
          <w:i/>
          <w:iCs/>
          <w:color w:val="000000" w:themeColor="text1"/>
        </w:rPr>
        <w:t>[The Council</w:t>
      </w:r>
      <w:r w:rsidR="008E27DE">
        <w:rPr>
          <w:rFonts w:eastAsia="Calibri" w:cs="Calibri"/>
          <w:i/>
          <w:iCs/>
          <w:color w:val="000000" w:themeColor="text1"/>
        </w:rPr>
        <w:t xml:space="preserve"> recommends</w:t>
      </w:r>
      <w:r w:rsidR="0047116D">
        <w:rPr>
          <w:rFonts w:eastAsia="Calibri" w:cs="Calibri"/>
          <w:i/>
          <w:iCs/>
          <w:color w:val="000000" w:themeColor="text1"/>
        </w:rPr>
        <w:t xml:space="preserve"> that new arrangements</w:t>
      </w:r>
      <w:r w:rsidR="008E27DE">
        <w:rPr>
          <w:rFonts w:eastAsia="Calibri" w:cs="Calibri"/>
          <w:i/>
          <w:iCs/>
          <w:color w:val="000000" w:themeColor="text1"/>
        </w:rPr>
        <w:t xml:space="preserve">] </w:t>
      </w:r>
      <w:r w:rsidR="0047116D">
        <w:rPr>
          <w:rFonts w:eastAsia="Calibri" w:cs="Calibri"/>
          <w:i/>
          <w:iCs/>
          <w:color w:val="000000" w:themeColor="text1"/>
        </w:rPr>
        <w:t>r</w:t>
      </w:r>
      <w:r w:rsidR="000A20B4" w:rsidRPr="000A20B4">
        <w:rPr>
          <w:rFonts w:eastAsia="Calibri" w:cs="Calibri"/>
          <w:i/>
          <w:iCs/>
          <w:color w:val="000000" w:themeColor="text1"/>
        </w:rPr>
        <w:t>equire regular, transparent public reporting of release decisions, trade-off processes, and environmental outcomes.”</w:t>
      </w:r>
      <w:r w:rsidR="000A20B4" w:rsidRPr="000A20B4">
        <w:rPr>
          <w:rFonts w:cs="Calibri"/>
        </w:rPr>
        <w:br/>
      </w:r>
      <w:r w:rsidR="000A20B4" w:rsidRPr="000A20B4">
        <w:rPr>
          <w:rFonts w:eastAsia="Calibri" w:cs="Calibri"/>
          <w:color w:val="000000" w:themeColor="text1"/>
        </w:rPr>
        <w:t>— Snowy Monaro Regional Council (Submission 150)</w:t>
      </w:r>
    </w:p>
    <w:p w14:paraId="25CC6633" w14:textId="30F2C5A1" w:rsidR="000A20B4" w:rsidRPr="000A20B4" w:rsidRDefault="00382EE8" w:rsidP="000A20B4">
      <w:pPr>
        <w:rPr>
          <w:rFonts w:eastAsia="Calibri" w:cs="Calibri"/>
          <w:color w:val="000000" w:themeColor="text1"/>
        </w:rPr>
      </w:pPr>
      <w:r>
        <w:rPr>
          <w:rFonts w:ascii="ZWAdobeF" w:eastAsia="Calibri" w:hAnsi="ZWAdobeF" w:cs="ZWAdobeF"/>
          <w:iCs/>
          <w:sz w:val="2"/>
          <w:szCs w:val="2"/>
        </w:rPr>
        <w:t>736B</w:t>
      </w:r>
      <w:r w:rsidR="000A20B4" w:rsidRPr="000A20B4">
        <w:rPr>
          <w:rFonts w:eastAsia="Calibri" w:cs="Calibri"/>
          <w:i/>
          <w:iCs/>
          <w:color w:val="000000" w:themeColor="text1"/>
        </w:rPr>
        <w:t>“The Deed itself lacks transparency, and the lack of transparency continues through operational decisions.”</w:t>
      </w:r>
      <w:r w:rsidR="000A20B4" w:rsidRPr="000A20B4">
        <w:rPr>
          <w:rFonts w:cs="Calibri"/>
        </w:rPr>
        <w:br/>
      </w:r>
      <w:r w:rsidR="000A20B4" w:rsidRPr="000A20B4">
        <w:rPr>
          <w:rFonts w:eastAsia="Calibri" w:cs="Calibri"/>
          <w:color w:val="000000" w:themeColor="text1"/>
        </w:rPr>
        <w:t>— Senator David Pocock (Submission 121)</w:t>
      </w:r>
    </w:p>
    <w:p w14:paraId="2D798613" w14:textId="483EEC0F" w:rsidR="000A20B4" w:rsidRPr="000A20B4" w:rsidRDefault="00382EE8" w:rsidP="000A20B4">
      <w:pPr>
        <w:rPr>
          <w:rFonts w:eastAsia="Calibri" w:cs="Calibri"/>
          <w:color w:val="000000" w:themeColor="text1"/>
        </w:rPr>
      </w:pPr>
      <w:r>
        <w:rPr>
          <w:rFonts w:ascii="ZWAdobeF" w:eastAsia="Calibri" w:hAnsi="ZWAdobeF" w:cs="ZWAdobeF"/>
          <w:sz w:val="2"/>
          <w:szCs w:val="2"/>
        </w:rPr>
        <w:t>737B</w:t>
      </w:r>
      <w:r w:rsidR="000A20B4" w:rsidRPr="000A20B4">
        <w:rPr>
          <w:rFonts w:eastAsia="Calibri" w:cs="Calibri"/>
          <w:color w:val="000000" w:themeColor="text1"/>
        </w:rPr>
        <w:t>Concerns were also raised regarding the integrity of the data and assumptions underpinning the framework:</w:t>
      </w:r>
    </w:p>
    <w:p w14:paraId="04A1051D" w14:textId="697BAA3E" w:rsidR="00C2413B" w:rsidRPr="00F41BA6" w:rsidRDefault="00382EE8" w:rsidP="00C2413B">
      <w:pPr>
        <w:rPr>
          <w:rFonts w:eastAsia="Calibri" w:cs="Calibri"/>
          <w:color w:val="000000" w:themeColor="text1"/>
        </w:rPr>
      </w:pPr>
      <w:r>
        <w:rPr>
          <w:rFonts w:ascii="ZWAdobeF" w:eastAsia="Calibri" w:hAnsi="ZWAdobeF" w:cs="ZWAdobeF"/>
          <w:iCs/>
          <w:sz w:val="2"/>
          <w:szCs w:val="2"/>
        </w:rPr>
        <w:t>738B</w:t>
      </w:r>
      <w:r w:rsidR="000A20B4" w:rsidRPr="000A20B4">
        <w:rPr>
          <w:rFonts w:eastAsia="Calibri" w:cs="Calibri"/>
          <w:i/>
          <w:iCs/>
          <w:color w:val="000000" w:themeColor="text1"/>
        </w:rPr>
        <w:t>“It is becoming apparent that none of the figures on which the Deed is based have been correctly applied.”</w:t>
      </w:r>
      <w:r w:rsidR="000A20B4">
        <w:br/>
      </w:r>
      <w:r w:rsidR="000A20B4" w:rsidRPr="000A20B4">
        <w:rPr>
          <w:rFonts w:eastAsia="Calibri" w:cs="Calibri"/>
          <w:color w:val="000000" w:themeColor="text1"/>
        </w:rPr>
        <w:t>— Snowy River Alliance (Submission 148)</w:t>
      </w:r>
    </w:p>
    <w:p w14:paraId="4BC3DE46" w14:textId="1606F8E2" w:rsidR="00F024CB" w:rsidRPr="00E61898" w:rsidRDefault="000A20B4" w:rsidP="000A20B4">
      <w:pPr>
        <w:pStyle w:val="Sub-Heading"/>
      </w:pPr>
      <w:r>
        <w:rPr>
          <w:rFonts w:eastAsia="Calibri"/>
        </w:rPr>
        <w:t>Adaptive management and flexibility</w:t>
      </w:r>
    </w:p>
    <w:p w14:paraId="31AEA464" w14:textId="32CC7A46" w:rsidR="00335600" w:rsidRPr="00335600" w:rsidRDefault="00382EE8" w:rsidP="00335600">
      <w:pPr>
        <w:rPr>
          <w:rFonts w:eastAsia="Calibri" w:cs="Calibri"/>
          <w:color w:val="000000" w:themeColor="text1"/>
        </w:rPr>
      </w:pPr>
      <w:r>
        <w:rPr>
          <w:rFonts w:ascii="ZWAdobeF" w:eastAsia="Calibri" w:hAnsi="ZWAdobeF" w:cs="ZWAdobeF"/>
          <w:sz w:val="2"/>
          <w:szCs w:val="2"/>
        </w:rPr>
        <w:t>739B</w:t>
      </w:r>
      <w:r w:rsidR="00335600" w:rsidRPr="00335600">
        <w:rPr>
          <w:rFonts w:eastAsia="Calibri" w:cs="Calibri"/>
          <w:color w:val="000000" w:themeColor="text1"/>
        </w:rPr>
        <w:t>Stakeholders emphasised the need for more adaptive and responsive governance arrangements</w:t>
      </w:r>
      <w:r w:rsidR="0026469D">
        <w:rPr>
          <w:rFonts w:eastAsia="Calibri" w:cs="Calibri"/>
          <w:color w:val="000000" w:themeColor="text1"/>
        </w:rPr>
        <w:t>:</w:t>
      </w:r>
    </w:p>
    <w:p w14:paraId="13E556D7" w14:textId="68702F1E" w:rsidR="00335600" w:rsidRPr="00335600" w:rsidRDefault="00382EE8" w:rsidP="4200CB10">
      <w:pPr>
        <w:jc w:val="left"/>
        <w:rPr>
          <w:rFonts w:eastAsia="Calibri" w:cs="Calibri"/>
          <w:color w:val="000000" w:themeColor="text1"/>
        </w:rPr>
      </w:pPr>
      <w:r>
        <w:rPr>
          <w:rFonts w:ascii="ZWAdobeF" w:eastAsia="Calibri" w:hAnsi="ZWAdobeF" w:cs="ZWAdobeF"/>
          <w:iCs/>
          <w:sz w:val="2"/>
          <w:szCs w:val="2"/>
        </w:rPr>
        <w:t>740B</w:t>
      </w:r>
      <w:r w:rsidR="00335600" w:rsidRPr="6332CC80">
        <w:rPr>
          <w:rFonts w:eastAsia="Calibri" w:cs="Calibri"/>
          <w:i/>
          <w:iCs/>
          <w:color w:val="000000" w:themeColor="text1"/>
        </w:rPr>
        <w:t>“Improving the health</w:t>
      </w:r>
      <w:r w:rsidR="004C061B" w:rsidRPr="6332CC80">
        <w:rPr>
          <w:rFonts w:eastAsia="Calibri" w:cs="Calibri"/>
          <w:i/>
          <w:iCs/>
          <w:color w:val="000000" w:themeColor="text1"/>
        </w:rPr>
        <w:t xml:space="preserve"> of the upper Murrumbidgee River</w:t>
      </w:r>
      <w:r w:rsidR="00335600" w:rsidRPr="6332CC80">
        <w:rPr>
          <w:rFonts w:eastAsia="Calibri" w:cs="Calibri"/>
          <w:i/>
          <w:iCs/>
          <w:color w:val="000000" w:themeColor="text1"/>
        </w:rPr>
        <w:t>… cannot be achieved with a ‘set and forget’ management approach.”</w:t>
      </w:r>
      <w:r w:rsidR="00335600">
        <w:br/>
      </w:r>
      <w:r w:rsidR="00335600" w:rsidRPr="0066205A">
        <w:rPr>
          <w:rFonts w:eastAsia="Calibri" w:cs="Calibri"/>
          <w:color w:val="000000" w:themeColor="text1"/>
        </w:rPr>
        <w:t>— ACT Review Consultation Group member</w:t>
      </w:r>
      <w:r w:rsidR="38FDCFA1" w:rsidRPr="0066205A">
        <w:rPr>
          <w:rFonts w:eastAsia="Calibri" w:cs="Calibri"/>
          <w:color w:val="000000" w:themeColor="text1"/>
        </w:rPr>
        <w:t>s</w:t>
      </w:r>
      <w:r w:rsidR="00335600" w:rsidRPr="0066205A">
        <w:rPr>
          <w:rFonts w:eastAsia="Calibri" w:cs="Calibri"/>
          <w:color w:val="000000" w:themeColor="text1"/>
        </w:rPr>
        <w:t xml:space="preserve"> (Submission 140)</w:t>
      </w:r>
    </w:p>
    <w:p w14:paraId="604126A8" w14:textId="67BA12CD" w:rsidR="00335600" w:rsidRPr="00335600" w:rsidRDefault="00382EE8" w:rsidP="00335600">
      <w:pPr>
        <w:rPr>
          <w:rFonts w:eastAsia="Calibri" w:cs="Calibri"/>
          <w:color w:val="000000" w:themeColor="text1"/>
        </w:rPr>
      </w:pPr>
      <w:r>
        <w:rPr>
          <w:rFonts w:ascii="ZWAdobeF" w:eastAsia="Calibri" w:hAnsi="ZWAdobeF" w:cs="ZWAdobeF"/>
          <w:sz w:val="2"/>
          <w:szCs w:val="2"/>
        </w:rPr>
        <w:t>741B</w:t>
      </w:r>
      <w:r w:rsidR="31A5DF50" w:rsidRPr="7C9D5F02">
        <w:rPr>
          <w:rFonts w:eastAsia="Calibri" w:cs="Calibri"/>
          <w:color w:val="000000" w:themeColor="text1"/>
        </w:rPr>
        <w:t>S</w:t>
      </w:r>
      <w:r w:rsidR="00335600" w:rsidRPr="7C9D5F02">
        <w:rPr>
          <w:rFonts w:eastAsia="Calibri" w:cs="Calibri"/>
          <w:color w:val="000000" w:themeColor="text1"/>
        </w:rPr>
        <w:t>ome</w:t>
      </w:r>
      <w:r w:rsidR="00335600" w:rsidRPr="00335600">
        <w:rPr>
          <w:rFonts w:eastAsia="Calibri" w:cs="Calibri"/>
          <w:color w:val="000000" w:themeColor="text1"/>
        </w:rPr>
        <w:t xml:space="preserve"> submissions noted that changes to operational arrangements may be constrained by broader system considerations, including infrastructure and reliability requirements.</w:t>
      </w:r>
    </w:p>
    <w:p w14:paraId="3E74EFD8" w14:textId="3124B17F" w:rsidR="00335600" w:rsidRDefault="00382EE8" w:rsidP="4200CB10">
      <w:pPr>
        <w:jc w:val="left"/>
        <w:rPr>
          <w:rFonts w:eastAsia="Calibri" w:cs="Calibri"/>
          <w:color w:val="000000" w:themeColor="text1"/>
        </w:rPr>
      </w:pPr>
      <w:r>
        <w:rPr>
          <w:rFonts w:ascii="ZWAdobeF" w:eastAsia="Calibri" w:hAnsi="ZWAdobeF" w:cs="ZWAdobeF"/>
          <w:iCs/>
          <w:sz w:val="2"/>
          <w:szCs w:val="2"/>
        </w:rPr>
        <w:t>742B</w:t>
      </w:r>
      <w:r w:rsidR="00335600" w:rsidRPr="00335600">
        <w:rPr>
          <w:rFonts w:eastAsia="Calibri" w:cs="Calibri"/>
          <w:i/>
          <w:iCs/>
          <w:color w:val="000000" w:themeColor="text1"/>
        </w:rPr>
        <w:t>“</w:t>
      </w:r>
      <w:r w:rsidR="002C2D17">
        <w:rPr>
          <w:rFonts w:eastAsia="Calibri" w:cs="Calibri"/>
          <w:i/>
          <w:iCs/>
          <w:color w:val="000000" w:themeColor="text1"/>
        </w:rPr>
        <w:t xml:space="preserve">…physical attributes [of </w:t>
      </w:r>
      <w:r w:rsidR="00F36D3D">
        <w:rPr>
          <w:rFonts w:eastAsia="Calibri" w:cs="Calibri"/>
          <w:i/>
          <w:iCs/>
          <w:color w:val="000000" w:themeColor="text1"/>
        </w:rPr>
        <w:t>the</w:t>
      </w:r>
      <w:r w:rsidR="002C2D17">
        <w:rPr>
          <w:rFonts w:eastAsia="Calibri" w:cs="Calibri"/>
          <w:i/>
          <w:iCs/>
          <w:color w:val="000000" w:themeColor="text1"/>
        </w:rPr>
        <w:t xml:space="preserve"> Tantangara Dam</w:t>
      </w:r>
      <w:r w:rsidR="00F36D3D">
        <w:rPr>
          <w:rFonts w:eastAsia="Calibri" w:cs="Calibri"/>
          <w:i/>
          <w:iCs/>
          <w:color w:val="000000" w:themeColor="text1"/>
        </w:rPr>
        <w:t xml:space="preserve"> outlet</w:t>
      </w:r>
      <w:r w:rsidR="002C2D17">
        <w:rPr>
          <w:rFonts w:eastAsia="Calibri" w:cs="Calibri"/>
          <w:i/>
          <w:iCs/>
          <w:color w:val="000000" w:themeColor="text1"/>
        </w:rPr>
        <w:t xml:space="preserve">] </w:t>
      </w:r>
      <w:r w:rsidR="00F15EC7">
        <w:rPr>
          <w:rFonts w:eastAsia="Calibri" w:cs="Calibri"/>
          <w:i/>
          <w:iCs/>
          <w:color w:val="000000" w:themeColor="text1"/>
        </w:rPr>
        <w:t xml:space="preserve">currently do not allow for the maximum </w:t>
      </w:r>
      <w:r w:rsidR="008A6CBF">
        <w:rPr>
          <w:rFonts w:eastAsia="Calibri" w:cs="Calibri"/>
          <w:i/>
          <w:iCs/>
          <w:color w:val="000000" w:themeColor="text1"/>
        </w:rPr>
        <w:t xml:space="preserve">utilisation of water available </w:t>
      </w:r>
      <w:r w:rsidR="00FE51E9">
        <w:rPr>
          <w:rFonts w:eastAsia="Calibri" w:cs="Calibri"/>
          <w:i/>
          <w:iCs/>
          <w:color w:val="000000" w:themeColor="text1"/>
        </w:rPr>
        <w:t xml:space="preserve">to the upper Murrumbidgee and </w:t>
      </w:r>
      <w:r w:rsidR="000A02B0">
        <w:rPr>
          <w:rFonts w:eastAsia="Calibri" w:cs="Calibri"/>
          <w:i/>
          <w:iCs/>
          <w:color w:val="000000" w:themeColor="text1"/>
        </w:rPr>
        <w:t>limit the opportunity for adaptive management.”</w:t>
      </w:r>
      <w:r w:rsidR="00335600" w:rsidRPr="00335600">
        <w:rPr>
          <w:rFonts w:eastAsia="Calibri" w:cs="Calibri"/>
          <w:color w:val="000000" w:themeColor="text1"/>
        </w:rPr>
        <w:t xml:space="preserve"> </w:t>
      </w:r>
      <w:r w:rsidR="00335600">
        <w:br/>
      </w:r>
      <w:r w:rsidR="00335600" w:rsidRPr="00335600">
        <w:rPr>
          <w:rFonts w:eastAsia="Calibri" w:cs="Calibri"/>
          <w:color w:val="000000" w:themeColor="text1"/>
        </w:rPr>
        <w:t>— Snowy Hydro (Submission 127)</w:t>
      </w:r>
    </w:p>
    <w:p w14:paraId="64FAC090" w14:textId="49C8EBDB" w:rsidR="00335600" w:rsidRDefault="00335600" w:rsidP="00335600">
      <w:pPr>
        <w:pStyle w:val="Sub-Heading"/>
        <w:rPr>
          <w:rFonts w:eastAsia="Calibri"/>
        </w:rPr>
      </w:pPr>
      <w:r>
        <w:rPr>
          <w:rFonts w:eastAsia="Calibri"/>
        </w:rPr>
        <w:t>Coordination, inclusion and participation</w:t>
      </w:r>
    </w:p>
    <w:p w14:paraId="7136E2AE" w14:textId="0FE7228A" w:rsidR="003F74D6" w:rsidRPr="003F74D6" w:rsidRDefault="00382EE8" w:rsidP="003F74D6">
      <w:pPr>
        <w:rPr>
          <w:rFonts w:eastAsia="Calibri" w:cs="Calibri"/>
          <w:color w:val="000000" w:themeColor="text1"/>
        </w:rPr>
      </w:pPr>
      <w:r>
        <w:rPr>
          <w:rFonts w:ascii="ZWAdobeF" w:eastAsia="Calibri" w:hAnsi="ZWAdobeF" w:cs="ZWAdobeF"/>
          <w:sz w:val="2"/>
          <w:szCs w:val="2"/>
        </w:rPr>
        <w:t>743B</w:t>
      </w:r>
      <w:r w:rsidR="003F74D6" w:rsidRPr="003F74D6">
        <w:rPr>
          <w:rFonts w:eastAsia="Calibri" w:cs="Calibri"/>
          <w:color w:val="000000" w:themeColor="text1"/>
        </w:rPr>
        <w:t>Submissions highlighted limitations in current arrangements in reflecting the full range of affected jurisdictions and stakeholders</w:t>
      </w:r>
      <w:r w:rsidR="001F42EC">
        <w:rPr>
          <w:rFonts w:eastAsia="Calibri" w:cs="Calibri"/>
          <w:color w:val="000000" w:themeColor="text1"/>
        </w:rPr>
        <w:t>:</w:t>
      </w:r>
    </w:p>
    <w:p w14:paraId="61A33401" w14:textId="4DD8C414" w:rsidR="003F74D6" w:rsidRPr="003F74D6" w:rsidRDefault="00382EE8" w:rsidP="00C01862">
      <w:pPr>
        <w:jc w:val="left"/>
        <w:rPr>
          <w:rFonts w:eastAsia="Calibri" w:cs="Calibri"/>
          <w:color w:val="000000" w:themeColor="text1"/>
        </w:rPr>
      </w:pPr>
      <w:r>
        <w:rPr>
          <w:rFonts w:ascii="ZWAdobeF" w:eastAsia="Calibri" w:hAnsi="ZWAdobeF" w:cs="ZWAdobeF"/>
          <w:iCs/>
          <w:sz w:val="2"/>
          <w:szCs w:val="2"/>
        </w:rPr>
        <w:t>744B</w:t>
      </w:r>
      <w:r w:rsidR="003F74D6" w:rsidRPr="6332CC80">
        <w:rPr>
          <w:rFonts w:eastAsia="Calibri" w:cs="Calibri"/>
          <w:i/>
          <w:iCs/>
          <w:color w:val="000000" w:themeColor="text1"/>
        </w:rPr>
        <w:t>“The ACT Government</w:t>
      </w:r>
      <w:r w:rsidR="00F9723B" w:rsidRPr="6332CC80">
        <w:rPr>
          <w:rFonts w:eastAsia="Calibri" w:cs="Calibri"/>
          <w:i/>
          <w:iCs/>
          <w:color w:val="000000" w:themeColor="text1"/>
        </w:rPr>
        <w:t>, surrounding council areas</w:t>
      </w:r>
      <w:r w:rsidR="00FA199D" w:rsidRPr="6332CC80">
        <w:rPr>
          <w:rFonts w:eastAsia="Calibri" w:cs="Calibri"/>
          <w:i/>
          <w:iCs/>
          <w:color w:val="000000" w:themeColor="text1"/>
        </w:rPr>
        <w:t xml:space="preserve"> </w:t>
      </w:r>
      <w:r w:rsidR="00172CDA" w:rsidRPr="6332CC80">
        <w:rPr>
          <w:rFonts w:eastAsia="Calibri" w:cs="Calibri"/>
          <w:i/>
          <w:iCs/>
          <w:color w:val="000000" w:themeColor="text1"/>
        </w:rPr>
        <w:t>and</w:t>
      </w:r>
      <w:r w:rsidR="00FA199D" w:rsidRPr="6332CC80">
        <w:rPr>
          <w:rFonts w:eastAsia="Calibri" w:cs="Calibri"/>
          <w:i/>
          <w:iCs/>
          <w:color w:val="000000" w:themeColor="text1"/>
        </w:rPr>
        <w:t xml:space="preserve"> Traditional Custodian groups</w:t>
      </w:r>
      <w:r w:rsidR="003F74D6" w:rsidRPr="6332CC80">
        <w:rPr>
          <w:rFonts w:eastAsia="Calibri" w:cs="Calibri"/>
          <w:i/>
          <w:iCs/>
          <w:color w:val="000000" w:themeColor="text1"/>
        </w:rPr>
        <w:t xml:space="preserve">… currently has no say in Deed management, even though the </w:t>
      </w:r>
      <w:r w:rsidR="006C1414" w:rsidRPr="6332CC80">
        <w:rPr>
          <w:rFonts w:eastAsia="Calibri" w:cs="Calibri"/>
          <w:i/>
          <w:iCs/>
          <w:color w:val="000000" w:themeColor="text1"/>
        </w:rPr>
        <w:t>Upp</w:t>
      </w:r>
      <w:r w:rsidR="001048F9" w:rsidRPr="6332CC80">
        <w:rPr>
          <w:rFonts w:eastAsia="Calibri" w:cs="Calibri"/>
          <w:i/>
          <w:iCs/>
          <w:color w:val="000000" w:themeColor="text1"/>
        </w:rPr>
        <w:t>er Murrumbidgee</w:t>
      </w:r>
      <w:r w:rsidR="00172A7F" w:rsidRPr="6332CC80">
        <w:rPr>
          <w:rFonts w:eastAsia="Calibri" w:cs="Calibri"/>
          <w:i/>
          <w:iCs/>
          <w:color w:val="000000" w:themeColor="text1"/>
        </w:rPr>
        <w:t>…</w:t>
      </w:r>
      <w:r w:rsidR="003F74D6" w:rsidRPr="6332CC80">
        <w:rPr>
          <w:rFonts w:eastAsia="Calibri" w:cs="Calibri"/>
          <w:i/>
          <w:iCs/>
          <w:color w:val="000000" w:themeColor="text1"/>
        </w:rPr>
        <w:t xml:space="preserve">  is a critical source of water</w:t>
      </w:r>
      <w:r w:rsidR="00172A7F" w:rsidRPr="6332CC80">
        <w:rPr>
          <w:rFonts w:eastAsia="Calibri" w:cs="Calibri"/>
          <w:i/>
          <w:iCs/>
          <w:color w:val="000000" w:themeColor="text1"/>
        </w:rPr>
        <w:t xml:space="preserve"> for social, cultural, ecological and economic outcomes</w:t>
      </w:r>
      <w:r w:rsidR="003F74D6" w:rsidRPr="6332CC80">
        <w:rPr>
          <w:rFonts w:eastAsia="Calibri" w:cs="Calibri"/>
          <w:i/>
          <w:iCs/>
          <w:color w:val="000000" w:themeColor="text1"/>
        </w:rPr>
        <w:t>.”</w:t>
      </w:r>
      <w:r w:rsidR="003F74D6">
        <w:br/>
      </w:r>
      <w:r w:rsidR="003F74D6" w:rsidRPr="6332CC80">
        <w:rPr>
          <w:rFonts w:eastAsia="Calibri" w:cs="Calibri"/>
          <w:color w:val="000000" w:themeColor="text1"/>
        </w:rPr>
        <w:t>— ACT &amp; Region Catchment Management Coordination Group (Submission 126)</w:t>
      </w:r>
    </w:p>
    <w:p w14:paraId="4D0F01E0" w14:textId="6B87A52E" w:rsidR="003F74D6" w:rsidRPr="003F74D6" w:rsidRDefault="00382EE8" w:rsidP="003F74D6">
      <w:pPr>
        <w:rPr>
          <w:rFonts w:eastAsia="Calibri" w:cs="Calibri"/>
          <w:color w:val="000000" w:themeColor="text1"/>
        </w:rPr>
      </w:pPr>
      <w:r>
        <w:rPr>
          <w:rFonts w:ascii="ZWAdobeF" w:eastAsia="Calibri" w:hAnsi="ZWAdobeF" w:cs="ZWAdobeF"/>
          <w:sz w:val="2"/>
          <w:szCs w:val="2"/>
        </w:rPr>
        <w:lastRenderedPageBreak/>
        <w:t>745B</w:t>
      </w:r>
      <w:r w:rsidR="003F74D6" w:rsidRPr="003F74D6">
        <w:rPr>
          <w:rFonts w:eastAsia="Calibri" w:cs="Calibri"/>
          <w:color w:val="000000" w:themeColor="text1"/>
        </w:rPr>
        <w:t>There were also strong calls for more meaningful community and stakeholder participation in governance processes:</w:t>
      </w:r>
    </w:p>
    <w:p w14:paraId="53C7BD59" w14:textId="6C1B39DC" w:rsidR="003F74D6" w:rsidRDefault="00382EE8" w:rsidP="00346D4B">
      <w:pPr>
        <w:jc w:val="left"/>
        <w:rPr>
          <w:rFonts w:eastAsia="Calibri" w:cs="Calibri"/>
          <w:color w:val="000000" w:themeColor="text1"/>
        </w:rPr>
      </w:pPr>
      <w:r>
        <w:rPr>
          <w:rFonts w:ascii="ZWAdobeF" w:eastAsia="Calibri" w:hAnsi="ZWAdobeF" w:cs="ZWAdobeF"/>
          <w:iCs/>
          <w:sz w:val="2"/>
          <w:szCs w:val="2"/>
        </w:rPr>
        <w:t>746B</w:t>
      </w:r>
      <w:r w:rsidR="003F74D6" w:rsidRPr="6332CC80">
        <w:rPr>
          <w:rFonts w:eastAsia="Calibri" w:cs="Calibri"/>
          <w:i/>
          <w:iCs/>
          <w:color w:val="000000" w:themeColor="text1"/>
        </w:rPr>
        <w:t>“</w:t>
      </w:r>
      <w:r w:rsidR="00D84F08" w:rsidRPr="6332CC80">
        <w:rPr>
          <w:rFonts w:eastAsia="Calibri" w:cs="Calibri"/>
          <w:i/>
          <w:iCs/>
          <w:color w:val="000000" w:themeColor="text1"/>
        </w:rPr>
        <w:t>Governance must include affected landowners, farmers, rural communities</w:t>
      </w:r>
      <w:r w:rsidR="00344209" w:rsidRPr="6332CC80">
        <w:rPr>
          <w:rFonts w:eastAsia="Calibri" w:cs="Calibri"/>
          <w:i/>
          <w:iCs/>
          <w:color w:val="000000" w:themeColor="text1"/>
        </w:rPr>
        <w:t xml:space="preserve">…with a real decision making voice </w:t>
      </w:r>
      <w:r w:rsidR="003F74D6" w:rsidRPr="6332CC80">
        <w:rPr>
          <w:rFonts w:eastAsia="Calibri" w:cs="Calibri"/>
          <w:i/>
          <w:iCs/>
          <w:color w:val="000000" w:themeColor="text1"/>
        </w:rPr>
        <w:t>… not token consultation.”</w:t>
      </w:r>
      <w:r w:rsidR="003F74D6">
        <w:br/>
      </w:r>
      <w:r w:rsidR="003F74D6" w:rsidRPr="6332CC80">
        <w:rPr>
          <w:rFonts w:eastAsia="Calibri" w:cs="Calibri"/>
          <w:color w:val="000000" w:themeColor="text1"/>
        </w:rPr>
        <w:t>— Save Our Surroundings Riverina (Submission 131)</w:t>
      </w:r>
    </w:p>
    <w:p w14:paraId="25BCBD46" w14:textId="6115D114" w:rsidR="003F74D6" w:rsidRDefault="003F74D6" w:rsidP="003F74D6">
      <w:pPr>
        <w:pStyle w:val="Sub-Heading"/>
        <w:rPr>
          <w:rFonts w:eastAsia="Calibri"/>
        </w:rPr>
      </w:pPr>
      <w:r>
        <w:rPr>
          <w:rFonts w:eastAsia="Calibri"/>
        </w:rPr>
        <w:t>First Nations participation in governance</w:t>
      </w:r>
    </w:p>
    <w:p w14:paraId="74467275" w14:textId="3C6AE68B" w:rsidR="00316B0E" w:rsidRPr="00316B0E" w:rsidRDefault="00382EE8" w:rsidP="00316B0E">
      <w:pPr>
        <w:rPr>
          <w:rFonts w:eastAsia="Calibri" w:cs="Calibri"/>
          <w:color w:val="000000" w:themeColor="text1"/>
        </w:rPr>
      </w:pPr>
      <w:r>
        <w:rPr>
          <w:rFonts w:ascii="ZWAdobeF" w:eastAsia="Calibri" w:hAnsi="ZWAdobeF" w:cs="ZWAdobeF"/>
          <w:sz w:val="2"/>
          <w:szCs w:val="2"/>
        </w:rPr>
        <w:t>747B</w:t>
      </w:r>
      <w:r w:rsidR="00316B0E" w:rsidRPr="00316B0E">
        <w:rPr>
          <w:rFonts w:eastAsia="Calibri" w:cs="Calibri"/>
          <w:color w:val="000000" w:themeColor="text1"/>
        </w:rPr>
        <w:t>Stakeholders emphasised the importance of embedding First Nations perspectives and decision-making within governance arrangements.</w:t>
      </w:r>
    </w:p>
    <w:p w14:paraId="54E9327C" w14:textId="16A11337" w:rsidR="0000569B" w:rsidRDefault="00382EE8" w:rsidP="00CC7A58">
      <w:pPr>
        <w:spacing w:after="0"/>
        <w:rPr>
          <w:rFonts w:eastAsia="Calibri" w:cs="Calibri"/>
          <w:color w:val="000000" w:themeColor="text1"/>
        </w:rPr>
      </w:pPr>
      <w:r>
        <w:rPr>
          <w:rFonts w:ascii="ZWAdobeF" w:eastAsia="Calibri" w:hAnsi="ZWAdobeF" w:cs="ZWAdobeF"/>
          <w:sz w:val="2"/>
          <w:szCs w:val="2"/>
        </w:rPr>
        <w:t>748B</w:t>
      </w:r>
      <w:r w:rsidR="00AD2FC2" w:rsidRPr="1CFDE116">
        <w:rPr>
          <w:rFonts w:eastAsia="Calibri" w:cs="Calibri"/>
          <w:i/>
          <w:color w:val="000000" w:themeColor="text1"/>
        </w:rPr>
        <w:t xml:space="preserve">“First Nations people are </w:t>
      </w:r>
      <w:r w:rsidR="004803D5" w:rsidRPr="1CFDE116">
        <w:rPr>
          <w:rFonts w:eastAsia="Calibri" w:cs="Calibri"/>
          <w:i/>
          <w:color w:val="000000" w:themeColor="text1"/>
        </w:rPr>
        <w:t>excluded from governance arrangements under the Deed, and cultural values of the river are not embedded in water management objectives or decision making…current arrangements do not align with national commitments under Closing the Gap framework</w:t>
      </w:r>
      <w:r w:rsidR="004803D5" w:rsidRPr="4200CB10">
        <w:rPr>
          <w:rFonts w:eastAsia="Calibri" w:cs="Calibri"/>
          <w:i/>
          <w:iCs/>
          <w:color w:val="000000" w:themeColor="text1"/>
        </w:rPr>
        <w:t>”</w:t>
      </w:r>
    </w:p>
    <w:p w14:paraId="4DA1EEF6" w14:textId="3F89702C" w:rsidR="00316B0E" w:rsidRPr="00316B0E" w:rsidRDefault="00382EE8" w:rsidP="4200CB10">
      <w:pPr>
        <w:rPr>
          <w:rFonts w:eastAsia="Calibri" w:cs="Calibri"/>
          <w:color w:val="000000" w:themeColor="text1"/>
        </w:rPr>
      </w:pPr>
      <w:r>
        <w:rPr>
          <w:rFonts w:ascii="ZWAdobeF" w:eastAsia="Calibri" w:hAnsi="ZWAdobeF" w:cs="ZWAdobeF"/>
          <w:sz w:val="2"/>
          <w:szCs w:val="2"/>
        </w:rPr>
        <w:t>749B</w:t>
      </w:r>
      <w:r w:rsidR="0000569B" w:rsidRPr="007A37AE">
        <w:rPr>
          <w:rFonts w:eastAsia="Calibri" w:cs="Calibri"/>
          <w:color w:val="000000" w:themeColor="text1"/>
        </w:rPr>
        <w:t>—</w:t>
      </w:r>
      <w:r w:rsidR="004803D5" w:rsidRPr="4200CB10">
        <w:rPr>
          <w:rFonts w:eastAsia="Calibri" w:cs="Calibri"/>
          <w:color w:val="000000" w:themeColor="text1"/>
        </w:rPr>
        <w:t xml:space="preserve"> </w:t>
      </w:r>
      <w:r w:rsidR="004803D5">
        <w:rPr>
          <w:rFonts w:eastAsia="Calibri" w:cs="Calibri"/>
          <w:color w:val="000000" w:themeColor="text1"/>
        </w:rPr>
        <w:t>Jimmy Hooper (Submission 54)</w:t>
      </w:r>
    </w:p>
    <w:p w14:paraId="0EFDE568" w14:textId="3FD1B3C5" w:rsidR="003F74D6" w:rsidRPr="003F74D6" w:rsidRDefault="00A775A3" w:rsidP="00A775A3">
      <w:pPr>
        <w:pStyle w:val="Sub-Heading"/>
      </w:pPr>
      <w:r>
        <w:rPr>
          <w:rFonts w:eastAsia="Calibri"/>
        </w:rPr>
        <w:t>Managing trade-offs and system priorities</w:t>
      </w:r>
    </w:p>
    <w:p w14:paraId="517F39E8" w14:textId="58A15011" w:rsidR="00E840BE" w:rsidRPr="00E840BE" w:rsidRDefault="00382EE8" w:rsidP="00E840BE">
      <w:pPr>
        <w:rPr>
          <w:rFonts w:eastAsia="Calibri" w:cs="Calibri"/>
          <w:color w:val="000000" w:themeColor="text1"/>
        </w:rPr>
      </w:pPr>
      <w:r>
        <w:rPr>
          <w:rFonts w:ascii="ZWAdobeF" w:eastAsia="Calibri" w:hAnsi="ZWAdobeF" w:cs="ZWAdobeF"/>
          <w:sz w:val="2"/>
          <w:szCs w:val="2"/>
        </w:rPr>
        <w:t>750B</w:t>
      </w:r>
      <w:r w:rsidR="00E840BE" w:rsidRPr="00E840BE">
        <w:rPr>
          <w:rFonts w:eastAsia="Calibri" w:cs="Calibri"/>
          <w:color w:val="000000" w:themeColor="text1"/>
        </w:rPr>
        <w:t>Submissions highlighted the need for clearer and more transparent frameworks to manage trade-offs between competing objectives, including environmental, energy and water use priorities</w:t>
      </w:r>
      <w:r w:rsidR="00D73377">
        <w:rPr>
          <w:rFonts w:eastAsia="Calibri" w:cs="Calibri"/>
          <w:color w:val="000000" w:themeColor="text1"/>
        </w:rPr>
        <w:t>:</w:t>
      </w:r>
    </w:p>
    <w:p w14:paraId="18DD6182" w14:textId="12336473" w:rsidR="00E840BE" w:rsidRPr="00E840BE" w:rsidRDefault="00382EE8" w:rsidP="001F42EC">
      <w:pPr>
        <w:jc w:val="left"/>
        <w:rPr>
          <w:rFonts w:eastAsia="Calibri" w:cs="Calibri"/>
          <w:color w:val="000000" w:themeColor="text1"/>
        </w:rPr>
      </w:pPr>
      <w:r>
        <w:rPr>
          <w:rFonts w:ascii="ZWAdobeF" w:eastAsia="Calibri" w:hAnsi="ZWAdobeF" w:cs="ZWAdobeF"/>
          <w:iCs/>
          <w:sz w:val="2"/>
          <w:szCs w:val="2"/>
        </w:rPr>
        <w:t>751B</w:t>
      </w:r>
      <w:r w:rsidR="00E840BE" w:rsidRPr="00E840BE">
        <w:rPr>
          <w:rFonts w:eastAsia="Calibri" w:cs="Calibri"/>
          <w:i/>
          <w:iCs/>
          <w:color w:val="000000" w:themeColor="text1"/>
        </w:rPr>
        <w:t>“The Deed should articulate how</w:t>
      </w:r>
      <w:r w:rsidR="001F7FE5">
        <w:rPr>
          <w:rFonts w:eastAsia="Calibri" w:cs="Calibri"/>
          <w:i/>
          <w:iCs/>
          <w:color w:val="000000" w:themeColor="text1"/>
        </w:rPr>
        <w:t xml:space="preserve"> Snowy Hydro’s</w:t>
      </w:r>
      <w:r w:rsidR="00E840BE" w:rsidRPr="00E840BE">
        <w:rPr>
          <w:rFonts w:eastAsia="Calibri" w:cs="Calibri"/>
          <w:i/>
          <w:iCs/>
          <w:color w:val="000000" w:themeColor="text1"/>
        </w:rPr>
        <w:t xml:space="preserve"> energy functions </w:t>
      </w:r>
      <w:r w:rsidR="001F7FE5" w:rsidRPr="1CFDE116">
        <w:rPr>
          <w:rFonts w:eastAsia="Calibri" w:cs="Calibri"/>
          <w:i/>
          <w:iCs/>
          <w:color w:val="000000" w:themeColor="text1"/>
        </w:rPr>
        <w:t>is</w:t>
      </w:r>
      <w:r w:rsidR="00E840BE" w:rsidRPr="00E840BE">
        <w:rPr>
          <w:rFonts w:eastAsia="Calibri" w:cs="Calibri"/>
          <w:i/>
          <w:iCs/>
          <w:color w:val="000000" w:themeColor="text1"/>
        </w:rPr>
        <w:t xml:space="preserve"> to be balanced with </w:t>
      </w:r>
      <w:r w:rsidR="001F7FE5">
        <w:rPr>
          <w:rFonts w:eastAsia="Calibri" w:cs="Calibri"/>
          <w:i/>
          <w:iCs/>
          <w:color w:val="000000" w:themeColor="text1"/>
        </w:rPr>
        <w:t xml:space="preserve">its </w:t>
      </w:r>
      <w:r w:rsidR="00E840BE" w:rsidRPr="00E840BE">
        <w:rPr>
          <w:rFonts w:eastAsia="Calibri" w:cs="Calibri"/>
          <w:i/>
          <w:iCs/>
          <w:color w:val="000000" w:themeColor="text1"/>
        </w:rPr>
        <w:t>environmental, social and cultural obligations.”</w:t>
      </w:r>
      <w:r w:rsidR="00E840BE">
        <w:br/>
      </w:r>
      <w:r w:rsidR="00E840BE" w:rsidRPr="00E840BE">
        <w:rPr>
          <w:rFonts w:eastAsia="Calibri" w:cs="Calibri"/>
          <w:color w:val="000000" w:themeColor="text1"/>
        </w:rPr>
        <w:t>— Australian River Restoration Centre (Submission 129)</w:t>
      </w:r>
    </w:p>
    <w:p w14:paraId="7FF28519" w14:textId="45100242" w:rsidR="00E840BE" w:rsidRPr="00E840BE" w:rsidRDefault="00382EE8" w:rsidP="00E840BE">
      <w:pPr>
        <w:rPr>
          <w:rFonts w:eastAsia="Calibri" w:cs="Calibri"/>
          <w:color w:val="000000" w:themeColor="text1"/>
        </w:rPr>
      </w:pPr>
      <w:r>
        <w:rPr>
          <w:rFonts w:ascii="ZWAdobeF" w:eastAsia="Calibri" w:hAnsi="ZWAdobeF" w:cs="ZWAdobeF"/>
          <w:sz w:val="2"/>
          <w:szCs w:val="2"/>
        </w:rPr>
        <w:t>752B</w:t>
      </w:r>
      <w:r w:rsidR="00E840BE" w:rsidRPr="00E840BE">
        <w:rPr>
          <w:rFonts w:eastAsia="Calibri" w:cs="Calibri"/>
          <w:color w:val="000000" w:themeColor="text1"/>
        </w:rPr>
        <w:t>Some stakeholders also emphasised that these trade-offs must be managed in a way that maintains reliability for existing users and supports broader system outcomes:</w:t>
      </w:r>
    </w:p>
    <w:p w14:paraId="15E91E39" w14:textId="0750E28D" w:rsidR="00E840BE" w:rsidRPr="00E840BE" w:rsidRDefault="00382EE8" w:rsidP="00F850D5">
      <w:pPr>
        <w:jc w:val="left"/>
        <w:rPr>
          <w:rFonts w:eastAsia="Calibri" w:cs="Calibri"/>
          <w:color w:val="000000" w:themeColor="text1"/>
        </w:rPr>
      </w:pPr>
      <w:r>
        <w:rPr>
          <w:rFonts w:ascii="ZWAdobeF" w:eastAsia="Calibri" w:hAnsi="ZWAdobeF" w:cs="ZWAdobeF"/>
          <w:iCs/>
          <w:sz w:val="2"/>
          <w:szCs w:val="2"/>
        </w:rPr>
        <w:t>753B</w:t>
      </w:r>
      <w:r w:rsidR="00E840BE" w:rsidRPr="00E840BE">
        <w:rPr>
          <w:rFonts w:eastAsia="Calibri" w:cs="Calibri"/>
          <w:i/>
          <w:iCs/>
          <w:color w:val="000000" w:themeColor="text1"/>
        </w:rPr>
        <w:t>“Changes to operational arrangements… must not reduce entitlement reliability or shift risk onto licence holders.”</w:t>
      </w:r>
      <w:r w:rsidR="00E840BE" w:rsidRPr="00E840BE">
        <w:rPr>
          <w:rFonts w:cs="Calibri"/>
        </w:rPr>
        <w:br/>
      </w:r>
      <w:r w:rsidR="00E840BE" w:rsidRPr="00E840BE">
        <w:rPr>
          <w:rFonts w:eastAsia="Calibri" w:cs="Calibri"/>
          <w:color w:val="000000" w:themeColor="text1"/>
        </w:rPr>
        <w:t>— National Farmers’ Federation (Submission 137)</w:t>
      </w:r>
    </w:p>
    <w:p w14:paraId="241C9FAA" w14:textId="705320EC" w:rsidR="00E93FA0" w:rsidRDefault="00BE68A4" w:rsidP="002608F8">
      <w:pPr>
        <w:pStyle w:val="Sub-Heading"/>
      </w:pPr>
      <w:r>
        <w:t>Regulatory clarity and alignment</w:t>
      </w:r>
    </w:p>
    <w:p w14:paraId="6FABE195" w14:textId="0153CFA0" w:rsidR="008429CD" w:rsidRPr="008429CD" w:rsidRDefault="00382EE8" w:rsidP="008429CD">
      <w:pPr>
        <w:rPr>
          <w:rFonts w:eastAsia="Calibri" w:cs="Calibri"/>
          <w:color w:val="000000" w:themeColor="text1"/>
        </w:rPr>
      </w:pPr>
      <w:r>
        <w:rPr>
          <w:rFonts w:ascii="ZWAdobeF" w:eastAsia="Calibri" w:hAnsi="ZWAdobeF" w:cs="ZWAdobeF"/>
          <w:sz w:val="2"/>
          <w:szCs w:val="2"/>
        </w:rPr>
        <w:t>754B</w:t>
      </w:r>
      <w:r w:rsidR="008429CD" w:rsidRPr="008429CD">
        <w:rPr>
          <w:rFonts w:eastAsia="Calibri" w:cs="Calibri"/>
          <w:color w:val="000000" w:themeColor="text1"/>
        </w:rPr>
        <w:t>Stakeholders identified the importance of aligning the Deed with contemporary national water policy frameworks and governance systems</w:t>
      </w:r>
      <w:r w:rsidR="00B3422E">
        <w:rPr>
          <w:rFonts w:eastAsia="Calibri" w:cs="Calibri"/>
          <w:color w:val="000000" w:themeColor="text1"/>
        </w:rPr>
        <w:t>:</w:t>
      </w:r>
    </w:p>
    <w:p w14:paraId="2FFA105C" w14:textId="0BFCEE6F" w:rsidR="008429CD" w:rsidRDefault="00382EE8" w:rsidP="1D9CABBF">
      <w:pPr>
        <w:jc w:val="left"/>
        <w:rPr>
          <w:rFonts w:eastAsia="Calibri" w:cs="Calibri"/>
          <w:color w:val="000000" w:themeColor="text1"/>
        </w:rPr>
      </w:pPr>
      <w:r>
        <w:rPr>
          <w:rFonts w:ascii="ZWAdobeF" w:eastAsia="Calibri" w:hAnsi="ZWAdobeF" w:cs="ZWAdobeF"/>
          <w:iCs/>
          <w:sz w:val="2"/>
          <w:szCs w:val="2"/>
        </w:rPr>
        <w:t>755B</w:t>
      </w:r>
      <w:r w:rsidR="008429CD" w:rsidRPr="008429CD">
        <w:rPr>
          <w:rFonts w:eastAsia="Calibri" w:cs="Calibri"/>
          <w:i/>
          <w:iCs/>
          <w:color w:val="000000" w:themeColor="text1"/>
        </w:rPr>
        <w:t xml:space="preserve">“The Deed needs to be consistent with… the </w:t>
      </w:r>
      <w:r w:rsidR="00BE2B4D">
        <w:rPr>
          <w:rFonts w:eastAsia="Calibri" w:cs="Calibri"/>
          <w:i/>
          <w:iCs/>
          <w:color w:val="000000" w:themeColor="text1"/>
        </w:rPr>
        <w:t xml:space="preserve">Commonwealth </w:t>
      </w:r>
      <w:r w:rsidR="008429CD" w:rsidRPr="008429CD">
        <w:rPr>
          <w:rFonts w:eastAsia="Calibri" w:cs="Calibri"/>
          <w:i/>
          <w:iCs/>
          <w:color w:val="000000" w:themeColor="text1"/>
        </w:rPr>
        <w:t xml:space="preserve">Water Act, the National Water Initiative and the </w:t>
      </w:r>
      <w:r w:rsidR="00153992">
        <w:rPr>
          <w:rFonts w:eastAsia="Calibri" w:cs="Calibri"/>
          <w:i/>
          <w:iCs/>
          <w:color w:val="000000" w:themeColor="text1"/>
        </w:rPr>
        <w:t xml:space="preserve">Murray Darling </w:t>
      </w:r>
      <w:r w:rsidR="008429CD" w:rsidRPr="008429CD">
        <w:rPr>
          <w:rFonts w:eastAsia="Calibri" w:cs="Calibri"/>
          <w:i/>
          <w:iCs/>
          <w:color w:val="000000" w:themeColor="text1"/>
        </w:rPr>
        <w:t>Basin Plan</w:t>
      </w:r>
      <w:r w:rsidR="00153992">
        <w:rPr>
          <w:rFonts w:eastAsia="Calibri" w:cs="Calibri"/>
          <w:i/>
          <w:iCs/>
          <w:color w:val="000000" w:themeColor="text1"/>
        </w:rPr>
        <w:t xml:space="preserve"> and ongoing reforms</w:t>
      </w:r>
      <w:r w:rsidR="008429CD" w:rsidRPr="008429CD">
        <w:rPr>
          <w:rFonts w:eastAsia="Calibri" w:cs="Calibri"/>
          <w:i/>
          <w:iCs/>
          <w:color w:val="000000" w:themeColor="text1"/>
        </w:rPr>
        <w:t>.</w:t>
      </w:r>
      <w:r w:rsidR="009E146D">
        <w:rPr>
          <w:rFonts w:eastAsia="Calibri" w:cs="Calibri"/>
          <w:i/>
          <w:iCs/>
          <w:color w:val="000000" w:themeColor="text1"/>
        </w:rPr>
        <w:t xml:space="preserve"> These reforms have ensured that best-practice, adaptive management is applied to our rivers and waterways</w:t>
      </w:r>
      <w:r w:rsidR="008429CD" w:rsidRPr="008429CD">
        <w:rPr>
          <w:rFonts w:eastAsia="Calibri" w:cs="Calibri"/>
          <w:i/>
          <w:iCs/>
          <w:color w:val="000000" w:themeColor="text1"/>
        </w:rPr>
        <w:t>.”</w:t>
      </w:r>
      <w:r w:rsidR="008429CD">
        <w:br/>
      </w:r>
      <w:r w:rsidR="008429CD" w:rsidRPr="008429CD">
        <w:rPr>
          <w:rFonts w:eastAsia="Calibri" w:cs="Calibri"/>
          <w:color w:val="000000" w:themeColor="text1"/>
        </w:rPr>
        <w:t xml:space="preserve">— Bush Heritage Australia </w:t>
      </w:r>
      <w:r w:rsidR="006710BF">
        <w:rPr>
          <w:rFonts w:eastAsia="Calibri" w:cs="Calibri"/>
          <w:color w:val="000000" w:themeColor="text1"/>
        </w:rPr>
        <w:t xml:space="preserve">and Upper Murrumbidgee Demonstration Reach </w:t>
      </w:r>
      <w:r w:rsidR="008429CD" w:rsidRPr="008429CD">
        <w:rPr>
          <w:rFonts w:eastAsia="Calibri" w:cs="Calibri"/>
          <w:color w:val="000000" w:themeColor="text1"/>
        </w:rPr>
        <w:t>(Submission 138)</w:t>
      </w:r>
    </w:p>
    <w:p w14:paraId="3ED29E00" w14:textId="09CCD94C" w:rsidR="003925E6" w:rsidRDefault="003925E6" w:rsidP="003925E6">
      <w:pPr>
        <w:pStyle w:val="ReviewHeading3"/>
        <w:rPr>
          <w:rFonts w:eastAsia="Calibri"/>
        </w:rPr>
      </w:pPr>
      <w:r w:rsidRPr="6332CC80">
        <w:rPr>
          <w:rFonts w:eastAsia="Calibri"/>
        </w:rPr>
        <w:t>Advisory Groups</w:t>
      </w:r>
    </w:p>
    <w:p w14:paraId="7EA6533F" w14:textId="2D20238A" w:rsidR="003925E6" w:rsidRDefault="003925E6" w:rsidP="003925E6">
      <w:pPr>
        <w:pStyle w:val="Sub-Heading"/>
        <w:rPr>
          <w:rFonts w:eastAsia="Calibri"/>
        </w:rPr>
      </w:pPr>
      <w:r>
        <w:rPr>
          <w:rFonts w:eastAsia="Calibri"/>
        </w:rPr>
        <w:t>First Nations Advisory Group</w:t>
      </w:r>
    </w:p>
    <w:p w14:paraId="44076B45" w14:textId="5F77A4DF" w:rsidR="00B8184F" w:rsidRPr="00A61CDC" w:rsidRDefault="00382EE8" w:rsidP="00B8184F">
      <w:r>
        <w:rPr>
          <w:rFonts w:ascii="ZWAdobeF" w:hAnsi="ZWAdobeF" w:cs="ZWAdobeF"/>
          <w:sz w:val="2"/>
          <w:szCs w:val="2"/>
        </w:rPr>
        <w:t>756B</w:t>
      </w:r>
      <w:r w:rsidR="00B8184F">
        <w:t>The FNAG provided detailed guidance on governance reform</w:t>
      </w:r>
      <w:r w:rsidR="30B02578">
        <w:t xml:space="preserve"> concluding that the current arrangements </w:t>
      </w:r>
      <w:r w:rsidR="4191A8B9">
        <w:t>are structurally</w:t>
      </w:r>
      <w:r w:rsidR="00B8184F">
        <w:t xml:space="preserve"> insufficient, and that incremental improvements to consultation would not address underlying issues. Instead, the </w:t>
      </w:r>
      <w:r w:rsidR="002F2155">
        <w:t>FNAG</w:t>
      </w:r>
      <w:r w:rsidR="00B8184F">
        <w:t xml:space="preserve"> call</w:t>
      </w:r>
      <w:r w:rsidR="00E30DE5">
        <w:t>ed</w:t>
      </w:r>
      <w:r w:rsidR="00B8184F">
        <w:t xml:space="preserve"> for a shift from advisory participation to custodianship-based governance. </w:t>
      </w:r>
    </w:p>
    <w:p w14:paraId="6BAB0F27" w14:textId="7F76299A" w:rsidR="00B8184F" w:rsidRPr="00A61CDC" w:rsidRDefault="00382EE8" w:rsidP="00B8184F">
      <w:r>
        <w:rPr>
          <w:rFonts w:ascii="ZWAdobeF" w:hAnsi="ZWAdobeF" w:cs="ZWAdobeF"/>
          <w:sz w:val="2"/>
          <w:szCs w:val="2"/>
        </w:rPr>
        <w:lastRenderedPageBreak/>
        <w:t>757B</w:t>
      </w:r>
      <w:r w:rsidR="00B8184F" w:rsidRPr="00A61CDC">
        <w:t>“</w:t>
      </w:r>
      <w:r w:rsidR="00B8184F" w:rsidRPr="6332CC80">
        <w:rPr>
          <w:i/>
          <w:iCs/>
        </w:rPr>
        <w:t>We are not asking to be consulted</w:t>
      </w:r>
      <w:r w:rsidR="00380665" w:rsidRPr="6332CC80">
        <w:rPr>
          <w:i/>
          <w:iCs/>
        </w:rPr>
        <w:t xml:space="preserve"> about how someone else manages our Country.</w:t>
      </w:r>
      <w:r w:rsidR="00B8184F" w:rsidRPr="6332CC80">
        <w:rPr>
          <w:i/>
          <w:iCs/>
        </w:rPr>
        <w:t xml:space="preserve"> We are asking to be the ones who manage it — with… </w:t>
      </w:r>
      <w:r w:rsidR="00380665" w:rsidRPr="6332CC80">
        <w:rPr>
          <w:i/>
          <w:iCs/>
        </w:rPr>
        <w:t xml:space="preserve">support, with resources, with our </w:t>
      </w:r>
      <w:r w:rsidR="00B8184F" w:rsidRPr="6332CC80">
        <w:rPr>
          <w:i/>
          <w:iCs/>
        </w:rPr>
        <w:t>authority recognised</w:t>
      </w:r>
      <w:r w:rsidR="00866566" w:rsidRPr="6332CC80">
        <w:rPr>
          <w:i/>
          <w:iCs/>
        </w:rPr>
        <w:t>.</w:t>
      </w:r>
      <w:r>
        <w:rPr>
          <w:rFonts w:ascii="ZWAdobeF" w:hAnsi="ZWAdobeF" w:cs="ZWAdobeF"/>
          <w:iCs/>
          <w:sz w:val="2"/>
          <w:szCs w:val="2"/>
        </w:rPr>
        <w:t>17F</w:t>
      </w:r>
      <w:r w:rsidR="00B8184F">
        <w:rPr>
          <w:rStyle w:val="FootnoteReference"/>
          <w:rFonts w:ascii="Calibri" w:eastAsia="Calibri" w:hAnsi="Calibri" w:cs="Calibri"/>
          <w:color w:val="000000" w:themeColor="text1"/>
        </w:rPr>
        <w:footnoteReference w:id="18"/>
      </w:r>
    </w:p>
    <w:p w14:paraId="1C714A40" w14:textId="011A908C" w:rsidR="00B8184F" w:rsidRDefault="00382EE8" w:rsidP="00B8184F">
      <w:r>
        <w:rPr>
          <w:rFonts w:ascii="ZWAdobeF" w:hAnsi="ZWAdobeF" w:cs="ZWAdobeF"/>
          <w:sz w:val="2"/>
          <w:szCs w:val="2"/>
        </w:rPr>
        <w:t>758B</w:t>
      </w:r>
      <w:r w:rsidR="00B8184F">
        <w:t xml:space="preserve">Central to this perspective is the </w:t>
      </w:r>
      <w:r w:rsidR="3FF4BA01">
        <w:t xml:space="preserve">distinction between </w:t>
      </w:r>
      <w:r w:rsidR="00B8184F">
        <w:t>advisory roles and custodial authority</w:t>
      </w:r>
      <w:r w:rsidR="0FF13235">
        <w:t>,</w:t>
      </w:r>
      <w:r w:rsidR="5504448B">
        <w:t xml:space="preserve"> </w:t>
      </w:r>
      <w:r w:rsidR="00B8184F">
        <w:t>with current arrangements positioned a</w:t>
      </w:r>
      <w:r w:rsidR="00F57BC1">
        <w:t>s</w:t>
      </w:r>
      <w:r w:rsidR="00B8184F">
        <w:t xml:space="preserve"> the former.</w:t>
      </w:r>
    </w:p>
    <w:p w14:paraId="1177A8B0" w14:textId="574B5C23" w:rsidR="009C5DD0" w:rsidRPr="00A61CDC" w:rsidRDefault="00382EE8" w:rsidP="6332CC80">
      <w:r>
        <w:rPr>
          <w:rFonts w:ascii="ZWAdobeF" w:hAnsi="ZWAdobeF" w:cs="ZWAdobeF"/>
          <w:sz w:val="2"/>
          <w:szCs w:val="2"/>
        </w:rPr>
        <w:t>759B</w:t>
      </w:r>
      <w:r w:rsidR="009C5DD0">
        <w:t>The FNAG emphasised the need for formal governance institutions to support th</w:t>
      </w:r>
      <w:r w:rsidR="7634DAC0">
        <w:t>is shift</w:t>
      </w:r>
      <w:r w:rsidR="009C5DD0">
        <w:t>, including a</w:t>
      </w:r>
      <w:r w:rsidR="00011FC4">
        <w:t>n interim</w:t>
      </w:r>
      <w:r w:rsidR="009C5DD0">
        <w:t xml:space="preserve"> First Nations Custodianship Council and a pathway to a legislated Custodianship Authority</w:t>
      </w:r>
      <w:r w:rsidR="37D797F5">
        <w:t>, alongside stronger accountability mechanisms such as regular review cycles and reporting frameworks.</w:t>
      </w:r>
    </w:p>
    <w:p w14:paraId="322443A6" w14:textId="7326F805" w:rsidR="009C5DD0" w:rsidRPr="00A61CDC" w:rsidRDefault="00382EE8" w:rsidP="6332CC80">
      <w:pPr>
        <w:jc w:val="left"/>
        <w:rPr>
          <w:rStyle w:val="FootnoteReference"/>
          <w:rFonts w:ascii="Calibri" w:eastAsia="Calibri" w:hAnsi="Calibri" w:cs="Calibri"/>
          <w:color w:val="000000" w:themeColor="text1"/>
        </w:rPr>
      </w:pPr>
      <w:r>
        <w:rPr>
          <w:rFonts w:ascii="ZWAdobeF" w:hAnsi="ZWAdobeF" w:cs="ZWAdobeF"/>
          <w:iCs/>
          <w:sz w:val="2"/>
          <w:szCs w:val="2"/>
        </w:rPr>
        <w:t>760B</w:t>
      </w:r>
      <w:r w:rsidR="009C5DD0" w:rsidRPr="6332CC80">
        <w:rPr>
          <w:i/>
          <w:iCs/>
        </w:rPr>
        <w:t>“</w:t>
      </w:r>
      <w:r w:rsidR="001E4269" w:rsidRPr="6332CC80">
        <w:rPr>
          <w:i/>
          <w:iCs/>
        </w:rPr>
        <w:t xml:space="preserve">What is required is a framework that treats the </w:t>
      </w:r>
      <w:r w:rsidR="0001626F" w:rsidRPr="6332CC80">
        <w:rPr>
          <w:i/>
          <w:iCs/>
        </w:rPr>
        <w:t>D</w:t>
      </w:r>
      <w:r w:rsidR="001E4269" w:rsidRPr="6332CC80">
        <w:rPr>
          <w:i/>
          <w:iCs/>
        </w:rPr>
        <w:t>eed as a living obligation</w:t>
      </w:r>
      <w:r w:rsidR="608A4091" w:rsidRPr="6332CC80">
        <w:rPr>
          <w:i/>
          <w:iCs/>
        </w:rPr>
        <w:t>...</w:t>
      </w:r>
      <w:r w:rsidR="001E4269" w:rsidRPr="6332CC80">
        <w:rPr>
          <w:i/>
          <w:iCs/>
        </w:rPr>
        <w:t xml:space="preserve">  continuously held to account</w:t>
      </w:r>
      <w:r w:rsidR="33291026" w:rsidRPr="6332CC80">
        <w:rPr>
          <w:i/>
          <w:iCs/>
        </w:rPr>
        <w:t>.</w:t>
      </w:r>
      <w:r>
        <w:rPr>
          <w:rFonts w:ascii="ZWAdobeF" w:hAnsi="ZWAdobeF" w:cs="ZWAdobeF"/>
          <w:iCs/>
          <w:sz w:val="2"/>
          <w:szCs w:val="2"/>
        </w:rPr>
        <w:t>18F</w:t>
      </w:r>
      <w:r w:rsidR="009C5DD0">
        <w:rPr>
          <w:rStyle w:val="FootnoteReference"/>
          <w:rFonts w:ascii="Calibri" w:eastAsia="Calibri" w:hAnsi="Calibri" w:cs="Calibri"/>
          <w:color w:val="000000" w:themeColor="text1"/>
        </w:rPr>
        <w:footnoteReference w:id="19"/>
      </w:r>
      <w:r w:rsidR="009C5DD0" w:rsidRPr="00A61CDC">
        <w:t xml:space="preserve"> </w:t>
      </w:r>
    </w:p>
    <w:p w14:paraId="304D2165" w14:textId="2BBFB03B" w:rsidR="009C5DD0" w:rsidRPr="00A61CDC" w:rsidRDefault="00382EE8" w:rsidP="6332CC80">
      <w:pPr>
        <w:rPr>
          <w:b/>
          <w:bCs/>
          <w:i/>
          <w:iCs/>
        </w:rPr>
      </w:pPr>
      <w:r>
        <w:rPr>
          <w:rFonts w:ascii="ZWAdobeF" w:hAnsi="ZWAdobeF" w:cs="ZWAdobeF"/>
          <w:sz w:val="2"/>
          <w:szCs w:val="2"/>
        </w:rPr>
        <w:t>761B</w:t>
      </w:r>
      <w:r w:rsidR="009C5DD0">
        <w:t xml:space="preserve">The FNAG </w:t>
      </w:r>
      <w:r w:rsidR="209C8B49">
        <w:t>also</w:t>
      </w:r>
      <w:r w:rsidR="009C5DD0">
        <w:t xml:space="preserve"> proposes reframing</w:t>
      </w:r>
      <w:r w:rsidR="5EDB97C1">
        <w:t xml:space="preserve"> </w:t>
      </w:r>
      <w:r w:rsidR="009C5DD0">
        <w:t>governance objectives</w:t>
      </w:r>
      <w:r w:rsidR="088981C5">
        <w:t xml:space="preserve"> to recognise</w:t>
      </w:r>
      <w:r w:rsidR="009C5DD0">
        <w:t xml:space="preserve"> the river as a living entity</w:t>
      </w:r>
      <w:r w:rsidR="23AB18D4">
        <w:t>,</w:t>
      </w:r>
      <w:r w:rsidR="009C5DD0">
        <w:t xml:space="preserve"> with First Nations communities acting as its primary voice.</w:t>
      </w:r>
    </w:p>
    <w:p w14:paraId="1A06DF9C" w14:textId="3905DA6B" w:rsidR="009C5DD0" w:rsidRPr="00A61CDC" w:rsidRDefault="00382EE8" w:rsidP="009C5DD0">
      <w:r>
        <w:rPr>
          <w:rFonts w:ascii="ZWAdobeF" w:hAnsi="ZWAdobeF" w:cs="ZWAdobeF"/>
          <w:iCs/>
          <w:sz w:val="2"/>
          <w:szCs w:val="2"/>
        </w:rPr>
        <w:t>762B</w:t>
      </w:r>
      <w:r w:rsidR="273E4A08" w:rsidRPr="6332CC80">
        <w:rPr>
          <w:i/>
          <w:iCs/>
        </w:rPr>
        <w:t>“The</w:t>
      </w:r>
      <w:r w:rsidR="00547B7E" w:rsidRPr="6332CC80">
        <w:rPr>
          <w:i/>
          <w:iCs/>
        </w:rPr>
        <w:t xml:space="preserve"> Murrumbidgee River is not a resource. It is not infrastructure. It is not a line on a water sharing plan. It is a living presence — one with its own continuity, its own needs, and its own place in</w:t>
      </w:r>
      <w:r w:rsidR="00991D7B" w:rsidRPr="6332CC80">
        <w:rPr>
          <w:i/>
          <w:iCs/>
        </w:rPr>
        <w:t xml:space="preserve"> the </w:t>
      </w:r>
      <w:r w:rsidR="00547B7E" w:rsidRPr="6332CC80">
        <w:rPr>
          <w:i/>
          <w:iCs/>
        </w:rPr>
        <w:t>web of obligations that connects communities to Country across generations</w:t>
      </w:r>
      <w:r w:rsidR="009C5DD0" w:rsidRPr="00A61CDC">
        <w:t>”</w:t>
      </w:r>
      <w:r w:rsidR="009C5DD0">
        <w:t>.</w:t>
      </w:r>
      <w:r>
        <w:rPr>
          <w:rFonts w:ascii="ZWAdobeF" w:hAnsi="ZWAdobeF" w:cs="ZWAdobeF"/>
          <w:sz w:val="2"/>
          <w:szCs w:val="2"/>
        </w:rPr>
        <w:t>19F</w:t>
      </w:r>
      <w:r w:rsidR="009C5DD0">
        <w:rPr>
          <w:rStyle w:val="FootnoteReference"/>
          <w:rFonts w:ascii="Calibri" w:eastAsia="Calibri" w:hAnsi="Calibri" w:cs="Calibri"/>
          <w:color w:val="000000" w:themeColor="text1"/>
        </w:rPr>
        <w:footnoteReference w:id="20"/>
      </w:r>
      <w:r w:rsidR="009C5DD0" w:rsidRPr="00A61CDC">
        <w:t xml:space="preserve"> </w:t>
      </w:r>
    </w:p>
    <w:p w14:paraId="07C41540" w14:textId="68A2EE2A" w:rsidR="00B8184F" w:rsidRPr="00A61CDC" w:rsidRDefault="008743C9" w:rsidP="008743C9">
      <w:pPr>
        <w:pStyle w:val="Sub-Heading"/>
        <w:rPr>
          <w:rFonts w:eastAsia="Calibri"/>
        </w:rPr>
      </w:pPr>
      <w:r>
        <w:rPr>
          <w:rFonts w:eastAsia="Calibri"/>
        </w:rPr>
        <w:t>Stakeholder Advisory Group</w:t>
      </w:r>
    </w:p>
    <w:p w14:paraId="28A03A10" w14:textId="3099056D" w:rsidR="00143493" w:rsidRPr="000F0EBB" w:rsidRDefault="00382EE8" w:rsidP="00143493">
      <w:r>
        <w:rPr>
          <w:rFonts w:ascii="ZWAdobeF" w:hAnsi="ZWAdobeF" w:cs="ZWAdobeF"/>
          <w:sz w:val="2"/>
          <w:szCs w:val="2"/>
        </w:rPr>
        <w:t>763B</w:t>
      </w:r>
      <w:r w:rsidR="00143493" w:rsidRPr="000F0EBB">
        <w:t xml:space="preserve">The SAG </w:t>
      </w:r>
      <w:r w:rsidR="00614A2F">
        <w:t>report</w:t>
      </w:r>
      <w:r w:rsidR="00143493" w:rsidRPr="000F0EBB">
        <w:t xml:space="preserve"> identified clear concerns that the Deed </w:t>
      </w:r>
      <w:r w:rsidR="00614A2F">
        <w:t xml:space="preserve">needs to establish contemporary governance and </w:t>
      </w:r>
      <w:r w:rsidR="15A1F1C7">
        <w:t xml:space="preserve">a </w:t>
      </w:r>
      <w:r w:rsidR="00614A2F">
        <w:t>regulatory framework that better aligns the Upper Murrumbidgee River with broader Basin Plan reforms</w:t>
      </w:r>
      <w:r w:rsidR="00143493" w:rsidRPr="000F0EBB">
        <w:t>, with members noting “</w:t>
      </w:r>
      <w:r w:rsidR="3BAE389F" w:rsidRPr="000F0EBB">
        <w:t>t</w:t>
      </w:r>
      <w:r w:rsidR="00CD4CA1" w:rsidRPr="00CD4CA1">
        <w:t>he 2002 Deed has not been reviewed since its establishment, despite major shifts in water policy, environmental water science, and stakeholder engagement expectations</w:t>
      </w:r>
      <w:r w:rsidR="00143493">
        <w:t>”.</w:t>
      </w:r>
      <w:r>
        <w:rPr>
          <w:rFonts w:ascii="ZWAdobeF" w:hAnsi="ZWAdobeF" w:cs="ZWAdobeF"/>
          <w:sz w:val="2"/>
          <w:szCs w:val="2"/>
        </w:rPr>
        <w:t>20F</w:t>
      </w:r>
      <w:r w:rsidR="00143493">
        <w:rPr>
          <w:rStyle w:val="FootnoteReference"/>
          <w:rFonts w:ascii="Calibri" w:hAnsi="Calibri" w:cs="Calibri"/>
        </w:rPr>
        <w:footnoteReference w:id="21"/>
      </w:r>
    </w:p>
    <w:p w14:paraId="25E036E7" w14:textId="7971F62B" w:rsidR="00143493" w:rsidRDefault="00382EE8" w:rsidP="00143493">
      <w:r>
        <w:rPr>
          <w:rFonts w:ascii="ZWAdobeF" w:hAnsi="ZWAdobeF" w:cs="ZWAdobeF"/>
          <w:sz w:val="2"/>
          <w:szCs w:val="2"/>
        </w:rPr>
        <w:t>764B</w:t>
      </w:r>
      <w:r w:rsidR="75EBEB09" w:rsidRPr="000F0EBB">
        <w:t xml:space="preserve">Strengthening what works and reforming what does not </w:t>
      </w:r>
      <w:r w:rsidR="6BF8090D" w:rsidRPr="000F0EBB">
        <w:t>was a key theme in the SAG’s advice</w:t>
      </w:r>
      <w:r w:rsidR="727DAA0D" w:rsidRPr="000F0EBB">
        <w:t xml:space="preserve">, with members </w:t>
      </w:r>
      <w:r w:rsidR="2457BAA6" w:rsidRPr="000F0EBB">
        <w:t>encouraging</w:t>
      </w:r>
      <w:r w:rsidR="727DAA0D" w:rsidRPr="000F0EBB">
        <w:t xml:space="preserve"> the </w:t>
      </w:r>
      <w:r w:rsidR="2FD567D0" w:rsidRPr="000F0EBB">
        <w:t>P</w:t>
      </w:r>
      <w:r w:rsidR="727DAA0D" w:rsidRPr="000F0EBB">
        <w:t xml:space="preserve">anel to consider building on </w:t>
      </w:r>
      <w:r w:rsidR="590FA47D" w:rsidRPr="000F0EBB">
        <w:t>existing</w:t>
      </w:r>
      <w:r w:rsidR="727DAA0D" w:rsidRPr="000F0EBB">
        <w:t xml:space="preserve"> agencies and governance, to clarify and look to build on the roles of </w:t>
      </w:r>
      <w:r w:rsidR="400C3580" w:rsidRPr="000F0EBB">
        <w:t>existing</w:t>
      </w:r>
      <w:r w:rsidR="727DAA0D" w:rsidRPr="000F0EBB">
        <w:t xml:space="preserve"> groups, </w:t>
      </w:r>
      <w:r w:rsidR="2AF08E5A" w:rsidRPr="000F0EBB">
        <w:t>introduce</w:t>
      </w:r>
      <w:r w:rsidR="727DAA0D" w:rsidRPr="000F0EBB">
        <w:t xml:space="preserve"> new governance i</w:t>
      </w:r>
      <w:r w:rsidR="637AD4CB" w:rsidRPr="000F0EBB">
        <w:t>f</w:t>
      </w:r>
      <w:r w:rsidR="727DAA0D" w:rsidRPr="000F0EBB">
        <w:t xml:space="preserve"> there are gaps, to recognise the </w:t>
      </w:r>
      <w:r w:rsidR="0C670A9E" w:rsidRPr="000F0EBB">
        <w:t>unique</w:t>
      </w:r>
      <w:r w:rsidR="727DAA0D" w:rsidRPr="000F0EBB">
        <w:t xml:space="preserve"> role of Snowy Hydro, elevate First Nations into decisi</w:t>
      </w:r>
      <w:r w:rsidR="325AC11D" w:rsidRPr="000F0EBB">
        <w:t xml:space="preserve">on making space, and apply reforms to all Snowy and </w:t>
      </w:r>
      <w:r w:rsidR="281FD1BC" w:rsidRPr="000F0EBB">
        <w:t>Montane</w:t>
      </w:r>
      <w:r w:rsidR="325AC11D" w:rsidRPr="000F0EBB">
        <w:t xml:space="preserve"> Rivers.</w:t>
      </w:r>
      <w:r>
        <w:rPr>
          <w:rFonts w:ascii="ZWAdobeF" w:hAnsi="ZWAdobeF" w:cs="ZWAdobeF"/>
          <w:sz w:val="2"/>
          <w:szCs w:val="2"/>
        </w:rPr>
        <w:t>21F</w:t>
      </w:r>
      <w:r w:rsidR="00143493" w:rsidRPr="21D08C13">
        <w:rPr>
          <w:rStyle w:val="FootnoteReference"/>
        </w:rPr>
        <w:footnoteReference w:id="22"/>
      </w:r>
      <w:r w:rsidR="00143493" w:rsidRPr="000F0EBB">
        <w:t xml:space="preserve">  </w:t>
      </w:r>
    </w:p>
    <w:p w14:paraId="25A71383" w14:textId="30A09834" w:rsidR="00143493" w:rsidRPr="000F0EBB" w:rsidRDefault="00382EE8" w:rsidP="00143493">
      <w:r>
        <w:rPr>
          <w:rFonts w:ascii="ZWAdobeF" w:hAnsi="ZWAdobeF" w:cs="ZWAdobeF"/>
          <w:sz w:val="2"/>
          <w:szCs w:val="2"/>
        </w:rPr>
        <w:t>765B</w:t>
      </w:r>
      <w:r w:rsidR="00143493" w:rsidRPr="000F0EBB">
        <w:t xml:space="preserve">At the same time, the SAG emphasised that governance reform must be supported by enabling conditions, including long-term funding, coordination and integrated catchment management, and noted that views </w:t>
      </w:r>
      <w:r w:rsidR="1961D7DB">
        <w:t xml:space="preserve">in the group </w:t>
      </w:r>
      <w:r w:rsidR="00143493">
        <w:t>were</w:t>
      </w:r>
      <w:r w:rsidR="00143493" w:rsidRPr="000F0EBB">
        <w:t xml:space="preserve"> not uniform, with some members raising concerns about implementation risks, modelling gaps, and impacts on existing water users.</w:t>
      </w:r>
    </w:p>
    <w:p w14:paraId="35EA3572" w14:textId="6C55A712" w:rsidR="003925E6" w:rsidRPr="008429CD" w:rsidRDefault="00FF2282" w:rsidP="005E7950">
      <w:pPr>
        <w:pStyle w:val="Sub-Heading"/>
      </w:pPr>
      <w:r>
        <w:rPr>
          <w:rFonts w:eastAsia="Calibri"/>
        </w:rPr>
        <w:lastRenderedPageBreak/>
        <w:t>Intergovernmental Review Consultation Group</w:t>
      </w:r>
    </w:p>
    <w:p w14:paraId="35BD2827" w14:textId="23FDCC14" w:rsidR="00E87672" w:rsidRDefault="00382EE8" w:rsidP="00E87672">
      <w:r>
        <w:rPr>
          <w:rFonts w:ascii="ZWAdobeF" w:hAnsi="ZWAdobeF" w:cs="ZWAdobeF"/>
          <w:sz w:val="2"/>
          <w:szCs w:val="2"/>
        </w:rPr>
        <w:t>766B</w:t>
      </w:r>
      <w:r w:rsidR="007B0682">
        <w:t xml:space="preserve">The </w:t>
      </w:r>
      <w:r w:rsidR="00E87672">
        <w:t>R</w:t>
      </w:r>
      <w:r w:rsidR="007B0682">
        <w:t xml:space="preserve">eview </w:t>
      </w:r>
      <w:r w:rsidR="00E87672">
        <w:t>C</w:t>
      </w:r>
      <w:r w:rsidR="007B0682">
        <w:t xml:space="preserve">onsultation </w:t>
      </w:r>
      <w:r w:rsidR="00E87672">
        <w:t>G</w:t>
      </w:r>
      <w:r w:rsidR="007B0682">
        <w:t>roup (</w:t>
      </w:r>
      <w:r w:rsidR="00E87672">
        <w:t>RCG</w:t>
      </w:r>
      <w:r w:rsidR="007B0682">
        <w:t>)</w:t>
      </w:r>
      <w:r w:rsidR="00E87672">
        <w:t xml:space="preserve"> discussions indicated that the Deed has been only partially effective in achieving its original intent, with environmental flow targets </w:t>
      </w:r>
      <w:r w:rsidR="18600C25">
        <w:t>not achieved in wetter years</w:t>
      </w:r>
      <w:r w:rsidR="00E87672">
        <w:t xml:space="preserve"> and governance arrangements constraining delivery and reform.</w:t>
      </w:r>
      <w:r>
        <w:rPr>
          <w:rFonts w:ascii="ZWAdobeF" w:hAnsi="ZWAdobeF" w:cs="ZWAdobeF"/>
          <w:sz w:val="2"/>
          <w:szCs w:val="2"/>
        </w:rPr>
        <w:t>22F</w:t>
      </w:r>
      <w:r w:rsidR="007B0682" w:rsidRPr="6332CC80">
        <w:rPr>
          <w:rStyle w:val="FootnoteReference"/>
        </w:rPr>
        <w:footnoteReference w:id="23"/>
      </w:r>
      <w:r w:rsidR="00E87672">
        <w:t xml:space="preserve"> </w:t>
      </w:r>
    </w:p>
    <w:p w14:paraId="34BA2554" w14:textId="4CC6E279" w:rsidR="00E87672" w:rsidRDefault="00382EE8" w:rsidP="30C220DE">
      <w:r>
        <w:rPr>
          <w:rFonts w:ascii="ZWAdobeF" w:hAnsi="ZWAdobeF" w:cs="ZWAdobeF"/>
          <w:sz w:val="2"/>
          <w:szCs w:val="2"/>
        </w:rPr>
        <w:t>767B</w:t>
      </w:r>
      <w:r w:rsidR="4B7E11D8">
        <w:t xml:space="preserve">The </w:t>
      </w:r>
      <w:r w:rsidR="09E1FEBE">
        <w:t xml:space="preserve">RCG </w:t>
      </w:r>
      <w:r w:rsidR="27E0874E">
        <w:t xml:space="preserve">report notes </w:t>
      </w:r>
      <w:r w:rsidR="09E1FEBE">
        <w:t>that “t</w:t>
      </w:r>
      <w:r w:rsidR="09E1FEBE" w:rsidRPr="5B17F137">
        <w:rPr>
          <w:rFonts w:ascii="Aptos" w:eastAsia="Aptos" w:hAnsi="Aptos" w:cs="Arial"/>
          <w:color w:val="000000" w:themeColor="text1"/>
        </w:rPr>
        <w:t>he Deed and Licence have failed to provide a framework and point of authority to resolve drafting errors or differences in interpretation, such as the intent of delivering 212 GL as an average annual flow target for SRIF”.</w:t>
      </w:r>
      <w:r>
        <w:rPr>
          <w:rFonts w:ascii="ZWAdobeF" w:eastAsia="Aptos" w:hAnsi="ZWAdobeF" w:cs="ZWAdobeF"/>
          <w:sz w:val="2"/>
          <w:szCs w:val="2"/>
        </w:rPr>
        <w:t>23F</w:t>
      </w:r>
      <w:r w:rsidR="00E87672" w:rsidRPr="65C359A8">
        <w:rPr>
          <w:rStyle w:val="FootnoteReference"/>
          <w:rFonts w:ascii="Aptos" w:eastAsia="Aptos" w:hAnsi="Aptos" w:cs="Arial"/>
        </w:rPr>
        <w:footnoteReference w:id="24"/>
      </w:r>
      <w:r w:rsidR="09E1FEBE" w:rsidRPr="5B17F137">
        <w:rPr>
          <w:rFonts w:ascii="Aptos" w:eastAsia="Aptos" w:hAnsi="Aptos" w:cs="Arial"/>
        </w:rPr>
        <w:t xml:space="preserve"> </w:t>
      </w:r>
      <w:r w:rsidR="099F5DF7" w:rsidRPr="001036D7">
        <w:t xml:space="preserve"> Structural governance issues were a key concern, including that the Deed “lacks an effective dispute resolution mechanism or clear authority</w:t>
      </w:r>
      <w:r w:rsidR="797297C1">
        <w:t xml:space="preserve"> to resolve such interpretation issues [such as the intent behind agreed objectives]</w:t>
      </w:r>
      <w:r w:rsidR="099F5DF7">
        <w:t>”,</w:t>
      </w:r>
      <w:r>
        <w:rPr>
          <w:rFonts w:ascii="ZWAdobeF" w:hAnsi="ZWAdobeF" w:cs="ZWAdobeF"/>
          <w:sz w:val="2"/>
          <w:szCs w:val="2"/>
        </w:rPr>
        <w:t>24F</w:t>
      </w:r>
      <w:r w:rsidR="00E87672">
        <w:rPr>
          <w:rStyle w:val="FootnoteReference"/>
          <w:rFonts w:ascii="Calibri" w:eastAsia="Calibri" w:hAnsi="Calibri" w:cs="Calibri"/>
          <w:color w:val="000000" w:themeColor="text1"/>
        </w:rPr>
        <w:footnoteReference w:id="25"/>
      </w:r>
      <w:r w:rsidR="099F5DF7">
        <w:t xml:space="preserve"> </w:t>
      </w:r>
      <w:r w:rsidR="099F5DF7" w:rsidRPr="001036D7">
        <w:t>and that compensation arrangements create “a structural disincentive to pursue changes… even where these align with the original intent”</w:t>
      </w:r>
      <w:r w:rsidR="099F5DF7">
        <w:t>.</w:t>
      </w:r>
      <w:r>
        <w:rPr>
          <w:rFonts w:ascii="ZWAdobeF" w:hAnsi="ZWAdobeF" w:cs="ZWAdobeF"/>
          <w:sz w:val="2"/>
          <w:szCs w:val="2"/>
        </w:rPr>
        <w:t>25F</w:t>
      </w:r>
      <w:r w:rsidR="00E87672">
        <w:rPr>
          <w:rStyle w:val="FootnoteReference"/>
          <w:rFonts w:ascii="Calibri" w:eastAsia="Calibri" w:hAnsi="Calibri" w:cs="Calibri"/>
          <w:color w:val="000000" w:themeColor="text1"/>
        </w:rPr>
        <w:footnoteReference w:id="26"/>
      </w:r>
    </w:p>
    <w:p w14:paraId="244EC152" w14:textId="04EB1EB7" w:rsidR="00E87672" w:rsidRDefault="00382EE8" w:rsidP="6332CC80">
      <w:r>
        <w:rPr>
          <w:rFonts w:ascii="ZWAdobeF" w:hAnsi="ZWAdobeF" w:cs="ZWAdobeF"/>
          <w:sz w:val="2"/>
          <w:szCs w:val="2"/>
        </w:rPr>
        <w:t>768B</w:t>
      </w:r>
      <w:r w:rsidR="099F5DF7" w:rsidRPr="001036D7">
        <w:t xml:space="preserve">The </w:t>
      </w:r>
      <w:r w:rsidR="637C2E6A">
        <w:t>RCG</w:t>
      </w:r>
      <w:r w:rsidR="099F5DF7" w:rsidRPr="001036D7">
        <w:t xml:space="preserve"> characterised</w:t>
      </w:r>
      <w:r w:rsidR="637C2E6A">
        <w:t xml:space="preserve"> the </w:t>
      </w:r>
      <w:r w:rsidR="099F5DF7" w:rsidRPr="001036D7">
        <w:t xml:space="preserve">framework as rigid and outdated, with the Deed and Licence having “generally remained static since </w:t>
      </w:r>
      <w:r w:rsidR="192B0B7F" w:rsidRPr="001036D7">
        <w:t xml:space="preserve">its </w:t>
      </w:r>
      <w:r w:rsidR="099F5DF7" w:rsidRPr="001036D7">
        <w:t>establishment”</w:t>
      </w:r>
      <w:r w:rsidR="099F5DF7">
        <w:t>,</w:t>
      </w:r>
      <w:r>
        <w:rPr>
          <w:rFonts w:ascii="ZWAdobeF" w:hAnsi="ZWAdobeF" w:cs="ZWAdobeF"/>
          <w:sz w:val="2"/>
          <w:szCs w:val="2"/>
        </w:rPr>
        <w:t>26F</w:t>
      </w:r>
      <w:r w:rsidR="00E87672">
        <w:rPr>
          <w:rStyle w:val="FootnoteReference"/>
          <w:rFonts w:ascii="Calibri" w:eastAsia="Calibri" w:hAnsi="Calibri" w:cs="Calibri"/>
          <w:color w:val="000000" w:themeColor="text1"/>
        </w:rPr>
        <w:footnoteReference w:id="27"/>
      </w:r>
      <w:r w:rsidR="099F5DF7">
        <w:t xml:space="preserve"> </w:t>
      </w:r>
      <w:r w:rsidR="099F5DF7" w:rsidRPr="001036D7">
        <w:t xml:space="preserve">and no longer aligning with modern approaches, particularly in relation to adaptive environmental management and regulatory flexibility. </w:t>
      </w:r>
    </w:p>
    <w:p w14:paraId="6436D417" w14:textId="4B061564" w:rsidR="00E87672" w:rsidRDefault="00382EE8" w:rsidP="6332CC80">
      <w:r>
        <w:rPr>
          <w:rFonts w:ascii="ZWAdobeF" w:hAnsi="ZWAdobeF" w:cs="ZWAdobeF"/>
          <w:sz w:val="2"/>
          <w:szCs w:val="2"/>
        </w:rPr>
        <w:t>769B</w:t>
      </w:r>
      <w:r w:rsidR="54CBA591" w:rsidRPr="001036D7">
        <w:t>T</w:t>
      </w:r>
      <w:r w:rsidR="099F5DF7" w:rsidRPr="001036D7">
        <w:t>here was broad recognition of the need to modernise governance, with support for a contemporary governance and regulatory framework</w:t>
      </w:r>
      <w:r w:rsidR="1A03C5F6" w:rsidRPr="001036D7">
        <w:t xml:space="preserve">, guided by </w:t>
      </w:r>
      <w:r w:rsidR="737CC409" w:rsidRPr="001036D7">
        <w:t>principles that</w:t>
      </w:r>
      <w:r w:rsidR="099F5DF7" w:rsidRPr="001036D7">
        <w:t xml:space="preserve"> </w:t>
      </w:r>
      <w:r w:rsidR="45E545F6" w:rsidRPr="001036D7">
        <w:t>emphasise “a</w:t>
      </w:r>
      <w:r w:rsidR="45E545F6" w:rsidRPr="6332CC80">
        <w:rPr>
          <w:rFonts w:ascii="Aptos" w:eastAsia="Aptos" w:hAnsi="Aptos" w:cs="Arial"/>
          <w:color w:val="000000" w:themeColor="text1"/>
          <w:szCs w:val="22"/>
        </w:rPr>
        <w:t xml:space="preserve"> clear division of roles, where governments setting strategic direction and review cycles, and regulators empowered to act independently and proportionately within agreed frameworks, without triggering compensation”.</w:t>
      </w:r>
      <w:r>
        <w:rPr>
          <w:rFonts w:ascii="ZWAdobeF" w:eastAsia="Aptos" w:hAnsi="ZWAdobeF" w:cs="ZWAdobeF"/>
          <w:sz w:val="2"/>
          <w:szCs w:val="2"/>
        </w:rPr>
        <w:t>27F</w:t>
      </w:r>
      <w:r w:rsidR="099F5DF7" w:rsidRPr="6332CC80">
        <w:rPr>
          <w:rStyle w:val="FootnoteReference"/>
          <w:rFonts w:ascii="Aptos" w:eastAsia="Aptos" w:hAnsi="Aptos" w:cs="Arial"/>
          <w:szCs w:val="22"/>
        </w:rPr>
        <w:footnoteReference w:id="28"/>
      </w:r>
      <w:r w:rsidR="45E545F6" w:rsidRPr="6332CC80">
        <w:rPr>
          <w:rFonts w:ascii="Aptos" w:eastAsia="Aptos" w:hAnsi="Aptos" w:cs="Arial"/>
          <w:szCs w:val="22"/>
        </w:rPr>
        <w:t xml:space="preserve"> </w:t>
      </w:r>
    </w:p>
    <w:p w14:paraId="28867730" w14:textId="76E79431" w:rsidR="00FF2282" w:rsidRDefault="00172E3D" w:rsidP="00CC7A58">
      <w:pPr>
        <w:pStyle w:val="ReviewHeading2"/>
        <w:jc w:val="left"/>
        <w:rPr>
          <w:rFonts w:eastAsia="Calibri"/>
        </w:rPr>
      </w:pPr>
      <w:bookmarkStart w:id="46" w:name="_Toc233285595"/>
      <w:bookmarkStart w:id="47" w:name="_Toc233801474"/>
      <w:r w:rsidRPr="6332CC80">
        <w:rPr>
          <w:rFonts w:eastAsia="Calibri"/>
        </w:rPr>
        <w:t xml:space="preserve">3.3 </w:t>
      </w:r>
      <w:r w:rsidR="00972382" w:rsidRPr="6332CC80">
        <w:rPr>
          <w:rFonts w:eastAsia="Calibri"/>
        </w:rPr>
        <w:t>Effective</w:t>
      </w:r>
      <w:r w:rsidR="009055DA" w:rsidRPr="6332CC80">
        <w:rPr>
          <w:rFonts w:eastAsia="Calibri"/>
        </w:rPr>
        <w:t>nes</w:t>
      </w:r>
      <w:r w:rsidR="00972382" w:rsidRPr="6332CC80">
        <w:rPr>
          <w:rFonts w:eastAsia="Calibri"/>
        </w:rPr>
        <w:t>s of increased flows against original targets</w:t>
      </w:r>
      <w:bookmarkEnd w:id="46"/>
      <w:bookmarkEnd w:id="47"/>
    </w:p>
    <w:p w14:paraId="1F85443B" w14:textId="436F7F09" w:rsidR="009055DA" w:rsidRDefault="00382EE8" w:rsidP="009055DA">
      <w:r>
        <w:rPr>
          <w:rFonts w:ascii="ZWAdobeF" w:hAnsi="ZWAdobeF" w:cs="ZWAdobeF"/>
          <w:sz w:val="2"/>
          <w:szCs w:val="2"/>
        </w:rPr>
        <w:t>770B</w:t>
      </w:r>
      <w:r w:rsidR="7F117D77" w:rsidRPr="45374A5B">
        <w:t xml:space="preserve">A key limitation of the Deed is its reliance on an implicit assumption that increased flow volumes </w:t>
      </w:r>
      <w:r w:rsidR="7F117D77">
        <w:t xml:space="preserve">alone </w:t>
      </w:r>
      <w:r w:rsidR="7F117D77" w:rsidRPr="45374A5B">
        <w:t xml:space="preserve">(outputs) will translate into improved ecological condition (outcomes). In the absence of clearly defined, measurable environmental outcomes, </w:t>
      </w:r>
      <w:r w:rsidR="47D15A94">
        <w:t>it</w:t>
      </w:r>
      <w:r w:rsidR="7F117D77" w:rsidRPr="45374A5B">
        <w:t xml:space="preserve"> has not been </w:t>
      </w:r>
      <w:r w:rsidR="47D15A94">
        <w:t>possible</w:t>
      </w:r>
      <w:r w:rsidR="263CE4E0">
        <w:t xml:space="preserve"> to </w:t>
      </w:r>
      <w:r w:rsidR="47D15A94">
        <w:t xml:space="preserve">assess this assumption. </w:t>
      </w:r>
      <w:r w:rsidR="7F117D77" w:rsidRPr="3F476071">
        <w:t>While environmental flow releases in both the Snowy Montane Rivers and the Snowy River have seen marginal increases</w:t>
      </w:r>
      <w:r w:rsidR="7F117D77" w:rsidRPr="04307BF9">
        <w:t xml:space="preserve"> compared to </w:t>
      </w:r>
      <w:r w:rsidR="7F117D77" w:rsidRPr="00BAFF74">
        <w:t>pre</w:t>
      </w:r>
      <w:r w:rsidR="7F117D77" w:rsidRPr="04307BF9">
        <w:t xml:space="preserve">-Deed </w:t>
      </w:r>
      <w:r w:rsidR="7F117D77" w:rsidRPr="00BAFF74">
        <w:t>arrangements,</w:t>
      </w:r>
      <w:r>
        <w:rPr>
          <w:rFonts w:ascii="ZWAdobeF" w:hAnsi="ZWAdobeF" w:cs="ZWAdobeF"/>
          <w:sz w:val="2"/>
          <w:szCs w:val="2"/>
        </w:rPr>
        <w:t>28F</w:t>
      </w:r>
      <w:r w:rsidR="009055DA" w:rsidRPr="00BAFF74">
        <w:rPr>
          <w:rStyle w:val="FootnoteReference"/>
          <w:rFonts w:ascii="Calibri" w:eastAsia="Calibri" w:hAnsi="Calibri" w:cs="Calibri"/>
        </w:rPr>
        <w:footnoteReference w:id="29"/>
      </w:r>
      <w:r w:rsidR="7F117D77" w:rsidRPr="3F476071">
        <w:t xml:space="preserve"> these have not translated into the environmental outcomes originally envisaged under the Deed framework.</w:t>
      </w:r>
    </w:p>
    <w:p w14:paraId="23353CC7" w14:textId="4D1CE7A3" w:rsidR="009055DA" w:rsidRDefault="009055DA" w:rsidP="6332CC80">
      <w:pPr>
        <w:pStyle w:val="ReviewHeading3"/>
        <w:rPr>
          <w:rFonts w:eastAsia="Calibri"/>
        </w:rPr>
      </w:pPr>
      <w:r w:rsidRPr="6332CC80">
        <w:rPr>
          <w:rFonts w:eastAsia="Calibri"/>
        </w:rPr>
        <w:lastRenderedPageBreak/>
        <w:t>Snowy Montane Rivers Increased Flows</w:t>
      </w:r>
    </w:p>
    <w:p w14:paraId="549D1E98" w14:textId="5F408B89" w:rsidR="00C112CF" w:rsidRPr="009F655C" w:rsidRDefault="00382EE8" w:rsidP="00C112CF">
      <w:r>
        <w:rPr>
          <w:rFonts w:ascii="ZWAdobeF" w:hAnsi="ZWAdobeF" w:cs="ZWAdobeF"/>
          <w:sz w:val="2"/>
          <w:szCs w:val="2"/>
        </w:rPr>
        <w:t>771B</w:t>
      </w:r>
      <w:r w:rsidR="487393C2">
        <w:t>Although</w:t>
      </w:r>
      <w:r w:rsidR="1B11114F">
        <w:t xml:space="preserve"> t</w:t>
      </w:r>
      <w:r w:rsidR="30EB1C53">
        <w:t>he</w:t>
      </w:r>
      <w:r w:rsidR="00C112CF">
        <w:t xml:space="preserve"> </w:t>
      </w:r>
      <w:r w:rsidR="4042750C">
        <w:t>intent</w:t>
      </w:r>
      <w:r w:rsidR="00C112CF">
        <w:t xml:space="preserve"> of increasing average annual flows to the Snowy Montane Rivers, including the </w:t>
      </w:r>
      <w:r w:rsidR="002F78BB">
        <w:t>U</w:t>
      </w:r>
      <w:r w:rsidR="00C112CF">
        <w:t xml:space="preserve">pper Murrumbidgee River, has been </w:t>
      </w:r>
      <w:r w:rsidR="57F864FE">
        <w:t>achieved</w:t>
      </w:r>
      <w:r w:rsidR="6D94C2A6">
        <w:t xml:space="preserve"> in aggregate</w:t>
      </w:r>
      <w:r w:rsidR="2846AA9C">
        <w:t>,</w:t>
      </w:r>
      <w:r w:rsidR="57F864FE">
        <w:t xml:space="preserve"> it has been </w:t>
      </w:r>
      <w:r w:rsidR="00C112CF">
        <w:t xml:space="preserve">assessed as </w:t>
      </w:r>
      <w:r w:rsidR="7359D2C8">
        <w:t xml:space="preserve">only </w:t>
      </w:r>
      <w:r w:rsidR="00C112CF">
        <w:t>partially effective.</w:t>
      </w:r>
    </w:p>
    <w:p w14:paraId="130CC93E" w14:textId="276950B7" w:rsidR="00C112CF" w:rsidRPr="00E61898" w:rsidRDefault="00382EE8" w:rsidP="6332CC80">
      <w:r>
        <w:rPr>
          <w:rFonts w:ascii="ZWAdobeF" w:hAnsi="ZWAdobeF" w:cs="ZWAdobeF"/>
          <w:sz w:val="2"/>
          <w:szCs w:val="2"/>
        </w:rPr>
        <w:t>772B</w:t>
      </w:r>
      <w:r w:rsidR="15A5AFB9" w:rsidRPr="45374A5B">
        <w:t>T</w:t>
      </w:r>
      <w:r w:rsidR="7DDDD2D3" w:rsidRPr="45374A5B">
        <w:t>he</w:t>
      </w:r>
      <w:r w:rsidR="6758F8DE" w:rsidRPr="45374A5B">
        <w:t xml:space="preserve"> scale of these increases has been limited. While the Deed specifies a </w:t>
      </w:r>
      <w:r w:rsidR="6758F8DE">
        <w:t xml:space="preserve">target </w:t>
      </w:r>
      <w:r w:rsidR="51759E8A" w:rsidRPr="45374A5B">
        <w:t xml:space="preserve">average </w:t>
      </w:r>
      <w:r w:rsidR="6758F8DE">
        <w:t xml:space="preserve">of 27GL per year for the </w:t>
      </w:r>
      <w:r w:rsidR="0D27CAC8" w:rsidRPr="45374A5B">
        <w:t>U</w:t>
      </w:r>
      <w:r w:rsidR="6758F8DE">
        <w:t>pper Murrumbidgee</w:t>
      </w:r>
      <w:r w:rsidR="6758F8DE" w:rsidRPr="45374A5B">
        <w:t xml:space="preserve">, </w:t>
      </w:r>
      <w:r w:rsidR="6758F8DE" w:rsidDel="5485168A">
        <w:t>described as approximately 30</w:t>
      </w:r>
      <w:r w:rsidR="00BB1C37">
        <w:t>%</w:t>
      </w:r>
      <w:r w:rsidR="6758F8DE" w:rsidDel="00BB1C37">
        <w:t xml:space="preserve"> </w:t>
      </w:r>
      <w:r w:rsidR="6758F8DE" w:rsidDel="5485168A">
        <w:t xml:space="preserve">of </w:t>
      </w:r>
      <w:r w:rsidR="5662C96C" w:rsidRPr="45374A5B">
        <w:t xml:space="preserve">annual </w:t>
      </w:r>
      <w:r w:rsidR="6758F8DE">
        <w:t xml:space="preserve">natural </w:t>
      </w:r>
      <w:r w:rsidR="6758F8DE" w:rsidRPr="45374A5B">
        <w:t xml:space="preserve">evidence indicates this figure is overstated. According to McGuire and Pittock, based on a long-term average inflow </w:t>
      </w:r>
      <w:r w:rsidR="21D6CC52" w:rsidRPr="45374A5B">
        <w:t xml:space="preserve">to Tantangara Dam </w:t>
      </w:r>
      <w:r w:rsidR="6758F8DE" w:rsidRPr="45374A5B">
        <w:t xml:space="preserve">of approximately </w:t>
      </w:r>
      <w:r w:rsidR="6758F8DE">
        <w:t xml:space="preserve">290 GL, the target equates to around </w:t>
      </w:r>
      <w:r w:rsidR="512A5580">
        <w:t>only</w:t>
      </w:r>
      <w:r w:rsidR="6758F8DE">
        <w:t xml:space="preserve"> 9</w:t>
      </w:r>
      <w:r w:rsidR="00A11895">
        <w:t>%</w:t>
      </w:r>
      <w:r w:rsidR="6758F8DE">
        <w:t xml:space="preserve"> of annual </w:t>
      </w:r>
      <w:r w:rsidR="4C47DA04">
        <w:t xml:space="preserve">average </w:t>
      </w:r>
      <w:r w:rsidR="6758F8DE">
        <w:t>natural flow.</w:t>
      </w:r>
      <w:r>
        <w:rPr>
          <w:rFonts w:ascii="ZWAdobeF" w:hAnsi="ZWAdobeF" w:cs="ZWAdobeF"/>
          <w:sz w:val="2"/>
          <w:szCs w:val="2"/>
        </w:rPr>
        <w:t>29F</w:t>
      </w:r>
      <w:r w:rsidR="15A5AFB9" w:rsidRPr="6332CC80">
        <w:rPr>
          <w:rStyle w:val="FootnoteReference"/>
          <w:rFonts w:ascii="Calibri" w:eastAsia="Calibri" w:hAnsi="Calibri" w:cs="Calibri"/>
        </w:rPr>
        <w:footnoteReference w:id="30"/>
      </w:r>
    </w:p>
    <w:p w14:paraId="6C910EB0" w14:textId="0E4A4B29" w:rsidR="00C112CF" w:rsidRPr="00E61898" w:rsidRDefault="00382EE8" w:rsidP="00C112CF">
      <w:r>
        <w:rPr>
          <w:rFonts w:ascii="ZWAdobeF" w:hAnsi="ZWAdobeF" w:cs="ZWAdobeF"/>
          <w:sz w:val="2"/>
          <w:szCs w:val="2"/>
        </w:rPr>
        <w:t>773B</w:t>
      </w:r>
      <w:r w:rsidR="6758F8DE" w:rsidRPr="45374A5B">
        <w:t xml:space="preserve">In practice, delivery has been </w:t>
      </w:r>
      <w:r w:rsidR="6BDB070E">
        <w:t xml:space="preserve">even </w:t>
      </w:r>
      <w:r w:rsidR="6758F8DE" w:rsidRPr="45374A5B">
        <w:t xml:space="preserve">lower, with </w:t>
      </w:r>
      <w:r w:rsidR="1F0A4DA8">
        <w:t xml:space="preserve">an </w:t>
      </w:r>
      <w:r w:rsidR="6758F8DE" w:rsidRPr="45374A5B">
        <w:t xml:space="preserve">average annual release of approximately </w:t>
      </w:r>
      <w:r w:rsidR="00520566">
        <w:t>21.2</w:t>
      </w:r>
      <w:r w:rsidR="6758F8DE" w:rsidRPr="45374A5B">
        <w:t xml:space="preserve"> GL between 2008 and 202</w:t>
      </w:r>
      <w:r w:rsidR="00520566">
        <w:t>5</w:t>
      </w:r>
      <w:r w:rsidR="1982B2D3" w:rsidRPr="45374A5B">
        <w:t>, representing around 7</w:t>
      </w:r>
      <w:r w:rsidR="005A1EDB">
        <w:t>9</w:t>
      </w:r>
      <w:r w:rsidR="00F32C67">
        <w:t>%</w:t>
      </w:r>
      <w:r w:rsidR="1982B2D3" w:rsidRPr="45374A5B" w:rsidDel="00F32C67">
        <w:t xml:space="preserve"> </w:t>
      </w:r>
      <w:r w:rsidR="1982B2D3" w:rsidRPr="45374A5B">
        <w:t xml:space="preserve">of the </w:t>
      </w:r>
      <w:r w:rsidR="005A1EDB">
        <w:t xml:space="preserve">volumetric </w:t>
      </w:r>
      <w:r w:rsidR="1982B2D3" w:rsidRPr="45374A5B">
        <w:t>target</w:t>
      </w:r>
      <w:r w:rsidR="005A1EDB">
        <w:t>, and only 7</w:t>
      </w:r>
      <w:r w:rsidR="00974F9D">
        <w:t>-8% of long</w:t>
      </w:r>
      <w:r w:rsidR="3164ACE2">
        <w:t>-</w:t>
      </w:r>
      <w:r w:rsidR="00974F9D">
        <w:t>term average natural flows</w:t>
      </w:r>
      <w:r w:rsidR="6758F8DE" w:rsidRPr="45374A5B">
        <w:t>.</w:t>
      </w:r>
      <w:r>
        <w:rPr>
          <w:rFonts w:ascii="ZWAdobeF" w:hAnsi="ZWAdobeF" w:cs="ZWAdobeF"/>
          <w:sz w:val="2"/>
          <w:szCs w:val="2"/>
        </w:rPr>
        <w:t>30F</w:t>
      </w:r>
      <w:r w:rsidR="00C112CF">
        <w:rPr>
          <w:rStyle w:val="FootnoteReference"/>
          <w:rFonts w:ascii="Calibri" w:eastAsia="Calibri" w:hAnsi="Calibri" w:cs="Calibri"/>
        </w:rPr>
        <w:footnoteReference w:id="31"/>
      </w:r>
      <w:r w:rsidR="6758F8DE" w:rsidRPr="45374A5B">
        <w:t xml:space="preserve"> </w:t>
      </w:r>
      <w:r w:rsidR="6758F8DE">
        <w:t>This shows that SMRIF targets are frequently not met, despite operations generally complying with the constraints of the NSW Snowy Water Licence.</w:t>
      </w:r>
      <w:r w:rsidR="18298336">
        <w:t xml:space="preserve"> </w:t>
      </w:r>
    </w:p>
    <w:p w14:paraId="789E7FA8" w14:textId="421F3B8C" w:rsidR="00C112CF" w:rsidRPr="00E61898" w:rsidRDefault="00382EE8" w:rsidP="6332CC80">
      <w:r>
        <w:rPr>
          <w:rFonts w:ascii="ZWAdobeF" w:hAnsi="ZWAdobeF" w:cs="ZWAdobeF"/>
          <w:sz w:val="2"/>
          <w:szCs w:val="2"/>
        </w:rPr>
        <w:t>774B</w:t>
      </w:r>
      <w:r w:rsidR="6758F8DE" w:rsidRPr="45374A5B">
        <w:t xml:space="preserve">More fundamentally, the Deed’s targets are insufficient to deliver substantial ecological benefits. </w:t>
      </w:r>
      <w:r w:rsidR="75E978F6" w:rsidRPr="6E62429A">
        <w:rPr>
          <w:rFonts w:ascii="Aptos" w:eastAsia="Aptos" w:hAnsi="Aptos" w:cs="Aptos"/>
        </w:rPr>
        <w:t xml:space="preserve">The ACT 2024 </w:t>
      </w:r>
      <w:r w:rsidR="630A259F" w:rsidRPr="6E62429A">
        <w:rPr>
          <w:rFonts w:ascii="Aptos" w:eastAsia="Aptos" w:hAnsi="Aptos" w:cs="Aptos"/>
        </w:rPr>
        <w:t xml:space="preserve">five </w:t>
      </w:r>
      <w:r w:rsidR="75E978F6" w:rsidRPr="6E62429A">
        <w:rPr>
          <w:rFonts w:ascii="Aptos" w:eastAsia="Aptos" w:hAnsi="Aptos" w:cs="Aptos"/>
        </w:rPr>
        <w:t>year</w:t>
      </w:r>
      <w:r w:rsidR="2ADEDCE4" w:rsidRPr="6E62429A">
        <w:rPr>
          <w:rFonts w:ascii="Aptos" w:eastAsia="Aptos" w:hAnsi="Aptos" w:cs="Aptos"/>
        </w:rPr>
        <w:t>ly</w:t>
      </w:r>
      <w:r w:rsidR="75E978F6" w:rsidRPr="6E62429A">
        <w:rPr>
          <w:rFonts w:ascii="Aptos" w:eastAsia="Aptos" w:hAnsi="Aptos" w:cs="Aptos"/>
        </w:rPr>
        <w:t xml:space="preserve"> reporting for the Basin Plan (Schedule 12 Matter 8, Matter 12 and Matter 18) </w:t>
      </w:r>
      <w:r w:rsidR="65158FA9" w:rsidRPr="6E62429A">
        <w:rPr>
          <w:rFonts w:ascii="Aptos" w:eastAsia="Aptos" w:hAnsi="Aptos" w:cs="Aptos"/>
        </w:rPr>
        <w:t>highlights</w:t>
      </w:r>
      <w:r w:rsidR="75E978F6" w:rsidRPr="6E62429A">
        <w:rPr>
          <w:rFonts w:ascii="Aptos" w:eastAsia="Aptos" w:hAnsi="Aptos" w:cs="Aptos"/>
        </w:rPr>
        <w:t xml:space="preserve"> the declining condition of environmental assets</w:t>
      </w:r>
      <w:r w:rsidR="057A44F6" w:rsidRPr="6E62429A">
        <w:rPr>
          <w:rFonts w:ascii="Aptos" w:eastAsia="Aptos" w:hAnsi="Aptos" w:cs="Aptos"/>
        </w:rPr>
        <w:t xml:space="preserve"> in</w:t>
      </w:r>
      <w:r w:rsidR="75E978F6" w:rsidRPr="6E62429A">
        <w:rPr>
          <w:rFonts w:ascii="Aptos" w:eastAsia="Aptos" w:hAnsi="Aptos" w:cs="Aptos"/>
        </w:rPr>
        <w:t xml:space="preserve"> the </w:t>
      </w:r>
      <w:r w:rsidR="2D8035C9" w:rsidRPr="6E62429A">
        <w:rPr>
          <w:rFonts w:ascii="Aptos" w:eastAsia="Aptos" w:hAnsi="Aptos" w:cs="Aptos"/>
        </w:rPr>
        <w:t>U</w:t>
      </w:r>
      <w:r w:rsidR="75E978F6" w:rsidRPr="6E62429A">
        <w:rPr>
          <w:rFonts w:ascii="Aptos" w:eastAsia="Aptos" w:hAnsi="Aptos" w:cs="Aptos"/>
        </w:rPr>
        <w:t>pper Murrumbidgee River</w:t>
      </w:r>
      <w:r w:rsidR="7FC48535" w:rsidRPr="6E62429A">
        <w:rPr>
          <w:rFonts w:ascii="Aptos" w:eastAsia="Aptos" w:hAnsi="Aptos" w:cs="Aptos"/>
        </w:rPr>
        <w:t>, which is</w:t>
      </w:r>
      <w:r w:rsidR="75E978F6" w:rsidRPr="6E62429A">
        <w:rPr>
          <w:rFonts w:ascii="Aptos" w:eastAsia="Aptos" w:hAnsi="Aptos" w:cs="Aptos"/>
        </w:rPr>
        <w:t xml:space="preserve"> directly attributed to the operation of Tantangara Dam and environmental flows </w:t>
      </w:r>
      <w:r w:rsidR="78E53522" w:rsidRPr="6E62429A">
        <w:rPr>
          <w:rFonts w:ascii="Aptos" w:eastAsia="Aptos" w:hAnsi="Aptos" w:cs="Aptos"/>
        </w:rPr>
        <w:t xml:space="preserve">available </w:t>
      </w:r>
      <w:r w:rsidR="75E978F6" w:rsidRPr="6E62429A">
        <w:rPr>
          <w:rFonts w:ascii="Aptos" w:eastAsia="Aptos" w:hAnsi="Aptos" w:cs="Aptos"/>
        </w:rPr>
        <w:t>under the Deed.</w:t>
      </w:r>
      <w:r>
        <w:rPr>
          <w:rFonts w:ascii="ZWAdobeF" w:eastAsia="Aptos" w:hAnsi="ZWAdobeF" w:cs="ZWAdobeF"/>
          <w:sz w:val="2"/>
          <w:szCs w:val="2"/>
        </w:rPr>
        <w:t>31F</w:t>
      </w:r>
      <w:r w:rsidR="6758F8DE" w:rsidRPr="6E62429A">
        <w:rPr>
          <w:rStyle w:val="FootnoteReference"/>
          <w:rFonts w:ascii="Aptos" w:eastAsia="Aptos" w:hAnsi="Aptos" w:cs="Aptos"/>
        </w:rPr>
        <w:footnoteReference w:id="32"/>
      </w:r>
      <w:r w:rsidR="6758F8DE">
        <w:t xml:space="preserve"> Despite a key </w:t>
      </w:r>
      <w:r w:rsidR="6758F8DE" w:rsidRPr="45374A5B">
        <w:t xml:space="preserve">objective in the Deed </w:t>
      </w:r>
      <w:r w:rsidR="108DE24D" w:rsidRPr="45374A5B">
        <w:t>t</w:t>
      </w:r>
      <w:r w:rsidR="6758F8DE" w:rsidRPr="45374A5B">
        <w:t xml:space="preserve">o protect endangered or threatened species, the Macquarie Perch population </w:t>
      </w:r>
      <w:r w:rsidR="1DFA50AA" w:rsidRPr="45374A5B">
        <w:t xml:space="preserve">is increasingly at risk of extinction. </w:t>
      </w:r>
      <w:r w:rsidR="1DFA50AA" w:rsidRPr="6E62429A">
        <w:rPr>
          <w:rFonts w:ascii="Aptos" w:eastAsia="Aptos" w:hAnsi="Aptos" w:cs="Arial"/>
        </w:rPr>
        <w:t>This reflects the impacts of reduced flow variability in the Upper Murrumbidgee River</w:t>
      </w:r>
      <w:r w:rsidR="3C98F282" w:rsidRPr="6E62429A">
        <w:rPr>
          <w:rFonts w:ascii="Aptos" w:eastAsia="Aptos" w:hAnsi="Aptos" w:cs="Arial"/>
        </w:rPr>
        <w:t xml:space="preserve">, </w:t>
      </w:r>
      <w:r w:rsidR="1DFA50AA" w:rsidRPr="6E62429A">
        <w:rPr>
          <w:rFonts w:ascii="Aptos" w:eastAsia="Aptos" w:hAnsi="Aptos" w:cs="Arial"/>
        </w:rPr>
        <w:t>particularly the loss of larger flow pulses due to Tantangara Dam</w:t>
      </w:r>
      <w:r w:rsidR="6B284C14" w:rsidRPr="6E62429A">
        <w:rPr>
          <w:rFonts w:ascii="Aptos" w:eastAsia="Aptos" w:hAnsi="Aptos" w:cs="Arial"/>
        </w:rPr>
        <w:t xml:space="preserve">, </w:t>
      </w:r>
      <w:r w:rsidR="1DFA50AA" w:rsidRPr="6E62429A">
        <w:rPr>
          <w:rFonts w:ascii="Aptos" w:eastAsia="Aptos" w:hAnsi="Aptos" w:cs="Arial"/>
        </w:rPr>
        <w:t>which undermines habitat quality, connectivity and recruitment, all of which are critical to the species’ survival.</w:t>
      </w:r>
      <w:r>
        <w:rPr>
          <w:rFonts w:ascii="ZWAdobeF" w:eastAsia="Aptos" w:hAnsi="ZWAdobeF" w:cs="ZWAdobeF"/>
          <w:sz w:val="2"/>
          <w:szCs w:val="2"/>
        </w:rPr>
        <w:t>32F</w:t>
      </w:r>
      <w:r w:rsidR="6758F8DE" w:rsidRPr="6332CC80">
        <w:rPr>
          <w:rStyle w:val="FootnoteReference"/>
        </w:rPr>
        <w:footnoteReference w:id="33"/>
      </w:r>
      <w:r w:rsidR="1DFA50AA">
        <w:t xml:space="preserve"> </w:t>
      </w:r>
    </w:p>
    <w:p w14:paraId="13ED5480" w14:textId="72DBF02C" w:rsidR="00C112CF" w:rsidRPr="00E61898" w:rsidRDefault="00382EE8" w:rsidP="6332CC80">
      <w:r>
        <w:rPr>
          <w:rFonts w:ascii="ZWAdobeF" w:hAnsi="ZWAdobeF" w:cs="ZWAdobeF"/>
          <w:sz w:val="2"/>
          <w:szCs w:val="2"/>
        </w:rPr>
        <w:t>775B</w:t>
      </w:r>
      <w:r w:rsidR="6758F8DE" w:rsidRPr="45374A5B">
        <w:t>Further discussion on condition o</w:t>
      </w:r>
      <w:r w:rsidR="247E6750">
        <w:t>f</w:t>
      </w:r>
      <w:r w:rsidR="6758F8DE">
        <w:t xml:space="preserve"> the </w:t>
      </w:r>
      <w:r w:rsidR="0F4143CA">
        <w:t>U</w:t>
      </w:r>
      <w:r w:rsidR="0038220B">
        <w:t xml:space="preserve">pper Murrumbidgee </w:t>
      </w:r>
      <w:r w:rsidR="414F78C4">
        <w:t>R</w:t>
      </w:r>
      <w:r w:rsidR="6758F8DE">
        <w:t xml:space="preserve">iver is at </w:t>
      </w:r>
      <w:r w:rsidR="6758F8DE" w:rsidRPr="0038220B">
        <w:rPr>
          <w:b/>
        </w:rPr>
        <w:t>Chapter</w:t>
      </w:r>
      <w:r w:rsidR="6758F8DE" w:rsidRPr="0038220B">
        <w:rPr>
          <w:b/>
          <w:bCs/>
        </w:rPr>
        <w:t xml:space="preserve"> </w:t>
      </w:r>
      <w:r w:rsidR="0038220B" w:rsidRPr="0038220B">
        <w:rPr>
          <w:b/>
          <w:bCs/>
        </w:rPr>
        <w:t>4</w:t>
      </w:r>
      <w:r w:rsidR="6758F8DE" w:rsidRPr="0038220B">
        <w:rPr>
          <w:b/>
        </w:rPr>
        <w:t>.</w:t>
      </w:r>
    </w:p>
    <w:p w14:paraId="3DF816E2" w14:textId="2BB569DF" w:rsidR="009055DA" w:rsidRPr="00AC0B49" w:rsidRDefault="0091618E" w:rsidP="6332CC80">
      <w:pPr>
        <w:pStyle w:val="ReviewHeading3"/>
      </w:pPr>
      <w:r w:rsidRPr="6332CC80">
        <w:rPr>
          <w:rFonts w:eastAsia="Calibri"/>
        </w:rPr>
        <w:t>Snowy River increased flows</w:t>
      </w:r>
    </w:p>
    <w:p w14:paraId="374A2169" w14:textId="5F9F06FD" w:rsidR="00012A63" w:rsidRDefault="00382EE8" w:rsidP="00012A63">
      <w:r>
        <w:rPr>
          <w:rFonts w:ascii="ZWAdobeF" w:hAnsi="ZWAdobeF" w:cs="ZWAdobeF"/>
          <w:sz w:val="2"/>
          <w:szCs w:val="2"/>
        </w:rPr>
        <w:t>776B</w:t>
      </w:r>
      <w:r w:rsidR="00012A63" w:rsidRPr="002336A3">
        <w:t>The objective of increasing average annual flows to the Snowy River below Jindabyne Dam from approximately 1 to 21</w:t>
      </w:r>
      <w:r w:rsidR="00F32C67">
        <w:t>%</w:t>
      </w:r>
      <w:r w:rsidR="00012A63" w:rsidRPr="002336A3">
        <w:t xml:space="preserve"> of mean annual natural flows has been assessed as partially effective.</w:t>
      </w:r>
    </w:p>
    <w:p w14:paraId="31F09036" w14:textId="67AFD584" w:rsidR="00012A63" w:rsidRPr="009F655C" w:rsidRDefault="00382EE8" w:rsidP="00012A63">
      <w:r>
        <w:rPr>
          <w:rFonts w:ascii="ZWAdobeF" w:hAnsi="ZWAdobeF" w:cs="ZWAdobeF"/>
          <w:sz w:val="2"/>
          <w:szCs w:val="2"/>
        </w:rPr>
        <w:t>777B</w:t>
      </w:r>
      <w:r w:rsidR="00012A63">
        <w:t>As with SMRIF, t</w:t>
      </w:r>
      <w:r w:rsidR="00012A63" w:rsidRPr="009F655C">
        <w:t xml:space="preserve">he introduction of SRIF constituted a significant policy change and has resulted in </w:t>
      </w:r>
      <w:r w:rsidR="00012A63">
        <w:t xml:space="preserve">some </w:t>
      </w:r>
      <w:r w:rsidR="00012A63" w:rsidRPr="009F655C">
        <w:t>increased environmental water delivery compared with historical diversion regimes.</w:t>
      </w:r>
    </w:p>
    <w:p w14:paraId="74D94400" w14:textId="433C4CFD" w:rsidR="00012A63" w:rsidRPr="009F655C" w:rsidRDefault="00382EE8" w:rsidP="00012A63">
      <w:r>
        <w:rPr>
          <w:rFonts w:ascii="ZWAdobeF" w:hAnsi="ZWAdobeF" w:cs="ZWAdobeF"/>
          <w:sz w:val="2"/>
          <w:szCs w:val="2"/>
        </w:rPr>
        <w:t>778B</w:t>
      </w:r>
      <w:r w:rsidR="73BFE183" w:rsidRPr="009F655C">
        <w:t xml:space="preserve">However, achievement of the Deed’s flow objectives remains contested. Governments and Snowy Hydro differ in their interpretation of whether SRIF targets should be assessed as long-term averages </w:t>
      </w:r>
      <w:r w:rsidR="73BFE183" w:rsidRPr="009F655C">
        <w:lastRenderedPageBreak/>
        <w:t>or as maximum annual volumes.</w:t>
      </w:r>
      <w:r>
        <w:rPr>
          <w:rFonts w:ascii="ZWAdobeF" w:hAnsi="ZWAdobeF" w:cs="ZWAdobeF"/>
          <w:sz w:val="2"/>
          <w:szCs w:val="2"/>
        </w:rPr>
        <w:t>33F</w:t>
      </w:r>
      <w:r w:rsidR="00012A63">
        <w:rPr>
          <w:rStyle w:val="FootnoteReference"/>
          <w:rFonts w:ascii="Calibri" w:eastAsia="Calibri" w:hAnsi="Calibri" w:cs="Calibri"/>
        </w:rPr>
        <w:footnoteReference w:id="34"/>
      </w:r>
      <w:r w:rsidR="73BFE183" w:rsidRPr="009F655C">
        <w:t xml:space="preserve"> In practice, releases have often fallen short of higher interpretations of the targets, and no agreed mechanism exists to resolve this dispute.</w:t>
      </w:r>
    </w:p>
    <w:p w14:paraId="4E12B2C7" w14:textId="7B626BA9" w:rsidR="00012A63" w:rsidRPr="00761F49" w:rsidRDefault="00382EE8" w:rsidP="00012A63">
      <w:r>
        <w:rPr>
          <w:rFonts w:ascii="ZWAdobeF" w:hAnsi="ZWAdobeF" w:cs="ZWAdobeF"/>
          <w:sz w:val="2"/>
          <w:szCs w:val="2"/>
        </w:rPr>
        <w:t>779B</w:t>
      </w:r>
      <w:r w:rsidR="0E7CA625">
        <w:t>T</w:t>
      </w:r>
      <w:r w:rsidR="00012A63">
        <w:t xml:space="preserve">he magnitude, timing and variability of </w:t>
      </w:r>
      <w:r w:rsidR="2EC2369D">
        <w:t xml:space="preserve">environmental </w:t>
      </w:r>
      <w:r w:rsidR="5AE554AE">
        <w:t>SRIF releases</w:t>
      </w:r>
      <w:r w:rsidR="00012A63">
        <w:t xml:space="preserve"> have generally been insufficient to restore key ecological processes</w:t>
      </w:r>
      <w:r w:rsidR="294270CE">
        <w:t xml:space="preserve"> in the Snowy River</w:t>
      </w:r>
      <w:r w:rsidR="00012A63">
        <w:t xml:space="preserve">. </w:t>
      </w:r>
      <w:r w:rsidR="1190B2B7">
        <w:t>The</w:t>
      </w:r>
      <w:r w:rsidR="2962027D" w:rsidRPr="6E62429A">
        <w:rPr>
          <w:rFonts w:ascii="Aptos" w:eastAsia="Aptos" w:hAnsi="Aptos" w:cs="Arial"/>
        </w:rPr>
        <w:t xml:space="preserve"> magnitude of flows under current flow regimes is considered to be too low to drive substantial geomorphic change, with limited capacity to mobilise sediment or meaningfully alter channel structure at a broader scale</w:t>
      </w:r>
      <w:r w:rsidR="00012A63">
        <w:t>.</w:t>
      </w:r>
      <w:r>
        <w:rPr>
          <w:rFonts w:ascii="ZWAdobeF" w:hAnsi="ZWAdobeF" w:cs="ZWAdobeF"/>
          <w:sz w:val="2"/>
          <w:szCs w:val="2"/>
        </w:rPr>
        <w:t>34F</w:t>
      </w:r>
      <w:r w:rsidR="00012A63" w:rsidRPr="6332CC80">
        <w:rPr>
          <w:rStyle w:val="FootnoteReference"/>
        </w:rPr>
        <w:footnoteReference w:id="35"/>
      </w:r>
    </w:p>
    <w:p w14:paraId="2145B321" w14:textId="11A254AD" w:rsidR="00972382" w:rsidRPr="008429CD" w:rsidRDefault="00026910" w:rsidP="00785824">
      <w:pPr>
        <w:pStyle w:val="ReviewHeading2"/>
        <w:jc w:val="left"/>
        <w:rPr>
          <w:rFonts w:eastAsia="Calibri"/>
        </w:rPr>
      </w:pPr>
      <w:bookmarkStart w:id="48" w:name="_Toc233285596"/>
      <w:bookmarkStart w:id="49" w:name="_Toc233801475"/>
      <w:r>
        <w:rPr>
          <w:rFonts w:eastAsia="Calibri"/>
        </w:rPr>
        <w:t>3</w:t>
      </w:r>
      <w:r w:rsidR="00012A63">
        <w:rPr>
          <w:rFonts w:eastAsia="Calibri"/>
        </w:rPr>
        <w:t>.4</w:t>
      </w:r>
      <w:r>
        <w:rPr>
          <w:rFonts w:eastAsia="Calibri"/>
        </w:rPr>
        <w:t xml:space="preserve"> </w:t>
      </w:r>
      <w:r w:rsidR="00012A63">
        <w:rPr>
          <w:rFonts w:eastAsia="Calibri"/>
        </w:rPr>
        <w:t>Governance constraints on achieving increased flow objectives</w:t>
      </w:r>
      <w:bookmarkEnd w:id="48"/>
      <w:bookmarkEnd w:id="49"/>
    </w:p>
    <w:p w14:paraId="1B7F2C5A" w14:textId="36CDC02C" w:rsidR="2FC060C7" w:rsidRDefault="00382EE8" w:rsidP="6332CC80">
      <w:r>
        <w:rPr>
          <w:rFonts w:ascii="ZWAdobeF" w:hAnsi="ZWAdobeF" w:cs="ZWAdobeF"/>
          <w:sz w:val="2"/>
          <w:szCs w:val="2"/>
        </w:rPr>
        <w:t>780B</w:t>
      </w:r>
      <w:r w:rsidR="00D61B36">
        <w:t xml:space="preserve">The current governance arrangements constrain the effective delivery of increased flow objectives, highlighting the need for a more </w:t>
      </w:r>
      <w:r w:rsidR="36510457">
        <w:t>adaptable</w:t>
      </w:r>
      <w:r w:rsidR="00D61B36">
        <w:t xml:space="preserve"> and enabling framework. </w:t>
      </w:r>
      <w:r w:rsidR="73CFCFCD">
        <w:t>The</w:t>
      </w:r>
      <w:r w:rsidR="00D61B36">
        <w:t xml:space="preserve"> Panel has assessed </w:t>
      </w:r>
      <w:r w:rsidR="7E995338">
        <w:t>the existing</w:t>
      </w:r>
      <w:r w:rsidR="2BD9FFAE">
        <w:t xml:space="preserve"> governance </w:t>
      </w:r>
      <w:r w:rsidR="00D61B36">
        <w:t xml:space="preserve">system against </w:t>
      </w:r>
      <w:r w:rsidR="01169541">
        <w:t xml:space="preserve">three </w:t>
      </w:r>
      <w:r w:rsidR="24124E53">
        <w:t>relevant benchmarks</w:t>
      </w:r>
      <w:r w:rsidR="01169541">
        <w:t xml:space="preserve">: the OECD Principles on Water Governance, the National Water Initiative (and the direction of an emerging National Water Agreement), and the principles and expectations reflected in the Murray–Darling Basin Plan. </w:t>
      </w:r>
      <w:r w:rsidR="00732D48">
        <w:t>C</w:t>
      </w:r>
      <w:r w:rsidR="01169541">
        <w:t xml:space="preserve">omparative analyses are provided in </w:t>
      </w:r>
      <w:r w:rsidR="01169541" w:rsidRPr="00CC7A58">
        <w:rPr>
          <w:b/>
        </w:rPr>
        <w:t>Appendix </w:t>
      </w:r>
      <w:r w:rsidR="009D0EC3" w:rsidRPr="00CC7A58">
        <w:rPr>
          <w:b/>
          <w:bCs/>
        </w:rPr>
        <w:t>B.</w:t>
      </w:r>
    </w:p>
    <w:p w14:paraId="2F95C4D7" w14:textId="2899FEB9" w:rsidR="00D61B36" w:rsidRPr="00560F83" w:rsidRDefault="00382EE8" w:rsidP="00D61B36">
      <w:r>
        <w:rPr>
          <w:rFonts w:ascii="ZWAdobeF" w:hAnsi="ZWAdobeF" w:cs="ZWAdobeF"/>
          <w:sz w:val="2"/>
          <w:szCs w:val="2"/>
        </w:rPr>
        <w:t>781B</w:t>
      </w:r>
      <w:r w:rsidR="00D61B36">
        <w:t xml:space="preserve">These </w:t>
      </w:r>
      <w:r w:rsidR="47C52475">
        <w:t>benchmarks</w:t>
      </w:r>
      <w:r w:rsidR="00D61B36">
        <w:t xml:space="preserve"> emphasise clear roles and responsibilities, separation of functions, transparent and accountable decision-making, adaptive management, and effective cross-jurisdictional coordination, each of which is critical to translating policy intent into on-ground outcomes.</w:t>
      </w:r>
    </w:p>
    <w:p w14:paraId="2531E550" w14:textId="6004861D" w:rsidR="00391869" w:rsidRDefault="00382EE8" w:rsidP="6332CC80">
      <w:r>
        <w:rPr>
          <w:rFonts w:ascii="ZWAdobeF" w:hAnsi="ZWAdobeF" w:cs="ZWAdobeF"/>
          <w:sz w:val="2"/>
          <w:szCs w:val="2"/>
        </w:rPr>
        <w:t>782B</w:t>
      </w:r>
      <w:r w:rsidR="00391869">
        <w:t>Across all three benchmarks, the assessment demonstrates that the governance limitations of the current Deed are systemic and structural, rather than isolated or technical in nature. While the Deed was innovative at the time it was established, it reflects governance assumptions that pre</w:t>
      </w:r>
      <w:r w:rsidR="00391869">
        <w:noBreakHyphen/>
        <w:t>date contemporary expectations relating to basin</w:t>
      </w:r>
      <w:r w:rsidR="00391869">
        <w:noBreakHyphen/>
        <w:t>scale management, adaptive governance, transparency, accountability and inclusion.</w:t>
      </w:r>
    </w:p>
    <w:p w14:paraId="13FAC4EF" w14:textId="727A74BF" w:rsidR="00D61B36" w:rsidRPr="008429CD" w:rsidRDefault="00391869" w:rsidP="00AC1429">
      <w:pPr>
        <w:pStyle w:val="ReviewHeading3"/>
      </w:pPr>
      <w:r>
        <w:rPr>
          <w:rFonts w:eastAsia="Calibri"/>
        </w:rPr>
        <w:t>Consistent findings across benchmarks</w:t>
      </w:r>
    </w:p>
    <w:p w14:paraId="2FF370A0" w14:textId="067C0CD2" w:rsidR="00141011" w:rsidRDefault="00382EE8" w:rsidP="00CC7A58">
      <w:r>
        <w:rPr>
          <w:rFonts w:ascii="ZWAdobeF" w:hAnsi="ZWAdobeF" w:cs="ZWAdobeF"/>
          <w:sz w:val="2"/>
          <w:szCs w:val="2"/>
        </w:rPr>
        <w:t>783B</w:t>
      </w:r>
      <w:r w:rsidR="00141011" w:rsidRPr="2FB8EB33">
        <w:t xml:space="preserve">The comparative analyses </w:t>
      </w:r>
      <w:r w:rsidR="00141011">
        <w:t xml:space="preserve">at </w:t>
      </w:r>
      <w:r w:rsidR="00141011" w:rsidRPr="00CC7A58">
        <w:rPr>
          <w:b/>
          <w:bCs/>
        </w:rPr>
        <w:t>Appendix B</w:t>
      </w:r>
      <w:r w:rsidR="00141011">
        <w:t xml:space="preserve"> </w:t>
      </w:r>
      <w:r w:rsidR="00141011" w:rsidRPr="2FB8EB33">
        <w:t>identify a consistent pattern of misalignment between the Deed and contemporary water</w:t>
      </w:r>
      <w:r w:rsidR="00141011">
        <w:t xml:space="preserve"> governance</w:t>
      </w:r>
      <w:r w:rsidR="00141011" w:rsidRPr="2FB8EB33">
        <w:t xml:space="preserve"> principles. In particular</w:t>
      </w:r>
      <w:r w:rsidR="00E80B02">
        <w:t>, issues relate to</w:t>
      </w:r>
      <w:r w:rsidR="00141011" w:rsidRPr="2FB8EB33">
        <w:t>:</w:t>
      </w:r>
    </w:p>
    <w:p w14:paraId="5A0FEB57" w14:textId="4693D231" w:rsidR="00335600" w:rsidRPr="00335600" w:rsidRDefault="002A524E" w:rsidP="00CC7A58">
      <w:pPr>
        <w:pStyle w:val="Sub-Heading"/>
        <w:rPr>
          <w:rFonts w:eastAsia="Calibri"/>
        </w:rPr>
      </w:pPr>
      <w:r w:rsidRPr="6332CC80">
        <w:rPr>
          <w:rFonts w:eastAsia="Calibri"/>
        </w:rPr>
        <w:t>1</w:t>
      </w:r>
      <w:r w:rsidR="002B7333">
        <w:rPr>
          <w:rFonts w:eastAsia="Calibri"/>
        </w:rPr>
        <w:t>.</w:t>
      </w:r>
      <w:r w:rsidRPr="6332CC80">
        <w:rPr>
          <w:rFonts w:eastAsia="Calibri"/>
        </w:rPr>
        <w:t xml:space="preserve"> Objective setting and intergovernmental coordination</w:t>
      </w:r>
    </w:p>
    <w:p w14:paraId="50A445E2" w14:textId="1F687C7A" w:rsidR="007A6BF7" w:rsidRDefault="00382EE8" w:rsidP="007A6BF7">
      <w:r>
        <w:rPr>
          <w:rFonts w:ascii="ZWAdobeF" w:hAnsi="ZWAdobeF" w:cs="ZWAdobeF"/>
          <w:sz w:val="2"/>
          <w:szCs w:val="2"/>
        </w:rPr>
        <w:t>784B</w:t>
      </w:r>
      <w:r w:rsidR="007A6BF7" w:rsidRPr="2FB8EB33">
        <w:t xml:space="preserve">The Deed establishes a framework for intergovernmental coordination and defines the broad objectives for Snowy water management, </w:t>
      </w:r>
      <w:r w:rsidR="007A6BF7" w:rsidRPr="00A476FA">
        <w:t xml:space="preserve">including specific environmental flow </w:t>
      </w:r>
      <w:r w:rsidR="007A6BF7" w:rsidRPr="2FB8EB33">
        <w:t>targets and downstream water considerations.</w:t>
      </w:r>
    </w:p>
    <w:p w14:paraId="4919E184" w14:textId="6A502356" w:rsidR="007A6BF7" w:rsidRDefault="00382EE8" w:rsidP="007A6BF7">
      <w:r>
        <w:rPr>
          <w:rFonts w:ascii="ZWAdobeF" w:hAnsi="ZWAdobeF" w:cs="ZWAdobeF"/>
          <w:sz w:val="2"/>
          <w:szCs w:val="2"/>
        </w:rPr>
        <w:t>785B</w:t>
      </w:r>
      <w:r w:rsidR="007A6BF7" w:rsidRPr="2FB8EB33">
        <w:t>This function remains essential and provides a mechanism for collective stewardship across jurisdictions. Intergovernmental cooperation has supported the long-term delivery of agreed water recovery outcomes and remains a necessary feature of the system.</w:t>
      </w:r>
    </w:p>
    <w:p w14:paraId="00ED6CCF" w14:textId="12ABF7DA" w:rsidR="007A6BF7" w:rsidRDefault="00382EE8" w:rsidP="007A6BF7">
      <w:r>
        <w:rPr>
          <w:rFonts w:ascii="ZWAdobeF" w:hAnsi="ZWAdobeF" w:cs="ZWAdobeF"/>
          <w:sz w:val="2"/>
          <w:szCs w:val="2"/>
        </w:rPr>
        <w:lastRenderedPageBreak/>
        <w:t>786B</w:t>
      </w:r>
      <w:r w:rsidR="007A6BF7" w:rsidRPr="2FB8EB33">
        <w:t>However, the effectiveness of this function is limited by the structure of the Deed. Participation is restricted to the original signatories, and there are limited mechanisms to ensure that objectives are updated, interpreted or applied in response to changing environmental, hydrological or policy conditions. This constrains the system’s ability to operate at an appropriate basin/catchment scale or reflect contemporary expectations of inclusion and adaptability.</w:t>
      </w:r>
    </w:p>
    <w:p w14:paraId="2F73EB3C" w14:textId="0EEF7018" w:rsidR="007A6BF7" w:rsidRDefault="00382EE8" w:rsidP="007A6BF7">
      <w:r>
        <w:rPr>
          <w:rFonts w:ascii="ZWAdobeF" w:hAnsi="ZWAdobeF" w:cs="ZWAdobeF"/>
          <w:sz w:val="2"/>
          <w:szCs w:val="2"/>
        </w:rPr>
        <w:t>787B</w:t>
      </w:r>
      <w:r w:rsidR="007A6BF7" w:rsidRPr="2FB8EB33">
        <w:t>While intergovernmental coordination exists, it does not fully reflect contemporary expectations for inclusive, adaptive and system-wide governance.</w:t>
      </w:r>
    </w:p>
    <w:p w14:paraId="0D1432D2" w14:textId="532A0ADC" w:rsidR="007A6BF7" w:rsidRDefault="00382EE8" w:rsidP="007A6BF7">
      <w:r>
        <w:rPr>
          <w:rFonts w:ascii="ZWAdobeF" w:hAnsi="ZWAdobeF" w:cs="ZWAdobeF"/>
          <w:sz w:val="2"/>
          <w:szCs w:val="2"/>
        </w:rPr>
        <w:t>788B</w:t>
      </w:r>
      <w:r w:rsidR="007A6BF7">
        <w:t xml:space="preserve">The current framework does not provide for formal recognition or inclusion of First Nations </w:t>
      </w:r>
      <w:r w:rsidR="6C0B414F">
        <w:t xml:space="preserve">or the </w:t>
      </w:r>
      <w:r w:rsidR="03CFB260">
        <w:t xml:space="preserve">wider </w:t>
      </w:r>
      <w:r w:rsidR="6C0B414F">
        <w:t xml:space="preserve">community </w:t>
      </w:r>
      <w:r w:rsidR="007A6BF7">
        <w:t>in objective setting limiting the ability to incorporate cultural values and knowledge</w:t>
      </w:r>
      <w:r w:rsidR="004027CC">
        <w:t xml:space="preserve"> and </w:t>
      </w:r>
      <w:r w:rsidR="000464D7">
        <w:t>soci</w:t>
      </w:r>
      <w:r w:rsidR="001E042A">
        <w:t>et</w:t>
      </w:r>
      <w:r w:rsidR="000464D7">
        <w:t>al values respectively</w:t>
      </w:r>
      <w:r w:rsidR="007A6BF7">
        <w:t xml:space="preserve"> in system-wide governance.</w:t>
      </w:r>
    </w:p>
    <w:p w14:paraId="5AEE4EFC" w14:textId="597AB2CB" w:rsidR="007A6BF7" w:rsidRDefault="007A6BF7" w:rsidP="007A6BF7">
      <w:r w:rsidRPr="2FB8EB33">
        <w:t xml:space="preserve"> </w:t>
      </w:r>
      <w:r w:rsidR="00382EE8">
        <w:rPr>
          <w:rFonts w:ascii="ZWAdobeF" w:hAnsi="ZWAdobeF" w:cs="ZWAdobeF"/>
          <w:sz w:val="2"/>
          <w:szCs w:val="2"/>
        </w:rPr>
        <w:t>789B</w:t>
      </w:r>
      <w:r w:rsidRPr="2FB8EB33">
        <w:t xml:space="preserve">The Panel’s recommended objectives for the new arrangement are at Chapter </w:t>
      </w:r>
      <w:r w:rsidR="002B7333">
        <w:t>5</w:t>
      </w:r>
      <w:r w:rsidR="001C16FD">
        <w:t xml:space="preserve"> – New Objectives and Governance. </w:t>
      </w:r>
    </w:p>
    <w:p w14:paraId="63C29677" w14:textId="4E450939" w:rsidR="007A6BF7" w:rsidRDefault="007A6BF7" w:rsidP="000F55B7">
      <w:pPr>
        <w:pStyle w:val="Sub-Heading"/>
        <w:rPr>
          <w:rFonts w:eastAsia="Calibri"/>
        </w:rPr>
      </w:pPr>
      <w:r>
        <w:rPr>
          <w:rFonts w:eastAsia="Calibri"/>
        </w:rPr>
        <w:t>2</w:t>
      </w:r>
      <w:r w:rsidR="002B7333">
        <w:rPr>
          <w:rFonts w:eastAsia="Calibri"/>
        </w:rPr>
        <w:t>.</w:t>
      </w:r>
      <w:r>
        <w:rPr>
          <w:rFonts w:eastAsia="Calibri"/>
        </w:rPr>
        <w:t xml:space="preserve"> Decision-making and trade-off management</w:t>
      </w:r>
    </w:p>
    <w:p w14:paraId="06DEACDF" w14:textId="565D6F11" w:rsidR="005F46A8" w:rsidRDefault="00382EE8" w:rsidP="005F46A8">
      <w:r>
        <w:rPr>
          <w:rFonts w:ascii="ZWAdobeF" w:hAnsi="ZWAdobeF" w:cs="ZWAdobeF"/>
          <w:sz w:val="2"/>
          <w:szCs w:val="2"/>
        </w:rPr>
        <w:t>790B</w:t>
      </w:r>
      <w:r w:rsidR="005F46A8">
        <w:t xml:space="preserve">Decision-making within the current framework </w:t>
      </w:r>
      <w:r w:rsidR="7EAD4A4C">
        <w:t xml:space="preserve">occurs </w:t>
      </w:r>
      <w:r w:rsidR="005747A1">
        <w:t xml:space="preserve">on the advice of </w:t>
      </w:r>
      <w:r w:rsidR="7EAD4A4C">
        <w:t>a range of committees</w:t>
      </w:r>
      <w:r w:rsidR="00CF54D8">
        <w:t>,</w:t>
      </w:r>
      <w:r w:rsidR="7EAD4A4C">
        <w:t xml:space="preserve"> </w:t>
      </w:r>
      <w:r w:rsidR="00CF54D8">
        <w:t xml:space="preserve">which </w:t>
      </w:r>
      <w:r w:rsidR="66381305">
        <w:t>have</w:t>
      </w:r>
      <w:r w:rsidR="7EAD4A4C">
        <w:t xml:space="preserve"> differing authorisation</w:t>
      </w:r>
      <w:r w:rsidR="00CF54D8">
        <w:t>,</w:t>
      </w:r>
      <w:r w:rsidR="7EAD4A4C">
        <w:t xml:space="preserve"> with </w:t>
      </w:r>
      <w:r w:rsidR="776634B4">
        <w:t xml:space="preserve">approval of </w:t>
      </w:r>
      <w:r w:rsidR="7EAD4A4C">
        <w:t>the</w:t>
      </w:r>
      <w:r w:rsidR="5CF43A23">
        <w:t xml:space="preserve"> Annual Water Operations Plan (</w:t>
      </w:r>
      <w:r w:rsidR="08878B5A">
        <w:t>AWO</w:t>
      </w:r>
      <w:r w:rsidR="00880E1B">
        <w:t>P</w:t>
      </w:r>
      <w:r w:rsidR="152B093C">
        <w:t>)</w:t>
      </w:r>
      <w:r w:rsidR="7EAD4A4C">
        <w:t xml:space="preserve"> bei</w:t>
      </w:r>
      <w:r w:rsidR="63999A62">
        <w:t>n</w:t>
      </w:r>
      <w:r w:rsidR="7EAD4A4C">
        <w:t xml:space="preserve">g the </w:t>
      </w:r>
      <w:r w:rsidR="00F34246">
        <w:t xml:space="preserve">responsibility of the </w:t>
      </w:r>
      <w:r w:rsidR="7EAD4A4C">
        <w:t>WAMC.</w:t>
      </w:r>
    </w:p>
    <w:p w14:paraId="279A9073" w14:textId="5D2E5AC7" w:rsidR="005F46A8" w:rsidRDefault="00382EE8" w:rsidP="005F46A8">
      <w:r>
        <w:rPr>
          <w:rFonts w:ascii="ZWAdobeF" w:hAnsi="ZWAdobeF" w:cs="ZWAdobeF"/>
          <w:sz w:val="2"/>
          <w:szCs w:val="2"/>
        </w:rPr>
        <w:t>791B</w:t>
      </w:r>
      <w:r w:rsidR="005F46A8">
        <w:t xml:space="preserve">While this provides </w:t>
      </w:r>
      <w:r w:rsidR="6D290032">
        <w:t xml:space="preserve">some </w:t>
      </w:r>
      <w:r w:rsidR="005F46A8">
        <w:t>flexibility in practice, the system does not include a clearly defined or transparent mechanism for assessing and resolving trade-offs between environmental, energy and water supply objectives. Trade-offs are often implicit and managed through a combination of administrative processes and operational decisions rather than through structured, accountable decision-making frameworks.</w:t>
      </w:r>
    </w:p>
    <w:p w14:paraId="69AD5D44" w14:textId="5D31DE69" w:rsidR="3388B09D" w:rsidRDefault="00382EE8">
      <w:r>
        <w:rPr>
          <w:rFonts w:ascii="ZWAdobeF" w:hAnsi="ZWAdobeF" w:cs="ZWAdobeF"/>
          <w:sz w:val="2"/>
          <w:szCs w:val="2"/>
        </w:rPr>
        <w:t>792B</w:t>
      </w:r>
      <w:r w:rsidR="3388B09D">
        <w:t>In practice, more structured processes have begun to emerge at an operational level. For example, recent NSW protocols for flexible environmental flows set out defined steps for initiating and delivering releases, including monitoring trigger conditions, provision of ecological advice, safety checks and formal confirmation by decision-makers. However, these processes are primarily focused on implementation and do not establish explicit criteria or frameworks for balancing competing environmental, energy and water supply objectives.</w:t>
      </w:r>
    </w:p>
    <w:p w14:paraId="6FA45069" w14:textId="09E2CF28" w:rsidR="005F46A8" w:rsidRDefault="00382EE8" w:rsidP="005F46A8">
      <w:r>
        <w:rPr>
          <w:rFonts w:ascii="ZWAdobeF" w:hAnsi="ZWAdobeF" w:cs="ZWAdobeF"/>
          <w:sz w:val="2"/>
          <w:szCs w:val="2"/>
        </w:rPr>
        <w:t>793B</w:t>
      </w:r>
      <w:r w:rsidR="005F46A8" w:rsidRPr="2FB8EB33">
        <w:t>As a result, it is difficult to consistently identify how decisions are made, how competing objectives are balanced, or where accountability for those decisions ultimately resides.</w:t>
      </w:r>
    </w:p>
    <w:p w14:paraId="0DADB4AC" w14:textId="6EF6B74C" w:rsidR="005F46A8" w:rsidRDefault="00382EE8" w:rsidP="005F46A8">
      <w:pPr>
        <w:rPr>
          <w:vertAlign w:val="superscript"/>
        </w:rPr>
      </w:pPr>
      <w:r>
        <w:rPr>
          <w:rFonts w:ascii="ZWAdobeF" w:hAnsi="ZWAdobeF" w:cs="ZWAdobeF"/>
          <w:sz w:val="2"/>
          <w:szCs w:val="2"/>
        </w:rPr>
        <w:t>794B</w:t>
      </w:r>
      <w:r w:rsidR="005F46A8" w:rsidRPr="2FB8EB33">
        <w:t>The absence of a clear mechanism for resolving trade-offs is inconsistent with best practice expectations for transparent and accountable decision-making.</w:t>
      </w:r>
    </w:p>
    <w:p w14:paraId="5BF8ECF2" w14:textId="5D53B294" w:rsidR="005F46A8" w:rsidRDefault="00382EE8">
      <w:r>
        <w:rPr>
          <w:rFonts w:ascii="ZWAdobeF" w:hAnsi="ZWAdobeF" w:cs="ZWAdobeF"/>
          <w:sz w:val="2"/>
          <w:szCs w:val="2"/>
        </w:rPr>
        <w:t>795B</w:t>
      </w:r>
      <w:r w:rsidR="30D3E3A1">
        <w:t xml:space="preserve">Other than limited representation on the </w:t>
      </w:r>
      <w:r w:rsidR="42B24CD5">
        <w:t>SAC</w:t>
      </w:r>
      <w:r w:rsidR="30D3E3A1">
        <w:t xml:space="preserve">, </w:t>
      </w:r>
      <w:r w:rsidR="332E3576">
        <w:t>t</w:t>
      </w:r>
      <w:r w:rsidR="005F46A8">
        <w:t>here are also no formal mechanisms to incorporate First Nations</w:t>
      </w:r>
      <w:r w:rsidR="006E0824">
        <w:t>’</w:t>
      </w:r>
      <w:r w:rsidR="005F46A8">
        <w:t xml:space="preserve"> perspectives or cultural priorities into trade-off decision-making processes.</w:t>
      </w:r>
    </w:p>
    <w:p w14:paraId="4C0B528B" w14:textId="311F3440" w:rsidR="007A6BF7" w:rsidRPr="00335600" w:rsidRDefault="000F55B7" w:rsidP="000F55B7">
      <w:pPr>
        <w:pStyle w:val="Sub-Heading"/>
      </w:pPr>
      <w:r>
        <w:rPr>
          <w:rFonts w:eastAsia="Calibri"/>
        </w:rPr>
        <w:t xml:space="preserve">3. </w:t>
      </w:r>
      <w:r w:rsidR="00D12333">
        <w:rPr>
          <w:rFonts w:eastAsia="Calibri"/>
        </w:rPr>
        <w:t>Operational delivery</w:t>
      </w:r>
    </w:p>
    <w:p w14:paraId="611BF662" w14:textId="4554B294" w:rsidR="00A245F6" w:rsidRDefault="00382EE8" w:rsidP="00A245F6">
      <w:r>
        <w:rPr>
          <w:rFonts w:ascii="ZWAdobeF" w:hAnsi="ZWAdobeF" w:cs="ZWAdobeF"/>
          <w:sz w:val="2"/>
          <w:szCs w:val="2"/>
        </w:rPr>
        <w:t>796B</w:t>
      </w:r>
      <w:r w:rsidR="00A245F6">
        <w:t xml:space="preserve">Snowy Hydro has strong capability to operate infrastructure and deliver water in accordance with licence conditions, although would benefit from automation and telemetry for quicker response capability (for example on the Tantangara </w:t>
      </w:r>
      <w:r w:rsidR="00FB5752">
        <w:t xml:space="preserve">Dam </w:t>
      </w:r>
      <w:r w:rsidR="00A245F6">
        <w:t xml:space="preserve">outlet). </w:t>
      </w:r>
    </w:p>
    <w:p w14:paraId="08C807D0" w14:textId="03F767C5" w:rsidR="00A245F6" w:rsidRDefault="00382EE8" w:rsidP="00A245F6">
      <w:r>
        <w:rPr>
          <w:rFonts w:ascii="ZWAdobeF" w:hAnsi="ZWAdobeF" w:cs="ZWAdobeF"/>
          <w:sz w:val="2"/>
          <w:szCs w:val="2"/>
        </w:rPr>
        <w:lastRenderedPageBreak/>
        <w:t>797B</w:t>
      </w:r>
      <w:r w:rsidR="00A245F6" w:rsidRPr="2FB8EB33">
        <w:t>Operational arrangements are primarily based on pre-defined rules and planning processes, and do not support adaptive management consistent with contemporary water governance approaches. In practice, operational and commercial considerations intersect closely with environmental outcomes, limiting the ability to prioritise environmental objectives independently.</w:t>
      </w:r>
    </w:p>
    <w:p w14:paraId="0351877D" w14:textId="52E8B2D9" w:rsidR="00A245F6" w:rsidRPr="00CC7A58" w:rsidRDefault="008612DF" w:rsidP="002852C7">
      <w:pPr>
        <w:pStyle w:val="Sub-Heading"/>
        <w:numPr>
          <w:ilvl w:val="0"/>
          <w:numId w:val="2"/>
        </w:numPr>
        <w:tabs>
          <w:tab w:val="clear" w:pos="720"/>
        </w:tabs>
        <w:ind w:left="284" w:hanging="284"/>
        <w:rPr>
          <w:rFonts w:eastAsia="Calibri"/>
        </w:rPr>
      </w:pPr>
      <w:r w:rsidRPr="6332CC80">
        <w:rPr>
          <w:rFonts w:eastAsia="Calibri"/>
        </w:rPr>
        <w:t>Regulation and compliance</w:t>
      </w:r>
      <w:r w:rsidR="6A2893CE" w:rsidRPr="6332CC80">
        <w:rPr>
          <w:rFonts w:eastAsia="Calibri"/>
        </w:rPr>
        <w:t xml:space="preserve"> </w:t>
      </w:r>
    </w:p>
    <w:p w14:paraId="62250643" w14:textId="74C6A6BC" w:rsidR="002E161F" w:rsidRDefault="00382EE8" w:rsidP="002E161F">
      <w:r>
        <w:rPr>
          <w:rFonts w:ascii="ZWAdobeF" w:hAnsi="ZWAdobeF" w:cs="ZWAdobeF"/>
          <w:sz w:val="2"/>
          <w:szCs w:val="2"/>
        </w:rPr>
        <w:t>798B</w:t>
      </w:r>
      <w:r w:rsidR="002E161F" w:rsidRPr="2FB8EB33">
        <w:t xml:space="preserve">Regulatory and compliance functions are delivered through established statutory frameworks, primarily under </w:t>
      </w:r>
      <w:r w:rsidR="03F28689">
        <w:t>NSW</w:t>
      </w:r>
      <w:r w:rsidR="002E161F" w:rsidRPr="2FB8EB33">
        <w:t xml:space="preserve"> legislation, including the </w:t>
      </w:r>
      <w:r w:rsidR="002E161F" w:rsidRPr="2FB8EB33">
        <w:rPr>
          <w:i/>
          <w:iCs/>
        </w:rPr>
        <w:t>Snowy Hydro Corporatisation Act 1997</w:t>
      </w:r>
      <w:r w:rsidR="5B171ED6" w:rsidRPr="1C3246F1">
        <w:rPr>
          <w:i/>
          <w:iCs/>
        </w:rPr>
        <w:t xml:space="preserve"> </w:t>
      </w:r>
      <w:r w:rsidR="5B171ED6" w:rsidRPr="00715EBD">
        <w:t>and the</w:t>
      </w:r>
      <w:r w:rsidR="5B171ED6" w:rsidRPr="187E3164">
        <w:rPr>
          <w:i/>
          <w:iCs/>
        </w:rPr>
        <w:t xml:space="preserve"> Water Management Act</w:t>
      </w:r>
      <w:r w:rsidR="5B171ED6" w:rsidRPr="7BB70A59">
        <w:rPr>
          <w:i/>
          <w:iCs/>
        </w:rPr>
        <w:t xml:space="preserve"> </w:t>
      </w:r>
      <w:r w:rsidR="53E89741" w:rsidRPr="00715EBD">
        <w:rPr>
          <w:i/>
        </w:rPr>
        <w:t>2000</w:t>
      </w:r>
      <w:r w:rsidR="002E161F">
        <w:t>.</w:t>
      </w:r>
    </w:p>
    <w:p w14:paraId="15B25A29" w14:textId="0EBFF27F" w:rsidR="002E161F" w:rsidRDefault="00382EE8">
      <w:r>
        <w:rPr>
          <w:rFonts w:ascii="ZWAdobeF" w:hAnsi="ZWAdobeF" w:cs="ZWAdobeF"/>
          <w:sz w:val="2"/>
          <w:szCs w:val="2"/>
        </w:rPr>
        <w:t>799B</w:t>
      </w:r>
      <w:r w:rsidR="002E161F">
        <w:t>These frameworks provide mechanisms for monitoring and enforcing compliance with the Snowy Water Licence. This regulatory and compliance function is established and provides an important component of system assurance.</w:t>
      </w:r>
    </w:p>
    <w:p w14:paraId="332E3FA3" w14:textId="2EC67695" w:rsidR="109B927B" w:rsidRDefault="00382EE8" w:rsidP="6332CC80">
      <w:r>
        <w:rPr>
          <w:rFonts w:ascii="ZWAdobeF" w:hAnsi="ZWAdobeF" w:cs="ZWAdobeF"/>
          <w:sz w:val="2"/>
          <w:szCs w:val="2"/>
        </w:rPr>
        <w:t>800B</w:t>
      </w:r>
      <w:r w:rsidR="109B927B">
        <w:t>Compliance requirements for environmental flows are set out in the Snowy Water Licence, including specific provisions for Snowy River Increased Flows (SRIF) and Snowy Montane Rivers Increased Flows (SMRIF) under Schedule 3. These provisions establish the formal obligations for annual flow releases and associated operational requirements. In practice, however, historical processes to clarify and enforce these requirements have highlighted ambiguity in how key obligations are defined and applied. For example, intergovernmental processes in 2023 identified uncertainty in the relationship between allocated volumes and actual releases and sought amendments to the Deed and Licence to better reflect policy intent. While these processes demonstrate that mechanisms exist to address compliance issues, they have relied on intergovernmental negotiation and administrative action rather than clear, self-executing regulatory settings.</w:t>
      </w:r>
    </w:p>
    <w:p w14:paraId="3C2B81CA" w14:textId="3F18A032" w:rsidR="002E161F" w:rsidRDefault="00382EE8" w:rsidP="002E161F">
      <w:r>
        <w:rPr>
          <w:rFonts w:ascii="ZWAdobeF" w:hAnsi="ZWAdobeF" w:cs="ZWAdobeF"/>
          <w:sz w:val="2"/>
          <w:szCs w:val="2"/>
        </w:rPr>
        <w:t>801B</w:t>
      </w:r>
      <w:r w:rsidR="41201B83">
        <w:t xml:space="preserve">The </w:t>
      </w:r>
      <w:r w:rsidR="002E161F">
        <w:t xml:space="preserve">effectiveness </w:t>
      </w:r>
      <w:r w:rsidR="34343BE6">
        <w:t>of compliance mechanisms</w:t>
      </w:r>
      <w:r w:rsidR="002E161F">
        <w:t xml:space="preserve"> is</w:t>
      </w:r>
      <w:r w:rsidR="0DB45599">
        <w:t xml:space="preserve"> c</w:t>
      </w:r>
      <w:r w:rsidR="002E161F">
        <w:t>onstrained by the absence of clearly defined system-level objectives, performance measures against which outcomes can be assessed and ineffective penalties for breaches. The current focus on compliance with licence conditions does not necessarily provide assurance that broader environmental or system outcomes are being achieved.</w:t>
      </w:r>
    </w:p>
    <w:p w14:paraId="6C1EFC12" w14:textId="5D3B181B" w:rsidR="002E161F" w:rsidRPr="00032BDB" w:rsidRDefault="00382EE8" w:rsidP="002E161F">
      <w:pPr>
        <w:rPr>
          <w:color w:val="881798"/>
        </w:rPr>
      </w:pPr>
      <w:r>
        <w:rPr>
          <w:rFonts w:ascii="ZWAdobeF" w:hAnsi="ZWAdobeF" w:cs="ZWAdobeF"/>
          <w:sz w:val="2"/>
          <w:szCs w:val="2"/>
        </w:rPr>
        <w:t>802B</w:t>
      </w:r>
      <w:r w:rsidR="002E161F" w:rsidRPr="2FB8EB33">
        <w:t>There is also a lack of clear separation between policy intent, regulatory oversight and system performance accountability, which limits the effectiveness of the regulatory framework in supporting contemporary governance expectations.</w:t>
      </w:r>
    </w:p>
    <w:p w14:paraId="7BB928A2" w14:textId="2C33E092" w:rsidR="002E161F" w:rsidRDefault="00382EE8" w:rsidP="002E161F">
      <w:r>
        <w:rPr>
          <w:rFonts w:ascii="ZWAdobeF" w:hAnsi="ZWAdobeF" w:cs="ZWAdobeF"/>
          <w:sz w:val="2"/>
          <w:szCs w:val="2"/>
        </w:rPr>
        <w:t>803B</w:t>
      </w:r>
      <w:r w:rsidR="002E161F">
        <w:t xml:space="preserve">Current arrangements focus compliance on specified environmental flow output rather than outcome-based assurance, limiting their effectiveness </w:t>
      </w:r>
      <w:r w:rsidR="66C3B18C">
        <w:t>as</w:t>
      </w:r>
      <w:r w:rsidR="002E161F">
        <w:t xml:space="preserve"> modern regulatory expectations.</w:t>
      </w:r>
    </w:p>
    <w:p w14:paraId="0965E8C0" w14:textId="193C6629" w:rsidR="002E161F" w:rsidRPr="00335600" w:rsidRDefault="00D550D2" w:rsidP="002852C7">
      <w:pPr>
        <w:pStyle w:val="Sub-Heading"/>
        <w:numPr>
          <w:ilvl w:val="0"/>
          <w:numId w:val="2"/>
        </w:numPr>
        <w:tabs>
          <w:tab w:val="clear" w:pos="720"/>
        </w:tabs>
        <w:ind w:left="426"/>
        <w:rPr>
          <w:rFonts w:eastAsia="Calibri"/>
        </w:rPr>
      </w:pPr>
      <w:r w:rsidRPr="6332CC80">
        <w:rPr>
          <w:rFonts w:eastAsia="Calibri"/>
        </w:rPr>
        <w:t>Monitoring, reporting and audit</w:t>
      </w:r>
    </w:p>
    <w:p w14:paraId="7F391D2B" w14:textId="0A4FA32E" w:rsidR="00966236" w:rsidRDefault="00382EE8" w:rsidP="00966236">
      <w:r>
        <w:rPr>
          <w:rFonts w:ascii="ZWAdobeF" w:hAnsi="ZWAdobeF" w:cs="ZWAdobeF"/>
          <w:sz w:val="2"/>
          <w:szCs w:val="2"/>
        </w:rPr>
        <w:t>804B</w:t>
      </w:r>
      <w:r w:rsidR="00966236">
        <w:t xml:space="preserve">Monitoring and reporting functions exist within the current framework, including requirements for annual </w:t>
      </w:r>
      <w:r w:rsidR="41718E3A">
        <w:t xml:space="preserve">water </w:t>
      </w:r>
      <w:r w:rsidR="00966236">
        <w:t>operating plans and compliance reporting.</w:t>
      </w:r>
    </w:p>
    <w:p w14:paraId="4E3299C8" w14:textId="502DDBA2" w:rsidR="6EC6438A" w:rsidRDefault="00382EE8">
      <w:r>
        <w:rPr>
          <w:rFonts w:ascii="ZWAdobeF" w:hAnsi="ZWAdobeF" w:cs="ZWAdobeF"/>
          <w:sz w:val="2"/>
          <w:szCs w:val="2"/>
        </w:rPr>
        <w:t>805B</w:t>
      </w:r>
      <w:r w:rsidR="6EC6438A">
        <w:t>Monitoring of environmental flows is undertaken through a targeted NSW-led program, which supports planning and provides some basis for adaptive management. However, monitoring is constrained by broadly defined and non-measurable objectives, limited resourcing, and the absence of a system-wide evaluation framework, reducing its effectiveness in providing assurance on environmental or broader system outcomes.</w:t>
      </w:r>
    </w:p>
    <w:p w14:paraId="00E65165" w14:textId="440D6022" w:rsidR="11CA746D" w:rsidRDefault="00382EE8">
      <w:r>
        <w:rPr>
          <w:rFonts w:ascii="ZWAdobeF" w:hAnsi="ZWAdobeF" w:cs="ZWAdobeF"/>
          <w:sz w:val="2"/>
          <w:szCs w:val="2"/>
        </w:rPr>
        <w:lastRenderedPageBreak/>
        <w:t>806B</w:t>
      </w:r>
      <w:r w:rsidR="11CA746D">
        <w:t xml:space="preserve">The </w:t>
      </w:r>
      <w:r w:rsidR="1289CC1E">
        <w:t>Australian Government</w:t>
      </w:r>
      <w:r w:rsidR="11CA746D">
        <w:t xml:space="preserve"> contributes to monitoring and science activities in the Upper Murrumbidgee through targeted program funding, most notably the </w:t>
      </w:r>
      <w:hyperlink r:id="rId52">
        <w:r w:rsidR="11CA746D" w:rsidRPr="6332CC80">
          <w:rPr>
            <w:rStyle w:val="Hyperlink"/>
          </w:rPr>
          <w:t>Restoring the Upper Murrumbidgee River (RUMR) program</w:t>
        </w:r>
      </w:hyperlink>
      <w:r w:rsidR="11CA746D">
        <w:t xml:space="preserve">. This program supports joint ACT–NSW delivery of baseline condition monitoring, environmental flow investigations and intervention monitoring, including activities such as bathymetric surveys, water quality monitoring and ecological assessments. These activities provide important evidence to support river restoration and inform environmental watering decisions, but are program-based, time-limited and primarily implemented by state agencies rather than embedded within the ongoing governance of the Deed. </w:t>
      </w:r>
    </w:p>
    <w:p w14:paraId="139CF94C" w14:textId="51DA7027" w:rsidR="6DB34715" w:rsidRDefault="00382EE8" w:rsidP="6332CC80">
      <w:r>
        <w:rPr>
          <w:rFonts w:ascii="ZWAdobeF" w:hAnsi="ZWAdobeF" w:cs="ZWAdobeF"/>
          <w:sz w:val="2"/>
          <w:szCs w:val="2"/>
        </w:rPr>
        <w:t>807B</w:t>
      </w:r>
      <w:r w:rsidR="6DB34715">
        <w:t>The Commonwealth Environmental Water Holder (CEWH) undertakes intervention monitoring through programs such as Flow</w:t>
      </w:r>
      <w:r w:rsidR="6DB34715">
        <w:noBreakHyphen/>
        <w:t>MER, which are linked to the delivery of Commonwealth environmental water. As the Commonwealth does not hold environmental water entitlements within the Snowy Scheme, these monitoring frameworks are not applied in the Upper Murrumbidgee system. Without a role in environmental water delivery or formal involvement in Snowy Scheme governance, the CEWH is not positioned to influence environmental flow decisions.</w:t>
      </w:r>
      <w:r w:rsidR="43CBA381">
        <w:t xml:space="preserve"> While the CEWH does have a limited role in drought-related arrangements, such as the Upper Murrumbidgee Drought Operating Framework, a more substantive role in environmental flow delivery, and associated intervention monitoring, would require an expanded governance role and additional resourcing.</w:t>
      </w:r>
    </w:p>
    <w:p w14:paraId="4D20EE29" w14:textId="0396F8FB" w:rsidR="00966236" w:rsidRDefault="00382EE8" w:rsidP="00966236">
      <w:r>
        <w:rPr>
          <w:rFonts w:ascii="ZWAdobeF" w:hAnsi="ZWAdobeF" w:cs="ZWAdobeF"/>
          <w:sz w:val="2"/>
          <w:szCs w:val="2"/>
        </w:rPr>
        <w:t>808B</w:t>
      </w:r>
      <w:r w:rsidR="00966236" w:rsidRPr="2FB8EB33">
        <w:t>These processes provide important information on system operation and support transparency to a degree. However, monitoring and reporting are largely oriented toward compliance with pre-defined rules rather than evaluation of environmental or system outcomes.</w:t>
      </w:r>
    </w:p>
    <w:p w14:paraId="035D7856" w14:textId="3511B69A" w:rsidR="00966236" w:rsidRDefault="00382EE8" w:rsidP="00966236">
      <w:r>
        <w:rPr>
          <w:rFonts w:ascii="ZWAdobeF" w:hAnsi="ZWAdobeF" w:cs="ZWAdobeF"/>
          <w:sz w:val="2"/>
          <w:szCs w:val="2"/>
        </w:rPr>
        <w:t>809B</w:t>
      </w:r>
      <w:r w:rsidR="00966236" w:rsidRPr="2FB8EB33">
        <w:t>Independent audit and evaluation functions are not consistently embedded or applied across the system, limiting the ability to assess performance at a system level or to inform improvement over time.</w:t>
      </w:r>
    </w:p>
    <w:p w14:paraId="33DE1BC3" w14:textId="585AF910" w:rsidR="00966236" w:rsidRDefault="00382EE8" w:rsidP="00966236">
      <w:r>
        <w:rPr>
          <w:rFonts w:ascii="ZWAdobeF" w:hAnsi="ZWAdobeF" w:cs="ZWAdobeF"/>
          <w:sz w:val="2"/>
          <w:szCs w:val="2"/>
        </w:rPr>
        <w:t>810B</w:t>
      </w:r>
      <w:r w:rsidR="00966236" w:rsidRPr="2FB8EB33">
        <w:t>As a result, information generated through monitoring and reporting does not consistently support adaptive management or provide a clear basis for decision-making or accountability.</w:t>
      </w:r>
    </w:p>
    <w:p w14:paraId="4E2AD25D" w14:textId="4B0F926D" w:rsidR="00966236" w:rsidRPr="00335600" w:rsidRDefault="00966236" w:rsidP="002852C7">
      <w:pPr>
        <w:pStyle w:val="Sub-Heading"/>
        <w:numPr>
          <w:ilvl w:val="0"/>
          <w:numId w:val="2"/>
        </w:numPr>
        <w:tabs>
          <w:tab w:val="clear" w:pos="720"/>
        </w:tabs>
        <w:ind w:left="426"/>
      </w:pPr>
      <w:r>
        <w:rPr>
          <w:rFonts w:eastAsia="Calibri"/>
        </w:rPr>
        <w:t>System review and adaptation</w:t>
      </w:r>
    </w:p>
    <w:p w14:paraId="16E8B230" w14:textId="70C533A3" w:rsidR="00A3624C" w:rsidRDefault="00382EE8" w:rsidP="00A3624C">
      <w:r>
        <w:rPr>
          <w:rFonts w:ascii="ZWAdobeF" w:hAnsi="ZWAdobeF" w:cs="ZWAdobeF"/>
          <w:sz w:val="2"/>
          <w:szCs w:val="2"/>
        </w:rPr>
        <w:t>811B</w:t>
      </w:r>
      <w:r w:rsidR="00A3624C" w:rsidRPr="2FB8EB33">
        <w:t>The current governance framework provides limited mechanisms for structured review and adaptation.</w:t>
      </w:r>
    </w:p>
    <w:p w14:paraId="78089547" w14:textId="1024D9D3" w:rsidR="00A3624C" w:rsidRDefault="00382EE8" w:rsidP="00A3624C">
      <w:r>
        <w:rPr>
          <w:rFonts w:ascii="ZWAdobeF" w:hAnsi="ZWAdobeF" w:cs="ZWAdobeF"/>
          <w:sz w:val="2"/>
          <w:szCs w:val="2"/>
        </w:rPr>
        <w:t>812B</w:t>
      </w:r>
      <w:r w:rsidR="00A3624C" w:rsidRPr="2FB8EB33">
        <w:t>While the Snowy Water Licence is subject to periodic review, the Deed itself does not include a mandatory review process and has not been systematically updated since its inception. Changes to governance settings rely on intergovernmental agreement rather than embedded processes.</w:t>
      </w:r>
    </w:p>
    <w:p w14:paraId="7C53CDAF" w14:textId="0DC66BDE" w:rsidR="00A3624C" w:rsidRDefault="00382EE8" w:rsidP="00A3624C">
      <w:r>
        <w:rPr>
          <w:rFonts w:ascii="ZWAdobeF" w:hAnsi="ZWAdobeF" w:cs="ZWAdobeF"/>
          <w:sz w:val="2"/>
          <w:szCs w:val="2"/>
        </w:rPr>
        <w:t>813B</w:t>
      </w:r>
      <w:r w:rsidR="00A3624C" w:rsidRPr="2FB8EB33">
        <w:t>This limits the system’s ability to respond to new information, changing environmental conditions, or evolving policy expectations. In particular, the absence of regular, structured review reduces the capacity for continuous improvement and adaptive management.</w:t>
      </w:r>
    </w:p>
    <w:p w14:paraId="3606AD62" w14:textId="6C5B833B" w:rsidR="00A3624C" w:rsidRDefault="00382EE8" w:rsidP="00A3624C">
      <w:r>
        <w:rPr>
          <w:rFonts w:ascii="ZWAdobeF" w:hAnsi="ZWAdobeF" w:cs="ZWAdobeF"/>
          <w:sz w:val="2"/>
          <w:szCs w:val="2"/>
        </w:rPr>
        <w:t>814B</w:t>
      </w:r>
      <w:r w:rsidR="00A3624C">
        <w:t>The absence of structured review mechanisms is inconsistent with principles of continuous improvement and adaptive governance.</w:t>
      </w:r>
      <w:r w:rsidR="41ADAF77">
        <w:t xml:space="preserve"> </w:t>
      </w:r>
    </w:p>
    <w:p w14:paraId="3936575A" w14:textId="4EAA0A57" w:rsidR="00A3624C" w:rsidRDefault="00382EE8" w:rsidP="00A3624C">
      <w:r>
        <w:rPr>
          <w:rFonts w:ascii="ZWAdobeF" w:hAnsi="ZWAdobeF" w:cs="ZWAdobeF"/>
          <w:sz w:val="2"/>
          <w:szCs w:val="2"/>
        </w:rPr>
        <w:lastRenderedPageBreak/>
        <w:t>815B</w:t>
      </w:r>
      <w:r w:rsidR="00A3624C">
        <w:t>T</w:t>
      </w:r>
      <w:r w:rsidR="006E2A6A">
        <w:t>his</w:t>
      </w:r>
      <w:r w:rsidR="00A3624C">
        <w:t xml:space="preserve"> also limits opportunities to embed First Nations participation and adapt governance arrangements to reflect evolving expectations of Indigenous engagement and leadership.</w:t>
      </w:r>
      <w:r w:rsidR="13AF80A4">
        <w:t xml:space="preserve"> The wider community </w:t>
      </w:r>
      <w:r w:rsidR="79C14D68">
        <w:t>also</w:t>
      </w:r>
      <w:r w:rsidR="13AF80A4">
        <w:t xml:space="preserve"> is</w:t>
      </w:r>
      <w:r w:rsidR="00A3624C" w:rsidDel="00A3624C">
        <w:t xml:space="preserve"> </w:t>
      </w:r>
      <w:r w:rsidR="13AF80A4">
        <w:t xml:space="preserve">not </w:t>
      </w:r>
      <w:r w:rsidR="0898635E">
        <w:t>considered in the Deed.</w:t>
      </w:r>
    </w:p>
    <w:p w14:paraId="263B604B" w14:textId="56F7FDB1" w:rsidR="002A524E" w:rsidRPr="00335600" w:rsidRDefault="002C27FD" w:rsidP="6332CC80">
      <w:pPr>
        <w:pStyle w:val="ReviewHeading3"/>
        <w:rPr>
          <w:rFonts w:eastAsia="Calibri"/>
        </w:rPr>
      </w:pPr>
      <w:r w:rsidRPr="6332CC80">
        <w:rPr>
          <w:rFonts w:eastAsia="Calibri"/>
        </w:rPr>
        <w:t>Overall assessment of effectiveness</w:t>
      </w:r>
    </w:p>
    <w:p w14:paraId="6B499F7F" w14:textId="0EAE456C" w:rsidR="003568C6" w:rsidRDefault="00382EE8">
      <w:r>
        <w:rPr>
          <w:rFonts w:ascii="ZWAdobeF" w:hAnsi="ZWAdobeF" w:cs="ZWAdobeF"/>
          <w:sz w:val="2"/>
          <w:szCs w:val="2"/>
        </w:rPr>
        <w:t>816B</w:t>
      </w:r>
      <w:r w:rsidR="005D6448">
        <w:t>Assessment of t</w:t>
      </w:r>
      <w:r w:rsidR="005D5872">
        <w:t xml:space="preserve">hese </w:t>
      </w:r>
      <w:r w:rsidR="0022C466">
        <w:t xml:space="preserve">six </w:t>
      </w:r>
      <w:r w:rsidR="00CF5077">
        <w:t xml:space="preserve">core </w:t>
      </w:r>
      <w:r w:rsidR="005D5872">
        <w:t xml:space="preserve">functions </w:t>
      </w:r>
      <w:r w:rsidR="005D6448">
        <w:t>reveals</w:t>
      </w:r>
      <w:r w:rsidR="005D5872">
        <w:t xml:space="preserve"> </w:t>
      </w:r>
      <w:r w:rsidR="5BBCF0B8">
        <w:t>that elements</w:t>
      </w:r>
      <w:r w:rsidR="2B4D53A4">
        <w:t xml:space="preserve"> of the current system perform established roles effectively, but the overall framework does not operate as a coherent, integrated system capable of delivering transparent, accountable and adaptive governance outcomes.</w:t>
      </w:r>
    </w:p>
    <w:p w14:paraId="36EC7505" w14:textId="00C48851" w:rsidR="005D5872" w:rsidRDefault="00382EE8" w:rsidP="005D5872">
      <w:r>
        <w:rPr>
          <w:rFonts w:ascii="ZWAdobeF" w:hAnsi="ZWAdobeF" w:cs="ZWAdobeF"/>
          <w:sz w:val="2"/>
          <w:szCs w:val="2"/>
        </w:rPr>
        <w:t>817B</w:t>
      </w:r>
      <w:r w:rsidR="00484789">
        <w:t xml:space="preserve">The core </w:t>
      </w:r>
      <w:r w:rsidR="2BC4CC71">
        <w:t>f</w:t>
      </w:r>
      <w:r w:rsidR="1E4A2BEE">
        <w:t>unctions</w:t>
      </w:r>
      <w:r w:rsidR="005D5872">
        <w:t xml:space="preserve"> operate in isolation, with limited coordination between policy, decision-making, operations and system assurance. This results in fragmentation, unclear accountability and a reduced capacity to manage trade-offs or adapt to change.</w:t>
      </w:r>
      <w:r w:rsidR="789F4783">
        <w:t xml:space="preserve">  </w:t>
      </w:r>
    </w:p>
    <w:p w14:paraId="08E053AD" w14:textId="69DDE5C4" w:rsidR="005D5872" w:rsidRDefault="00382EE8" w:rsidP="6332CC80">
      <w:r>
        <w:rPr>
          <w:rFonts w:ascii="ZWAdobeF" w:hAnsi="ZWAdobeF" w:cs="ZWAdobeF"/>
          <w:sz w:val="2"/>
          <w:szCs w:val="2"/>
        </w:rPr>
        <w:t>818B</w:t>
      </w:r>
      <w:r w:rsidR="1E4A2BEE">
        <w:t>A</w:t>
      </w:r>
      <w:r w:rsidR="005D5872">
        <w:t xml:space="preserve"> systemic gap is the absence of formal recognition and integration of First </w:t>
      </w:r>
      <w:r w:rsidR="1E4A2BEE">
        <w:t>Nations</w:t>
      </w:r>
      <w:r w:rsidR="005D5872">
        <w:t xml:space="preserve"> </w:t>
      </w:r>
      <w:r w:rsidR="68F4E69A">
        <w:t xml:space="preserve">and community </w:t>
      </w:r>
      <w:r w:rsidR="1C865C3E">
        <w:t>interests across governance functions, which is inconsistent with contemporary expectations and limits the inclusiveness, legitimacy and effectiveness of the framework.</w:t>
      </w:r>
    </w:p>
    <w:p w14:paraId="68B10620" w14:textId="2EB4D1B5" w:rsidR="006923B1" w:rsidRPr="007140D6" w:rsidRDefault="00382EE8" w:rsidP="6332CC80">
      <w:pPr>
        <w:rPr>
          <w:rFonts w:eastAsia="Calibri" w:cs="Calibri"/>
          <w:b/>
          <w:bCs/>
          <w:sz w:val="20"/>
          <w:szCs w:val="20"/>
        </w:rPr>
      </w:pPr>
      <w:r>
        <w:rPr>
          <w:rFonts w:ascii="ZWAdobeF" w:hAnsi="ZWAdobeF" w:cs="ZWAdobeF"/>
          <w:sz w:val="2"/>
          <w:szCs w:val="2"/>
        </w:rPr>
        <w:t>819B</w:t>
      </w:r>
      <w:r w:rsidR="007140D6">
        <w:t>A</w:t>
      </w:r>
      <w:r w:rsidR="008550AE">
        <w:t xml:space="preserve"> case study </w:t>
      </w:r>
      <w:r w:rsidR="007140D6">
        <w:t xml:space="preserve">is presented </w:t>
      </w:r>
      <w:r w:rsidR="00AB7FDB">
        <w:t xml:space="preserve">in </w:t>
      </w:r>
      <w:r w:rsidR="00AB7FDB" w:rsidRPr="007140D6">
        <w:rPr>
          <w:b/>
          <w:bCs/>
        </w:rPr>
        <w:t xml:space="preserve">Box </w:t>
      </w:r>
      <w:r w:rsidR="007140D6" w:rsidRPr="007140D6">
        <w:rPr>
          <w:b/>
          <w:bCs/>
        </w:rPr>
        <w:t>1.</w:t>
      </w:r>
      <w:r w:rsidR="00AB7FDB" w:rsidRPr="007140D6">
        <w:rPr>
          <w:b/>
          <w:bCs/>
        </w:rPr>
        <w:t xml:space="preserve"> </w:t>
      </w:r>
      <w:r w:rsidR="6DD19B5F" w:rsidRPr="007140D6">
        <w:rPr>
          <w:rFonts w:eastAsia="Calibri" w:cs="Calibri"/>
          <w:b/>
          <w:bCs/>
          <w:sz w:val="20"/>
          <w:szCs w:val="20"/>
        </w:rPr>
        <w:t xml:space="preserve"> </w:t>
      </w:r>
    </w:p>
    <w:p w14:paraId="37C15828" w14:textId="26579D25" w:rsidR="00D339BE" w:rsidRDefault="008550AE" w:rsidP="6332CC80">
      <w:r>
        <w:br w:type="page"/>
      </w:r>
    </w:p>
    <w:p w14:paraId="3901CE7A" w14:textId="6FBCF27C" w:rsidR="75202D38" w:rsidRDefault="008D5BA0">
      <w:r>
        <w:rPr>
          <w:noProof/>
        </w:rPr>
        <w:lastRenderedPageBreak/>
        <mc:AlternateContent>
          <mc:Choice Requires="wps">
            <w:drawing>
              <wp:anchor distT="45720" distB="45720" distL="114300" distR="114300" simplePos="0" relativeHeight="251658252" behindDoc="0" locked="0" layoutInCell="1" allowOverlap="1" wp14:anchorId="23DACF3E" wp14:editId="5D71FD7C">
                <wp:simplePos x="0" y="0"/>
                <wp:positionH relativeFrom="margin">
                  <wp:posOffset>-113665</wp:posOffset>
                </wp:positionH>
                <wp:positionV relativeFrom="paragraph">
                  <wp:posOffset>219075</wp:posOffset>
                </wp:positionV>
                <wp:extent cx="6082030" cy="7620000"/>
                <wp:effectExtent l="38100" t="38100" r="90170" b="95250"/>
                <wp:wrapSquare wrapText="bothSides"/>
                <wp:docPr id="155897786" name="Text Box 2" descr="P784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7620000"/>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1C6E91A4" w14:textId="77777777" w:rsidR="007140D6" w:rsidRDefault="007140D6" w:rsidP="00681D87">
                            <w:pPr>
                              <w:rPr>
                                <w:b/>
                                <w:sz w:val="18"/>
                                <w:szCs w:val="20"/>
                              </w:rPr>
                            </w:pPr>
                          </w:p>
                          <w:p w14:paraId="3995C90C" w14:textId="77777777" w:rsidR="00681D87" w:rsidRPr="00F246A4" w:rsidRDefault="00681D87" w:rsidP="00681D87">
                            <w:pPr>
                              <w:rPr>
                                <w:sz w:val="18"/>
                                <w:szCs w:val="20"/>
                              </w:rPr>
                            </w:pPr>
                            <w:r w:rsidRPr="00F246A4">
                              <w:rPr>
                                <w:sz w:val="18"/>
                                <w:szCs w:val="20"/>
                              </w:rPr>
                              <w:t>The ongoing failure to resolve the differing views regarding the future of Mowamba Weir provides a clear illustration of limitations in the effectiveness of the current governance arrangements.</w:t>
                            </w:r>
                          </w:p>
                          <w:p w14:paraId="424E9672" w14:textId="77777777" w:rsidR="005812A2" w:rsidRPr="00F246A4" w:rsidRDefault="00681D87" w:rsidP="00681D87">
                            <w:pPr>
                              <w:rPr>
                                <w:sz w:val="18"/>
                                <w:szCs w:val="20"/>
                              </w:rPr>
                            </w:pPr>
                            <w:r w:rsidRPr="00F246A4">
                              <w:rPr>
                                <w:sz w:val="18"/>
                                <w:szCs w:val="20"/>
                              </w:rPr>
                              <w:t>Mowamba Weir is a diversion structure within the Snowy Scheme, located near Dalgety, which redirects flows from the Mowamba River into Lake Jindabyne via an aqueduct. Under current operating conditions, only 1.3 ML/day of flow is permitted to pass downstream of the weir, except during periods when the aqueduct’s capacity of 500 ML/day is exceeded, resulting in overtopping.  In dry years, overtopping events may not occur, effectively limiting downstream environmental flows.</w:t>
                            </w:r>
                          </w:p>
                          <w:p w14:paraId="5A4D3B4C" w14:textId="33EE7F0F" w:rsidR="007140D6" w:rsidRPr="00FC083E" w:rsidRDefault="007140D6" w:rsidP="007140D6">
                            <w:pPr>
                              <w:pStyle w:val="Caption"/>
                              <w:keepNext/>
                              <w:jc w:val="center"/>
                              <w:rPr>
                                <w:color w:val="auto"/>
                              </w:rPr>
                            </w:pPr>
                            <w:r w:rsidRPr="00FC083E">
                              <w:rPr>
                                <w:color w:val="auto"/>
                              </w:rPr>
                              <w:t xml:space="preserve">Figure </w:t>
                            </w:r>
                            <w:r w:rsidRPr="00FC083E">
                              <w:rPr>
                                <w:color w:val="auto"/>
                              </w:rPr>
                              <w:fldChar w:fldCharType="begin"/>
                            </w:r>
                            <w:r w:rsidRPr="00FC083E">
                              <w:rPr>
                                <w:color w:val="auto"/>
                              </w:rPr>
                              <w:instrText xml:space="preserve"> SEQ Figure \* ARABIC </w:instrText>
                            </w:r>
                            <w:r w:rsidRPr="00FC083E">
                              <w:rPr>
                                <w:color w:val="auto"/>
                              </w:rPr>
                              <w:fldChar w:fldCharType="separate"/>
                            </w:r>
                            <w:r w:rsidR="0005178F">
                              <w:rPr>
                                <w:noProof/>
                                <w:color w:val="auto"/>
                              </w:rPr>
                              <w:t>8</w:t>
                            </w:r>
                            <w:r w:rsidRPr="00FC083E">
                              <w:rPr>
                                <w:color w:val="auto"/>
                              </w:rPr>
                              <w:fldChar w:fldCharType="end"/>
                            </w:r>
                            <w:r w:rsidRPr="00FC083E">
                              <w:rPr>
                                <w:color w:val="auto"/>
                              </w:rPr>
                              <w:t>: Mowamba Wei</w:t>
                            </w:r>
                            <w:r w:rsidR="00FC083E" w:rsidRPr="00FC083E">
                              <w:rPr>
                                <w:color w:val="auto"/>
                              </w:rPr>
                              <w:t>r</w:t>
                            </w:r>
                            <w:r w:rsidRPr="00FC083E">
                              <w:rPr>
                                <w:color w:val="auto"/>
                              </w:rPr>
                              <w:t>, near Dalgety, NSW (February 2026). Source: Australian Government DCCEEW</w:t>
                            </w:r>
                          </w:p>
                          <w:p w14:paraId="5BEE5905" w14:textId="77777777" w:rsidR="00B4614B" w:rsidRPr="003F08F6" w:rsidRDefault="00B4614B" w:rsidP="007920E6">
                            <w:pPr>
                              <w:jc w:val="center"/>
                              <w:rPr>
                                <w:sz w:val="20"/>
                                <w:szCs w:val="22"/>
                              </w:rPr>
                            </w:pPr>
                            <w:r w:rsidRPr="003F08F6">
                              <w:rPr>
                                <w:noProof/>
                                <w:sz w:val="20"/>
                                <w:szCs w:val="18"/>
                              </w:rPr>
                              <w:drawing>
                                <wp:inline distT="0" distB="0" distL="0" distR="0" wp14:anchorId="443562B0" wp14:editId="3C3BF282">
                                  <wp:extent cx="4531360" cy="2333625"/>
                                  <wp:effectExtent l="0" t="0" r="2540" b="9525"/>
                                  <wp:docPr id="1519881133" name="Picture 1" descr="P784TB13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81133" name="Picture 1" descr="P784TB13inTB1"/>
                                          <pic:cNvPicPr/>
                                        </pic:nvPicPr>
                                        <pic:blipFill rotWithShape="1">
                                          <a:blip r:embed="rId53" cstate="print">
                                            <a:extLst>
                                              <a:ext uri="{28A0092B-C50C-407E-A947-70E740481C1C}">
                                                <a14:useLocalDpi xmlns:a14="http://schemas.microsoft.com/office/drawing/2010/main" val="0"/>
                                              </a:ext>
                                            </a:extLst>
                                          </a:blip>
                                          <a:srcRect t="23055" b="10150"/>
                                          <a:stretch>
                                            <a:fillRect/>
                                          </a:stretch>
                                        </pic:blipFill>
                                        <pic:spPr bwMode="auto">
                                          <a:xfrm>
                                            <a:off x="0" y="0"/>
                                            <a:ext cx="4531360" cy="2333625"/>
                                          </a:xfrm>
                                          <a:prstGeom prst="rect">
                                            <a:avLst/>
                                          </a:prstGeom>
                                          <a:ln>
                                            <a:noFill/>
                                          </a:ln>
                                          <a:extLst>
                                            <a:ext uri="{53640926-AAD7-44D8-BBD7-CCE9431645EC}">
                                              <a14:shadowObscured xmlns:a14="http://schemas.microsoft.com/office/drawing/2010/main"/>
                                            </a:ext>
                                          </a:extLst>
                                        </pic:spPr>
                                      </pic:pic>
                                    </a:graphicData>
                                  </a:graphic>
                                </wp:inline>
                              </w:drawing>
                            </w:r>
                          </w:p>
                          <w:p w14:paraId="61DA0B34" w14:textId="77777777" w:rsidR="006923B1" w:rsidRPr="003F08F6" w:rsidRDefault="006923B1" w:rsidP="006923B1">
                            <w:pPr>
                              <w:spacing w:after="0"/>
                              <w:rPr>
                                <w:sz w:val="20"/>
                                <w:szCs w:val="22"/>
                              </w:rPr>
                            </w:pPr>
                          </w:p>
                          <w:p w14:paraId="04ECA36F" w14:textId="77777777" w:rsidR="00B4614B" w:rsidRPr="00F246A4" w:rsidRDefault="00B4614B" w:rsidP="00B4614B">
                            <w:pPr>
                              <w:rPr>
                                <w:sz w:val="18"/>
                                <w:szCs w:val="20"/>
                              </w:rPr>
                            </w:pPr>
                            <w:r w:rsidRPr="00F246A4">
                              <w:rPr>
                                <w:sz w:val="18"/>
                                <w:szCs w:val="20"/>
                              </w:rPr>
                              <w:t>Concerns regarding the environmental impacts of the weir have been raised for over a decade. In 2009, the first 5-year review on the NSW Snowy Water Licence recommended the Minister ask the NSW Office of Water to investigate options for decommissioning of Mowamba Aqueduct by 2012.  This was in response to significant community views that the weir should be removed to improve environmental outcomes.</w:t>
                            </w:r>
                          </w:p>
                          <w:p w14:paraId="05468F20" w14:textId="77777777" w:rsidR="00B4614B" w:rsidRPr="00F246A4" w:rsidRDefault="00B4614B" w:rsidP="00B4614B">
                            <w:pPr>
                              <w:rPr>
                                <w:sz w:val="18"/>
                                <w:szCs w:val="20"/>
                              </w:rPr>
                            </w:pPr>
                            <w:r w:rsidRPr="00F246A4">
                              <w:rPr>
                                <w:sz w:val="18"/>
                                <w:szCs w:val="20"/>
                              </w:rPr>
                              <w:t xml:space="preserve">This issue remained active in subsequent licence reviews. In 2018, the 10-year NSW Snowy Water Licence review identified a key action related to Mowamba weir: </w:t>
                            </w:r>
                            <w:r w:rsidRPr="00F246A4">
                              <w:rPr>
                                <w:i/>
                                <w:sz w:val="18"/>
                                <w:szCs w:val="20"/>
                              </w:rPr>
                              <w:t xml:space="preserve">Action 7: Finalise the Mowamba River investigation (by 2020). This will include: </w:t>
                            </w:r>
                          </w:p>
                          <w:p w14:paraId="1DC2D9E4" w14:textId="77777777" w:rsidR="00B4614B" w:rsidRPr="00F246A4" w:rsidRDefault="00B4614B" w:rsidP="00115BD6">
                            <w:pPr>
                              <w:pStyle w:val="ListParagraph"/>
                              <w:numPr>
                                <w:ilvl w:val="0"/>
                                <w:numId w:val="104"/>
                              </w:numPr>
                              <w:ind w:left="851" w:hanging="491"/>
                              <w:rPr>
                                <w:i/>
                                <w:sz w:val="18"/>
                                <w:szCs w:val="20"/>
                              </w:rPr>
                            </w:pPr>
                            <w:r w:rsidRPr="00F246A4">
                              <w:rPr>
                                <w:i/>
                                <w:sz w:val="18"/>
                                <w:szCs w:val="20"/>
                              </w:rPr>
                              <w:t xml:space="preserve">evaluating options for using the Mowamba River to provide environmental water to the Snowy River </w:t>
                            </w:r>
                          </w:p>
                          <w:p w14:paraId="572DD193" w14:textId="77777777" w:rsidR="00B4614B" w:rsidRPr="00F246A4" w:rsidRDefault="00B4614B" w:rsidP="00115BD6">
                            <w:pPr>
                              <w:pStyle w:val="ListParagraph"/>
                              <w:numPr>
                                <w:ilvl w:val="0"/>
                                <w:numId w:val="104"/>
                              </w:numPr>
                              <w:ind w:left="851" w:hanging="491"/>
                              <w:rPr>
                                <w:i/>
                                <w:sz w:val="18"/>
                                <w:szCs w:val="20"/>
                              </w:rPr>
                            </w:pPr>
                            <w:r w:rsidRPr="00F246A4">
                              <w:rPr>
                                <w:i/>
                                <w:sz w:val="18"/>
                                <w:szCs w:val="20"/>
                              </w:rPr>
                              <w:t xml:space="preserve">recommending an environmental flow regime for the Snowy River consisting of a combination of releases from Jindabyne Dam and the Mowamba River. </w:t>
                            </w:r>
                          </w:p>
                          <w:p w14:paraId="13CDD4C3" w14:textId="77777777" w:rsidR="00B4614B" w:rsidRPr="00F246A4" w:rsidRDefault="00B4614B" w:rsidP="00B4614B">
                            <w:pPr>
                              <w:rPr>
                                <w:sz w:val="18"/>
                                <w:szCs w:val="20"/>
                              </w:rPr>
                            </w:pPr>
                            <w:r w:rsidRPr="00F246A4">
                              <w:rPr>
                                <w:sz w:val="18"/>
                                <w:szCs w:val="20"/>
                              </w:rPr>
                              <w:t>In September 2022, the NSW Government commissioned an Independent Expert Panel on restoring flows and flexibility of Jindabyne releases of Snowy River Increased Flows to investigate this action.  That Panel recommended removal of the weir, citing significant environmental benefits for the Mowamba River and consequential improvements for the Snowy River.</w:t>
                            </w:r>
                          </w:p>
                          <w:p w14:paraId="5A6806F1" w14:textId="77777777" w:rsidR="00B4614B" w:rsidRPr="00F246A4" w:rsidRDefault="00B4614B" w:rsidP="00B4614B">
                            <w:pPr>
                              <w:rPr>
                                <w:sz w:val="18"/>
                                <w:szCs w:val="20"/>
                              </w:rPr>
                            </w:pPr>
                            <w:r w:rsidRPr="00F246A4">
                              <w:rPr>
                                <w:sz w:val="18"/>
                                <w:szCs w:val="20"/>
                              </w:rPr>
                              <w:t xml:space="preserve">Despite this sustained body of analysis and recommendations, the weir remains fully operational as of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ACF3E" id="_x0000_s1028" type="#_x0000_t202" alt="P784TB13#y1" style="position:absolute;left:0;text-align:left;margin-left:-8.95pt;margin-top:17.25pt;width:478.9pt;height:600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" fillcolor="#dceaf7 [351]" stroked="f">
                <v:shadow on="t" color="black" opacity="26214f" origin="-.5,-.5" offset=".74836mm,.74836mm"/>
                <v:textbox>
                  <w:txbxContent>
                    <w:p w14:paraId="1C6E91A4" w14:textId="77777777" w:rsidR="007140D6" w:rsidRDefault="007140D6" w:rsidP="00681D87">
                      <w:pPr>
                        <w:rPr>
                          <w:b/>
                          <w:sz w:val="18"/>
                          <w:szCs w:val="20"/>
                        </w:rPr>
                      </w:pPr>
                    </w:p>
                    <w:p w14:paraId="3995C90C" w14:textId="77777777" w:rsidR="00681D87" w:rsidRPr="00F246A4" w:rsidRDefault="00681D87" w:rsidP="00681D87">
                      <w:pPr>
                        <w:rPr>
                          <w:sz w:val="18"/>
                          <w:szCs w:val="20"/>
                        </w:rPr>
                      </w:pPr>
                      <w:r w:rsidRPr="00F246A4">
                        <w:rPr>
                          <w:sz w:val="18"/>
                          <w:szCs w:val="20"/>
                        </w:rPr>
                        <w:t>The ongoing failure to resolve the differing views regarding the future of Mowamba Weir provides a clear illustration of limitations in the effectiveness of the current governance arrangements.</w:t>
                      </w:r>
                    </w:p>
                    <w:p w14:paraId="424E9672" w14:textId="77777777" w:rsidR="005812A2" w:rsidRPr="00F246A4" w:rsidRDefault="00681D87" w:rsidP="00681D87">
                      <w:pPr>
                        <w:rPr>
                          <w:sz w:val="18"/>
                          <w:szCs w:val="20"/>
                        </w:rPr>
                      </w:pPr>
                      <w:r w:rsidRPr="00F246A4">
                        <w:rPr>
                          <w:sz w:val="18"/>
                          <w:szCs w:val="20"/>
                        </w:rPr>
                        <w:t>Mowamba Weir is a diversion structure within the Snowy Scheme, located near Dalgety, which redirects flows from the Mowamba River into Lake Jindabyne via an aqueduct. Under current operating conditions, only 1.3 ML/day of flow is permitted to pass downstream of the weir, except during periods when the aqueduct’s capacity of 500 ML/day is exceeded, resulting in overtopping.  In dry years, overtopping events may not occur, effectively limiting downstream environmental flows.</w:t>
                      </w:r>
                    </w:p>
                    <w:p w14:paraId="5A4D3B4C" w14:textId="33EE7F0F" w:rsidR="007140D6" w:rsidRPr="00FC083E" w:rsidRDefault="007140D6" w:rsidP="007140D6">
                      <w:pPr>
                        <w:pStyle w:val="Caption"/>
                        <w:keepNext/>
                        <w:jc w:val="center"/>
                        <w:rPr>
                          <w:color w:val="auto"/>
                        </w:rPr>
                      </w:pPr>
                      <w:r w:rsidRPr="00FC083E">
                        <w:rPr>
                          <w:color w:val="auto"/>
                        </w:rPr>
                        <w:t xml:space="preserve">Figure </w:t>
                      </w:r>
                      <w:r w:rsidRPr="00FC083E">
                        <w:rPr>
                          <w:color w:val="auto"/>
                        </w:rPr>
                        <w:fldChar w:fldCharType="begin"/>
                      </w:r>
                      <w:r w:rsidRPr="00FC083E">
                        <w:rPr>
                          <w:color w:val="auto"/>
                        </w:rPr>
                        <w:instrText xml:space="preserve"> SEQ Figure \* ARABIC </w:instrText>
                      </w:r>
                      <w:r w:rsidRPr="00FC083E">
                        <w:rPr>
                          <w:color w:val="auto"/>
                        </w:rPr>
                        <w:fldChar w:fldCharType="separate"/>
                      </w:r>
                      <w:r w:rsidR="0005178F">
                        <w:rPr>
                          <w:noProof/>
                          <w:color w:val="auto"/>
                        </w:rPr>
                        <w:t>8</w:t>
                      </w:r>
                      <w:r w:rsidRPr="00FC083E">
                        <w:rPr>
                          <w:color w:val="auto"/>
                        </w:rPr>
                        <w:fldChar w:fldCharType="end"/>
                      </w:r>
                      <w:r w:rsidRPr="00FC083E">
                        <w:rPr>
                          <w:color w:val="auto"/>
                        </w:rPr>
                        <w:t>: Mowamba Wei</w:t>
                      </w:r>
                      <w:r w:rsidR="00FC083E" w:rsidRPr="00FC083E">
                        <w:rPr>
                          <w:color w:val="auto"/>
                        </w:rPr>
                        <w:t>r</w:t>
                      </w:r>
                      <w:r w:rsidRPr="00FC083E">
                        <w:rPr>
                          <w:color w:val="auto"/>
                        </w:rPr>
                        <w:t>, near Dalgety, NSW (February 2026). Source: Australian Government DCCEEW</w:t>
                      </w:r>
                    </w:p>
                    <w:p w14:paraId="5BEE5905" w14:textId="77777777" w:rsidR="00B4614B" w:rsidRPr="003F08F6" w:rsidRDefault="00B4614B" w:rsidP="007920E6">
                      <w:pPr>
                        <w:jc w:val="center"/>
                        <w:rPr>
                          <w:sz w:val="20"/>
                          <w:szCs w:val="22"/>
                        </w:rPr>
                      </w:pPr>
                      <w:r w:rsidRPr="003F08F6">
                        <w:rPr>
                          <w:noProof/>
                          <w:sz w:val="20"/>
                          <w:szCs w:val="18"/>
                        </w:rPr>
                        <w:drawing>
                          <wp:inline distT="0" distB="0" distL="0" distR="0" wp14:anchorId="443562B0" wp14:editId="3C3BF282">
                            <wp:extent cx="4531360" cy="2333625"/>
                            <wp:effectExtent l="0" t="0" r="2540" b="9525"/>
                            <wp:docPr id="1519881133" name="Picture 1" descr="P784TB13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81133" name="Picture 1" descr="P784TB13inTB1"/>
                                    <pic:cNvPicPr/>
                                  </pic:nvPicPr>
                                  <pic:blipFill rotWithShape="1">
                                    <a:blip r:embed="rId53" cstate="print">
                                      <a:extLst>
                                        <a:ext uri="{28A0092B-C50C-407E-A947-70E740481C1C}">
                                          <a14:useLocalDpi xmlns:a14="http://schemas.microsoft.com/office/drawing/2010/main" val="0"/>
                                        </a:ext>
                                      </a:extLst>
                                    </a:blip>
                                    <a:srcRect t="23055" b="10150"/>
                                    <a:stretch>
                                      <a:fillRect/>
                                    </a:stretch>
                                  </pic:blipFill>
                                  <pic:spPr bwMode="auto">
                                    <a:xfrm>
                                      <a:off x="0" y="0"/>
                                      <a:ext cx="4531360" cy="2333625"/>
                                    </a:xfrm>
                                    <a:prstGeom prst="rect">
                                      <a:avLst/>
                                    </a:prstGeom>
                                    <a:ln>
                                      <a:noFill/>
                                    </a:ln>
                                    <a:extLst>
                                      <a:ext uri="{53640926-AAD7-44D8-BBD7-CCE9431645EC}">
                                        <a14:shadowObscured xmlns:a14="http://schemas.microsoft.com/office/drawing/2010/main"/>
                                      </a:ext>
                                    </a:extLst>
                                  </pic:spPr>
                                </pic:pic>
                              </a:graphicData>
                            </a:graphic>
                          </wp:inline>
                        </w:drawing>
                      </w:r>
                    </w:p>
                    <w:p w14:paraId="61DA0B34" w14:textId="77777777" w:rsidR="006923B1" w:rsidRPr="003F08F6" w:rsidRDefault="006923B1" w:rsidP="006923B1">
                      <w:pPr>
                        <w:spacing w:after="0"/>
                        <w:rPr>
                          <w:sz w:val="20"/>
                          <w:szCs w:val="22"/>
                        </w:rPr>
                      </w:pPr>
                    </w:p>
                    <w:p w14:paraId="04ECA36F" w14:textId="77777777" w:rsidR="00B4614B" w:rsidRPr="00F246A4" w:rsidRDefault="00B4614B" w:rsidP="00B4614B">
                      <w:pPr>
                        <w:rPr>
                          <w:sz w:val="18"/>
                          <w:szCs w:val="20"/>
                        </w:rPr>
                      </w:pPr>
                      <w:r w:rsidRPr="00F246A4">
                        <w:rPr>
                          <w:sz w:val="18"/>
                          <w:szCs w:val="20"/>
                        </w:rPr>
                        <w:t>Concerns regarding the environmental impacts of the weir have been raised for over a decade. In 2009, the first 5-year review on the NSW Snowy Water Licence recommended the Minister ask the NSW Office of Water to investigate options for decommissioning of Mowamba Aqueduct by 2012.  This was in response to significant community views that the weir should be removed to improve environmental outcomes.</w:t>
                      </w:r>
                    </w:p>
                    <w:p w14:paraId="05468F20" w14:textId="77777777" w:rsidR="00B4614B" w:rsidRPr="00F246A4" w:rsidRDefault="00B4614B" w:rsidP="00B4614B">
                      <w:pPr>
                        <w:rPr>
                          <w:sz w:val="18"/>
                          <w:szCs w:val="20"/>
                        </w:rPr>
                      </w:pPr>
                      <w:r w:rsidRPr="00F246A4">
                        <w:rPr>
                          <w:sz w:val="18"/>
                          <w:szCs w:val="20"/>
                        </w:rPr>
                        <w:t xml:space="preserve">This issue remained active in subsequent licence reviews. In 2018, the 10-year NSW Snowy Water Licence review identified a key action related to Mowamba weir: </w:t>
                      </w:r>
                      <w:r w:rsidRPr="00F246A4">
                        <w:rPr>
                          <w:i/>
                          <w:sz w:val="18"/>
                          <w:szCs w:val="20"/>
                        </w:rPr>
                        <w:t xml:space="preserve">Action 7: Finalise the Mowamba River investigation (by 2020). This will include: </w:t>
                      </w:r>
                    </w:p>
                    <w:p w14:paraId="1DC2D9E4" w14:textId="77777777" w:rsidR="00B4614B" w:rsidRPr="00F246A4" w:rsidRDefault="00B4614B" w:rsidP="00115BD6">
                      <w:pPr>
                        <w:pStyle w:val="ListParagraph"/>
                        <w:numPr>
                          <w:ilvl w:val="0"/>
                          <w:numId w:val="104"/>
                        </w:numPr>
                        <w:ind w:left="851" w:hanging="491"/>
                        <w:rPr>
                          <w:i/>
                          <w:sz w:val="18"/>
                          <w:szCs w:val="20"/>
                        </w:rPr>
                      </w:pPr>
                      <w:r w:rsidRPr="00F246A4">
                        <w:rPr>
                          <w:i/>
                          <w:sz w:val="18"/>
                          <w:szCs w:val="20"/>
                        </w:rPr>
                        <w:t xml:space="preserve">evaluating options for using the Mowamba River to provide environmental water to the Snowy River </w:t>
                      </w:r>
                    </w:p>
                    <w:p w14:paraId="572DD193" w14:textId="77777777" w:rsidR="00B4614B" w:rsidRPr="00F246A4" w:rsidRDefault="00B4614B" w:rsidP="00115BD6">
                      <w:pPr>
                        <w:pStyle w:val="ListParagraph"/>
                        <w:numPr>
                          <w:ilvl w:val="0"/>
                          <w:numId w:val="104"/>
                        </w:numPr>
                        <w:ind w:left="851" w:hanging="491"/>
                        <w:rPr>
                          <w:i/>
                          <w:sz w:val="18"/>
                          <w:szCs w:val="20"/>
                        </w:rPr>
                      </w:pPr>
                      <w:r w:rsidRPr="00F246A4">
                        <w:rPr>
                          <w:i/>
                          <w:sz w:val="18"/>
                          <w:szCs w:val="20"/>
                        </w:rPr>
                        <w:t xml:space="preserve">recommending an environmental flow regime for the Snowy River consisting of a combination of releases from Jindabyne Dam and the Mowamba River. </w:t>
                      </w:r>
                    </w:p>
                    <w:p w14:paraId="13CDD4C3" w14:textId="77777777" w:rsidR="00B4614B" w:rsidRPr="00F246A4" w:rsidRDefault="00B4614B" w:rsidP="00B4614B">
                      <w:pPr>
                        <w:rPr>
                          <w:sz w:val="18"/>
                          <w:szCs w:val="20"/>
                        </w:rPr>
                      </w:pPr>
                      <w:r w:rsidRPr="00F246A4">
                        <w:rPr>
                          <w:sz w:val="18"/>
                          <w:szCs w:val="20"/>
                        </w:rPr>
                        <w:t>In September 2022, the NSW Government commissioned an Independent Expert Panel on restoring flows and flexibility of Jindabyne releases of Snowy River Increased Flows to investigate this action.  That Panel recommended removal of the weir, citing significant environmental benefits for the Mowamba River and consequential improvements for the Snowy River.</w:t>
                      </w:r>
                    </w:p>
                    <w:p w14:paraId="5A6806F1" w14:textId="77777777" w:rsidR="00B4614B" w:rsidRPr="00F246A4" w:rsidRDefault="00B4614B" w:rsidP="00B4614B">
                      <w:pPr>
                        <w:rPr>
                          <w:sz w:val="18"/>
                          <w:szCs w:val="20"/>
                        </w:rPr>
                      </w:pPr>
                      <w:r w:rsidRPr="00F246A4">
                        <w:rPr>
                          <w:sz w:val="18"/>
                          <w:szCs w:val="20"/>
                        </w:rPr>
                        <w:t xml:space="preserve">Despite this sustained body of analysis and recommendations, the weir remains fully operational as of 2026. </w:t>
                      </w:r>
                    </w:p>
                  </w:txbxContent>
                </v:textbox>
                <w10:wrap type="square" anchorx="margin"/>
              </v:shape>
            </w:pict>
          </mc:Fallback>
        </mc:AlternateContent>
      </w:r>
      <w:r w:rsidR="007140D6">
        <w:rPr>
          <w:noProof/>
        </w:rPr>
        <mc:AlternateContent>
          <mc:Choice Requires="wps">
            <w:drawing>
              <wp:anchor distT="0" distB="0" distL="114300" distR="114300" simplePos="0" relativeHeight="251658254" behindDoc="0" locked="0" layoutInCell="1" allowOverlap="1" wp14:anchorId="63B1B642" wp14:editId="06345F0E">
                <wp:simplePos x="0" y="0"/>
                <wp:positionH relativeFrom="margin">
                  <wp:posOffset>-41275</wp:posOffset>
                </wp:positionH>
                <wp:positionV relativeFrom="paragraph">
                  <wp:posOffset>307975</wp:posOffset>
                </wp:positionV>
                <wp:extent cx="4731385" cy="137795"/>
                <wp:effectExtent l="0" t="0" r="0" b="0"/>
                <wp:wrapSquare wrapText="bothSides"/>
                <wp:docPr id="302676610" name="Text Box 1" descr="P784TB15#y1"/>
                <wp:cNvGraphicFramePr/>
                <a:graphic xmlns:a="http://schemas.openxmlformats.org/drawingml/2006/main">
                  <a:graphicData uri="http://schemas.microsoft.com/office/word/2010/wordprocessingShape">
                    <wps:wsp>
                      <wps:cNvSpPr txBox="1"/>
                      <wps:spPr>
                        <a:xfrm>
                          <a:off x="0" y="0"/>
                          <a:ext cx="4731385" cy="137795"/>
                        </a:xfrm>
                        <a:prstGeom prst="rect">
                          <a:avLst/>
                        </a:prstGeom>
                        <a:solidFill>
                          <a:prstClr val="white"/>
                        </a:solidFill>
                        <a:ln>
                          <a:noFill/>
                        </a:ln>
                      </wps:spPr>
                      <wps:txbx>
                        <w:txbxContent>
                          <w:p w14:paraId="4CE98039" w14:textId="6A631D6E" w:rsidR="007140D6" w:rsidRPr="007140D6" w:rsidRDefault="007140D6" w:rsidP="007140D6">
                            <w:pPr>
                              <w:pStyle w:val="Caption"/>
                              <w:shd w:val="clear" w:color="auto" w:fill="DAE9F7" w:themeFill="text2" w:themeFillTint="1A"/>
                              <w:rPr>
                                <w:rFonts w:eastAsia="Calibri" w:cs="Calibri"/>
                                <w:b/>
                                <w:bCs/>
                                <w:noProof/>
                                <w:color w:val="auto"/>
                                <w:sz w:val="20"/>
                              </w:rPr>
                            </w:pPr>
                            <w:r w:rsidRPr="007140D6">
                              <w:rPr>
                                <w:b/>
                                <w:bCs/>
                                <w:color w:val="auto"/>
                                <w:sz w:val="20"/>
                                <w:szCs w:val="20"/>
                              </w:rPr>
                              <w:t xml:space="preserve">Box </w:t>
                            </w:r>
                            <w:r w:rsidRPr="007140D6">
                              <w:rPr>
                                <w:b/>
                                <w:bCs/>
                                <w:color w:val="auto"/>
                                <w:sz w:val="20"/>
                                <w:szCs w:val="20"/>
                              </w:rPr>
                              <w:fldChar w:fldCharType="begin"/>
                            </w:r>
                            <w:r w:rsidRPr="007140D6">
                              <w:rPr>
                                <w:b/>
                                <w:bCs/>
                                <w:color w:val="auto"/>
                                <w:sz w:val="20"/>
                                <w:szCs w:val="20"/>
                              </w:rPr>
                              <w:instrText xml:space="preserve"> SEQ Box \* ARABIC </w:instrText>
                            </w:r>
                            <w:r w:rsidRPr="007140D6">
                              <w:rPr>
                                <w:b/>
                                <w:bCs/>
                                <w:color w:val="auto"/>
                                <w:sz w:val="20"/>
                                <w:szCs w:val="20"/>
                              </w:rPr>
                              <w:fldChar w:fldCharType="separate"/>
                            </w:r>
                            <w:r w:rsidR="0005178F">
                              <w:rPr>
                                <w:b/>
                                <w:bCs/>
                                <w:noProof/>
                                <w:color w:val="auto"/>
                                <w:sz w:val="20"/>
                                <w:szCs w:val="20"/>
                              </w:rPr>
                              <w:t>1</w:t>
                            </w:r>
                            <w:r w:rsidRPr="007140D6">
                              <w:rPr>
                                <w:b/>
                                <w:bCs/>
                                <w:color w:val="auto"/>
                                <w:sz w:val="20"/>
                                <w:szCs w:val="20"/>
                              </w:rPr>
                              <w:fldChar w:fldCharType="end"/>
                            </w:r>
                            <w:r w:rsidRPr="007140D6">
                              <w:rPr>
                                <w:b/>
                                <w:bCs/>
                                <w:color w:val="auto"/>
                                <w:sz w:val="20"/>
                                <w:szCs w:val="20"/>
                              </w:rPr>
                              <w:t>: Case Study - Mowamba Weir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1B642" id="_x0000_s1029" type="#_x0000_t202" alt="P784TB15#y1" style="position:absolute;left:0;text-align:left;margin-left:-3.25pt;margin-top:24.25pt;width:372.55pt;height:10.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" stroked="f">
                <v:textbox inset="0,0,0,0">
                  <w:txbxContent>
                    <w:p w14:paraId="4CE98039" w14:textId="6A631D6E" w:rsidR="007140D6" w:rsidRPr="007140D6" w:rsidRDefault="007140D6" w:rsidP="007140D6">
                      <w:pPr>
                        <w:pStyle w:val="Caption"/>
                        <w:shd w:val="clear" w:color="auto" w:fill="DAE9F7" w:themeFill="text2" w:themeFillTint="1A"/>
                        <w:rPr>
                          <w:rFonts w:eastAsia="Calibri" w:cs="Calibri"/>
                          <w:b/>
                          <w:bCs/>
                          <w:noProof/>
                          <w:color w:val="auto"/>
                          <w:sz w:val="20"/>
                        </w:rPr>
                      </w:pPr>
                      <w:r w:rsidRPr="007140D6">
                        <w:rPr>
                          <w:b/>
                          <w:bCs/>
                          <w:color w:val="auto"/>
                          <w:sz w:val="20"/>
                          <w:szCs w:val="20"/>
                        </w:rPr>
                        <w:t xml:space="preserve">Box </w:t>
                      </w:r>
                      <w:r w:rsidRPr="007140D6">
                        <w:rPr>
                          <w:b/>
                          <w:bCs/>
                          <w:color w:val="auto"/>
                          <w:sz w:val="20"/>
                          <w:szCs w:val="20"/>
                        </w:rPr>
                        <w:fldChar w:fldCharType="begin"/>
                      </w:r>
                      <w:r w:rsidRPr="007140D6">
                        <w:rPr>
                          <w:b/>
                          <w:bCs/>
                          <w:color w:val="auto"/>
                          <w:sz w:val="20"/>
                          <w:szCs w:val="20"/>
                        </w:rPr>
                        <w:instrText xml:space="preserve"> SEQ Box \* ARABIC </w:instrText>
                      </w:r>
                      <w:r w:rsidRPr="007140D6">
                        <w:rPr>
                          <w:b/>
                          <w:bCs/>
                          <w:color w:val="auto"/>
                          <w:sz w:val="20"/>
                          <w:szCs w:val="20"/>
                        </w:rPr>
                        <w:fldChar w:fldCharType="separate"/>
                      </w:r>
                      <w:r w:rsidR="0005178F">
                        <w:rPr>
                          <w:b/>
                          <w:bCs/>
                          <w:noProof/>
                          <w:color w:val="auto"/>
                          <w:sz w:val="20"/>
                          <w:szCs w:val="20"/>
                        </w:rPr>
                        <w:t>1</w:t>
                      </w:r>
                      <w:r w:rsidRPr="007140D6">
                        <w:rPr>
                          <w:b/>
                          <w:bCs/>
                          <w:color w:val="auto"/>
                          <w:sz w:val="20"/>
                          <w:szCs w:val="20"/>
                        </w:rPr>
                        <w:fldChar w:fldCharType="end"/>
                      </w:r>
                      <w:r w:rsidRPr="007140D6">
                        <w:rPr>
                          <w:b/>
                          <w:bCs/>
                          <w:color w:val="auto"/>
                          <w:sz w:val="20"/>
                          <w:szCs w:val="20"/>
                        </w:rPr>
                        <w:t>: Case Study - Mowamba Weir</w:t>
                      </w:r>
                    </w:p>
                  </w:txbxContent>
                </v:textbox>
                <w10:wrap type="square" anchorx="margin"/>
              </v:shape>
            </w:pict>
          </mc:Fallback>
        </mc:AlternateContent>
      </w:r>
      <w:r w:rsidR="00F92F2D" w:rsidRPr="00F04AA8">
        <w:rPr>
          <w:rFonts w:eastAsia="Calibri" w:cs="Calibri"/>
          <w:noProof/>
          <w:sz w:val="18"/>
          <w:szCs w:val="16"/>
        </w:rPr>
        <mc:AlternateContent>
          <mc:Choice Requires="wps">
            <w:drawing>
              <wp:anchor distT="0" distB="0" distL="114300" distR="114300" simplePos="0" relativeHeight="251658242" behindDoc="0" locked="0" layoutInCell="1" allowOverlap="1" wp14:anchorId="3870226E" wp14:editId="79165F60">
                <wp:simplePos x="0" y="0"/>
                <wp:positionH relativeFrom="margin">
                  <wp:posOffset>1218427</wp:posOffset>
                </wp:positionH>
                <wp:positionV relativeFrom="paragraph">
                  <wp:posOffset>4006519</wp:posOffset>
                </wp:positionV>
                <wp:extent cx="3588385" cy="269875"/>
                <wp:effectExtent l="0" t="0" r="0" b="0"/>
                <wp:wrapNone/>
                <wp:docPr id="657693438" name="Text Box 2" descr="P784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6987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48BEAF8" w14:textId="77777777" w:rsidR="006923B1" w:rsidRPr="00655006" w:rsidRDefault="006923B1" w:rsidP="006923B1">
                            <w:pPr>
                              <w:pStyle w:val="Caption"/>
                              <w:jc w:val="center"/>
                              <w:rPr>
                                <w:rFonts w:eastAsia="Calibri" w:cs="Calibri"/>
                                <w:b/>
                                <w:bCs/>
                                <w:color w:val="auto"/>
                                <w:sz w:val="14"/>
                                <w:szCs w:val="14"/>
                              </w:rPr>
                            </w:pPr>
                            <w:r w:rsidRPr="00655006">
                              <w:rPr>
                                <w:rFonts w:eastAsia="Calibri" w:cs="Calibri"/>
                                <w:color w:val="auto"/>
                                <w:sz w:val="14"/>
                                <w:szCs w:val="14"/>
                              </w:rPr>
                              <w:t xml:space="preserve">Figure </w:t>
                            </w:r>
                            <w:r w:rsidRPr="00655006">
                              <w:rPr>
                                <w:rFonts w:eastAsia="Calibri" w:cs="Calibri"/>
                                <w:color w:val="auto"/>
                                <w:sz w:val="14"/>
                                <w:szCs w:val="14"/>
                                <w:highlight w:val="yellow"/>
                              </w:rPr>
                              <w:t>[insert</w:t>
                            </w:r>
                            <w:r w:rsidRPr="00655006">
                              <w:rPr>
                                <w:rFonts w:eastAsia="Calibri" w:cs="Calibri"/>
                                <w:color w:val="auto"/>
                                <w:sz w:val="14"/>
                                <w:szCs w:val="14"/>
                              </w:rPr>
                              <w:t>]: Mowamba Weir (Source: Cth DCCEEW, January 2026)</w:t>
                            </w:r>
                          </w:p>
                          <w:p w14:paraId="76C1F00D" w14:textId="77777777" w:rsidR="006923B1" w:rsidRPr="00655006" w:rsidRDefault="006923B1" w:rsidP="006923B1">
                            <w:pPr>
                              <w:jc w:val="center"/>
                              <w:rPr>
                                <w:sz w:val="16"/>
                                <w:szCs w:val="18"/>
                              </w:rPr>
                            </w:pPr>
                          </w:p>
                        </w:txbxContent>
                      </wps:txbx>
                      <wps:bodyPr rot="0" vert="horz" wrap="square" lIns="91440" tIns="45720" rIns="91440" bIns="45720" anchor="t" anchorCtr="0">
                        <a:noAutofit/>
                      </wps:bodyPr>
                    </wps:wsp>
                  </a:graphicData>
                </a:graphic>
              </wp:anchor>
            </w:drawing>
          </mc:Choice>
          <mc:Fallback>
            <w:pict>
              <v:shape w14:anchorId="3870226E" id="_x0000_s1030" type="#_x0000_t202" alt="P784TB3bA#y1" style="position:absolute;left:0;text-align:left;margin-left:95.95pt;margin-top:315.45pt;width:282.55pt;height:21.2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" filled="f">
                <v:stroke opacity="0"/>
                <v:textbox>
                  <w:txbxContent>
                    <w:p w14:paraId="348BEAF8" w14:textId="77777777" w:rsidR="006923B1" w:rsidRPr="00655006" w:rsidRDefault="006923B1" w:rsidP="006923B1">
                      <w:pPr>
                        <w:pStyle w:val="Caption"/>
                        <w:jc w:val="center"/>
                        <w:rPr>
                          <w:rFonts w:eastAsia="Calibri" w:cs="Calibri"/>
                          <w:b/>
                          <w:bCs/>
                          <w:color w:val="auto"/>
                          <w:sz w:val="14"/>
                          <w:szCs w:val="14"/>
                        </w:rPr>
                      </w:pPr>
                      <w:r w:rsidRPr="00655006">
                        <w:rPr>
                          <w:rFonts w:eastAsia="Calibri" w:cs="Calibri"/>
                          <w:color w:val="auto"/>
                          <w:sz w:val="14"/>
                          <w:szCs w:val="14"/>
                        </w:rPr>
                        <w:t xml:space="preserve">Figure </w:t>
                      </w:r>
                      <w:r w:rsidRPr="00655006">
                        <w:rPr>
                          <w:rFonts w:eastAsia="Calibri" w:cs="Calibri"/>
                          <w:color w:val="auto"/>
                          <w:sz w:val="14"/>
                          <w:szCs w:val="14"/>
                          <w:highlight w:val="yellow"/>
                        </w:rPr>
                        <w:t>[insert</w:t>
                      </w:r>
                      <w:r w:rsidRPr="00655006">
                        <w:rPr>
                          <w:rFonts w:eastAsia="Calibri" w:cs="Calibri"/>
                          <w:color w:val="auto"/>
                          <w:sz w:val="14"/>
                          <w:szCs w:val="14"/>
                        </w:rPr>
                        <w:t>]: Mowamba Weir (Source: Cth DCCEEW, January 2026)</w:t>
                      </w:r>
                    </w:p>
                    <w:p w14:paraId="76C1F00D" w14:textId="77777777" w:rsidR="006923B1" w:rsidRPr="00655006" w:rsidRDefault="006923B1" w:rsidP="006923B1">
                      <w:pPr>
                        <w:jc w:val="center"/>
                        <w:rPr>
                          <w:sz w:val="16"/>
                          <w:szCs w:val="18"/>
                        </w:rPr>
                      </w:pPr>
                    </w:p>
                  </w:txbxContent>
                </v:textbox>
                <w10:wrap anchorx="margin"/>
              </v:shape>
            </w:pict>
          </mc:Fallback>
        </mc:AlternateContent>
      </w:r>
    </w:p>
    <w:p w14:paraId="35655530" w14:textId="1AE718F3" w:rsidR="006378B4" w:rsidRDefault="00382EE8" w:rsidP="6332CC80">
      <w:r>
        <w:rPr>
          <w:rFonts w:ascii="ZWAdobeF" w:hAnsi="ZWAdobeF" w:cs="ZWAdobeF"/>
          <w:sz w:val="2"/>
          <w:szCs w:val="2"/>
        </w:rPr>
        <w:t>820B</w:t>
      </w:r>
      <w:r w:rsidR="006378B4">
        <w:t xml:space="preserve">This assessment reinforces the </w:t>
      </w:r>
      <w:r w:rsidR="2C2F308D">
        <w:t xml:space="preserve">Panel’s </w:t>
      </w:r>
      <w:r w:rsidR="006378B4">
        <w:t xml:space="preserve">conclusion that, while key governance functions exist within the current system, they are not structured or integrated in a way that reflects contemporary governance principles, particularly in relation to transparency, accountability, coordination and </w:t>
      </w:r>
      <w:r w:rsidR="006378B4">
        <w:lastRenderedPageBreak/>
        <w:t>adaptive management. These systemic gaps underpin the limitations identified and inform the design of the proposed governance framework.</w:t>
      </w:r>
    </w:p>
    <w:p w14:paraId="3CB1339D" w14:textId="0A167730" w:rsidR="00FC083E" w:rsidRPr="008D5BA0" w:rsidRDefault="00382EE8" w:rsidP="00FC083E">
      <w:pPr>
        <w:pStyle w:val="Caption"/>
        <w:keepNext/>
        <w:rPr>
          <w:b/>
          <w:i w:val="0"/>
          <w:color w:val="auto"/>
          <w:sz w:val="20"/>
          <w:szCs w:val="20"/>
        </w:rPr>
      </w:pPr>
      <w:r>
        <w:rPr>
          <w:rFonts w:ascii="ZWAdobeF" w:hAnsi="ZWAdobeF" w:cs="ZWAdobeF"/>
          <w:i w:val="0"/>
          <w:color w:val="auto"/>
          <w:sz w:val="2"/>
          <w:szCs w:val="2"/>
        </w:rPr>
        <w:t>5B</w:t>
      </w:r>
      <w:r w:rsidR="00FC083E" w:rsidRPr="008D5BA0">
        <w:rPr>
          <w:b/>
          <w:i w:val="0"/>
          <w:color w:val="auto"/>
          <w:sz w:val="20"/>
          <w:szCs w:val="20"/>
        </w:rPr>
        <w:t xml:space="preserve">Table </w:t>
      </w:r>
      <w:r w:rsidR="00FC083E" w:rsidRPr="008D5BA0">
        <w:rPr>
          <w:b/>
          <w:i w:val="0"/>
          <w:color w:val="auto"/>
          <w:sz w:val="20"/>
          <w:szCs w:val="20"/>
        </w:rPr>
        <w:fldChar w:fldCharType="begin"/>
      </w:r>
      <w:r w:rsidR="00FC083E" w:rsidRPr="008D5BA0">
        <w:rPr>
          <w:b/>
          <w:i w:val="0"/>
          <w:color w:val="auto"/>
          <w:sz w:val="20"/>
          <w:szCs w:val="20"/>
        </w:rPr>
        <w:instrText xml:space="preserve"> SEQ Table \* ARABIC </w:instrText>
      </w:r>
      <w:r w:rsidR="00FC083E" w:rsidRPr="008D5BA0">
        <w:rPr>
          <w:b/>
          <w:i w:val="0"/>
          <w:color w:val="auto"/>
          <w:sz w:val="20"/>
          <w:szCs w:val="20"/>
        </w:rPr>
        <w:fldChar w:fldCharType="separate"/>
      </w:r>
      <w:r w:rsidR="0005178F">
        <w:rPr>
          <w:b/>
          <w:i w:val="0"/>
          <w:noProof/>
          <w:color w:val="auto"/>
          <w:sz w:val="20"/>
          <w:szCs w:val="20"/>
        </w:rPr>
        <w:t>2</w:t>
      </w:r>
      <w:r w:rsidR="00FC083E" w:rsidRPr="008D5BA0">
        <w:rPr>
          <w:b/>
          <w:i w:val="0"/>
          <w:color w:val="auto"/>
          <w:sz w:val="20"/>
          <w:szCs w:val="20"/>
        </w:rPr>
        <w:fldChar w:fldCharType="end"/>
      </w:r>
      <w:r w:rsidR="00FC083E" w:rsidRPr="008D5BA0">
        <w:rPr>
          <w:b/>
          <w:i w:val="0"/>
          <w:color w:val="auto"/>
          <w:sz w:val="20"/>
          <w:szCs w:val="20"/>
        </w:rPr>
        <w:t>: Assessment of the effectiveness of Snowy water management functions</w:t>
      </w:r>
    </w:p>
    <w:tbl>
      <w:tblPr>
        <w:tblStyle w:val="PlainTable1"/>
        <w:tblW w:w="9498" w:type="dxa"/>
        <w:jc w:val="center"/>
        <w:tblLook w:val="04A0" w:firstRow="1" w:lastRow="0" w:firstColumn="1" w:lastColumn="0" w:noHBand="0" w:noVBand="1"/>
      </w:tblPr>
      <w:tblGrid>
        <w:gridCol w:w="2410"/>
        <w:gridCol w:w="2972"/>
        <w:gridCol w:w="4116"/>
      </w:tblGrid>
      <w:tr w:rsidR="00026910" w:rsidRPr="00F246A4" w14:paraId="058A7900" w14:textId="77777777" w:rsidTr="00715EBD">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410" w:type="dxa"/>
          </w:tcPr>
          <w:p w14:paraId="20079381" w14:textId="77777777" w:rsidR="00026910" w:rsidRPr="00F246A4" w:rsidRDefault="00026910" w:rsidP="00026910">
            <w:pPr>
              <w:jc w:val="left"/>
              <w:rPr>
                <w:rFonts w:eastAsia="Calibri" w:cs="Calibri"/>
                <w:b w:val="0"/>
                <w:sz w:val="18"/>
                <w:szCs w:val="20"/>
              </w:rPr>
            </w:pPr>
            <w:r w:rsidRPr="00F246A4">
              <w:rPr>
                <w:rFonts w:eastAsia="Calibri" w:cs="Calibri"/>
                <w:sz w:val="18"/>
                <w:szCs w:val="20"/>
              </w:rPr>
              <w:t>Governance function</w:t>
            </w:r>
          </w:p>
        </w:tc>
        <w:tc>
          <w:tcPr>
            <w:tcW w:w="2972" w:type="dxa"/>
          </w:tcPr>
          <w:p w14:paraId="5DB270D6" w14:textId="77777777" w:rsidR="00026910" w:rsidRPr="00F246A4" w:rsidRDefault="00026910">
            <w:pPr>
              <w:cnfStyle w:val="100000000000" w:firstRow="1" w:lastRow="0" w:firstColumn="0" w:lastColumn="0" w:oddVBand="0" w:evenVBand="0" w:oddHBand="0" w:evenHBand="0" w:firstRowFirstColumn="0" w:firstRowLastColumn="0" w:lastRowFirstColumn="0" w:lastRowLastColumn="0"/>
              <w:rPr>
                <w:rFonts w:eastAsia="Calibri" w:cs="Calibri"/>
                <w:b w:val="0"/>
                <w:sz w:val="18"/>
                <w:szCs w:val="20"/>
              </w:rPr>
            </w:pPr>
            <w:r w:rsidRPr="00F246A4">
              <w:rPr>
                <w:rFonts w:eastAsia="Calibri" w:cs="Calibri"/>
                <w:sz w:val="18"/>
                <w:szCs w:val="20"/>
              </w:rPr>
              <w:t>What is working</w:t>
            </w:r>
          </w:p>
        </w:tc>
        <w:tc>
          <w:tcPr>
            <w:tcW w:w="4116" w:type="dxa"/>
          </w:tcPr>
          <w:p w14:paraId="219FABB1" w14:textId="48FEAF68" w:rsidR="00026910" w:rsidRPr="00F246A4" w:rsidRDefault="00026910">
            <w:pPr>
              <w:cnfStyle w:val="100000000000" w:firstRow="1" w:lastRow="0" w:firstColumn="0" w:lastColumn="0" w:oddVBand="0" w:evenVBand="0" w:oddHBand="0" w:evenHBand="0" w:firstRowFirstColumn="0" w:firstRowLastColumn="0" w:lastRowFirstColumn="0" w:lastRowLastColumn="0"/>
              <w:rPr>
                <w:rFonts w:eastAsia="Calibri" w:cs="Calibri"/>
                <w:b w:val="0"/>
                <w:sz w:val="18"/>
                <w:szCs w:val="20"/>
              </w:rPr>
            </w:pPr>
            <w:r w:rsidRPr="00F246A4">
              <w:rPr>
                <w:rFonts w:eastAsia="Calibri" w:cs="Calibri"/>
                <w:sz w:val="18"/>
                <w:szCs w:val="20"/>
              </w:rPr>
              <w:t>What is not working</w:t>
            </w:r>
          </w:p>
        </w:tc>
      </w:tr>
      <w:tr w:rsidR="00026910" w:rsidRPr="00F246A4" w14:paraId="16889AD5" w14:textId="77777777" w:rsidTr="00715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2C50A45B" w14:textId="77777777" w:rsidR="00026910" w:rsidRPr="00F246A4" w:rsidRDefault="00026910" w:rsidP="00026910">
            <w:pPr>
              <w:jc w:val="left"/>
              <w:rPr>
                <w:rFonts w:eastAsia="Calibri" w:cs="Calibri"/>
                <w:color w:val="000000" w:themeColor="text1"/>
                <w:sz w:val="18"/>
                <w:szCs w:val="20"/>
              </w:rPr>
            </w:pPr>
            <w:r w:rsidRPr="00F246A4">
              <w:rPr>
                <w:rFonts w:eastAsia="Calibri" w:cs="Calibri"/>
                <w:sz w:val="18"/>
                <w:szCs w:val="20"/>
              </w:rPr>
              <w:t>Objective setting and intergovernmental coordination</w:t>
            </w:r>
          </w:p>
        </w:tc>
        <w:tc>
          <w:tcPr>
            <w:tcW w:w="2972" w:type="dxa"/>
          </w:tcPr>
          <w:p w14:paraId="2CBE091B" w14:textId="6D9C11E7" w:rsidR="00026910" w:rsidRPr="00F246A4" w:rsidRDefault="411F844C" w:rsidP="001A7279">
            <w:pPr>
              <w:jc w:val="lef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18"/>
                <w:szCs w:val="20"/>
              </w:rPr>
            </w:pPr>
            <w:r w:rsidRPr="00F246A4">
              <w:rPr>
                <w:rFonts w:eastAsia="Calibri" w:cs="Calibri"/>
                <w:sz w:val="18"/>
                <w:szCs w:val="20"/>
              </w:rPr>
              <w:t xml:space="preserve">Intergovernmental </w:t>
            </w:r>
            <w:r w:rsidR="5827F2D2" w:rsidRPr="00F246A4">
              <w:rPr>
                <w:rFonts w:eastAsia="Calibri" w:cs="Calibri"/>
                <w:sz w:val="18"/>
                <w:szCs w:val="20"/>
              </w:rPr>
              <w:t>framework supports annual planning</w:t>
            </w:r>
            <w:r w:rsidRPr="00F246A4">
              <w:rPr>
                <w:rFonts w:eastAsia="Calibri" w:cs="Calibri"/>
                <w:sz w:val="18"/>
                <w:szCs w:val="20"/>
              </w:rPr>
              <w:t xml:space="preserve"> </w:t>
            </w:r>
          </w:p>
        </w:tc>
        <w:tc>
          <w:tcPr>
            <w:tcW w:w="4116" w:type="dxa"/>
          </w:tcPr>
          <w:p w14:paraId="117026AE" w14:textId="1A2829D0" w:rsidR="00026910" w:rsidRPr="00F246A4" w:rsidRDefault="2EE20E11" w:rsidP="001A7279">
            <w:pPr>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20"/>
              </w:rPr>
            </w:pPr>
            <w:r w:rsidRPr="00F246A4">
              <w:rPr>
                <w:rFonts w:eastAsia="Calibri" w:cs="Calibri"/>
                <w:sz w:val="18"/>
                <w:szCs w:val="20"/>
              </w:rPr>
              <w:t>Incomplete</w:t>
            </w:r>
            <w:r w:rsidR="00026910" w:rsidRPr="00F246A4">
              <w:rPr>
                <w:rFonts w:eastAsia="Calibri" w:cs="Calibri"/>
                <w:sz w:val="18"/>
                <w:szCs w:val="20"/>
              </w:rPr>
              <w:t xml:space="preserve"> inclusion (e.g. ACT)</w:t>
            </w:r>
            <w:r w:rsidR="71B3AC8B" w:rsidRPr="00F246A4">
              <w:rPr>
                <w:rFonts w:eastAsia="Calibri" w:cs="Calibri"/>
                <w:sz w:val="18"/>
                <w:szCs w:val="20"/>
              </w:rPr>
              <w:t xml:space="preserve"> in decision-making constrains coordination and alignment with objectives</w:t>
            </w:r>
            <w:r w:rsidR="00026910" w:rsidRPr="00F246A4">
              <w:rPr>
                <w:rFonts w:eastAsia="Calibri" w:cs="Calibri"/>
                <w:sz w:val="18"/>
                <w:szCs w:val="20"/>
              </w:rPr>
              <w:t xml:space="preserve">; objectives </w:t>
            </w:r>
            <w:r w:rsidR="2DECD89A" w:rsidRPr="00F246A4">
              <w:rPr>
                <w:rFonts w:eastAsia="Calibri" w:cs="Calibri"/>
                <w:sz w:val="18"/>
                <w:szCs w:val="20"/>
              </w:rPr>
              <w:t>static and not outcome based</w:t>
            </w:r>
            <w:r w:rsidR="00026910" w:rsidRPr="00F246A4">
              <w:rPr>
                <w:rFonts w:eastAsia="Calibri" w:cs="Calibri"/>
                <w:sz w:val="18"/>
                <w:szCs w:val="20"/>
              </w:rPr>
              <w:t xml:space="preserve">; </w:t>
            </w:r>
            <w:r w:rsidR="32FD60B5" w:rsidRPr="00F246A4">
              <w:rPr>
                <w:rFonts w:eastAsia="Calibri" w:cs="Calibri"/>
                <w:sz w:val="18"/>
                <w:szCs w:val="20"/>
              </w:rPr>
              <w:t>limited adaptation; limited community and First Nations input</w:t>
            </w:r>
            <w:r w:rsidR="00EC2AA8" w:rsidRPr="00F246A4">
              <w:rPr>
                <w:rFonts w:eastAsia="Calibri" w:cs="Calibri"/>
                <w:sz w:val="18"/>
                <w:szCs w:val="20"/>
              </w:rPr>
              <w:t>.</w:t>
            </w:r>
          </w:p>
        </w:tc>
      </w:tr>
      <w:tr w:rsidR="00026910" w:rsidRPr="00F246A4" w14:paraId="072D7EA6" w14:textId="77777777" w:rsidTr="00715EB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11A8AB02" w14:textId="77777777" w:rsidR="00026910" w:rsidRPr="00F246A4" w:rsidRDefault="00026910" w:rsidP="00026910">
            <w:pPr>
              <w:jc w:val="left"/>
              <w:rPr>
                <w:rFonts w:eastAsia="Calibri" w:cs="Calibri"/>
                <w:color w:val="000000" w:themeColor="text1"/>
                <w:sz w:val="18"/>
                <w:szCs w:val="20"/>
              </w:rPr>
            </w:pPr>
            <w:r w:rsidRPr="00F246A4">
              <w:rPr>
                <w:rFonts w:eastAsia="Calibri" w:cs="Calibri"/>
                <w:sz w:val="18"/>
                <w:szCs w:val="20"/>
              </w:rPr>
              <w:t>Decision-making and trade-off management</w:t>
            </w:r>
          </w:p>
        </w:tc>
        <w:tc>
          <w:tcPr>
            <w:tcW w:w="2972" w:type="dxa"/>
          </w:tcPr>
          <w:p w14:paraId="0EB52619" w14:textId="47DF2E87" w:rsidR="00026910" w:rsidRPr="00F246A4" w:rsidRDefault="26F1374B" w:rsidP="001A7279">
            <w:pPr>
              <w:jc w:val="lef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18"/>
                <w:szCs w:val="20"/>
              </w:rPr>
            </w:pPr>
            <w:r w:rsidRPr="00F246A4">
              <w:rPr>
                <w:rFonts w:eastAsia="Calibri" w:cs="Calibri"/>
                <w:sz w:val="18"/>
                <w:szCs w:val="20"/>
              </w:rPr>
              <w:t xml:space="preserve">Some </w:t>
            </w:r>
            <w:r w:rsidR="2472C268" w:rsidRPr="00F246A4">
              <w:rPr>
                <w:rFonts w:eastAsia="Calibri" w:cs="Calibri"/>
                <w:sz w:val="18"/>
                <w:szCs w:val="20"/>
              </w:rPr>
              <w:t>f</w:t>
            </w:r>
            <w:r w:rsidR="00026910" w:rsidRPr="00F246A4">
              <w:rPr>
                <w:rFonts w:eastAsia="Calibri" w:cs="Calibri"/>
                <w:sz w:val="18"/>
                <w:szCs w:val="20"/>
              </w:rPr>
              <w:t xml:space="preserve">lexibility </w:t>
            </w:r>
            <w:r w:rsidR="211FA773" w:rsidRPr="00F246A4">
              <w:rPr>
                <w:rFonts w:eastAsia="Calibri" w:cs="Calibri"/>
                <w:sz w:val="18"/>
                <w:szCs w:val="20"/>
              </w:rPr>
              <w:t xml:space="preserve">emerging through </w:t>
            </w:r>
            <w:r w:rsidR="2A59F9B0" w:rsidRPr="00F246A4">
              <w:rPr>
                <w:rFonts w:eastAsia="Calibri" w:cs="Calibri"/>
                <w:sz w:val="18"/>
                <w:szCs w:val="20"/>
              </w:rPr>
              <w:t xml:space="preserve">trials </w:t>
            </w:r>
          </w:p>
        </w:tc>
        <w:tc>
          <w:tcPr>
            <w:tcW w:w="4116" w:type="dxa"/>
          </w:tcPr>
          <w:p w14:paraId="568353AA" w14:textId="2C3173C9" w:rsidR="00026910" w:rsidRPr="00F246A4" w:rsidRDefault="00026910" w:rsidP="001A7279">
            <w:pPr>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20"/>
              </w:rPr>
            </w:pPr>
            <w:r w:rsidRPr="00F246A4">
              <w:rPr>
                <w:rFonts w:eastAsia="Calibri" w:cs="Calibri"/>
                <w:sz w:val="18"/>
                <w:szCs w:val="20"/>
              </w:rPr>
              <w:t>No clear or transparent trade-off</w:t>
            </w:r>
            <w:r w:rsidR="10955131" w:rsidRPr="00F246A4">
              <w:rPr>
                <w:rFonts w:eastAsia="Calibri" w:cs="Calibri"/>
                <w:sz w:val="18"/>
                <w:szCs w:val="20"/>
              </w:rPr>
              <w:t xml:space="preserve"> framework</w:t>
            </w:r>
            <w:r w:rsidR="5A1B07C0" w:rsidRPr="00F246A4">
              <w:rPr>
                <w:rFonts w:eastAsia="Calibri" w:cs="Calibri"/>
                <w:sz w:val="18"/>
                <w:szCs w:val="20"/>
              </w:rPr>
              <w:t xml:space="preserve"> or explanation of decisions</w:t>
            </w:r>
            <w:r w:rsidRPr="00F246A4">
              <w:rPr>
                <w:rFonts w:eastAsia="Calibri" w:cs="Calibri"/>
                <w:sz w:val="18"/>
                <w:szCs w:val="20"/>
              </w:rPr>
              <w:t xml:space="preserve">; decision-making fragmented and </w:t>
            </w:r>
            <w:r w:rsidR="558C7B51" w:rsidRPr="00F246A4">
              <w:rPr>
                <w:rFonts w:eastAsia="Calibri" w:cs="Calibri"/>
                <w:sz w:val="18"/>
                <w:szCs w:val="20"/>
              </w:rPr>
              <w:t>opaque; compensation risk</w:t>
            </w:r>
            <w:r w:rsidR="000E22CB" w:rsidRPr="00F246A4">
              <w:rPr>
                <w:rFonts w:eastAsia="Calibri" w:cs="Calibri"/>
                <w:sz w:val="18"/>
                <w:szCs w:val="20"/>
              </w:rPr>
              <w:t xml:space="preserve"> </w:t>
            </w:r>
            <w:r w:rsidR="000E22CB" w:rsidRPr="00F246A4">
              <w:rPr>
                <w:rFonts w:eastAsia="Calibri"/>
                <w:sz w:val="18"/>
                <w:szCs w:val="20"/>
              </w:rPr>
              <w:t>under the Snowy Compensation Deed</w:t>
            </w:r>
            <w:r w:rsidR="558C7B51" w:rsidRPr="00F246A4">
              <w:rPr>
                <w:rFonts w:eastAsia="Calibri" w:cs="Calibri"/>
                <w:sz w:val="18"/>
                <w:szCs w:val="20"/>
              </w:rPr>
              <w:t xml:space="preserve"> constrains change</w:t>
            </w:r>
            <w:r w:rsidR="00EC2AA8" w:rsidRPr="00F246A4">
              <w:rPr>
                <w:rFonts w:eastAsia="Calibri" w:cs="Calibri"/>
                <w:sz w:val="18"/>
                <w:szCs w:val="20"/>
              </w:rPr>
              <w:t>.</w:t>
            </w:r>
          </w:p>
        </w:tc>
      </w:tr>
      <w:tr w:rsidR="00026910" w:rsidRPr="00F246A4" w14:paraId="26594268" w14:textId="77777777" w:rsidTr="00715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77604A44" w14:textId="77777777" w:rsidR="00026910" w:rsidRPr="00F246A4" w:rsidRDefault="00026910" w:rsidP="00026910">
            <w:pPr>
              <w:jc w:val="left"/>
              <w:rPr>
                <w:rFonts w:eastAsia="Calibri" w:cs="Calibri"/>
                <w:color w:val="000000" w:themeColor="text1"/>
                <w:sz w:val="18"/>
                <w:szCs w:val="20"/>
              </w:rPr>
            </w:pPr>
            <w:r w:rsidRPr="00F246A4">
              <w:rPr>
                <w:rFonts w:eastAsia="Calibri" w:cs="Calibri"/>
                <w:sz w:val="18"/>
                <w:szCs w:val="20"/>
              </w:rPr>
              <w:t>Operational delivery</w:t>
            </w:r>
          </w:p>
        </w:tc>
        <w:tc>
          <w:tcPr>
            <w:tcW w:w="2972" w:type="dxa"/>
          </w:tcPr>
          <w:p w14:paraId="440E1A19" w14:textId="5FCC4040" w:rsidR="00026910" w:rsidRPr="00F246A4" w:rsidRDefault="00026910" w:rsidP="001A7279">
            <w:pPr>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20"/>
              </w:rPr>
            </w:pPr>
            <w:r w:rsidRPr="00F246A4">
              <w:rPr>
                <w:rFonts w:eastAsia="Calibri" w:cs="Calibri"/>
                <w:sz w:val="18"/>
                <w:szCs w:val="20"/>
              </w:rPr>
              <w:t xml:space="preserve">Strong </w:t>
            </w:r>
            <w:r w:rsidR="782E1737" w:rsidRPr="00F246A4">
              <w:rPr>
                <w:rFonts w:eastAsia="Calibri" w:cs="Calibri"/>
                <w:sz w:val="18"/>
                <w:szCs w:val="20"/>
              </w:rPr>
              <w:t>capability to deliver within rules</w:t>
            </w:r>
            <w:r w:rsidR="767B7A94" w:rsidRPr="00F246A4">
              <w:rPr>
                <w:rFonts w:eastAsia="Calibri" w:cs="Calibri"/>
                <w:sz w:val="18"/>
                <w:szCs w:val="20"/>
              </w:rPr>
              <w:t>; some flexibility in environmental water delivery by agreement between NSW and Snowy Hydro</w:t>
            </w:r>
          </w:p>
        </w:tc>
        <w:tc>
          <w:tcPr>
            <w:tcW w:w="4116" w:type="dxa"/>
          </w:tcPr>
          <w:p w14:paraId="6C0C139C" w14:textId="545C85F9" w:rsidR="00026910" w:rsidRPr="00F246A4" w:rsidRDefault="67FFAB80" w:rsidP="001A7279">
            <w:pPr>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20"/>
              </w:rPr>
            </w:pPr>
            <w:r w:rsidRPr="00F246A4">
              <w:rPr>
                <w:rFonts w:eastAsia="Calibri" w:cs="Calibri"/>
                <w:sz w:val="18"/>
                <w:szCs w:val="20"/>
              </w:rPr>
              <w:t>Rule-based</w:t>
            </w:r>
            <w:r w:rsidR="2FAA3F87" w:rsidRPr="00F246A4">
              <w:rPr>
                <w:rFonts w:eastAsia="Calibri" w:cs="Calibri"/>
                <w:sz w:val="18"/>
                <w:szCs w:val="20"/>
              </w:rPr>
              <w:t xml:space="preserve"> delivery limits adaptive environmental management and prioritises operational/commercial objectives over outcomes</w:t>
            </w:r>
            <w:r w:rsidR="00EC2AA8" w:rsidRPr="00F246A4">
              <w:rPr>
                <w:rFonts w:eastAsia="Calibri" w:cs="Calibri"/>
                <w:sz w:val="18"/>
                <w:szCs w:val="20"/>
              </w:rPr>
              <w:t>.</w:t>
            </w:r>
            <w:r w:rsidR="00026910" w:rsidRPr="00F246A4">
              <w:rPr>
                <w:rFonts w:eastAsia="Calibri" w:cs="Calibri"/>
                <w:sz w:val="18"/>
                <w:szCs w:val="20"/>
              </w:rPr>
              <w:t xml:space="preserve"> </w:t>
            </w:r>
          </w:p>
        </w:tc>
      </w:tr>
      <w:tr w:rsidR="00026910" w:rsidRPr="00F246A4" w14:paraId="69DE530A" w14:textId="77777777" w:rsidTr="00715EB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495557A3" w14:textId="77777777" w:rsidR="00026910" w:rsidRPr="00F246A4" w:rsidRDefault="00026910" w:rsidP="00026910">
            <w:pPr>
              <w:jc w:val="left"/>
              <w:rPr>
                <w:rFonts w:eastAsia="Calibri" w:cs="Calibri"/>
                <w:color w:val="000000" w:themeColor="text1"/>
                <w:sz w:val="18"/>
                <w:szCs w:val="20"/>
              </w:rPr>
            </w:pPr>
            <w:r w:rsidRPr="00F246A4">
              <w:rPr>
                <w:rFonts w:eastAsia="Calibri" w:cs="Calibri"/>
                <w:sz w:val="18"/>
                <w:szCs w:val="20"/>
              </w:rPr>
              <w:t>Regulation and compliance</w:t>
            </w:r>
          </w:p>
        </w:tc>
        <w:tc>
          <w:tcPr>
            <w:tcW w:w="2972" w:type="dxa"/>
          </w:tcPr>
          <w:p w14:paraId="6A0FE978" w14:textId="545B6D52" w:rsidR="00026910" w:rsidRPr="00F246A4" w:rsidRDefault="00026910" w:rsidP="001A7279">
            <w:pPr>
              <w:jc w:val="lef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18"/>
                <w:szCs w:val="20"/>
                <w:highlight w:val="yellow"/>
              </w:rPr>
            </w:pPr>
            <w:r w:rsidRPr="00F246A4">
              <w:rPr>
                <w:rFonts w:eastAsia="Calibri" w:cs="Calibri"/>
                <w:sz w:val="18"/>
                <w:szCs w:val="20"/>
              </w:rPr>
              <w:t xml:space="preserve">Established statutory </w:t>
            </w:r>
            <w:r w:rsidR="0FF06BE2" w:rsidRPr="00F246A4">
              <w:rPr>
                <w:rFonts w:eastAsia="Calibri" w:cs="Calibri"/>
                <w:sz w:val="18"/>
                <w:szCs w:val="20"/>
              </w:rPr>
              <w:t>processes</w:t>
            </w:r>
            <w:r w:rsidR="006A48A8" w:rsidRPr="00F246A4">
              <w:rPr>
                <w:rFonts w:eastAsia="Calibri" w:cs="Calibri"/>
                <w:sz w:val="18"/>
                <w:szCs w:val="20"/>
              </w:rPr>
              <w:t>.</w:t>
            </w:r>
          </w:p>
        </w:tc>
        <w:tc>
          <w:tcPr>
            <w:tcW w:w="4116" w:type="dxa"/>
          </w:tcPr>
          <w:p w14:paraId="7F7C97F3" w14:textId="09C925DD" w:rsidR="00026910" w:rsidRPr="00F246A4" w:rsidRDefault="00026910" w:rsidP="001A7279">
            <w:pPr>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20"/>
              </w:rPr>
            </w:pPr>
            <w:r w:rsidRPr="00F246A4">
              <w:rPr>
                <w:rFonts w:eastAsia="Calibri" w:cs="Calibri"/>
                <w:sz w:val="18"/>
                <w:szCs w:val="20"/>
              </w:rPr>
              <w:t xml:space="preserve">Focused on </w:t>
            </w:r>
            <w:r w:rsidR="09888DCD" w:rsidRPr="00F246A4">
              <w:rPr>
                <w:rFonts w:eastAsia="Calibri" w:cs="Calibri"/>
                <w:sz w:val="18"/>
                <w:szCs w:val="20"/>
              </w:rPr>
              <w:t>outputs not outcomes</w:t>
            </w:r>
            <w:r w:rsidRPr="00F246A4">
              <w:rPr>
                <w:rFonts w:eastAsia="Calibri" w:cs="Calibri"/>
                <w:sz w:val="18"/>
                <w:szCs w:val="20"/>
              </w:rPr>
              <w:t>; unclear accountability;</w:t>
            </w:r>
            <w:r w:rsidR="00382EE8">
              <w:rPr>
                <w:rFonts w:ascii="ZWAdobeF" w:eastAsia="Calibri" w:hAnsi="ZWAdobeF" w:cs="ZWAdobeF"/>
                <w:sz w:val="2"/>
                <w:szCs w:val="2"/>
              </w:rPr>
              <w:t>35F</w:t>
            </w:r>
            <w:r w:rsidR="006A48A8" w:rsidRPr="00F246A4">
              <w:rPr>
                <w:rStyle w:val="FootnoteReference"/>
                <w:rFonts w:eastAsia="Calibri" w:cs="Calibri"/>
                <w:sz w:val="18"/>
                <w:szCs w:val="20"/>
              </w:rPr>
              <w:footnoteReference w:id="36"/>
            </w:r>
            <w:r w:rsidR="006A48A8" w:rsidRPr="00F246A4">
              <w:rPr>
                <w:rFonts w:eastAsia="Calibri" w:cs="Calibri"/>
                <w:sz w:val="18"/>
                <w:szCs w:val="20"/>
              </w:rPr>
              <w:t xml:space="preserve"> l</w:t>
            </w:r>
            <w:r w:rsidRPr="00F246A4">
              <w:rPr>
                <w:rFonts w:eastAsia="Calibri" w:cs="Calibri"/>
                <w:sz w:val="18"/>
                <w:szCs w:val="20"/>
              </w:rPr>
              <w:t xml:space="preserve">imited separation between policy, regulation and </w:t>
            </w:r>
            <w:r w:rsidR="1275FEC9" w:rsidRPr="00F246A4">
              <w:rPr>
                <w:rFonts w:eastAsia="Calibri" w:cs="Calibri"/>
                <w:sz w:val="18"/>
                <w:szCs w:val="20"/>
              </w:rPr>
              <w:t>delivery functions</w:t>
            </w:r>
            <w:r w:rsidR="6B0D1538" w:rsidRPr="00F246A4">
              <w:rPr>
                <w:rFonts w:eastAsia="Calibri" w:cs="Calibri"/>
                <w:sz w:val="18"/>
                <w:szCs w:val="20"/>
              </w:rPr>
              <w:t>; no public information</w:t>
            </w:r>
            <w:r w:rsidR="00EC2AA8" w:rsidRPr="00F246A4">
              <w:rPr>
                <w:rFonts w:eastAsia="Calibri" w:cs="Calibri"/>
                <w:sz w:val="18"/>
                <w:szCs w:val="20"/>
              </w:rPr>
              <w:t>.</w:t>
            </w:r>
          </w:p>
        </w:tc>
      </w:tr>
      <w:tr w:rsidR="00026910" w:rsidRPr="00F246A4" w14:paraId="2157CAE8" w14:textId="77777777" w:rsidTr="00715E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112499F3" w14:textId="77777777" w:rsidR="00026910" w:rsidRPr="00F246A4" w:rsidRDefault="00026910" w:rsidP="00026910">
            <w:pPr>
              <w:jc w:val="left"/>
              <w:rPr>
                <w:rFonts w:eastAsia="Calibri" w:cs="Calibri"/>
                <w:sz w:val="18"/>
                <w:szCs w:val="20"/>
              </w:rPr>
            </w:pPr>
            <w:r w:rsidRPr="00F246A4">
              <w:rPr>
                <w:rFonts w:eastAsia="Calibri" w:cs="Calibri"/>
                <w:sz w:val="18"/>
                <w:szCs w:val="20"/>
              </w:rPr>
              <w:t>Monitoring, reporting and audit</w:t>
            </w:r>
          </w:p>
        </w:tc>
        <w:tc>
          <w:tcPr>
            <w:tcW w:w="2972" w:type="dxa"/>
          </w:tcPr>
          <w:p w14:paraId="4432C7A8" w14:textId="60879032" w:rsidR="00026910" w:rsidRPr="00F246A4" w:rsidRDefault="00026910" w:rsidP="001A7279">
            <w:pPr>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20"/>
              </w:rPr>
            </w:pPr>
            <w:r w:rsidRPr="00F246A4">
              <w:rPr>
                <w:rFonts w:eastAsia="Calibri" w:cs="Calibri"/>
                <w:sz w:val="18"/>
                <w:szCs w:val="20"/>
              </w:rPr>
              <w:t>Regular reporting (e.g. AWOPs, compliance reporting) provides information on system operation</w:t>
            </w:r>
            <w:r w:rsidR="72875295" w:rsidRPr="00F246A4">
              <w:rPr>
                <w:rFonts w:eastAsia="Calibri" w:cs="Calibri"/>
                <w:sz w:val="18"/>
                <w:szCs w:val="20"/>
              </w:rPr>
              <w:t>; targeted monitoring</w:t>
            </w:r>
          </w:p>
        </w:tc>
        <w:tc>
          <w:tcPr>
            <w:tcW w:w="4116" w:type="dxa"/>
          </w:tcPr>
          <w:p w14:paraId="6B2263B3" w14:textId="3B40DA38" w:rsidR="00026910" w:rsidRPr="00F246A4" w:rsidRDefault="6A60AF66" w:rsidP="001A7279">
            <w:pPr>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20"/>
              </w:rPr>
            </w:pPr>
            <w:r w:rsidRPr="00F246A4">
              <w:rPr>
                <w:rFonts w:eastAsia="Calibri" w:cs="Calibri"/>
                <w:sz w:val="18"/>
                <w:szCs w:val="20"/>
              </w:rPr>
              <w:t>C</w:t>
            </w:r>
            <w:r w:rsidR="00026910" w:rsidRPr="00F246A4">
              <w:rPr>
                <w:rFonts w:eastAsia="Calibri" w:cs="Calibri"/>
                <w:sz w:val="18"/>
                <w:szCs w:val="20"/>
              </w:rPr>
              <w:t>ompliance-focused</w:t>
            </w:r>
            <w:r w:rsidR="58054F6C" w:rsidRPr="00F246A4">
              <w:rPr>
                <w:rFonts w:eastAsia="Calibri" w:cs="Calibri"/>
                <w:sz w:val="18"/>
                <w:szCs w:val="20"/>
              </w:rPr>
              <w:t xml:space="preserve"> with </w:t>
            </w:r>
            <w:r w:rsidR="5A9A2BB5" w:rsidRPr="00F246A4">
              <w:rPr>
                <w:rFonts w:eastAsia="Calibri" w:cs="Calibri"/>
                <w:sz w:val="18"/>
                <w:szCs w:val="20"/>
              </w:rPr>
              <w:t>weak outcome evaluation</w:t>
            </w:r>
            <w:r w:rsidR="581A193B" w:rsidRPr="00F246A4">
              <w:rPr>
                <w:rFonts w:eastAsia="Calibri" w:cs="Calibri"/>
                <w:sz w:val="18"/>
                <w:szCs w:val="20"/>
              </w:rPr>
              <w:t xml:space="preserve"> and limited linkage to decision-making or system accountability</w:t>
            </w:r>
            <w:r w:rsidR="5A9A2BB5" w:rsidRPr="00F246A4">
              <w:rPr>
                <w:rFonts w:eastAsia="Calibri" w:cs="Calibri"/>
                <w:sz w:val="18"/>
                <w:szCs w:val="20"/>
              </w:rPr>
              <w:t xml:space="preserve">; </w:t>
            </w:r>
            <w:r w:rsidR="03F9601B" w:rsidRPr="00F246A4">
              <w:rPr>
                <w:rFonts w:eastAsia="Calibri" w:cs="Calibri"/>
                <w:sz w:val="18"/>
                <w:szCs w:val="20"/>
              </w:rPr>
              <w:t>no integrated system-wide monitoring or audit; no public information</w:t>
            </w:r>
          </w:p>
        </w:tc>
      </w:tr>
      <w:tr w:rsidR="00026910" w:rsidRPr="00F246A4" w14:paraId="53E5B830" w14:textId="77777777" w:rsidTr="00715EBD">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400FE9F1" w14:textId="77777777" w:rsidR="00026910" w:rsidRPr="00F246A4" w:rsidRDefault="00026910" w:rsidP="00026910">
            <w:pPr>
              <w:jc w:val="left"/>
              <w:rPr>
                <w:rFonts w:eastAsia="Calibri" w:cs="Calibri"/>
                <w:sz w:val="18"/>
                <w:szCs w:val="20"/>
              </w:rPr>
            </w:pPr>
            <w:r w:rsidRPr="00F246A4">
              <w:rPr>
                <w:rFonts w:eastAsia="Calibri" w:cs="Calibri"/>
                <w:sz w:val="18"/>
                <w:szCs w:val="20"/>
              </w:rPr>
              <w:t>System review and adaptation</w:t>
            </w:r>
          </w:p>
        </w:tc>
        <w:tc>
          <w:tcPr>
            <w:tcW w:w="2972" w:type="dxa"/>
          </w:tcPr>
          <w:p w14:paraId="3D8E9D37" w14:textId="04CF24E8" w:rsidR="00026910" w:rsidRPr="00F246A4" w:rsidRDefault="6FFDF823" w:rsidP="001A7279">
            <w:pPr>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20"/>
              </w:rPr>
            </w:pPr>
            <w:r w:rsidRPr="00F246A4">
              <w:rPr>
                <w:rFonts w:eastAsia="Calibri" w:cs="Calibri"/>
                <w:sz w:val="18"/>
                <w:szCs w:val="20"/>
              </w:rPr>
              <w:t>Licence reviews exist</w:t>
            </w:r>
          </w:p>
        </w:tc>
        <w:tc>
          <w:tcPr>
            <w:tcW w:w="4116" w:type="dxa"/>
          </w:tcPr>
          <w:p w14:paraId="23321894" w14:textId="5C147E8B" w:rsidR="00026910" w:rsidRPr="00F246A4" w:rsidRDefault="0D0D7581" w:rsidP="001A7279">
            <w:pPr>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20"/>
              </w:rPr>
            </w:pPr>
            <w:r w:rsidRPr="00F246A4">
              <w:rPr>
                <w:rFonts w:eastAsia="Calibri" w:cs="Calibri"/>
                <w:sz w:val="18"/>
                <w:szCs w:val="20"/>
              </w:rPr>
              <w:t xml:space="preserve"> Infrequent and ineffective; compensation </w:t>
            </w:r>
            <w:r w:rsidR="000E22CB" w:rsidRPr="00F246A4">
              <w:rPr>
                <w:rFonts w:eastAsia="Calibri" w:cs="Calibri"/>
                <w:sz w:val="18"/>
                <w:szCs w:val="20"/>
              </w:rPr>
              <w:t>u</w:t>
            </w:r>
            <w:r w:rsidR="000E22CB" w:rsidRPr="00F246A4">
              <w:rPr>
                <w:rFonts w:eastAsia="Calibri"/>
                <w:sz w:val="18"/>
                <w:szCs w:val="20"/>
              </w:rPr>
              <w:t xml:space="preserve">nder the Snowy Compensation Deed </w:t>
            </w:r>
            <w:r w:rsidRPr="00F246A4">
              <w:rPr>
                <w:rFonts w:eastAsia="Calibri" w:cs="Calibri"/>
                <w:sz w:val="18"/>
                <w:szCs w:val="20"/>
              </w:rPr>
              <w:t>disincentivises</w:t>
            </w:r>
            <w:r w:rsidR="7CB71577" w:rsidRPr="00F246A4">
              <w:rPr>
                <w:rFonts w:eastAsia="Calibri" w:cs="Calibri"/>
                <w:sz w:val="18"/>
                <w:szCs w:val="20"/>
              </w:rPr>
              <w:t xml:space="preserve"> change</w:t>
            </w:r>
            <w:r w:rsidR="26BC5B1C" w:rsidRPr="00F246A4">
              <w:rPr>
                <w:rFonts w:eastAsia="Calibri" w:cs="Calibri"/>
                <w:sz w:val="18"/>
                <w:szCs w:val="20"/>
              </w:rPr>
              <w:t>, resulting in minimal adaptation over time</w:t>
            </w:r>
            <w:r w:rsidR="7CB71577" w:rsidRPr="00F246A4">
              <w:rPr>
                <w:rFonts w:eastAsia="Calibri" w:cs="Calibri"/>
                <w:sz w:val="18"/>
                <w:szCs w:val="20"/>
              </w:rPr>
              <w:t>; only limited</w:t>
            </w:r>
            <w:r w:rsidR="565A681A" w:rsidRPr="00F246A4">
              <w:rPr>
                <w:rFonts w:eastAsia="Calibri" w:cs="Calibri"/>
                <w:sz w:val="18"/>
                <w:szCs w:val="20"/>
              </w:rPr>
              <w:t xml:space="preserve"> licence</w:t>
            </w:r>
            <w:r w:rsidR="7CB71577" w:rsidRPr="00F246A4">
              <w:rPr>
                <w:rFonts w:eastAsia="Calibri" w:cs="Calibri"/>
                <w:sz w:val="18"/>
                <w:szCs w:val="20"/>
              </w:rPr>
              <w:t xml:space="preserve"> amendments made; no mandatory Deed review</w:t>
            </w:r>
          </w:p>
        </w:tc>
      </w:tr>
    </w:tbl>
    <w:p w14:paraId="6900B465" w14:textId="06E74971" w:rsidR="00CD7809" w:rsidRDefault="00026910" w:rsidP="00026910">
      <w:pPr>
        <w:pStyle w:val="ReviewHeading2"/>
      </w:pPr>
      <w:bookmarkStart w:id="50" w:name="_Toc233285597"/>
      <w:bookmarkStart w:id="51" w:name="_Toc233801476"/>
      <w:r>
        <w:t>3.</w:t>
      </w:r>
      <w:r w:rsidR="00D73A72">
        <w:t>5 Considerations for a reform response</w:t>
      </w:r>
      <w:bookmarkEnd w:id="50"/>
      <w:bookmarkEnd w:id="51"/>
    </w:p>
    <w:p w14:paraId="31BEF027" w14:textId="77777777" w:rsidR="00D73A72" w:rsidRDefault="00D73A72" w:rsidP="00CC7A58">
      <w:pPr>
        <w:pStyle w:val="ReviewHeading3"/>
      </w:pPr>
      <w:r>
        <w:t>Implications for reform</w:t>
      </w:r>
    </w:p>
    <w:p w14:paraId="78CEA839" w14:textId="15FF9C28" w:rsidR="496EB0B3" w:rsidRDefault="00382EE8">
      <w:r>
        <w:rPr>
          <w:rFonts w:ascii="ZWAdobeF" w:hAnsi="ZWAdobeF" w:cs="ZWAdobeF"/>
          <w:sz w:val="2"/>
          <w:szCs w:val="2"/>
        </w:rPr>
        <w:t>821B</w:t>
      </w:r>
      <w:r w:rsidR="4C4C71DF">
        <w:t xml:space="preserve">The shortcomings in Snowy water management governance arrangements stimulated the Panel to consider how they may be improved and whether </w:t>
      </w:r>
      <w:r w:rsidR="2DCE9A5B">
        <w:t>other functions</w:t>
      </w:r>
      <w:r w:rsidR="484F3388">
        <w:t xml:space="preserve"> are required</w:t>
      </w:r>
      <w:r w:rsidR="4C4C71DF">
        <w:t xml:space="preserve"> to ensure system clarity, integrity and accountability</w:t>
      </w:r>
      <w:r w:rsidR="5008F7D0">
        <w:t>.</w:t>
      </w:r>
    </w:p>
    <w:p w14:paraId="40F18A0A" w14:textId="144AD5FA" w:rsidR="0053690F" w:rsidRPr="00D33915" w:rsidRDefault="00382EE8" w:rsidP="0053690F">
      <w:r>
        <w:rPr>
          <w:rFonts w:ascii="ZWAdobeF" w:hAnsi="ZWAdobeF" w:cs="ZWAdobeF"/>
          <w:sz w:val="2"/>
          <w:szCs w:val="2"/>
        </w:rPr>
        <w:t>822B</w:t>
      </w:r>
      <w:r w:rsidR="0053690F" w:rsidRPr="00D33915">
        <w:t>Key shortcomings of the Deed relate to:</w:t>
      </w:r>
    </w:p>
    <w:p w14:paraId="0D497794" w14:textId="0B95FE56" w:rsidR="0053690F" w:rsidRPr="00D33915" w:rsidRDefault="00382EE8" w:rsidP="00115BD6">
      <w:pPr>
        <w:pStyle w:val="ListParagraph"/>
        <w:numPr>
          <w:ilvl w:val="0"/>
          <w:numId w:val="50"/>
        </w:numPr>
      </w:pPr>
      <w:r>
        <w:rPr>
          <w:rFonts w:ascii="ZWAdobeF" w:hAnsi="ZWAdobeF" w:cs="ZWAdobeF"/>
          <w:sz w:val="2"/>
          <w:szCs w:val="2"/>
        </w:rPr>
        <w:t>136B</w:t>
      </w:r>
      <w:r w:rsidR="0053690F" w:rsidRPr="00D33915">
        <w:t>who is included in decision-making</w:t>
      </w:r>
    </w:p>
    <w:p w14:paraId="567D295A" w14:textId="7D71A363" w:rsidR="0053690F" w:rsidRPr="00D33915" w:rsidRDefault="00382EE8" w:rsidP="00115BD6">
      <w:pPr>
        <w:pStyle w:val="ListParagraph"/>
        <w:numPr>
          <w:ilvl w:val="0"/>
          <w:numId w:val="50"/>
        </w:numPr>
      </w:pPr>
      <w:r>
        <w:rPr>
          <w:rFonts w:ascii="ZWAdobeF" w:hAnsi="ZWAdobeF" w:cs="ZWAdobeF"/>
          <w:sz w:val="2"/>
          <w:szCs w:val="2"/>
        </w:rPr>
        <w:t>137B</w:t>
      </w:r>
      <w:r w:rsidR="0053690F" w:rsidRPr="00D33915">
        <w:t>how trade-offs are made and explained</w:t>
      </w:r>
    </w:p>
    <w:p w14:paraId="1AA85191" w14:textId="4ECBD9DC" w:rsidR="0053690F" w:rsidRPr="00D33915" w:rsidRDefault="00382EE8" w:rsidP="00115BD6">
      <w:pPr>
        <w:pStyle w:val="ListParagraph"/>
        <w:numPr>
          <w:ilvl w:val="0"/>
          <w:numId w:val="50"/>
        </w:numPr>
      </w:pPr>
      <w:r>
        <w:rPr>
          <w:rFonts w:ascii="ZWAdobeF" w:hAnsi="ZWAdobeF" w:cs="ZWAdobeF"/>
          <w:sz w:val="2"/>
          <w:szCs w:val="2"/>
        </w:rPr>
        <w:t>138B</w:t>
      </w:r>
      <w:r w:rsidR="0053690F" w:rsidRPr="00D33915">
        <w:t>how accountability is maintained</w:t>
      </w:r>
    </w:p>
    <w:p w14:paraId="464DE26B" w14:textId="56B09187" w:rsidR="0053690F" w:rsidRPr="00D33915" w:rsidRDefault="00382EE8" w:rsidP="00115BD6">
      <w:pPr>
        <w:pStyle w:val="ListParagraph"/>
        <w:numPr>
          <w:ilvl w:val="0"/>
          <w:numId w:val="50"/>
        </w:numPr>
      </w:pPr>
      <w:r>
        <w:rPr>
          <w:rFonts w:ascii="ZWAdobeF" w:hAnsi="ZWAdobeF" w:cs="ZWAdobeF"/>
          <w:sz w:val="2"/>
          <w:szCs w:val="2"/>
        </w:rPr>
        <w:t>139B</w:t>
      </w:r>
      <w:r w:rsidR="0053690F" w:rsidRPr="00D33915">
        <w:t>how outcomes are monitored and assessed</w:t>
      </w:r>
    </w:p>
    <w:p w14:paraId="34F40C4C" w14:textId="583A7BE9" w:rsidR="0053690F" w:rsidRPr="00D33915" w:rsidRDefault="00382EE8" w:rsidP="00115BD6">
      <w:pPr>
        <w:pStyle w:val="ListParagraph"/>
        <w:numPr>
          <w:ilvl w:val="0"/>
          <w:numId w:val="50"/>
        </w:numPr>
      </w:pPr>
      <w:r>
        <w:rPr>
          <w:rFonts w:ascii="ZWAdobeF" w:hAnsi="ZWAdobeF" w:cs="ZWAdobeF"/>
          <w:sz w:val="2"/>
          <w:szCs w:val="2"/>
        </w:rPr>
        <w:t>140B</w:t>
      </w:r>
      <w:r w:rsidR="0053690F" w:rsidRPr="00D33915">
        <w:t>how the system adapts over time</w:t>
      </w:r>
      <w:r w:rsidR="005B202C">
        <w:t>.</w:t>
      </w:r>
    </w:p>
    <w:p w14:paraId="198C2CDA" w14:textId="77777777" w:rsidR="00D453F1" w:rsidRDefault="0053690F" w:rsidP="6332CC80">
      <w:pPr>
        <w:pStyle w:val="ReviewHeading3"/>
      </w:pPr>
      <w:r>
        <w:lastRenderedPageBreak/>
        <w:t>Implications for governance design</w:t>
      </w:r>
    </w:p>
    <w:p w14:paraId="31A16FBA" w14:textId="46F5A151" w:rsidR="00D453F1" w:rsidRPr="00D33915" w:rsidRDefault="00382EE8" w:rsidP="00D453F1">
      <w:r>
        <w:rPr>
          <w:rFonts w:ascii="ZWAdobeF" w:hAnsi="ZWAdobeF" w:cs="ZWAdobeF"/>
          <w:sz w:val="2"/>
          <w:szCs w:val="2"/>
        </w:rPr>
        <w:t>823B</w:t>
      </w:r>
      <w:r w:rsidR="00D453F1">
        <w:t xml:space="preserve">These findings indicate that reform should go beyond incremental changes and instead take a more comprehensive approach to </w:t>
      </w:r>
      <w:r w:rsidR="00D54154">
        <w:t>the way</w:t>
      </w:r>
      <w:r w:rsidR="00D453F1">
        <w:t xml:space="preserve"> the system operates.</w:t>
      </w:r>
    </w:p>
    <w:p w14:paraId="194805D1" w14:textId="58AB840C" w:rsidR="00D453F1" w:rsidRPr="00D33915" w:rsidRDefault="00382EE8" w:rsidP="00D453F1">
      <w:r>
        <w:rPr>
          <w:rFonts w:ascii="ZWAdobeF" w:hAnsi="ZWAdobeF" w:cs="ZWAdobeF"/>
          <w:sz w:val="2"/>
          <w:szCs w:val="2"/>
        </w:rPr>
        <w:t>824B</w:t>
      </w:r>
      <w:r w:rsidR="00D453F1" w:rsidRPr="00D33915">
        <w:t>An effective governance framework should:</w:t>
      </w:r>
    </w:p>
    <w:p w14:paraId="7B13F532" w14:textId="3EC9A429" w:rsidR="00D453F1" w:rsidRPr="00D33915" w:rsidRDefault="00382EE8" w:rsidP="00115BD6">
      <w:pPr>
        <w:pStyle w:val="ListParagraph"/>
        <w:numPr>
          <w:ilvl w:val="0"/>
          <w:numId w:val="51"/>
        </w:numPr>
      </w:pPr>
      <w:r>
        <w:rPr>
          <w:rFonts w:ascii="ZWAdobeF" w:hAnsi="ZWAdobeF" w:cs="ZWAdobeF"/>
          <w:sz w:val="2"/>
          <w:szCs w:val="2"/>
        </w:rPr>
        <w:t>141B</w:t>
      </w:r>
      <w:r w:rsidR="00D453F1" w:rsidRPr="00D33915">
        <w:t>clearly define roles and responsibilities</w:t>
      </w:r>
    </w:p>
    <w:p w14:paraId="47B269F0" w14:textId="7FFD9853" w:rsidR="00D453F1" w:rsidRPr="00D33915" w:rsidRDefault="00382EE8" w:rsidP="00115BD6">
      <w:pPr>
        <w:pStyle w:val="ListParagraph"/>
        <w:numPr>
          <w:ilvl w:val="0"/>
          <w:numId w:val="51"/>
        </w:numPr>
      </w:pPr>
      <w:r>
        <w:rPr>
          <w:rFonts w:ascii="ZWAdobeF" w:hAnsi="ZWAdobeF" w:cs="ZWAdobeF"/>
          <w:sz w:val="2"/>
          <w:szCs w:val="2"/>
        </w:rPr>
        <w:t>142B</w:t>
      </w:r>
      <w:r w:rsidR="00D453F1" w:rsidRPr="00D33915">
        <w:t>provide transparent and accountable trade-off decisions</w:t>
      </w:r>
    </w:p>
    <w:p w14:paraId="2296EFE2" w14:textId="2964181B" w:rsidR="00D453F1" w:rsidRPr="00D33915" w:rsidRDefault="00382EE8" w:rsidP="00115BD6">
      <w:pPr>
        <w:pStyle w:val="ListParagraph"/>
        <w:numPr>
          <w:ilvl w:val="0"/>
          <w:numId w:val="51"/>
        </w:numPr>
      </w:pPr>
      <w:r>
        <w:rPr>
          <w:rFonts w:ascii="ZWAdobeF" w:hAnsi="ZWAdobeF" w:cs="ZWAdobeF"/>
          <w:sz w:val="2"/>
          <w:szCs w:val="2"/>
        </w:rPr>
        <w:t>143B</w:t>
      </w:r>
      <w:r w:rsidR="00D453F1" w:rsidRPr="00D33915">
        <w:t>support adaptive management through monitoring, reporting and regular review</w:t>
      </w:r>
    </w:p>
    <w:p w14:paraId="137D86D3" w14:textId="083D0E8E" w:rsidR="00D453F1" w:rsidRPr="00D33915" w:rsidRDefault="00382EE8" w:rsidP="00115BD6">
      <w:pPr>
        <w:pStyle w:val="ListParagraph"/>
        <w:numPr>
          <w:ilvl w:val="0"/>
          <w:numId w:val="51"/>
        </w:numPr>
      </w:pPr>
      <w:r>
        <w:rPr>
          <w:rFonts w:ascii="ZWAdobeF" w:hAnsi="ZWAdobeF" w:cs="ZWAdobeF"/>
          <w:sz w:val="2"/>
          <w:szCs w:val="2"/>
        </w:rPr>
        <w:t>144B</w:t>
      </w:r>
      <w:r w:rsidR="00D453F1" w:rsidRPr="00D33915">
        <w:t>enable coordination across jurisdictions at the appropriate scale</w:t>
      </w:r>
    </w:p>
    <w:p w14:paraId="51A9F856" w14:textId="54DB9DAE" w:rsidR="00D453F1" w:rsidRPr="00D33915" w:rsidRDefault="00382EE8" w:rsidP="00115BD6">
      <w:pPr>
        <w:pStyle w:val="ListParagraph"/>
        <w:numPr>
          <w:ilvl w:val="0"/>
          <w:numId w:val="51"/>
        </w:numPr>
      </w:pPr>
      <w:r>
        <w:rPr>
          <w:rFonts w:ascii="ZWAdobeF" w:hAnsi="ZWAdobeF" w:cs="ZWAdobeF"/>
          <w:sz w:val="2"/>
          <w:szCs w:val="2"/>
        </w:rPr>
        <w:t>145B</w:t>
      </w:r>
      <w:r w:rsidR="00D453F1" w:rsidRPr="00D33915">
        <w:t xml:space="preserve">recognise First </w:t>
      </w:r>
      <w:r w:rsidR="00D453F1">
        <w:t>Nations</w:t>
      </w:r>
      <w:r w:rsidR="00D453F1" w:rsidRPr="00D33915">
        <w:t xml:space="preserve"> interests and support stakeholder participation</w:t>
      </w:r>
      <w:r w:rsidR="001D4ABC">
        <w:t>.</w:t>
      </w:r>
    </w:p>
    <w:p w14:paraId="00A8D11D" w14:textId="0A575EC7" w:rsidR="00D453F1" w:rsidRPr="00D33915" w:rsidRDefault="00382EE8" w:rsidP="00D453F1">
      <w:r>
        <w:rPr>
          <w:rFonts w:ascii="ZWAdobeF" w:hAnsi="ZWAdobeF" w:cs="ZWAdobeF"/>
          <w:sz w:val="2"/>
          <w:szCs w:val="2"/>
        </w:rPr>
        <w:t>825B</w:t>
      </w:r>
      <w:r w:rsidR="00D453F1" w:rsidRPr="00D33915">
        <w:t xml:space="preserve">A key issue is the reliance on fixed, output-based rules (such as volume targets), which do not support adaptive management or clear decision-making. This disconnect between objectives and implementation limits the system’s ability to respond to changing conditions </w:t>
      </w:r>
      <w:r w:rsidR="237AEC5B">
        <w:t>and</w:t>
      </w:r>
      <w:r w:rsidR="00D453F1" w:rsidRPr="00D33915">
        <w:t xml:space="preserve"> incorporate new knowledge. Reform should therefore strengthen the link between objectives and how they are delivered, with a greater focus on outcomes.</w:t>
      </w:r>
    </w:p>
    <w:p w14:paraId="712D01F7" w14:textId="77777777" w:rsidR="00D453F1" w:rsidRDefault="00D453F1" w:rsidP="6332CC80">
      <w:pPr>
        <w:pStyle w:val="ReviewHeading3"/>
      </w:pPr>
      <w:r>
        <w:t>A system-level reform response</w:t>
      </w:r>
    </w:p>
    <w:p w14:paraId="59C4ADF3" w14:textId="503131FC" w:rsidR="009F2B80" w:rsidRPr="00D33915" w:rsidRDefault="00382EE8" w:rsidP="009F2B80">
      <w:r>
        <w:rPr>
          <w:rFonts w:ascii="ZWAdobeF" w:hAnsi="ZWAdobeF" w:cs="ZWAdobeF"/>
          <w:sz w:val="2"/>
          <w:szCs w:val="2"/>
        </w:rPr>
        <w:t>826B</w:t>
      </w:r>
      <w:r w:rsidR="009F2B80" w:rsidRPr="00D33915">
        <w:t>These issues are interconnected and cannot be addressed in isolation. Effective reform will require a coordinated, system-wide approach that aligns objectives, decision-making, operations and oversight.</w:t>
      </w:r>
    </w:p>
    <w:p w14:paraId="69521CD1" w14:textId="61DC0178" w:rsidR="009F2B80" w:rsidRPr="00D33915" w:rsidRDefault="00382EE8" w:rsidP="009F2B80">
      <w:r>
        <w:rPr>
          <w:rFonts w:ascii="ZWAdobeF" w:hAnsi="ZWAdobeF" w:cs="ZWAdobeF"/>
          <w:sz w:val="2"/>
          <w:szCs w:val="2"/>
        </w:rPr>
        <w:t>827B</w:t>
      </w:r>
      <w:r w:rsidR="009F2B80">
        <w:t xml:space="preserve">The proposed governance framework at </w:t>
      </w:r>
      <w:r w:rsidR="00E026CB" w:rsidRPr="00E026CB">
        <w:rPr>
          <w:b/>
          <w:bCs/>
        </w:rPr>
        <w:t>C</w:t>
      </w:r>
      <w:r w:rsidR="00C401CB" w:rsidRPr="00E026CB">
        <w:rPr>
          <w:b/>
          <w:bCs/>
        </w:rPr>
        <w:t>hapter 5</w:t>
      </w:r>
      <w:r w:rsidR="18EE336F">
        <w:t xml:space="preserve"> </w:t>
      </w:r>
      <w:r w:rsidR="009F2B80">
        <w:t>has been developed in response to these needs.</w:t>
      </w:r>
    </w:p>
    <w:p w14:paraId="2BE7AF15" w14:textId="3289F29B" w:rsidR="001C737C" w:rsidRDefault="001C737C" w:rsidP="00D453F1">
      <w:pPr>
        <w:rPr>
          <w:rFonts w:eastAsiaTheme="majorEastAsia"/>
          <w:spacing w:val="-10"/>
          <w:kern w:val="28"/>
          <w:sz w:val="56"/>
          <w:szCs w:val="56"/>
        </w:rPr>
      </w:pPr>
      <w:r>
        <w:br w:type="page"/>
      </w:r>
    </w:p>
    <w:p w14:paraId="3489555B" w14:textId="46D7DA3C" w:rsidR="00CD7809" w:rsidRDefault="00382EE8" w:rsidP="00115BD6">
      <w:pPr>
        <w:pStyle w:val="ReviewHeading"/>
        <w:numPr>
          <w:ilvl w:val="0"/>
          <w:numId w:val="95"/>
        </w:numPr>
        <w:tabs>
          <w:tab w:val="clear" w:pos="720"/>
        </w:tabs>
        <w:ind w:left="426"/>
      </w:pPr>
      <w:bookmarkStart w:id="52" w:name="_Toc233285598"/>
      <w:bookmarkStart w:id="53" w:name="_Toc233801477"/>
      <w:r>
        <w:rPr>
          <w:rFonts w:ascii="ZWAdobeF" w:hAnsi="ZWAdobeF" w:cs="ZWAdobeF"/>
          <w:b w:val="0"/>
          <w:color w:val="auto"/>
          <w:spacing w:val="0"/>
          <w:sz w:val="2"/>
          <w:szCs w:val="2"/>
        </w:rPr>
        <w:lastRenderedPageBreak/>
        <w:t>1663B</w:t>
      </w:r>
      <w:r w:rsidR="1EF0E6BC">
        <w:t>Environmental Flows</w:t>
      </w:r>
      <w:bookmarkEnd w:id="52"/>
      <w:bookmarkEnd w:id="53"/>
    </w:p>
    <w:p w14:paraId="7B83F840" w14:textId="4C84CE92" w:rsidR="004C0D73" w:rsidRDefault="00607C3F" w:rsidP="00607C3F">
      <w:pPr>
        <w:pStyle w:val="ReviewHeading2"/>
      </w:pPr>
      <w:bookmarkStart w:id="54" w:name="_Toc233285599"/>
      <w:bookmarkStart w:id="55" w:name="_Toc233801478"/>
      <w:r>
        <w:t>4.1</w:t>
      </w:r>
      <w:r w:rsidR="00C927A0">
        <w:t xml:space="preserve"> Purpose and Sc</w:t>
      </w:r>
      <w:r w:rsidR="004C0D73">
        <w:t>ope</w:t>
      </w:r>
      <w:bookmarkEnd w:id="54"/>
      <w:bookmarkEnd w:id="55"/>
    </w:p>
    <w:p w14:paraId="646A4B7E" w14:textId="406391A9" w:rsidR="007C01FD" w:rsidRPr="009262AF" w:rsidRDefault="00382EE8" w:rsidP="053BD654">
      <w:r>
        <w:rPr>
          <w:rFonts w:ascii="ZWAdobeF" w:hAnsi="ZWAdobeF" w:cs="ZWAdobeF"/>
          <w:sz w:val="2"/>
          <w:szCs w:val="2"/>
        </w:rPr>
        <w:t>828B</w:t>
      </w:r>
      <w:r w:rsidR="007C01FD" w:rsidRPr="009262AF">
        <w:t xml:space="preserve">The Review Terms of Reference seek to assess the environmental water management arrangements under the </w:t>
      </w:r>
      <w:r w:rsidR="56B08876">
        <w:t>Deed</w:t>
      </w:r>
      <w:r w:rsidR="007C01FD" w:rsidRPr="009262AF">
        <w:t xml:space="preserve"> and present solutions for the </w:t>
      </w:r>
      <w:r w:rsidR="7C05773D">
        <w:t>U</w:t>
      </w:r>
      <w:r w:rsidR="007C01FD">
        <w:t>pper</w:t>
      </w:r>
      <w:r w:rsidR="007C01FD" w:rsidRPr="009262AF">
        <w:t xml:space="preserve"> Murrumbidgee</w:t>
      </w:r>
      <w:r w:rsidR="664768C1">
        <w:t>,</w:t>
      </w:r>
      <w:r w:rsidR="007C01FD" w:rsidRPr="009262AF">
        <w:t xml:space="preserve"> </w:t>
      </w:r>
      <w:r w:rsidR="664768C1">
        <w:t>the Snowy River</w:t>
      </w:r>
      <w:r w:rsidR="007C01FD">
        <w:t xml:space="preserve"> </w:t>
      </w:r>
      <w:r w:rsidR="007C01FD" w:rsidRPr="009262AF">
        <w:t xml:space="preserve">and associated </w:t>
      </w:r>
      <w:r w:rsidR="22A9410D">
        <w:t>m</w:t>
      </w:r>
      <w:r w:rsidR="007C01FD">
        <w:t>ontane</w:t>
      </w:r>
      <w:r w:rsidR="007C01FD" w:rsidRPr="009262AF">
        <w:t xml:space="preserve"> rivers</w:t>
      </w:r>
      <w:r w:rsidR="007C01FD">
        <w:t>.</w:t>
      </w:r>
      <w:r w:rsidR="007C01FD" w:rsidRPr="009262AF">
        <w:t xml:space="preserve"> This chapter considers the following:</w:t>
      </w:r>
    </w:p>
    <w:p w14:paraId="5CDF10CA" w14:textId="70C7E9DC" w:rsidR="007C01FD" w:rsidRDefault="00382EE8" w:rsidP="00115BD6">
      <w:pPr>
        <w:pStyle w:val="ListParagraph"/>
        <w:numPr>
          <w:ilvl w:val="0"/>
          <w:numId w:val="81"/>
        </w:numPr>
      </w:pPr>
      <w:r>
        <w:rPr>
          <w:rFonts w:ascii="ZWAdobeF" w:hAnsi="ZWAdobeF" w:cs="ZWAdobeF"/>
          <w:sz w:val="2"/>
          <w:szCs w:val="2"/>
        </w:rPr>
        <w:t>146B</w:t>
      </w:r>
      <w:r w:rsidR="007C01FD" w:rsidRPr="009262AF">
        <w:t>environmental effectiveness of existing environmental water management arrangements under current and future conditions</w:t>
      </w:r>
    </w:p>
    <w:p w14:paraId="7494046C" w14:textId="04EC1AAC" w:rsidR="007C01FD" w:rsidRPr="009262AF" w:rsidRDefault="00382EE8" w:rsidP="00115BD6">
      <w:pPr>
        <w:pStyle w:val="ListParagraph"/>
        <w:numPr>
          <w:ilvl w:val="0"/>
          <w:numId w:val="81"/>
        </w:numPr>
      </w:pPr>
      <w:r>
        <w:rPr>
          <w:rFonts w:ascii="ZWAdobeF" w:hAnsi="ZWAdobeF" w:cs="ZWAdobeF"/>
          <w:sz w:val="2"/>
          <w:szCs w:val="2"/>
        </w:rPr>
        <w:t>147B</w:t>
      </w:r>
      <w:r w:rsidR="369CCB76">
        <w:t xml:space="preserve">potential </w:t>
      </w:r>
      <w:r w:rsidR="007C01FD">
        <w:t>improvements to the environmental flow programs in the Upper Murrumbidgee and Snowy rivers</w:t>
      </w:r>
    </w:p>
    <w:p w14:paraId="6D7AAAC7" w14:textId="64394A81" w:rsidR="007C01FD" w:rsidRDefault="00382EE8" w:rsidP="00115BD6">
      <w:pPr>
        <w:pStyle w:val="ListParagraph"/>
        <w:numPr>
          <w:ilvl w:val="0"/>
          <w:numId w:val="81"/>
        </w:numPr>
      </w:pPr>
      <w:r>
        <w:rPr>
          <w:rFonts w:ascii="ZWAdobeF" w:hAnsi="ZWAdobeF" w:cs="ZWAdobeF"/>
          <w:sz w:val="2"/>
          <w:szCs w:val="2"/>
        </w:rPr>
        <w:t>148B</w:t>
      </w:r>
      <w:r w:rsidR="31097235">
        <w:t>potential</w:t>
      </w:r>
      <w:r w:rsidR="007C01FD">
        <w:t xml:space="preserve"> impacts </w:t>
      </w:r>
      <w:r w:rsidR="731BE532">
        <w:t xml:space="preserve">on the NEM, Snowy Hydro and downstream water users in the Regulated Murrumbidgee (irrigators) </w:t>
      </w:r>
      <w:r w:rsidR="007C01FD">
        <w:t>that may result from improvements in environmental water management</w:t>
      </w:r>
      <w:r w:rsidR="12173016">
        <w:t>.</w:t>
      </w:r>
    </w:p>
    <w:p w14:paraId="3D21AAB4" w14:textId="5F958C55" w:rsidR="00B72802" w:rsidRDefault="007C01FD" w:rsidP="007C01FD">
      <w:pPr>
        <w:pStyle w:val="ReviewHeading2"/>
      </w:pPr>
      <w:bookmarkStart w:id="56" w:name="_Toc233285600"/>
      <w:bookmarkStart w:id="57" w:name="_Toc233801479"/>
      <w:r>
        <w:t>4.2 Current conditions and issues</w:t>
      </w:r>
      <w:bookmarkEnd w:id="56"/>
      <w:bookmarkEnd w:id="57"/>
    </w:p>
    <w:p w14:paraId="6AFE1D9A" w14:textId="45DA569B" w:rsidR="00B72802" w:rsidRPr="009262AF" w:rsidRDefault="00382EE8" w:rsidP="053BD654">
      <w:r>
        <w:rPr>
          <w:rFonts w:ascii="ZWAdobeF" w:hAnsi="ZWAdobeF" w:cs="ZWAdobeF"/>
          <w:sz w:val="2"/>
          <w:szCs w:val="2"/>
        </w:rPr>
        <w:t>829B</w:t>
      </w:r>
      <w:r w:rsidR="00B72802" w:rsidRPr="009262AF">
        <w:t xml:space="preserve">A clear finding from this </w:t>
      </w:r>
      <w:r w:rsidR="11610AAC">
        <w:t>R</w:t>
      </w:r>
      <w:r w:rsidR="00B72802">
        <w:t>eview</w:t>
      </w:r>
      <w:r w:rsidR="00B72802" w:rsidRPr="009262AF">
        <w:t xml:space="preserve"> is that the current environmental flow arrangements under the Deed are insufficient to meet ecological objectives of the </w:t>
      </w:r>
      <w:r w:rsidR="3D570AAC">
        <w:t>U</w:t>
      </w:r>
      <w:r w:rsidR="00B72802">
        <w:t>pper</w:t>
      </w:r>
      <w:r w:rsidR="00B72802" w:rsidRPr="009262AF">
        <w:t xml:space="preserve"> Murrumbidgee and Snowy rivers</w:t>
      </w:r>
      <w:r w:rsidR="29D45981">
        <w:t xml:space="preserve"> or</w:t>
      </w:r>
      <w:r w:rsidR="00B72802" w:rsidRPr="009262AF">
        <w:t xml:space="preserve"> protect and maintain the downstream environments. </w:t>
      </w:r>
    </w:p>
    <w:p w14:paraId="31C28BFE" w14:textId="05C7321E" w:rsidR="00B72802" w:rsidRPr="009262AF" w:rsidRDefault="00382EE8" w:rsidP="053BD654">
      <w:r>
        <w:rPr>
          <w:rFonts w:ascii="ZWAdobeF" w:hAnsi="ZWAdobeF" w:cs="ZWAdobeF"/>
          <w:sz w:val="2"/>
          <w:szCs w:val="2"/>
        </w:rPr>
        <w:t>830B</w:t>
      </w:r>
      <w:r w:rsidR="00B72802" w:rsidRPr="009262AF">
        <w:t xml:space="preserve">A summary of key issues identified in this </w:t>
      </w:r>
      <w:r w:rsidR="41E22D7F">
        <w:t>R</w:t>
      </w:r>
      <w:r w:rsidR="00B72802">
        <w:t>eview</w:t>
      </w:r>
      <w:r w:rsidR="00B72802" w:rsidRPr="009262AF">
        <w:t xml:space="preserve"> are: </w:t>
      </w:r>
    </w:p>
    <w:p w14:paraId="0F814A3F" w14:textId="2F4F06DE" w:rsidR="00B72802" w:rsidRPr="009262AF" w:rsidRDefault="00382EE8" w:rsidP="00115BD6">
      <w:pPr>
        <w:pStyle w:val="ListParagraph"/>
        <w:numPr>
          <w:ilvl w:val="0"/>
          <w:numId w:val="82"/>
        </w:numPr>
      </w:pPr>
      <w:r>
        <w:rPr>
          <w:rFonts w:ascii="ZWAdobeF" w:hAnsi="ZWAdobeF" w:cs="ZWAdobeF"/>
          <w:sz w:val="2"/>
          <w:szCs w:val="2"/>
        </w:rPr>
        <w:t>149B</w:t>
      </w:r>
      <w:r w:rsidR="6945F20F">
        <w:t>t</w:t>
      </w:r>
      <w:r w:rsidR="00B72802">
        <w:t>he</w:t>
      </w:r>
      <w:r w:rsidR="00B72802" w:rsidRPr="009262AF">
        <w:t xml:space="preserve"> environmental water provisions under the Deed are not adequate to protect and restore the ecological function of downstream environments</w:t>
      </w:r>
    </w:p>
    <w:p w14:paraId="6E0A047D" w14:textId="7B8B6FDA" w:rsidR="00B72802" w:rsidRPr="009262AF" w:rsidRDefault="00382EE8" w:rsidP="00115BD6">
      <w:pPr>
        <w:pStyle w:val="ListParagraph"/>
        <w:numPr>
          <w:ilvl w:val="0"/>
          <w:numId w:val="82"/>
        </w:numPr>
      </w:pPr>
      <w:r>
        <w:rPr>
          <w:rFonts w:ascii="ZWAdobeF" w:hAnsi="ZWAdobeF" w:cs="ZWAdobeF"/>
          <w:sz w:val="2"/>
          <w:szCs w:val="2"/>
        </w:rPr>
        <w:t>150B</w:t>
      </w:r>
      <w:r w:rsidR="6827C4D6">
        <w:t>i</w:t>
      </w:r>
      <w:r w:rsidR="00B72802">
        <w:t>n</w:t>
      </w:r>
      <w:r w:rsidR="00B72802" w:rsidRPr="009262AF">
        <w:t xml:space="preserve"> operationalising the existing provisions within the Deed, the environmental releases in the </w:t>
      </w:r>
      <w:r w:rsidR="003A4FD7">
        <w:t>U</w:t>
      </w:r>
      <w:r w:rsidR="00B72802">
        <w:t>pper</w:t>
      </w:r>
      <w:r w:rsidR="00B72802" w:rsidRPr="009262AF">
        <w:t xml:space="preserve"> Murrumbidgee and Snowy rivers have frequently fallen below target levels, with long</w:t>
      </w:r>
      <w:r w:rsidR="00B72802" w:rsidRPr="009262AF">
        <w:noBreakHyphen/>
        <w:t>term average deliveries below nominal requirements</w:t>
      </w:r>
    </w:p>
    <w:p w14:paraId="115B12B1" w14:textId="4489F511" w:rsidR="00B72802" w:rsidRPr="009262AF" w:rsidRDefault="00382EE8" w:rsidP="00115BD6">
      <w:pPr>
        <w:pStyle w:val="ListParagraph"/>
        <w:numPr>
          <w:ilvl w:val="0"/>
          <w:numId w:val="82"/>
        </w:numPr>
      </w:pPr>
      <w:r>
        <w:rPr>
          <w:rFonts w:ascii="ZWAdobeF" w:hAnsi="ZWAdobeF" w:cs="ZWAdobeF"/>
          <w:sz w:val="2"/>
          <w:szCs w:val="2"/>
        </w:rPr>
        <w:t>151B</w:t>
      </w:r>
      <w:r w:rsidR="0818A22A">
        <w:t>t</w:t>
      </w:r>
      <w:r w:rsidR="00B72802">
        <w:t>he</w:t>
      </w:r>
      <w:r w:rsidR="00B72802" w:rsidRPr="009262AF">
        <w:t xml:space="preserve"> flow regime has been fundamentally altered in both rivers, with loss of variability, reduced high</w:t>
      </w:r>
      <w:r w:rsidR="6EC5704F">
        <w:t xml:space="preserve"> </w:t>
      </w:r>
      <w:r w:rsidR="00B72802" w:rsidRPr="009262AF">
        <w:t>flow events and constrained connectivity</w:t>
      </w:r>
    </w:p>
    <w:p w14:paraId="6DE8DDB3" w14:textId="7C3CD37A" w:rsidR="00B72802" w:rsidRPr="009262AF" w:rsidRDefault="00382EE8" w:rsidP="00115BD6">
      <w:pPr>
        <w:pStyle w:val="ListParagraph"/>
        <w:numPr>
          <w:ilvl w:val="0"/>
          <w:numId w:val="82"/>
        </w:numPr>
      </w:pPr>
      <w:r>
        <w:rPr>
          <w:rFonts w:ascii="ZWAdobeF" w:hAnsi="ZWAdobeF" w:cs="ZWAdobeF"/>
          <w:sz w:val="2"/>
          <w:szCs w:val="2"/>
        </w:rPr>
        <w:t>152B</w:t>
      </w:r>
      <w:r w:rsidR="5E69A48D">
        <w:t>t</w:t>
      </w:r>
      <w:r w:rsidR="00B72802">
        <w:t>he</w:t>
      </w:r>
      <w:r w:rsidR="00B72802" w:rsidRPr="009262AF">
        <w:t xml:space="preserve"> rivers are characterised by sediment accumulation, habitat simplification and declining species resilience</w:t>
      </w:r>
    </w:p>
    <w:p w14:paraId="198E0E39" w14:textId="258BB8CA" w:rsidR="00B72802" w:rsidRDefault="00382EE8" w:rsidP="00115BD6">
      <w:pPr>
        <w:pStyle w:val="ListParagraph"/>
        <w:numPr>
          <w:ilvl w:val="0"/>
          <w:numId w:val="82"/>
        </w:numPr>
      </w:pPr>
      <w:r>
        <w:rPr>
          <w:rFonts w:ascii="ZWAdobeF" w:hAnsi="ZWAdobeF" w:cs="ZWAdobeF"/>
          <w:sz w:val="2"/>
          <w:szCs w:val="2"/>
        </w:rPr>
        <w:t>153B</w:t>
      </w:r>
      <w:r w:rsidR="14FB80A2">
        <w:t>t</w:t>
      </w:r>
      <w:r w:rsidR="00B72802">
        <w:t xml:space="preserve">he existing provisions under the Deed do not allow the flexibility for environmental releases to be adaptable in response to rainfall, downstream catchment conditions, further limiting environmental outcomes and the effectiveness of the current arrangements. </w:t>
      </w:r>
    </w:p>
    <w:p w14:paraId="49F41D02" w14:textId="422BCE07" w:rsidR="0064434B" w:rsidRDefault="00382EE8" w:rsidP="009F4CE5">
      <w:r>
        <w:rPr>
          <w:rFonts w:ascii="ZWAdobeF" w:hAnsi="ZWAdobeF" w:cs="ZWAdobeF"/>
          <w:sz w:val="2"/>
          <w:szCs w:val="2"/>
        </w:rPr>
        <w:t>831B</w:t>
      </w:r>
      <w:r w:rsidR="00A453B3">
        <w:t xml:space="preserve">Increasing the volume of environmental water is required, with the </w:t>
      </w:r>
      <w:r w:rsidR="36E71756">
        <w:t>U</w:t>
      </w:r>
      <w:r w:rsidR="00A453B3">
        <w:t xml:space="preserve">pper Murrumbidgee River requiring a significant </w:t>
      </w:r>
      <w:r w:rsidR="00DC3C87">
        <w:t>increase</w:t>
      </w:r>
      <w:r w:rsidR="00A453B3">
        <w:t xml:space="preserve"> in the volume of water </w:t>
      </w:r>
      <w:r w:rsidR="0956D09E">
        <w:t>released</w:t>
      </w:r>
      <w:r w:rsidR="00A453B3">
        <w:t xml:space="preserve">. </w:t>
      </w:r>
    </w:p>
    <w:p w14:paraId="18986B34" w14:textId="5D7E91EC" w:rsidR="009F4CE5" w:rsidRPr="009F4CE5" w:rsidRDefault="00382EE8" w:rsidP="009F4CE5">
      <w:r>
        <w:rPr>
          <w:rFonts w:ascii="ZWAdobeF" w:hAnsi="ZWAdobeF" w:cs="ZWAdobeF"/>
          <w:sz w:val="2"/>
          <w:szCs w:val="2"/>
        </w:rPr>
        <w:t>832B</w:t>
      </w:r>
      <w:r w:rsidR="004E0D23" w:rsidRPr="004E0D23">
        <w:t xml:space="preserve">Australian environmental flow science indicates that rivers require a substantial proportion of their natural flow regime to maintain ecosystem health. </w:t>
      </w:r>
      <w:r w:rsidR="00F0767F">
        <w:t xml:space="preserve">Environmental flow </w:t>
      </w:r>
      <w:r w:rsidR="000139D7" w:rsidRPr="000139D7">
        <w:t>science indicates that maintaining</w:t>
      </w:r>
      <w:r w:rsidR="006D5308">
        <w:t xml:space="preserve"> river </w:t>
      </w:r>
      <w:r w:rsidR="000139D7" w:rsidRPr="000139D7">
        <w:t>ecosystems</w:t>
      </w:r>
      <w:r w:rsidR="001E1A37">
        <w:t xml:space="preserve"> typically </w:t>
      </w:r>
      <w:r w:rsidR="000139D7" w:rsidRPr="000139D7">
        <w:t>requires limiting hydrologic</w:t>
      </w:r>
      <w:r w:rsidR="001E1A37">
        <w:t xml:space="preserve"> alteration to </w:t>
      </w:r>
      <w:r w:rsidR="000139D7" w:rsidRPr="000139D7">
        <w:t>within approximately</w:t>
      </w:r>
      <w:r w:rsidR="001C7DDE">
        <w:t xml:space="preserve"> 20</w:t>
      </w:r>
      <w:r w:rsidR="000139D7" w:rsidRPr="000139D7">
        <w:t>–</w:t>
      </w:r>
      <w:r w:rsidR="001C7DDE">
        <w:t>40</w:t>
      </w:r>
      <w:r w:rsidR="00F32C67">
        <w:t>%</w:t>
      </w:r>
      <w:r w:rsidR="76D07945" w:rsidDel="00F32C67">
        <w:t xml:space="preserve"> </w:t>
      </w:r>
      <w:r w:rsidR="001C7DDE">
        <w:t xml:space="preserve">of natural </w:t>
      </w:r>
      <w:r w:rsidR="000139D7" w:rsidRPr="000139D7">
        <w:t>flow regimes, with around 30</w:t>
      </w:r>
      <w:r w:rsidR="00F32C67">
        <w:t>%</w:t>
      </w:r>
      <w:r w:rsidR="4BE756DE" w:rsidRPr="000139D7" w:rsidDel="00F32C67">
        <w:t xml:space="preserve"> </w:t>
      </w:r>
      <w:r w:rsidR="000139D7" w:rsidRPr="000139D7">
        <w:t xml:space="preserve">often used as a precautionary benchmark where </w:t>
      </w:r>
      <w:r w:rsidR="000139D7" w:rsidRPr="000139D7">
        <w:lastRenderedPageBreak/>
        <w:t>detailed ecological data are unavailable</w:t>
      </w:r>
      <w:r w:rsidR="001055D0">
        <w:t>.</w:t>
      </w:r>
      <w:r>
        <w:rPr>
          <w:rFonts w:ascii="ZWAdobeF" w:hAnsi="ZWAdobeF" w:cs="ZWAdobeF"/>
          <w:sz w:val="2"/>
          <w:szCs w:val="2"/>
        </w:rPr>
        <w:t>36F</w:t>
      </w:r>
      <w:r w:rsidR="00BE3681">
        <w:rPr>
          <w:rStyle w:val="FootnoteReference"/>
        </w:rPr>
        <w:footnoteReference w:id="37"/>
      </w:r>
      <w:r w:rsidR="001055D0">
        <w:t xml:space="preserve"> </w:t>
      </w:r>
      <w:r>
        <w:rPr>
          <w:rFonts w:ascii="ZWAdobeF" w:hAnsi="ZWAdobeF" w:cs="ZWAdobeF"/>
          <w:sz w:val="2"/>
          <w:szCs w:val="2"/>
        </w:rPr>
        <w:t>37F</w:t>
      </w:r>
      <w:r w:rsidR="00BE3681">
        <w:rPr>
          <w:rStyle w:val="FootnoteReference"/>
        </w:rPr>
        <w:footnoteReference w:id="38"/>
      </w:r>
      <w:r w:rsidR="001055D0">
        <w:t xml:space="preserve"> </w:t>
      </w:r>
      <w:r>
        <w:rPr>
          <w:rFonts w:ascii="ZWAdobeF" w:hAnsi="ZWAdobeF" w:cs="ZWAdobeF"/>
          <w:sz w:val="2"/>
          <w:szCs w:val="2"/>
        </w:rPr>
        <w:t>38F</w:t>
      </w:r>
      <w:r w:rsidR="00BE3681">
        <w:rPr>
          <w:rStyle w:val="FootnoteReference"/>
        </w:rPr>
        <w:footnoteReference w:id="39"/>
      </w:r>
      <w:r w:rsidR="001C7DDE">
        <w:t xml:space="preserve"> </w:t>
      </w:r>
      <w:r w:rsidR="009F4CE5" w:rsidRPr="009F4CE5">
        <w:t>The Snowy Water Inquiry (1998) evaluated a 30</w:t>
      </w:r>
      <w:r w:rsidR="00F32C67">
        <w:t>%</w:t>
      </w:r>
      <w:r w:rsidR="4FCBE7B6" w:rsidRPr="009F4CE5" w:rsidDel="00F32C67">
        <w:t xml:space="preserve"> </w:t>
      </w:r>
      <w:r w:rsidR="00D021D8">
        <w:t>a</w:t>
      </w:r>
      <w:r w:rsidR="009F4CE5" w:rsidRPr="009F4CE5">
        <w:t xml:space="preserve">verage </w:t>
      </w:r>
      <w:r w:rsidR="6332DEEB" w:rsidRPr="009F4CE5">
        <w:t>annual</w:t>
      </w:r>
      <w:r w:rsidR="009F4CE5" w:rsidRPr="009F4CE5">
        <w:t xml:space="preserve"> </w:t>
      </w:r>
      <w:r w:rsidR="00D021D8">
        <w:t>n</w:t>
      </w:r>
      <w:r w:rsidR="009F4CE5" w:rsidRPr="009F4CE5">
        <w:t xml:space="preserve">atural </w:t>
      </w:r>
      <w:r w:rsidR="00D021D8">
        <w:t>f</w:t>
      </w:r>
      <w:r w:rsidR="009F4CE5" w:rsidRPr="009F4CE5">
        <w:t>low target for the Snowy River and concluded that this level would deliver substantial ecological restoration, producing moderately modified to near-natural river condition, with major improvements in habitat, fish populations, river geomorphology and ecological integrity.</w:t>
      </w:r>
      <w:r w:rsidR="00461033">
        <w:t xml:space="preserve"> </w:t>
      </w:r>
      <w:r w:rsidR="009C18D1">
        <w:t xml:space="preserve">The </w:t>
      </w:r>
      <w:r w:rsidR="0025712E">
        <w:t xml:space="preserve">27GL environmental flow target for the </w:t>
      </w:r>
      <w:r w:rsidR="58ABA918">
        <w:t>U</w:t>
      </w:r>
      <w:r w:rsidR="0025712E">
        <w:t xml:space="preserve">pper Murrumbidgee was intended </w:t>
      </w:r>
      <w:r w:rsidR="00D021D8">
        <w:t xml:space="preserve">to </w:t>
      </w:r>
      <w:r w:rsidR="0025712E">
        <w:t>provide 30</w:t>
      </w:r>
      <w:r w:rsidR="00F32C67">
        <w:t>%</w:t>
      </w:r>
      <w:r w:rsidR="129A4A66" w:rsidDel="00F32C67">
        <w:t xml:space="preserve"> </w:t>
      </w:r>
      <w:r w:rsidR="0025712E">
        <w:t>of the natural flow</w:t>
      </w:r>
      <w:r w:rsidR="00A30246">
        <w:t xml:space="preserve"> however appears to have been miscalculated</w:t>
      </w:r>
      <w:r w:rsidR="001055D0">
        <w:t>.</w:t>
      </w:r>
      <w:r>
        <w:rPr>
          <w:rFonts w:ascii="ZWAdobeF" w:hAnsi="ZWAdobeF" w:cs="ZWAdobeF"/>
          <w:sz w:val="2"/>
          <w:szCs w:val="2"/>
        </w:rPr>
        <w:t>39F</w:t>
      </w:r>
      <w:r w:rsidR="00A30246">
        <w:rPr>
          <w:rStyle w:val="FootnoteReference"/>
        </w:rPr>
        <w:footnoteReference w:id="40"/>
      </w:r>
      <w:r w:rsidR="0025712E">
        <w:t xml:space="preserve"> </w:t>
      </w:r>
      <w:r w:rsidR="009B2E32">
        <w:t xml:space="preserve">The Snowy </w:t>
      </w:r>
      <w:r w:rsidR="001A34E8">
        <w:t>Scientific Committee report</w:t>
      </w:r>
      <w:r w:rsidR="720A95A5">
        <w:t>ed</w:t>
      </w:r>
      <w:r w:rsidR="001A34E8">
        <w:t xml:space="preserve"> that the water allocation for the </w:t>
      </w:r>
      <w:r w:rsidR="483F5E97">
        <w:t>U</w:t>
      </w:r>
      <w:r w:rsidR="001A34E8">
        <w:t xml:space="preserve">pper Murrumbidgee </w:t>
      </w:r>
      <w:r w:rsidR="5D793EA4">
        <w:t>w</w:t>
      </w:r>
      <w:r w:rsidR="00A94A86">
        <w:t>as inadequate for achieving the environmental water requirements.</w:t>
      </w:r>
      <w:r>
        <w:rPr>
          <w:rFonts w:ascii="ZWAdobeF" w:hAnsi="ZWAdobeF" w:cs="ZWAdobeF"/>
          <w:sz w:val="2"/>
          <w:szCs w:val="2"/>
        </w:rPr>
        <w:t>40F</w:t>
      </w:r>
      <w:r w:rsidR="0028333B">
        <w:rPr>
          <w:rStyle w:val="FootnoteReference"/>
        </w:rPr>
        <w:footnoteReference w:id="41"/>
      </w:r>
      <w:r w:rsidR="001A34E8">
        <w:t xml:space="preserve"> </w:t>
      </w:r>
    </w:p>
    <w:p w14:paraId="758FA263" w14:textId="5BB0F1D6" w:rsidR="00A453B3" w:rsidRPr="00034C4A" w:rsidRDefault="00382EE8" w:rsidP="1A1DBA89">
      <w:r>
        <w:rPr>
          <w:rFonts w:ascii="ZWAdobeF" w:hAnsi="ZWAdobeF" w:cs="ZWAdobeF"/>
          <w:sz w:val="2"/>
          <w:szCs w:val="2"/>
        </w:rPr>
        <w:t>833B</w:t>
      </w:r>
      <w:r w:rsidR="00A453B3">
        <w:t xml:space="preserve">However, increasing the volume of environmental water alone is not enough, as illustrated by the </w:t>
      </w:r>
      <w:r w:rsidR="5B909528">
        <w:t xml:space="preserve">river </w:t>
      </w:r>
      <w:r w:rsidR="00A453B3">
        <w:t xml:space="preserve">condition and ongoing issues summarised below, and raised in the </w:t>
      </w:r>
      <w:r w:rsidR="4C21DD4C">
        <w:t>Commonwealth DCCEEW’s</w:t>
      </w:r>
      <w:r w:rsidR="3F433B7C">
        <w:t xml:space="preserve"> </w:t>
      </w:r>
      <w:hyperlink r:id="rId54">
        <w:r w:rsidR="08222F75" w:rsidRPr="6332CC80">
          <w:rPr>
            <w:rStyle w:val="Hyperlink"/>
          </w:rPr>
          <w:t xml:space="preserve">Review </w:t>
        </w:r>
        <w:r w:rsidR="00A453B3" w:rsidRPr="6332CC80">
          <w:rPr>
            <w:rStyle w:val="Hyperlink"/>
          </w:rPr>
          <w:t>Issues Analysis</w:t>
        </w:r>
      </w:hyperlink>
      <w:r w:rsidR="00A453B3">
        <w:t xml:space="preserve"> and through public consultation. </w:t>
      </w:r>
      <w:r w:rsidR="007C363B">
        <w:t xml:space="preserve">These findings are consistent with the scientific case </w:t>
      </w:r>
      <w:r w:rsidR="00177860">
        <w:t xml:space="preserve">that underpinned the </w:t>
      </w:r>
      <w:r w:rsidR="004B28B1">
        <w:t xml:space="preserve">original </w:t>
      </w:r>
      <w:r w:rsidR="00B8084E">
        <w:t>environmental flow target</w:t>
      </w:r>
      <w:r w:rsidR="001B0093">
        <w:t xml:space="preserve">s </w:t>
      </w:r>
      <w:r w:rsidR="00552F4D">
        <w:t>established under the current Deed</w:t>
      </w:r>
      <w:r w:rsidR="00721E38">
        <w:t>.</w:t>
      </w:r>
      <w:r>
        <w:rPr>
          <w:rFonts w:ascii="ZWAdobeF" w:hAnsi="ZWAdobeF" w:cs="ZWAdobeF"/>
          <w:sz w:val="2"/>
          <w:szCs w:val="2"/>
        </w:rPr>
        <w:t>41F</w:t>
      </w:r>
      <w:r w:rsidR="001914A2">
        <w:rPr>
          <w:rStyle w:val="FootnoteReference"/>
        </w:rPr>
        <w:footnoteReference w:id="42"/>
      </w:r>
      <w:r w:rsidR="00BD2550">
        <w:t xml:space="preserve"> </w:t>
      </w:r>
      <w:r w:rsidR="00A453B3">
        <w:t xml:space="preserve"> </w:t>
      </w:r>
    </w:p>
    <w:p w14:paraId="2255B4BD" w14:textId="2E3A762F" w:rsidR="00A453B3" w:rsidRPr="00034C4A" w:rsidRDefault="00382EE8" w:rsidP="1A1DBA89">
      <w:r>
        <w:rPr>
          <w:rFonts w:ascii="ZWAdobeF" w:hAnsi="ZWAdobeF" w:cs="ZWAdobeF"/>
          <w:sz w:val="2"/>
          <w:szCs w:val="2"/>
        </w:rPr>
        <w:t>834B</w:t>
      </w:r>
      <w:r w:rsidR="00A453B3">
        <w:t>A core problem is the continued inability of current environmental water management arrangements to deliver ecologically effective flow regimes</w:t>
      </w:r>
      <w:r w:rsidR="57F80895">
        <w:t xml:space="preserve"> </w:t>
      </w:r>
      <w:r w:rsidR="53033EAD">
        <w:t>(</w:t>
      </w:r>
      <w:r w:rsidR="00A453B3">
        <w:t>especially variability, timing and disturbance events</w:t>
      </w:r>
      <w:r w:rsidR="0D799B1C">
        <w:t>)</w:t>
      </w:r>
      <w:r w:rsidR="61F41F50">
        <w:t xml:space="preserve"> </w:t>
      </w:r>
      <w:r w:rsidR="00A453B3">
        <w:t xml:space="preserve">within current infrastructure arrangements and a rigid governance framework that stifles adaptive management across the whole river system. The current condition of the </w:t>
      </w:r>
      <w:r w:rsidR="3CFFED05">
        <w:t>U</w:t>
      </w:r>
      <w:r w:rsidR="3DB06CFA">
        <w:t>pper</w:t>
      </w:r>
      <w:r w:rsidR="00A453B3">
        <w:t xml:space="preserve"> Murrumbidgee and Snowy rivers and their trajector</w:t>
      </w:r>
      <w:r w:rsidR="125702E8">
        <w:t>ies</w:t>
      </w:r>
      <w:r w:rsidR="00A453B3">
        <w:t xml:space="preserve"> </w:t>
      </w:r>
      <w:r w:rsidR="7D9C31D2">
        <w:t>reinforce</w:t>
      </w:r>
      <w:r w:rsidR="00A453B3">
        <w:t xml:space="preserve"> the </w:t>
      </w:r>
      <w:r w:rsidR="7964C49F">
        <w:t>benefits of changing</w:t>
      </w:r>
      <w:r w:rsidR="00A453B3">
        <w:t xml:space="preserve"> environmental </w:t>
      </w:r>
      <w:r w:rsidR="3DB06CFA">
        <w:t>flow</w:t>
      </w:r>
      <w:r w:rsidR="00A453B3">
        <w:t xml:space="preserve"> </w:t>
      </w:r>
      <w:r w:rsidR="00330802">
        <w:t xml:space="preserve">regimes </w:t>
      </w:r>
      <w:r w:rsidR="00A453B3">
        <w:t xml:space="preserve">and the operating frameworks under the </w:t>
      </w:r>
      <w:r w:rsidR="0B93BFB1">
        <w:t>Deed</w:t>
      </w:r>
      <w:r w:rsidR="00A453B3">
        <w:t>.</w:t>
      </w:r>
      <w:r w:rsidR="1C379B86">
        <w:t xml:space="preserve">  The </w:t>
      </w:r>
      <w:r w:rsidR="1CEF2F2A">
        <w:t>value of</w:t>
      </w:r>
      <w:r w:rsidR="1C379B86">
        <w:t xml:space="preserve"> this cha</w:t>
      </w:r>
      <w:r w:rsidR="4E3F3F8F">
        <w:t>n</w:t>
      </w:r>
      <w:r w:rsidR="1C379B86">
        <w:t>ge is reinforced by the results of the “flexible flow</w:t>
      </w:r>
      <w:r w:rsidR="2AC2A36C">
        <w:t xml:space="preserve"> protocols” </w:t>
      </w:r>
      <w:r w:rsidR="7E3DD8AE">
        <w:t>agreed</w:t>
      </w:r>
      <w:r w:rsidR="2AC2A36C">
        <w:t xml:space="preserve"> by NSW and </w:t>
      </w:r>
      <w:r w:rsidR="7F29044F">
        <w:t>Snowy</w:t>
      </w:r>
      <w:r w:rsidR="5F69D926">
        <w:t xml:space="preserve"> Hydro</w:t>
      </w:r>
      <w:r w:rsidR="037B41B6">
        <w:t xml:space="preserve"> under which the</w:t>
      </w:r>
      <w:r w:rsidR="741B3015">
        <w:t xml:space="preserve"> date of </w:t>
      </w:r>
      <w:r w:rsidR="4D0AEC69">
        <w:t>four</w:t>
      </w:r>
      <w:r w:rsidR="741B3015">
        <w:t xml:space="preserve"> releases approved in the AWOP may be changed in response to natural </w:t>
      </w:r>
      <w:r w:rsidR="003A2D44">
        <w:t>h</w:t>
      </w:r>
      <w:r w:rsidR="00644BA9">
        <w:t xml:space="preserve">ydrological </w:t>
      </w:r>
      <w:r w:rsidR="741B3015">
        <w:t>cues such as rainfall events.</w:t>
      </w:r>
      <w:r>
        <w:rPr>
          <w:rFonts w:ascii="ZWAdobeF" w:hAnsi="ZWAdobeF" w:cs="ZWAdobeF"/>
          <w:sz w:val="2"/>
          <w:szCs w:val="2"/>
        </w:rPr>
        <w:t>42F</w:t>
      </w:r>
      <w:r w:rsidR="00A453B3" w:rsidRPr="6332CC80">
        <w:rPr>
          <w:rStyle w:val="FootnoteReference"/>
        </w:rPr>
        <w:footnoteReference w:id="43"/>
      </w:r>
    </w:p>
    <w:p w14:paraId="4D038B67" w14:textId="0C4A564E" w:rsidR="00A453B3" w:rsidRDefault="00382EE8" w:rsidP="00034C4A">
      <w:r>
        <w:rPr>
          <w:rFonts w:ascii="ZWAdobeF" w:hAnsi="ZWAdobeF" w:cs="ZWAdobeF"/>
          <w:sz w:val="2"/>
          <w:szCs w:val="2"/>
        </w:rPr>
        <w:t>835B</w:t>
      </w:r>
      <w:r w:rsidR="00A453B3" w:rsidRPr="00034C4A">
        <w:t>The solutions to improve the effectiveness of environmental flows need to respond to a set of system-level issues including:</w:t>
      </w:r>
    </w:p>
    <w:p w14:paraId="5735B805" w14:textId="18478F1F" w:rsidR="00EA51F4" w:rsidRPr="009262AF" w:rsidRDefault="00382EE8" w:rsidP="00115BD6">
      <w:pPr>
        <w:pStyle w:val="ListParagraph"/>
        <w:numPr>
          <w:ilvl w:val="0"/>
          <w:numId w:val="83"/>
        </w:numPr>
      </w:pPr>
      <w:r>
        <w:rPr>
          <w:rFonts w:ascii="ZWAdobeF" w:hAnsi="ZWAdobeF" w:cs="ZWAdobeF"/>
          <w:sz w:val="2"/>
          <w:szCs w:val="2"/>
        </w:rPr>
        <w:t>154B</w:t>
      </w:r>
      <w:r w:rsidR="00EA51F4" w:rsidRPr="009262AF">
        <w:t xml:space="preserve">declining ecological condition of the </w:t>
      </w:r>
      <w:r w:rsidR="6BBD3BDD">
        <w:t>U</w:t>
      </w:r>
      <w:r w:rsidR="00EA51F4">
        <w:t>pper</w:t>
      </w:r>
      <w:r w:rsidR="00EA51F4" w:rsidRPr="009262AF">
        <w:t xml:space="preserve"> Murrumbidgee River</w:t>
      </w:r>
    </w:p>
    <w:p w14:paraId="42E17EB1" w14:textId="370A1154" w:rsidR="00EA51F4" w:rsidRPr="009262AF" w:rsidRDefault="00382EE8" w:rsidP="00115BD6">
      <w:pPr>
        <w:pStyle w:val="ListParagraph"/>
        <w:numPr>
          <w:ilvl w:val="0"/>
          <w:numId w:val="83"/>
        </w:numPr>
      </w:pPr>
      <w:r>
        <w:rPr>
          <w:rFonts w:ascii="ZWAdobeF" w:hAnsi="ZWAdobeF" w:cs="ZWAdobeF"/>
          <w:sz w:val="2"/>
          <w:szCs w:val="2"/>
        </w:rPr>
        <w:t>155B</w:t>
      </w:r>
      <w:r w:rsidR="00EA51F4" w:rsidRPr="009262AF">
        <w:t>inadequate volume, timing and configuration of environmental flows</w:t>
      </w:r>
    </w:p>
    <w:p w14:paraId="5FC63533" w14:textId="0DD4C805" w:rsidR="00EA51F4" w:rsidRPr="009262AF" w:rsidRDefault="00382EE8" w:rsidP="00115BD6">
      <w:pPr>
        <w:pStyle w:val="ListParagraph"/>
        <w:numPr>
          <w:ilvl w:val="0"/>
          <w:numId w:val="83"/>
        </w:numPr>
      </w:pPr>
      <w:r>
        <w:rPr>
          <w:rFonts w:ascii="ZWAdobeF" w:hAnsi="ZWAdobeF" w:cs="ZWAdobeF"/>
          <w:sz w:val="2"/>
          <w:szCs w:val="2"/>
        </w:rPr>
        <w:t>156B</w:t>
      </w:r>
      <w:r w:rsidR="00EA51F4" w:rsidRPr="009262AF">
        <w:t>limited flexibility and adaptability in current operating arrangements and infrastructure</w:t>
      </w:r>
    </w:p>
    <w:p w14:paraId="51F3CAC1" w14:textId="129233AA" w:rsidR="00EA51F4" w:rsidRPr="009262AF" w:rsidRDefault="00382EE8" w:rsidP="00115BD6">
      <w:pPr>
        <w:pStyle w:val="ListParagraph"/>
        <w:numPr>
          <w:ilvl w:val="0"/>
          <w:numId w:val="83"/>
        </w:numPr>
      </w:pPr>
      <w:r>
        <w:rPr>
          <w:rFonts w:ascii="ZWAdobeF" w:hAnsi="ZWAdobeF" w:cs="ZWAdobeF"/>
          <w:sz w:val="2"/>
          <w:szCs w:val="2"/>
        </w:rPr>
        <w:t>157B</w:t>
      </w:r>
      <w:r w:rsidR="00EA51F4" w:rsidRPr="009262AF">
        <w:t>governance arrangements that constrain transparency, accountability and participation</w:t>
      </w:r>
    </w:p>
    <w:p w14:paraId="6A180D35" w14:textId="44D74C2D" w:rsidR="00EA51F4" w:rsidRPr="009262AF" w:rsidRDefault="00382EE8" w:rsidP="00115BD6">
      <w:pPr>
        <w:pStyle w:val="ListParagraph"/>
        <w:numPr>
          <w:ilvl w:val="0"/>
          <w:numId w:val="83"/>
        </w:numPr>
      </w:pPr>
      <w:r>
        <w:rPr>
          <w:rFonts w:ascii="ZWAdobeF" w:hAnsi="ZWAdobeF" w:cs="ZWAdobeF"/>
          <w:sz w:val="2"/>
          <w:szCs w:val="2"/>
        </w:rPr>
        <w:t>158B</w:t>
      </w:r>
      <w:r w:rsidR="00EA51F4" w:rsidRPr="009262AF">
        <w:t>competing objectives across environmental outcomes, water supply reliability and energy security</w:t>
      </w:r>
    </w:p>
    <w:p w14:paraId="10B6372A" w14:textId="25BFA986" w:rsidR="00EA51F4" w:rsidRPr="009262AF" w:rsidRDefault="00382EE8" w:rsidP="00115BD6">
      <w:pPr>
        <w:pStyle w:val="ListParagraph"/>
        <w:numPr>
          <w:ilvl w:val="0"/>
          <w:numId w:val="83"/>
        </w:numPr>
      </w:pPr>
      <w:r>
        <w:rPr>
          <w:rFonts w:ascii="ZWAdobeF" w:hAnsi="ZWAdobeF" w:cs="ZWAdobeF"/>
          <w:sz w:val="2"/>
          <w:szCs w:val="2"/>
        </w:rPr>
        <w:t>159B</w:t>
      </w:r>
      <w:r w:rsidR="425762AF">
        <w:t>monitoring, reporting and adapting environmental flow impacts</w:t>
      </w:r>
      <w:r w:rsidR="00EA51F4" w:rsidRPr="009262AF">
        <w:t>.</w:t>
      </w:r>
    </w:p>
    <w:p w14:paraId="396F130F" w14:textId="63072FBF" w:rsidR="00EA51F4" w:rsidRPr="009262AF" w:rsidRDefault="00382EE8" w:rsidP="1A1DBA89">
      <w:r>
        <w:rPr>
          <w:rFonts w:ascii="ZWAdobeF" w:hAnsi="ZWAdobeF" w:cs="ZWAdobeF"/>
          <w:sz w:val="2"/>
          <w:szCs w:val="2"/>
        </w:rPr>
        <w:lastRenderedPageBreak/>
        <w:t>836B</w:t>
      </w:r>
      <w:r w:rsidR="00EA51F4" w:rsidRPr="009262AF">
        <w:t xml:space="preserve">Other consequential, interacting issues raised during the </w:t>
      </w:r>
      <w:r w:rsidR="734B247B">
        <w:t>R</w:t>
      </w:r>
      <w:r w:rsidR="00EA51F4">
        <w:t>eview</w:t>
      </w:r>
      <w:r w:rsidR="00EA51F4" w:rsidRPr="009262AF">
        <w:t xml:space="preserve"> include water insecurity to meet critical human water needs and urban water supply, pressures of regional growth and climate change on a diminishing water resource, and water quality events (low dissolved oxygen, thermal stress, blue-green algae blooms and episodic elevated enterococci bacteria</w:t>
      </w:r>
      <w:r w:rsidR="004F1DA2">
        <w:t>)</w:t>
      </w:r>
      <w:r w:rsidR="00EA51F4" w:rsidRPr="009262AF">
        <w:t xml:space="preserve"> the </w:t>
      </w:r>
      <w:r w:rsidR="00EA51F4">
        <w:t>lat</w:t>
      </w:r>
      <w:r w:rsidR="14F7B12C">
        <w:t>t</w:t>
      </w:r>
      <w:r w:rsidR="00EA51F4">
        <w:t>er</w:t>
      </w:r>
      <w:r w:rsidR="00EA51F4" w:rsidRPr="009262AF">
        <w:t xml:space="preserve"> requiring frequent closures of the </w:t>
      </w:r>
      <w:r w:rsidR="608A8A79">
        <w:t>U</w:t>
      </w:r>
      <w:r w:rsidR="00EA51F4">
        <w:t>pper</w:t>
      </w:r>
      <w:r w:rsidR="00EA51F4" w:rsidRPr="009262AF">
        <w:t xml:space="preserve"> Murrumbidgee River to primary human contact</w:t>
      </w:r>
      <w:r w:rsidR="00EA51F4">
        <w:t>.</w:t>
      </w:r>
      <w:r w:rsidR="00EA51F4" w:rsidRPr="009262AF">
        <w:t xml:space="preserve">  </w:t>
      </w:r>
    </w:p>
    <w:p w14:paraId="753B0741" w14:textId="659011C9" w:rsidR="00EA51F4" w:rsidRPr="009262AF" w:rsidRDefault="00382EE8" w:rsidP="1A1DBA89">
      <w:pPr>
        <w:rPr>
          <w:rFonts w:ascii="Aptos" w:eastAsia="Aptos" w:hAnsi="Aptos" w:cs="Aptos"/>
        </w:rPr>
      </w:pPr>
      <w:r>
        <w:rPr>
          <w:rFonts w:ascii="ZWAdobeF" w:hAnsi="ZWAdobeF" w:cs="ZWAdobeF"/>
          <w:sz w:val="2"/>
          <w:szCs w:val="2"/>
        </w:rPr>
        <w:t>837B</w:t>
      </w:r>
      <w:r w:rsidR="00EA51F4">
        <w:t xml:space="preserve">These findings are drawn from the </w:t>
      </w:r>
      <w:hyperlink r:id="rId55">
        <w:r w:rsidR="56722C23" w:rsidRPr="6332CC80">
          <w:rPr>
            <w:rStyle w:val="Hyperlink"/>
          </w:rPr>
          <w:t xml:space="preserve">Review </w:t>
        </w:r>
        <w:r w:rsidR="00EA51F4" w:rsidRPr="6332CC80">
          <w:rPr>
            <w:rStyle w:val="Hyperlink"/>
          </w:rPr>
          <w:t>Issues Analysis</w:t>
        </w:r>
      </w:hyperlink>
      <w:r w:rsidR="00EA51F4">
        <w:t xml:space="preserve">, technical analysis and modelling of the </w:t>
      </w:r>
      <w:r w:rsidR="1A104867">
        <w:t>U</w:t>
      </w:r>
      <w:r w:rsidR="00EA51F4">
        <w:t xml:space="preserve">pper Murrumbidgee River system, pre-existing scientific reporting, advice from advisory groups formed for this </w:t>
      </w:r>
      <w:r w:rsidR="1347F837">
        <w:t>R</w:t>
      </w:r>
      <w:r w:rsidR="00EA51F4">
        <w:t>eview</w:t>
      </w:r>
      <w:r w:rsidR="25EE3782">
        <w:t>,</w:t>
      </w:r>
      <w:r w:rsidR="00EA51F4">
        <w:t xml:space="preserve"> and align strongly with stakeholder public submissions. Many of the issues raised and proposed solutions are common across the </w:t>
      </w:r>
      <w:r w:rsidR="213158F2">
        <w:t>U</w:t>
      </w:r>
      <w:r w:rsidR="00EA51F4">
        <w:t>pper Murrumbidgee and Snowy rivers, highlighting that improving the effectiveness of current and future environmental flows requires a package of foundational reforms.</w:t>
      </w:r>
    </w:p>
    <w:p w14:paraId="5DB297F7" w14:textId="47745679" w:rsidR="00034C4A" w:rsidRPr="00034C4A" w:rsidRDefault="00EA51F4" w:rsidP="0DAB72D7">
      <w:pPr>
        <w:pStyle w:val="ReviewHeading3"/>
        <w:rPr>
          <w:rFonts w:eastAsia="Calibri"/>
        </w:rPr>
      </w:pPr>
      <w:r>
        <w:rPr>
          <w:rFonts w:eastAsia="Calibri"/>
        </w:rPr>
        <w:t>Snowy River</w:t>
      </w:r>
    </w:p>
    <w:p w14:paraId="6136CF4C" w14:textId="530E4594" w:rsidR="005A410A" w:rsidRPr="009262AF" w:rsidRDefault="00382EE8" w:rsidP="0DAB72D7">
      <w:r>
        <w:rPr>
          <w:rFonts w:ascii="ZWAdobeF" w:hAnsi="ZWAdobeF" w:cs="ZWAdobeF"/>
          <w:sz w:val="2"/>
          <w:szCs w:val="2"/>
        </w:rPr>
        <w:t>838B</w:t>
      </w:r>
      <w:r w:rsidR="005A410A" w:rsidRPr="009262AF">
        <w:t>The Snowy River remains in a degraded and ecologically constrained condition, despite more than two decades of increased environmental water releases following the 1998 Snowy Water Inquiry. Stakeholder submissions indicate that current environmental water management arrangements have resulted in some improved environmental outcomes, however, the environmental flows have not been sufficient, and operational arrangements are a barrier to restoring key ecological processes and delivering sustained recovery.</w:t>
      </w:r>
    </w:p>
    <w:p w14:paraId="0EBB82A9" w14:textId="446E35AF" w:rsidR="005A410A" w:rsidRPr="009262AF" w:rsidRDefault="00382EE8" w:rsidP="0DAB72D7">
      <w:r>
        <w:rPr>
          <w:rFonts w:ascii="ZWAdobeF" w:hAnsi="ZWAdobeF" w:cs="ZWAdobeF"/>
          <w:sz w:val="2"/>
          <w:szCs w:val="2"/>
        </w:rPr>
        <w:t>839B</w:t>
      </w:r>
      <w:r w:rsidR="005A410A" w:rsidRPr="009262AF">
        <w:t>Post</w:t>
      </w:r>
      <w:r w:rsidR="005A410A" w:rsidRPr="009262AF">
        <w:noBreakHyphen/>
        <w:t>2002 environmental releases have improved baseflows and some localised conditions</w:t>
      </w:r>
      <w:r w:rsidR="230E7FDE">
        <w:t>,</w:t>
      </w:r>
      <w:r w:rsidR="005A410A">
        <w:t xml:space="preserve"> </w:t>
      </w:r>
      <w:r w:rsidR="2AA2E7C3">
        <w:t>but</w:t>
      </w:r>
      <w:r w:rsidR="005A410A" w:rsidRPr="009262AF">
        <w:t xml:space="preserve"> these flow regimes have not reinstated natural seasonality,</w:t>
      </w:r>
      <w:r w:rsidR="005A410A">
        <w:t xml:space="preserve"> been effective at flushing accumulating sediment </w:t>
      </w:r>
      <w:r w:rsidR="005A410A" w:rsidRPr="00E76955">
        <w:t xml:space="preserve">or </w:t>
      </w:r>
      <w:r w:rsidR="005A410A">
        <w:t xml:space="preserve">provided </w:t>
      </w:r>
      <w:r w:rsidR="005A410A" w:rsidRPr="00E76955">
        <w:t>reliable connectivity between channel, floodplain and estuarine environments. As a result, sediment transport remains constrained, channel form simplified, habitat diversity reduced and recovery of native biota limited, with exotic species persisting in many reaches and fish deaths occurring in the Snowy River estuary.</w:t>
      </w:r>
    </w:p>
    <w:p w14:paraId="4A903E06" w14:textId="13D4C1F1" w:rsidR="005A410A" w:rsidRPr="009262AF" w:rsidRDefault="00382EE8" w:rsidP="6332CC80">
      <w:pPr>
        <w:rPr>
          <w:rFonts w:ascii="Aptos" w:eastAsia="Aptos" w:hAnsi="Aptos" w:cs="Arial"/>
          <w:szCs w:val="22"/>
        </w:rPr>
      </w:pPr>
      <w:r>
        <w:rPr>
          <w:rFonts w:ascii="ZWAdobeF" w:hAnsi="ZWAdobeF" w:cs="ZWAdobeF"/>
          <w:sz w:val="2"/>
          <w:szCs w:val="2"/>
        </w:rPr>
        <w:t>840B</w:t>
      </w:r>
      <w:r w:rsidR="2A0EABF9">
        <w:t>A s</w:t>
      </w:r>
      <w:r w:rsidR="005A410A">
        <w:t xml:space="preserve">ubmission </w:t>
      </w:r>
      <w:r w:rsidR="45D1322B">
        <w:t xml:space="preserve">to the Panel’s public consultation </w:t>
      </w:r>
      <w:r w:rsidR="005A410A">
        <w:t xml:space="preserve">from the East Gippsland </w:t>
      </w:r>
      <w:r w:rsidR="6678D7AC">
        <w:t xml:space="preserve">Conservation </w:t>
      </w:r>
      <w:r w:rsidR="005A410A">
        <w:t xml:space="preserve">Management </w:t>
      </w:r>
      <w:r w:rsidR="1D8C6F71">
        <w:t>Network</w:t>
      </w:r>
      <w:r w:rsidR="005A410A">
        <w:t xml:space="preserve"> (E</w:t>
      </w:r>
      <w:r w:rsidR="28E317C2">
        <w:t>GCMN</w:t>
      </w:r>
      <w:r w:rsidR="005A410A">
        <w:t>) emphasise</w:t>
      </w:r>
      <w:r w:rsidR="6B403743">
        <w:t>d</w:t>
      </w:r>
      <w:r w:rsidR="005A410A">
        <w:t xml:space="preserve"> that</w:t>
      </w:r>
      <w:r w:rsidR="53B97EF7">
        <w:t xml:space="preserve"> </w:t>
      </w:r>
      <w:r w:rsidR="53B97EF7" w:rsidRPr="6332CC80">
        <w:rPr>
          <w:rFonts w:ascii="Aptos" w:eastAsia="Aptos" w:hAnsi="Aptos" w:cs="Arial"/>
          <w:szCs w:val="22"/>
        </w:rPr>
        <w:t>the Snowy River is in a severely degraded condition due to prolonged flow reductions, which have caused sediment build-up</w:t>
      </w:r>
      <w:r w:rsidR="54E82BE8" w:rsidRPr="6332CC80">
        <w:rPr>
          <w:rFonts w:ascii="Aptos" w:eastAsia="Aptos" w:hAnsi="Aptos" w:cs="Arial"/>
          <w:szCs w:val="22"/>
        </w:rPr>
        <w:t xml:space="preserve"> </w:t>
      </w:r>
      <w:r w:rsidR="53B97EF7" w:rsidRPr="6332CC80">
        <w:rPr>
          <w:rFonts w:ascii="Aptos" w:eastAsia="Aptos" w:hAnsi="Aptos" w:cs="Arial"/>
          <w:szCs w:val="22"/>
        </w:rPr>
        <w:t>and habitat loss. They also highlight</w:t>
      </w:r>
      <w:r w:rsidR="3A029F19" w:rsidRPr="6332CC80">
        <w:rPr>
          <w:rFonts w:ascii="Aptos" w:eastAsia="Aptos" w:hAnsi="Aptos" w:cs="Arial"/>
          <w:szCs w:val="22"/>
        </w:rPr>
        <w:t>ed</w:t>
      </w:r>
      <w:r w:rsidR="53B97EF7" w:rsidRPr="6332CC80">
        <w:rPr>
          <w:rFonts w:ascii="Aptos" w:eastAsia="Aptos" w:hAnsi="Aptos" w:cs="Arial"/>
          <w:szCs w:val="22"/>
        </w:rPr>
        <w:t xml:space="preserve"> that altered flow regimes and elevated water temperatures continue to stress native ecosystems, with current management efforts insufficient to reverse these impacts.</w:t>
      </w:r>
      <w:r>
        <w:rPr>
          <w:rFonts w:ascii="ZWAdobeF" w:eastAsia="Aptos" w:hAnsi="ZWAdobeF" w:cs="ZWAdobeF"/>
          <w:sz w:val="2"/>
          <w:szCs w:val="2"/>
        </w:rPr>
        <w:t>43F</w:t>
      </w:r>
      <w:r w:rsidR="005A410A" w:rsidRPr="6332CC80">
        <w:rPr>
          <w:rStyle w:val="FootnoteReference"/>
        </w:rPr>
        <w:footnoteReference w:id="44"/>
      </w:r>
      <w:r w:rsidR="005A410A">
        <w:t xml:space="preserve"> These impacts undermine catchment</w:t>
      </w:r>
      <w:r w:rsidR="005A410A">
        <w:noBreakHyphen/>
        <w:t xml:space="preserve">scale restoration efforts and demonstrate that benefits delivered upstream do not reliably translate into downstream </w:t>
      </w:r>
      <w:r w:rsidR="5BC7596D">
        <w:t xml:space="preserve">positive </w:t>
      </w:r>
      <w:r w:rsidR="005A410A">
        <w:t>ecological outcomes under the existing flow regime.</w:t>
      </w:r>
    </w:p>
    <w:p w14:paraId="1AA8419A" w14:textId="6420FE5C" w:rsidR="005A410A" w:rsidRPr="009262AF" w:rsidRDefault="00382EE8" w:rsidP="0DAB72D7">
      <w:r>
        <w:rPr>
          <w:rFonts w:ascii="ZWAdobeF" w:hAnsi="ZWAdobeF" w:cs="ZWAdobeF"/>
          <w:sz w:val="2"/>
          <w:szCs w:val="2"/>
        </w:rPr>
        <w:t>841B</w:t>
      </w:r>
      <w:r w:rsidR="1E182E41">
        <w:t xml:space="preserve">Public forums and submissions from </w:t>
      </w:r>
      <w:r w:rsidR="005A410A">
        <w:t>the stakeholders along the Snowy River and the Snowy River Alliance similarly argue that the Snowy River has not recovered to a functional or resilient system, despite sustained community and government investment.</w:t>
      </w:r>
      <w:r>
        <w:rPr>
          <w:rFonts w:ascii="ZWAdobeF" w:hAnsi="ZWAdobeF" w:cs="ZWAdobeF"/>
          <w:sz w:val="2"/>
          <w:szCs w:val="2"/>
        </w:rPr>
        <w:t>44F</w:t>
      </w:r>
      <w:r w:rsidR="005A410A" w:rsidRPr="6332CC80">
        <w:rPr>
          <w:rStyle w:val="FootnoteReference"/>
        </w:rPr>
        <w:footnoteReference w:id="45"/>
      </w:r>
      <w:r w:rsidR="005A410A">
        <w:t xml:space="preserve"> The </w:t>
      </w:r>
      <w:r w:rsidR="2B751B48">
        <w:t>consultation findings</w:t>
      </w:r>
      <w:r w:rsidR="005A410A">
        <w:t xml:space="preserve"> stress that environmental flows have been constrained by conservative, inflexible operating rules that prioritise certainty over ecological effectiveness. They note that reliance on baseflows and limited seasonal releases has failed to replicate the disturbance, variability and connectivity required for ecosystem </w:t>
      </w:r>
      <w:r w:rsidR="005A410A">
        <w:lastRenderedPageBreak/>
        <w:t>recovery, and that progress has stalled well short of the Snowy Inquiry’s original intent to restore the river as a functioning system, rather</w:t>
      </w:r>
      <w:r w:rsidR="796F6837">
        <w:t>,</w:t>
      </w:r>
      <w:r w:rsidR="005A410A">
        <w:t xml:space="preserve"> the current </w:t>
      </w:r>
      <w:r w:rsidR="7639D247">
        <w:t>condition</w:t>
      </w:r>
      <w:r w:rsidR="005A410A">
        <w:t xml:space="preserve"> is </w:t>
      </w:r>
      <w:r w:rsidR="70FF2104">
        <w:t xml:space="preserve">improving </w:t>
      </w:r>
      <w:r w:rsidR="005A410A">
        <w:t>but</w:t>
      </w:r>
      <w:r w:rsidR="28B29706">
        <w:t xml:space="preserve"> remains</w:t>
      </w:r>
      <w:r w:rsidR="005A410A">
        <w:t xml:space="preserve"> degraded.</w:t>
      </w:r>
    </w:p>
    <w:p w14:paraId="43E9671E" w14:textId="29880DF9" w:rsidR="005A410A" w:rsidRPr="009262AF" w:rsidRDefault="00382EE8" w:rsidP="0DAB72D7">
      <w:r>
        <w:rPr>
          <w:rFonts w:ascii="ZWAdobeF" w:hAnsi="ZWAdobeF" w:cs="ZWAdobeF"/>
          <w:sz w:val="2"/>
          <w:szCs w:val="2"/>
        </w:rPr>
        <w:t>842B</w:t>
      </w:r>
      <w:r w:rsidR="005A410A" w:rsidRPr="009262AF">
        <w:t>The effectiveness of environmental water management in the Snowy River is further constrained by structural and institutional barriers. Environmental releases are governed by the Snowy Water Licence and the Deed, which limit flexibility in release timing, magnitude and sequencing. These arrangements restrict the ability to coordinate releases with natural inflows, deliver higher</w:t>
      </w:r>
      <w:r w:rsidR="133D458F">
        <w:t xml:space="preserve"> </w:t>
      </w:r>
      <w:r w:rsidR="005A410A" w:rsidRPr="009262AF">
        <w:t>magnitude flushing events, or adaptively manage water in response to ecological monitoring. Monitoring and evaluation frameworks have also been criticised by stakeholders for being insufficiently integrated with decision</w:t>
      </w:r>
      <w:r w:rsidR="005A410A" w:rsidRPr="009262AF">
        <w:noBreakHyphen/>
        <w:t>making, limiting learning and adaptive improvement.</w:t>
      </w:r>
    </w:p>
    <w:p w14:paraId="6C25D040" w14:textId="49785CAC" w:rsidR="005A410A" w:rsidRPr="009262AF" w:rsidRDefault="00382EE8" w:rsidP="0DAB72D7">
      <w:r>
        <w:rPr>
          <w:rFonts w:ascii="ZWAdobeF" w:hAnsi="ZWAdobeF" w:cs="ZWAdobeF"/>
          <w:sz w:val="2"/>
          <w:szCs w:val="2"/>
        </w:rPr>
        <w:t>843B</w:t>
      </w:r>
      <w:r w:rsidR="005A410A">
        <w:t xml:space="preserve">Existing infrastructure also constrains the ability to deliver variable and disturbance-capable flows (Jindabyne Dam), and the Mowamba Weir </w:t>
      </w:r>
      <w:r w:rsidR="00B82074">
        <w:t xml:space="preserve">and similar </w:t>
      </w:r>
      <w:r w:rsidR="006F2DBA">
        <w:t xml:space="preserve">infrastructure </w:t>
      </w:r>
      <w:r w:rsidR="005A410A">
        <w:t xml:space="preserve">has materially constrained Snowy River recovery by intercepting tributary flows, complicating environmental water delivery and embedding legacy accounting arrangements that reduced ecological effectiveness and trust. The </w:t>
      </w:r>
      <w:r w:rsidR="57383576">
        <w:t>Panel</w:t>
      </w:r>
      <w:r w:rsidR="005A410A">
        <w:t xml:space="preserve"> has received a consistent message that future Snowy River outcomes cannot be assessed solely through volumes released from Jindabyne Dam without also accounting for the role of Mowamba Weir and similar infrastructure in shaping the flow regime.</w:t>
      </w:r>
    </w:p>
    <w:p w14:paraId="51775F6A" w14:textId="6599C788" w:rsidR="002B731D" w:rsidRPr="00034C4A" w:rsidRDefault="00382EE8" w:rsidP="0DAB72D7">
      <w:r>
        <w:rPr>
          <w:rFonts w:ascii="ZWAdobeF" w:hAnsi="ZWAdobeF" w:cs="ZWAdobeF"/>
          <w:sz w:val="2"/>
          <w:szCs w:val="2"/>
        </w:rPr>
        <w:t>844B</w:t>
      </w:r>
      <w:r w:rsidR="005A410A">
        <w:t>Climate change and poor catchment health compound these shortcomings. Projected reductions in inflows, increased variability and more frequent droughts mean that static and inflexible environmental flow arrangements are increasingly unlikely to protect ecological values, particularly in downstream and estuarine reaches where flow timing and variability are critical.</w:t>
      </w:r>
      <w:r>
        <w:rPr>
          <w:rFonts w:ascii="ZWAdobeF" w:hAnsi="ZWAdobeF" w:cs="ZWAdobeF"/>
          <w:sz w:val="2"/>
          <w:szCs w:val="2"/>
        </w:rPr>
        <w:t>45F</w:t>
      </w:r>
      <w:r w:rsidR="005A410A" w:rsidRPr="6332CC80">
        <w:rPr>
          <w:rStyle w:val="FootnoteReference"/>
        </w:rPr>
        <w:footnoteReference w:id="46"/>
      </w:r>
      <w:r w:rsidR="00863481">
        <w:t xml:space="preserve"> </w:t>
      </w:r>
      <w:r>
        <w:rPr>
          <w:rFonts w:ascii="ZWAdobeF" w:hAnsi="ZWAdobeF" w:cs="ZWAdobeF"/>
          <w:sz w:val="2"/>
          <w:szCs w:val="2"/>
        </w:rPr>
        <w:t>46F</w:t>
      </w:r>
      <w:r w:rsidR="00274D90">
        <w:rPr>
          <w:rStyle w:val="FootnoteReference"/>
        </w:rPr>
        <w:footnoteReference w:id="47"/>
      </w:r>
    </w:p>
    <w:p w14:paraId="38DED3A5" w14:textId="50901E32" w:rsidR="00B72802" w:rsidRPr="009262AF" w:rsidRDefault="005A410A" w:rsidP="0DAB72D7">
      <w:pPr>
        <w:pStyle w:val="ReviewHeading3"/>
      </w:pPr>
      <w:r>
        <w:rPr>
          <w:rFonts w:eastAsia="Calibri"/>
        </w:rPr>
        <w:t>Upper Murrumbidgee River</w:t>
      </w:r>
    </w:p>
    <w:p w14:paraId="2FBEE8EC" w14:textId="378A162C" w:rsidR="001817CF" w:rsidRPr="009262AF" w:rsidRDefault="00382EE8" w:rsidP="0DAB72D7">
      <w:r>
        <w:rPr>
          <w:rFonts w:ascii="ZWAdobeF" w:hAnsi="ZWAdobeF" w:cs="ZWAdobeF"/>
          <w:sz w:val="2"/>
          <w:szCs w:val="2"/>
        </w:rPr>
        <w:t>845B</w:t>
      </w:r>
      <w:r w:rsidR="001817CF" w:rsidRPr="009262AF">
        <w:t>The Upper Murrumbidgee River is in a highly constrained and declining ecological condition, with strong evidence that current water management arrangements are insufficient to maintain river health, ecosystem function or resilience under present or future climate conditions.</w:t>
      </w:r>
    </w:p>
    <w:p w14:paraId="49FA686C" w14:textId="3052D9DB" w:rsidR="001817CF" w:rsidRPr="009262AF" w:rsidRDefault="00382EE8" w:rsidP="0DAB72D7">
      <w:r>
        <w:rPr>
          <w:rFonts w:ascii="ZWAdobeF" w:hAnsi="ZWAdobeF" w:cs="ZWAdobeF"/>
          <w:sz w:val="2"/>
          <w:szCs w:val="2"/>
        </w:rPr>
        <w:t>846B</w:t>
      </w:r>
      <w:r w:rsidR="001817CF">
        <w:t>Evidence presented to the Panel from Basin Plan reporting, technical ecological assessments and stakeholder submissions shows the river is operating below key ecological thresholds. Native fish populations, exemplified by the endangered Macquarie Perch, are in poor condition, with declining abundance, localised species extinction, limited recruitment, poor connectivity and reduced spatial extent.</w:t>
      </w:r>
      <w:r>
        <w:rPr>
          <w:rFonts w:ascii="ZWAdobeF" w:hAnsi="ZWAdobeF" w:cs="ZWAdobeF"/>
          <w:sz w:val="2"/>
          <w:szCs w:val="2"/>
        </w:rPr>
        <w:t>47F</w:t>
      </w:r>
      <w:r w:rsidR="001817CF" w:rsidRPr="6332CC80">
        <w:rPr>
          <w:rStyle w:val="FootnoteReference"/>
        </w:rPr>
        <w:footnoteReference w:id="48"/>
      </w:r>
      <w:r w:rsidR="001817CF">
        <w:t xml:space="preserve"> Habitat quality has deteriorated due to sediment accumulation, channel simplification and reduced hydraulic diversity. Prolonged low</w:t>
      </w:r>
      <w:r w:rsidR="1800E556">
        <w:t xml:space="preserve"> </w:t>
      </w:r>
      <w:r w:rsidR="001817CF">
        <w:t>flow periods exacerbate water</w:t>
      </w:r>
      <w:r w:rsidR="1E266E4A">
        <w:t xml:space="preserve"> </w:t>
      </w:r>
      <w:r w:rsidR="001817CF">
        <w:t xml:space="preserve">quality risks, including low dissolved oxygen, elevated temperatures and extended recreational closures </w:t>
      </w:r>
      <w:r w:rsidR="6FFAD6C1">
        <w:t>due</w:t>
      </w:r>
      <w:r w:rsidR="001817CF">
        <w:t xml:space="preserve"> to the prevalence of blue-green algae and faecal indicator bacteria in concentrations that exceed human health guidelines.</w:t>
      </w:r>
      <w:r>
        <w:rPr>
          <w:rFonts w:ascii="ZWAdobeF" w:hAnsi="ZWAdobeF" w:cs="ZWAdobeF"/>
          <w:sz w:val="2"/>
          <w:szCs w:val="2"/>
        </w:rPr>
        <w:t>48F</w:t>
      </w:r>
      <w:r w:rsidR="001817CF" w:rsidRPr="6332CC80">
        <w:rPr>
          <w:rStyle w:val="FootnoteReference"/>
        </w:rPr>
        <w:footnoteReference w:id="49"/>
      </w:r>
      <w:r w:rsidR="001817CF">
        <w:t xml:space="preserve">  </w:t>
      </w:r>
    </w:p>
    <w:p w14:paraId="2684C40A" w14:textId="27264CFD" w:rsidR="001817CF" w:rsidRPr="009262AF" w:rsidRDefault="00382EE8" w:rsidP="0DAB72D7">
      <w:r>
        <w:rPr>
          <w:rFonts w:ascii="ZWAdobeF" w:hAnsi="ZWAdobeF" w:cs="ZWAdobeF"/>
          <w:sz w:val="2"/>
          <w:szCs w:val="2"/>
        </w:rPr>
        <w:lastRenderedPageBreak/>
        <w:t>847B</w:t>
      </w:r>
      <w:r w:rsidR="001817CF" w:rsidRPr="009262AF">
        <w:t xml:space="preserve">The primary driver of the river’s condition is the altered flow regime associated with regulation at Tantangara Dam. Since regulation, most headwater inflows have been diverted out of the </w:t>
      </w:r>
      <w:r w:rsidR="212C2BB5">
        <w:t>U</w:t>
      </w:r>
      <w:r w:rsidR="001817CF">
        <w:t>pper</w:t>
      </w:r>
      <w:r w:rsidR="001817CF" w:rsidRPr="009262AF">
        <w:t xml:space="preserve"> Murrumbidgee catchment, substantially reducing median flows, suppressing seasonal variability and largely eliminating higher</w:t>
      </w:r>
      <w:r w:rsidR="28F5E31A">
        <w:t xml:space="preserve"> </w:t>
      </w:r>
      <w:r w:rsidR="001817CF" w:rsidRPr="009262AF">
        <w:t xml:space="preserve">magnitude events. Environmental releases are limited in volume and often set well in advance, reducing alignment with natural hydrological cues. River baseflows are reliant on dam releases made for supplying Cooma’s water supply and/or unregulated tributary inflows downstream of the </w:t>
      </w:r>
      <w:r w:rsidR="761E4A38">
        <w:t>d</w:t>
      </w:r>
      <w:r w:rsidR="001817CF">
        <w:t>am</w:t>
      </w:r>
      <w:r w:rsidR="001817CF" w:rsidRPr="009262AF">
        <w:t xml:space="preserve">. </w:t>
      </w:r>
    </w:p>
    <w:p w14:paraId="4E616E14" w14:textId="757C6F16" w:rsidR="001817CF" w:rsidRPr="009262AF" w:rsidRDefault="00382EE8" w:rsidP="0DAB72D7">
      <w:r>
        <w:rPr>
          <w:rFonts w:ascii="ZWAdobeF" w:hAnsi="ZWAdobeF" w:cs="ZWAdobeF"/>
          <w:sz w:val="2"/>
          <w:szCs w:val="2"/>
        </w:rPr>
        <w:t>848B</w:t>
      </w:r>
      <w:r w:rsidR="4F45EFC3" w:rsidRPr="009262AF">
        <w:t>Recent droughts, particularly 2018–19, demonstrate the consequences of these arrangements. Flows that would have occurred naturally were regulated at Tantangara Dam, resulting in cease</w:t>
      </w:r>
      <w:r w:rsidR="4F45EFC3">
        <w:noBreakHyphen/>
      </w:r>
      <w:r w:rsidR="4F45EFC3" w:rsidRPr="009262AF">
        <w:t>to</w:t>
      </w:r>
      <w:r w:rsidR="4F45EFC3">
        <w:noBreakHyphen/>
      </w:r>
      <w:r w:rsidR="4F45EFC3" w:rsidRPr="009262AF">
        <w:t>flow conditions that would not have occurred in an unregulated river</w:t>
      </w:r>
      <w:r w:rsidR="38A239AC" w:rsidRPr="009262AF">
        <w:t>.</w:t>
      </w:r>
      <w:r>
        <w:rPr>
          <w:rFonts w:ascii="ZWAdobeF" w:hAnsi="ZWAdobeF" w:cs="ZWAdobeF"/>
          <w:sz w:val="2"/>
          <w:szCs w:val="2"/>
        </w:rPr>
        <w:t>49F</w:t>
      </w:r>
      <w:r w:rsidR="001817CF" w:rsidRPr="009262AF">
        <w:rPr>
          <w:rStyle w:val="FootnoteReference"/>
          <w:rFonts w:ascii="Calibri" w:eastAsia="Calibri" w:hAnsi="Calibri" w:cs="Calibri"/>
          <w:szCs w:val="22"/>
        </w:rPr>
        <w:footnoteReference w:id="50"/>
      </w:r>
      <w:r w:rsidR="4F45EFC3" w:rsidRPr="009262AF">
        <w:t xml:space="preserve"> These events cause ecological harm and impact downstream communities and water supply reliability. </w:t>
      </w:r>
    </w:p>
    <w:p w14:paraId="0AC8C2D2" w14:textId="1B4DE4EB" w:rsidR="001817CF" w:rsidRPr="009262AF" w:rsidRDefault="00382EE8" w:rsidP="0DAB72D7">
      <w:r>
        <w:rPr>
          <w:rFonts w:ascii="ZWAdobeF" w:hAnsi="ZWAdobeF" w:cs="ZWAdobeF"/>
          <w:sz w:val="2"/>
          <w:szCs w:val="2"/>
        </w:rPr>
        <w:t>849B</w:t>
      </w:r>
      <w:r w:rsidR="001817CF" w:rsidRPr="009262AF">
        <w:t>While baseflows provide value for ecological refuge, baseflows alone are insufficient to support sediment transport, habitat maintenance, spawning habitat renewal and longitudinal connectivity. Experience from comparable regulated rivers, along with the Snowy River following post</w:t>
      </w:r>
      <w:r w:rsidR="001817CF" w:rsidRPr="009262AF">
        <w:noBreakHyphen/>
        <w:t>2002 environmental releases, reinforces that incremental increases in low flows without restoring variability and disturbance deliver limited and often transient benefits. Current arrangements in the Upper Murrumbidgee support ecological persistence at best, rather than recovery or building resilience.</w:t>
      </w:r>
    </w:p>
    <w:p w14:paraId="52E6A5B0" w14:textId="41BE989A" w:rsidR="001817CF" w:rsidRPr="009262AF" w:rsidRDefault="00382EE8" w:rsidP="0DAB72D7">
      <w:r>
        <w:rPr>
          <w:rFonts w:ascii="ZWAdobeF" w:hAnsi="ZWAdobeF" w:cs="ZWAdobeF"/>
          <w:sz w:val="2"/>
          <w:szCs w:val="2"/>
        </w:rPr>
        <w:t>850B</w:t>
      </w:r>
      <w:r w:rsidR="001817CF">
        <w:t>Climate change forecasts mean these challenges will be amplified. Forecast declining inflows, increased variability and longer droughts increase the likelihood that existing arrangements will fail more frequently and with greater ecological consequence.</w:t>
      </w:r>
      <w:r>
        <w:rPr>
          <w:rFonts w:ascii="ZWAdobeF" w:hAnsi="ZWAdobeF" w:cs="ZWAdobeF"/>
          <w:sz w:val="2"/>
          <w:szCs w:val="2"/>
        </w:rPr>
        <w:t>50F</w:t>
      </w:r>
      <w:r w:rsidR="001817CF" w:rsidRPr="6332CC80">
        <w:rPr>
          <w:rStyle w:val="FootnoteReference"/>
        </w:rPr>
        <w:footnoteReference w:id="51"/>
      </w:r>
      <w:r w:rsidR="001817CF">
        <w:t xml:space="preserve"> Without changes to the scale, configuration and management of environmental flows, the Upper Murrumbidgee will remain </w:t>
      </w:r>
      <w:r w:rsidR="00F95D44">
        <w:t>degraded</w:t>
      </w:r>
      <w:r w:rsidR="001817CF">
        <w:t xml:space="preserve"> with</w:t>
      </w:r>
      <w:r w:rsidR="00F95D44">
        <w:t xml:space="preserve"> an</w:t>
      </w:r>
      <w:r w:rsidR="001817CF">
        <w:t xml:space="preserve"> increasing risk of irreversible ecological decline.</w:t>
      </w:r>
    </w:p>
    <w:p w14:paraId="756F4200" w14:textId="1D78CABD" w:rsidR="001817CF" w:rsidRPr="009262AF" w:rsidRDefault="00382EE8" w:rsidP="0DAB72D7">
      <w:r>
        <w:rPr>
          <w:rFonts w:ascii="ZWAdobeF" w:hAnsi="ZWAdobeF" w:cs="ZWAdobeF"/>
          <w:sz w:val="2"/>
          <w:szCs w:val="2"/>
        </w:rPr>
        <w:t>851B</w:t>
      </w:r>
      <w:r w:rsidR="001817CF">
        <w:t xml:space="preserve">Environmental flow effectiveness is constrained by institutional, infrastructure and governance barriers. Snowy Scheme operations are governed by the Snowy Water Licence and the </w:t>
      </w:r>
      <w:r w:rsidR="2A02D9B4">
        <w:t>Deed</w:t>
      </w:r>
      <w:r w:rsidR="001817CF">
        <w:t>, which sit largely outside contemporary Basin Plan and W</w:t>
      </w:r>
      <w:r w:rsidR="067EEC34">
        <w:t xml:space="preserve">ater </w:t>
      </w:r>
      <w:r w:rsidR="001817CF">
        <w:t>R</w:t>
      </w:r>
      <w:r w:rsidR="44735D1E">
        <w:t xml:space="preserve">esource </w:t>
      </w:r>
      <w:r w:rsidR="001817CF">
        <w:t>P</w:t>
      </w:r>
      <w:r w:rsidR="7A645BC9">
        <w:t>lan</w:t>
      </w:r>
      <w:r w:rsidR="001817CF">
        <w:t xml:space="preserve"> frameworks. Environmental releases from Tantangara Dam are not treated as Planned Environmental Water and rely on discretionary, non</w:t>
      </w:r>
      <w:r w:rsidR="001817CF">
        <w:noBreakHyphen/>
        <w:t xml:space="preserve">enduring mechanisms. </w:t>
      </w:r>
    </w:p>
    <w:p w14:paraId="4843FDE0" w14:textId="47F11E4B" w:rsidR="001817CF" w:rsidRPr="009262AF" w:rsidRDefault="00382EE8" w:rsidP="0DAB72D7">
      <w:r>
        <w:rPr>
          <w:rFonts w:ascii="ZWAdobeF" w:hAnsi="ZWAdobeF" w:cs="ZWAdobeF"/>
          <w:sz w:val="2"/>
          <w:szCs w:val="2"/>
        </w:rPr>
        <w:t>852B</w:t>
      </w:r>
      <w:r w:rsidR="001817CF">
        <w:t xml:space="preserve">The </w:t>
      </w:r>
      <w:r w:rsidR="003064DB">
        <w:t>SAG</w:t>
      </w:r>
      <w:r w:rsidR="001817CF">
        <w:t xml:space="preserve"> </w:t>
      </w:r>
      <w:r w:rsidR="52124FEF">
        <w:t xml:space="preserve">report </w:t>
      </w:r>
      <w:r w:rsidR="001817CF">
        <w:t>highlight</w:t>
      </w:r>
      <w:r w:rsidR="27B0CAE7">
        <w:t>s</w:t>
      </w:r>
      <w:r w:rsidR="001817CF">
        <w:t xml:space="preserve"> that the decline of the Upper Murrumbidgee River is not solely an environmental flow deficit, but </w:t>
      </w:r>
      <w:r w:rsidR="57DA987A">
        <w:t xml:space="preserve">also </w:t>
      </w:r>
      <w:r w:rsidR="001817CF">
        <w:t>the result of fragmented governance, rigid delivery arrangements, infrastructure</w:t>
      </w:r>
      <w:r w:rsidR="001817CF">
        <w:noBreakHyphen/>
        <w:t>limited operations, and insufficient integration of non</w:t>
      </w:r>
      <w:r w:rsidR="001817CF">
        <w:noBreakHyphen/>
        <w:t>flow actions.</w:t>
      </w:r>
      <w:r>
        <w:rPr>
          <w:rFonts w:ascii="ZWAdobeF" w:hAnsi="ZWAdobeF" w:cs="ZWAdobeF"/>
          <w:sz w:val="2"/>
          <w:szCs w:val="2"/>
        </w:rPr>
        <w:t>51F</w:t>
      </w:r>
      <w:r w:rsidR="001817CF" w:rsidRPr="6332CC80">
        <w:rPr>
          <w:rStyle w:val="FootnoteReference"/>
        </w:rPr>
        <w:footnoteReference w:id="52"/>
      </w:r>
    </w:p>
    <w:p w14:paraId="736F4839" w14:textId="410CA165" w:rsidR="001817CF" w:rsidRPr="009262AF" w:rsidRDefault="00382EE8" w:rsidP="0DAB72D7">
      <w:r>
        <w:rPr>
          <w:rFonts w:ascii="ZWAdobeF" w:hAnsi="ZWAdobeF" w:cs="ZWAdobeF"/>
          <w:sz w:val="2"/>
          <w:szCs w:val="2"/>
        </w:rPr>
        <w:t>853B</w:t>
      </w:r>
      <w:r w:rsidR="001817CF">
        <w:t>The Tantangara Dam outlet limits the delivery of higher</w:t>
      </w:r>
      <w:r w:rsidR="761401FE">
        <w:t xml:space="preserve"> magnitude</w:t>
      </w:r>
      <w:r w:rsidR="001817CF">
        <w:t xml:space="preserve"> flows. Environmental water planning provides limited scope for cross</w:t>
      </w:r>
      <w:r w:rsidR="1DD90BE2">
        <w:t>-</w:t>
      </w:r>
      <w:r w:rsidR="001817CF">
        <w:t xml:space="preserve">jurisdictional collaboration and prioritisation, and there is limited capacity for adaptive management that is </w:t>
      </w:r>
      <w:r w:rsidR="00842CF8">
        <w:t xml:space="preserve">informed by a structured program of science and monitoring and is </w:t>
      </w:r>
      <w:r w:rsidR="001817CF">
        <w:t xml:space="preserve">responsive to real-time conditions. </w:t>
      </w:r>
    </w:p>
    <w:p w14:paraId="0F32A859" w14:textId="0823EEA1" w:rsidR="001817CF" w:rsidRPr="009262AF" w:rsidRDefault="00382EE8" w:rsidP="0DAB72D7">
      <w:r>
        <w:rPr>
          <w:rFonts w:ascii="ZWAdobeF" w:hAnsi="ZWAdobeF" w:cs="ZWAdobeF"/>
          <w:sz w:val="2"/>
          <w:szCs w:val="2"/>
        </w:rPr>
        <w:lastRenderedPageBreak/>
        <w:t>854B</w:t>
      </w:r>
      <w:r w:rsidR="001817CF">
        <w:t>Stakeholder submissions reflect a consensus that maintaining current arrangements is not sufficient.</w:t>
      </w:r>
      <w:r>
        <w:rPr>
          <w:rFonts w:ascii="ZWAdobeF" w:hAnsi="ZWAdobeF" w:cs="ZWAdobeF"/>
          <w:sz w:val="2"/>
          <w:szCs w:val="2"/>
        </w:rPr>
        <w:t>52F</w:t>
      </w:r>
      <w:r w:rsidR="001817CF" w:rsidRPr="6332CC80">
        <w:rPr>
          <w:rStyle w:val="FootnoteReference"/>
        </w:rPr>
        <w:footnoteReference w:id="53"/>
      </w:r>
      <w:r w:rsidR="001817CF">
        <w:t xml:space="preserve"> While views differ on the scale and implementation of change, there is broad agreement that improved environmental flows are required to prevent cease</w:t>
      </w:r>
      <w:r w:rsidR="001817CF">
        <w:noBreakHyphen/>
        <w:t>to</w:t>
      </w:r>
      <w:r w:rsidR="001817CF">
        <w:noBreakHyphen/>
        <w:t>flow events, restore variability and protect and restore the river’s long</w:t>
      </w:r>
      <w:r w:rsidR="001817CF">
        <w:noBreakHyphen/>
        <w:t>term ecological, cultural and community values.</w:t>
      </w:r>
    </w:p>
    <w:p w14:paraId="257118B4" w14:textId="6435C2BF" w:rsidR="001817CF" w:rsidRDefault="00382EE8" w:rsidP="001817CF">
      <w:r>
        <w:rPr>
          <w:rFonts w:ascii="ZWAdobeF" w:hAnsi="ZWAdobeF" w:cs="ZWAdobeF"/>
          <w:sz w:val="2"/>
          <w:szCs w:val="2"/>
        </w:rPr>
        <w:t>855B</w:t>
      </w:r>
      <w:r w:rsidR="001817CF">
        <w:t xml:space="preserve">Taken together, the evidence presented to the </w:t>
      </w:r>
      <w:r w:rsidR="33B343B1">
        <w:t>R</w:t>
      </w:r>
      <w:r w:rsidR="001817CF">
        <w:t>eview establishes a clear need to consider alternative environmental flow options and foundational reforms to the Deed. Without reform, current arrangements are unlikely to arrest ongoing decline or build the resilience required given future climatic and system pressures.</w:t>
      </w:r>
    </w:p>
    <w:p w14:paraId="4AAE6126" w14:textId="2BDABC16" w:rsidR="001817CF" w:rsidRPr="009262AF" w:rsidRDefault="001817CF" w:rsidP="22D00B8F">
      <w:pPr>
        <w:pStyle w:val="ReviewHeading2"/>
        <w:jc w:val="left"/>
      </w:pPr>
      <w:bookmarkStart w:id="58" w:name="_Toc233285601"/>
      <w:bookmarkStart w:id="59" w:name="_Toc233801480"/>
      <w:r>
        <w:t>4.3 Snowy River: Improving the effectiveness of environmental water</w:t>
      </w:r>
      <w:bookmarkEnd w:id="58"/>
      <w:bookmarkEnd w:id="59"/>
    </w:p>
    <w:p w14:paraId="688E7937" w14:textId="43FBE045" w:rsidR="005A410A" w:rsidRPr="009262AF" w:rsidRDefault="00390DAC" w:rsidP="22D00B8F">
      <w:pPr>
        <w:pStyle w:val="ReviewHeading3"/>
      </w:pPr>
      <w:r>
        <w:rPr>
          <w:rFonts w:eastAsia="Calibri"/>
        </w:rPr>
        <w:t>The effectiveness of the 212 GL Snowy River Increased Flow</w:t>
      </w:r>
    </w:p>
    <w:p w14:paraId="66323AF5" w14:textId="1518670B" w:rsidR="00044D42" w:rsidRPr="009262AF" w:rsidRDefault="00382EE8" w:rsidP="00CC7A58">
      <w:pPr>
        <w:rPr>
          <w:rFonts w:eastAsiaTheme="minorEastAsia"/>
        </w:rPr>
      </w:pPr>
      <w:r>
        <w:rPr>
          <w:rFonts w:ascii="ZWAdobeF" w:eastAsiaTheme="minorEastAsia" w:hAnsi="ZWAdobeF" w:cs="ZWAdobeF"/>
          <w:sz w:val="2"/>
          <w:szCs w:val="2"/>
        </w:rPr>
        <w:t>856B</w:t>
      </w:r>
      <w:r w:rsidR="00044D42" w:rsidRPr="6332CC80">
        <w:rPr>
          <w:rFonts w:eastAsiaTheme="minorEastAsia"/>
        </w:rPr>
        <w:t xml:space="preserve">The Deed established an average target of 212 GL per year for environmental flows to the Snowy River as a central benchmark for river restoration. However, evidence from the </w:t>
      </w:r>
      <w:r w:rsidR="00044D42">
        <w:t>Bender et al.</w:t>
      </w:r>
      <w:r w:rsidR="00044D42" w:rsidRPr="6332CC80">
        <w:rPr>
          <w:rFonts w:eastAsiaTheme="minorEastAsia"/>
        </w:rPr>
        <w:t xml:space="preserve"> (2022) assessment, the </w:t>
      </w:r>
      <w:r w:rsidR="288F2E39" w:rsidRPr="6332CC80">
        <w:rPr>
          <w:rFonts w:eastAsiaTheme="minorEastAsia"/>
        </w:rPr>
        <w:t xml:space="preserve">NSW </w:t>
      </w:r>
      <w:r w:rsidR="00044D42" w:rsidRPr="6332CC80">
        <w:rPr>
          <w:rFonts w:eastAsiaTheme="minorEastAsia"/>
        </w:rPr>
        <w:t>Ten</w:t>
      </w:r>
      <w:r w:rsidR="00044D42">
        <w:noBreakHyphen/>
      </w:r>
      <w:r w:rsidR="00044D42" w:rsidRPr="6332CC80">
        <w:rPr>
          <w:rFonts w:eastAsiaTheme="minorEastAsia"/>
        </w:rPr>
        <w:t>Year Licence Review (2018), the</w:t>
      </w:r>
      <w:r w:rsidR="00182597">
        <w:rPr>
          <w:rFonts w:eastAsiaTheme="minorEastAsia"/>
        </w:rPr>
        <w:t xml:space="preserve"> </w:t>
      </w:r>
      <w:hyperlink r:id="rId56" w:history="1">
        <w:r w:rsidR="00182597" w:rsidRPr="00182597">
          <w:rPr>
            <w:rStyle w:val="Hyperlink"/>
            <w:rFonts w:eastAsiaTheme="minorEastAsia"/>
          </w:rPr>
          <w:t>Review</w:t>
        </w:r>
        <w:r w:rsidR="00044D42" w:rsidRPr="00182597">
          <w:rPr>
            <w:rStyle w:val="Hyperlink"/>
            <w:rFonts w:eastAsiaTheme="minorEastAsia"/>
          </w:rPr>
          <w:t xml:space="preserve"> Issues Analysis</w:t>
        </w:r>
      </w:hyperlink>
      <w:r w:rsidR="00044D42" w:rsidRPr="6332CC80">
        <w:rPr>
          <w:rFonts w:eastAsiaTheme="minorEastAsia"/>
        </w:rPr>
        <w:t>, and submissions including from the Snowy River Alliance, indicates that delivery of the 212 GL has not translated into sustained ecological recovery, as per the original objective.</w:t>
      </w:r>
    </w:p>
    <w:p w14:paraId="300CC144" w14:textId="4133E5E5" w:rsidR="00044D42" w:rsidRPr="009262AF" w:rsidRDefault="00382EE8" w:rsidP="00CC7A58">
      <w:pPr>
        <w:rPr>
          <w:rFonts w:eastAsiaTheme="minorEastAsia"/>
        </w:rPr>
      </w:pPr>
      <w:r>
        <w:rPr>
          <w:rFonts w:ascii="ZWAdobeF" w:eastAsiaTheme="minorEastAsia" w:hAnsi="ZWAdobeF" w:cs="ZWAdobeF"/>
          <w:sz w:val="2"/>
          <w:szCs w:val="2"/>
        </w:rPr>
        <w:t>857B</w:t>
      </w:r>
      <w:r w:rsidR="273E67D8" w:rsidRPr="6332CC80">
        <w:rPr>
          <w:rFonts w:eastAsiaTheme="minorEastAsia"/>
        </w:rPr>
        <w:t>The Bender et al. analysis provides the most comprehensive evaluation of delivery performance to date and</w:t>
      </w:r>
      <w:r w:rsidR="004469CB">
        <w:rPr>
          <w:rFonts w:eastAsiaTheme="minorEastAsia"/>
        </w:rPr>
        <w:t>, along with subsequent public reporting by Snowy Hydro</w:t>
      </w:r>
      <w:r w:rsidR="008B186B">
        <w:rPr>
          <w:rFonts w:eastAsiaTheme="minorEastAsia"/>
        </w:rPr>
        <w:t>,</w:t>
      </w:r>
      <w:r>
        <w:rPr>
          <w:rFonts w:ascii="ZWAdobeF" w:eastAsiaTheme="minorEastAsia" w:hAnsi="ZWAdobeF" w:cs="ZWAdobeF"/>
          <w:sz w:val="2"/>
          <w:szCs w:val="2"/>
        </w:rPr>
        <w:t>53F</w:t>
      </w:r>
      <w:r w:rsidR="004469CB">
        <w:rPr>
          <w:rStyle w:val="FootnoteReference"/>
          <w:rFonts w:eastAsiaTheme="minorEastAsia"/>
        </w:rPr>
        <w:footnoteReference w:id="54"/>
      </w:r>
      <w:r w:rsidR="273E67D8" w:rsidRPr="6332CC80">
        <w:rPr>
          <w:rFonts w:eastAsiaTheme="minorEastAsia"/>
        </w:rPr>
        <w:t xml:space="preserve"> demonstrates that the 212</w:t>
      </w:r>
      <w:r w:rsidR="5DD4426F" w:rsidRPr="6332CC80">
        <w:rPr>
          <w:rFonts w:eastAsiaTheme="minorEastAsia"/>
        </w:rPr>
        <w:t xml:space="preserve"> </w:t>
      </w:r>
      <w:r w:rsidR="273E67D8" w:rsidRPr="6332CC80">
        <w:rPr>
          <w:rFonts w:eastAsiaTheme="minorEastAsia"/>
        </w:rPr>
        <w:t>GL target has not been achieved in any single year since implementation began, with actual releases consistently falling short due to a combination of limited entitlements, low allocations and operational constraints.</w:t>
      </w:r>
      <w:r>
        <w:rPr>
          <w:rFonts w:ascii="ZWAdobeF" w:eastAsiaTheme="minorEastAsia" w:hAnsi="ZWAdobeF" w:cs="ZWAdobeF"/>
          <w:sz w:val="2"/>
          <w:szCs w:val="2"/>
        </w:rPr>
        <w:t>54F</w:t>
      </w:r>
      <w:r w:rsidR="00864018">
        <w:rPr>
          <w:rStyle w:val="FootnoteReference"/>
          <w:rFonts w:eastAsiaTheme="minorEastAsia"/>
        </w:rPr>
        <w:footnoteReference w:id="55"/>
      </w:r>
      <w:r w:rsidR="273E67D8" w:rsidRPr="6332CC80">
        <w:rPr>
          <w:rFonts w:eastAsiaTheme="minorEastAsia"/>
        </w:rPr>
        <w:t xml:space="preserve"> Even in years where total entitlements were sufficient, environmental allocations remained variable and often significantly below target, reflecting the dependence of environmental water on irrigation allocation systems and prevailing climatic conditions. The study concludes that, over time, environmental flows have been partially delivered and have not </w:t>
      </w:r>
      <w:r w:rsidR="739EB048" w:rsidRPr="6332CC80">
        <w:rPr>
          <w:rFonts w:eastAsiaTheme="minorEastAsia"/>
        </w:rPr>
        <w:t xml:space="preserve">met </w:t>
      </w:r>
      <w:r w:rsidR="273E67D8" w:rsidRPr="6332CC80">
        <w:rPr>
          <w:rFonts w:eastAsiaTheme="minorEastAsia"/>
        </w:rPr>
        <w:t>the original restoration intent of the Deed, particularly given that most environmental objectives were not achieved</w:t>
      </w:r>
      <w:r w:rsidR="00864018">
        <w:rPr>
          <w:rFonts w:eastAsiaTheme="minorEastAsia"/>
        </w:rPr>
        <w:t>.</w:t>
      </w:r>
      <w:r>
        <w:rPr>
          <w:rFonts w:ascii="ZWAdobeF" w:eastAsiaTheme="minorEastAsia" w:hAnsi="ZWAdobeF" w:cs="ZWAdobeF"/>
          <w:sz w:val="2"/>
          <w:szCs w:val="2"/>
        </w:rPr>
        <w:t>55F</w:t>
      </w:r>
      <w:r w:rsidR="00044D42" w:rsidRPr="009262AF">
        <w:rPr>
          <w:rStyle w:val="FootnoteReference"/>
          <w:rFonts w:ascii="Calibri" w:eastAsia="Calibri" w:hAnsi="Calibri" w:cs="Calibri"/>
          <w:szCs w:val="22"/>
        </w:rPr>
        <w:footnoteReference w:id="56"/>
      </w:r>
    </w:p>
    <w:p w14:paraId="745F2CA2" w14:textId="7F076970" w:rsidR="00044D42" w:rsidRPr="009262AF" w:rsidRDefault="00382EE8" w:rsidP="00CC7A58">
      <w:pPr>
        <w:rPr>
          <w:rFonts w:eastAsiaTheme="minorEastAsia"/>
        </w:rPr>
      </w:pPr>
      <w:r>
        <w:rPr>
          <w:rFonts w:ascii="ZWAdobeF" w:eastAsiaTheme="minorEastAsia" w:hAnsi="ZWAdobeF" w:cs="ZWAdobeF"/>
          <w:sz w:val="2"/>
          <w:szCs w:val="2"/>
        </w:rPr>
        <w:t>858B</w:t>
      </w:r>
      <w:r w:rsidR="00044D42" w:rsidRPr="71A95D7E">
        <w:rPr>
          <w:rFonts w:eastAsiaTheme="minorEastAsia"/>
        </w:rPr>
        <w:t xml:space="preserve">The </w:t>
      </w:r>
      <w:r w:rsidR="63482E7E" w:rsidRPr="06E736E3">
        <w:rPr>
          <w:rFonts w:eastAsiaTheme="minorEastAsia"/>
        </w:rPr>
        <w:t>T</w:t>
      </w:r>
      <w:r w:rsidR="00044D42" w:rsidRPr="06E736E3">
        <w:rPr>
          <w:rFonts w:eastAsiaTheme="minorEastAsia"/>
        </w:rPr>
        <w:t>en</w:t>
      </w:r>
      <w:r w:rsidR="00044D42">
        <w:noBreakHyphen/>
      </w:r>
      <w:r w:rsidR="3AA895FB" w:rsidRPr="06E736E3">
        <w:rPr>
          <w:rFonts w:eastAsiaTheme="minorEastAsia"/>
        </w:rPr>
        <w:t>Y</w:t>
      </w:r>
      <w:r w:rsidR="00044D42" w:rsidRPr="06E736E3">
        <w:rPr>
          <w:rFonts w:eastAsiaTheme="minorEastAsia"/>
        </w:rPr>
        <w:t>ear</w:t>
      </w:r>
      <w:r w:rsidR="00044D42" w:rsidRPr="71A95D7E">
        <w:rPr>
          <w:rFonts w:eastAsiaTheme="minorEastAsia"/>
        </w:rPr>
        <w:t xml:space="preserve"> Snowy Licence Review reinforces that the </w:t>
      </w:r>
      <w:r w:rsidR="00044D42" w:rsidRPr="53B9B451">
        <w:rPr>
          <w:rFonts w:eastAsiaTheme="minorEastAsia"/>
        </w:rPr>
        <w:t>212 GL</w:t>
      </w:r>
      <w:r w:rsidR="00044D42" w:rsidRPr="71A95D7E">
        <w:rPr>
          <w:rFonts w:eastAsiaTheme="minorEastAsia"/>
        </w:rPr>
        <w:t xml:space="preserve"> remains a policy benchmark rather than a guaranteed outcome, highlighting that environmental benefits depend on timing, variability and flexibility of delivery. It identifies rigid operating rules and conservative scheduling as key constraints, limiting the ability to align environmental releases with ecological opportunity. The review emphasised the need for more flexible and adaptive delivery mechanisms.</w:t>
      </w:r>
      <w:r>
        <w:rPr>
          <w:rFonts w:ascii="ZWAdobeF" w:eastAsiaTheme="minorEastAsia" w:hAnsi="ZWAdobeF" w:cs="ZWAdobeF"/>
          <w:sz w:val="2"/>
          <w:szCs w:val="2"/>
        </w:rPr>
        <w:t>56F</w:t>
      </w:r>
      <w:r w:rsidR="00D910F7">
        <w:rPr>
          <w:rStyle w:val="FootnoteReference"/>
          <w:rFonts w:eastAsiaTheme="minorEastAsia"/>
        </w:rPr>
        <w:footnoteReference w:id="57"/>
      </w:r>
    </w:p>
    <w:p w14:paraId="02404861" w14:textId="6EC1C1A8" w:rsidR="00044D42" w:rsidRPr="009262AF" w:rsidRDefault="00382EE8" w:rsidP="00CC7A58">
      <w:pPr>
        <w:rPr>
          <w:rFonts w:eastAsiaTheme="minorEastAsia"/>
        </w:rPr>
      </w:pPr>
      <w:r>
        <w:rPr>
          <w:rFonts w:ascii="ZWAdobeF" w:eastAsiaTheme="minorEastAsia" w:hAnsi="ZWAdobeF" w:cs="ZWAdobeF"/>
          <w:sz w:val="2"/>
          <w:szCs w:val="2"/>
        </w:rPr>
        <w:lastRenderedPageBreak/>
        <w:t>859B</w:t>
      </w:r>
      <w:r w:rsidR="00044D42" w:rsidRPr="71A95D7E">
        <w:rPr>
          <w:rFonts w:eastAsiaTheme="minorEastAsia"/>
        </w:rPr>
        <w:t xml:space="preserve">The </w:t>
      </w:r>
      <w:hyperlink r:id="rId57" w:history="1">
        <w:r w:rsidR="00182597" w:rsidRPr="00182597">
          <w:rPr>
            <w:rStyle w:val="Hyperlink"/>
            <w:rFonts w:eastAsiaTheme="minorEastAsia"/>
          </w:rPr>
          <w:t xml:space="preserve">Review </w:t>
        </w:r>
        <w:r w:rsidR="00044D42" w:rsidRPr="00182597">
          <w:rPr>
            <w:rStyle w:val="Hyperlink"/>
            <w:rFonts w:eastAsiaTheme="minorEastAsia"/>
          </w:rPr>
          <w:t>Issues Analysis</w:t>
        </w:r>
      </w:hyperlink>
      <w:r w:rsidR="00044D42" w:rsidRPr="71A95D7E">
        <w:rPr>
          <w:rFonts w:eastAsiaTheme="minorEastAsia"/>
        </w:rPr>
        <w:t xml:space="preserve"> similarly concludes that the </w:t>
      </w:r>
      <w:r w:rsidR="00044D42" w:rsidRPr="011219BC">
        <w:rPr>
          <w:rFonts w:eastAsiaTheme="minorEastAsia"/>
        </w:rPr>
        <w:t>212 GL</w:t>
      </w:r>
      <w:r w:rsidR="00044D42" w:rsidRPr="71A95D7E">
        <w:rPr>
          <w:rFonts w:eastAsiaTheme="minorEastAsia"/>
        </w:rPr>
        <w:t xml:space="preserve"> has increasingly been treated as an endpoint rather than a means of achieving ecological objectives.</w:t>
      </w:r>
      <w:r>
        <w:rPr>
          <w:rFonts w:ascii="ZWAdobeF" w:eastAsiaTheme="minorEastAsia" w:hAnsi="ZWAdobeF" w:cs="ZWAdobeF"/>
          <w:sz w:val="2"/>
          <w:szCs w:val="2"/>
        </w:rPr>
        <w:t>57F</w:t>
      </w:r>
      <w:r w:rsidR="00182597">
        <w:rPr>
          <w:rStyle w:val="FootnoteReference"/>
          <w:rFonts w:eastAsiaTheme="minorEastAsia"/>
        </w:rPr>
        <w:footnoteReference w:id="58"/>
      </w:r>
      <w:r w:rsidR="00044D42" w:rsidRPr="71A95D7E">
        <w:rPr>
          <w:rFonts w:eastAsiaTheme="minorEastAsia"/>
        </w:rPr>
        <w:t xml:space="preserve"> It highlights a structural disconnect between the volume</w:t>
      </w:r>
      <w:r w:rsidR="00044D42">
        <w:noBreakHyphen/>
      </w:r>
      <w:r w:rsidR="00044D42" w:rsidRPr="71A95D7E">
        <w:rPr>
          <w:rFonts w:eastAsiaTheme="minorEastAsia"/>
        </w:rPr>
        <w:t>based target and environmental outcomes, noting that delivery is often dominated by baseflows and lacks the variability and disturbance required to restore ecological processes.</w:t>
      </w:r>
      <w:r>
        <w:rPr>
          <w:rFonts w:ascii="ZWAdobeF" w:eastAsiaTheme="minorEastAsia" w:hAnsi="ZWAdobeF" w:cs="ZWAdobeF"/>
          <w:sz w:val="2"/>
          <w:szCs w:val="2"/>
        </w:rPr>
        <w:t>58F</w:t>
      </w:r>
      <w:r w:rsidR="00D910F7">
        <w:rPr>
          <w:rStyle w:val="FootnoteReference"/>
          <w:rFonts w:eastAsiaTheme="minorEastAsia"/>
        </w:rPr>
        <w:footnoteReference w:id="59"/>
      </w:r>
      <w:r w:rsidR="00044D42" w:rsidRPr="71A95D7E">
        <w:rPr>
          <w:rFonts w:eastAsiaTheme="minorEastAsia"/>
        </w:rPr>
        <w:t xml:space="preserve"> The analysis further notes that climate change was not accounted for in the original design of the target, meaning that declining inflows and increased variability will reduce the ecological effectiveness of a fixed volume over time unless supported by adaptive management and improved governance.</w:t>
      </w:r>
    </w:p>
    <w:p w14:paraId="772558B9" w14:textId="211AAA2C" w:rsidR="00044D42" w:rsidRPr="009262AF" w:rsidRDefault="00382EE8" w:rsidP="00CC7A58">
      <w:pPr>
        <w:rPr>
          <w:rFonts w:eastAsiaTheme="minorEastAsia"/>
        </w:rPr>
      </w:pPr>
      <w:r>
        <w:rPr>
          <w:rFonts w:ascii="ZWAdobeF" w:eastAsiaTheme="minorEastAsia" w:hAnsi="ZWAdobeF" w:cs="ZWAdobeF"/>
          <w:sz w:val="2"/>
          <w:szCs w:val="2"/>
        </w:rPr>
        <w:t>860B</w:t>
      </w:r>
      <w:r w:rsidR="00044D42" w:rsidRPr="6332CC80">
        <w:rPr>
          <w:rFonts w:eastAsiaTheme="minorEastAsia"/>
        </w:rPr>
        <w:t xml:space="preserve">Submissions from the </w:t>
      </w:r>
      <w:r w:rsidR="00CB2CEA">
        <w:rPr>
          <w:rFonts w:eastAsiaTheme="minorEastAsia"/>
        </w:rPr>
        <w:t xml:space="preserve">East Gippsland Conservation Management Network </w:t>
      </w:r>
      <w:r w:rsidR="00044D42" w:rsidRPr="6332CC80">
        <w:rPr>
          <w:rFonts w:eastAsiaTheme="minorEastAsia"/>
        </w:rPr>
        <w:t xml:space="preserve">consistently </w:t>
      </w:r>
      <w:r w:rsidR="00044D42" w:rsidRPr="1EB93156">
        <w:rPr>
          <w:rFonts w:eastAsiaTheme="minorEastAsia"/>
        </w:rPr>
        <w:t>characterise</w:t>
      </w:r>
      <w:r w:rsidR="00044D42" w:rsidRPr="6332CC80">
        <w:rPr>
          <w:rFonts w:eastAsiaTheme="minorEastAsia"/>
        </w:rPr>
        <w:t xml:space="preserve"> the 212 GL as a minimum restoration commitment, reflecting a negotiation rather than a scientifically derived requirement for recovery.</w:t>
      </w:r>
      <w:r>
        <w:rPr>
          <w:rFonts w:ascii="ZWAdobeF" w:eastAsiaTheme="minorEastAsia" w:hAnsi="ZWAdobeF" w:cs="ZWAdobeF"/>
          <w:sz w:val="2"/>
          <w:szCs w:val="2"/>
        </w:rPr>
        <w:t>59F</w:t>
      </w:r>
      <w:r w:rsidR="00AB3771">
        <w:rPr>
          <w:rStyle w:val="FootnoteReference"/>
          <w:rFonts w:eastAsiaTheme="minorEastAsia"/>
        </w:rPr>
        <w:footnoteReference w:id="60"/>
      </w:r>
      <w:r w:rsidR="00044D42" w:rsidRPr="6332CC80">
        <w:rPr>
          <w:rFonts w:eastAsiaTheme="minorEastAsia"/>
        </w:rPr>
        <w:t xml:space="preserve"> </w:t>
      </w:r>
      <w:r w:rsidR="009143A4">
        <w:rPr>
          <w:rFonts w:eastAsiaTheme="minorEastAsia"/>
        </w:rPr>
        <w:t>They</w:t>
      </w:r>
      <w:r w:rsidR="00316025" w:rsidRPr="6332CC80">
        <w:rPr>
          <w:rFonts w:eastAsiaTheme="minorEastAsia"/>
        </w:rPr>
        <w:t xml:space="preserve"> </w:t>
      </w:r>
      <w:r w:rsidR="00044D42" w:rsidRPr="6332CC80">
        <w:rPr>
          <w:rFonts w:eastAsiaTheme="minorEastAsia"/>
        </w:rPr>
        <w:t>argue that ecological outcomes depend on the water being delivered as a functional flow regime, including seasonal variability, freshes and flushing flows, and questions whether current delivery arrangements provide the functional equivalent of 212</w:t>
      </w:r>
      <w:r w:rsidR="00AA2279">
        <w:rPr>
          <w:rFonts w:eastAsiaTheme="minorEastAsia"/>
        </w:rPr>
        <w:t xml:space="preserve"> </w:t>
      </w:r>
      <w:r w:rsidR="00044D42" w:rsidRPr="6332CC80">
        <w:rPr>
          <w:rFonts w:eastAsiaTheme="minorEastAsia"/>
        </w:rPr>
        <w:t>GL in ecological terms.</w:t>
      </w:r>
      <w:r>
        <w:rPr>
          <w:rFonts w:ascii="ZWAdobeF" w:eastAsiaTheme="minorEastAsia" w:hAnsi="ZWAdobeF" w:cs="ZWAdobeF"/>
          <w:sz w:val="2"/>
          <w:szCs w:val="2"/>
        </w:rPr>
        <w:t>60F</w:t>
      </w:r>
      <w:r w:rsidR="00C8399B">
        <w:rPr>
          <w:rStyle w:val="FootnoteReference"/>
          <w:rFonts w:eastAsiaTheme="minorEastAsia"/>
        </w:rPr>
        <w:footnoteReference w:id="61"/>
      </w:r>
      <w:r w:rsidR="00044D42" w:rsidRPr="6332CC80">
        <w:rPr>
          <w:rFonts w:eastAsiaTheme="minorEastAsia"/>
        </w:rPr>
        <w:t xml:space="preserve"> More broadly, the submission highlights that environmental outcomes have been constrained not only by volumes, but by inflexible delivery, weak accountability and insufficient linkage between monitoring and decision</w:t>
      </w:r>
      <w:r w:rsidR="00044D42">
        <w:noBreakHyphen/>
      </w:r>
      <w:r w:rsidR="00044D42" w:rsidRPr="6332CC80">
        <w:rPr>
          <w:rFonts w:eastAsiaTheme="minorEastAsia"/>
        </w:rPr>
        <w:t>making.</w:t>
      </w:r>
    </w:p>
    <w:p w14:paraId="6EC9A6D8" w14:textId="35699559" w:rsidR="00044D42" w:rsidRPr="009262AF" w:rsidRDefault="00382EE8" w:rsidP="00CC7A58">
      <w:pPr>
        <w:rPr>
          <w:rFonts w:eastAsiaTheme="minorEastAsia"/>
        </w:rPr>
      </w:pPr>
      <w:r>
        <w:rPr>
          <w:rFonts w:ascii="ZWAdobeF" w:eastAsiaTheme="minorEastAsia" w:hAnsi="ZWAdobeF" w:cs="ZWAdobeF"/>
          <w:sz w:val="2"/>
          <w:szCs w:val="2"/>
        </w:rPr>
        <w:t>861B</w:t>
      </w:r>
      <w:r w:rsidR="00044D42" w:rsidRPr="6332CC80">
        <w:rPr>
          <w:rFonts w:eastAsiaTheme="minorEastAsia"/>
        </w:rPr>
        <w:t xml:space="preserve">Understanding why the full average volume of the 212 GL has not been achieved appears to be a misinterpretation of the Snowy Deed by the Licensee, </w:t>
      </w:r>
      <w:r w:rsidR="00546FB4" w:rsidRPr="6332CC80">
        <w:rPr>
          <w:rFonts w:eastAsiaTheme="minorEastAsia"/>
        </w:rPr>
        <w:t>drawing</w:t>
      </w:r>
      <w:r w:rsidR="00044D42" w:rsidRPr="6332CC80">
        <w:rPr>
          <w:rFonts w:eastAsiaTheme="minorEastAsia"/>
        </w:rPr>
        <w:t xml:space="preserve"> on a drafting error in a supporting A</w:t>
      </w:r>
      <w:r w:rsidR="00222B21" w:rsidRPr="6332CC80">
        <w:rPr>
          <w:rFonts w:eastAsiaTheme="minorEastAsia"/>
        </w:rPr>
        <w:t>nnexure</w:t>
      </w:r>
      <w:r w:rsidR="00044D42" w:rsidRPr="6332CC80">
        <w:rPr>
          <w:rFonts w:eastAsiaTheme="minorEastAsia"/>
        </w:rPr>
        <w:t>. The Deed envisaged 294 GL as the target volume of water for the Snowy River, equivalent to 28</w:t>
      </w:r>
      <w:r w:rsidR="00C33A87">
        <w:rPr>
          <w:rFonts w:eastAsiaTheme="minorEastAsia"/>
        </w:rPr>
        <w:t>%</w:t>
      </w:r>
      <w:r w:rsidR="38BC9505" w:rsidRPr="0A09B8B4" w:rsidDel="00C33A87">
        <w:rPr>
          <w:rFonts w:eastAsiaTheme="minorEastAsia"/>
        </w:rPr>
        <w:t xml:space="preserve"> </w:t>
      </w:r>
      <w:r w:rsidR="00044D42" w:rsidRPr="6332CC80">
        <w:rPr>
          <w:rFonts w:eastAsiaTheme="minorEastAsia"/>
        </w:rPr>
        <w:t xml:space="preserve">of the natural flow. The effectiveness of the existing governance arrangement, including compliance and dispute resolution mechanism, has been unable to resolve this issue since the Ten-year Licence Review in 2018. </w:t>
      </w:r>
    </w:p>
    <w:p w14:paraId="4912A421" w14:textId="16FF20DF" w:rsidR="00044D42" w:rsidRPr="009262AF" w:rsidRDefault="00382EE8" w:rsidP="00CC7A58">
      <w:pPr>
        <w:rPr>
          <w:rFonts w:eastAsiaTheme="minorEastAsia"/>
        </w:rPr>
      </w:pPr>
      <w:r>
        <w:rPr>
          <w:rFonts w:ascii="ZWAdobeF" w:eastAsiaTheme="minorEastAsia" w:hAnsi="ZWAdobeF" w:cs="ZWAdobeF"/>
          <w:sz w:val="2"/>
          <w:szCs w:val="2"/>
        </w:rPr>
        <w:t>862B</w:t>
      </w:r>
      <w:r w:rsidR="00044D42" w:rsidRPr="71A95D7E">
        <w:rPr>
          <w:rFonts w:eastAsiaTheme="minorEastAsia"/>
        </w:rPr>
        <w:t>Perspectives from First Nations communities, outlined in the cultural values and custodianship reports prepared for this Review</w:t>
      </w:r>
      <w:r w:rsidR="242974CC" w:rsidRPr="414ACAF9">
        <w:rPr>
          <w:rFonts w:eastAsiaTheme="minorEastAsia"/>
        </w:rPr>
        <w:t>,</w:t>
      </w:r>
      <w:r w:rsidR="00044D42" w:rsidRPr="71A95D7E">
        <w:rPr>
          <w:rFonts w:eastAsiaTheme="minorEastAsia"/>
        </w:rPr>
        <w:t xml:space="preserve"> emphasise that the Snowy River is a living cultural system and that environmental water should support cultural flows, seasonal cycles and the ongoing custodial responsibility to care for Country.</w:t>
      </w:r>
      <w:r>
        <w:rPr>
          <w:rFonts w:ascii="ZWAdobeF" w:eastAsiaTheme="minorEastAsia" w:hAnsi="ZWAdobeF" w:cs="ZWAdobeF"/>
          <w:sz w:val="2"/>
          <w:szCs w:val="2"/>
        </w:rPr>
        <w:t>61F</w:t>
      </w:r>
      <w:r w:rsidR="00502E4C">
        <w:rPr>
          <w:rStyle w:val="FootnoteReference"/>
          <w:rFonts w:eastAsiaTheme="minorEastAsia"/>
        </w:rPr>
        <w:footnoteReference w:id="62"/>
      </w:r>
      <w:r w:rsidR="00044D42" w:rsidRPr="71A95D7E">
        <w:rPr>
          <w:rFonts w:eastAsiaTheme="minorEastAsia"/>
        </w:rPr>
        <w:t xml:space="preserve"> From this perspective, the effectiveness of environmental water is not determined solely by volume, but by the extent to which flows restore connection, support cultural practices and enable the river to function as a living entity.</w:t>
      </w:r>
    </w:p>
    <w:p w14:paraId="6B2F62F9" w14:textId="549CB80B" w:rsidR="00044D42" w:rsidRPr="009262AF" w:rsidRDefault="00382EE8" w:rsidP="00CC7A58">
      <w:pPr>
        <w:rPr>
          <w:rFonts w:eastAsiaTheme="minorEastAsia"/>
        </w:rPr>
      </w:pPr>
      <w:r>
        <w:rPr>
          <w:rFonts w:ascii="ZWAdobeF" w:eastAsiaTheme="minorEastAsia" w:hAnsi="ZWAdobeF" w:cs="ZWAdobeF"/>
          <w:sz w:val="2"/>
          <w:szCs w:val="2"/>
        </w:rPr>
        <w:t>863B</w:t>
      </w:r>
      <w:r w:rsidR="00044D42" w:rsidRPr="6332CC80">
        <w:rPr>
          <w:rFonts w:eastAsiaTheme="minorEastAsia"/>
        </w:rPr>
        <w:t>First Nations advice highlight</w:t>
      </w:r>
      <w:r w:rsidR="6B3271B3" w:rsidRPr="6332CC80">
        <w:rPr>
          <w:rFonts w:eastAsiaTheme="minorEastAsia"/>
        </w:rPr>
        <w:t>s</w:t>
      </w:r>
      <w:r w:rsidR="00044D42" w:rsidRPr="6332CC80">
        <w:rPr>
          <w:rFonts w:eastAsiaTheme="minorEastAsia"/>
        </w:rPr>
        <w:t xml:space="preserve"> that </w:t>
      </w:r>
      <w:r w:rsidR="00641EFA">
        <w:rPr>
          <w:rFonts w:eastAsiaTheme="minorEastAsia"/>
        </w:rPr>
        <w:t xml:space="preserve">current arrangements </w:t>
      </w:r>
      <w:r w:rsidR="00044D42" w:rsidRPr="6332CC80">
        <w:rPr>
          <w:rFonts w:eastAsiaTheme="minorEastAsia"/>
        </w:rPr>
        <w:t>do not adequately reflect cultural and ecological needs if they are not delivered in ways that support variability, renewal and responsiveness to Country.</w:t>
      </w:r>
      <w:r>
        <w:rPr>
          <w:rFonts w:ascii="ZWAdobeF" w:eastAsiaTheme="minorEastAsia" w:hAnsi="ZWAdobeF" w:cs="ZWAdobeF"/>
          <w:sz w:val="2"/>
          <w:szCs w:val="2"/>
        </w:rPr>
        <w:t>62F</w:t>
      </w:r>
      <w:r w:rsidR="00502E4C">
        <w:rPr>
          <w:rStyle w:val="FootnoteReference"/>
          <w:rFonts w:eastAsiaTheme="minorEastAsia"/>
        </w:rPr>
        <w:footnoteReference w:id="63"/>
      </w:r>
      <w:r w:rsidR="00044D42" w:rsidRPr="6332CC80">
        <w:rPr>
          <w:rFonts w:eastAsiaTheme="minorEastAsia"/>
        </w:rPr>
        <w:t xml:space="preserve"> Consistent with broader stakeholder views, there </w:t>
      </w:r>
      <w:r w:rsidR="58D61835" w:rsidRPr="6332CC80">
        <w:rPr>
          <w:rFonts w:eastAsiaTheme="minorEastAsia"/>
        </w:rPr>
        <w:t>is a need to</w:t>
      </w:r>
      <w:r w:rsidR="00044D42" w:rsidRPr="6332CC80">
        <w:rPr>
          <w:rFonts w:eastAsiaTheme="minorEastAsia"/>
        </w:rPr>
        <w:t xml:space="preserve"> move </w:t>
      </w:r>
      <w:r w:rsidR="00044D42" w:rsidRPr="6332CC80">
        <w:rPr>
          <w:rFonts w:eastAsiaTheme="minorEastAsia"/>
        </w:rPr>
        <w:lastRenderedPageBreak/>
        <w:t xml:space="preserve">toward adaptive, flexible and participatory management, with First Nations involvement in setting objectives, determining priorities and responding to changing conditions. </w:t>
      </w:r>
    </w:p>
    <w:p w14:paraId="6508C921" w14:textId="7CA7996B" w:rsidR="00EC3B10" w:rsidRPr="009262AF" w:rsidRDefault="00382EE8" w:rsidP="58823449">
      <w:pPr>
        <w:rPr>
          <w:rFonts w:eastAsiaTheme="minorEastAsia"/>
        </w:rPr>
      </w:pPr>
      <w:r>
        <w:rPr>
          <w:rFonts w:ascii="ZWAdobeF" w:eastAsiaTheme="minorEastAsia" w:hAnsi="ZWAdobeF" w:cs="ZWAdobeF"/>
          <w:sz w:val="2"/>
          <w:szCs w:val="2"/>
        </w:rPr>
        <w:t>864B</w:t>
      </w:r>
      <w:r w:rsidR="00044D42" w:rsidRPr="58823449">
        <w:rPr>
          <w:rFonts w:eastAsiaTheme="minorEastAsia"/>
        </w:rPr>
        <w:t>Taken together, these sources of information and advice point to a consistent finding:  the effectiveness of the 212 GL target is limited by both under</w:t>
      </w:r>
      <w:r w:rsidR="00044D42">
        <w:noBreakHyphen/>
      </w:r>
      <w:r w:rsidR="00044D42" w:rsidRPr="58823449">
        <w:rPr>
          <w:rFonts w:eastAsiaTheme="minorEastAsia"/>
        </w:rPr>
        <w:t>delivery and the way water is managed. While the target remains an important reference point for environmental commitment, it does not ensure ecological recovery. Achieving the intent of the Deed therefore requires a shift toward outcomes</w:t>
      </w:r>
      <w:r w:rsidR="00044D42">
        <w:noBreakHyphen/>
      </w:r>
      <w:r w:rsidR="00044D42" w:rsidRPr="58823449">
        <w:rPr>
          <w:rFonts w:eastAsiaTheme="minorEastAsia"/>
        </w:rPr>
        <w:t>focused and adaptive management, in which environmental flows are delivered as a dynamic regime informed by monitoring, science and changing climatic conditions, rather than as a fixed annual volume.</w:t>
      </w:r>
      <w:r w:rsidR="5A38F593" w:rsidRPr="58823449">
        <w:rPr>
          <w:rFonts w:eastAsiaTheme="minorEastAsia"/>
        </w:rPr>
        <w:t xml:space="preserve"> However</w:t>
      </w:r>
      <w:r w:rsidR="007456D9" w:rsidRPr="58823449">
        <w:rPr>
          <w:rFonts w:eastAsiaTheme="minorEastAsia"/>
        </w:rPr>
        <w:t>,</w:t>
      </w:r>
      <w:r w:rsidR="5A38F593" w:rsidRPr="58823449">
        <w:rPr>
          <w:rFonts w:eastAsiaTheme="minorEastAsia"/>
        </w:rPr>
        <w:t xml:space="preserve"> a fixed volume is a useful ta</w:t>
      </w:r>
      <w:r w:rsidR="48A60C2F" w:rsidRPr="58823449">
        <w:rPr>
          <w:rFonts w:eastAsiaTheme="minorEastAsia"/>
        </w:rPr>
        <w:t>r</w:t>
      </w:r>
      <w:r w:rsidR="5A38F593" w:rsidRPr="58823449">
        <w:rPr>
          <w:rFonts w:eastAsiaTheme="minorEastAsia"/>
        </w:rPr>
        <w:t xml:space="preserve">get to ensure that </w:t>
      </w:r>
      <w:r w:rsidR="45B6C22C" w:rsidRPr="58823449">
        <w:rPr>
          <w:rFonts w:eastAsiaTheme="minorEastAsia"/>
        </w:rPr>
        <w:t>t</w:t>
      </w:r>
      <w:r w:rsidR="007456D9" w:rsidRPr="58823449">
        <w:rPr>
          <w:rFonts w:eastAsiaTheme="minorEastAsia"/>
        </w:rPr>
        <w:t>rade-off</w:t>
      </w:r>
      <w:r w:rsidR="111D3B51" w:rsidRPr="58823449">
        <w:rPr>
          <w:rFonts w:eastAsiaTheme="minorEastAsia"/>
        </w:rPr>
        <w:t xml:space="preserve"> </w:t>
      </w:r>
      <w:r w:rsidR="007456D9" w:rsidRPr="58823449">
        <w:rPr>
          <w:rFonts w:eastAsiaTheme="minorEastAsia"/>
        </w:rPr>
        <w:t>decisions</w:t>
      </w:r>
      <w:r w:rsidR="111D3B51" w:rsidRPr="58823449">
        <w:rPr>
          <w:rFonts w:eastAsiaTheme="minorEastAsia"/>
        </w:rPr>
        <w:t xml:space="preserve"> on flexible flows cannot be used </w:t>
      </w:r>
      <w:r w:rsidR="4459D9C5" w:rsidRPr="58823449">
        <w:rPr>
          <w:rFonts w:eastAsiaTheme="minorEastAsia"/>
        </w:rPr>
        <w:t xml:space="preserve">to </w:t>
      </w:r>
      <w:r w:rsidR="428A85CA" w:rsidRPr="58823449">
        <w:rPr>
          <w:rFonts w:eastAsiaTheme="minorEastAsia"/>
        </w:rPr>
        <w:t xml:space="preserve">avoid the </w:t>
      </w:r>
      <w:r w:rsidR="00BF7BDB" w:rsidRPr="58823449">
        <w:rPr>
          <w:rFonts w:eastAsiaTheme="minorEastAsia"/>
        </w:rPr>
        <w:t>release</w:t>
      </w:r>
      <w:r w:rsidR="428A85CA" w:rsidRPr="58823449">
        <w:rPr>
          <w:rFonts w:eastAsiaTheme="minorEastAsia"/>
        </w:rPr>
        <w:t xml:space="preserve"> of environmental water</w:t>
      </w:r>
      <w:r w:rsidR="00BF7BDB" w:rsidRPr="58823449">
        <w:rPr>
          <w:rFonts w:eastAsiaTheme="minorEastAsia"/>
        </w:rPr>
        <w:t>.</w:t>
      </w:r>
    </w:p>
    <w:p w14:paraId="327FADBC" w14:textId="74F88231" w:rsidR="00044D42" w:rsidRPr="009262AF" w:rsidRDefault="00382EE8" w:rsidP="00044D42">
      <w:pPr>
        <w:rPr>
          <w:rFonts w:eastAsiaTheme="minorEastAsia"/>
        </w:rPr>
      </w:pPr>
      <w:r>
        <w:rPr>
          <w:rFonts w:ascii="ZWAdobeF" w:eastAsiaTheme="minorEastAsia" w:hAnsi="ZWAdobeF" w:cs="ZWAdobeF"/>
          <w:sz w:val="2"/>
          <w:szCs w:val="2"/>
        </w:rPr>
        <w:t>865B</w:t>
      </w:r>
      <w:r w:rsidR="00044D42" w:rsidRPr="71A95D7E">
        <w:rPr>
          <w:rFonts w:eastAsiaTheme="minorEastAsia"/>
        </w:rPr>
        <w:t xml:space="preserve">Infrastructure choices, </w:t>
      </w:r>
      <w:r w:rsidR="00B42A77">
        <w:rPr>
          <w:rFonts w:eastAsiaTheme="minorEastAsia"/>
        </w:rPr>
        <w:t xml:space="preserve">such as </w:t>
      </w:r>
      <w:r w:rsidR="00044D42" w:rsidRPr="71A95D7E">
        <w:rPr>
          <w:rFonts w:eastAsiaTheme="minorEastAsia"/>
        </w:rPr>
        <w:t>Mowamba Weir, have materially shaped Snowy River outcomes, and improving river health also requires revisiting how these structures constrain or enable effective, variable and culturally meaningful flows. The Ten</w:t>
      </w:r>
      <w:r w:rsidR="00044D42">
        <w:noBreakHyphen/>
      </w:r>
      <w:r w:rsidR="00044D42" w:rsidRPr="71A95D7E">
        <w:rPr>
          <w:rFonts w:eastAsiaTheme="minorEastAsia"/>
        </w:rPr>
        <w:t>Year Review of the Snowy Water Licence recognises Mowamba Weir as a transitional measure and recommends that decommissioning be progressed, subject to further assessment, once borrowing arrangements are resolved, noting that its continued operation is inconsistent with the long</w:t>
      </w:r>
      <w:r w:rsidR="00044D42">
        <w:noBreakHyphen/>
      </w:r>
      <w:r w:rsidR="00044D42" w:rsidRPr="71A95D7E">
        <w:rPr>
          <w:rFonts w:eastAsiaTheme="minorEastAsia"/>
        </w:rPr>
        <w:t>term intent of Snowy River restoration.</w:t>
      </w:r>
    </w:p>
    <w:p w14:paraId="4BB3EA40" w14:textId="1B4D5E35" w:rsidR="00835FC0" w:rsidRPr="008D5BA0" w:rsidRDefault="00382EE8" w:rsidP="007C0AB3">
      <w:pPr>
        <w:rPr>
          <w:sz w:val="20"/>
          <w:szCs w:val="20"/>
        </w:rPr>
      </w:pPr>
      <w:r>
        <w:rPr>
          <w:rFonts w:ascii="ZWAdobeF" w:hAnsi="ZWAdobeF" w:cs="ZWAdobeF"/>
          <w:iCs/>
          <w:sz w:val="2"/>
          <w:szCs w:val="2"/>
        </w:rPr>
        <w:t>866B</w:t>
      </w:r>
      <w:r w:rsidR="00835FC0" w:rsidRPr="002D287D">
        <w:rPr>
          <w:b/>
          <w:i/>
          <w:iCs/>
          <w:sz w:val="20"/>
          <w:szCs w:val="20"/>
        </w:rPr>
        <w:t xml:space="preserve">Figure </w:t>
      </w:r>
      <w:r w:rsidR="00835FC0" w:rsidRPr="002D287D">
        <w:rPr>
          <w:b/>
          <w:i/>
          <w:iCs/>
          <w:sz w:val="20"/>
          <w:szCs w:val="20"/>
        </w:rPr>
        <w:fldChar w:fldCharType="begin"/>
      </w:r>
      <w:r w:rsidR="00835FC0" w:rsidRPr="002D287D">
        <w:rPr>
          <w:b/>
          <w:i/>
          <w:iCs/>
          <w:sz w:val="20"/>
          <w:szCs w:val="20"/>
        </w:rPr>
        <w:instrText xml:space="preserve"> SEQ Figure \* ARABIC </w:instrText>
      </w:r>
      <w:r w:rsidR="00835FC0" w:rsidRPr="002D287D">
        <w:rPr>
          <w:b/>
          <w:i/>
          <w:iCs/>
          <w:sz w:val="20"/>
          <w:szCs w:val="20"/>
        </w:rPr>
        <w:fldChar w:fldCharType="separate"/>
      </w:r>
      <w:r w:rsidR="0005178F">
        <w:rPr>
          <w:b/>
          <w:i/>
          <w:iCs/>
          <w:noProof/>
          <w:sz w:val="20"/>
          <w:szCs w:val="20"/>
        </w:rPr>
        <w:t>9</w:t>
      </w:r>
      <w:r w:rsidR="00835FC0" w:rsidRPr="002D287D">
        <w:rPr>
          <w:b/>
          <w:i/>
          <w:iCs/>
          <w:sz w:val="20"/>
          <w:szCs w:val="20"/>
        </w:rPr>
        <w:fldChar w:fldCharType="end"/>
      </w:r>
      <w:r w:rsidR="00835FC0" w:rsidRPr="002D287D">
        <w:rPr>
          <w:b/>
          <w:i/>
          <w:iCs/>
          <w:sz w:val="20"/>
          <w:szCs w:val="20"/>
        </w:rPr>
        <w:t xml:space="preserve">: </w:t>
      </w:r>
      <w:r w:rsidR="007C0AB3" w:rsidRPr="002D287D">
        <w:rPr>
          <w:b/>
          <w:i/>
          <w:iCs/>
          <w:sz w:val="20"/>
          <w:szCs w:val="20"/>
        </w:rPr>
        <w:t>Snowy River Increased Flows – Historical Releases (actual vs target)</w:t>
      </w:r>
      <w:r w:rsidR="00C92A07" w:rsidRPr="002D287D">
        <w:rPr>
          <w:b/>
          <w:i/>
          <w:iCs/>
          <w:sz w:val="20"/>
          <w:szCs w:val="20"/>
        </w:rPr>
        <w:t>.</w:t>
      </w:r>
      <w:r>
        <w:rPr>
          <w:rFonts w:ascii="ZWAdobeF" w:hAnsi="ZWAdobeF" w:cs="ZWAdobeF"/>
          <w:iCs/>
          <w:sz w:val="2"/>
          <w:szCs w:val="2"/>
        </w:rPr>
        <w:t>63F</w:t>
      </w:r>
      <w:r w:rsidR="00C92A07" w:rsidRPr="00537F9C">
        <w:rPr>
          <w:rStyle w:val="FootnoteReference"/>
          <w:sz w:val="20"/>
          <w:szCs w:val="20"/>
        </w:rPr>
        <w:footnoteReference w:id="64"/>
      </w:r>
    </w:p>
    <w:p w14:paraId="714740CF" w14:textId="3940E712" w:rsidR="00390DAC" w:rsidRPr="009262AF" w:rsidRDefault="00382EE8" w:rsidP="00715EBD">
      <w:pPr>
        <w:jc w:val="center"/>
      </w:pPr>
      <w:r>
        <w:rPr>
          <w:rFonts w:ascii="ZWAdobeF" w:hAnsi="ZWAdobeF" w:cs="ZWAdobeF"/>
          <w:sz w:val="2"/>
          <w:szCs w:val="2"/>
        </w:rPr>
        <w:t>867B</w:t>
      </w:r>
      <w:r w:rsidR="008A3377">
        <w:rPr>
          <w:rFonts w:eastAsiaTheme="minorEastAsia"/>
          <w:noProof/>
        </w:rPr>
        <w:drawing>
          <wp:inline distT="0" distB="0" distL="0" distR="0" wp14:anchorId="4D3BD49E" wp14:editId="416A9E6A">
            <wp:extent cx="5969424" cy="4178596"/>
            <wp:effectExtent l="0" t="0" r="0" b="0"/>
            <wp:docPr id="1273285483" name="Picture 12" descr="P8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85483" name="Picture 12" descr="P897#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2615" cy="4187830"/>
                    </a:xfrm>
                    <a:prstGeom prst="rect">
                      <a:avLst/>
                    </a:prstGeom>
                    <a:noFill/>
                  </pic:spPr>
                </pic:pic>
              </a:graphicData>
            </a:graphic>
          </wp:inline>
        </w:drawing>
      </w:r>
    </w:p>
    <w:p w14:paraId="0C98BCD9" w14:textId="53065BED" w:rsidR="00161F9B" w:rsidRDefault="00161F9B" w:rsidP="00161F9B">
      <w:pPr>
        <w:pStyle w:val="ReviewHeading2"/>
        <w:jc w:val="left"/>
      </w:pPr>
      <w:bookmarkStart w:id="60" w:name="_Toc233285602"/>
      <w:bookmarkStart w:id="61" w:name="_Toc233801481"/>
      <w:r>
        <w:lastRenderedPageBreak/>
        <w:t>4.4 Upper Murrumbidgee River: avoiding ecosystem collapse</w:t>
      </w:r>
      <w:bookmarkEnd w:id="60"/>
      <w:bookmarkEnd w:id="61"/>
    </w:p>
    <w:p w14:paraId="3B06E7AE" w14:textId="0562C58A" w:rsidR="0027167A" w:rsidRPr="009262AF" w:rsidRDefault="00382EE8" w:rsidP="6C4C2845">
      <w:r>
        <w:rPr>
          <w:rFonts w:ascii="ZWAdobeF" w:hAnsi="ZWAdobeF" w:cs="ZWAdobeF"/>
          <w:sz w:val="2"/>
          <w:szCs w:val="2"/>
        </w:rPr>
        <w:t>868B</w:t>
      </w:r>
      <w:r w:rsidR="0027167A">
        <w:t xml:space="preserve">The evidence base and technical analysis undertaken for this Review demonstrate that incremental improvements to current arrangements are unlikely to reverse the ecological decline in the </w:t>
      </w:r>
      <w:r w:rsidR="00433B12">
        <w:t xml:space="preserve">Upper </w:t>
      </w:r>
      <w:r w:rsidR="0027167A">
        <w:t xml:space="preserve">Murrumbidgee River unless flows are restored in a way that reactivates key processes. This requires sufficient volume to achieve a functional flow regime through operational arrangements and effective governance. The governance arrangements are considered in </w:t>
      </w:r>
      <w:r w:rsidR="0027167A" w:rsidRPr="00A81888">
        <w:rPr>
          <w:b/>
          <w:bCs/>
        </w:rPr>
        <w:t>Chapter 5</w:t>
      </w:r>
      <w:r w:rsidR="0027167A">
        <w:t>.</w:t>
      </w:r>
    </w:p>
    <w:p w14:paraId="12F2C4F2" w14:textId="1FC5E159" w:rsidR="0027167A" w:rsidRPr="009262AF" w:rsidRDefault="00382EE8" w:rsidP="0CD6EC11">
      <w:r>
        <w:rPr>
          <w:rFonts w:ascii="ZWAdobeF" w:hAnsi="ZWAdobeF" w:cs="ZWAdobeF"/>
          <w:sz w:val="2"/>
          <w:szCs w:val="2"/>
        </w:rPr>
        <w:t>869B</w:t>
      </w:r>
      <w:r w:rsidR="0027167A" w:rsidRPr="009262AF">
        <w:t>The environmental flow options assessed in this Review respond to a set of system-level issues including:</w:t>
      </w:r>
    </w:p>
    <w:p w14:paraId="067A3D60" w14:textId="4F022157" w:rsidR="0027167A" w:rsidRPr="009262AF" w:rsidRDefault="00382EE8" w:rsidP="00115BD6">
      <w:pPr>
        <w:pStyle w:val="ListParagraph"/>
        <w:numPr>
          <w:ilvl w:val="0"/>
          <w:numId w:val="84"/>
        </w:numPr>
      </w:pPr>
      <w:r>
        <w:rPr>
          <w:rFonts w:ascii="ZWAdobeF" w:hAnsi="ZWAdobeF" w:cs="ZWAdobeF"/>
          <w:sz w:val="2"/>
          <w:szCs w:val="2"/>
        </w:rPr>
        <w:t>160B</w:t>
      </w:r>
      <w:r w:rsidR="0027167A" w:rsidRPr="009262AF">
        <w:t>the current and declining ecological condition of the river</w:t>
      </w:r>
    </w:p>
    <w:p w14:paraId="1A914DF7" w14:textId="6EC9CE74" w:rsidR="0027167A" w:rsidRPr="009262AF" w:rsidRDefault="00382EE8" w:rsidP="00115BD6">
      <w:pPr>
        <w:pStyle w:val="ListParagraph"/>
        <w:numPr>
          <w:ilvl w:val="0"/>
          <w:numId w:val="84"/>
        </w:numPr>
      </w:pPr>
      <w:r>
        <w:rPr>
          <w:rFonts w:ascii="ZWAdobeF" w:hAnsi="ZWAdobeF" w:cs="ZWAdobeF"/>
          <w:sz w:val="2"/>
          <w:szCs w:val="2"/>
        </w:rPr>
        <w:t>161B</w:t>
      </w:r>
      <w:r w:rsidR="0027167A" w:rsidRPr="009262AF">
        <w:t>inadequate volume, timing and configuration of environmental flows</w:t>
      </w:r>
    </w:p>
    <w:p w14:paraId="5368B826" w14:textId="49702860" w:rsidR="0027167A" w:rsidRPr="009262AF" w:rsidRDefault="00382EE8" w:rsidP="00115BD6">
      <w:pPr>
        <w:pStyle w:val="ListParagraph"/>
        <w:numPr>
          <w:ilvl w:val="0"/>
          <w:numId w:val="84"/>
        </w:numPr>
      </w:pPr>
      <w:r>
        <w:rPr>
          <w:rFonts w:ascii="ZWAdobeF" w:hAnsi="ZWAdobeF" w:cs="ZWAdobeF"/>
          <w:sz w:val="2"/>
          <w:szCs w:val="2"/>
        </w:rPr>
        <w:t>162B</w:t>
      </w:r>
      <w:r w:rsidR="0027167A" w:rsidRPr="009262AF">
        <w:t>limited flexibility and adaptability in current operating arrangements</w:t>
      </w:r>
    </w:p>
    <w:p w14:paraId="736D6537" w14:textId="65675D38" w:rsidR="0027167A" w:rsidRPr="009262AF" w:rsidRDefault="00382EE8" w:rsidP="00115BD6">
      <w:pPr>
        <w:pStyle w:val="ListParagraph"/>
        <w:numPr>
          <w:ilvl w:val="0"/>
          <w:numId w:val="84"/>
        </w:numPr>
      </w:pPr>
      <w:r>
        <w:rPr>
          <w:rFonts w:ascii="ZWAdobeF" w:hAnsi="ZWAdobeF" w:cs="ZWAdobeF"/>
          <w:sz w:val="2"/>
          <w:szCs w:val="2"/>
        </w:rPr>
        <w:t>163B</w:t>
      </w:r>
      <w:r w:rsidR="0027167A" w:rsidRPr="009262AF">
        <w:t>competing objectives across environmental outcomes, water supply reliability and energy security.</w:t>
      </w:r>
    </w:p>
    <w:p w14:paraId="46D0DFE6" w14:textId="09BAFC22" w:rsidR="0027167A" w:rsidRPr="009262AF" w:rsidRDefault="00382EE8" w:rsidP="6C4C2845">
      <w:r>
        <w:rPr>
          <w:rFonts w:ascii="ZWAdobeF" w:hAnsi="ZWAdobeF" w:cs="ZWAdobeF"/>
          <w:sz w:val="2"/>
          <w:szCs w:val="2"/>
        </w:rPr>
        <w:t>870B</w:t>
      </w:r>
      <w:r w:rsidR="0027167A">
        <w:t xml:space="preserve">In this context, the assessment of environmental flow options represents a choice </w:t>
      </w:r>
      <w:r w:rsidR="00BA1C2A">
        <w:t xml:space="preserve">of </w:t>
      </w:r>
      <w:r w:rsidR="0027167A">
        <w:t xml:space="preserve">ecological trajectories, with different implications for system function, stakeholder values and broader policy objectives. Improving environmental outcomes </w:t>
      </w:r>
      <w:r w:rsidR="007D676D">
        <w:t xml:space="preserve">is </w:t>
      </w:r>
      <w:r w:rsidR="0027167A">
        <w:t xml:space="preserve">compatible with other policy objectives, </w:t>
      </w:r>
      <w:r w:rsidR="00B12D5C">
        <w:t xml:space="preserve">through </w:t>
      </w:r>
      <w:r w:rsidR="0027167A">
        <w:t xml:space="preserve">the design of environmental flow regimes, </w:t>
      </w:r>
      <w:r w:rsidR="00BC05E8">
        <w:t>within</w:t>
      </w:r>
      <w:r w:rsidR="0027167A">
        <w:t xml:space="preserve"> an adaptive management framework</w:t>
      </w:r>
      <w:r w:rsidR="0012056B">
        <w:t>. Such a framework would</w:t>
      </w:r>
      <w:r w:rsidR="0027167A">
        <w:t xml:space="preserve"> </w:t>
      </w:r>
      <w:r w:rsidR="0027167A" w:rsidRPr="007A37AE">
        <w:t>utilise</w:t>
      </w:r>
      <w:r w:rsidR="004D38A1">
        <w:t xml:space="preserve"> </w:t>
      </w:r>
      <w:r w:rsidR="0027167A">
        <w:t>flexible delivery mechanisms</w:t>
      </w:r>
      <w:r w:rsidR="448C3F12">
        <w:t xml:space="preserve"> </w:t>
      </w:r>
      <w:r w:rsidR="226448A7">
        <w:t xml:space="preserve">and </w:t>
      </w:r>
      <w:r w:rsidR="534DF404">
        <w:t>provide</w:t>
      </w:r>
      <w:r w:rsidR="0027167A">
        <w:t xml:space="preserve"> a pathway to materially improve ecological outcomes while maintaining energy system reliability and managing impacts on energy generation and downstream water users. </w:t>
      </w:r>
    </w:p>
    <w:p w14:paraId="35A1C89A" w14:textId="77777777" w:rsidR="008C4CE2" w:rsidRDefault="0027167A" w:rsidP="002736B3">
      <w:pPr>
        <w:pStyle w:val="ReviewHeading3"/>
      </w:pPr>
      <w:r>
        <w:t>Description of the environmental flow options and outcomes</w:t>
      </w:r>
    </w:p>
    <w:p w14:paraId="1715DB1F" w14:textId="779E29EA" w:rsidR="008C4CE2" w:rsidRPr="009262AF" w:rsidRDefault="00382EE8" w:rsidP="1ADA5DD2">
      <w:r>
        <w:rPr>
          <w:rFonts w:ascii="ZWAdobeF" w:hAnsi="ZWAdobeF" w:cs="ZWAdobeF"/>
          <w:sz w:val="2"/>
          <w:szCs w:val="2"/>
        </w:rPr>
        <w:t>871B</w:t>
      </w:r>
      <w:r w:rsidR="008C4CE2">
        <w:t xml:space="preserve">Five environmental flow options were developed and tested against the Base Case (current conditions), with further detail on the approach and methods of this assessment provided in Chapter 2. The options assessed represent fundamentally different approaches to environmental flow delivery in the </w:t>
      </w:r>
      <w:r w:rsidR="4BD1547E">
        <w:t>U</w:t>
      </w:r>
      <w:r w:rsidR="008C4CE2">
        <w:t xml:space="preserve">pper Murrumbidgee River, rather than incremental variations on a single operating regime. They differ in total volume, configuration of flow components, spatial targeting of EWRs and reliance on operational flexibility. </w:t>
      </w:r>
    </w:p>
    <w:p w14:paraId="3C83F9B9" w14:textId="3993D6A4" w:rsidR="008C4CE2" w:rsidRDefault="00382EE8" w:rsidP="1ADA5DD2">
      <w:r>
        <w:rPr>
          <w:rFonts w:ascii="ZWAdobeF" w:hAnsi="ZWAdobeF" w:cs="ZWAdobeF"/>
          <w:sz w:val="2"/>
          <w:szCs w:val="2"/>
        </w:rPr>
        <w:t>872B</w:t>
      </w:r>
      <w:r w:rsidR="008C4CE2" w:rsidRPr="009262AF">
        <w:t>Across Options 2-4, environmental ambition increases progressively, illustrating how flow volume, variability and infrastructure capability interact to determine outcomes. Option 5 also represents an increase in environmental ambition</w:t>
      </w:r>
      <w:r w:rsidR="008C4CE2">
        <w:t xml:space="preserve"> from the Base Case</w:t>
      </w:r>
      <w:r w:rsidR="00521CF3">
        <w:t xml:space="preserve"> </w:t>
      </w:r>
      <w:r w:rsidR="008C4CE2" w:rsidRPr="009262AF">
        <w:t xml:space="preserve">and was designed to be implementable in the near-term </w:t>
      </w:r>
      <w:r w:rsidR="008C4CE2">
        <w:t>and</w:t>
      </w:r>
      <w:r w:rsidR="008C4CE2" w:rsidRPr="009262AF">
        <w:t xml:space="preserve"> to minimise impacts on energy generation.</w:t>
      </w:r>
      <w:r w:rsidR="008C4CE2">
        <w:t xml:space="preserve"> </w:t>
      </w:r>
    </w:p>
    <w:p w14:paraId="07BFD874" w14:textId="202EAC47" w:rsidR="00DB79BE" w:rsidRDefault="00382EE8" w:rsidP="00DB79BE">
      <w:r>
        <w:rPr>
          <w:rFonts w:ascii="ZWAdobeF" w:hAnsi="ZWAdobeF" w:cs="ZWAdobeF"/>
          <w:sz w:val="2"/>
          <w:szCs w:val="2"/>
        </w:rPr>
        <w:t>873B</w:t>
      </w:r>
      <w:r w:rsidR="00C149F1">
        <w:t xml:space="preserve">The </w:t>
      </w:r>
      <w:r w:rsidR="000433FB">
        <w:t xml:space="preserve">options </w:t>
      </w:r>
      <w:r w:rsidR="00C149F1">
        <w:t>model</w:t>
      </w:r>
      <w:r w:rsidR="000433FB">
        <w:t>led</w:t>
      </w:r>
      <w:r w:rsidR="00C149F1">
        <w:t xml:space="preserve"> </w:t>
      </w:r>
      <w:r w:rsidR="00F846F7">
        <w:t xml:space="preserve">included 6 GL of </w:t>
      </w:r>
      <w:r w:rsidR="00017EEE">
        <w:t xml:space="preserve">cultural water to assess </w:t>
      </w:r>
      <w:r w:rsidR="0049390C">
        <w:t xml:space="preserve">the cumulative </w:t>
      </w:r>
      <w:r w:rsidR="00017EEE">
        <w:t>impacts</w:t>
      </w:r>
      <w:r w:rsidR="000433FB">
        <w:t xml:space="preserve"> </w:t>
      </w:r>
      <w:r w:rsidR="0049390C">
        <w:t>on the energy system and downstream water users</w:t>
      </w:r>
      <w:r w:rsidR="001A0942">
        <w:t xml:space="preserve">; this is </w:t>
      </w:r>
      <w:r w:rsidR="00235491">
        <w:t>discussed</w:t>
      </w:r>
      <w:r w:rsidR="001A0942">
        <w:t xml:space="preserve"> further below</w:t>
      </w:r>
      <w:r w:rsidR="00DB79BE">
        <w:t>.</w:t>
      </w:r>
      <w:r w:rsidR="00017EEE">
        <w:t xml:space="preserve"> The </w:t>
      </w:r>
      <w:r w:rsidR="000433FB">
        <w:t xml:space="preserve">volumes </w:t>
      </w:r>
      <w:r w:rsidR="0049390C">
        <w:t xml:space="preserve">presented below </w:t>
      </w:r>
      <w:r w:rsidR="00BF2CA2">
        <w:t>for environmental flows exclude the 6 GL cultural flow provision.</w:t>
      </w:r>
    </w:p>
    <w:p w14:paraId="76A132C5" w14:textId="33D226FE" w:rsidR="00DB79BE" w:rsidRDefault="00382EE8" w:rsidP="1ADA5DD2">
      <w:r>
        <w:rPr>
          <w:rFonts w:ascii="ZWAdobeF" w:hAnsi="ZWAdobeF" w:cs="ZWAdobeF"/>
          <w:sz w:val="2"/>
          <w:szCs w:val="2"/>
        </w:rPr>
        <w:t>874B</w:t>
      </w:r>
      <w:r w:rsidR="008C4CE2">
        <w:t xml:space="preserve">Modelled average volumes for Options 2-4 are shown </w:t>
      </w:r>
      <w:r w:rsidR="005D23AA">
        <w:t xml:space="preserve">in </w:t>
      </w:r>
      <w:r w:rsidR="005D23AA">
        <w:rPr>
          <w:b/>
          <w:bCs/>
        </w:rPr>
        <w:t>Figure 9</w:t>
      </w:r>
      <w:r w:rsidR="005D23AA">
        <w:t>.</w:t>
      </w:r>
      <w:r w:rsidR="00C149F1">
        <w:t xml:space="preserve"> </w:t>
      </w:r>
    </w:p>
    <w:p w14:paraId="61CA0408" w14:textId="77777777" w:rsidR="008C4CE2" w:rsidRDefault="008C4CE2" w:rsidP="008C4CE2">
      <w:pPr>
        <w:pStyle w:val="Sub-Heading"/>
      </w:pPr>
      <w:r>
        <w:lastRenderedPageBreak/>
        <w:t>Base Case – current conditions</w:t>
      </w:r>
    </w:p>
    <w:p w14:paraId="425080BC" w14:textId="41AD6395" w:rsidR="00247114" w:rsidRPr="009262AF" w:rsidRDefault="00382EE8" w:rsidP="4E54DB6C">
      <w:r>
        <w:rPr>
          <w:rFonts w:ascii="ZWAdobeF" w:hAnsi="ZWAdobeF" w:cs="ZWAdobeF"/>
          <w:sz w:val="2"/>
          <w:szCs w:val="2"/>
        </w:rPr>
        <w:t>875B</w:t>
      </w:r>
      <w:r w:rsidR="00247114" w:rsidRPr="009262AF">
        <w:t>The Base Case reflects continuation of current operating arrangements with the existing environmental flow provisions</w:t>
      </w:r>
      <w:r w:rsidR="00247114">
        <w:t xml:space="preserve"> (SMRIF)</w:t>
      </w:r>
      <w:r w:rsidR="00247114" w:rsidRPr="009262AF">
        <w:t xml:space="preserve">. Water releases from Tantangara Dam are limited to the release capacity of the existing outlet valve, which is rated at 1,500 ML/day at minimum storage operating level. </w:t>
      </w:r>
    </w:p>
    <w:p w14:paraId="2567920D" w14:textId="0223D36D" w:rsidR="00247114" w:rsidRPr="00E76955" w:rsidRDefault="00382EE8" w:rsidP="4E54DB6C">
      <w:pPr>
        <w:rPr>
          <w:i/>
          <w:iCs/>
        </w:rPr>
      </w:pPr>
      <w:r>
        <w:rPr>
          <w:rFonts w:ascii="ZWAdobeF" w:hAnsi="ZWAdobeF" w:cs="ZWAdobeF"/>
          <w:iCs/>
          <w:sz w:val="2"/>
          <w:szCs w:val="2"/>
        </w:rPr>
        <w:t>876B</w:t>
      </w:r>
      <w:r w:rsidR="2ACC808A" w:rsidRPr="6332CC80">
        <w:rPr>
          <w:i/>
          <w:iCs/>
        </w:rPr>
        <w:t>The Base Case represents 9.2% of the average natural flows (ANF) without development. The mean annual volume of water released from Tantangara Dam is 25 GL. The total without development</w:t>
      </w:r>
      <w:r w:rsidR="2ACC808A" w:rsidRPr="6332CC80" w:rsidDel="008B34EE">
        <w:rPr>
          <w:i/>
          <w:iCs/>
        </w:rPr>
        <w:t xml:space="preserve"> </w:t>
      </w:r>
      <w:r w:rsidR="2ACC808A" w:rsidRPr="6332CC80">
        <w:rPr>
          <w:i/>
          <w:iCs/>
        </w:rPr>
        <w:t>ANF into Tantangara Dam is 276 GL</w:t>
      </w:r>
      <w:r w:rsidR="001F09F9">
        <w:rPr>
          <w:i/>
          <w:iCs/>
        </w:rPr>
        <w:t>.</w:t>
      </w:r>
      <w:r>
        <w:rPr>
          <w:rFonts w:ascii="ZWAdobeF" w:hAnsi="ZWAdobeF" w:cs="ZWAdobeF"/>
          <w:iCs/>
          <w:sz w:val="2"/>
          <w:szCs w:val="2"/>
        </w:rPr>
        <w:t>64F</w:t>
      </w:r>
      <w:r w:rsidR="00247114" w:rsidRPr="61B97809">
        <w:rPr>
          <w:rStyle w:val="FootnoteReference"/>
          <w:rFonts w:ascii="Calibri" w:eastAsia="Calibri" w:hAnsi="Calibri" w:cs="Calibri"/>
          <w:i/>
        </w:rPr>
        <w:footnoteReference w:id="65"/>
      </w:r>
    </w:p>
    <w:p w14:paraId="115AC9D4" w14:textId="714107BD" w:rsidR="00247114" w:rsidRDefault="00382EE8" w:rsidP="00247114">
      <w:r>
        <w:rPr>
          <w:rFonts w:ascii="ZWAdobeF" w:hAnsi="ZWAdobeF" w:cs="ZWAdobeF"/>
          <w:sz w:val="2"/>
          <w:szCs w:val="2"/>
        </w:rPr>
        <w:t>877B</w:t>
      </w:r>
      <w:r w:rsidR="00247114">
        <w:t xml:space="preserve">Most EWRs are not achieved in the </w:t>
      </w:r>
      <w:r w:rsidR="27577CAC">
        <w:t>B</w:t>
      </w:r>
      <w:r w:rsidR="00247114">
        <w:t xml:space="preserve">ase </w:t>
      </w:r>
      <w:r w:rsidR="27831664">
        <w:t>C</w:t>
      </w:r>
      <w:r w:rsidR="00247114">
        <w:t xml:space="preserve">ase, flow variability remains highly constrained, and ecological processes such as sediment transport and habitat maintenance remain largely inactive. The river is expected to remain in a simplified and vulnerable ecological state and maintain the current trajectory of rapid decline in its condition. </w:t>
      </w:r>
    </w:p>
    <w:p w14:paraId="26C96E5A" w14:textId="1017B555" w:rsidR="00247114" w:rsidRDefault="00247114" w:rsidP="00247114">
      <w:pPr>
        <w:pStyle w:val="Sub-Heading"/>
        <w:rPr>
          <w:rFonts w:eastAsia="Calibri"/>
        </w:rPr>
      </w:pPr>
      <w:r>
        <w:rPr>
          <w:rFonts w:eastAsia="Calibri"/>
        </w:rPr>
        <w:t>Option 1 – Drought-</w:t>
      </w:r>
      <w:r w:rsidRPr="1DE2DCD4">
        <w:rPr>
          <w:rFonts w:eastAsia="Calibri"/>
        </w:rPr>
        <w:t>focused</w:t>
      </w:r>
      <w:r>
        <w:rPr>
          <w:rFonts w:eastAsia="Calibri"/>
        </w:rPr>
        <w:t xml:space="preserve"> flows under existing arrangements</w:t>
      </w:r>
    </w:p>
    <w:p w14:paraId="15C5D01C" w14:textId="212DB337" w:rsidR="00D57D35" w:rsidRPr="009262AF" w:rsidRDefault="00382EE8" w:rsidP="1ADA5DD2">
      <w:r>
        <w:rPr>
          <w:rFonts w:ascii="ZWAdobeF" w:hAnsi="ZWAdobeF" w:cs="ZWAdobeF"/>
          <w:sz w:val="2"/>
          <w:szCs w:val="2"/>
        </w:rPr>
        <w:t>878B</w:t>
      </w:r>
      <w:r w:rsidR="00D57D35" w:rsidRPr="009262AF">
        <w:t>Option 1 represents a baseline drought</w:t>
      </w:r>
      <w:r w:rsidR="00D57D35" w:rsidRPr="009262AF">
        <w:noBreakHyphen/>
        <w:t xml:space="preserve">response scenario, retaining the current pattern of </w:t>
      </w:r>
      <w:r w:rsidR="00085D3F">
        <w:t xml:space="preserve">fixed </w:t>
      </w:r>
      <w:r w:rsidR="00D57D35" w:rsidRPr="009262AF">
        <w:t>releases from Tantangara Dam (equivalent to the Base Case) and introduces a set of flow triggers to provide minimum base flows in response to drought-like conditions (</w:t>
      </w:r>
      <w:r w:rsidR="00D57D35">
        <w:t>based on</w:t>
      </w:r>
      <w:r w:rsidR="00D57D35" w:rsidRPr="009262AF">
        <w:t xml:space="preserve"> the current Upper Murrumbidgee Drought Operating Framework). Option 1 was designed to protect refuge habitat and maintain water quality under very low flow conditions.</w:t>
      </w:r>
    </w:p>
    <w:p w14:paraId="60CD8502" w14:textId="6DB3AE2C" w:rsidR="00D57D35" w:rsidRPr="009262AF" w:rsidRDefault="00382EE8" w:rsidP="6C4C2845">
      <w:pPr>
        <w:rPr>
          <w:i/>
        </w:rPr>
      </w:pPr>
      <w:r>
        <w:rPr>
          <w:rFonts w:ascii="ZWAdobeF" w:hAnsi="ZWAdobeF" w:cs="ZWAdobeF"/>
          <w:iCs/>
          <w:sz w:val="2"/>
          <w:szCs w:val="2"/>
        </w:rPr>
        <w:t>879B</w:t>
      </w:r>
      <w:r w:rsidR="00D57D35" w:rsidRPr="009262AF">
        <w:rPr>
          <w:i/>
          <w:iCs/>
        </w:rPr>
        <w:t>This option represents 10.2% of ANF. The mean annual volume of water released from Tantangara Dam is 28.1 GL.</w:t>
      </w:r>
    </w:p>
    <w:p w14:paraId="47747877" w14:textId="266E39FF" w:rsidR="00D57D35" w:rsidRPr="00E76955" w:rsidRDefault="00382EE8" w:rsidP="6C4C2845">
      <w:r>
        <w:rPr>
          <w:rFonts w:ascii="ZWAdobeF" w:hAnsi="ZWAdobeF" w:cs="ZWAdobeF"/>
          <w:sz w:val="2"/>
          <w:szCs w:val="2"/>
        </w:rPr>
        <w:t>880B</w:t>
      </w:r>
      <w:r w:rsidR="00D57D35" w:rsidRPr="009262AF">
        <w:t xml:space="preserve">The option reduces the frequency and duration of very low </w:t>
      </w:r>
      <w:r w:rsidR="00D57D35">
        <w:t xml:space="preserve">flows </w:t>
      </w:r>
      <w:r w:rsidR="00D57D35" w:rsidRPr="009262AF">
        <w:t>and cease</w:t>
      </w:r>
      <w:r w:rsidR="00D57D35" w:rsidRPr="009262AF">
        <w:noBreakHyphen/>
        <w:t>to</w:t>
      </w:r>
      <w:r w:rsidR="00D57D35" w:rsidRPr="009262AF">
        <w:noBreakHyphen/>
        <w:t xml:space="preserve">flow conditions, but it does not materially improve achievement of </w:t>
      </w:r>
      <w:r w:rsidR="004800AD">
        <w:t>E</w:t>
      </w:r>
      <w:r w:rsidR="00D57D35">
        <w:t>WRs</w:t>
      </w:r>
      <w:r w:rsidR="00D57D35" w:rsidRPr="009262AF">
        <w:t xml:space="preserve"> or broader ecological outcomes. Option 1 was considered unacceptable by the advisory groups due to poor EWR achievement and was therefore not progressed further in the analysis or included in </w:t>
      </w:r>
      <w:r w:rsidR="00D57D35" w:rsidRPr="00537F9C">
        <w:rPr>
          <w:b/>
        </w:rPr>
        <w:t xml:space="preserve">Figure </w:t>
      </w:r>
      <w:r w:rsidR="00537F9C" w:rsidRPr="00537F9C">
        <w:rPr>
          <w:b/>
          <w:bCs/>
        </w:rPr>
        <w:t>9</w:t>
      </w:r>
      <w:r w:rsidR="00D57D35" w:rsidRPr="00537F9C">
        <w:rPr>
          <w:b/>
        </w:rPr>
        <w:t>.</w:t>
      </w:r>
    </w:p>
    <w:p w14:paraId="390542AA" w14:textId="34989546" w:rsidR="001A589F" w:rsidRPr="009262AF" w:rsidRDefault="00D57D35" w:rsidP="00D57D35">
      <w:pPr>
        <w:pStyle w:val="Sub-Heading"/>
      </w:pPr>
      <w:r>
        <w:rPr>
          <w:rFonts w:eastAsia="Calibri"/>
        </w:rPr>
        <w:t>Option 2 – Incremental improvement within current infrastructure constraints</w:t>
      </w:r>
    </w:p>
    <w:p w14:paraId="0C6F2A69" w14:textId="304371B7" w:rsidR="0061349A" w:rsidRPr="009262AF" w:rsidRDefault="00382EE8" w:rsidP="6C4C2845">
      <w:r>
        <w:rPr>
          <w:rFonts w:ascii="ZWAdobeF" w:hAnsi="ZWAdobeF" w:cs="ZWAdobeF"/>
          <w:sz w:val="2"/>
          <w:szCs w:val="2"/>
        </w:rPr>
        <w:t>881B</w:t>
      </w:r>
      <w:r w:rsidR="0061349A" w:rsidRPr="009262AF">
        <w:t xml:space="preserve">Option 2 was designed to target EWRs at Mittagang Crossing, including low flows, stable baseflows and a limited subset of freshes, </w:t>
      </w:r>
      <w:r w:rsidR="0061349A">
        <w:t>provide</w:t>
      </w:r>
      <w:r w:rsidR="0061349A" w:rsidRPr="009262AF">
        <w:t xml:space="preserve"> some operational flexibility, while remaining within the existing constraints of the </w:t>
      </w:r>
      <w:r w:rsidR="1976C196">
        <w:t>d</w:t>
      </w:r>
      <w:r w:rsidR="0061349A">
        <w:t>am</w:t>
      </w:r>
      <w:r w:rsidR="0061349A" w:rsidRPr="009262AF">
        <w:t xml:space="preserve"> outlet valve. It does not </w:t>
      </w:r>
      <w:r w:rsidR="0061349A">
        <w:t>provide the designed</w:t>
      </w:r>
      <w:r w:rsidR="0061349A" w:rsidRPr="009262AF">
        <w:t xml:space="preserve"> variable baseflows, bankfull or channel maintenance flows. This option aims to demonstrate the scale of environmental outcomes achievable without increasing the volume of water released from the </w:t>
      </w:r>
      <w:r w:rsidR="5A37B36E">
        <w:t>d</w:t>
      </w:r>
      <w:r w:rsidR="0061349A">
        <w:t>am</w:t>
      </w:r>
      <w:r w:rsidR="0061349A" w:rsidRPr="009262AF">
        <w:t xml:space="preserve">. </w:t>
      </w:r>
    </w:p>
    <w:p w14:paraId="1FBAAA81" w14:textId="15B7339B" w:rsidR="0061349A" w:rsidRPr="009262AF" w:rsidRDefault="00382EE8" w:rsidP="6C4C2845">
      <w:pPr>
        <w:rPr>
          <w:i/>
          <w:iCs/>
        </w:rPr>
      </w:pPr>
      <w:r>
        <w:rPr>
          <w:rFonts w:ascii="ZWAdobeF" w:hAnsi="ZWAdobeF" w:cs="ZWAdobeF"/>
          <w:iCs/>
          <w:sz w:val="2"/>
          <w:szCs w:val="2"/>
        </w:rPr>
        <w:t>882B</w:t>
      </w:r>
      <w:r w:rsidR="0061349A" w:rsidRPr="009262AF">
        <w:rPr>
          <w:i/>
          <w:iCs/>
        </w:rPr>
        <w:t>Option 2 represents 8.3% of ANF. The mean annual volume of water released from Tantangara Dam is 22.8 GL</w:t>
      </w:r>
      <w:r w:rsidR="0061349A">
        <w:rPr>
          <w:i/>
          <w:iCs/>
        </w:rPr>
        <w:t xml:space="preserve"> (excluding cultural flow)</w:t>
      </w:r>
      <w:r w:rsidR="0061349A" w:rsidRPr="009262AF">
        <w:rPr>
          <w:i/>
          <w:iCs/>
        </w:rPr>
        <w:t xml:space="preserve">. </w:t>
      </w:r>
    </w:p>
    <w:p w14:paraId="572BDEB8" w14:textId="690C3E19" w:rsidR="0061349A" w:rsidRPr="009262AF" w:rsidRDefault="00382EE8" w:rsidP="0061349A">
      <w:r>
        <w:rPr>
          <w:rFonts w:ascii="ZWAdobeF" w:hAnsi="ZWAdobeF" w:cs="ZWAdobeF"/>
          <w:sz w:val="2"/>
          <w:szCs w:val="2"/>
        </w:rPr>
        <w:t>883B</w:t>
      </w:r>
      <w:r w:rsidR="0061349A" w:rsidRPr="009262AF">
        <w:t>The option focuses on reducing extreme low</w:t>
      </w:r>
      <w:r w:rsidR="55E0F592">
        <w:t xml:space="preserve"> </w:t>
      </w:r>
      <w:r w:rsidR="0061349A" w:rsidRPr="009262AF">
        <w:t xml:space="preserve">flow stress and improving habitat persistence in the central and lower reaches. However, as the EWRs are primarily targeted at Mittagang Crossing, the spatial extent of environmental outcomes was constrained with improvement less evident immediately downstream of the </w:t>
      </w:r>
      <w:r w:rsidR="28039702">
        <w:t>d</w:t>
      </w:r>
      <w:r w:rsidR="0061349A">
        <w:t>am.</w:t>
      </w:r>
      <w:r w:rsidR="0061349A" w:rsidRPr="009262AF">
        <w:t xml:space="preserve"> Ecologically, this option is expected to provide localised stabilisation of environmental conditions without supporting ecosystem recovery. </w:t>
      </w:r>
    </w:p>
    <w:p w14:paraId="6D53BBD8" w14:textId="0594C4D3" w:rsidR="00D57D35" w:rsidRPr="009262AF" w:rsidRDefault="00937C6A" w:rsidP="00D57D35">
      <w:pPr>
        <w:pStyle w:val="Sub-Heading"/>
        <w:rPr>
          <w:rFonts w:eastAsia="Calibri"/>
        </w:rPr>
      </w:pPr>
      <w:r>
        <w:rPr>
          <w:rFonts w:eastAsia="Calibri"/>
        </w:rPr>
        <w:lastRenderedPageBreak/>
        <w:t>Option 3 – Restoring variability without habitat reset</w:t>
      </w:r>
    </w:p>
    <w:p w14:paraId="06C597BC" w14:textId="050D4492" w:rsidR="0066636A" w:rsidRPr="009262AF" w:rsidRDefault="00382EE8" w:rsidP="3D6F4344">
      <w:r>
        <w:rPr>
          <w:rFonts w:ascii="ZWAdobeF" w:hAnsi="ZWAdobeF" w:cs="ZWAdobeF"/>
          <w:sz w:val="2"/>
          <w:szCs w:val="2"/>
        </w:rPr>
        <w:t>884B</w:t>
      </w:r>
      <w:r w:rsidR="0066636A" w:rsidRPr="009262AF">
        <w:t>Option 3 represents a substantial shift from the Base Case by introducing seasonally variable baseflow, increasing the frequency of small and large freshes and providing bankfull flows. EWRs for Option 3 are primarily targeted at Mittagang Crossing. An increase to the existing Tantangara Dam outlet valve capacity would be required</w:t>
      </w:r>
      <w:r w:rsidR="0066636A" w:rsidRPr="009262AF" w:rsidDel="00B96039">
        <w:t xml:space="preserve"> </w:t>
      </w:r>
      <w:r w:rsidR="0066636A" w:rsidRPr="009262AF">
        <w:t xml:space="preserve">to reliably deliver the larger freshes and bankfull flow components. </w:t>
      </w:r>
    </w:p>
    <w:p w14:paraId="655AB381" w14:textId="4B187A01" w:rsidR="0066636A" w:rsidRPr="009262AF" w:rsidRDefault="00382EE8" w:rsidP="3D6F4344">
      <w:pPr>
        <w:rPr>
          <w:i/>
          <w:iCs/>
        </w:rPr>
      </w:pPr>
      <w:r>
        <w:rPr>
          <w:rFonts w:ascii="ZWAdobeF" w:hAnsi="ZWAdobeF" w:cs="ZWAdobeF"/>
          <w:iCs/>
          <w:sz w:val="2"/>
          <w:szCs w:val="2"/>
        </w:rPr>
        <w:t>885B</w:t>
      </w:r>
      <w:r w:rsidR="0066636A" w:rsidRPr="009262AF">
        <w:rPr>
          <w:i/>
          <w:iCs/>
        </w:rPr>
        <w:t>Option 3 represents 27.</w:t>
      </w:r>
      <w:r w:rsidR="0066636A">
        <w:rPr>
          <w:i/>
          <w:iCs/>
        </w:rPr>
        <w:t>2</w:t>
      </w:r>
      <w:r w:rsidR="0066636A" w:rsidRPr="009262AF">
        <w:rPr>
          <w:i/>
          <w:iCs/>
        </w:rPr>
        <w:t xml:space="preserve">% of the </w:t>
      </w:r>
      <w:r w:rsidR="0066636A">
        <w:rPr>
          <w:i/>
          <w:iCs/>
        </w:rPr>
        <w:t>ANF and targets EWRs at Mittagang Crossing</w:t>
      </w:r>
      <w:r w:rsidR="0066636A" w:rsidRPr="009262AF">
        <w:rPr>
          <w:i/>
          <w:iCs/>
        </w:rPr>
        <w:t>. The mean annual volume of water released from Tantangara Dam is 75.2 GL (</w:t>
      </w:r>
      <w:r w:rsidR="0066636A">
        <w:rPr>
          <w:i/>
          <w:iCs/>
        </w:rPr>
        <w:t>excluding cultural flows</w:t>
      </w:r>
      <w:r w:rsidR="0066636A" w:rsidRPr="009262AF">
        <w:rPr>
          <w:i/>
          <w:iCs/>
        </w:rPr>
        <w:t>).</w:t>
      </w:r>
    </w:p>
    <w:p w14:paraId="63A53C25" w14:textId="6058D60C" w:rsidR="0066636A" w:rsidRPr="009262AF" w:rsidRDefault="00382EE8" w:rsidP="3D6F4344">
      <w:r>
        <w:rPr>
          <w:rFonts w:ascii="ZWAdobeF" w:hAnsi="ZWAdobeF" w:cs="ZWAdobeF"/>
          <w:sz w:val="2"/>
          <w:szCs w:val="2"/>
        </w:rPr>
        <w:t>886B</w:t>
      </w:r>
      <w:r w:rsidR="0066636A" w:rsidRPr="009262AF">
        <w:t xml:space="preserve">Targeting EWRs at Mittagang Crossing limits the spatial extent of environmental outcomes with improvement less evident immediately downstream of the </w:t>
      </w:r>
      <w:r w:rsidR="7EDBDA8B">
        <w:t>d</w:t>
      </w:r>
      <w:r w:rsidR="0066636A">
        <w:t>am.</w:t>
      </w:r>
      <w:r w:rsidR="0066636A" w:rsidRPr="009262AF">
        <w:t xml:space="preserve"> Targeting EWRs immediately downstream of the </w:t>
      </w:r>
      <w:r w:rsidR="5F73DDA8">
        <w:t>d</w:t>
      </w:r>
      <w:r w:rsidR="0066636A">
        <w:t>am</w:t>
      </w:r>
      <w:r w:rsidR="0066636A" w:rsidRPr="009262AF">
        <w:t xml:space="preserve">, to increase the spatial extent of environmental improvement, </w:t>
      </w:r>
      <w:r w:rsidR="0066636A">
        <w:t xml:space="preserve">is expected to </w:t>
      </w:r>
      <w:r w:rsidR="0066636A" w:rsidRPr="009262AF">
        <w:t xml:space="preserve">increase the volume of additional water required by approximately </w:t>
      </w:r>
      <w:r w:rsidR="0066636A" w:rsidRPr="00786220">
        <w:t>20 GL</w:t>
      </w:r>
      <w:r w:rsidR="006F3408" w:rsidRPr="00786220">
        <w:t xml:space="preserve">, </w:t>
      </w:r>
      <w:r w:rsidR="00C1706E" w:rsidRPr="00786220">
        <w:t>which would increase</w:t>
      </w:r>
      <w:r w:rsidR="006F3408" w:rsidRPr="00786220">
        <w:t xml:space="preserve"> the </w:t>
      </w:r>
      <w:r w:rsidR="00C1706E">
        <w:t>average</w:t>
      </w:r>
      <w:r w:rsidR="006F3408">
        <w:t xml:space="preserve"> </w:t>
      </w:r>
      <w:r w:rsidR="00E77B37">
        <w:t xml:space="preserve">annual release </w:t>
      </w:r>
      <w:r w:rsidR="006F3408" w:rsidRPr="00786220">
        <w:t xml:space="preserve">volume </w:t>
      </w:r>
      <w:r w:rsidR="00C1706E" w:rsidRPr="00786220">
        <w:t>under</w:t>
      </w:r>
      <w:r w:rsidR="006F3408" w:rsidRPr="00786220">
        <w:t xml:space="preserve"> Option 3</w:t>
      </w:r>
      <w:r w:rsidR="00DB79BE" w:rsidRPr="00786220">
        <w:t xml:space="preserve"> to </w:t>
      </w:r>
      <w:r w:rsidR="006F3408" w:rsidRPr="00786220">
        <w:t xml:space="preserve">approximately </w:t>
      </w:r>
      <w:r w:rsidR="00DB79BE" w:rsidRPr="00786220">
        <w:t>95 GL</w:t>
      </w:r>
      <w:r w:rsidR="0066636A" w:rsidRPr="00786220">
        <w:t>.</w:t>
      </w:r>
    </w:p>
    <w:p w14:paraId="550140F1" w14:textId="358F9521" w:rsidR="0066636A" w:rsidRDefault="00382EE8" w:rsidP="0066636A">
      <w:r>
        <w:rPr>
          <w:rFonts w:ascii="ZWAdobeF" w:hAnsi="ZWAdobeF" w:cs="ZWAdobeF"/>
          <w:sz w:val="2"/>
          <w:szCs w:val="2"/>
        </w:rPr>
        <w:t>887B</w:t>
      </w:r>
      <w:r w:rsidR="0066636A" w:rsidRPr="009262AF">
        <w:t>The results indicate strong improvements in EWR achievement and ecological condition in central and downstream reaches. However, the option does not include the high magnitude channel maintenance flows capable of mobilising sediment and re-establishing critical refuge habitat. As a result, while productivity, water quality and habitat availability improve, geomorphic recovery and system</w:t>
      </w:r>
      <w:r w:rsidR="0066636A" w:rsidRPr="009262AF">
        <w:noBreakHyphen/>
        <w:t>scale connectivity remain limited. This option supports partial ecological recovery, but not full restoration of key processes.</w:t>
      </w:r>
    </w:p>
    <w:p w14:paraId="71B9E6DA" w14:textId="32487FDB" w:rsidR="0066636A" w:rsidRDefault="0066636A" w:rsidP="0066636A">
      <w:pPr>
        <w:pStyle w:val="Sub-Heading"/>
        <w:rPr>
          <w:rFonts w:eastAsia="Calibri"/>
        </w:rPr>
      </w:pPr>
      <w:r>
        <w:rPr>
          <w:rFonts w:eastAsia="Calibri"/>
        </w:rPr>
        <w:t>Option 4 – System-scale recovery</w:t>
      </w:r>
    </w:p>
    <w:p w14:paraId="53208AF2" w14:textId="0BE399CA" w:rsidR="001A7DBC" w:rsidRPr="009262AF" w:rsidRDefault="00382EE8" w:rsidP="3D6F4344">
      <w:r>
        <w:rPr>
          <w:rFonts w:ascii="ZWAdobeF" w:hAnsi="ZWAdobeF" w:cs="ZWAdobeF"/>
          <w:sz w:val="2"/>
          <w:szCs w:val="2"/>
        </w:rPr>
        <w:t>888B</w:t>
      </w:r>
      <w:r w:rsidR="001A7DBC" w:rsidRPr="009262AF">
        <w:t>Option 4 builds on Option 3 to provide the most complete expression of ecological flow components and the strongest overall outcomes, but with greater infrastructure and water release requirements. The flow regime includes variable baseflows, diverse freshes, bankfull flows and the high magnitude channel maintenance flow released from Tantangara Dam. These higher</w:t>
      </w:r>
      <w:r w:rsidR="1463BDDB">
        <w:t xml:space="preserve"> </w:t>
      </w:r>
      <w:r w:rsidR="001A7DBC" w:rsidRPr="009262AF">
        <w:t>magnitude flows are designed to exceed geomorphic thresholds required for sediment mobilisation, channel maintenance and habitat resetting. The flows are designed to primarily target EWRs at Mittagang Crossing</w:t>
      </w:r>
      <w:r w:rsidR="024618A5">
        <w:t>.</w:t>
      </w:r>
    </w:p>
    <w:p w14:paraId="227F442D" w14:textId="6840755F" w:rsidR="001A7DBC" w:rsidRPr="009262AF" w:rsidRDefault="00382EE8" w:rsidP="3D6F4344">
      <w:r>
        <w:rPr>
          <w:rFonts w:ascii="ZWAdobeF" w:hAnsi="ZWAdobeF" w:cs="ZWAdobeF"/>
          <w:sz w:val="2"/>
          <w:szCs w:val="2"/>
        </w:rPr>
        <w:t>889B</w:t>
      </w:r>
      <w:r w:rsidR="001A7DBC" w:rsidRPr="009262AF">
        <w:t xml:space="preserve">Delivering the channel maintenance flow </w:t>
      </w:r>
      <w:r w:rsidR="00D11922">
        <w:t xml:space="preserve">is the key differentiator </w:t>
      </w:r>
      <w:r w:rsidR="00265DFD">
        <w:t xml:space="preserve">between Option 3 and 4, </w:t>
      </w:r>
      <w:r w:rsidR="00265DFD" w:rsidRPr="009262AF">
        <w:t>requir</w:t>
      </w:r>
      <w:r w:rsidR="00265DFD">
        <w:t>ing</w:t>
      </w:r>
      <w:r w:rsidR="001A7DBC" w:rsidRPr="009262AF">
        <w:t xml:space="preserve"> the </w:t>
      </w:r>
      <w:r w:rsidR="664CE5C7">
        <w:t>d</w:t>
      </w:r>
      <w:r w:rsidR="001A7DBC">
        <w:t>am</w:t>
      </w:r>
      <w:r w:rsidR="001A7DBC" w:rsidRPr="009262AF">
        <w:t xml:space="preserve"> outlet </w:t>
      </w:r>
      <w:r w:rsidR="001A7DBC">
        <w:t>val</w:t>
      </w:r>
      <w:r w:rsidR="71B949D3">
        <w:t>v</w:t>
      </w:r>
      <w:r w:rsidR="001A7DBC">
        <w:t>e</w:t>
      </w:r>
      <w:r w:rsidR="001A7DBC" w:rsidRPr="009262AF">
        <w:t xml:space="preserve"> to be upgraded </w:t>
      </w:r>
      <w:r w:rsidR="006B5BBD">
        <w:t xml:space="preserve">to provide a flow of up to </w:t>
      </w:r>
      <w:r w:rsidR="001A7DBC" w:rsidRPr="009262AF">
        <w:t>6000 ML / day maximum release rate</w:t>
      </w:r>
      <w:r w:rsidR="00893C1B">
        <w:t>, with a corresponding increase to the volume of environmental water required</w:t>
      </w:r>
      <w:r w:rsidR="001A7DBC" w:rsidRPr="009262AF">
        <w:t xml:space="preserve">. </w:t>
      </w:r>
    </w:p>
    <w:p w14:paraId="07673929" w14:textId="29DEED40" w:rsidR="001A7DBC" w:rsidRPr="009262AF" w:rsidRDefault="00382EE8" w:rsidP="3D6F4344">
      <w:pPr>
        <w:rPr>
          <w:i/>
          <w:iCs/>
        </w:rPr>
      </w:pPr>
      <w:r>
        <w:rPr>
          <w:rFonts w:ascii="ZWAdobeF" w:hAnsi="ZWAdobeF" w:cs="ZWAdobeF"/>
          <w:iCs/>
          <w:sz w:val="2"/>
          <w:szCs w:val="2"/>
        </w:rPr>
        <w:t>890B</w:t>
      </w:r>
      <w:r w:rsidR="001A7DBC" w:rsidRPr="009262AF">
        <w:rPr>
          <w:i/>
          <w:iCs/>
        </w:rPr>
        <w:t>Option 4 represents 29.9% of the</w:t>
      </w:r>
      <w:r w:rsidR="001A7DBC">
        <w:rPr>
          <w:i/>
          <w:iCs/>
        </w:rPr>
        <w:t xml:space="preserve"> ANF and targets EWRs at Mittagang Crossing</w:t>
      </w:r>
      <w:r w:rsidR="001A7DBC" w:rsidRPr="009262AF">
        <w:rPr>
          <w:i/>
          <w:iCs/>
        </w:rPr>
        <w:t>. The mean annual volume of water released from Tantangara Dam is 82.4 GL</w:t>
      </w:r>
      <w:r w:rsidR="001A7DBC">
        <w:rPr>
          <w:i/>
          <w:iCs/>
        </w:rPr>
        <w:t xml:space="preserve"> (excluding cultural flow)</w:t>
      </w:r>
      <w:r w:rsidR="001A7DBC" w:rsidRPr="009262AF">
        <w:rPr>
          <w:i/>
          <w:iCs/>
        </w:rPr>
        <w:t>.</w:t>
      </w:r>
    </w:p>
    <w:p w14:paraId="1E087FF6" w14:textId="0C801CD6" w:rsidR="001A7DBC" w:rsidRPr="009262AF" w:rsidRDefault="00382EE8" w:rsidP="3D6F4344">
      <w:r>
        <w:rPr>
          <w:rFonts w:ascii="ZWAdobeF" w:hAnsi="ZWAdobeF" w:cs="ZWAdobeF"/>
          <w:sz w:val="2"/>
          <w:szCs w:val="2"/>
        </w:rPr>
        <w:t>891B</w:t>
      </w:r>
      <w:r w:rsidR="001A7DBC">
        <w:t xml:space="preserve">Targeting EWRs at Mittagang Crossing limits the spatial extent of environmental outcomes with improvement less evident immediately downstream of the </w:t>
      </w:r>
      <w:r w:rsidR="5BC330C6">
        <w:t>d</w:t>
      </w:r>
      <w:r w:rsidR="001A7DBC">
        <w:t xml:space="preserve">am. Similar to Option 3, targeting EWRs immediately downstream of the </w:t>
      </w:r>
      <w:r w:rsidR="0FA7F7EF">
        <w:t>d</w:t>
      </w:r>
      <w:r w:rsidR="001A7DBC">
        <w:t>am, to increase the spatial extent of environmental improvement is estimated to increase the volume of additional water required under Option</w:t>
      </w:r>
      <w:r w:rsidR="00A81EA1">
        <w:t xml:space="preserve"> </w:t>
      </w:r>
      <w:r w:rsidR="001A7DBC">
        <w:t xml:space="preserve">4 by approximately </w:t>
      </w:r>
      <w:r w:rsidR="001A7DBC" w:rsidRPr="00786220">
        <w:t>20 GL</w:t>
      </w:r>
      <w:r w:rsidR="00893C1B">
        <w:t xml:space="preserve">, </w:t>
      </w:r>
      <w:r w:rsidR="00E77B37">
        <w:t>which would increase average annual release</w:t>
      </w:r>
      <w:r w:rsidR="00893C1B">
        <w:t xml:space="preserve"> volume </w:t>
      </w:r>
      <w:r w:rsidR="006F3408">
        <w:t xml:space="preserve">of Option 4 </w:t>
      </w:r>
      <w:r w:rsidR="00893C1B">
        <w:t>to 102 GL</w:t>
      </w:r>
      <w:r w:rsidR="001A7DBC">
        <w:t>.</w:t>
      </w:r>
    </w:p>
    <w:p w14:paraId="4721BE55" w14:textId="008F175E" w:rsidR="001A7DBC" w:rsidRPr="009262AF" w:rsidRDefault="00382EE8" w:rsidP="3D6F4344">
      <w:r>
        <w:rPr>
          <w:rFonts w:ascii="ZWAdobeF" w:hAnsi="ZWAdobeF" w:cs="ZWAdobeF"/>
          <w:sz w:val="2"/>
          <w:szCs w:val="2"/>
        </w:rPr>
        <w:t>892B</w:t>
      </w:r>
      <w:r w:rsidR="001A7DBC" w:rsidRPr="009262AF">
        <w:t>Option 4 consistently achieves the highest level of EWR performance and is the only scenario that restores both variability and disturbance processes necessary for system</w:t>
      </w:r>
      <w:r w:rsidR="001A7DBC" w:rsidRPr="009262AF">
        <w:noBreakHyphen/>
        <w:t xml:space="preserve">scale ecological recovery. </w:t>
      </w:r>
      <w:r w:rsidR="001A7DBC" w:rsidRPr="009262AF">
        <w:lastRenderedPageBreak/>
        <w:t xml:space="preserve">Ecological benefits extend across large sections of the river network, supporting improved river condition, connectivity and </w:t>
      </w:r>
      <w:r w:rsidR="00BF255D">
        <w:t xml:space="preserve">a </w:t>
      </w:r>
      <w:r w:rsidR="001A7DBC">
        <w:t>substantial</w:t>
      </w:r>
      <w:r w:rsidR="001A7DBC" w:rsidRPr="009262AF">
        <w:t xml:space="preserve"> increase</w:t>
      </w:r>
      <w:r w:rsidR="00BF255D">
        <w:t xml:space="preserve"> in the </w:t>
      </w:r>
      <w:r w:rsidR="00CE68C0">
        <w:t xml:space="preserve">abundance of </w:t>
      </w:r>
      <w:r w:rsidR="00F87363">
        <w:t xml:space="preserve">the </w:t>
      </w:r>
      <w:r w:rsidR="004E205F">
        <w:t>key indicator species</w:t>
      </w:r>
      <w:r w:rsidR="00F87363">
        <w:t>,</w:t>
      </w:r>
      <w:r w:rsidR="001A7DBC" w:rsidRPr="009262AF">
        <w:t xml:space="preserve"> Macquarie </w:t>
      </w:r>
      <w:r w:rsidR="79A06D2B">
        <w:t>P</w:t>
      </w:r>
      <w:r w:rsidR="001A7DBC">
        <w:t>erch</w:t>
      </w:r>
      <w:r w:rsidR="001A7DBC" w:rsidRPr="009262AF">
        <w:t>. This option provides a deliberate shift toward ecosystem recovery rather than stabilisation of the current conditions.</w:t>
      </w:r>
    </w:p>
    <w:p w14:paraId="1BF4BC45" w14:textId="66327ED8" w:rsidR="0066636A" w:rsidRPr="009262AF" w:rsidRDefault="001D29C9" w:rsidP="001A7DBC">
      <w:pPr>
        <w:pStyle w:val="Sub-Heading"/>
      </w:pPr>
      <w:r>
        <w:rPr>
          <w:rFonts w:eastAsia="Calibri"/>
        </w:rPr>
        <w:t>Option 5 – Near-term, climate</w:t>
      </w:r>
      <w:r w:rsidR="417A11F0" w:rsidRPr="69FE6456">
        <w:rPr>
          <w:rFonts w:eastAsia="Calibri"/>
        </w:rPr>
        <w:t xml:space="preserve"> </w:t>
      </w:r>
      <w:r>
        <w:rPr>
          <w:rFonts w:eastAsia="Calibri"/>
        </w:rPr>
        <w:t>responsive approach</w:t>
      </w:r>
    </w:p>
    <w:p w14:paraId="53B15CDC" w14:textId="1E0D5553" w:rsidR="00796155" w:rsidRPr="009262AF" w:rsidRDefault="00382EE8" w:rsidP="3D6F4344">
      <w:r>
        <w:rPr>
          <w:rFonts w:ascii="ZWAdobeF" w:hAnsi="ZWAdobeF" w:cs="ZWAdobeF"/>
          <w:sz w:val="2"/>
          <w:szCs w:val="2"/>
        </w:rPr>
        <w:t>893B</w:t>
      </w:r>
      <w:r w:rsidR="00796155" w:rsidRPr="009262AF">
        <w:t>Option 5 presents a near</w:t>
      </w:r>
      <w:r w:rsidR="00796155" w:rsidRPr="009262AF">
        <w:noBreakHyphen/>
        <w:t xml:space="preserve">term option, </w:t>
      </w:r>
      <w:r w:rsidR="00796155">
        <w:t>which could be delivered without increasing the release capacity of the Tantangara outlet, and applies</w:t>
      </w:r>
      <w:r w:rsidR="00796155" w:rsidRPr="009262AF">
        <w:t xml:space="preserve"> an adaptive delivery strategy which aligns the flow components (targeted EWRs) with the climate conditions. </w:t>
      </w:r>
    </w:p>
    <w:p w14:paraId="56443644" w14:textId="01FB3AD9" w:rsidR="00796155" w:rsidRPr="009262AF" w:rsidRDefault="00382EE8" w:rsidP="3D6F4344">
      <w:r>
        <w:rPr>
          <w:rFonts w:ascii="ZWAdobeF" w:hAnsi="ZWAdobeF" w:cs="ZWAdobeF"/>
          <w:sz w:val="2"/>
          <w:szCs w:val="2"/>
        </w:rPr>
        <w:t>894B</w:t>
      </w:r>
      <w:r w:rsidR="00796155" w:rsidRPr="009262AF">
        <w:t xml:space="preserve">Reliable fixed baseflows are delivered under dry conditions, with seasonally variable baseflows, freshes and </w:t>
      </w:r>
      <w:r w:rsidR="00796155">
        <w:t>higher</w:t>
      </w:r>
      <w:r w:rsidR="5EB83837">
        <w:t xml:space="preserve"> </w:t>
      </w:r>
      <w:r w:rsidR="00796155">
        <w:t>flow</w:t>
      </w:r>
      <w:r w:rsidR="00796155" w:rsidRPr="009262AF">
        <w:t xml:space="preserve"> components delivered in moderate to wet conditions, opportunistically aligned with the </w:t>
      </w:r>
      <w:r w:rsidR="005E7D7E">
        <w:t>weather</w:t>
      </w:r>
      <w:r w:rsidR="00B30500">
        <w:t xml:space="preserve"> events</w:t>
      </w:r>
      <w:r w:rsidR="00796155" w:rsidRPr="009262AF">
        <w:t>, catchment conditions and water availability. Low</w:t>
      </w:r>
      <w:r w:rsidR="2A90780F">
        <w:t xml:space="preserve"> </w:t>
      </w:r>
      <w:r w:rsidR="00796155" w:rsidRPr="009262AF">
        <w:t xml:space="preserve">flow and baseflow EWRs are targeted immediately downstream of Tantangara Dam, while high flows are targeting EWRs at </w:t>
      </w:r>
      <w:r w:rsidR="00796155">
        <w:t>Mittagang Crossing</w:t>
      </w:r>
      <w:r w:rsidR="00796155" w:rsidRPr="009262AF">
        <w:t xml:space="preserve"> to ‘piggy-back’ on top of natural flows from downstream tributaries for more effective use of the available water. The magnitude of water releases </w:t>
      </w:r>
      <w:r w:rsidR="5737B836">
        <w:t xml:space="preserve">is </w:t>
      </w:r>
      <w:r w:rsidR="00796155">
        <w:t>constrained</w:t>
      </w:r>
      <w:r w:rsidR="00796155" w:rsidRPr="009262AF">
        <w:t xml:space="preserve"> to the capacity of the existing </w:t>
      </w:r>
      <w:r w:rsidR="13B333B3">
        <w:t>d</w:t>
      </w:r>
      <w:r w:rsidR="00796155" w:rsidRPr="009262AF">
        <w:t>am outlet valve.</w:t>
      </w:r>
    </w:p>
    <w:p w14:paraId="11E2C073" w14:textId="0AB2A1F0" w:rsidR="00796155" w:rsidRPr="009262AF" w:rsidRDefault="00382EE8" w:rsidP="3D6F4344">
      <w:pPr>
        <w:rPr>
          <w:i/>
          <w:iCs/>
        </w:rPr>
      </w:pPr>
      <w:r>
        <w:rPr>
          <w:rFonts w:ascii="ZWAdobeF" w:hAnsi="ZWAdobeF" w:cs="ZWAdobeF"/>
          <w:iCs/>
          <w:sz w:val="2"/>
          <w:szCs w:val="2"/>
        </w:rPr>
        <w:t>895B</w:t>
      </w:r>
      <w:r w:rsidR="00796155" w:rsidRPr="009262AF">
        <w:rPr>
          <w:i/>
          <w:iCs/>
        </w:rPr>
        <w:t>Option 5 represents 22.</w:t>
      </w:r>
      <w:r w:rsidR="00796155">
        <w:rPr>
          <w:i/>
          <w:iCs/>
        </w:rPr>
        <w:t>8</w:t>
      </w:r>
      <w:r w:rsidR="00796155" w:rsidRPr="009262AF">
        <w:rPr>
          <w:i/>
          <w:iCs/>
        </w:rPr>
        <w:t>% of the ‘natural’ flow (without development). The mean annual volume of water released from Tantangara Dam is 63.0 GL</w:t>
      </w:r>
      <w:r w:rsidR="00796155">
        <w:rPr>
          <w:i/>
          <w:iCs/>
        </w:rPr>
        <w:t xml:space="preserve"> (</w:t>
      </w:r>
      <w:r w:rsidR="00796155" w:rsidRPr="00823853">
        <w:rPr>
          <w:i/>
        </w:rPr>
        <w:t>excluding cultural flow</w:t>
      </w:r>
      <w:r w:rsidR="00796155">
        <w:rPr>
          <w:i/>
          <w:iCs/>
        </w:rPr>
        <w:t>)</w:t>
      </w:r>
      <w:r w:rsidR="00796155" w:rsidRPr="009262AF">
        <w:rPr>
          <w:i/>
          <w:iCs/>
        </w:rPr>
        <w:t>.</w:t>
      </w:r>
    </w:p>
    <w:p w14:paraId="42FDA4EA" w14:textId="3F49BBB3" w:rsidR="00796155" w:rsidRPr="009262AF" w:rsidRDefault="00382EE8" w:rsidP="3D6F4344">
      <w:r>
        <w:rPr>
          <w:rFonts w:ascii="ZWAdobeF" w:hAnsi="ZWAdobeF" w:cs="ZWAdobeF"/>
          <w:sz w:val="2"/>
          <w:szCs w:val="2"/>
        </w:rPr>
        <w:t>896B</w:t>
      </w:r>
      <w:r w:rsidR="00796155" w:rsidRPr="009262AF">
        <w:t xml:space="preserve">The alignment of flow targets with climate conditions reduces the volume of additional environmental water and reduces the impact on Tantangara storage volumes. </w:t>
      </w:r>
    </w:p>
    <w:p w14:paraId="17AC7423" w14:textId="2CBBE4EA" w:rsidR="00796155" w:rsidRDefault="00382EE8" w:rsidP="00796155">
      <w:r>
        <w:rPr>
          <w:rFonts w:ascii="ZWAdobeF" w:hAnsi="ZWAdobeF" w:cs="ZWAdobeF"/>
          <w:sz w:val="2"/>
          <w:szCs w:val="2"/>
        </w:rPr>
        <w:t>897B</w:t>
      </w:r>
      <w:r w:rsidR="00796155" w:rsidRPr="009262AF">
        <w:t xml:space="preserve">This option improves water quality, habitat persistence and local productivity in upstream reaches and reduces exposure to prolonged </w:t>
      </w:r>
      <w:r w:rsidR="00796155" w:rsidDel="00796155">
        <w:t>lo</w:t>
      </w:r>
      <w:r w:rsidR="50ACAC59">
        <w:t>w flow</w:t>
      </w:r>
      <w:r w:rsidR="00796155" w:rsidRPr="009262AF">
        <w:t xml:space="preserve"> stress. It demonstrates that improvements in low</w:t>
      </w:r>
      <w:r w:rsidR="46587B21">
        <w:t xml:space="preserve"> </w:t>
      </w:r>
      <w:r w:rsidR="00796155" w:rsidRPr="009262AF">
        <w:t>flow resilience can be achieved without infrastructure upgrades, however, reduced delivery of higher</w:t>
      </w:r>
      <w:r w:rsidR="7B1E7A91">
        <w:t xml:space="preserve"> </w:t>
      </w:r>
      <w:r w:rsidR="00796155" w:rsidRPr="009262AF">
        <w:t>magnitude disturbance flows limits sediment transport, geomorphic recovery and downstream connectivity that constrains system</w:t>
      </w:r>
      <w:r w:rsidR="00796155" w:rsidRPr="009262AF">
        <w:noBreakHyphen/>
        <w:t xml:space="preserve">wide recovery. </w:t>
      </w:r>
    </w:p>
    <w:p w14:paraId="7DDE7E25" w14:textId="3C57A5A4" w:rsidR="00796155" w:rsidRDefault="00796155" w:rsidP="00796155">
      <w:pPr>
        <w:pStyle w:val="Sub-Heading"/>
        <w:rPr>
          <w:rFonts w:eastAsia="Calibri"/>
        </w:rPr>
      </w:pPr>
      <w:r>
        <w:rPr>
          <w:rFonts w:eastAsia="Calibri"/>
        </w:rPr>
        <w:t>Cultural flow allocation</w:t>
      </w:r>
    </w:p>
    <w:p w14:paraId="15184FA9" w14:textId="21C20EBB" w:rsidR="004F58DD" w:rsidRDefault="00382EE8" w:rsidP="453B09E3">
      <w:bookmarkStart w:id="62" w:name="_Ref231997801"/>
      <w:r>
        <w:rPr>
          <w:rFonts w:ascii="ZWAdobeF" w:hAnsi="ZWAdobeF" w:cs="ZWAdobeF"/>
          <w:sz w:val="2"/>
          <w:szCs w:val="2"/>
        </w:rPr>
        <w:t>898B</w:t>
      </w:r>
      <w:r w:rsidR="004F58DD">
        <w:t xml:space="preserve">In line with advice from the </w:t>
      </w:r>
      <w:r w:rsidR="2D72321C">
        <w:t>a</w:t>
      </w:r>
      <w:r w:rsidR="004F58DD">
        <w:t xml:space="preserve">dvisory </w:t>
      </w:r>
      <w:r w:rsidR="5BB779CE">
        <w:t>g</w:t>
      </w:r>
      <w:r w:rsidR="004F58DD">
        <w:t>roups, a fixed allocation of 6 GL/year was added to Options 2</w:t>
      </w:r>
      <w:r w:rsidR="00D06DC3">
        <w:noBreakHyphen/>
      </w:r>
      <w:r w:rsidR="004F58DD">
        <w:t>5, as an additional release requirement over and above the environmental water release volumes outlined above. This approach was initially proposed by the FNAG</w:t>
      </w:r>
      <w:r w:rsidR="05CE12D6">
        <w:t xml:space="preserve"> and</w:t>
      </w:r>
      <w:r w:rsidR="004F58DD">
        <w:t xml:space="preserve"> broadly supported by the RCG and SAG. </w:t>
      </w:r>
    </w:p>
    <w:p w14:paraId="60B4B227" w14:textId="537745EA" w:rsidR="004F58DD" w:rsidRDefault="00382EE8" w:rsidP="453B09E3">
      <w:r>
        <w:rPr>
          <w:rFonts w:ascii="ZWAdobeF" w:hAnsi="ZWAdobeF" w:cs="ZWAdobeF"/>
          <w:sz w:val="2"/>
          <w:szCs w:val="2"/>
        </w:rPr>
        <w:t>899B</w:t>
      </w:r>
      <w:r w:rsidR="004F58DD">
        <w:t xml:space="preserve">For the purposes of the hydrological modelling and subsequent energy modelling, it was assumed that these </w:t>
      </w:r>
      <w:r w:rsidR="004F58DD" w:rsidRPr="00A823BC">
        <w:t>additional</w:t>
      </w:r>
      <w:r w:rsidR="004F58DD">
        <w:t xml:space="preserve"> </w:t>
      </w:r>
      <w:r w:rsidR="004F58DD" w:rsidRPr="00A823BC">
        <w:t>releases o</w:t>
      </w:r>
      <w:r w:rsidR="004F58DD">
        <w:t>f c</w:t>
      </w:r>
      <w:r w:rsidR="004F58DD" w:rsidRPr="00A823BC">
        <w:t>ultural</w:t>
      </w:r>
      <w:r w:rsidR="004F58DD">
        <w:t xml:space="preserve"> </w:t>
      </w:r>
      <w:r w:rsidR="755D315B">
        <w:t xml:space="preserve">water </w:t>
      </w:r>
      <w:r w:rsidR="004F58DD">
        <w:t xml:space="preserve">were delivered </w:t>
      </w:r>
      <w:r w:rsidR="004F58DD" w:rsidRPr="00A823BC">
        <w:t xml:space="preserve">on a </w:t>
      </w:r>
      <w:r w:rsidR="004F58DD">
        <w:t xml:space="preserve">fixed </w:t>
      </w:r>
      <w:r w:rsidR="004F58DD" w:rsidRPr="00A823BC">
        <w:t>pro-rata basis each day across the year to deliver 6</w:t>
      </w:r>
      <w:r w:rsidR="004F58DD">
        <w:t> </w:t>
      </w:r>
      <w:r w:rsidR="004F58DD" w:rsidRPr="00A823BC">
        <w:t>GL annually</w:t>
      </w:r>
      <w:r w:rsidR="2BFF9D56">
        <w:t>.</w:t>
      </w:r>
      <w:r w:rsidR="004F58DD">
        <w:t xml:space="preserve"> </w:t>
      </w:r>
      <w:r w:rsidR="48672FC9">
        <w:t>I</w:t>
      </w:r>
      <w:r w:rsidR="004F58DD">
        <w:t xml:space="preserve">n practice, the timing and specific use of the cultural releases would need to be determined by First Nations in a separate process outside the timeframes for this Review. </w:t>
      </w:r>
    </w:p>
    <w:p w14:paraId="0F235F02" w14:textId="75D3A53F" w:rsidR="004F58DD" w:rsidRDefault="00382EE8" w:rsidP="453B09E3">
      <w:r>
        <w:rPr>
          <w:rFonts w:ascii="ZWAdobeF" w:hAnsi="ZWAdobeF" w:cs="ZWAdobeF"/>
          <w:sz w:val="2"/>
          <w:szCs w:val="2"/>
        </w:rPr>
        <w:t>900B</w:t>
      </w:r>
      <w:r w:rsidR="004F58DD">
        <w:t xml:space="preserve">On this basis, a conservative approach was applied for the ecological assessment: </w:t>
      </w:r>
      <w:r w:rsidR="004F58DD" w:rsidRPr="00A823BC">
        <w:t>cultural</w:t>
      </w:r>
      <w:r w:rsidR="004F58DD">
        <w:t xml:space="preserve"> </w:t>
      </w:r>
      <w:r w:rsidR="004F58DD" w:rsidRPr="00A823BC">
        <w:t>water was assumed to be extracted</w:t>
      </w:r>
      <w:r w:rsidR="004F58DD">
        <w:t xml:space="preserve"> </w:t>
      </w:r>
      <w:r w:rsidR="004F58DD" w:rsidRPr="00A823BC">
        <w:t>immediately</w:t>
      </w:r>
      <w:r w:rsidR="004F58DD">
        <w:t xml:space="preserve"> </w:t>
      </w:r>
      <w:r w:rsidR="004F58DD" w:rsidRPr="00A823BC">
        <w:t>below the dam, to avoid the</w:t>
      </w:r>
      <w:r w:rsidR="004F58DD">
        <w:t xml:space="preserve"> </w:t>
      </w:r>
      <w:r w:rsidR="004F58DD" w:rsidRPr="00A823BC">
        <w:t xml:space="preserve">ecological outcomes being </w:t>
      </w:r>
      <w:r w:rsidR="004F58DD">
        <w:t>predicated</w:t>
      </w:r>
      <w:r w:rsidR="004F58DD" w:rsidRPr="00A823BC">
        <w:t xml:space="preserve"> on</w:t>
      </w:r>
      <w:r w:rsidR="004F58DD">
        <w:t xml:space="preserve"> </w:t>
      </w:r>
      <w:r w:rsidR="004F58DD" w:rsidRPr="00A823BC">
        <w:t>cultural</w:t>
      </w:r>
      <w:r w:rsidR="004F58DD">
        <w:t xml:space="preserve"> </w:t>
      </w:r>
      <w:r w:rsidR="004F58DD" w:rsidRPr="00A823BC">
        <w:t>water releases. In practice,</w:t>
      </w:r>
      <w:r w:rsidR="004F58DD">
        <w:t xml:space="preserve"> </w:t>
      </w:r>
      <w:r w:rsidR="004F58DD" w:rsidRPr="00A823BC">
        <w:t>cultural</w:t>
      </w:r>
      <w:r w:rsidR="004F58DD">
        <w:t xml:space="preserve"> </w:t>
      </w:r>
      <w:r w:rsidR="004F58DD" w:rsidRPr="00A823BC">
        <w:t xml:space="preserve">water may contribute to environmental outcomes </w:t>
      </w:r>
      <w:r w:rsidR="004F58DD">
        <w:t xml:space="preserve">and provide additional benefits not quantified in this assessment, </w:t>
      </w:r>
      <w:r w:rsidR="004F58DD" w:rsidRPr="00A823BC">
        <w:t>however this would be subject to the management decisions of First Nations in the management of this water.</w:t>
      </w:r>
    </w:p>
    <w:p w14:paraId="5B008539" w14:textId="2365073E" w:rsidR="004F58DD" w:rsidRDefault="00382EE8" w:rsidP="453B09E3">
      <w:r>
        <w:rPr>
          <w:rFonts w:ascii="ZWAdobeF" w:hAnsi="ZWAdobeF" w:cs="ZWAdobeF"/>
          <w:sz w:val="2"/>
          <w:szCs w:val="2"/>
        </w:rPr>
        <w:lastRenderedPageBreak/>
        <w:t>901B</w:t>
      </w:r>
      <w:r w:rsidR="004F58DD" w:rsidRPr="00D26727">
        <w:rPr>
          <w:b/>
        </w:rPr>
        <w:fldChar w:fldCharType="begin" w:fldLock="1"/>
      </w:r>
      <w:r w:rsidR="004F58DD" w:rsidRPr="00D26727">
        <w:rPr>
          <w:b/>
        </w:rPr>
        <w:instrText xml:space="preserve"> REF _Ref231997796 \h  \* MERGEFORMAT </w:instrText>
      </w:r>
      <w:r w:rsidR="004F58DD" w:rsidRPr="00D26727">
        <w:rPr>
          <w:b/>
        </w:rPr>
      </w:r>
      <w:r w:rsidR="004F58DD" w:rsidRPr="00D26727">
        <w:rPr>
          <w:b/>
        </w:rPr>
        <w:fldChar w:fldCharType="separate"/>
      </w:r>
      <w:r w:rsidR="004F58DD" w:rsidRPr="00D26727">
        <w:rPr>
          <w:b/>
        </w:rPr>
        <w:t xml:space="preserve">Figure </w:t>
      </w:r>
      <w:r w:rsidR="004F58DD" w:rsidRPr="00D26727">
        <w:rPr>
          <w:b/>
        </w:rPr>
        <w:fldChar w:fldCharType="end"/>
      </w:r>
      <w:r w:rsidR="00CC44A7">
        <w:rPr>
          <w:b/>
          <w:bCs/>
        </w:rPr>
        <w:t>10</w:t>
      </w:r>
      <w:r w:rsidR="004F58DD" w:rsidRPr="00D26727">
        <w:rPr>
          <w:b/>
        </w:rPr>
        <w:t>,</w:t>
      </w:r>
      <w:r w:rsidR="004F58DD">
        <w:t xml:space="preserve"> below, shows the modelled annual releases from Tantangara Dam under each option, including 6</w:t>
      </w:r>
      <w:r w:rsidR="007A6AAD">
        <w:t xml:space="preserve"> </w:t>
      </w:r>
      <w:r w:rsidR="004F58DD">
        <w:t xml:space="preserve">GL/year cultural water releases. </w:t>
      </w:r>
    </w:p>
    <w:p w14:paraId="68699786" w14:textId="55D9E64D" w:rsidR="0056687B" w:rsidRPr="002D287D" w:rsidRDefault="00382EE8" w:rsidP="0056687B">
      <w:pPr>
        <w:pStyle w:val="Caption"/>
        <w:keepNext/>
        <w:jc w:val="both"/>
        <w:rPr>
          <w:b/>
          <w:iCs w:val="0"/>
          <w:color w:val="auto"/>
          <w:sz w:val="20"/>
          <w:szCs w:val="20"/>
        </w:rPr>
      </w:pPr>
      <w:bookmarkStart w:id="63" w:name="_Ref231997796"/>
      <w:bookmarkEnd w:id="62"/>
      <w:r>
        <w:rPr>
          <w:rFonts w:ascii="ZWAdobeF" w:hAnsi="ZWAdobeF" w:cs="ZWAdobeF"/>
          <w:i w:val="0"/>
          <w:iCs w:val="0"/>
          <w:color w:val="auto"/>
          <w:sz w:val="2"/>
          <w:szCs w:val="2"/>
        </w:rPr>
        <w:t>6B</w:t>
      </w:r>
      <w:r w:rsidR="0056687B" w:rsidRPr="002D287D">
        <w:rPr>
          <w:b/>
          <w:iCs w:val="0"/>
          <w:color w:val="auto"/>
          <w:sz w:val="20"/>
          <w:szCs w:val="20"/>
        </w:rPr>
        <w:t xml:space="preserve">Figure </w:t>
      </w:r>
      <w:r w:rsidR="0056687B" w:rsidRPr="002D287D">
        <w:rPr>
          <w:b/>
          <w:iCs w:val="0"/>
          <w:color w:val="auto"/>
          <w:sz w:val="20"/>
          <w:szCs w:val="20"/>
        </w:rPr>
        <w:fldChar w:fldCharType="begin"/>
      </w:r>
      <w:r w:rsidR="0056687B" w:rsidRPr="002D287D">
        <w:rPr>
          <w:b/>
          <w:iCs w:val="0"/>
          <w:color w:val="auto"/>
          <w:sz w:val="20"/>
          <w:szCs w:val="20"/>
        </w:rPr>
        <w:instrText xml:space="preserve"> SEQ Figure \* ARABIC </w:instrText>
      </w:r>
      <w:r w:rsidR="0056687B" w:rsidRPr="002D287D">
        <w:rPr>
          <w:b/>
          <w:iCs w:val="0"/>
          <w:color w:val="auto"/>
          <w:sz w:val="20"/>
          <w:szCs w:val="20"/>
        </w:rPr>
        <w:fldChar w:fldCharType="separate"/>
      </w:r>
      <w:r w:rsidR="0005178F">
        <w:rPr>
          <w:b/>
          <w:iCs w:val="0"/>
          <w:noProof/>
          <w:color w:val="auto"/>
          <w:sz w:val="20"/>
          <w:szCs w:val="20"/>
        </w:rPr>
        <w:t>10</w:t>
      </w:r>
      <w:r w:rsidR="0056687B" w:rsidRPr="002D287D">
        <w:rPr>
          <w:b/>
          <w:iCs w:val="0"/>
          <w:color w:val="auto"/>
          <w:sz w:val="20"/>
          <w:szCs w:val="20"/>
        </w:rPr>
        <w:fldChar w:fldCharType="end"/>
      </w:r>
      <w:r w:rsidR="0056687B" w:rsidRPr="002D287D">
        <w:rPr>
          <w:b/>
          <w:iCs w:val="0"/>
          <w:color w:val="auto"/>
          <w:sz w:val="20"/>
          <w:szCs w:val="20"/>
        </w:rPr>
        <w:t>: Modelled releases from Tantangara Dam (including 6GL cultural water releases assumed to be extracted for cultural purposes immediately downstream at the dam)</w:t>
      </w:r>
    </w:p>
    <w:p w14:paraId="3E03D012" w14:textId="416B8BAB" w:rsidR="004F58DD" w:rsidRDefault="00382EE8" w:rsidP="004F58DD">
      <w:pPr>
        <w:keepNext/>
        <w:spacing w:before="210" w:after="210" w:line="300" w:lineRule="auto"/>
      </w:pPr>
      <w:r>
        <w:rPr>
          <w:rFonts w:ascii="ZWAdobeF" w:hAnsi="ZWAdobeF" w:cs="ZWAdobeF"/>
          <w:sz w:val="2"/>
          <w:szCs w:val="2"/>
        </w:rPr>
        <w:t>902B</w:t>
      </w:r>
      <w:r w:rsidR="42E7BF33" w:rsidRPr="004D4D79">
        <w:rPr>
          <w:noProof/>
        </w:rPr>
        <w:drawing>
          <wp:inline distT="0" distB="0" distL="0" distR="0" wp14:anchorId="4D9DC901" wp14:editId="2BC91949">
            <wp:extent cx="6005408" cy="3136706"/>
            <wp:effectExtent l="0" t="0" r="0" b="6985"/>
            <wp:docPr id="1878684196" name="Picture 11" descr="P9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84196" name="Picture 11" descr="P946#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3131" cy="3140740"/>
                    </a:xfrm>
                    <a:prstGeom prst="rect">
                      <a:avLst/>
                    </a:prstGeom>
                    <a:noFill/>
                    <a:ln>
                      <a:noFill/>
                    </a:ln>
                  </pic:spPr>
                </pic:pic>
              </a:graphicData>
            </a:graphic>
          </wp:inline>
        </w:drawing>
      </w:r>
    </w:p>
    <w:p w14:paraId="588F93B0" w14:textId="13B6C87E" w:rsidR="0093555A" w:rsidRDefault="0093555A" w:rsidP="005D23AA">
      <w:pPr>
        <w:pStyle w:val="ReviewHeading2"/>
        <w:jc w:val="left"/>
      </w:pPr>
      <w:bookmarkStart w:id="64" w:name="_Toc233285603"/>
      <w:bookmarkStart w:id="65" w:name="_Toc233801482"/>
      <w:bookmarkEnd w:id="63"/>
      <w:r>
        <w:t>4.5 Upper Murrumbidgee: Evaluating environmental outcomes from environmental water delivery options</w:t>
      </w:r>
      <w:bookmarkEnd w:id="64"/>
      <w:bookmarkEnd w:id="65"/>
    </w:p>
    <w:p w14:paraId="3D2B6BB5" w14:textId="4054D10A" w:rsidR="0093555A" w:rsidRPr="009262AF" w:rsidRDefault="006C7846" w:rsidP="006C7846">
      <w:pPr>
        <w:pStyle w:val="ReviewHeading3"/>
      </w:pPr>
      <w:r>
        <w:t>Comparative ecological performance of options</w:t>
      </w:r>
    </w:p>
    <w:p w14:paraId="2D9E8ABA" w14:textId="44887133" w:rsidR="00376ED7" w:rsidRDefault="00382EE8" w:rsidP="00CA66B9">
      <w:r>
        <w:rPr>
          <w:rFonts w:ascii="ZWAdobeF" w:hAnsi="ZWAdobeF" w:cs="ZWAdobeF"/>
          <w:sz w:val="2"/>
          <w:szCs w:val="2"/>
        </w:rPr>
        <w:t>903B</w:t>
      </w:r>
      <w:r w:rsidR="00376ED7" w:rsidRPr="009262AF">
        <w:t xml:space="preserve">The </w:t>
      </w:r>
      <w:r w:rsidR="00376ED7" w:rsidRPr="009262AF">
        <w:rPr>
          <w:i/>
          <w:iCs/>
        </w:rPr>
        <w:t>Ecology Technical Report</w:t>
      </w:r>
      <w:r w:rsidR="00376ED7" w:rsidRPr="009262AF">
        <w:t xml:space="preserve"> demonstrates that the environmental flow options produce markedly different ecological outcomes, reflecting differences in both the </w:t>
      </w:r>
      <w:r w:rsidR="00376ED7">
        <w:t xml:space="preserve">effectiveness </w:t>
      </w:r>
      <w:r w:rsidR="00376ED7" w:rsidRPr="009262AF">
        <w:t>of water delivered and the configuration of the flow regime</w:t>
      </w:r>
      <w:r w:rsidR="00376ED7">
        <w:t>s</w:t>
      </w:r>
      <w:r w:rsidR="00376ED7" w:rsidRPr="009262AF">
        <w:t>.</w:t>
      </w:r>
      <w:r w:rsidR="00376ED7">
        <w:t xml:space="preserve"> </w:t>
      </w:r>
      <w:r w:rsidR="00376ED7" w:rsidRPr="00D94815">
        <w:rPr>
          <w:b/>
        </w:rPr>
        <w:fldChar w:fldCharType="begin" w:fldLock="1"/>
      </w:r>
      <w:r w:rsidR="00376ED7" w:rsidRPr="00D94815">
        <w:rPr>
          <w:b/>
        </w:rPr>
        <w:instrText xml:space="preserve"> REF _Ref232001976 \h  \* MERGEFORMAT </w:instrText>
      </w:r>
      <w:r w:rsidR="00376ED7" w:rsidRPr="00D94815">
        <w:rPr>
          <w:b/>
        </w:rPr>
      </w:r>
      <w:r w:rsidR="00376ED7" w:rsidRPr="00D94815">
        <w:rPr>
          <w:b/>
        </w:rPr>
        <w:fldChar w:fldCharType="separate"/>
      </w:r>
      <w:r w:rsidR="00376ED7" w:rsidRPr="00D94815">
        <w:rPr>
          <w:b/>
        </w:rPr>
        <w:t>Figure</w:t>
      </w:r>
      <w:r w:rsidR="00376ED7" w:rsidRPr="00D94815">
        <w:rPr>
          <w:b/>
        </w:rPr>
        <w:fldChar w:fldCharType="end"/>
      </w:r>
      <w:r w:rsidR="00CA66B9" w:rsidRPr="00D94815">
        <w:rPr>
          <w:b/>
        </w:rPr>
        <w:t xml:space="preserve"> </w:t>
      </w:r>
      <w:r w:rsidR="00535C3B" w:rsidRPr="00D94815">
        <w:rPr>
          <w:b/>
        </w:rPr>
        <w:t>1</w:t>
      </w:r>
      <w:r w:rsidR="00CC44A7">
        <w:rPr>
          <w:b/>
        </w:rPr>
        <w:t>1</w:t>
      </w:r>
      <w:r w:rsidR="00376ED7">
        <w:t xml:space="preserve"> below shows the proportion of EWRs met under each option. </w:t>
      </w:r>
    </w:p>
    <w:p w14:paraId="396B9FD4" w14:textId="7FFDBEAA" w:rsidR="0056687B" w:rsidRPr="002D287D" w:rsidRDefault="00382EE8" w:rsidP="0056687B">
      <w:pPr>
        <w:pStyle w:val="Caption"/>
        <w:keepNext/>
        <w:rPr>
          <w:b/>
          <w:iCs w:val="0"/>
          <w:color w:val="auto"/>
          <w:sz w:val="20"/>
          <w:szCs w:val="20"/>
        </w:rPr>
      </w:pPr>
      <w:r>
        <w:rPr>
          <w:rFonts w:ascii="ZWAdobeF" w:hAnsi="ZWAdobeF" w:cs="ZWAdobeF"/>
          <w:i w:val="0"/>
          <w:iCs w:val="0"/>
          <w:color w:val="auto"/>
          <w:sz w:val="2"/>
          <w:szCs w:val="2"/>
        </w:rPr>
        <w:lastRenderedPageBreak/>
        <w:t>7B</w:t>
      </w:r>
      <w:r w:rsidR="0056687B" w:rsidRPr="002D287D">
        <w:rPr>
          <w:b/>
          <w:iCs w:val="0"/>
          <w:color w:val="auto"/>
          <w:sz w:val="20"/>
          <w:szCs w:val="20"/>
        </w:rPr>
        <w:t xml:space="preserve">Figure </w:t>
      </w:r>
      <w:r w:rsidR="0056687B" w:rsidRPr="002D287D">
        <w:rPr>
          <w:b/>
          <w:iCs w:val="0"/>
          <w:color w:val="auto"/>
          <w:sz w:val="20"/>
          <w:szCs w:val="20"/>
        </w:rPr>
        <w:fldChar w:fldCharType="begin"/>
      </w:r>
      <w:r w:rsidR="0056687B" w:rsidRPr="002D287D">
        <w:rPr>
          <w:b/>
          <w:iCs w:val="0"/>
          <w:color w:val="auto"/>
          <w:sz w:val="20"/>
          <w:szCs w:val="20"/>
        </w:rPr>
        <w:instrText xml:space="preserve"> SEQ Figure \* ARABIC </w:instrText>
      </w:r>
      <w:r w:rsidR="0056687B" w:rsidRPr="002D287D">
        <w:rPr>
          <w:b/>
          <w:iCs w:val="0"/>
          <w:color w:val="auto"/>
          <w:sz w:val="20"/>
          <w:szCs w:val="20"/>
        </w:rPr>
        <w:fldChar w:fldCharType="separate"/>
      </w:r>
      <w:r w:rsidR="0005178F">
        <w:rPr>
          <w:b/>
          <w:iCs w:val="0"/>
          <w:noProof/>
          <w:color w:val="auto"/>
          <w:sz w:val="20"/>
          <w:szCs w:val="20"/>
        </w:rPr>
        <w:t>11</w:t>
      </w:r>
      <w:r w:rsidR="0056687B" w:rsidRPr="002D287D">
        <w:rPr>
          <w:b/>
          <w:iCs w:val="0"/>
          <w:color w:val="auto"/>
          <w:sz w:val="20"/>
          <w:szCs w:val="20"/>
        </w:rPr>
        <w:fldChar w:fldCharType="end"/>
      </w:r>
      <w:r w:rsidR="0056687B" w:rsidRPr="002D287D">
        <w:rPr>
          <w:b/>
          <w:iCs w:val="0"/>
          <w:color w:val="auto"/>
          <w:sz w:val="20"/>
          <w:szCs w:val="20"/>
        </w:rPr>
        <w:t>:</w:t>
      </w:r>
      <w:r w:rsidR="0056687B" w:rsidRPr="002D287D">
        <w:rPr>
          <w:rFonts w:eastAsiaTheme="minorEastAsia"/>
          <w:b/>
          <w:iCs w:val="0"/>
          <w:color w:val="auto"/>
          <w:sz w:val="20"/>
          <w:szCs w:val="20"/>
        </w:rPr>
        <w:t xml:space="preserve"> Proportion of EWRs meeting targeted frequency by Option, for each site separately and all sites combined (Source: Ecology Technical Report, 2026)</w:t>
      </w:r>
    </w:p>
    <w:p w14:paraId="363CD6EA" w14:textId="53FF30BE" w:rsidR="00376ED7" w:rsidRDefault="00382EE8" w:rsidP="00CC7A58">
      <w:pPr>
        <w:keepNext/>
        <w:keepLines/>
        <w:spacing w:before="210" w:after="210" w:line="300" w:lineRule="auto"/>
        <w:jc w:val="center"/>
      </w:pPr>
      <w:r>
        <w:rPr>
          <w:rFonts w:ascii="ZWAdobeF" w:hAnsi="ZWAdobeF" w:cs="ZWAdobeF"/>
          <w:sz w:val="2"/>
          <w:szCs w:val="2"/>
        </w:rPr>
        <w:t>904B</w:t>
      </w:r>
      <w:r w:rsidR="00376ED7" w:rsidRPr="00CA66B9">
        <w:rPr>
          <w:noProof/>
        </w:rPr>
        <w:drawing>
          <wp:inline distT="0" distB="0" distL="0" distR="0" wp14:anchorId="27592F5C" wp14:editId="76320AD6">
            <wp:extent cx="6245256" cy="5146159"/>
            <wp:effectExtent l="0" t="0" r="3175" b="0"/>
            <wp:docPr id="1424743975" name="Picture 1" descr="P9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43975" name="Picture 1" descr="P951#yIS1"/>
                    <pic:cNvPicPr/>
                  </pic:nvPicPr>
                  <pic:blipFill>
                    <a:blip r:embed="rId60"/>
                    <a:stretch>
                      <a:fillRect/>
                    </a:stretch>
                  </pic:blipFill>
                  <pic:spPr>
                    <a:xfrm>
                      <a:off x="0" y="0"/>
                      <a:ext cx="6260327" cy="5158577"/>
                    </a:xfrm>
                    <a:prstGeom prst="rect">
                      <a:avLst/>
                    </a:prstGeom>
                  </pic:spPr>
                </pic:pic>
              </a:graphicData>
            </a:graphic>
          </wp:inline>
        </w:drawing>
      </w:r>
    </w:p>
    <w:p w14:paraId="6F20D316" w14:textId="42A8778D" w:rsidR="008C6143" w:rsidRPr="009262AF" w:rsidRDefault="00382EE8" w:rsidP="453B09E3">
      <w:pPr>
        <w:rPr>
          <w:rFonts w:eastAsiaTheme="minorEastAsia"/>
        </w:rPr>
      </w:pPr>
      <w:r>
        <w:rPr>
          <w:rFonts w:ascii="ZWAdobeF" w:eastAsiaTheme="minorEastAsia" w:hAnsi="ZWAdobeF" w:cs="ZWAdobeF"/>
          <w:sz w:val="2"/>
          <w:szCs w:val="2"/>
        </w:rPr>
        <w:t>905B</w:t>
      </w:r>
      <w:r w:rsidR="008C6143" w:rsidRPr="6737ED96">
        <w:rPr>
          <w:rFonts w:eastAsiaTheme="minorEastAsia"/>
        </w:rPr>
        <w:t>The Base Case fails to meet the target frequency of almost all EWRs across assessed sites. The river remains in a highly constrained state characterised by limited sediment transport, reduced hydraulic diversity, degraded habitat condition and declining ecological resilience. These conditions are consistent with continued ecological simplification under a drying climate.</w:t>
      </w:r>
    </w:p>
    <w:p w14:paraId="594EF31E" w14:textId="1643D0A8" w:rsidR="008C6143" w:rsidRPr="009262AF" w:rsidRDefault="00382EE8" w:rsidP="453B09E3">
      <w:pPr>
        <w:rPr>
          <w:rFonts w:eastAsiaTheme="minorEastAsia"/>
        </w:rPr>
      </w:pPr>
      <w:r>
        <w:rPr>
          <w:rFonts w:ascii="ZWAdobeF" w:eastAsiaTheme="minorEastAsia" w:hAnsi="ZWAdobeF" w:cs="ZWAdobeF"/>
          <w:sz w:val="2"/>
          <w:szCs w:val="2"/>
        </w:rPr>
        <w:t>906B</w:t>
      </w:r>
      <w:r w:rsidR="008C6143" w:rsidRPr="6737ED96">
        <w:rPr>
          <w:rFonts w:eastAsiaTheme="minorEastAsia"/>
        </w:rPr>
        <w:t>Option 2 provides only limited improvement relative to the Base Case. Increased low flows and stable baseflows reduce acute low</w:t>
      </w:r>
      <w:r w:rsidR="66862362" w:rsidRPr="62ED9B2A">
        <w:rPr>
          <w:rFonts w:eastAsiaTheme="minorEastAsia"/>
        </w:rPr>
        <w:t xml:space="preserve"> </w:t>
      </w:r>
      <w:r w:rsidR="008C6143" w:rsidRPr="6737ED96">
        <w:rPr>
          <w:rFonts w:eastAsiaTheme="minorEastAsia"/>
        </w:rPr>
        <w:t xml:space="preserve">flow stress and improve habitat persistence in some reaches. However, most EWRs remain </w:t>
      </w:r>
      <w:bookmarkStart w:id="66" w:name="_Int_4zs3a0YL"/>
      <w:r w:rsidR="008C6143" w:rsidRPr="6737ED96">
        <w:rPr>
          <w:rFonts w:eastAsiaTheme="minorEastAsia"/>
        </w:rPr>
        <w:t>unmet</w:t>
      </w:r>
      <w:bookmarkEnd w:id="66"/>
      <w:r w:rsidR="008C6143" w:rsidRPr="6737ED96">
        <w:rPr>
          <w:rFonts w:eastAsiaTheme="minorEastAsia"/>
        </w:rPr>
        <w:t xml:space="preserve"> and the flow regime lacks variability and is highly regulated. Ecological outcomes under this option are characterised by localised benefits that stabilise the current poor condition without supporting any recovery, with disturbance</w:t>
      </w:r>
      <w:r w:rsidR="008C6143" w:rsidRPr="009262AF">
        <w:noBreakHyphen/>
      </w:r>
      <w:r w:rsidR="008C6143" w:rsidRPr="6737ED96">
        <w:rPr>
          <w:rFonts w:eastAsiaTheme="minorEastAsia"/>
        </w:rPr>
        <w:t>dependent processes largely inactive.</w:t>
      </w:r>
    </w:p>
    <w:p w14:paraId="44D1B71D" w14:textId="7A93E1A1" w:rsidR="008C6143" w:rsidRDefault="00382EE8" w:rsidP="453B09E3">
      <w:pPr>
        <w:rPr>
          <w:rFonts w:eastAsiaTheme="minorEastAsia"/>
        </w:rPr>
      </w:pPr>
      <w:r>
        <w:rPr>
          <w:rFonts w:ascii="ZWAdobeF" w:eastAsiaTheme="minorEastAsia" w:hAnsi="ZWAdobeF" w:cs="ZWAdobeF"/>
          <w:sz w:val="2"/>
          <w:szCs w:val="2"/>
        </w:rPr>
        <w:t>907B</w:t>
      </w:r>
      <w:r w:rsidR="008C6143" w:rsidRPr="6737ED96">
        <w:rPr>
          <w:rFonts w:eastAsiaTheme="minorEastAsia"/>
        </w:rPr>
        <w:t xml:space="preserve">Options 3 and 4 represent a substantial improvement in ecological performance. Both restore seasonal variability through variable baseflows and increase the frequency and diversity of freshes, resulting in a much higher level of EWR achievement downstream of Tantangara Dam. These changes support improved productivity, water quality, habitat availability and ecosystem functions. </w:t>
      </w:r>
      <w:r w:rsidR="008C6143" w:rsidRPr="6737ED96">
        <w:rPr>
          <w:rFonts w:eastAsiaTheme="minorEastAsia"/>
        </w:rPr>
        <w:lastRenderedPageBreak/>
        <w:t>However, a key distinction emerges between the two options. While Option 3 improves many biological and physical indicators, the absence of channel maintenance flows limits sediment transport and geomorphic recovery. As a result, ecological improvements under Option 3 are significant but incomplete.</w:t>
      </w:r>
    </w:p>
    <w:p w14:paraId="3C6ABEFC" w14:textId="6C43A813" w:rsidR="008C6143" w:rsidRPr="009262AF" w:rsidRDefault="00382EE8" w:rsidP="453B09E3">
      <w:pPr>
        <w:rPr>
          <w:rFonts w:eastAsiaTheme="minorEastAsia"/>
        </w:rPr>
      </w:pPr>
      <w:r>
        <w:rPr>
          <w:rFonts w:ascii="ZWAdobeF" w:eastAsiaTheme="minorEastAsia" w:hAnsi="ZWAdobeF" w:cs="ZWAdobeF"/>
          <w:sz w:val="2"/>
          <w:szCs w:val="2"/>
        </w:rPr>
        <w:t>908B</w:t>
      </w:r>
      <w:r w:rsidR="008C6143" w:rsidRPr="6737ED96">
        <w:rPr>
          <w:rFonts w:eastAsiaTheme="minorEastAsia"/>
        </w:rPr>
        <w:t xml:space="preserve">Option 4 consistently delivers the strongest ecological outcomes. It is the only option that reinstates the full suite of flow components, including channel maintenance flows capable of mobilising sediment and maintaining channel form. Quantitative indicators show that Option 4 produces the largest extent of river reaches achieving </w:t>
      </w:r>
      <w:r w:rsidR="76161085" w:rsidRPr="393801B5">
        <w:rPr>
          <w:rFonts w:eastAsiaTheme="minorEastAsia"/>
        </w:rPr>
        <w:t>h</w:t>
      </w:r>
      <w:r w:rsidR="704BA15B" w:rsidRPr="393801B5">
        <w:rPr>
          <w:rFonts w:eastAsiaTheme="minorEastAsia"/>
        </w:rPr>
        <w:t>ealthy</w:t>
      </w:r>
      <w:r w:rsidR="008C6143" w:rsidRPr="6737ED96">
        <w:rPr>
          <w:rFonts w:eastAsiaTheme="minorEastAsia"/>
        </w:rPr>
        <w:t xml:space="preserve"> condition and the greatest increase in Macquarie </w:t>
      </w:r>
      <w:r w:rsidR="0050C4B3" w:rsidRPr="35D0A3A9">
        <w:rPr>
          <w:rFonts w:eastAsiaTheme="minorEastAsia"/>
        </w:rPr>
        <w:t>P</w:t>
      </w:r>
      <w:r w:rsidR="6E9E8EAF" w:rsidRPr="35D0A3A9">
        <w:rPr>
          <w:rFonts w:eastAsiaTheme="minorEastAsia"/>
        </w:rPr>
        <w:t>erch</w:t>
      </w:r>
      <w:r w:rsidR="008C6143" w:rsidRPr="6737ED96">
        <w:rPr>
          <w:rFonts w:eastAsiaTheme="minorEastAsia"/>
        </w:rPr>
        <w:t xml:space="preserve"> abundance. These results indicate that Option 4 enables system</w:t>
      </w:r>
      <w:r w:rsidR="008C6143" w:rsidRPr="009262AF">
        <w:noBreakHyphen/>
      </w:r>
      <w:r w:rsidR="008C6143" w:rsidRPr="6737ED96">
        <w:rPr>
          <w:rFonts w:eastAsiaTheme="minorEastAsia"/>
        </w:rPr>
        <w:t xml:space="preserve">scale ecological recovery rather than local or partial improvement. Delivering environmental flows (baseflows) that target EWR directly downstream of the </w:t>
      </w:r>
      <w:r w:rsidR="316D151D" w:rsidRPr="35D0A3A9">
        <w:rPr>
          <w:rFonts w:eastAsiaTheme="minorEastAsia"/>
        </w:rPr>
        <w:t>d</w:t>
      </w:r>
      <w:r w:rsidR="6E9E8EAF" w:rsidRPr="35D0A3A9">
        <w:rPr>
          <w:rFonts w:eastAsiaTheme="minorEastAsia"/>
        </w:rPr>
        <w:t>am</w:t>
      </w:r>
      <w:r w:rsidR="008C6143" w:rsidRPr="6737ED96">
        <w:rPr>
          <w:rFonts w:eastAsiaTheme="minorEastAsia"/>
        </w:rPr>
        <w:t xml:space="preserve"> provide outcomes across a broader spatial scale.</w:t>
      </w:r>
    </w:p>
    <w:p w14:paraId="662D8F27" w14:textId="031C35AC" w:rsidR="008C6143" w:rsidRPr="009262AF" w:rsidRDefault="00382EE8" w:rsidP="453B09E3">
      <w:pPr>
        <w:rPr>
          <w:rFonts w:eastAsiaTheme="minorEastAsia"/>
        </w:rPr>
      </w:pPr>
      <w:r>
        <w:rPr>
          <w:rFonts w:ascii="ZWAdobeF" w:eastAsiaTheme="minorEastAsia" w:hAnsi="ZWAdobeF" w:cs="ZWAdobeF"/>
          <w:sz w:val="2"/>
          <w:szCs w:val="2"/>
        </w:rPr>
        <w:t>909B</w:t>
      </w:r>
      <w:r w:rsidR="008C6143" w:rsidRPr="6737ED96">
        <w:rPr>
          <w:rFonts w:eastAsiaTheme="minorEastAsia"/>
        </w:rPr>
        <w:t xml:space="preserve">Options 3 and 4 do not perform well in the reach immediately downstream of Tantangara Dam. This is due to the modelled flow regime targeting EWRs at Mittagang Crossing. In practice, improving the achievement of EWRs in the upper reach downstream of the </w:t>
      </w:r>
      <w:r w:rsidR="475C60EE" w:rsidRPr="35D0A3A9">
        <w:rPr>
          <w:rFonts w:eastAsiaTheme="minorEastAsia"/>
        </w:rPr>
        <w:t>d</w:t>
      </w:r>
      <w:r w:rsidR="6E9E8EAF" w:rsidRPr="35D0A3A9">
        <w:rPr>
          <w:rFonts w:eastAsiaTheme="minorEastAsia"/>
        </w:rPr>
        <w:t>am</w:t>
      </w:r>
      <w:r w:rsidR="008C6143" w:rsidRPr="6737ED96">
        <w:rPr>
          <w:rFonts w:eastAsiaTheme="minorEastAsia"/>
        </w:rPr>
        <w:t xml:space="preserve"> can be improved through adaptive management and operational planning. The effect of shifting the target for environmental flows (i.e. achieving EWRs downstream of Tantangara Dam) is evident in Option 5.</w:t>
      </w:r>
    </w:p>
    <w:p w14:paraId="7CD9C18D" w14:textId="25DF5067" w:rsidR="008C6143" w:rsidRPr="009262AF" w:rsidRDefault="00382EE8" w:rsidP="6332CC80">
      <w:pPr>
        <w:rPr>
          <w:rFonts w:eastAsiaTheme="minorEastAsia"/>
        </w:rPr>
      </w:pPr>
      <w:r>
        <w:rPr>
          <w:rFonts w:ascii="ZWAdobeF" w:eastAsiaTheme="minorEastAsia" w:hAnsi="ZWAdobeF" w:cs="ZWAdobeF"/>
          <w:sz w:val="2"/>
          <w:szCs w:val="2"/>
        </w:rPr>
        <w:t>910B</w:t>
      </w:r>
      <w:r w:rsidR="008C6143" w:rsidRPr="6332CC80">
        <w:rPr>
          <w:rFonts w:eastAsiaTheme="minorEastAsia"/>
        </w:rPr>
        <w:t>Option 5 produces a different pattern of outcomes. By prioritising reliable baseflows and adopting a climate</w:t>
      </w:r>
      <w:r w:rsidR="008C6143">
        <w:noBreakHyphen/>
      </w:r>
      <w:r w:rsidR="008C6143" w:rsidRPr="6332CC80">
        <w:rPr>
          <w:rFonts w:eastAsiaTheme="minorEastAsia"/>
        </w:rPr>
        <w:t>based operating strategy, it delivers strong improvements in upstream habitat persistence and water quality immediately downstream of Tantangara Dam. However, reduced delivery of higher</w:t>
      </w:r>
      <w:r w:rsidR="219DB397" w:rsidRPr="6332CC80">
        <w:rPr>
          <w:rFonts w:eastAsiaTheme="minorEastAsia"/>
        </w:rPr>
        <w:t xml:space="preserve"> </w:t>
      </w:r>
      <w:r w:rsidR="008C6143" w:rsidRPr="6332CC80">
        <w:rPr>
          <w:rFonts w:eastAsiaTheme="minorEastAsia"/>
        </w:rPr>
        <w:t>magnitude flows limits the ecological function achieved through flow disturbance, sediment transport and connectivity</w:t>
      </w:r>
      <w:r w:rsidR="5C0E18D4" w:rsidRPr="6332CC80">
        <w:rPr>
          <w:rFonts w:eastAsiaTheme="minorEastAsia"/>
        </w:rPr>
        <w:t xml:space="preserve">—this </w:t>
      </w:r>
      <w:r w:rsidR="008C6143" w:rsidRPr="6332CC80">
        <w:rPr>
          <w:rFonts w:eastAsiaTheme="minorEastAsia"/>
        </w:rPr>
        <w:t xml:space="preserve">is the effect of operating within the existing capacity of the </w:t>
      </w:r>
      <w:r w:rsidR="4485982D" w:rsidRPr="6332CC80">
        <w:rPr>
          <w:rFonts w:eastAsiaTheme="minorEastAsia"/>
        </w:rPr>
        <w:t>d</w:t>
      </w:r>
      <w:r w:rsidR="008C6143" w:rsidRPr="6332CC80">
        <w:rPr>
          <w:rFonts w:eastAsiaTheme="minorEastAsia"/>
        </w:rPr>
        <w:t>am outlet valve and reduced volume of environmental water. Ecological outcomes under this option provide some regional scale benefits but not all EWRs can be achieved and system-scaled recovery is constrained. This option does provide evidence of an approach that could deliver good regional environmental outcomes efficiently.</w:t>
      </w:r>
    </w:p>
    <w:p w14:paraId="6C776013" w14:textId="2DBBB865" w:rsidR="008C6143" w:rsidRDefault="008C6143" w:rsidP="453B09E3">
      <w:pPr>
        <w:pStyle w:val="ReviewHeading3"/>
      </w:pPr>
      <w:r>
        <w:t>Process restoration versus stabilisation</w:t>
      </w:r>
    </w:p>
    <w:p w14:paraId="3A31C4D0" w14:textId="2A5F5226" w:rsidR="00201E8E" w:rsidRPr="009262AF" w:rsidRDefault="00382EE8" w:rsidP="453B09E3">
      <w:r>
        <w:rPr>
          <w:rFonts w:ascii="ZWAdobeF" w:hAnsi="ZWAdobeF" w:cs="ZWAdobeF"/>
          <w:sz w:val="2"/>
          <w:szCs w:val="2"/>
        </w:rPr>
        <w:t>911B</w:t>
      </w:r>
      <w:r w:rsidR="00201E8E" w:rsidRPr="009262AF">
        <w:t xml:space="preserve">A central finding of the </w:t>
      </w:r>
      <w:r w:rsidR="00201E8E" w:rsidRPr="009262AF">
        <w:rPr>
          <w:i/>
          <w:iCs/>
        </w:rPr>
        <w:t>Ecology Technical Repo</w:t>
      </w:r>
      <w:r w:rsidR="00201E8E" w:rsidRPr="00642608">
        <w:rPr>
          <w:i/>
          <w:iCs/>
        </w:rPr>
        <w:t>rt</w:t>
      </w:r>
      <w:r w:rsidR="00A43471" w:rsidRPr="00642608">
        <w:rPr>
          <w:b/>
          <w:bCs/>
        </w:rPr>
        <w:t xml:space="preserve"> </w:t>
      </w:r>
      <w:r w:rsidR="00201E8E" w:rsidRPr="009262AF">
        <w:t>is that ecological outcomes are shaped not only by total water volume, but by the extent to which flow regimes restore key hydrological and geomorphic processes.</w:t>
      </w:r>
    </w:p>
    <w:p w14:paraId="22584252" w14:textId="6E721A14" w:rsidR="00201E8E" w:rsidRPr="009262AF" w:rsidRDefault="00382EE8" w:rsidP="453B09E3">
      <w:r>
        <w:rPr>
          <w:rFonts w:ascii="ZWAdobeF" w:hAnsi="ZWAdobeF" w:cs="ZWAdobeF"/>
          <w:sz w:val="2"/>
          <w:szCs w:val="2"/>
        </w:rPr>
        <w:t>912B</w:t>
      </w:r>
      <w:r w:rsidR="00201E8E" w:rsidRPr="009262AF">
        <w:t>Options that primarily improve low flows and stable baseflows (Options 2 and to a degree, Option 5) are effective at reducing acute stress and supporting habitat persistence during dry periods. These outcomes are important for preventing further degradation but do not reactivate the natural disturbance processes required to maintain channel structure, mobilise sediment or reset habitats. As a result, these options tend to stabilise the system in a constrained state</w:t>
      </w:r>
      <w:r w:rsidR="00040DD5">
        <w:t xml:space="preserve"> and</w:t>
      </w:r>
      <w:r w:rsidR="00201E8E" w:rsidRPr="009262AF">
        <w:t xml:space="preserve"> maintain current condition, rather than shift into a recovery trajectory.</w:t>
      </w:r>
    </w:p>
    <w:p w14:paraId="2EF506B4" w14:textId="573A30E1" w:rsidR="00201E8E" w:rsidRPr="009262AF" w:rsidRDefault="00382EE8" w:rsidP="453B09E3">
      <w:r>
        <w:rPr>
          <w:rFonts w:ascii="ZWAdobeF" w:hAnsi="ZWAdobeF" w:cs="ZWAdobeF"/>
          <w:sz w:val="2"/>
          <w:szCs w:val="2"/>
        </w:rPr>
        <w:t>913B</w:t>
      </w:r>
      <w:r w:rsidR="00201E8E" w:rsidRPr="009262AF">
        <w:t>In contrast, Options 3 and 4 restore elements of the natural flow regime associated with variability and seasonal change. Variable baseflows and freshes increase productivity, improve water quality dynamics and support life</w:t>
      </w:r>
      <w:r w:rsidR="00201E8E" w:rsidRPr="009262AF">
        <w:noBreakHyphen/>
        <w:t xml:space="preserve">history processes for aquatic biota. However, the </w:t>
      </w:r>
      <w:r w:rsidR="00201E8E" w:rsidRPr="009262AF">
        <w:rPr>
          <w:i/>
          <w:iCs/>
        </w:rPr>
        <w:t>Ecology Technical Report</w:t>
      </w:r>
      <w:r w:rsidR="00642608">
        <w:t xml:space="preserve"> </w:t>
      </w:r>
      <w:r w:rsidR="00201E8E" w:rsidRPr="009262AF">
        <w:t>identifies disturbance threshold</w:t>
      </w:r>
      <w:r w:rsidR="00201E8E">
        <w:t>s</w:t>
      </w:r>
      <w:r w:rsidR="00201E8E" w:rsidRPr="009262AF">
        <w:t>, particularly for sediment mobilisation and channel maintenance, that are only exceeded when higher</w:t>
      </w:r>
      <w:r w:rsidR="229FEE5F">
        <w:t xml:space="preserve"> </w:t>
      </w:r>
      <w:r w:rsidR="00201E8E" w:rsidRPr="009262AF">
        <w:t>magnitude flows are delivered.</w:t>
      </w:r>
    </w:p>
    <w:p w14:paraId="090EE2BD" w14:textId="5CC04594" w:rsidR="00201E8E" w:rsidRPr="009262AF" w:rsidRDefault="00382EE8" w:rsidP="453B09E3">
      <w:r>
        <w:rPr>
          <w:rFonts w:ascii="ZWAdobeF" w:hAnsi="ZWAdobeF" w:cs="ZWAdobeF"/>
          <w:sz w:val="2"/>
          <w:szCs w:val="2"/>
        </w:rPr>
        <w:lastRenderedPageBreak/>
        <w:t>914B</w:t>
      </w:r>
      <w:r w:rsidR="00201E8E" w:rsidRPr="009262AF">
        <w:t xml:space="preserve">Option 4 is the only scenario that consistently reinstates these disturbance processes through explicit channel maintenance flows. These flows support sediment transport, prevent channel infilling, maintain hydraulic diversity and improve longitudinal connectivity. The report concludes that without reinstating such processes ecological recovery remains constrained and increasingly vulnerable to climate stress. </w:t>
      </w:r>
    </w:p>
    <w:p w14:paraId="42C1F9BC" w14:textId="36C5C917" w:rsidR="00201E8E" w:rsidRDefault="00382EE8" w:rsidP="00201E8E">
      <w:r>
        <w:rPr>
          <w:rFonts w:ascii="ZWAdobeF" w:hAnsi="ZWAdobeF" w:cs="ZWAdobeF"/>
          <w:sz w:val="2"/>
          <w:szCs w:val="2"/>
        </w:rPr>
        <w:t>915B</w:t>
      </w:r>
      <w:r w:rsidR="00201E8E" w:rsidRPr="009262AF">
        <w:t>The distinction between stabilisation and process</w:t>
      </w:r>
      <w:r w:rsidR="00201E8E" w:rsidRPr="009262AF">
        <w:noBreakHyphen/>
        <w:t xml:space="preserve">based recovery is a defining difference between the </w:t>
      </w:r>
      <w:r w:rsidR="00201E8E">
        <w:t xml:space="preserve">environmental flow </w:t>
      </w:r>
      <w:r w:rsidR="00201E8E" w:rsidRPr="009262AF">
        <w:t>options.</w:t>
      </w:r>
    </w:p>
    <w:p w14:paraId="06BA2366" w14:textId="77777777" w:rsidR="00201E8E" w:rsidRDefault="00201E8E" w:rsidP="00201E8E">
      <w:pPr>
        <w:pStyle w:val="ReviewHeading3"/>
      </w:pPr>
      <w:r>
        <w:t>Implications for threatened species and river resilience</w:t>
      </w:r>
    </w:p>
    <w:p w14:paraId="3AD37F35" w14:textId="643DED4F" w:rsidR="006D1365" w:rsidRPr="009262AF" w:rsidRDefault="00382EE8" w:rsidP="453B09E3">
      <w:r>
        <w:rPr>
          <w:rFonts w:ascii="ZWAdobeF" w:hAnsi="ZWAdobeF" w:cs="ZWAdobeF"/>
          <w:sz w:val="2"/>
          <w:szCs w:val="2"/>
        </w:rPr>
        <w:t>916B</w:t>
      </w:r>
      <w:r w:rsidR="006D1365" w:rsidRPr="009262AF">
        <w:t>The implications of these differing flow regimes are particularly evident for threatened and flow</w:t>
      </w:r>
      <w:r w:rsidR="006D1365" w:rsidRPr="009262AF">
        <w:noBreakHyphen/>
        <w:t>dependent species as well as for overall river resilience.</w:t>
      </w:r>
    </w:p>
    <w:p w14:paraId="5EC3F12A" w14:textId="70F4390F" w:rsidR="006D1365" w:rsidRPr="009262AF" w:rsidRDefault="00382EE8" w:rsidP="453B09E3">
      <w:r>
        <w:rPr>
          <w:rFonts w:ascii="ZWAdobeF" w:hAnsi="ZWAdobeF" w:cs="ZWAdobeF"/>
          <w:sz w:val="2"/>
          <w:szCs w:val="2"/>
        </w:rPr>
        <w:t>917B</w:t>
      </w:r>
      <w:r w:rsidR="006D1365">
        <w:t xml:space="preserve">Macquarie Perch, used as a </w:t>
      </w:r>
      <w:r w:rsidR="00B60FAC">
        <w:t xml:space="preserve">key </w:t>
      </w:r>
      <w:r w:rsidR="006D1365">
        <w:t>indicator species in the</w:t>
      </w:r>
      <w:r w:rsidR="006D1365" w:rsidRPr="6332CC80">
        <w:rPr>
          <w:i/>
          <w:iCs/>
        </w:rPr>
        <w:t xml:space="preserve"> Ecology Technical Report</w:t>
      </w:r>
      <w:r w:rsidR="006D1365">
        <w:t xml:space="preserve">, requires a combination of perennial connectivity, seasonal variability, stable spawning flows and periodic disturbance to maintain clean substrates and enable movement between reaches. Under the Base Case and Option 2 these requirements are </w:t>
      </w:r>
      <w:r w:rsidR="735CEA91">
        <w:t>un</w:t>
      </w:r>
      <w:r w:rsidR="006D1365">
        <w:t>met resulting in fragmented populations, low resilience and likely ongoing decline in species persistence.</w:t>
      </w:r>
    </w:p>
    <w:p w14:paraId="1E07BB17" w14:textId="7F5EBFE2" w:rsidR="006D1365" w:rsidRPr="009262AF" w:rsidRDefault="00382EE8" w:rsidP="453B09E3">
      <w:r>
        <w:rPr>
          <w:rFonts w:ascii="ZWAdobeF" w:hAnsi="ZWAdobeF" w:cs="ZWAdobeF"/>
          <w:sz w:val="2"/>
          <w:szCs w:val="2"/>
        </w:rPr>
        <w:t>918B</w:t>
      </w:r>
      <w:r w:rsidR="006D1365" w:rsidRPr="009262AF">
        <w:t>Options 3 and 5 improve aspects of habitat condition and productivity and are likely to support improved recruitment and survival within existing occupied reaches. However, the absence or limited delivery of sediment</w:t>
      </w:r>
      <w:r w:rsidR="006D1365" w:rsidRPr="009262AF">
        <w:noBreakHyphen/>
        <w:t>moving and connectivity</w:t>
      </w:r>
      <w:r w:rsidR="006D1365" w:rsidRPr="009262AF">
        <w:noBreakHyphen/>
        <w:t>restoring flows constrains population expansion and long</w:t>
      </w:r>
      <w:r w:rsidR="006D1365" w:rsidRPr="009262AF">
        <w:noBreakHyphen/>
        <w:t>term resilience, particularly under drought conditions where habitat refuges are spatially limited.</w:t>
      </w:r>
    </w:p>
    <w:p w14:paraId="29A12B3D" w14:textId="275B948D" w:rsidR="006D1365" w:rsidRPr="009262AF" w:rsidRDefault="00382EE8" w:rsidP="453B09E3">
      <w:r>
        <w:rPr>
          <w:rFonts w:ascii="ZWAdobeF" w:hAnsi="ZWAdobeF" w:cs="ZWAdobeF"/>
          <w:sz w:val="2"/>
          <w:szCs w:val="2"/>
        </w:rPr>
        <w:t>919B</w:t>
      </w:r>
      <w:r w:rsidR="006D1365" w:rsidRPr="009262AF">
        <w:t>Option 4 provides the strongest pathway for threatened species recovery. By restoring variability, disturbance and connectivity, it supports improved spawning habitat, dispersal and population structure across a much larger spatial extent of the river. Quantitative modelling indicates an order</w:t>
      </w:r>
      <w:r w:rsidR="006D1365" w:rsidRPr="009262AF">
        <w:noBreakHyphen/>
        <w:t>of</w:t>
      </w:r>
      <w:r w:rsidR="006D1365" w:rsidRPr="009262AF">
        <w:noBreakHyphen/>
        <w:t xml:space="preserve">magnitude increase in Macquarie </w:t>
      </w:r>
      <w:r w:rsidR="006D1365">
        <w:t>P</w:t>
      </w:r>
      <w:r w:rsidR="006D1365" w:rsidRPr="009262AF">
        <w:t>erch abundance under this option reflecting both improved habitat quality and expanded river occupancy.</w:t>
      </w:r>
    </w:p>
    <w:p w14:paraId="27047A62" w14:textId="5626BE33" w:rsidR="006D1365" w:rsidRDefault="00382EE8" w:rsidP="006D1365">
      <w:r>
        <w:rPr>
          <w:rFonts w:ascii="ZWAdobeF" w:hAnsi="ZWAdobeF" w:cs="ZWAdobeF"/>
          <w:sz w:val="2"/>
          <w:szCs w:val="2"/>
        </w:rPr>
        <w:t>920B</w:t>
      </w:r>
      <w:r w:rsidR="006D1365">
        <w:t xml:space="preserve">The </w:t>
      </w:r>
      <w:r w:rsidR="006D1365" w:rsidRPr="6332CC80">
        <w:rPr>
          <w:i/>
          <w:iCs/>
        </w:rPr>
        <w:t xml:space="preserve">Ecology Technical </w:t>
      </w:r>
      <w:r w:rsidR="006D1365" w:rsidRPr="00642608">
        <w:rPr>
          <w:i/>
          <w:iCs/>
        </w:rPr>
        <w:t>Report</w:t>
      </w:r>
      <w:r w:rsidR="00A43471" w:rsidRPr="00642608">
        <w:rPr>
          <w:b/>
          <w:bCs/>
        </w:rPr>
        <w:t xml:space="preserve"> </w:t>
      </w:r>
      <w:r w:rsidR="006D1365" w:rsidRPr="00642608">
        <w:t>concludes</w:t>
      </w:r>
      <w:r w:rsidR="006D1365">
        <w:t xml:space="preserve"> that options restoring both variability and disturbance processes provide the greatest system</w:t>
      </w:r>
      <w:r w:rsidR="4F6E9EF1">
        <w:t>-</w:t>
      </w:r>
      <w:r w:rsidR="006D1365">
        <w:t xml:space="preserve">scale resilience to future climate variability. Rivers managed under regimes that focus only on stabilising current conditions remain vulnerable to prolonged drought and cumulative degradation, whereas </w:t>
      </w:r>
      <w:r w:rsidR="255B2C2C">
        <w:t>process restoring</w:t>
      </w:r>
      <w:r w:rsidR="006D1365">
        <w:t xml:space="preserve"> regimes are more likely to maintain ecological function, adaptive capacity and long</w:t>
      </w:r>
      <w:r w:rsidR="006D1365">
        <w:noBreakHyphen/>
        <w:t>term persistence of native biota.</w:t>
      </w:r>
    </w:p>
    <w:p w14:paraId="6EC3D7FD" w14:textId="519C55AE" w:rsidR="006D1365" w:rsidRPr="009262AF" w:rsidRDefault="006D1365" w:rsidP="453B09E3">
      <w:pPr>
        <w:pStyle w:val="ReviewHeading3"/>
      </w:pPr>
      <w:r>
        <w:t>Implications of climate impacts for sustainable environmental outcomes</w:t>
      </w:r>
    </w:p>
    <w:p w14:paraId="6BAE876F" w14:textId="3372AA9B" w:rsidR="004719BA" w:rsidRPr="009262AF" w:rsidRDefault="00382EE8" w:rsidP="2B61F867">
      <w:r>
        <w:rPr>
          <w:rFonts w:ascii="ZWAdobeF" w:hAnsi="ZWAdobeF" w:cs="ZWAdobeF"/>
          <w:sz w:val="2"/>
          <w:szCs w:val="2"/>
        </w:rPr>
        <w:t>921B</w:t>
      </w:r>
      <w:r w:rsidR="004719BA" w:rsidRPr="009262AF">
        <w:t xml:space="preserve">The ACT Water Security Vulnerability Assessment </w:t>
      </w:r>
      <w:r w:rsidR="004719BA" w:rsidRPr="00E76955">
        <w:t xml:space="preserve">indicates that projected climate change </w:t>
      </w:r>
      <w:r w:rsidR="004719BA" w:rsidRPr="009262AF">
        <w:t>and regional population growth will substantially reduce river flows and increase hydrological stress in the Upper Murrumbidgee, materially affecting the capacity to achieve environmental outcomes under current and proposed flow arrangements.</w:t>
      </w:r>
      <w:r>
        <w:rPr>
          <w:rFonts w:ascii="ZWAdobeF" w:hAnsi="ZWAdobeF" w:cs="ZWAdobeF"/>
          <w:sz w:val="2"/>
          <w:szCs w:val="2"/>
        </w:rPr>
        <w:t>65F</w:t>
      </w:r>
      <w:r w:rsidR="00FF7029">
        <w:rPr>
          <w:rStyle w:val="FootnoteReference"/>
        </w:rPr>
        <w:footnoteReference w:id="66"/>
      </w:r>
    </w:p>
    <w:p w14:paraId="218E9ACC" w14:textId="5107C404" w:rsidR="004719BA" w:rsidRDefault="00382EE8" w:rsidP="2B61F867">
      <w:r>
        <w:rPr>
          <w:rFonts w:ascii="ZWAdobeF" w:hAnsi="ZWAdobeF" w:cs="ZWAdobeF"/>
          <w:sz w:val="2"/>
          <w:szCs w:val="2"/>
        </w:rPr>
        <w:lastRenderedPageBreak/>
        <w:t>922B</w:t>
      </w:r>
      <w:r w:rsidR="004719BA">
        <w:t>Modelled climate scenarios show that, by 2050, average river flows across the ACT region and connected catchments are projected to decline by approximately 30</w:t>
      </w:r>
      <w:r w:rsidR="00C33A87">
        <w:t xml:space="preserve"> to </w:t>
      </w:r>
      <w:r w:rsidR="004719BA">
        <w:t>45</w:t>
      </w:r>
      <w:r w:rsidR="00C33A87">
        <w:t>%</w:t>
      </w:r>
      <w:r w:rsidR="004719BA">
        <w:t xml:space="preserve"> under moderate and extreme climate change scenarios respectively, and current growth trends in population growth.</w:t>
      </w:r>
      <w:r>
        <w:rPr>
          <w:rFonts w:ascii="ZWAdobeF" w:hAnsi="ZWAdobeF" w:cs="ZWAdobeF"/>
          <w:sz w:val="2"/>
          <w:szCs w:val="2"/>
        </w:rPr>
        <w:t>66F</w:t>
      </w:r>
      <w:r w:rsidR="00B7080C">
        <w:rPr>
          <w:rStyle w:val="FootnoteReference"/>
        </w:rPr>
        <w:footnoteReference w:id="67"/>
      </w:r>
      <w:r w:rsidR="004719BA">
        <w:t xml:space="preserve"> These reductions are accompanied by longer and more severe droughts and fewer wet periods capable of resetting ecological conditions. </w:t>
      </w:r>
    </w:p>
    <w:p w14:paraId="76D5461E" w14:textId="65817CEC" w:rsidR="004719BA" w:rsidRPr="009262AF" w:rsidRDefault="00382EE8" w:rsidP="2B61F867">
      <w:r>
        <w:rPr>
          <w:rFonts w:ascii="ZWAdobeF" w:hAnsi="ZWAdobeF" w:cs="ZWAdobeF"/>
          <w:sz w:val="2"/>
          <w:szCs w:val="2"/>
        </w:rPr>
        <w:t>923B</w:t>
      </w:r>
      <w:r w:rsidR="004719BA">
        <w:t>Under these conditions the frequency and duration of low</w:t>
      </w:r>
      <w:r w:rsidR="460692D5">
        <w:t xml:space="preserve"> </w:t>
      </w:r>
      <w:r w:rsidR="004719BA">
        <w:t>flow periods are expected to increase, while opportunities to deliver ecologically meaningful freshes and higher</w:t>
      </w:r>
      <w:r w:rsidR="0BFFF44F">
        <w:t xml:space="preserve"> </w:t>
      </w:r>
      <w:r w:rsidR="004719BA">
        <w:t>magnitude flows will become less frequent and less reliable. Environmental water is the most vulnerable component of the water system, relative to potable and non</w:t>
      </w:r>
      <w:r w:rsidR="004719BA">
        <w:noBreakHyphen/>
        <w:t>potable supplies, increasing the risk that ecological flow requirements are deferred or unmet during dry periods.</w:t>
      </w:r>
    </w:p>
    <w:p w14:paraId="6EEFEE13" w14:textId="39D96EEE" w:rsidR="004719BA" w:rsidRPr="009262AF" w:rsidRDefault="00382EE8" w:rsidP="2B61F867">
      <w:r>
        <w:rPr>
          <w:rFonts w:ascii="ZWAdobeF" w:hAnsi="ZWAdobeF" w:cs="ZWAdobeF"/>
          <w:sz w:val="2"/>
          <w:szCs w:val="2"/>
        </w:rPr>
        <w:t>924B</w:t>
      </w:r>
      <w:r w:rsidR="004719BA" w:rsidRPr="009262AF">
        <w:t xml:space="preserve">These projected flow reductions directly interact with the ecological processes identified in the </w:t>
      </w:r>
      <w:r w:rsidR="004719BA" w:rsidRPr="009262AF">
        <w:rPr>
          <w:i/>
          <w:iCs/>
        </w:rPr>
        <w:t>Ecology Technical Report</w:t>
      </w:r>
      <w:r w:rsidR="00642608">
        <w:rPr>
          <w:b/>
          <w:bCs/>
        </w:rPr>
        <w:t xml:space="preserve">. </w:t>
      </w:r>
      <w:r w:rsidR="004719BA" w:rsidRPr="009262AF">
        <w:t>Reduced volumes and increased drought frequency limit sediment transport, exacerbate channel simplification and reduce opportunities for habitat renewal and connectivity. Flow regimes that focus primarily on baseflow maintenance are particularly exposed, as declining inflows reduce the ability to sustain even minimum thresholds during extended dry periods, increasing the risk of cease</w:t>
      </w:r>
      <w:r w:rsidR="004719BA" w:rsidRPr="009262AF">
        <w:noBreakHyphen/>
        <w:t>to</w:t>
      </w:r>
      <w:r w:rsidR="004719BA" w:rsidRPr="009262AF">
        <w:noBreakHyphen/>
        <w:t xml:space="preserve">flow events and cumulative ecological damage. </w:t>
      </w:r>
      <w:r w:rsidR="481A597E">
        <w:t>Summary conclusions</w:t>
      </w:r>
      <w:r w:rsidR="004719BA">
        <w:t xml:space="preserve"> </w:t>
      </w:r>
      <w:r w:rsidR="7145D668">
        <w:t>for</w:t>
      </w:r>
      <w:r w:rsidR="004719BA" w:rsidRPr="009262AF">
        <w:t xml:space="preserve"> the options examined through the </w:t>
      </w:r>
      <w:r w:rsidR="3C480423">
        <w:t>R</w:t>
      </w:r>
      <w:r w:rsidR="004719BA">
        <w:t>eview</w:t>
      </w:r>
      <w:r w:rsidR="1270E531">
        <w:t xml:space="preserve"> are</w:t>
      </w:r>
      <w:r w:rsidR="004719BA" w:rsidRPr="009262AF">
        <w:t>:</w:t>
      </w:r>
    </w:p>
    <w:p w14:paraId="058D2E71" w14:textId="5C4E1070" w:rsidR="004719BA" w:rsidRPr="009262AF" w:rsidRDefault="00382EE8" w:rsidP="00115BD6">
      <w:pPr>
        <w:pStyle w:val="ListParagraph"/>
        <w:numPr>
          <w:ilvl w:val="0"/>
          <w:numId w:val="85"/>
        </w:numPr>
      </w:pPr>
      <w:r>
        <w:rPr>
          <w:rFonts w:ascii="ZWAdobeF" w:hAnsi="ZWAdobeF" w:cs="ZWAdobeF"/>
          <w:sz w:val="2"/>
          <w:szCs w:val="2"/>
        </w:rPr>
        <w:t>164B</w:t>
      </w:r>
      <w:r w:rsidR="004719BA" w:rsidRPr="009262AF">
        <w:t xml:space="preserve">Option 2 is unlikely to prevent cumulative, </w:t>
      </w:r>
      <w:r w:rsidR="004719BA">
        <w:t>ongoing</w:t>
      </w:r>
      <w:r w:rsidR="004719BA" w:rsidRPr="009262AF">
        <w:t xml:space="preserve"> ecological degradation.</w:t>
      </w:r>
    </w:p>
    <w:p w14:paraId="143B48F2" w14:textId="3802BE5F" w:rsidR="004719BA" w:rsidRPr="009262AF" w:rsidRDefault="00382EE8" w:rsidP="00115BD6">
      <w:pPr>
        <w:pStyle w:val="ListParagraph"/>
        <w:numPr>
          <w:ilvl w:val="0"/>
          <w:numId w:val="85"/>
        </w:numPr>
      </w:pPr>
      <w:r>
        <w:rPr>
          <w:rFonts w:ascii="ZWAdobeF" w:hAnsi="ZWAdobeF" w:cs="ZWAdobeF"/>
          <w:sz w:val="2"/>
          <w:szCs w:val="2"/>
        </w:rPr>
        <w:t>165B</w:t>
      </w:r>
      <w:r w:rsidR="004719BA" w:rsidRPr="009262AF">
        <w:t>Option 3, which restores seasonal variability through variable baseflows and freshes but does not include channel maintenance flows, is sensitive to declining inflows. The constrained sediment transport and habitat renewal reduces the option’s capacity to support sustained recovery as climate stress intensifies.</w:t>
      </w:r>
    </w:p>
    <w:p w14:paraId="416A1F9D" w14:textId="12F40F7C" w:rsidR="004719BA" w:rsidRPr="009262AF" w:rsidRDefault="00382EE8" w:rsidP="00115BD6">
      <w:pPr>
        <w:pStyle w:val="ListParagraph"/>
        <w:numPr>
          <w:ilvl w:val="0"/>
          <w:numId w:val="85"/>
        </w:numPr>
      </w:pPr>
      <w:r>
        <w:rPr>
          <w:rFonts w:ascii="ZWAdobeF" w:hAnsi="ZWAdobeF" w:cs="ZWAdobeF"/>
          <w:sz w:val="2"/>
          <w:szCs w:val="2"/>
        </w:rPr>
        <w:t>166B</w:t>
      </w:r>
      <w:r w:rsidR="004719BA" w:rsidRPr="009262AF">
        <w:t>Option 4, which reinstates the full suite of flow components including channel maintenance flows, remains exposed to overall reductions in water availability but is comparatively more resilient even as average flows decline.</w:t>
      </w:r>
    </w:p>
    <w:p w14:paraId="1F4BB09D" w14:textId="5BCE432D" w:rsidR="004719BA" w:rsidRPr="009262AF" w:rsidRDefault="00382EE8" w:rsidP="00115BD6">
      <w:pPr>
        <w:pStyle w:val="ListParagraph"/>
        <w:numPr>
          <w:ilvl w:val="0"/>
          <w:numId w:val="85"/>
        </w:numPr>
      </w:pPr>
      <w:r>
        <w:rPr>
          <w:rFonts w:ascii="ZWAdobeF" w:hAnsi="ZWAdobeF" w:cs="ZWAdobeF"/>
          <w:sz w:val="2"/>
          <w:szCs w:val="2"/>
        </w:rPr>
        <w:t>167B</w:t>
      </w:r>
      <w:r w:rsidR="004719BA">
        <w:t>Option 5 prioritises reliable baseflows that perform strongly in maintaining upstream habitat persistence during dry conditions. However, this option aligns the flow components with climate conditions and water availability, therefore under projected 30</w:t>
      </w:r>
      <w:r w:rsidR="00C33A87">
        <w:t xml:space="preserve"> to </w:t>
      </w:r>
      <w:r w:rsidR="004719BA">
        <w:t>45</w:t>
      </w:r>
      <w:r w:rsidR="00C33A87">
        <w:t>%</w:t>
      </w:r>
      <w:r w:rsidR="004719BA">
        <w:t xml:space="preserve"> average flow reductions the occurrence of higher</w:t>
      </w:r>
      <w:r w:rsidR="5E9D688E">
        <w:t xml:space="preserve"> </w:t>
      </w:r>
      <w:r w:rsidR="004719BA">
        <w:t>magnitude flows would become increasingly limited, increasing the risk that the river stabilises in a degraded state with constrained long</w:t>
      </w:r>
      <w:r w:rsidR="004719BA">
        <w:noBreakHyphen/>
        <w:t>term resilience.</w:t>
      </w:r>
    </w:p>
    <w:p w14:paraId="35C34410" w14:textId="14174567" w:rsidR="004719BA" w:rsidRPr="00EA6D30" w:rsidRDefault="00382EE8" w:rsidP="2B61F867">
      <w:r>
        <w:rPr>
          <w:rFonts w:ascii="ZWAdobeF" w:hAnsi="ZWAdobeF" w:cs="ZWAdobeF"/>
          <w:sz w:val="2"/>
          <w:szCs w:val="2"/>
        </w:rPr>
        <w:t>925B</w:t>
      </w:r>
      <w:r w:rsidR="004719BA" w:rsidRPr="00EA6D30">
        <w:t xml:space="preserve">Overall, climate change acts as a risk multiplier across all environmental flow options. Options that rely on limited flexibility or regimes that </w:t>
      </w:r>
      <w:r w:rsidR="0D5DFAA8">
        <w:t>stabili</w:t>
      </w:r>
      <w:r w:rsidR="68CBE904">
        <w:t>s</w:t>
      </w:r>
      <w:r w:rsidR="0D5DFAA8">
        <w:t>e</w:t>
      </w:r>
      <w:r w:rsidR="004719BA" w:rsidRPr="00EA6D30">
        <w:t xml:space="preserve"> the current degraded conditions are increasingly unlikely to achieve environmental objectives as flows decline. In contrast, options that restore variability, enable delivery of disturbance processes and incorporate adaptive management are better placed to support ecological resilience even as total water availability decreases.</w:t>
      </w:r>
    </w:p>
    <w:p w14:paraId="1F16E92A" w14:textId="39C9F70B" w:rsidR="004719BA" w:rsidRDefault="00382EE8" w:rsidP="2B61F867">
      <w:r>
        <w:rPr>
          <w:rFonts w:ascii="ZWAdobeF" w:hAnsi="ZWAdobeF" w:cs="ZWAdobeF"/>
          <w:sz w:val="2"/>
          <w:szCs w:val="2"/>
        </w:rPr>
        <w:t>926B</w:t>
      </w:r>
      <w:r w:rsidR="004719BA" w:rsidRPr="009262AF">
        <w:t xml:space="preserve">The ACT Vulnerability Assessment highlights the importance of early and proactive intervention </w:t>
      </w:r>
      <w:r w:rsidR="004719BA">
        <w:t xml:space="preserve">and flexible operating arrangements that enable responsiveness to extreme events. </w:t>
      </w:r>
      <w:r w:rsidR="004719BA" w:rsidRPr="009262AF">
        <w:t xml:space="preserve">This finding </w:t>
      </w:r>
      <w:r w:rsidR="004719BA">
        <w:t xml:space="preserve">supports </w:t>
      </w:r>
      <w:r w:rsidR="004719BA">
        <w:lastRenderedPageBreak/>
        <w:t xml:space="preserve">the case </w:t>
      </w:r>
      <w:r w:rsidR="004719BA" w:rsidRPr="009262AF">
        <w:t xml:space="preserve">that recovery and resilience depend on sustained delivery of </w:t>
      </w:r>
      <w:r w:rsidR="004719BA">
        <w:t>a minimum</w:t>
      </w:r>
      <w:r w:rsidR="73C441A5">
        <w:t xml:space="preserve"> </w:t>
      </w:r>
      <w:r w:rsidR="004719BA">
        <w:t xml:space="preserve">level </w:t>
      </w:r>
      <w:r w:rsidR="004719BA" w:rsidRPr="009262AF">
        <w:t>flow regime over long timeframes</w:t>
      </w:r>
      <w:r w:rsidR="004719BA">
        <w:t xml:space="preserve"> (e.g. baseflow and small fresh operating rules)</w:t>
      </w:r>
      <w:r w:rsidR="004719BA" w:rsidRPr="009262AF">
        <w:t xml:space="preserve"> </w:t>
      </w:r>
      <w:r w:rsidR="004719BA">
        <w:t>in combination with</w:t>
      </w:r>
      <w:r w:rsidR="004719BA" w:rsidRPr="009262AF">
        <w:t xml:space="preserve"> opportunistic </w:t>
      </w:r>
      <w:r w:rsidR="004719BA">
        <w:t xml:space="preserve">higher magnitude flow </w:t>
      </w:r>
      <w:r w:rsidR="004719BA" w:rsidRPr="009262AF">
        <w:t xml:space="preserve">releases during favourable years, </w:t>
      </w:r>
      <w:r w:rsidR="004719BA">
        <w:t>as demonstrated</w:t>
      </w:r>
      <w:r w:rsidR="004719BA" w:rsidRPr="009262AF">
        <w:t xml:space="preserve"> under Option 5.</w:t>
      </w:r>
      <w:r w:rsidR="004719BA">
        <w:t xml:space="preserve"> </w:t>
      </w:r>
    </w:p>
    <w:p w14:paraId="4CFBB172" w14:textId="0ADC2026" w:rsidR="004719BA" w:rsidRPr="009262AF" w:rsidRDefault="00382EE8" w:rsidP="2B61F867">
      <w:r>
        <w:rPr>
          <w:rFonts w:ascii="ZWAdobeF" w:hAnsi="ZWAdobeF" w:cs="ZWAdobeF"/>
          <w:sz w:val="2"/>
          <w:szCs w:val="2"/>
        </w:rPr>
        <w:t>927B</w:t>
      </w:r>
      <w:r w:rsidR="004719BA">
        <w:t>A management framework that combines both planned and adaptive environmental water, integrated planning, monitoring and evaluation and periodic review provide</w:t>
      </w:r>
      <w:r w:rsidR="49B84EFD">
        <w:t>s</w:t>
      </w:r>
      <w:r w:rsidR="004719BA">
        <w:t xml:space="preserve"> a solution set effective for responding to the high risk and uncertainty of the climate projections. </w:t>
      </w:r>
    </w:p>
    <w:p w14:paraId="6B2BE5A0" w14:textId="2F41D328" w:rsidR="003A0E6C" w:rsidRDefault="003A0E6C" w:rsidP="003A0E6C">
      <w:pPr>
        <w:pStyle w:val="ReviewHeading3"/>
      </w:pPr>
      <w:r>
        <w:t>Advice from the advisory groups on the environmental flows options</w:t>
      </w:r>
    </w:p>
    <w:p w14:paraId="606EAFBB" w14:textId="65586308" w:rsidR="008D6014" w:rsidRPr="009262AF" w:rsidRDefault="00382EE8" w:rsidP="2D900D62">
      <w:r>
        <w:rPr>
          <w:rFonts w:ascii="ZWAdobeF" w:hAnsi="ZWAdobeF" w:cs="ZWAdobeF"/>
          <w:sz w:val="2"/>
          <w:szCs w:val="2"/>
        </w:rPr>
        <w:t>928B</w:t>
      </w:r>
      <w:r w:rsidR="001A59D3">
        <w:t xml:space="preserve">Many </w:t>
      </w:r>
      <w:r w:rsidR="306612CB">
        <w:t>s</w:t>
      </w:r>
      <w:r w:rsidR="70A0B54A">
        <w:t>takeholder</w:t>
      </w:r>
      <w:r w:rsidR="008D6014">
        <w:t xml:space="preserve"> submissions </w:t>
      </w:r>
      <w:r w:rsidR="001A59D3">
        <w:t xml:space="preserve">noted </w:t>
      </w:r>
      <w:r w:rsidR="008D6014">
        <w:t>that current environmental flows are inadequate and that improved outcomes require changes to the flow regime, not just higher minimum flows. Submissions consistently call for restoration of seasonal variability, freshes and higher</w:t>
      </w:r>
      <w:r w:rsidR="206FAFC0">
        <w:t xml:space="preserve"> </w:t>
      </w:r>
      <w:r w:rsidR="008D6014">
        <w:t>magnitude flows to support habitat renewal, water quality and native species recovery, noting that baseflow</w:t>
      </w:r>
      <w:r w:rsidR="73A2E87E">
        <w:t xml:space="preserve"> </w:t>
      </w:r>
      <w:r w:rsidR="008D6014">
        <w:t xml:space="preserve">only approaches stabilise a degraded system. While views differ on the scale and implementation of change due to perceived impact on downstream extractive water industry and capital investment for </w:t>
      </w:r>
      <w:r w:rsidR="3A7D24B8">
        <w:t>d</w:t>
      </w:r>
      <w:r w:rsidR="008D6014">
        <w:t xml:space="preserve">am upgrades, there is </w:t>
      </w:r>
      <w:r w:rsidR="009B56E3">
        <w:t>general agreement</w:t>
      </w:r>
      <w:r w:rsidR="008D6014">
        <w:t xml:space="preserve"> that improved environmental flows are essential to prevent cease</w:t>
      </w:r>
      <w:r w:rsidR="001A59D3">
        <w:noBreakHyphen/>
      </w:r>
      <w:r w:rsidR="008D6014">
        <w:t>to</w:t>
      </w:r>
      <w:r w:rsidR="001A59D3">
        <w:noBreakHyphen/>
      </w:r>
      <w:r w:rsidR="008D6014">
        <w:t>flow events and protect long</w:t>
      </w:r>
      <w:r w:rsidR="001A59D3">
        <w:noBreakHyphen/>
      </w:r>
      <w:r w:rsidR="008D6014">
        <w:t>term ecological, cultural and community values.</w:t>
      </w:r>
    </w:p>
    <w:p w14:paraId="11588CDA" w14:textId="31F7B7C7" w:rsidR="008D6014" w:rsidRPr="00E76955" w:rsidRDefault="00382EE8" w:rsidP="2B61F867">
      <w:r>
        <w:rPr>
          <w:rFonts w:ascii="ZWAdobeF" w:hAnsi="ZWAdobeF" w:cs="ZWAdobeF"/>
          <w:sz w:val="2"/>
          <w:szCs w:val="2"/>
        </w:rPr>
        <w:t>929B</w:t>
      </w:r>
      <w:r w:rsidR="5D0B65D9" w:rsidRPr="009262AF">
        <w:t>The FNAG advises</w:t>
      </w:r>
      <w:r w:rsidR="00B03017">
        <w:t xml:space="preserve"> </w:t>
      </w:r>
      <w:r w:rsidR="5D0B65D9" w:rsidRPr="009262AF">
        <w:t>that environmental flow options for the Upper Murrumbidgee should move beyond minimum or technically defined flows and instead support active custodianship of a living river system.</w:t>
      </w:r>
      <w:r>
        <w:rPr>
          <w:rFonts w:ascii="ZWAdobeF" w:hAnsi="ZWAdobeF" w:cs="ZWAdobeF"/>
          <w:sz w:val="2"/>
          <w:szCs w:val="2"/>
        </w:rPr>
        <w:t>67F</w:t>
      </w:r>
      <w:r w:rsidR="00B03017" w:rsidRPr="009262AF">
        <w:rPr>
          <w:vertAlign w:val="superscript"/>
        </w:rPr>
        <w:footnoteReference w:id="68"/>
      </w:r>
      <w:r w:rsidR="5D0B65D9" w:rsidRPr="009262AF">
        <w:t xml:space="preserve"> Their report to this Review emphasises that flows must be sufficient in volume, timing and variability to enable cultural, ecological and social healing, not merely prevent further decline.</w:t>
      </w:r>
      <w:r w:rsidR="00B03017" w:rsidRPr="00B03017">
        <w:rPr>
          <w:vertAlign w:val="superscript"/>
        </w:rPr>
        <w:t xml:space="preserve"> </w:t>
      </w:r>
    </w:p>
    <w:p w14:paraId="0D203A99" w14:textId="734C3C9A" w:rsidR="008D6014" w:rsidRPr="009262AF" w:rsidRDefault="00382EE8" w:rsidP="2B61F867">
      <w:pPr>
        <w:rPr>
          <w:rFonts w:ascii="Segoe UI" w:eastAsia="Segoe UI" w:hAnsi="Segoe UI" w:cs="Segoe UI"/>
          <w:sz w:val="21"/>
          <w:szCs w:val="21"/>
        </w:rPr>
      </w:pPr>
      <w:r>
        <w:rPr>
          <w:rFonts w:ascii="ZWAdobeF" w:hAnsi="ZWAdobeF" w:cs="ZWAdobeF"/>
          <w:sz w:val="2"/>
          <w:szCs w:val="2"/>
        </w:rPr>
        <w:t>930B</w:t>
      </w:r>
      <w:r w:rsidR="008D6014">
        <w:t xml:space="preserve">The </w:t>
      </w:r>
      <w:r w:rsidR="79C0FF30">
        <w:t>c</w:t>
      </w:r>
      <w:r w:rsidR="008D6014">
        <w:t>ultural recommendations made by the FNAG support flow options that restore natural variability, deliver culturally and ecologically meaningful flows and enable long</w:t>
      </w:r>
      <w:r w:rsidR="008D6014">
        <w:noBreakHyphen/>
        <w:t xml:space="preserve">term healing, rather than those that merely manage decline. This aligns most strongly with Option 4, while viewing Options 2 and 5 as insufficient and Option 3 as a partial but incomplete step toward custodial outcomes. Across all options the FNAG stresses that </w:t>
      </w:r>
      <w:r w:rsidR="6FE69FA7">
        <w:t>the way in which</w:t>
      </w:r>
      <w:r w:rsidR="008D6014">
        <w:t xml:space="preserve"> flows are governed and decided—including shared authority, adaptability and respect for cultural knowledge—is as important as the flow volumes themselves.</w:t>
      </w:r>
    </w:p>
    <w:p w14:paraId="2874CA4A" w14:textId="07521D78" w:rsidR="008D6014" w:rsidRDefault="00382EE8" w:rsidP="008D6014">
      <w:r>
        <w:rPr>
          <w:rFonts w:ascii="ZWAdobeF" w:hAnsi="ZWAdobeF" w:cs="ZWAdobeF"/>
          <w:sz w:val="2"/>
          <w:szCs w:val="2"/>
        </w:rPr>
        <w:t>931B</w:t>
      </w:r>
      <w:r w:rsidR="008D6014">
        <w:t xml:space="preserve">The SAG advice aligns with public submissions and the FNAG, that improving the health of the </w:t>
      </w:r>
      <w:r w:rsidR="266ABA15">
        <w:t>U</w:t>
      </w:r>
      <w:r w:rsidR="008D6014">
        <w:t>pper Murrumbidgee River requires environmental flows to be delivered as a functional and adaptive flow regime, rather than as fixed volumes or rigid schedules. The SAG emphasised that outcomes depend on timing, variability and responsiveness to in</w:t>
      </w:r>
      <w:r w:rsidR="008D6014">
        <w:noBreakHyphen/>
        <w:t>year conditions, including the delivery of variable baseflows, freshes and, where feasible, higher</w:t>
      </w:r>
      <w:r w:rsidR="32730136">
        <w:t xml:space="preserve"> </w:t>
      </w:r>
      <w:r w:rsidR="008D6014">
        <w:t>magnitude events to support ecological processes.</w:t>
      </w:r>
      <w:r>
        <w:rPr>
          <w:rFonts w:ascii="ZWAdobeF" w:hAnsi="ZWAdobeF" w:cs="ZWAdobeF"/>
          <w:sz w:val="2"/>
          <w:szCs w:val="2"/>
        </w:rPr>
        <w:t>68F</w:t>
      </w:r>
      <w:r w:rsidR="00B7080C">
        <w:rPr>
          <w:rStyle w:val="FootnoteReference"/>
        </w:rPr>
        <w:footnoteReference w:id="69"/>
      </w:r>
      <w:r w:rsidR="008D6014">
        <w:t xml:space="preserve"> While views differed on the scale and pace of flow increases, there was broad agreement that adaptive, event</w:t>
      </w:r>
      <w:r w:rsidR="008D6014">
        <w:noBreakHyphen/>
        <w:t>responsive delivery, supported by clear governance, monitoring and review is essential to improving ecological outcomes and managing risk under a changing climate.</w:t>
      </w:r>
    </w:p>
    <w:p w14:paraId="5596201A" w14:textId="39721B53" w:rsidR="00E76203" w:rsidRDefault="0056687B" w:rsidP="00B36572">
      <w:pPr>
        <w:pStyle w:val="ReviewHeading2"/>
      </w:pPr>
      <w:bookmarkStart w:id="67" w:name="_Toc233801483"/>
      <w:r>
        <w:rPr>
          <w:noProof/>
        </w:rPr>
        <w:lastRenderedPageBreak/>
        <mc:AlternateContent>
          <mc:Choice Requires="wps">
            <w:drawing>
              <wp:anchor distT="0" distB="0" distL="114300" distR="114300" simplePos="0" relativeHeight="251658255" behindDoc="0" locked="0" layoutInCell="1" allowOverlap="1" wp14:anchorId="393636A9" wp14:editId="0D7088F4">
                <wp:simplePos x="0" y="0"/>
                <wp:positionH relativeFrom="column">
                  <wp:posOffset>-40640</wp:posOffset>
                </wp:positionH>
                <wp:positionV relativeFrom="paragraph">
                  <wp:posOffset>147320</wp:posOffset>
                </wp:positionV>
                <wp:extent cx="5613400" cy="159385"/>
                <wp:effectExtent l="0" t="0" r="6350" b="0"/>
                <wp:wrapSquare wrapText="bothSides"/>
                <wp:docPr id="121851941" name="Text Box 1" descr="P987TB16#y1"/>
                <wp:cNvGraphicFramePr/>
                <a:graphic xmlns:a="http://schemas.openxmlformats.org/drawingml/2006/main">
                  <a:graphicData uri="http://schemas.microsoft.com/office/word/2010/wordprocessingShape">
                    <wps:wsp>
                      <wps:cNvSpPr txBox="1"/>
                      <wps:spPr>
                        <a:xfrm>
                          <a:off x="0" y="0"/>
                          <a:ext cx="5613400" cy="159385"/>
                        </a:xfrm>
                        <a:prstGeom prst="rect">
                          <a:avLst/>
                        </a:prstGeom>
                        <a:solidFill>
                          <a:prstClr val="white"/>
                        </a:solidFill>
                        <a:ln>
                          <a:noFill/>
                        </a:ln>
                      </wps:spPr>
                      <wps:txbx>
                        <w:txbxContent>
                          <w:p w14:paraId="25ED08A3" w14:textId="11205E16" w:rsidR="0056687B" w:rsidRPr="0056687B" w:rsidRDefault="0056687B" w:rsidP="0056687B">
                            <w:pPr>
                              <w:pStyle w:val="Caption"/>
                              <w:shd w:val="clear" w:color="auto" w:fill="DAE9F7" w:themeFill="text2" w:themeFillTint="1A"/>
                              <w:rPr>
                                <w:rFonts w:asciiTheme="majorHAnsi" w:eastAsiaTheme="majorEastAsia" w:hAnsiTheme="majorHAnsi" w:cstheme="majorBidi"/>
                                <w:b/>
                                <w:bCs/>
                                <w:noProof/>
                                <w:color w:val="auto"/>
                                <w:sz w:val="44"/>
                                <w:szCs w:val="44"/>
                              </w:rPr>
                            </w:pPr>
                            <w:r w:rsidRPr="00C94B71">
                              <w:rPr>
                                <w:b/>
                                <w:bCs/>
                                <w:color w:val="auto"/>
                                <w:sz w:val="20"/>
                                <w:szCs w:val="20"/>
                              </w:rPr>
                              <w:t xml:space="preserve">Box </w:t>
                            </w:r>
                            <w:r w:rsidRPr="00C94B71">
                              <w:rPr>
                                <w:b/>
                                <w:bCs/>
                                <w:color w:val="auto"/>
                                <w:sz w:val="20"/>
                                <w:szCs w:val="20"/>
                              </w:rPr>
                              <w:fldChar w:fldCharType="begin"/>
                            </w:r>
                            <w:r w:rsidRPr="00C94B71">
                              <w:rPr>
                                <w:b/>
                                <w:bCs/>
                                <w:color w:val="auto"/>
                                <w:sz w:val="20"/>
                                <w:szCs w:val="20"/>
                              </w:rPr>
                              <w:instrText xml:space="preserve"> SEQ Box \* ARABIC </w:instrText>
                            </w:r>
                            <w:r w:rsidRPr="00C94B71">
                              <w:rPr>
                                <w:b/>
                                <w:bCs/>
                                <w:color w:val="auto"/>
                                <w:sz w:val="20"/>
                                <w:szCs w:val="20"/>
                              </w:rPr>
                              <w:fldChar w:fldCharType="separate"/>
                            </w:r>
                            <w:r w:rsidR="0005178F" w:rsidRPr="00C94B71">
                              <w:rPr>
                                <w:b/>
                                <w:bCs/>
                                <w:noProof/>
                                <w:color w:val="auto"/>
                                <w:sz w:val="20"/>
                                <w:szCs w:val="20"/>
                              </w:rPr>
                              <w:t>2</w:t>
                            </w:r>
                            <w:r w:rsidRPr="00C94B71">
                              <w:rPr>
                                <w:b/>
                                <w:bCs/>
                                <w:color w:val="auto"/>
                                <w:sz w:val="20"/>
                                <w:szCs w:val="20"/>
                              </w:rPr>
                              <w:fldChar w:fldCharType="end"/>
                            </w:r>
                            <w:r w:rsidRPr="00C94B71">
                              <w:rPr>
                                <w:b/>
                                <w:bCs/>
                                <w:color w:val="auto"/>
                                <w:sz w:val="20"/>
                                <w:szCs w:val="20"/>
                              </w:rPr>
                              <w:t>:</w:t>
                            </w:r>
                            <w:r w:rsidRPr="0056687B">
                              <w:rPr>
                                <w:b/>
                                <w:bCs/>
                                <w:color w:val="auto"/>
                                <w:sz w:val="20"/>
                                <w:szCs w:val="20"/>
                              </w:rPr>
                              <w:t xml:space="preserve"> Modelling Insights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36A9" id="_x0000_s1031" type="#_x0000_t202" alt="P987TB16#y1" style="position:absolute;left:0;text-align:left;margin-left:-3.2pt;margin-top:11.6pt;width:442pt;height:12.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" stroked="f">
                <v:textbox inset="0,0,0,0">
                  <w:txbxContent>
                    <w:p w14:paraId="25ED08A3" w14:textId="11205E16" w:rsidR="0056687B" w:rsidRPr="0056687B" w:rsidRDefault="0056687B" w:rsidP="0056687B">
                      <w:pPr>
                        <w:pStyle w:val="Caption"/>
                        <w:shd w:val="clear" w:color="auto" w:fill="DAE9F7" w:themeFill="text2" w:themeFillTint="1A"/>
                        <w:rPr>
                          <w:rFonts w:asciiTheme="majorHAnsi" w:eastAsiaTheme="majorEastAsia" w:hAnsiTheme="majorHAnsi" w:cstheme="majorBidi"/>
                          <w:b/>
                          <w:bCs/>
                          <w:noProof/>
                          <w:color w:val="auto"/>
                          <w:sz w:val="44"/>
                          <w:szCs w:val="44"/>
                        </w:rPr>
                      </w:pPr>
                      <w:r w:rsidRPr="00C94B71">
                        <w:rPr>
                          <w:b/>
                          <w:bCs/>
                          <w:color w:val="auto"/>
                          <w:sz w:val="20"/>
                          <w:szCs w:val="20"/>
                        </w:rPr>
                        <w:t xml:space="preserve">Box </w:t>
                      </w:r>
                      <w:r w:rsidRPr="00C94B71">
                        <w:rPr>
                          <w:b/>
                          <w:bCs/>
                          <w:color w:val="auto"/>
                          <w:sz w:val="20"/>
                          <w:szCs w:val="20"/>
                        </w:rPr>
                        <w:fldChar w:fldCharType="begin"/>
                      </w:r>
                      <w:r w:rsidRPr="00C94B71">
                        <w:rPr>
                          <w:b/>
                          <w:bCs/>
                          <w:color w:val="auto"/>
                          <w:sz w:val="20"/>
                          <w:szCs w:val="20"/>
                        </w:rPr>
                        <w:instrText xml:space="preserve"> SEQ Box \* ARABIC </w:instrText>
                      </w:r>
                      <w:r w:rsidRPr="00C94B71">
                        <w:rPr>
                          <w:b/>
                          <w:bCs/>
                          <w:color w:val="auto"/>
                          <w:sz w:val="20"/>
                          <w:szCs w:val="20"/>
                        </w:rPr>
                        <w:fldChar w:fldCharType="separate"/>
                      </w:r>
                      <w:r w:rsidR="0005178F" w:rsidRPr="00C94B71">
                        <w:rPr>
                          <w:b/>
                          <w:bCs/>
                          <w:noProof/>
                          <w:color w:val="auto"/>
                          <w:sz w:val="20"/>
                          <w:szCs w:val="20"/>
                        </w:rPr>
                        <w:t>2</w:t>
                      </w:r>
                      <w:r w:rsidRPr="00C94B71">
                        <w:rPr>
                          <w:b/>
                          <w:bCs/>
                          <w:color w:val="auto"/>
                          <w:sz w:val="20"/>
                          <w:szCs w:val="20"/>
                        </w:rPr>
                        <w:fldChar w:fldCharType="end"/>
                      </w:r>
                      <w:r w:rsidRPr="00C94B71">
                        <w:rPr>
                          <w:b/>
                          <w:bCs/>
                          <w:color w:val="auto"/>
                          <w:sz w:val="20"/>
                          <w:szCs w:val="20"/>
                        </w:rPr>
                        <w:t>:</w:t>
                      </w:r>
                      <w:r w:rsidRPr="0056687B">
                        <w:rPr>
                          <w:b/>
                          <w:bCs/>
                          <w:color w:val="auto"/>
                          <w:sz w:val="20"/>
                          <w:szCs w:val="20"/>
                        </w:rPr>
                        <w:t xml:space="preserve"> Modelling Insights</w:t>
                      </w:r>
                    </w:p>
                  </w:txbxContent>
                </v:textbox>
                <w10:wrap type="square"/>
              </v:shape>
            </w:pict>
          </mc:Fallback>
        </mc:AlternateContent>
      </w:r>
      <w:r w:rsidR="00A12928">
        <w:rPr>
          <w:noProof/>
        </w:rPr>
        <mc:AlternateContent>
          <mc:Choice Requires="wps">
            <w:drawing>
              <wp:anchor distT="45720" distB="45720" distL="114300" distR="114300" simplePos="0" relativeHeight="251658243" behindDoc="0" locked="0" layoutInCell="1" allowOverlap="1" wp14:anchorId="55602C7F" wp14:editId="0B1382AF">
                <wp:simplePos x="0" y="0"/>
                <wp:positionH relativeFrom="margin">
                  <wp:align>center</wp:align>
                </wp:positionH>
                <wp:positionV relativeFrom="paragraph">
                  <wp:posOffset>0</wp:posOffset>
                </wp:positionV>
                <wp:extent cx="6082030" cy="5005705"/>
                <wp:effectExtent l="38100" t="38100" r="90170" b="98425"/>
                <wp:wrapSquare wrapText="bothSides"/>
                <wp:docPr id="710130219" name="Text Box 2" descr="P987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5005705"/>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1544FD8A" w14:textId="77777777" w:rsidR="00235CB5" w:rsidRDefault="00235CB5" w:rsidP="00A12928">
                            <w:pPr>
                              <w:rPr>
                                <w:sz w:val="18"/>
                                <w:szCs w:val="20"/>
                              </w:rPr>
                            </w:pPr>
                          </w:p>
                          <w:p w14:paraId="2F52A7D8" w14:textId="77777777" w:rsidR="00A12928" w:rsidRPr="00F246A4" w:rsidRDefault="00A12928" w:rsidP="00A12928">
                            <w:pPr>
                              <w:rPr>
                                <w:sz w:val="18"/>
                                <w:szCs w:val="20"/>
                              </w:rPr>
                            </w:pPr>
                            <w:r w:rsidRPr="00F246A4">
                              <w:rPr>
                                <w:sz w:val="18"/>
                                <w:szCs w:val="20"/>
                              </w:rPr>
                              <w:t xml:space="preserve">Modelling is an iterative process; learning from each prior option or scenario tested, to refine successive options, and by doing so developing improved knowledge on the preferred solutions and reducing uncertainty. </w:t>
                            </w:r>
                          </w:p>
                          <w:p w14:paraId="10FDD5F9" w14:textId="77777777" w:rsidR="00A12928" w:rsidRPr="00F246A4" w:rsidRDefault="00A12928" w:rsidP="00A12928">
                            <w:pPr>
                              <w:rPr>
                                <w:sz w:val="18"/>
                                <w:szCs w:val="20"/>
                              </w:rPr>
                            </w:pPr>
                            <w:r w:rsidRPr="00F246A4">
                              <w:rPr>
                                <w:sz w:val="18"/>
                                <w:szCs w:val="20"/>
                              </w:rPr>
                              <w:t>The hydrological modelling conducted for this Review highlights important lessons to improve the health of the Upper Murrumbidgee River:</w:t>
                            </w:r>
                          </w:p>
                          <w:p w14:paraId="75067663" w14:textId="77777777" w:rsidR="00A12928" w:rsidRPr="00F246A4" w:rsidRDefault="00A12928" w:rsidP="002852C7">
                            <w:pPr>
                              <w:numPr>
                                <w:ilvl w:val="0"/>
                                <w:numId w:val="1"/>
                              </w:numPr>
                              <w:ind w:left="709" w:hanging="349"/>
                              <w:rPr>
                                <w:sz w:val="18"/>
                                <w:szCs w:val="20"/>
                              </w:rPr>
                            </w:pPr>
                            <w:r w:rsidRPr="00F246A4">
                              <w:rPr>
                                <w:sz w:val="18"/>
                                <w:szCs w:val="20"/>
                              </w:rPr>
                              <w:t>The current environmental flows under the SMRIF and other rules-based releases (i.e. current conditions) are insufficient to service the environmental water requirements, under current and projected climate conditions.</w:t>
                            </w:r>
                          </w:p>
                          <w:p w14:paraId="13F8B85E" w14:textId="77777777" w:rsidR="00A12928" w:rsidRPr="00F246A4" w:rsidRDefault="00A12928" w:rsidP="002852C7">
                            <w:pPr>
                              <w:numPr>
                                <w:ilvl w:val="0"/>
                                <w:numId w:val="1"/>
                              </w:numPr>
                              <w:ind w:left="709" w:hanging="349"/>
                              <w:rPr>
                                <w:sz w:val="18"/>
                                <w:szCs w:val="20"/>
                              </w:rPr>
                            </w:pPr>
                            <w:r w:rsidRPr="00F246A4">
                              <w:rPr>
                                <w:sz w:val="18"/>
                                <w:szCs w:val="20"/>
                              </w:rPr>
                              <w:t xml:space="preserve">Baseflows are critical to protect and maintain ecological health. These requirements are well established in science, relatively low water volume and represent the minimum requirements under all climate conditions. The baseflow requirements modelled should be established as operational rules, often referred to as </w:t>
                            </w:r>
                            <w:r w:rsidRPr="00F246A4">
                              <w:rPr>
                                <w:b/>
                                <w:sz w:val="18"/>
                                <w:szCs w:val="20"/>
                              </w:rPr>
                              <w:t>Planned Environmental Water</w:t>
                            </w:r>
                            <w:r w:rsidRPr="00F246A4">
                              <w:rPr>
                                <w:sz w:val="18"/>
                                <w:szCs w:val="20"/>
                              </w:rPr>
                              <w:t>.</w:t>
                            </w:r>
                          </w:p>
                          <w:p w14:paraId="47C5A020" w14:textId="77777777" w:rsidR="00A12928" w:rsidRPr="00F246A4" w:rsidRDefault="00A12928" w:rsidP="002852C7">
                            <w:pPr>
                              <w:numPr>
                                <w:ilvl w:val="0"/>
                                <w:numId w:val="1"/>
                              </w:numPr>
                              <w:ind w:left="709" w:hanging="349"/>
                              <w:rPr>
                                <w:sz w:val="18"/>
                                <w:szCs w:val="20"/>
                              </w:rPr>
                            </w:pPr>
                            <w:r w:rsidRPr="00F246A4">
                              <w:rPr>
                                <w:sz w:val="18"/>
                                <w:szCs w:val="20"/>
                              </w:rPr>
                              <w:t xml:space="preserve">Large freshes, bankfull and channel maintenance flows are critical for supporting ecosystem function and system recovery. These flow components require larger volumes of water and are most effective when delivered timed with natural events i.e. delivered as </w:t>
                            </w:r>
                            <w:r w:rsidRPr="00F246A4">
                              <w:rPr>
                                <w:b/>
                                <w:sz w:val="18"/>
                                <w:szCs w:val="20"/>
                              </w:rPr>
                              <w:t>Adaptive Environmental Water</w:t>
                            </w:r>
                            <w:r w:rsidRPr="00F246A4">
                              <w:rPr>
                                <w:sz w:val="18"/>
                                <w:szCs w:val="20"/>
                              </w:rPr>
                              <w:t xml:space="preserve"> and subject to near-real time operational decision making.</w:t>
                            </w:r>
                          </w:p>
                          <w:p w14:paraId="039CCB63" w14:textId="77777777" w:rsidR="00A12928" w:rsidRPr="00F246A4" w:rsidRDefault="00A12928" w:rsidP="002852C7">
                            <w:pPr>
                              <w:numPr>
                                <w:ilvl w:val="0"/>
                                <w:numId w:val="1"/>
                              </w:numPr>
                              <w:ind w:left="709" w:hanging="349"/>
                              <w:rPr>
                                <w:sz w:val="18"/>
                                <w:szCs w:val="20"/>
                              </w:rPr>
                            </w:pPr>
                            <w:r w:rsidRPr="00F246A4">
                              <w:rPr>
                                <w:sz w:val="18"/>
                                <w:szCs w:val="20"/>
                              </w:rPr>
                              <w:t xml:space="preserve">Maximising the effectiveness of environmental flows for the entire Upper Murrumbidgee River is achieved by </w:t>
                            </w:r>
                            <w:r w:rsidRPr="00F246A4">
                              <w:rPr>
                                <w:b/>
                                <w:sz w:val="18"/>
                                <w:szCs w:val="20"/>
                              </w:rPr>
                              <w:t>targeting a flow regime as measured directly downstream of Tantangara Dam</w:t>
                            </w:r>
                            <w:r w:rsidRPr="00F246A4">
                              <w:rPr>
                                <w:sz w:val="18"/>
                                <w:szCs w:val="20"/>
                              </w:rPr>
                              <w:t>, with operational flexibility to respond in near-real time to the emerging climate conditions (e.g. piggybacking on top of natural unregulated river flow events).</w:t>
                            </w:r>
                          </w:p>
                          <w:p w14:paraId="31334DB0" w14:textId="77777777" w:rsidR="00A12928" w:rsidRPr="00F246A4" w:rsidRDefault="00A12928" w:rsidP="002852C7">
                            <w:pPr>
                              <w:numPr>
                                <w:ilvl w:val="0"/>
                                <w:numId w:val="1"/>
                              </w:numPr>
                              <w:ind w:left="709" w:hanging="349"/>
                              <w:rPr>
                                <w:sz w:val="18"/>
                                <w:szCs w:val="20"/>
                              </w:rPr>
                            </w:pPr>
                            <w:r w:rsidRPr="00F246A4">
                              <w:rPr>
                                <w:b/>
                                <w:sz w:val="18"/>
                                <w:szCs w:val="20"/>
                              </w:rPr>
                              <w:t>Infrastructure is a constraint to system recovery</w:t>
                            </w:r>
                            <w:r w:rsidRPr="00F246A4">
                              <w:rPr>
                                <w:sz w:val="18"/>
                                <w:szCs w:val="20"/>
                              </w:rPr>
                              <w:t xml:space="preserve"> - delivery of bankfull and channel maintenance flows, even during moderate-wet climate conditions, is not possible under existing outlet capacity at Tantangara Dam. Higher order ecological processes therefore depend on future infrastructure decisions as much as the volume of water available for the environment.</w:t>
                            </w:r>
                          </w:p>
                          <w:p w14:paraId="18381FAC" w14:textId="77777777" w:rsidR="00A12928" w:rsidRPr="00F246A4" w:rsidRDefault="00A12928" w:rsidP="00751473">
                            <w:pPr>
                              <w:ind w:left="360"/>
                              <w:rPr>
                                <w:sz w:val="18"/>
                                <w:szCs w:val="20"/>
                              </w:rPr>
                            </w:pPr>
                            <w:r w:rsidRPr="00F246A4">
                              <w:rPr>
                                <w:sz w:val="18"/>
                                <w:szCs w:val="20"/>
                              </w:rPr>
                              <w:t xml:space="preserve">Step change is required in the available volume of environmental water for the Upper Murrumbidgee to approximately </w:t>
                            </w:r>
                            <w:r w:rsidRPr="00F246A4">
                              <w:rPr>
                                <w:b/>
                                <w:sz w:val="18"/>
                                <w:szCs w:val="20"/>
                              </w:rPr>
                              <w:t>30% of the average natural flow</w:t>
                            </w:r>
                            <w:r w:rsidRPr="00F246A4">
                              <w:rPr>
                                <w:sz w:val="18"/>
                                <w:szCs w:val="20"/>
                              </w:rPr>
                              <w:t>. This volume could potentially be reduced through operational flexibility and instituting an adaptive management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02C7F" id="_x0000_s1032" type="#_x0000_t202" alt="P987TB4#y1" style="position:absolute;left:0;text-align:left;margin-left:0;margin-top:0;width:478.9pt;height:394.15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" fillcolor="#dceaf7 [351]" stroked="f">
                <v:shadow on="t" color="black" opacity="26214f" origin="-.5,-.5" offset=".74836mm,.74836mm"/>
                <v:textbox style="mso-fit-shape-to-text:t">
                  <w:txbxContent>
                    <w:p w14:paraId="1544FD8A" w14:textId="77777777" w:rsidR="00235CB5" w:rsidRDefault="00235CB5" w:rsidP="00A12928">
                      <w:pPr>
                        <w:rPr>
                          <w:sz w:val="18"/>
                          <w:szCs w:val="20"/>
                        </w:rPr>
                      </w:pPr>
                    </w:p>
                    <w:p w14:paraId="2F52A7D8" w14:textId="77777777" w:rsidR="00A12928" w:rsidRPr="00F246A4" w:rsidRDefault="00A12928" w:rsidP="00A12928">
                      <w:pPr>
                        <w:rPr>
                          <w:sz w:val="18"/>
                          <w:szCs w:val="20"/>
                        </w:rPr>
                      </w:pPr>
                      <w:r w:rsidRPr="00F246A4">
                        <w:rPr>
                          <w:sz w:val="18"/>
                          <w:szCs w:val="20"/>
                        </w:rPr>
                        <w:t xml:space="preserve">Modelling is an iterative process; learning from each prior option or scenario tested, to refine successive options, and by doing so developing improved knowledge on the preferred solutions and reducing uncertainty. </w:t>
                      </w:r>
                    </w:p>
                    <w:p w14:paraId="10FDD5F9" w14:textId="77777777" w:rsidR="00A12928" w:rsidRPr="00F246A4" w:rsidRDefault="00A12928" w:rsidP="00A12928">
                      <w:pPr>
                        <w:rPr>
                          <w:sz w:val="18"/>
                          <w:szCs w:val="20"/>
                        </w:rPr>
                      </w:pPr>
                      <w:r w:rsidRPr="00F246A4">
                        <w:rPr>
                          <w:sz w:val="18"/>
                          <w:szCs w:val="20"/>
                        </w:rPr>
                        <w:t>The hydrological modelling conducted for this Review highlights important lessons to improve the health of the Upper Murrumbidgee River:</w:t>
                      </w:r>
                    </w:p>
                    <w:p w14:paraId="75067663" w14:textId="77777777" w:rsidR="00A12928" w:rsidRPr="00F246A4" w:rsidRDefault="00A12928" w:rsidP="002852C7">
                      <w:pPr>
                        <w:numPr>
                          <w:ilvl w:val="0"/>
                          <w:numId w:val="1"/>
                        </w:numPr>
                        <w:ind w:left="709" w:hanging="349"/>
                        <w:rPr>
                          <w:sz w:val="18"/>
                          <w:szCs w:val="20"/>
                        </w:rPr>
                      </w:pPr>
                      <w:r w:rsidRPr="00F246A4">
                        <w:rPr>
                          <w:sz w:val="18"/>
                          <w:szCs w:val="20"/>
                        </w:rPr>
                        <w:t>The current environmental flows under the SMRIF and other rules-based releases (i.e. current conditions) are insufficient to service the environmental water requirements, under current and projected climate conditions.</w:t>
                      </w:r>
                    </w:p>
                    <w:p w14:paraId="13F8B85E" w14:textId="77777777" w:rsidR="00A12928" w:rsidRPr="00F246A4" w:rsidRDefault="00A12928" w:rsidP="002852C7">
                      <w:pPr>
                        <w:numPr>
                          <w:ilvl w:val="0"/>
                          <w:numId w:val="1"/>
                        </w:numPr>
                        <w:ind w:left="709" w:hanging="349"/>
                        <w:rPr>
                          <w:sz w:val="18"/>
                          <w:szCs w:val="20"/>
                        </w:rPr>
                      </w:pPr>
                      <w:r w:rsidRPr="00F246A4">
                        <w:rPr>
                          <w:sz w:val="18"/>
                          <w:szCs w:val="20"/>
                        </w:rPr>
                        <w:t xml:space="preserve">Baseflows are critical to protect and maintain ecological health. These requirements are well established in science, relatively low water volume and represent the minimum requirements under all climate conditions. The baseflow requirements modelled should be established as operational rules, often referred to as </w:t>
                      </w:r>
                      <w:r w:rsidRPr="00F246A4">
                        <w:rPr>
                          <w:b/>
                          <w:sz w:val="18"/>
                          <w:szCs w:val="20"/>
                        </w:rPr>
                        <w:t>Planned Environmental Water</w:t>
                      </w:r>
                      <w:r w:rsidRPr="00F246A4">
                        <w:rPr>
                          <w:sz w:val="18"/>
                          <w:szCs w:val="20"/>
                        </w:rPr>
                        <w:t>.</w:t>
                      </w:r>
                    </w:p>
                    <w:p w14:paraId="47C5A020" w14:textId="77777777" w:rsidR="00A12928" w:rsidRPr="00F246A4" w:rsidRDefault="00A12928" w:rsidP="002852C7">
                      <w:pPr>
                        <w:numPr>
                          <w:ilvl w:val="0"/>
                          <w:numId w:val="1"/>
                        </w:numPr>
                        <w:ind w:left="709" w:hanging="349"/>
                        <w:rPr>
                          <w:sz w:val="18"/>
                          <w:szCs w:val="20"/>
                        </w:rPr>
                      </w:pPr>
                      <w:r w:rsidRPr="00F246A4">
                        <w:rPr>
                          <w:sz w:val="18"/>
                          <w:szCs w:val="20"/>
                        </w:rPr>
                        <w:t xml:space="preserve">Large freshes, bankfull and channel maintenance flows are critical for supporting ecosystem function and system recovery. These flow components require larger volumes of water and are most effective when delivered timed with natural events i.e. delivered as </w:t>
                      </w:r>
                      <w:r w:rsidRPr="00F246A4">
                        <w:rPr>
                          <w:b/>
                          <w:sz w:val="18"/>
                          <w:szCs w:val="20"/>
                        </w:rPr>
                        <w:t>Adaptive Environmental Water</w:t>
                      </w:r>
                      <w:r w:rsidRPr="00F246A4">
                        <w:rPr>
                          <w:sz w:val="18"/>
                          <w:szCs w:val="20"/>
                        </w:rPr>
                        <w:t xml:space="preserve"> and subject to near-real time operational decision making.</w:t>
                      </w:r>
                    </w:p>
                    <w:p w14:paraId="039CCB63" w14:textId="77777777" w:rsidR="00A12928" w:rsidRPr="00F246A4" w:rsidRDefault="00A12928" w:rsidP="002852C7">
                      <w:pPr>
                        <w:numPr>
                          <w:ilvl w:val="0"/>
                          <w:numId w:val="1"/>
                        </w:numPr>
                        <w:ind w:left="709" w:hanging="349"/>
                        <w:rPr>
                          <w:sz w:val="18"/>
                          <w:szCs w:val="20"/>
                        </w:rPr>
                      </w:pPr>
                      <w:r w:rsidRPr="00F246A4">
                        <w:rPr>
                          <w:sz w:val="18"/>
                          <w:szCs w:val="20"/>
                        </w:rPr>
                        <w:t xml:space="preserve">Maximising the effectiveness of environmental flows for the entire Upper Murrumbidgee River is achieved by </w:t>
                      </w:r>
                      <w:r w:rsidRPr="00F246A4">
                        <w:rPr>
                          <w:b/>
                          <w:sz w:val="18"/>
                          <w:szCs w:val="20"/>
                        </w:rPr>
                        <w:t>targeting a flow regime as measured directly downstream of Tantangara Dam</w:t>
                      </w:r>
                      <w:r w:rsidRPr="00F246A4">
                        <w:rPr>
                          <w:sz w:val="18"/>
                          <w:szCs w:val="20"/>
                        </w:rPr>
                        <w:t>, with operational flexibility to respond in near-real time to the emerging climate conditions (e.g. piggybacking on top of natural unregulated river flow events).</w:t>
                      </w:r>
                    </w:p>
                    <w:p w14:paraId="31334DB0" w14:textId="77777777" w:rsidR="00A12928" w:rsidRPr="00F246A4" w:rsidRDefault="00A12928" w:rsidP="002852C7">
                      <w:pPr>
                        <w:numPr>
                          <w:ilvl w:val="0"/>
                          <w:numId w:val="1"/>
                        </w:numPr>
                        <w:ind w:left="709" w:hanging="349"/>
                        <w:rPr>
                          <w:sz w:val="18"/>
                          <w:szCs w:val="20"/>
                        </w:rPr>
                      </w:pPr>
                      <w:r w:rsidRPr="00F246A4">
                        <w:rPr>
                          <w:b/>
                          <w:sz w:val="18"/>
                          <w:szCs w:val="20"/>
                        </w:rPr>
                        <w:t>Infrastructure is a constraint to system recovery</w:t>
                      </w:r>
                      <w:r w:rsidRPr="00F246A4">
                        <w:rPr>
                          <w:sz w:val="18"/>
                          <w:szCs w:val="20"/>
                        </w:rPr>
                        <w:t xml:space="preserve"> - delivery of bankfull and channel maintenance flows, even during moderate-wet climate conditions, is not possible under existing outlet capacity at Tantangara Dam. Higher order ecological processes therefore depend on future infrastructure decisions as much as the volume of water available for the environment.</w:t>
                      </w:r>
                    </w:p>
                    <w:p w14:paraId="18381FAC" w14:textId="77777777" w:rsidR="00A12928" w:rsidRPr="00F246A4" w:rsidRDefault="00A12928" w:rsidP="00751473">
                      <w:pPr>
                        <w:ind w:left="360"/>
                        <w:rPr>
                          <w:sz w:val="18"/>
                          <w:szCs w:val="20"/>
                        </w:rPr>
                      </w:pPr>
                      <w:r w:rsidRPr="00F246A4">
                        <w:rPr>
                          <w:sz w:val="18"/>
                          <w:szCs w:val="20"/>
                        </w:rPr>
                        <w:t xml:space="preserve">Step change is required in the available volume of environmental water for the Upper Murrumbidgee to approximately </w:t>
                      </w:r>
                      <w:r w:rsidRPr="00F246A4">
                        <w:rPr>
                          <w:b/>
                          <w:sz w:val="18"/>
                          <w:szCs w:val="20"/>
                        </w:rPr>
                        <w:t>30% of the average natural flow</w:t>
                      </w:r>
                      <w:r w:rsidRPr="00F246A4">
                        <w:rPr>
                          <w:sz w:val="18"/>
                          <w:szCs w:val="20"/>
                        </w:rPr>
                        <w:t>. This volume could potentially be reduced through operational flexibility and instituting an adaptive management framework.</w:t>
                      </w:r>
                    </w:p>
                  </w:txbxContent>
                </v:textbox>
                <w10:wrap type="square" anchorx="margin"/>
              </v:shape>
            </w:pict>
          </mc:Fallback>
        </mc:AlternateContent>
      </w:r>
      <w:bookmarkStart w:id="68" w:name="_Toc233285604"/>
      <w:r w:rsidR="00E76203">
        <w:t xml:space="preserve">4.6 Upper Murrumbidgee: </w:t>
      </w:r>
      <w:r w:rsidR="5E887A4A">
        <w:t>s</w:t>
      </w:r>
      <w:r w:rsidR="00E76203">
        <w:t>ystem impacts and trade-offs from improving environmental outcomes</w:t>
      </w:r>
      <w:bookmarkEnd w:id="67"/>
      <w:bookmarkEnd w:id="68"/>
    </w:p>
    <w:p w14:paraId="6A06E5A9" w14:textId="1F654FD3" w:rsidR="00C419B0" w:rsidRPr="009262AF" w:rsidRDefault="00382EE8" w:rsidP="73DDD924">
      <w:r>
        <w:rPr>
          <w:rFonts w:ascii="ZWAdobeF" w:hAnsi="ZWAdobeF" w:cs="ZWAdobeF"/>
          <w:sz w:val="2"/>
          <w:szCs w:val="2"/>
        </w:rPr>
        <w:t>932B</w:t>
      </w:r>
      <w:r w:rsidR="00C419B0" w:rsidRPr="001B7A60">
        <w:t xml:space="preserve">While trade-offs between environmental flows, energy generation and water availability are inherent, analysis conducted for this </w:t>
      </w:r>
      <w:r w:rsidR="5B602D0A">
        <w:t>R</w:t>
      </w:r>
      <w:r w:rsidR="00C419B0">
        <w:t>eview</w:t>
      </w:r>
      <w:r w:rsidR="00C419B0" w:rsidRPr="001B7A60">
        <w:t xml:space="preserve"> </w:t>
      </w:r>
      <w:r w:rsidR="00C419B0">
        <w:t>suggest</w:t>
      </w:r>
      <w:r w:rsidR="24D65465">
        <w:t>s</w:t>
      </w:r>
      <w:r w:rsidR="00C419B0" w:rsidRPr="001B7A60">
        <w:t xml:space="preserve"> that there are substantial benefits from improving environmental flows and that adverse impacts can be substantially mitigated through careful design of release regimes and adaptive operating frameworks.</w:t>
      </w:r>
    </w:p>
    <w:p w14:paraId="25A57CF5" w14:textId="1E723B9A" w:rsidR="00C419B0" w:rsidRPr="009262AF" w:rsidRDefault="00382EE8" w:rsidP="42AA5DD1">
      <w:r>
        <w:rPr>
          <w:rFonts w:ascii="ZWAdobeF" w:hAnsi="ZWAdobeF" w:cs="ZWAdobeF"/>
          <w:sz w:val="2"/>
          <w:szCs w:val="2"/>
        </w:rPr>
        <w:t>933B</w:t>
      </w:r>
      <w:r w:rsidR="00C419B0" w:rsidRPr="009262AF">
        <w:t xml:space="preserve">Improved environmental outcomes can be achieved without compromising the reliability of the </w:t>
      </w:r>
      <w:r w:rsidR="00C419B0">
        <w:t>NEM,</w:t>
      </w:r>
      <w:r w:rsidR="00C419B0" w:rsidRPr="009262AF">
        <w:t xml:space="preserve"> Snowy Hydro’s essential role in the energy transition or downstream reliability of water supply for irrigation. In summary: </w:t>
      </w:r>
    </w:p>
    <w:p w14:paraId="58B78072" w14:textId="2052AAE1" w:rsidR="00C419B0" w:rsidRPr="00FF3EA4" w:rsidRDefault="00382EE8" w:rsidP="00115BD6">
      <w:pPr>
        <w:pStyle w:val="ListParagraph"/>
        <w:numPr>
          <w:ilvl w:val="0"/>
          <w:numId w:val="86"/>
        </w:numPr>
      </w:pPr>
      <w:r>
        <w:rPr>
          <w:rFonts w:ascii="ZWAdobeF" w:hAnsi="ZWAdobeF" w:cs="ZWAdobeF"/>
          <w:iCs/>
          <w:sz w:val="2"/>
          <w:szCs w:val="2"/>
        </w:rPr>
        <w:t>168B</w:t>
      </w:r>
      <w:r w:rsidR="00C419B0" w:rsidRPr="58823449">
        <w:rPr>
          <w:i/>
          <w:iCs/>
        </w:rPr>
        <w:t>Impacts on the NEM are minor</w:t>
      </w:r>
      <w:r w:rsidR="00C419B0">
        <w:t>: The scale of for</w:t>
      </w:r>
      <w:r w:rsidR="5DAACC19">
        <w:t>e</w:t>
      </w:r>
      <w:r w:rsidR="00C419B0">
        <w:t xml:space="preserve">gone generation is small in system terms, equivalent to less than </w:t>
      </w:r>
      <w:r w:rsidR="1EB2B882">
        <w:t>4</w:t>
      </w:r>
      <w:r w:rsidR="006A4A15">
        <w:t>%</w:t>
      </w:r>
      <w:r w:rsidR="00C419B0">
        <w:t xml:space="preserve"> of Snowy Hydro’s annual generation </w:t>
      </w:r>
      <w:r w:rsidR="00D1789B">
        <w:t>in any year</w:t>
      </w:r>
      <w:r w:rsidR="009E675C">
        <w:t xml:space="preserve">, </w:t>
      </w:r>
      <w:r w:rsidR="00C419B0">
        <w:t>and approximately 0.05</w:t>
      </w:r>
      <w:r w:rsidR="00BB1C37">
        <w:t xml:space="preserve"> to </w:t>
      </w:r>
      <w:r w:rsidR="00C419B0">
        <w:t>0.1</w:t>
      </w:r>
      <w:r w:rsidR="00BB1C37">
        <w:t>%</w:t>
      </w:r>
      <w:r w:rsidR="00C419B0">
        <w:t xml:space="preserve"> of total NEM generation across all options. Importantly, modelling indicates this generation loss occurs predominantly at lower value times with replacement largely provided by existing curtailed renewable generation.</w:t>
      </w:r>
      <w:r w:rsidR="5FC4A055">
        <w:t xml:space="preserve"> The loss of such </w:t>
      </w:r>
      <w:r w:rsidR="5FC4A055">
        <w:lastRenderedPageBreak/>
        <w:t xml:space="preserve">percentage generation to the NEM is </w:t>
      </w:r>
      <w:r w:rsidR="5003F424">
        <w:t>less than the routine uncertainties in supply and demand.</w:t>
      </w:r>
    </w:p>
    <w:p w14:paraId="12C76D28" w14:textId="4D7F1B99" w:rsidR="00C419B0" w:rsidRPr="00FF3EA4" w:rsidRDefault="00382EE8" w:rsidP="00115BD6">
      <w:pPr>
        <w:pStyle w:val="ListParagraph"/>
        <w:numPr>
          <w:ilvl w:val="0"/>
          <w:numId w:val="86"/>
        </w:numPr>
      </w:pPr>
      <w:r>
        <w:rPr>
          <w:rFonts w:ascii="ZWAdobeF" w:hAnsi="ZWAdobeF" w:cs="ZWAdobeF"/>
          <w:iCs/>
          <w:sz w:val="2"/>
          <w:szCs w:val="2"/>
        </w:rPr>
        <w:t>169B</w:t>
      </w:r>
      <w:r w:rsidR="00C419B0" w:rsidRPr="00C419B0">
        <w:rPr>
          <w:i/>
          <w:iCs/>
        </w:rPr>
        <w:t>No system security risk</w:t>
      </w:r>
      <w:r w:rsidR="00C419B0" w:rsidRPr="00FF3EA4">
        <w:t>: Environmental releases will not cause or increase the risk of a system black; system security and essential system services are expected to be unaffected</w:t>
      </w:r>
      <w:r w:rsidR="1E85BB0B">
        <w:t>.</w:t>
      </w:r>
    </w:p>
    <w:p w14:paraId="07B365E9" w14:textId="1434ED45" w:rsidR="00C419B0" w:rsidRPr="00FF3EA4" w:rsidRDefault="00382EE8" w:rsidP="00115BD6">
      <w:pPr>
        <w:pStyle w:val="ListParagraph"/>
        <w:numPr>
          <w:ilvl w:val="0"/>
          <w:numId w:val="86"/>
        </w:numPr>
      </w:pPr>
      <w:r>
        <w:rPr>
          <w:rFonts w:ascii="ZWAdobeF" w:hAnsi="ZWAdobeF" w:cs="ZWAdobeF"/>
          <w:iCs/>
          <w:sz w:val="2"/>
          <w:szCs w:val="2"/>
        </w:rPr>
        <w:t>170B</w:t>
      </w:r>
      <w:r w:rsidR="00C419B0" w:rsidRPr="00C419B0">
        <w:rPr>
          <w:i/>
          <w:iCs/>
        </w:rPr>
        <w:t>Impacts are manageable through design</w:t>
      </w:r>
      <w:r w:rsidR="00C419B0" w:rsidRPr="00FF3EA4">
        <w:t>: Adaptive, near</w:t>
      </w:r>
      <w:r w:rsidR="00170FAF">
        <w:t xml:space="preserve"> </w:t>
      </w:r>
      <w:r w:rsidR="00C419B0" w:rsidRPr="00FF3EA4">
        <w:t>real</w:t>
      </w:r>
      <w:r w:rsidR="00C419B0" w:rsidRPr="00FF3EA4">
        <w:noBreakHyphen/>
        <w:t xml:space="preserve">time release decisions, sourcing water from </w:t>
      </w:r>
      <w:r w:rsidR="00431849">
        <w:t>RAR</w:t>
      </w:r>
      <w:r w:rsidR="00C419B0" w:rsidRPr="00FF3EA4">
        <w:t xml:space="preserve"> without drawing down scheme storage, and flexibility to protect critical reliability periods </w:t>
      </w:r>
      <w:r w:rsidR="00C419B0">
        <w:t>will further maintain Snowy Hydro’s important role in the NEM and its ability to respond to unexpected market events</w:t>
      </w:r>
      <w:r w:rsidR="00C419B0" w:rsidRPr="00FF3EA4">
        <w:t>.</w:t>
      </w:r>
    </w:p>
    <w:p w14:paraId="08594EF9" w14:textId="5F6A831E" w:rsidR="00C419B0" w:rsidRPr="00C419B0" w:rsidRDefault="00382EE8" w:rsidP="00115BD6">
      <w:pPr>
        <w:pStyle w:val="ListParagraph"/>
        <w:numPr>
          <w:ilvl w:val="0"/>
          <w:numId w:val="86"/>
        </w:numPr>
        <w:rPr>
          <w:i/>
          <w:iCs/>
        </w:rPr>
      </w:pPr>
      <w:r>
        <w:rPr>
          <w:rFonts w:ascii="ZWAdobeF" w:hAnsi="ZWAdobeF" w:cs="ZWAdobeF"/>
          <w:iCs/>
          <w:sz w:val="2"/>
          <w:szCs w:val="2"/>
        </w:rPr>
        <w:t>171B</w:t>
      </w:r>
      <w:r w:rsidR="00C419B0" w:rsidRPr="6332CC80">
        <w:rPr>
          <w:i/>
          <w:iCs/>
        </w:rPr>
        <w:t xml:space="preserve">Clear governance enables balance: </w:t>
      </w:r>
      <w:r w:rsidR="00C419B0">
        <w:t>An adaptive operating framework with explicit conflict</w:t>
      </w:r>
      <w:r w:rsidR="49F9E666">
        <w:t xml:space="preserve"> </w:t>
      </w:r>
      <w:r w:rsidR="00C419B0">
        <w:t>resolution processes and decision-making authority ensures improved environmental</w:t>
      </w:r>
      <w:r w:rsidR="00C419B0" w:rsidRPr="6332CC80">
        <w:rPr>
          <w:i/>
          <w:iCs/>
        </w:rPr>
        <w:t xml:space="preserve"> </w:t>
      </w:r>
      <w:r w:rsidR="00C419B0">
        <w:t>outcomes while preserving Snowy Hydro’s role in the energy transition.</w:t>
      </w:r>
    </w:p>
    <w:p w14:paraId="65376A31" w14:textId="059FD2E6" w:rsidR="00C419B0" w:rsidRDefault="00382EE8" w:rsidP="00115BD6">
      <w:pPr>
        <w:pStyle w:val="ListParagraph"/>
        <w:numPr>
          <w:ilvl w:val="0"/>
          <w:numId w:val="86"/>
        </w:numPr>
      </w:pPr>
      <w:r>
        <w:rPr>
          <w:rFonts w:ascii="ZWAdobeF" w:hAnsi="ZWAdobeF" w:cs="ZWAdobeF"/>
          <w:iCs/>
          <w:sz w:val="2"/>
          <w:szCs w:val="2"/>
        </w:rPr>
        <w:t>172B</w:t>
      </w:r>
      <w:r w:rsidR="00C419B0" w:rsidRPr="00C419B0">
        <w:rPr>
          <w:i/>
          <w:iCs/>
        </w:rPr>
        <w:t xml:space="preserve">Material impacts on downstream water resource are avoidable: </w:t>
      </w:r>
      <w:r w:rsidR="00C419B0" w:rsidRPr="00FF3EA4">
        <w:t>Relatively small, long</w:t>
      </w:r>
      <w:r w:rsidR="00C419B0" w:rsidRPr="00FF3EA4">
        <w:noBreakHyphen/>
        <w:t xml:space="preserve">term average impacts on downstream diversions and allocations are observed in the modelling, concentrated in drier conditions and </w:t>
      </w:r>
      <w:r w:rsidR="5B76478B">
        <w:t>are</w:t>
      </w:r>
      <w:r w:rsidR="00C419B0" w:rsidRPr="00FF3EA4">
        <w:t xml:space="preserve"> manageable through an extension to the </w:t>
      </w:r>
      <w:r w:rsidR="24B402D1">
        <w:t>Australian</w:t>
      </w:r>
      <w:r w:rsidR="33CEEC05">
        <w:t xml:space="preserve"> Government</w:t>
      </w:r>
      <w:r w:rsidR="00C419B0">
        <w:t>’s</w:t>
      </w:r>
      <w:r w:rsidR="00C419B0" w:rsidRPr="00FF3EA4">
        <w:t xml:space="preserve"> environmental water portfolio and accounting arrangements.</w:t>
      </w:r>
    </w:p>
    <w:p w14:paraId="19F1BB6F" w14:textId="1A9FF5A7" w:rsidR="00C419B0" w:rsidRPr="00FF3EA4" w:rsidRDefault="00382EE8" w:rsidP="00115BD6">
      <w:pPr>
        <w:pStyle w:val="ListParagraph"/>
        <w:numPr>
          <w:ilvl w:val="0"/>
          <w:numId w:val="86"/>
        </w:numPr>
      </w:pPr>
      <w:r>
        <w:rPr>
          <w:rFonts w:ascii="ZWAdobeF" w:hAnsi="ZWAdobeF" w:cs="ZWAdobeF"/>
          <w:iCs/>
          <w:sz w:val="2"/>
          <w:szCs w:val="2"/>
        </w:rPr>
        <w:t>173B</w:t>
      </w:r>
      <w:r w:rsidR="00C419B0" w:rsidRPr="00C419B0">
        <w:rPr>
          <w:i/>
          <w:iCs/>
        </w:rPr>
        <w:t>Social benefits:</w:t>
      </w:r>
      <w:r w:rsidR="00C419B0">
        <w:t xml:space="preserve"> Improving the health of the river provides a proportionate</w:t>
      </w:r>
      <w:r w:rsidR="00C419B0" w:rsidRPr="00BD4C6F">
        <w:t xml:space="preserve"> net benefit to the </w:t>
      </w:r>
      <w:r w:rsidR="00742666">
        <w:t xml:space="preserve">broader </w:t>
      </w:r>
      <w:r w:rsidR="00C419B0" w:rsidRPr="00BD4C6F">
        <w:t>community</w:t>
      </w:r>
      <w:r w:rsidR="00C419B0">
        <w:t xml:space="preserve"> with the overall </w:t>
      </w:r>
      <w:r w:rsidR="00C419B0" w:rsidRPr="00DF2369">
        <w:t>benefits exceed</w:t>
      </w:r>
      <w:r w:rsidR="00C419B0">
        <w:t>ing</w:t>
      </w:r>
      <w:r w:rsidR="00C419B0" w:rsidRPr="00DF2369">
        <w:t xml:space="preserve"> costs on an economy</w:t>
      </w:r>
      <w:r w:rsidR="00C419B0" w:rsidRPr="00DF2369">
        <w:noBreakHyphen/>
        <w:t>wide basis</w:t>
      </w:r>
      <w:r w:rsidR="00C419B0">
        <w:t>.</w:t>
      </w:r>
    </w:p>
    <w:p w14:paraId="289BB848" w14:textId="2E5E1781" w:rsidR="00C91B02" w:rsidRPr="009262AF" w:rsidRDefault="00C91B02" w:rsidP="42AA5DD1">
      <w:pPr>
        <w:pStyle w:val="ReviewHeading3"/>
      </w:pPr>
      <w:r w:rsidRPr="00C91B02">
        <w:t>Energy system and Snowy Hydro impacts</w:t>
      </w:r>
    </w:p>
    <w:p w14:paraId="7B9BF262" w14:textId="28853DC8" w:rsidR="00A648A8" w:rsidRDefault="00382EE8" w:rsidP="42AA5DD1">
      <w:r>
        <w:rPr>
          <w:rFonts w:ascii="ZWAdobeF" w:hAnsi="ZWAdobeF" w:cs="ZWAdobeF"/>
          <w:sz w:val="2"/>
          <w:szCs w:val="2"/>
        </w:rPr>
        <w:t>934B</w:t>
      </w:r>
      <w:r w:rsidR="00A648A8">
        <w:t>This Review recognises that changes to environmental flow arrangements in the Upper Murrumbidgee have implications for Snowy Hydro operations and the NEM</w:t>
      </w:r>
      <w:r w:rsidR="03C5B5E3">
        <w:t>.</w:t>
      </w:r>
      <w:r w:rsidR="00A648A8">
        <w:t xml:space="preserve"> These considerations have been a consistent focus of Panel deliberations and the </w:t>
      </w:r>
      <w:r w:rsidR="41600FA8">
        <w:t>advice</w:t>
      </w:r>
      <w:r w:rsidR="00A648A8">
        <w:t xml:space="preserve"> of the advisory groups supporting the </w:t>
      </w:r>
      <w:r w:rsidR="00D17E86">
        <w:t>R</w:t>
      </w:r>
      <w:r w:rsidR="00A648A8">
        <w:t>eview. However, the evidence available to the Panel indicates that environmental flow reforms can be designed to deliver substantially improved ecological outcomes while maintaining energy system reliability and managing impacts on Snowy Hydro.</w:t>
      </w:r>
    </w:p>
    <w:p w14:paraId="51FB4672" w14:textId="6B39EEA6" w:rsidR="00A648A8" w:rsidRDefault="00382EE8" w:rsidP="00A648A8">
      <w:r>
        <w:rPr>
          <w:rFonts w:ascii="ZWAdobeF" w:hAnsi="ZWAdobeF" w:cs="ZWAdobeF"/>
          <w:sz w:val="2"/>
          <w:szCs w:val="2"/>
        </w:rPr>
        <w:t>935B</w:t>
      </w:r>
      <w:r w:rsidR="00A648A8">
        <w:t xml:space="preserve">New environmental flow provisions will create new release obligations for </w:t>
      </w:r>
      <w:r w:rsidR="147060B4">
        <w:t>S</w:t>
      </w:r>
      <w:r w:rsidR="5C7A911E">
        <w:t>nowy Hydro</w:t>
      </w:r>
      <w:r w:rsidR="00A648A8">
        <w:t xml:space="preserve">, </w:t>
      </w:r>
      <w:r w:rsidR="19FA2CDA">
        <w:t xml:space="preserve">but </w:t>
      </w:r>
      <w:r w:rsidR="00A648A8">
        <w:t xml:space="preserve">the Panel is not looking to impose new restrictions on how </w:t>
      </w:r>
      <w:r w:rsidR="54470D7A">
        <w:t>Snowy Hydro</w:t>
      </w:r>
      <w:r w:rsidR="00A648A8">
        <w:t xml:space="preserve"> manages water resources internal to the scheme or to require a reserve of water to be held within Tantangara Dam. </w:t>
      </w:r>
      <w:r w:rsidR="2C707255">
        <w:t>Snowy Hydro</w:t>
      </w:r>
      <w:r w:rsidR="00A648A8">
        <w:t xml:space="preserve">’s flexibility to use its water resources across the system remains paramount and </w:t>
      </w:r>
      <w:r w:rsidR="00B0706B">
        <w:t xml:space="preserve">is a critical aspect </w:t>
      </w:r>
      <w:r w:rsidR="00B64AE7">
        <w:t>in</w:t>
      </w:r>
      <w:r w:rsidR="00A648A8">
        <w:t xml:space="preserve"> minimis</w:t>
      </w:r>
      <w:r w:rsidR="008513C4">
        <w:t>ing</w:t>
      </w:r>
      <w:r w:rsidR="00A648A8">
        <w:t xml:space="preserve"> potential impacts.</w:t>
      </w:r>
    </w:p>
    <w:p w14:paraId="5D89E6F2" w14:textId="6623CFD9" w:rsidR="00A648A8" w:rsidRDefault="00A648A8" w:rsidP="00A648A8">
      <w:pPr>
        <w:pStyle w:val="Sub-Heading"/>
      </w:pPr>
      <w:r>
        <w:t>Assessment of impacts to the NEM</w:t>
      </w:r>
    </w:p>
    <w:p w14:paraId="62F31E6B" w14:textId="05B77CC3" w:rsidR="002D44D3" w:rsidRDefault="00382EE8" w:rsidP="42AA5DD1">
      <w:r>
        <w:rPr>
          <w:rFonts w:ascii="ZWAdobeF" w:hAnsi="ZWAdobeF" w:cs="ZWAdobeF"/>
          <w:sz w:val="2"/>
          <w:szCs w:val="2"/>
        </w:rPr>
        <w:t>936B</w:t>
      </w:r>
      <w:r w:rsidR="002D44D3">
        <w:t xml:space="preserve">The Panel recognises the critically important role Snowy Hydro plays in the NEM and the energy market transition underway, while balancing its role in providing reliable long-term water supply. </w:t>
      </w:r>
      <w:r w:rsidR="28C8755A">
        <w:t>Consequently</w:t>
      </w:r>
      <w:r w:rsidR="002D44D3" w:rsidRPr="000540B0">
        <w:t xml:space="preserve">, </w:t>
      </w:r>
      <w:r w:rsidR="002D44D3">
        <w:t xml:space="preserve">the release of additional </w:t>
      </w:r>
      <w:r w:rsidR="002D44D3" w:rsidRPr="000540B0">
        <w:t xml:space="preserve">water </w:t>
      </w:r>
      <w:r w:rsidR="002D44D3">
        <w:t xml:space="preserve">should not come </w:t>
      </w:r>
      <w:r w:rsidR="002D44D3" w:rsidRPr="000540B0">
        <w:t xml:space="preserve">at a time or in a manner which causes or exacerbates an energy crisis. </w:t>
      </w:r>
      <w:r w:rsidR="002D44D3">
        <w:t>However</w:t>
      </w:r>
      <w:r w:rsidR="136F9237">
        <w:t>,</w:t>
      </w:r>
      <w:r w:rsidR="002D44D3">
        <w:t xml:space="preserve"> the balance of available evidence indicates that a significant uplift in release volumes, with operational flexibility, is required to avoid ecological collapse in the </w:t>
      </w:r>
      <w:r w:rsidR="299F333C">
        <w:t>U</w:t>
      </w:r>
      <w:r w:rsidR="002D44D3">
        <w:t>pper Murrumbidgee River.</w:t>
      </w:r>
    </w:p>
    <w:p w14:paraId="23E2DBE5" w14:textId="0636F73C" w:rsidR="002D44D3" w:rsidRDefault="00382EE8" w:rsidP="42AA5DD1">
      <w:r>
        <w:rPr>
          <w:rFonts w:ascii="ZWAdobeF" w:hAnsi="ZWAdobeF" w:cs="ZWAdobeF"/>
          <w:sz w:val="2"/>
          <w:szCs w:val="2"/>
        </w:rPr>
        <w:t>937B</w:t>
      </w:r>
      <w:r w:rsidR="04027524">
        <w:t>As noted above, m</w:t>
      </w:r>
      <w:r w:rsidR="002D44D3">
        <w:t xml:space="preserve">odelling suggests that the scale of foregone generation across all options is small in system terms, equivalent to less than </w:t>
      </w:r>
      <w:r w:rsidR="3DA4A566">
        <w:t>4</w:t>
      </w:r>
      <w:r w:rsidR="006A4A15">
        <w:t>%</w:t>
      </w:r>
      <w:r w:rsidR="002D44D3" w:rsidDel="006A4A15">
        <w:t xml:space="preserve"> </w:t>
      </w:r>
      <w:r w:rsidR="002D44D3">
        <w:t xml:space="preserve">of Snowy Hydro’s annual generation </w:t>
      </w:r>
      <w:r w:rsidR="00E96C56">
        <w:t>in any year, and less than 1.</w:t>
      </w:r>
      <w:r w:rsidR="00932E61">
        <w:t>2</w:t>
      </w:r>
      <w:r w:rsidR="00E96C56">
        <w:t>% on average. This</w:t>
      </w:r>
      <w:r w:rsidR="002D44D3">
        <w:t xml:space="preserve"> </w:t>
      </w:r>
      <w:r w:rsidR="00CF4D22">
        <w:t>is</w:t>
      </w:r>
      <w:r w:rsidR="002D44D3">
        <w:t xml:space="preserve"> approximately 0.05</w:t>
      </w:r>
      <w:r w:rsidR="00940D66">
        <w:t xml:space="preserve"> to</w:t>
      </w:r>
      <w:r w:rsidR="0903E10F">
        <w:t xml:space="preserve"> </w:t>
      </w:r>
      <w:r w:rsidR="002D44D3">
        <w:t>0.1</w:t>
      </w:r>
      <w:r w:rsidR="00940D66">
        <w:t>%</w:t>
      </w:r>
      <w:r w:rsidR="002D44D3" w:rsidDel="00940D66">
        <w:t xml:space="preserve"> </w:t>
      </w:r>
      <w:r w:rsidR="002D44D3">
        <w:t xml:space="preserve">of total NEM generation. Importantly, this generation loss is expected to occur predominantly at </w:t>
      </w:r>
      <w:r w:rsidR="5ADCF37E">
        <w:t>lower value</w:t>
      </w:r>
      <w:r w:rsidR="002D44D3">
        <w:t xml:space="preserve"> times, with replacement largely </w:t>
      </w:r>
      <w:r w:rsidR="002D44D3">
        <w:lastRenderedPageBreak/>
        <w:t xml:space="preserve">provided by existing curtailed renewable generation. Differences in the spot prices are also minor and almost indiscernible from the </w:t>
      </w:r>
      <w:r w:rsidR="00DD3179">
        <w:t>Base Case</w:t>
      </w:r>
      <w:r w:rsidR="002D44D3">
        <w:t>.</w:t>
      </w:r>
    </w:p>
    <w:p w14:paraId="511A9EAE" w14:textId="5C7817D4" w:rsidR="002D44D3" w:rsidRDefault="00382EE8" w:rsidP="42AA5DD1">
      <w:r>
        <w:rPr>
          <w:rFonts w:ascii="ZWAdobeF" w:hAnsi="ZWAdobeF" w:cs="ZWAdobeF"/>
          <w:sz w:val="2"/>
          <w:szCs w:val="2"/>
        </w:rPr>
        <w:t>938B</w:t>
      </w:r>
      <w:r w:rsidR="002D44D3">
        <w:t>Modelling indicates a</w:t>
      </w:r>
      <w:r w:rsidR="002D44D3" w:rsidRPr="004D4044">
        <w:t xml:space="preserve">dditional investment </w:t>
      </w:r>
      <w:r w:rsidR="002D44D3" w:rsidRPr="008519BC">
        <w:t xml:space="preserve">of </w:t>
      </w:r>
      <w:r w:rsidR="008519BC" w:rsidRPr="008519BC">
        <w:t>20</w:t>
      </w:r>
      <w:r w:rsidR="002D44D3" w:rsidRPr="008519BC">
        <w:t>-5</w:t>
      </w:r>
      <w:r w:rsidR="008519BC" w:rsidRPr="008519BC">
        <w:t>1</w:t>
      </w:r>
      <w:r w:rsidR="002D44D3" w:rsidRPr="008519BC">
        <w:t xml:space="preserve"> MW is</w:t>
      </w:r>
      <w:r w:rsidR="002D44D3" w:rsidRPr="004D4044">
        <w:t xml:space="preserve"> needed across Options 2-5 to compensate for reduced Snowy generation</w:t>
      </w:r>
      <w:r w:rsidR="4FC53231">
        <w:t>.</w:t>
      </w:r>
      <w:r w:rsidR="002D44D3">
        <w:t xml:space="preserve"> </w:t>
      </w:r>
      <w:r w:rsidR="391DAAE3">
        <w:t>T</w:t>
      </w:r>
      <w:r w:rsidR="002D44D3">
        <w:t>his</w:t>
      </w:r>
      <w:r w:rsidR="002D44D3" w:rsidRPr="004D4044">
        <w:t xml:space="preserve"> is considered below the typical threshold for a commercial project and represents a minor adjustment relative to the NEM-wide installed capacity of approximately 80 GW currently and up to around 180 GW by 2050. </w:t>
      </w:r>
      <w:r w:rsidR="7ADC70BB">
        <w:t>The adjustment modelled led to small changes in the timing of investment, primarily in wind and solar</w:t>
      </w:r>
      <w:r w:rsidR="7369E1C0">
        <w:t xml:space="preserve">, and even showed a small reduction in unserved energy. </w:t>
      </w:r>
      <w:r w:rsidR="002D44D3" w:rsidRPr="004D4044">
        <w:t>On this basis, impacts on wholesale prices, investment signals and reliability are assessed as negligible.</w:t>
      </w:r>
    </w:p>
    <w:p w14:paraId="054665C9" w14:textId="5CA26135" w:rsidR="002D44D3" w:rsidRPr="009262AF" w:rsidRDefault="00382EE8" w:rsidP="42AA5DD1">
      <w:r>
        <w:rPr>
          <w:rFonts w:ascii="ZWAdobeF" w:hAnsi="ZWAdobeF" w:cs="ZWAdobeF"/>
          <w:sz w:val="2"/>
          <w:szCs w:val="2"/>
        </w:rPr>
        <w:t>939B</w:t>
      </w:r>
      <w:r w:rsidR="002D44D3">
        <w:t xml:space="preserve">The findings that the market can compensate the small reductions in generation from pumped hydro with an increase </w:t>
      </w:r>
      <w:r w:rsidR="009365BB">
        <w:t xml:space="preserve">in </w:t>
      </w:r>
      <w:r w:rsidR="002D44D3">
        <w:t xml:space="preserve">renewable energy is supported by the </w:t>
      </w:r>
      <w:hyperlink r:id="rId61">
        <w:r w:rsidR="002D44D3" w:rsidRPr="6332CC80">
          <w:rPr>
            <w:rStyle w:val="Hyperlink"/>
          </w:rPr>
          <w:t>AEMO Q1 2026 report</w:t>
        </w:r>
      </w:hyperlink>
      <w:r w:rsidR="002D44D3">
        <w:t xml:space="preserve"> which showed an increase in batteries displacing hydrogeneration in day-to-day energy storage and dispatch. The modelling indicates a negligible impact of the </w:t>
      </w:r>
      <w:r w:rsidR="3ED26F2A">
        <w:t>o</w:t>
      </w:r>
      <w:r w:rsidR="002D44D3">
        <w:t xml:space="preserve">ptions on </w:t>
      </w:r>
      <w:r w:rsidR="7B69B6F0">
        <w:t>Snowy Hydro</w:t>
      </w:r>
      <w:r w:rsidR="002D44D3">
        <w:t xml:space="preserve">’s ability to provide inter-seasonal energy storage in the NEM, and </w:t>
      </w:r>
      <w:r w:rsidR="7A324BD0">
        <w:t>the</w:t>
      </w:r>
      <w:r w:rsidR="002D44D3">
        <w:t xml:space="preserve"> Panel </w:t>
      </w:r>
      <w:r w:rsidR="645DBDAD">
        <w:t>is</w:t>
      </w:r>
      <w:r w:rsidR="002D44D3">
        <w:t xml:space="preserve"> considering further opportunities for flexibility to ensure </w:t>
      </w:r>
      <w:r w:rsidR="52DF5F60">
        <w:t>that</w:t>
      </w:r>
      <w:r w:rsidR="002D44D3">
        <w:t xml:space="preserve"> </w:t>
      </w:r>
      <w:r w:rsidR="4374F3F2">
        <w:t>Snowy Hydro</w:t>
      </w:r>
      <w:r w:rsidR="002D44D3">
        <w:t xml:space="preserve">’s </w:t>
      </w:r>
      <w:r w:rsidR="00B620AE">
        <w:t xml:space="preserve">important </w:t>
      </w:r>
      <w:r w:rsidR="002D44D3">
        <w:t>role in the NEM is protected.</w:t>
      </w:r>
    </w:p>
    <w:p w14:paraId="78BB8B0F" w14:textId="7BADFBD0" w:rsidR="002D44D3" w:rsidRDefault="00382EE8" w:rsidP="002D44D3">
      <w:r>
        <w:rPr>
          <w:rFonts w:ascii="ZWAdobeF" w:hAnsi="ZWAdobeF" w:cs="ZWAdobeF"/>
          <w:sz w:val="2"/>
          <w:szCs w:val="2"/>
        </w:rPr>
        <w:t>940B</w:t>
      </w:r>
      <w:r w:rsidR="002D44D3" w:rsidRPr="009262AF">
        <w:t>The Panel has also considered claims that increased environmental releases could compromise energy system security. The evidence does not support these claims. The scale and design of the environmental flows will not cause or exacerbate a system black event, nor do they affect the provision of essential system services. System security in the NEM is driven by designed</w:t>
      </w:r>
      <w:r w:rsidR="002D44D3" w:rsidRPr="009262AF">
        <w:noBreakHyphen/>
        <w:t xml:space="preserve">in resilience and procurement of system services, which has been significantly strengthened in recent years through investments in synchronous condensers, batteries and other technologies. Snowy Hydro’s provision of system services does not require water releases and is therefore </w:t>
      </w:r>
      <w:r w:rsidR="002D44D3">
        <w:t>un</w:t>
      </w:r>
      <w:r w:rsidR="002D44D3" w:rsidRPr="009262AF">
        <w:t>likely to be materially affected by changes to environmental flow arrangements.</w:t>
      </w:r>
    </w:p>
    <w:p w14:paraId="7C95982C" w14:textId="0764BB9E" w:rsidR="00594EB3" w:rsidRPr="009262AF" w:rsidRDefault="009F0271" w:rsidP="009F0271">
      <w:pPr>
        <w:pStyle w:val="Sub-Heading"/>
      </w:pPr>
      <w:r w:rsidRPr="5858FD6C">
        <w:rPr>
          <w:rFonts w:eastAsia="Calibri"/>
        </w:rPr>
        <w:t>Impacts to Snowy Hydro energy generation</w:t>
      </w:r>
    </w:p>
    <w:p w14:paraId="243A8E55" w14:textId="4836DC4B" w:rsidR="00842B55" w:rsidRDefault="00382EE8" w:rsidP="34A19F3D">
      <w:r>
        <w:rPr>
          <w:rFonts w:ascii="ZWAdobeF" w:hAnsi="ZWAdobeF" w:cs="ZWAdobeF"/>
          <w:sz w:val="2"/>
          <w:szCs w:val="2"/>
        </w:rPr>
        <w:t>941B</w:t>
      </w:r>
      <w:r w:rsidR="00842B55">
        <w:t xml:space="preserve">Increasing the volume of water delivered through Tantangara Dam without opportunity for electricity generation will have a financial impact on </w:t>
      </w:r>
      <w:r w:rsidR="1A79FEC7">
        <w:t>S</w:t>
      </w:r>
      <w:r w:rsidR="56ED8D30">
        <w:t>nowy</w:t>
      </w:r>
      <w:r w:rsidR="1A8BC371">
        <w:t xml:space="preserve"> Hydro</w:t>
      </w:r>
      <w:r w:rsidR="00842B55">
        <w:t xml:space="preserve"> through reduction in overall generation and spot market revenue. The </w:t>
      </w:r>
      <w:r w:rsidR="044647CB">
        <w:t>P</w:t>
      </w:r>
      <w:r w:rsidR="00842B55">
        <w:t xml:space="preserve">anel has also considered claims that the options may impact </w:t>
      </w:r>
      <w:r w:rsidR="6D21BCC3">
        <w:t>S</w:t>
      </w:r>
      <w:r w:rsidR="2CDCAEAF">
        <w:t>nowy Hydro</w:t>
      </w:r>
      <w:r w:rsidR="00842B55">
        <w:t xml:space="preserve">’s ability to provide and back cap contracts in the market. </w:t>
      </w:r>
    </w:p>
    <w:p w14:paraId="75731291" w14:textId="673DC837" w:rsidR="00842B55" w:rsidRPr="004D4044" w:rsidRDefault="00382EE8" w:rsidP="34A19F3D">
      <w:r>
        <w:rPr>
          <w:rFonts w:ascii="ZWAdobeF" w:hAnsi="ZWAdobeF" w:cs="ZWAdobeF"/>
          <w:sz w:val="2"/>
          <w:szCs w:val="2"/>
        </w:rPr>
        <w:t>942B</w:t>
      </w:r>
      <w:r w:rsidR="00842B55" w:rsidRPr="009262AF">
        <w:t xml:space="preserve">Analysis undertaken for the Review indicates that increased environmental releases from Tantangara Dam primarily affect the amount of energy stored within the Snowy Scheme, rather than causing immediate reductions in generation. </w:t>
      </w:r>
      <w:r w:rsidR="00842B55" w:rsidRPr="00B95546">
        <w:t xml:space="preserve">As a profit maximising generator, it is expected that </w:t>
      </w:r>
      <w:r w:rsidR="25EDEA1E">
        <w:t>Snowy Hydro</w:t>
      </w:r>
      <w:r w:rsidR="00842B55" w:rsidRPr="00B95546">
        <w:t xml:space="preserve"> would forego future generation at times when </w:t>
      </w:r>
      <w:r w:rsidR="00842B55">
        <w:t xml:space="preserve">the </w:t>
      </w:r>
      <w:r w:rsidR="00842B55" w:rsidRPr="00B95546">
        <w:t xml:space="preserve">value </w:t>
      </w:r>
      <w:r w:rsidR="00842B55">
        <w:t>of this for</w:t>
      </w:r>
      <w:r w:rsidR="0F5E6BC9">
        <w:t>e</w:t>
      </w:r>
      <w:r w:rsidR="00842B55">
        <w:t xml:space="preserve">gone generation </w:t>
      </w:r>
      <w:r w:rsidR="000D3113">
        <w:t>i</w:t>
      </w:r>
      <w:r w:rsidR="000D3113" w:rsidRPr="00B95546">
        <w:t xml:space="preserve">s </w:t>
      </w:r>
      <w:r w:rsidR="00842B55" w:rsidRPr="00B95546">
        <w:t xml:space="preserve">minimised. </w:t>
      </w:r>
      <w:r w:rsidR="00842B55" w:rsidRPr="00CA482D">
        <w:t xml:space="preserve">This would not only minimise the impact on </w:t>
      </w:r>
      <w:r w:rsidR="38FE4971">
        <w:t>Snowy Hydro</w:t>
      </w:r>
      <w:r w:rsidR="00842B55">
        <w:t>’s</w:t>
      </w:r>
      <w:r w:rsidR="00842B55" w:rsidRPr="00CA482D">
        <w:t xml:space="preserve"> </w:t>
      </w:r>
      <w:r w:rsidR="00842B55">
        <w:t xml:space="preserve">spot market </w:t>
      </w:r>
      <w:r w:rsidR="00842B55" w:rsidRPr="00CA482D">
        <w:t xml:space="preserve">revenue but would also minimise any impacts on </w:t>
      </w:r>
      <w:r w:rsidR="2CA8EE33">
        <w:t>its</w:t>
      </w:r>
      <w:r w:rsidR="00842B55">
        <w:t xml:space="preserve"> ability to offer cap contracts to </w:t>
      </w:r>
      <w:r w:rsidR="00842B55" w:rsidRPr="00CA482D">
        <w:t xml:space="preserve">the NEM. </w:t>
      </w:r>
    </w:p>
    <w:p w14:paraId="5A9C2DA6" w14:textId="761A3A5C" w:rsidR="00842B55" w:rsidRDefault="00382EE8" w:rsidP="34A19F3D">
      <w:r>
        <w:rPr>
          <w:rFonts w:ascii="ZWAdobeF" w:hAnsi="ZWAdobeF" w:cs="ZWAdobeF"/>
          <w:sz w:val="2"/>
          <w:szCs w:val="2"/>
        </w:rPr>
        <w:t>943B</w:t>
      </w:r>
      <w:r w:rsidR="00842B55">
        <w:t>Modelled generator output by the Snowy Scheme is reduced by less than 3.7% under the options</w:t>
      </w:r>
      <w:r w:rsidR="1345CAE6">
        <w:t>,</w:t>
      </w:r>
      <w:r w:rsidR="00842B55">
        <w:t xml:space="preserve"> and typically less than </w:t>
      </w:r>
      <w:r w:rsidR="00932E61">
        <w:t>1.2</w:t>
      </w:r>
      <w:r w:rsidR="00842B55">
        <w:t xml:space="preserve">% on average. Impacts to generation are most pronounced in </w:t>
      </w:r>
      <w:r w:rsidR="1A8FFD34">
        <w:t>a</w:t>
      </w:r>
      <w:r w:rsidR="00842B55">
        <w:t xml:space="preserve">utumn and </w:t>
      </w:r>
      <w:r w:rsidR="6F195284">
        <w:t>s</w:t>
      </w:r>
      <w:r w:rsidR="00842B55">
        <w:t xml:space="preserve">ummer when spot prices are lower, with reductions of up to 8% and 6% respectively compared to the Base Case. To put this in </w:t>
      </w:r>
      <w:r w:rsidR="00A37AE2">
        <w:t>context</w:t>
      </w:r>
      <w:r w:rsidR="00842B55">
        <w:t xml:space="preserve">, the average generation lost in any season and against any environmental flow option is approximately 88 MWh. Impacts to </w:t>
      </w:r>
      <w:r w:rsidR="67755935">
        <w:t>Snowy Hydro</w:t>
      </w:r>
      <w:r w:rsidR="00842B55">
        <w:t xml:space="preserve"> spot market revenue (net pumping costs) is assessed as less than 4%, and less than 1.0% on average. </w:t>
      </w:r>
    </w:p>
    <w:p w14:paraId="34902594" w14:textId="5D53E237" w:rsidR="00842B55" w:rsidRPr="002448D8" w:rsidRDefault="00382EE8" w:rsidP="34A19F3D">
      <w:r>
        <w:rPr>
          <w:rFonts w:ascii="ZWAdobeF" w:hAnsi="ZWAdobeF" w:cs="ZWAdobeF"/>
          <w:sz w:val="2"/>
          <w:szCs w:val="2"/>
        </w:rPr>
        <w:lastRenderedPageBreak/>
        <w:t>944B</w:t>
      </w:r>
      <w:r w:rsidR="00842B55" w:rsidRPr="002448D8">
        <w:t xml:space="preserve">Analysis of </w:t>
      </w:r>
      <w:r w:rsidR="7BAB559C">
        <w:t>Snowy Hydro</w:t>
      </w:r>
      <w:r w:rsidR="00842B55">
        <w:t>’s</w:t>
      </w:r>
      <w:r w:rsidR="00842B55" w:rsidRPr="002448D8">
        <w:t xml:space="preserve"> historic bidding behaviour in the NEM shows significant generation at prices below $300/MWh, while </w:t>
      </w:r>
      <w:r w:rsidR="49F389DB">
        <w:t>it</w:t>
      </w:r>
      <w:r w:rsidR="00842B55" w:rsidRPr="002448D8">
        <w:t xml:space="preserve"> received an average price of around $150/MWh in the last year. The modelling does not find a material difference in the ability of </w:t>
      </w:r>
      <w:r w:rsidR="276C83D4">
        <w:t>Snowy Hydro</w:t>
      </w:r>
      <w:r w:rsidR="00842B55" w:rsidRPr="002448D8">
        <w:t xml:space="preserve"> to operate at times when it is most valuable to do so</w:t>
      </w:r>
      <w:r w:rsidR="2A579E8E">
        <w:t>—</w:t>
      </w:r>
      <w:r w:rsidR="00842B55" w:rsidRPr="002448D8">
        <w:t>for</w:t>
      </w:r>
      <w:r w:rsidR="2A579E8E">
        <w:t xml:space="preserve"> </w:t>
      </w:r>
      <w:r w:rsidR="00842B55" w:rsidRPr="002448D8">
        <w:t xml:space="preserve">example, the ability to operate above $300/MWh or higher </w:t>
      </w:r>
      <w:r w:rsidR="00842B55">
        <w:t>which</w:t>
      </w:r>
      <w:r w:rsidR="00842B55" w:rsidRPr="002448D8">
        <w:t xml:space="preserve"> indicates an immaterial impact </w:t>
      </w:r>
      <w:r w:rsidR="00842B55">
        <w:t>o</w:t>
      </w:r>
      <w:r w:rsidR="006A3BCE">
        <w:t>f</w:t>
      </w:r>
      <w:r w:rsidR="00842B55">
        <w:t xml:space="preserve"> the options </w:t>
      </w:r>
      <w:r w:rsidR="00842B55" w:rsidRPr="002448D8">
        <w:t xml:space="preserve">on the ability of </w:t>
      </w:r>
      <w:r w:rsidR="6178532A">
        <w:t>Snowy Hydro</w:t>
      </w:r>
      <w:r w:rsidR="00842B55" w:rsidRPr="002448D8">
        <w:t xml:space="preserve"> to sell and back cap contracts into the market. </w:t>
      </w:r>
      <w:r w:rsidR="00842B55">
        <w:t xml:space="preserve">However, greater </w:t>
      </w:r>
      <w:r w:rsidR="00842B55" w:rsidRPr="00F9232D">
        <w:t xml:space="preserve">operational flexibility could also provide </w:t>
      </w:r>
      <w:r w:rsidR="00842B55">
        <w:t>further certainty</w:t>
      </w:r>
      <w:r w:rsidR="00842B55" w:rsidRPr="00F9232D">
        <w:t xml:space="preserve"> by </w:t>
      </w:r>
      <w:r w:rsidR="00842B55">
        <w:t>ensuring</w:t>
      </w:r>
      <w:r w:rsidR="00842B55" w:rsidRPr="00F9232D">
        <w:t xml:space="preserve"> </w:t>
      </w:r>
      <w:r w:rsidR="0D9144CB">
        <w:t>Snowy Hydro</w:t>
      </w:r>
      <w:r w:rsidR="00842B55">
        <w:t>’s</w:t>
      </w:r>
      <w:r w:rsidR="00842B55" w:rsidRPr="00F9232D">
        <w:t xml:space="preserve"> ability to generate in response to a</w:t>
      </w:r>
      <w:r w:rsidR="00842B55">
        <w:t>n expected</w:t>
      </w:r>
      <w:r w:rsidR="00842B55" w:rsidRPr="00F9232D">
        <w:t xml:space="preserve"> market event or outage</w:t>
      </w:r>
    </w:p>
    <w:p w14:paraId="18FE644D" w14:textId="5E1EC40C" w:rsidR="00842B55" w:rsidRDefault="00382EE8" w:rsidP="34A19F3D">
      <w:r>
        <w:rPr>
          <w:rFonts w:ascii="ZWAdobeF" w:hAnsi="ZWAdobeF" w:cs="ZWAdobeF"/>
          <w:sz w:val="2"/>
          <w:szCs w:val="2"/>
        </w:rPr>
        <w:t>945B</w:t>
      </w:r>
      <w:r w:rsidR="00842B55">
        <w:t>Modelling also indicates that the pumping and generation capacity available through Snowy 2.0 is substantially larger than the for</w:t>
      </w:r>
      <w:r w:rsidR="523378C0">
        <w:t>e</w:t>
      </w:r>
      <w:r w:rsidR="00842B55">
        <w:t xml:space="preserve">gone electricity generation resulting from the proposed environmental releases. Annual generation from Snowy 2.0 increases over the modelled period, rising from </w:t>
      </w:r>
      <w:r w:rsidR="004B4327">
        <w:t xml:space="preserve">approximately </w:t>
      </w:r>
      <w:r w:rsidR="00842B55">
        <w:t xml:space="preserve">15% to over 20% from 2040 with the increasing penetration of renewables in the NEM. This trend is consistent across the </w:t>
      </w:r>
      <w:r w:rsidR="08DC4348">
        <w:t>B</w:t>
      </w:r>
      <w:r w:rsidR="00842B55">
        <w:t xml:space="preserve">ase </w:t>
      </w:r>
      <w:r w:rsidR="35BF8A51">
        <w:t>C</w:t>
      </w:r>
      <w:r w:rsidR="00842B55">
        <w:t>ase and all options,</w:t>
      </w:r>
      <w:r w:rsidR="005B08C7">
        <w:t xml:space="preserve"> </w:t>
      </w:r>
      <w:r w:rsidR="4732D189">
        <w:t>which</w:t>
      </w:r>
      <w:r w:rsidR="00842B55">
        <w:t xml:space="preserve"> show no material difference in the ability of Snowy 2.0 to provide inter-seasonal long-duration storage to the NEM.</w:t>
      </w:r>
    </w:p>
    <w:p w14:paraId="725AA706" w14:textId="5A4D2F5C" w:rsidR="00842B55" w:rsidRPr="004D4044" w:rsidRDefault="00382EE8" w:rsidP="34A19F3D">
      <w:r>
        <w:rPr>
          <w:rFonts w:ascii="ZWAdobeF" w:hAnsi="ZWAdobeF" w:cs="ZWAdobeF"/>
          <w:sz w:val="2"/>
          <w:szCs w:val="2"/>
        </w:rPr>
        <w:t>946B</w:t>
      </w:r>
      <w:r w:rsidR="00842B55">
        <w:t xml:space="preserve">There are minor changes in the storage behaviour of Tantangara Dam directly associated with the environmental flows options that do not appear to impact the operating capacity of </w:t>
      </w:r>
      <w:r w:rsidR="60CA8621">
        <w:t>Snowy Hydro</w:t>
      </w:r>
      <w:r w:rsidR="00842B55">
        <w:t xml:space="preserve"> and Snowy 2.0</w:t>
      </w:r>
      <w:r w:rsidR="00F84260">
        <w:t xml:space="preserve"> </w:t>
      </w:r>
      <w:r w:rsidR="00842B55">
        <w:t xml:space="preserve">in particular. Some future adaptation of </w:t>
      </w:r>
      <w:r w:rsidR="172AF1C7">
        <w:t>Snowy Hydro</w:t>
      </w:r>
      <w:r w:rsidR="00842B55">
        <w:t xml:space="preserve"> operations (i.e. maximising Tantangara Dam storage level earlier in the season) may provide opportunity for large environmental flow events with less potential impact.</w:t>
      </w:r>
    </w:p>
    <w:p w14:paraId="1AC69535" w14:textId="772179DE" w:rsidR="00842B55" w:rsidRPr="004D4044" w:rsidRDefault="00382EE8" w:rsidP="34A19F3D">
      <w:r>
        <w:rPr>
          <w:rFonts w:ascii="ZWAdobeF" w:hAnsi="ZWAdobeF" w:cs="ZWAdobeF"/>
          <w:sz w:val="2"/>
          <w:szCs w:val="2"/>
        </w:rPr>
        <w:t>947B</w:t>
      </w:r>
      <w:r w:rsidR="00842B55">
        <w:t xml:space="preserve">Overall, results of the analysis support the case that the environmental flow options are not expected to have significant impacts on Snowy Hydro’s </w:t>
      </w:r>
      <w:r w:rsidR="00B620AE">
        <w:t xml:space="preserve">important </w:t>
      </w:r>
      <w:r w:rsidR="00842B55">
        <w:t>role in the NEM, the scale of impact to Snowy Hydro’s operation is modest and could be mitigated through increased operational flexibility. Where needed, the increased operational flexibility would be given effect through changes to the Deed and the Snowy Water Licence.</w:t>
      </w:r>
    </w:p>
    <w:p w14:paraId="1A8860AE" w14:textId="16E3D31A" w:rsidR="009F0271" w:rsidRPr="009262AF" w:rsidRDefault="00842B55" w:rsidP="00842B55">
      <w:pPr>
        <w:pStyle w:val="Sub-Heading"/>
      </w:pPr>
      <w:r>
        <w:rPr>
          <w:rFonts w:eastAsia="Calibri"/>
        </w:rPr>
        <w:t>Mitigating impacts</w:t>
      </w:r>
    </w:p>
    <w:p w14:paraId="4BB67DD3" w14:textId="6AD7E2B7" w:rsidR="0027124D" w:rsidRPr="009262AF" w:rsidRDefault="00382EE8" w:rsidP="34A19F3D">
      <w:r>
        <w:rPr>
          <w:rFonts w:ascii="ZWAdobeF" w:hAnsi="ZWAdobeF" w:cs="ZWAdobeF"/>
          <w:sz w:val="2"/>
          <w:szCs w:val="2"/>
        </w:rPr>
        <w:t>948B</w:t>
      </w:r>
      <w:r w:rsidR="0027124D">
        <w:t>T</w:t>
      </w:r>
      <w:r w:rsidR="00726BAB">
        <w:t xml:space="preserve">he Panel </w:t>
      </w:r>
      <w:r w:rsidR="00FB09C4">
        <w:t>considers t</w:t>
      </w:r>
      <w:r w:rsidR="0027124D">
        <w:t>rade</w:t>
      </w:r>
      <w:r w:rsidR="0027124D">
        <w:noBreakHyphen/>
        <w:t>offs between environmental outcomes and energy impacts are manageable with good design. The Panel therefore places strong emphasis on operational flexibility as the primary mechanism for mitigating impacts on Snowy Hydro and the NEM.</w:t>
      </w:r>
    </w:p>
    <w:p w14:paraId="3305F187" w14:textId="60926274" w:rsidR="0027124D" w:rsidRPr="009262AF" w:rsidRDefault="00382EE8" w:rsidP="34A19F3D">
      <w:r>
        <w:rPr>
          <w:rFonts w:ascii="ZWAdobeF" w:hAnsi="ZWAdobeF" w:cs="ZWAdobeF"/>
          <w:sz w:val="2"/>
          <w:szCs w:val="2"/>
        </w:rPr>
        <w:t>949B</w:t>
      </w:r>
      <w:r w:rsidR="0027124D">
        <w:t xml:space="preserve">A weakness of current water management arrangements identified through the </w:t>
      </w:r>
      <w:r w:rsidR="2454EC70">
        <w:t>R</w:t>
      </w:r>
      <w:r w:rsidR="0027124D">
        <w:t>eview is that environmental releases are effectively planned up to 15 months in advance with no opportunity for revision and limited adaptation to conditions. This inhibits the ability of water managers to respond to environmental events, system conditions or market prices, with existing institutional arrangements inhibiting nimble responses to critical energy and environmental events. A more adaptive operating framework is required under which decisions on timing and magnitude, especially for larger flushing events, are made closer to real time and within an operational envelope. This approach allows releases to be delayed, reshaped or sequenced to:</w:t>
      </w:r>
    </w:p>
    <w:p w14:paraId="060F94C6" w14:textId="1B6DDBB5" w:rsidR="0027124D" w:rsidRPr="009262AF" w:rsidRDefault="00382EE8" w:rsidP="00115BD6">
      <w:pPr>
        <w:pStyle w:val="ListParagraph"/>
        <w:numPr>
          <w:ilvl w:val="0"/>
          <w:numId w:val="87"/>
        </w:numPr>
      </w:pPr>
      <w:r>
        <w:rPr>
          <w:rFonts w:ascii="ZWAdobeF" w:hAnsi="ZWAdobeF" w:cs="ZWAdobeF"/>
          <w:sz w:val="2"/>
          <w:szCs w:val="2"/>
        </w:rPr>
        <w:t>174B</w:t>
      </w:r>
      <w:r w:rsidR="0027124D" w:rsidRPr="009262AF">
        <w:t>align with natural inflow events to maximise ecological benefit per unit of water</w:t>
      </w:r>
    </w:p>
    <w:p w14:paraId="1ECB2368" w14:textId="43F7FB3B" w:rsidR="0027124D" w:rsidRPr="009262AF" w:rsidRDefault="00382EE8" w:rsidP="00115BD6">
      <w:pPr>
        <w:pStyle w:val="ListParagraph"/>
        <w:numPr>
          <w:ilvl w:val="0"/>
          <w:numId w:val="87"/>
        </w:numPr>
      </w:pPr>
      <w:r>
        <w:rPr>
          <w:rFonts w:ascii="ZWAdobeF" w:hAnsi="ZWAdobeF" w:cs="ZWAdobeF"/>
          <w:sz w:val="2"/>
          <w:szCs w:val="2"/>
        </w:rPr>
        <w:t>175B</w:t>
      </w:r>
      <w:r w:rsidR="0027124D" w:rsidRPr="009262AF">
        <w:t>avoid periods of high energy system stress or high market cost</w:t>
      </w:r>
    </w:p>
    <w:p w14:paraId="721A1E73" w14:textId="019B7584" w:rsidR="0027124D" w:rsidRPr="009262AF" w:rsidRDefault="00382EE8" w:rsidP="00115BD6">
      <w:pPr>
        <w:pStyle w:val="ListParagraph"/>
        <w:numPr>
          <w:ilvl w:val="0"/>
          <w:numId w:val="87"/>
        </w:numPr>
      </w:pPr>
      <w:r>
        <w:rPr>
          <w:rFonts w:ascii="ZWAdobeF" w:hAnsi="ZWAdobeF" w:cs="ZWAdobeF"/>
          <w:sz w:val="2"/>
          <w:szCs w:val="2"/>
        </w:rPr>
        <w:t>176B</w:t>
      </w:r>
      <w:r w:rsidR="0027124D" w:rsidRPr="009262AF">
        <w:t>preserve Snowy Hydro’s capacity to generate during critical reliability periods</w:t>
      </w:r>
      <w:r w:rsidR="1267BB3B">
        <w:t>.</w:t>
      </w:r>
    </w:p>
    <w:p w14:paraId="6F0F2187" w14:textId="1F46FE6E" w:rsidR="0027124D" w:rsidRPr="009262AF" w:rsidRDefault="00382EE8" w:rsidP="34A19F3D">
      <w:r>
        <w:rPr>
          <w:rFonts w:ascii="ZWAdobeF" w:hAnsi="ZWAdobeF" w:cs="ZWAdobeF"/>
          <w:sz w:val="2"/>
          <w:szCs w:val="2"/>
        </w:rPr>
        <w:lastRenderedPageBreak/>
        <w:t>950B</w:t>
      </w:r>
      <w:r w:rsidR="00F63936">
        <w:t xml:space="preserve">While </w:t>
      </w:r>
      <w:r w:rsidR="0027124D">
        <w:t>the commissioning of Snowy 2.0 increases complexity</w:t>
      </w:r>
      <w:r w:rsidR="00F63936">
        <w:t xml:space="preserve">, it also </w:t>
      </w:r>
      <w:r w:rsidR="008E33EB">
        <w:t>significantly improves</w:t>
      </w:r>
      <w:r w:rsidR="0027124D">
        <w:t xml:space="preserve"> flexibility. While the Panel recognises that Snowy Hydro has obligations relating to irrigation, critical human needs, scheme storage management and energy contracts, modelling indicates that the pumping and generation capacity associated with Snowy 2.0 is substantially larger than the generation foregone through proposed environmental releases. </w:t>
      </w:r>
    </w:p>
    <w:p w14:paraId="32862CB5" w14:textId="2316083E" w:rsidR="0027124D" w:rsidRDefault="00382EE8" w:rsidP="34A19F3D">
      <w:r>
        <w:rPr>
          <w:rFonts w:ascii="ZWAdobeF" w:hAnsi="ZWAdobeF" w:cs="ZWAdobeF"/>
          <w:sz w:val="2"/>
          <w:szCs w:val="2"/>
        </w:rPr>
        <w:t>951B</w:t>
      </w:r>
      <w:r w:rsidR="0027124D">
        <w:t>Future arrangements should include rules for the flexible deliver</w:t>
      </w:r>
      <w:r w:rsidR="1F76FA18">
        <w:t>y</w:t>
      </w:r>
      <w:r w:rsidR="0027124D">
        <w:t xml:space="preserve"> of environmental water, decision</w:t>
      </w:r>
      <w:r w:rsidR="0027124D">
        <w:noBreakHyphen/>
        <w:t xml:space="preserve">making processes and </w:t>
      </w:r>
      <w:r w:rsidR="317D07A6">
        <w:t xml:space="preserve">an </w:t>
      </w:r>
      <w:r w:rsidR="0027124D">
        <w:t>independent oversight authority to manage potential conflicts between energy and environmental objectives, including timely dispute</w:t>
      </w:r>
      <w:r w:rsidR="28C72E22">
        <w:t xml:space="preserve"> </w:t>
      </w:r>
      <w:r w:rsidR="0027124D">
        <w:t>resolution mechanisms where required</w:t>
      </w:r>
      <w:r w:rsidR="53FE601B">
        <w:t xml:space="preserve">. </w:t>
      </w:r>
      <w:r w:rsidR="0027124D">
        <w:t xml:space="preserve"> </w:t>
      </w:r>
      <w:r w:rsidR="46AA16A7">
        <w:t>T</w:t>
      </w:r>
      <w:r w:rsidR="0027124D">
        <w:t xml:space="preserve">hese </w:t>
      </w:r>
      <w:r w:rsidR="106F9001">
        <w:t>matters</w:t>
      </w:r>
      <w:r w:rsidR="0027124D">
        <w:t xml:space="preserve"> are discussed below and in </w:t>
      </w:r>
      <w:r w:rsidR="0027124D" w:rsidRPr="001A7279">
        <w:t xml:space="preserve">the </w:t>
      </w:r>
      <w:r w:rsidR="0027124D" w:rsidRPr="005558B3">
        <w:rPr>
          <w:b/>
          <w:bCs/>
        </w:rPr>
        <w:t xml:space="preserve">Chapter </w:t>
      </w:r>
      <w:r w:rsidR="001A7279" w:rsidRPr="005558B3">
        <w:rPr>
          <w:b/>
          <w:bCs/>
        </w:rPr>
        <w:t>5</w:t>
      </w:r>
      <w:r w:rsidR="0027124D">
        <w:rPr>
          <w:b/>
        </w:rPr>
        <w:t>.</w:t>
      </w:r>
    </w:p>
    <w:p w14:paraId="35AB9CB1" w14:textId="5A7FB710" w:rsidR="00842B55" w:rsidRPr="009262AF" w:rsidRDefault="0027124D" w:rsidP="0027124D">
      <w:pPr>
        <w:pStyle w:val="ReviewHeading3"/>
      </w:pPr>
      <w:r>
        <w:t>Downstream water availability and reliability</w:t>
      </w:r>
    </w:p>
    <w:p w14:paraId="5BCD2044" w14:textId="37C1DBB2" w:rsidR="002B3CB3" w:rsidRPr="00EA0E97" w:rsidRDefault="00382EE8" w:rsidP="34A19F3D">
      <w:r>
        <w:rPr>
          <w:rFonts w:ascii="ZWAdobeF" w:hAnsi="ZWAdobeF" w:cs="ZWAdobeF"/>
          <w:sz w:val="2"/>
          <w:szCs w:val="2"/>
        </w:rPr>
        <w:t>952B</w:t>
      </w:r>
      <w:r w:rsidR="002B3CB3" w:rsidRPr="00EA0E97">
        <w:t xml:space="preserve">The design choice for modelling the environmental flows by diverting a small portion of </w:t>
      </w:r>
      <w:r w:rsidR="00431849">
        <w:t>RAR</w:t>
      </w:r>
      <w:r w:rsidR="002B3CB3" w:rsidRPr="00EA0E97">
        <w:t xml:space="preserve"> from Blowering Dam to the Upper Murrumbidgee reflects the Panel’s position that environmental flow reforms should not compromise long</w:t>
      </w:r>
      <w:r w:rsidR="002B3CB3" w:rsidRPr="00EA0E97">
        <w:noBreakHyphen/>
        <w:t>term water security or materially affect other water users in the downstream regulated river systems.</w:t>
      </w:r>
    </w:p>
    <w:p w14:paraId="675BBA20" w14:textId="072BD61D" w:rsidR="002B3CB3" w:rsidRPr="00EA6D30" w:rsidRDefault="00382EE8" w:rsidP="34A19F3D">
      <w:r>
        <w:rPr>
          <w:rFonts w:ascii="ZWAdobeF" w:hAnsi="ZWAdobeF" w:cs="ZWAdobeF"/>
          <w:sz w:val="2"/>
          <w:szCs w:val="2"/>
        </w:rPr>
        <w:t>953B</w:t>
      </w:r>
      <w:r w:rsidR="002B3CB3" w:rsidRPr="00EA0E97">
        <w:t>Hydrological modelling</w:t>
      </w:r>
      <w:r w:rsidR="002B3CB3" w:rsidRPr="009262AF">
        <w:t xml:space="preserve"> and data analysis w</w:t>
      </w:r>
      <w:r w:rsidR="00F5091D">
        <w:t>ere</w:t>
      </w:r>
      <w:r w:rsidR="002B3CB3" w:rsidRPr="009262AF">
        <w:t xml:space="preserve"> conducted to assess the potential impact to water users in the Murrumbidgee River downstream of Burrinjuck Dam. </w:t>
      </w:r>
      <w:r w:rsidR="002B3CB3" w:rsidRPr="00EA6D30">
        <w:t xml:space="preserve">The methodology and results are reported in the </w:t>
      </w:r>
      <w:r w:rsidR="002B3CB3" w:rsidRPr="00EA6D30">
        <w:rPr>
          <w:i/>
        </w:rPr>
        <w:t>Hydrological Technical Report</w:t>
      </w:r>
      <w:r w:rsidR="002B3CB3" w:rsidRPr="00EA6D30">
        <w:t>.</w:t>
      </w:r>
      <w:r w:rsidR="00B36572">
        <w:t xml:space="preserve"> </w:t>
      </w:r>
    </w:p>
    <w:p w14:paraId="45004D45" w14:textId="3499B119" w:rsidR="002B3CB3" w:rsidRPr="00EA0E97" w:rsidRDefault="00382EE8" w:rsidP="34A19F3D">
      <w:r>
        <w:rPr>
          <w:rFonts w:ascii="ZWAdobeF" w:hAnsi="ZWAdobeF" w:cs="ZWAdobeF"/>
          <w:sz w:val="2"/>
          <w:szCs w:val="2"/>
        </w:rPr>
        <w:t>954B</w:t>
      </w:r>
      <w:r w:rsidR="002B3CB3">
        <w:t xml:space="preserve">The modelling analysis using the Murray–Darling Basin Authority’s Integrated River Model indicates that increased environmental releases (and </w:t>
      </w:r>
      <w:r w:rsidR="00025A2F">
        <w:t xml:space="preserve">the </w:t>
      </w:r>
      <w:r w:rsidR="002B3CB3">
        <w:t>6 GL/year cultural water allocation) delivered from Tantangara Dam result in small average impacts on downstream water systems. In some cases, the results indicate a positive direction change resulting in slight improvements to total diversions. Impacts on downstream regulated water users are concentrated in drier years, with small reductions in general security diversions (2-3% in drier years) and end</w:t>
      </w:r>
      <w:r w:rsidR="002B3CB3">
        <w:noBreakHyphen/>
        <w:t>of</w:t>
      </w:r>
      <w:r w:rsidR="002B3CB3">
        <w:noBreakHyphen/>
        <w:t>year allocations on average (1-3%). Allocations against high</w:t>
      </w:r>
      <w:r w:rsidR="3954B3AA">
        <w:t xml:space="preserve"> </w:t>
      </w:r>
      <w:r w:rsidR="002B3CB3">
        <w:t xml:space="preserve">security entitlements remain unaffected. Overall, the magnitude of change for the Regulated Murrumbidgee is within the margin of error for the model. </w:t>
      </w:r>
    </w:p>
    <w:p w14:paraId="37A11C45" w14:textId="1DE9FCF3" w:rsidR="002B3CB3" w:rsidRPr="00EA0E97" w:rsidRDefault="00382EE8" w:rsidP="34A19F3D">
      <w:r>
        <w:rPr>
          <w:rFonts w:ascii="ZWAdobeF" w:hAnsi="ZWAdobeF" w:cs="ZWAdobeF"/>
          <w:sz w:val="2"/>
          <w:szCs w:val="2"/>
        </w:rPr>
        <w:t>955B</w:t>
      </w:r>
      <w:r w:rsidR="002B3CB3">
        <w:t xml:space="preserve">Changes in routing of </w:t>
      </w:r>
      <w:r w:rsidR="00CA7C92">
        <w:t>RAR</w:t>
      </w:r>
      <w:r w:rsidR="002B3CB3">
        <w:t xml:space="preserve"> lead to a redistribution of inflows between Burrinjuck and Blowering dams, with slightly increased spill volumes at Burrinjuck and reduced spills at Blowering, particularly in wetter years. Overall, the modelling indicates a slight reduction in total system spills in the options compared to the </w:t>
      </w:r>
      <w:r w:rsidR="414D04E5">
        <w:t>B</w:t>
      </w:r>
      <w:r w:rsidR="002B3CB3">
        <w:t xml:space="preserve">ase </w:t>
      </w:r>
      <w:r w:rsidR="3CCF410B">
        <w:t>C</w:t>
      </w:r>
      <w:r w:rsidR="002B3CB3">
        <w:t xml:space="preserve">ase. </w:t>
      </w:r>
    </w:p>
    <w:p w14:paraId="3AC6527E" w14:textId="2F95B914" w:rsidR="002B3CB3" w:rsidRDefault="00382EE8" w:rsidP="34A19F3D">
      <w:r>
        <w:rPr>
          <w:rFonts w:ascii="ZWAdobeF" w:hAnsi="ZWAdobeF" w:cs="ZWAdobeF"/>
          <w:sz w:val="2"/>
          <w:szCs w:val="2"/>
        </w:rPr>
        <w:t>956B</w:t>
      </w:r>
      <w:r w:rsidR="002B3CB3" w:rsidRPr="00EA0E97">
        <w:t xml:space="preserve">Analysis was conducted to examine whether increased environmental flows would result in increased ‘transmission’ losses in </w:t>
      </w:r>
      <w:r w:rsidR="2176DDFC">
        <w:t>U</w:t>
      </w:r>
      <w:r w:rsidR="002B3CB3">
        <w:t>pper</w:t>
      </w:r>
      <w:r w:rsidR="002B3CB3" w:rsidRPr="00EA0E97">
        <w:t xml:space="preserve"> Murrumbidgee River, between Tantangara and Burrinjuck dams. The </w:t>
      </w:r>
      <w:r w:rsidR="6FD96B49">
        <w:t>U</w:t>
      </w:r>
      <w:r w:rsidR="002B3CB3">
        <w:t>pper</w:t>
      </w:r>
      <w:r w:rsidR="002B3CB3" w:rsidRPr="00EA0E97">
        <w:t xml:space="preserve"> Murrumbidgee River</w:t>
      </w:r>
      <w:r w:rsidR="002B3CB3">
        <w:t xml:space="preserve"> </w:t>
      </w:r>
      <w:r w:rsidR="002B3CB3" w:rsidRPr="00EA0E97">
        <w:t xml:space="preserve">is predominantly a gaining system, with transmission losses relatively small and increases in net evaporation typically less than </w:t>
      </w:r>
      <w:r w:rsidR="002B3CB3">
        <w:t>1</w:t>
      </w:r>
      <w:r w:rsidR="002B3CB3" w:rsidRPr="3C317AF4">
        <w:rPr>
          <w:rFonts w:ascii="Arial" w:hAnsi="Arial" w:cs="Arial"/>
        </w:rPr>
        <w:t> </w:t>
      </w:r>
      <w:r w:rsidR="002B3CB3">
        <w:t>GL</w:t>
      </w:r>
      <w:r w:rsidR="002B3CB3" w:rsidRPr="00EA0E97">
        <w:t xml:space="preserve"> per year under higher</w:t>
      </w:r>
      <w:r w:rsidR="6AA9CA5C">
        <w:t xml:space="preserve"> </w:t>
      </w:r>
      <w:r w:rsidR="002B3CB3" w:rsidRPr="00EA0E97">
        <w:t>release options</w:t>
      </w:r>
      <w:r w:rsidR="002B3CB3">
        <w:t>.</w:t>
      </w:r>
      <w:r w:rsidR="002B3CB3" w:rsidRPr="00EA0E97">
        <w:t xml:space="preserve"> </w:t>
      </w:r>
      <w:r w:rsidR="002B3CB3">
        <w:t xml:space="preserve">Modelled system-wide transmission losses are virtually unchanged across the options. </w:t>
      </w:r>
      <w:r w:rsidR="002B3CB3" w:rsidRPr="00EA0E97">
        <w:t xml:space="preserve">These results indicate that additional releases for environmental purposes are hydrologically efficient. </w:t>
      </w:r>
    </w:p>
    <w:p w14:paraId="655773ED" w14:textId="071C04AD" w:rsidR="002B3CB3" w:rsidRPr="00EA0E97" w:rsidRDefault="00382EE8" w:rsidP="34A19F3D">
      <w:r>
        <w:rPr>
          <w:rFonts w:ascii="ZWAdobeF" w:hAnsi="ZWAdobeF" w:cs="ZWAdobeF"/>
          <w:sz w:val="2"/>
          <w:szCs w:val="2"/>
        </w:rPr>
        <w:lastRenderedPageBreak/>
        <w:t>957B</w:t>
      </w:r>
      <w:r w:rsidR="06E094EA">
        <w:t>P</w:t>
      </w:r>
      <w:r w:rsidR="06E094EA" w:rsidRPr="00EA0E97">
        <w:t>revious studies</w:t>
      </w:r>
      <w:r>
        <w:rPr>
          <w:rFonts w:ascii="ZWAdobeF" w:hAnsi="ZWAdobeF" w:cs="ZWAdobeF"/>
          <w:sz w:val="2"/>
          <w:szCs w:val="2"/>
        </w:rPr>
        <w:t>69F</w:t>
      </w:r>
      <w:r w:rsidR="002B3CB3" w:rsidRPr="00EA6D30">
        <w:rPr>
          <w:vertAlign w:val="superscript"/>
        </w:rPr>
        <w:footnoteReference w:id="70"/>
      </w:r>
      <w:r w:rsidR="06E094EA" w:rsidRPr="00EA0E97">
        <w:t xml:space="preserve"> and data analysis</w:t>
      </w:r>
      <w:r>
        <w:rPr>
          <w:rFonts w:ascii="ZWAdobeF" w:hAnsi="ZWAdobeF" w:cs="ZWAdobeF"/>
          <w:sz w:val="2"/>
          <w:szCs w:val="2"/>
        </w:rPr>
        <w:t>70F</w:t>
      </w:r>
      <w:r w:rsidR="002B3CB3" w:rsidRPr="00EA6D30">
        <w:rPr>
          <w:vertAlign w:val="superscript"/>
        </w:rPr>
        <w:footnoteReference w:id="71"/>
      </w:r>
      <w:r w:rsidR="06E094EA" w:rsidRPr="00EA0E97">
        <w:t xml:space="preserve"> show that some sections of the river lose water</w:t>
      </w:r>
      <w:r w:rsidR="06E094EA">
        <w:t xml:space="preserve"> </w:t>
      </w:r>
      <w:r w:rsidR="06E094EA" w:rsidRPr="00EA0E97">
        <w:t>during extreme dry periods with flows decreasing between Tantangara Dam and Halls Crossing</w:t>
      </w:r>
      <w:r w:rsidR="06E094EA">
        <w:t xml:space="preserve">, </w:t>
      </w:r>
      <w:r w:rsidR="32C265B1">
        <w:t xml:space="preserve">but </w:t>
      </w:r>
      <w:r w:rsidR="06E094EA">
        <w:t>these</w:t>
      </w:r>
      <w:r w:rsidR="06E094EA" w:rsidRPr="00EA0E97">
        <w:t xml:space="preserve"> periods are generally infrequent and relatively short lasting only a few weeks. The volume of losses during</w:t>
      </w:r>
      <w:r w:rsidR="06E094EA" w:rsidRPr="00EA0E97" w:rsidDel="008464E9">
        <w:t xml:space="preserve"> </w:t>
      </w:r>
      <w:r w:rsidR="06E094EA" w:rsidRPr="00EA0E97">
        <w:t>extreme dry events remain</w:t>
      </w:r>
      <w:r w:rsidR="18BDECCC" w:rsidRPr="00EA0E97">
        <w:t>s</w:t>
      </w:r>
      <w:r w:rsidR="06E094EA" w:rsidRPr="00EA0E97">
        <w:t xml:space="preserve"> small but may form a significant proportion of very low flows during these distinct periods. Examination of losses between different extreme events do</w:t>
      </w:r>
      <w:r w:rsidR="00DA0833">
        <w:t>es</w:t>
      </w:r>
      <w:r w:rsidR="06E094EA" w:rsidRPr="00EA0E97">
        <w:t xml:space="preserve"> not indicate a consistent pattern in the estimated water losses. Measurement error during low flow and high flow periods compounds the ability to accurately estimate losses that could be directly attributed to additional environmental flows. Due to the infrequency and small scale of these events, mitigating any potential impact needs to occur on an event-by-event basis.</w:t>
      </w:r>
    </w:p>
    <w:p w14:paraId="6707483A" w14:textId="5D8EF066" w:rsidR="002B3CB3" w:rsidRDefault="00382EE8" w:rsidP="34A19F3D">
      <w:r>
        <w:rPr>
          <w:rFonts w:ascii="ZWAdobeF" w:hAnsi="ZWAdobeF" w:cs="ZWAdobeF"/>
          <w:sz w:val="2"/>
          <w:szCs w:val="2"/>
        </w:rPr>
        <w:t>958B</w:t>
      </w:r>
      <w:r w:rsidR="002B3CB3" w:rsidRPr="00EA0E97">
        <w:t>Overall, modelling suggests that downstream impacts specifically attributable to the environmental flows are minimal and manageable using a risk-based approach designed within the future management arrangements. Accounting for system losses as environmental water use, debited against an environmental water entitlement, would ensure that changes to environmental releases do not disproportionately affect downstream reliability, particularly under dry climate conditions. The accounting framework for this purpose must also ensure that the losses attributed to the environmental accounts are directly proportionate to the actual losses incurred to avoid perversely impacting the environment.</w:t>
      </w:r>
      <w:r w:rsidR="002B3CB3">
        <w:t xml:space="preserve"> </w:t>
      </w:r>
    </w:p>
    <w:p w14:paraId="1D6ABFF3" w14:textId="21949E70" w:rsidR="002B3CB3" w:rsidRDefault="00382EE8" w:rsidP="002B3CB3">
      <w:r>
        <w:rPr>
          <w:rFonts w:ascii="ZWAdobeF" w:hAnsi="ZWAdobeF" w:cs="ZWAdobeF"/>
          <w:sz w:val="2"/>
          <w:szCs w:val="2"/>
        </w:rPr>
        <w:t>959B</w:t>
      </w:r>
      <w:r w:rsidR="002B3CB3">
        <w:t xml:space="preserve">The protection of the environmental flows from extraction enroute to Burrinjuck Dam under NSW legislation further protects downstream water users from any impact associated with the proposed environmental flows. </w:t>
      </w:r>
    </w:p>
    <w:p w14:paraId="65589F59" w14:textId="28B38E5A" w:rsidR="002B3CB3" w:rsidRDefault="002B3CB3" w:rsidP="002B3CB3">
      <w:pPr>
        <w:pStyle w:val="ReviewHeading3"/>
      </w:pPr>
      <w:r>
        <w:t>Cost-Benefit Analysis</w:t>
      </w:r>
    </w:p>
    <w:p w14:paraId="13ADD536" w14:textId="183AC497" w:rsidR="00E41BE7" w:rsidRPr="00FF79B5" w:rsidRDefault="00382EE8" w:rsidP="757C95A0">
      <w:r>
        <w:rPr>
          <w:rFonts w:ascii="ZWAdobeF" w:hAnsi="ZWAdobeF" w:cs="ZWAdobeF"/>
          <w:sz w:val="2"/>
          <w:szCs w:val="2"/>
        </w:rPr>
        <w:t>960B</w:t>
      </w:r>
      <w:r w:rsidR="00E41BE7">
        <w:t xml:space="preserve">A cost–benefit analysis (CBA) was conducted for this </w:t>
      </w:r>
      <w:r w:rsidR="11EE084E">
        <w:t>R</w:t>
      </w:r>
      <w:r w:rsidR="00E41BE7">
        <w:t>eview to assess the incremental economic, social, environmental and cultural costs and benefits associated with the environmental flow options. The costs and benefits were determined by comparing the environmental options against a Business</w:t>
      </w:r>
      <w:r w:rsidR="00E41BE7">
        <w:noBreakHyphen/>
        <w:t>as</w:t>
      </w:r>
      <w:r w:rsidR="00E41BE7">
        <w:noBreakHyphen/>
        <w:t xml:space="preserve">Usual </w:t>
      </w:r>
      <w:r w:rsidR="00DD3179">
        <w:t>Base Case</w:t>
      </w:r>
      <w:r w:rsidR="00E41BE7">
        <w:t xml:space="preserve"> over a long</w:t>
      </w:r>
      <w:r w:rsidR="00E41BE7">
        <w:noBreakHyphen/>
        <w:t xml:space="preserve">term modelling period. </w:t>
      </w:r>
    </w:p>
    <w:p w14:paraId="0ED931B7" w14:textId="2DA7C4EF" w:rsidR="00E41BE7" w:rsidRPr="00DF2369" w:rsidRDefault="00382EE8" w:rsidP="757C95A0">
      <w:r>
        <w:rPr>
          <w:rFonts w:ascii="ZWAdobeF" w:hAnsi="ZWAdobeF" w:cs="ZWAdobeF"/>
          <w:sz w:val="2"/>
          <w:szCs w:val="2"/>
        </w:rPr>
        <w:t>961B</w:t>
      </w:r>
      <w:r w:rsidR="00E41BE7" w:rsidRPr="00DF2369">
        <w:t xml:space="preserve">The economic, social and environmental assessment of the environmental flow options indicates that </w:t>
      </w:r>
      <w:r w:rsidR="00E41BE7" w:rsidRPr="00BD4C6F">
        <w:t>Option</w:t>
      </w:r>
      <w:r w:rsidR="000737A8">
        <w:t>s</w:t>
      </w:r>
      <w:r w:rsidR="00E41BE7" w:rsidRPr="00BD4C6F">
        <w:rPr>
          <w:rFonts w:ascii="Arial" w:hAnsi="Arial" w:cs="Arial"/>
        </w:rPr>
        <w:t> </w:t>
      </w:r>
      <w:r w:rsidR="00E41BE7" w:rsidRPr="00BD4C6F">
        <w:t>4</w:t>
      </w:r>
      <w:r w:rsidR="000737A8">
        <w:t xml:space="preserve"> and 5 </w:t>
      </w:r>
      <w:r w:rsidR="00E41BE7" w:rsidRPr="00BD4C6F">
        <w:t xml:space="preserve">deliver </w:t>
      </w:r>
      <w:r w:rsidR="000737A8">
        <w:t xml:space="preserve">an overall net </w:t>
      </w:r>
      <w:r w:rsidR="00E41BE7" w:rsidRPr="00BD4C6F">
        <w:t>benefit to the community</w:t>
      </w:r>
      <w:r w:rsidR="00E41BE7" w:rsidRPr="00DF2369">
        <w:t xml:space="preserve">, outperforming the Base Case and other options when costs and benefits are considered holistically over the modelling period. </w:t>
      </w:r>
    </w:p>
    <w:p w14:paraId="3D54FCB1" w14:textId="7BFCD5EC" w:rsidR="00E41BE7" w:rsidRPr="00DF2369" w:rsidRDefault="00382EE8" w:rsidP="757C95A0">
      <w:r>
        <w:rPr>
          <w:rFonts w:ascii="ZWAdobeF" w:hAnsi="ZWAdobeF" w:cs="ZWAdobeF"/>
          <w:sz w:val="2"/>
          <w:szCs w:val="2"/>
        </w:rPr>
        <w:t>962B</w:t>
      </w:r>
      <w:r w:rsidR="00E41BE7">
        <w:t>Option</w:t>
      </w:r>
      <w:r w:rsidR="00E41BE7" w:rsidRPr="6332CC80">
        <w:rPr>
          <w:rFonts w:ascii="Arial" w:hAnsi="Arial" w:cs="Arial"/>
        </w:rPr>
        <w:t> </w:t>
      </w:r>
      <w:r w:rsidR="00E41BE7">
        <w:t>4</w:t>
      </w:r>
      <w:r w:rsidR="00E41BE7" w:rsidDel="0031278C">
        <w:t xml:space="preserve"> </w:t>
      </w:r>
      <w:r w:rsidR="0031278C">
        <w:t>delivers</w:t>
      </w:r>
      <w:r w:rsidR="00E41BE7">
        <w:t xml:space="preserve"> the largest quantified benefits, </w:t>
      </w:r>
      <w:r w:rsidR="003E30F7">
        <w:t>including approximately $597</w:t>
      </w:r>
      <w:r w:rsidR="003E30F7" w:rsidRPr="6332CC80">
        <w:rPr>
          <w:rFonts w:ascii="Arial" w:hAnsi="Arial" w:cs="Arial"/>
        </w:rPr>
        <w:t> </w:t>
      </w:r>
      <w:r w:rsidR="003E30F7">
        <w:t xml:space="preserve">million in improved waterway health, </w:t>
      </w:r>
      <w:r w:rsidR="007302F3">
        <w:t xml:space="preserve">and an additional </w:t>
      </w:r>
      <w:r w:rsidR="00B86940">
        <w:t>$</w:t>
      </w:r>
      <w:r w:rsidR="007302F3">
        <w:t>37.8 million in further</w:t>
      </w:r>
      <w:r w:rsidR="003E30F7">
        <w:t xml:space="preserve"> benefits from cultural water, increased Macquarie Perch abundance and improved water</w:t>
      </w:r>
      <w:r w:rsidR="003E30F7">
        <w:noBreakHyphen/>
        <w:t xml:space="preserve">based recreation and associated wellbeing outcomes. </w:t>
      </w:r>
      <w:r w:rsidR="0031278C">
        <w:t xml:space="preserve">It generates </w:t>
      </w:r>
      <w:r w:rsidR="00A00CE7">
        <w:t>a</w:t>
      </w:r>
      <w:r w:rsidR="00E41BE7">
        <w:t xml:space="preserve"> net present value </w:t>
      </w:r>
      <w:r w:rsidR="000B547C">
        <w:t>of</w:t>
      </w:r>
      <w:r w:rsidR="00E41BE7">
        <w:t xml:space="preserve"> approximately $</w:t>
      </w:r>
      <w:r w:rsidR="004361F8">
        <w:t>29.6</w:t>
      </w:r>
      <w:r w:rsidR="004361F8" w:rsidRPr="6332CC80">
        <w:rPr>
          <w:rFonts w:ascii="Arial" w:hAnsi="Arial" w:cs="Arial"/>
        </w:rPr>
        <w:t> </w:t>
      </w:r>
      <w:r w:rsidR="00E41BE7">
        <w:t xml:space="preserve">million and a </w:t>
      </w:r>
      <w:r w:rsidR="036FF371">
        <w:t>benefit</w:t>
      </w:r>
      <w:r w:rsidR="008178C1" w:rsidRPr="00B81AC8">
        <w:t>–</w:t>
      </w:r>
      <w:r w:rsidR="036FF371">
        <w:t>cost</w:t>
      </w:r>
      <w:r w:rsidR="00E41BE7">
        <w:t xml:space="preserve"> ratio of 1</w:t>
      </w:r>
      <w:r w:rsidR="003738F0">
        <w:t>.05</w:t>
      </w:r>
      <w:r w:rsidR="00DD3179">
        <w:t>:</w:t>
      </w:r>
      <w:r w:rsidR="00E41BE7">
        <w:t>1, indicating that benefits exceed costs on an economy</w:t>
      </w:r>
      <w:r w:rsidR="00E41BE7">
        <w:noBreakHyphen/>
        <w:t>wide basis. These benefits are driven primarily by substantial improvements in waterway health, including restoration of seasonal variability, achievement of EWRs and delivery of high</w:t>
      </w:r>
      <w:r w:rsidR="1625C65B">
        <w:t xml:space="preserve"> </w:t>
      </w:r>
      <w:r w:rsidR="00E41BE7">
        <w:t>magnitude channel maintenance flows that support sediment mobilisation, habitat renewal and system</w:t>
      </w:r>
      <w:r w:rsidR="00E41BE7">
        <w:noBreakHyphen/>
        <w:t xml:space="preserve">scale ecological recovery. </w:t>
      </w:r>
    </w:p>
    <w:p w14:paraId="006EE986" w14:textId="766E2E8D" w:rsidR="00E41BE7" w:rsidRPr="00DF2369" w:rsidRDefault="00382EE8" w:rsidP="757C95A0">
      <w:r>
        <w:rPr>
          <w:rFonts w:ascii="ZWAdobeF" w:hAnsi="ZWAdobeF" w:cs="ZWAdobeF"/>
          <w:sz w:val="2"/>
          <w:szCs w:val="2"/>
        </w:rPr>
        <w:t>963B</w:t>
      </w:r>
      <w:r w:rsidR="00E41BE7">
        <w:t>These benefits outweigh the higher costs associated with Option</w:t>
      </w:r>
      <w:r w:rsidR="00E41BE7" w:rsidRPr="6332CC80">
        <w:rPr>
          <w:rFonts w:ascii="Arial" w:hAnsi="Arial" w:cs="Arial"/>
        </w:rPr>
        <w:t> </w:t>
      </w:r>
      <w:r w:rsidR="00E41BE7">
        <w:t xml:space="preserve">4 which include infrastructure upgrades at Tantangara Dam, increased energy system costs from foregone hydrogeneration, </w:t>
      </w:r>
      <w:r w:rsidR="00E41BE7">
        <w:lastRenderedPageBreak/>
        <w:t>greenhouse gas emissions, embodied carbon and reduced water availability for downstream regulated users. While these costs are material</w:t>
      </w:r>
      <w:r w:rsidR="00E41BE7" w:rsidRPr="6332CC80">
        <w:rPr>
          <w:rFonts w:ascii="Aptos" w:hAnsi="Aptos" w:cs="Aptos"/>
        </w:rPr>
        <w:t>—</w:t>
      </w:r>
      <w:r w:rsidR="00E41BE7">
        <w:t>totalling approximately $</w:t>
      </w:r>
      <w:r w:rsidR="009B073F">
        <w:t>605</w:t>
      </w:r>
      <w:r w:rsidR="009B073F" w:rsidRPr="6332CC80">
        <w:rPr>
          <w:rFonts w:ascii="Arial" w:hAnsi="Arial" w:cs="Arial"/>
        </w:rPr>
        <w:t> </w:t>
      </w:r>
      <w:r w:rsidR="00E41BE7">
        <w:t>million in present value terms—they are comparable to those incurred under Option</w:t>
      </w:r>
      <w:r w:rsidR="00E41BE7" w:rsidRPr="6332CC80">
        <w:rPr>
          <w:rFonts w:ascii="Arial" w:hAnsi="Arial" w:cs="Arial"/>
        </w:rPr>
        <w:t> </w:t>
      </w:r>
      <w:r w:rsidR="00E41BE7">
        <w:t>3 and are more than offset by the additional ecological and cultural benefits delivered by the inclusion of channel maintenance flows. The cost included for the infrastructure upgrade is an estimate and is not based on any technical design or detailed costing. The benefits are considered conservative and based on the available information.</w:t>
      </w:r>
    </w:p>
    <w:p w14:paraId="24765324" w14:textId="7DB3D137" w:rsidR="00B81AC8" w:rsidRDefault="00382EE8" w:rsidP="757C95A0">
      <w:r>
        <w:rPr>
          <w:rFonts w:ascii="ZWAdobeF" w:hAnsi="ZWAdobeF" w:cs="ZWAdobeF"/>
          <w:sz w:val="2"/>
          <w:szCs w:val="2"/>
        </w:rPr>
        <w:t>964B</w:t>
      </w:r>
      <w:r w:rsidR="00E41BE7">
        <w:t>By contrast, Option</w:t>
      </w:r>
      <w:r w:rsidR="00E41BE7" w:rsidRPr="6332CC80">
        <w:rPr>
          <w:rFonts w:ascii="Arial" w:hAnsi="Arial" w:cs="Arial"/>
        </w:rPr>
        <w:t> </w:t>
      </w:r>
      <w:r w:rsidR="00E41BE7">
        <w:t>2 delivers modest ecological improvements and does not achieve a net economic benefit relative to the Base Case, while Option</w:t>
      </w:r>
      <w:r w:rsidR="00E41BE7" w:rsidRPr="6332CC80">
        <w:rPr>
          <w:rFonts w:ascii="Arial" w:hAnsi="Arial" w:cs="Arial"/>
        </w:rPr>
        <w:t> </w:t>
      </w:r>
      <w:r w:rsidR="00E41BE7">
        <w:t xml:space="preserve">3, although improving seasonal variability and species outcomes, does not restore key geomorphic processes and therefore yields a negative net present value. </w:t>
      </w:r>
    </w:p>
    <w:p w14:paraId="3A015747" w14:textId="13D56C98" w:rsidR="00E41BE7" w:rsidRPr="00DF2369" w:rsidRDefault="00382EE8" w:rsidP="757C95A0">
      <w:r>
        <w:rPr>
          <w:rFonts w:ascii="ZWAdobeF" w:hAnsi="ZWAdobeF" w:cs="ZWAdobeF"/>
          <w:sz w:val="2"/>
          <w:szCs w:val="2"/>
        </w:rPr>
        <w:t>965B</w:t>
      </w:r>
      <w:r w:rsidR="00151D8C">
        <w:t xml:space="preserve">In contrast, </w:t>
      </w:r>
      <w:r w:rsidR="00E41BE7">
        <w:t>Option</w:t>
      </w:r>
      <w:r w:rsidR="00E41BE7" w:rsidRPr="6332CC80">
        <w:rPr>
          <w:rFonts w:ascii="Arial" w:hAnsi="Arial" w:cs="Arial"/>
        </w:rPr>
        <w:t> </w:t>
      </w:r>
      <w:r w:rsidR="00E41BE7">
        <w:t xml:space="preserve">5 provides </w:t>
      </w:r>
      <w:r w:rsidR="00151D8C">
        <w:t xml:space="preserve">greater </w:t>
      </w:r>
      <w:r w:rsidR="00E41BE7">
        <w:t xml:space="preserve">ecological benefits </w:t>
      </w:r>
      <w:r w:rsidR="00151D8C">
        <w:t>than Option 2,</w:t>
      </w:r>
      <w:r w:rsidR="00E41BE7">
        <w:t xml:space="preserve"> within existing infrastructure constraints, particularly through improved baseflows upstream, but delivers more spatially uneven outcomes and foregoes the system</w:t>
      </w:r>
      <w:r w:rsidR="00E41BE7">
        <w:noBreakHyphen/>
        <w:t>scale recovery enabled by higher</w:t>
      </w:r>
      <w:r w:rsidR="003544DA">
        <w:t xml:space="preserve"> </w:t>
      </w:r>
      <w:r w:rsidR="00E41BE7">
        <w:t xml:space="preserve">magnitude flows. </w:t>
      </w:r>
      <w:r w:rsidR="00A86513">
        <w:t xml:space="preserve">However, this option still demonstrates </w:t>
      </w:r>
      <w:r w:rsidR="00AA3342" w:rsidRPr="00AA3342">
        <w:t>benefits that outweigh its associated costs</w:t>
      </w:r>
      <w:r w:rsidR="005E4087">
        <w:t xml:space="preserve">, with an expected net present value </w:t>
      </w:r>
      <w:r w:rsidR="00153471">
        <w:t xml:space="preserve">of </w:t>
      </w:r>
      <w:r w:rsidR="00F121F1">
        <w:t>$6</w:t>
      </w:r>
      <w:r w:rsidR="000B45AE">
        <w:t xml:space="preserve">7.9 million and a benefit–cost ratio of 1.25:1 </w:t>
      </w:r>
    </w:p>
    <w:p w14:paraId="607E0EF7" w14:textId="123EF1F8" w:rsidR="00E41BE7" w:rsidRPr="00DF2369" w:rsidRDefault="00382EE8" w:rsidP="757C95A0">
      <w:r>
        <w:rPr>
          <w:rFonts w:ascii="ZWAdobeF" w:hAnsi="ZWAdobeF" w:cs="ZWAdobeF"/>
          <w:sz w:val="2"/>
          <w:szCs w:val="2"/>
        </w:rPr>
        <w:t>966B</w:t>
      </w:r>
      <w:r w:rsidR="00E41BE7" w:rsidRPr="00DF2369">
        <w:t xml:space="preserve">Sensitivity and scenario analysis indicates that </w:t>
      </w:r>
      <w:r w:rsidR="00E41BE7">
        <w:t>Option</w:t>
      </w:r>
      <w:r w:rsidR="00790DEC">
        <w:t>s</w:t>
      </w:r>
      <w:r w:rsidR="00E41BE7" w:rsidRPr="632880C2">
        <w:rPr>
          <w:rFonts w:ascii="Arial" w:hAnsi="Arial" w:cs="Arial"/>
        </w:rPr>
        <w:t> </w:t>
      </w:r>
      <w:r w:rsidR="00E41BE7">
        <w:t>4</w:t>
      </w:r>
      <w:r w:rsidR="00E41BE7" w:rsidRPr="005A603D">
        <w:t xml:space="preserve"> </w:t>
      </w:r>
      <w:r w:rsidR="00790DEC">
        <w:t>and 5</w:t>
      </w:r>
      <w:r w:rsidR="0044518A">
        <w:t xml:space="preserve"> </w:t>
      </w:r>
      <w:r w:rsidR="00E41BE7" w:rsidRPr="005A603D">
        <w:t xml:space="preserve">perform </w:t>
      </w:r>
      <w:r w:rsidR="003017E1">
        <w:t xml:space="preserve">most </w:t>
      </w:r>
      <w:r w:rsidR="00E41BE7" w:rsidRPr="005A603D">
        <w:t xml:space="preserve">favourably </w:t>
      </w:r>
      <w:r w:rsidR="003544DA">
        <w:t>but</w:t>
      </w:r>
      <w:r w:rsidR="00E41BE7" w:rsidRPr="00DF2369">
        <w:t xml:space="preserve"> results</w:t>
      </w:r>
      <w:r w:rsidR="003544DA">
        <w:t xml:space="preserve"> are</w:t>
      </w:r>
      <w:r w:rsidR="00E41BE7" w:rsidRPr="00DF2369">
        <w:t xml:space="preserve"> sensitive to assumptions about the valuation of environmental benefits</w:t>
      </w:r>
      <w:r w:rsidR="003017E1">
        <w:t xml:space="preserve"> and</w:t>
      </w:r>
      <w:r w:rsidR="00D25FCE">
        <w:t xml:space="preserve"> (</w:t>
      </w:r>
      <w:r w:rsidR="00C476A5">
        <w:t>for Option 4</w:t>
      </w:r>
      <w:r w:rsidR="00D25FCE">
        <w:t>)</w:t>
      </w:r>
      <w:r w:rsidR="00C476A5">
        <w:t xml:space="preserve"> </w:t>
      </w:r>
      <w:r w:rsidR="003017E1">
        <w:t>the cost</w:t>
      </w:r>
      <w:r w:rsidR="00773083">
        <w:t xml:space="preserve"> of dam infrastructure upgrades</w:t>
      </w:r>
      <w:r w:rsidR="00E41BE7" w:rsidRPr="00DF2369">
        <w:t xml:space="preserve">. Importantly, the analysis also notes that </w:t>
      </w:r>
      <w:r w:rsidR="00D25FCE">
        <w:t>a number of</w:t>
      </w:r>
      <w:r w:rsidR="00D25FCE" w:rsidRPr="00DF2369">
        <w:t xml:space="preserve"> </w:t>
      </w:r>
      <w:r w:rsidR="00E41BE7" w:rsidRPr="00DF2369">
        <w:t xml:space="preserve">environmental and cultural benefits could not be fully quantified, </w:t>
      </w:r>
      <w:r w:rsidR="008445EB">
        <w:t>indicating</w:t>
      </w:r>
      <w:r w:rsidR="008445EB" w:rsidRPr="00DF2369">
        <w:t xml:space="preserve"> </w:t>
      </w:r>
      <w:r w:rsidR="00E41BE7" w:rsidRPr="00DF2369">
        <w:t xml:space="preserve">that the reported net benefits for </w:t>
      </w:r>
      <w:r w:rsidR="00E41BE7">
        <w:t>Option</w:t>
      </w:r>
      <w:r w:rsidR="00C476A5">
        <w:t>s</w:t>
      </w:r>
      <w:r w:rsidR="00E41BE7" w:rsidRPr="632880C2">
        <w:rPr>
          <w:rFonts w:ascii="Arial" w:hAnsi="Arial" w:cs="Arial"/>
        </w:rPr>
        <w:t> </w:t>
      </w:r>
      <w:r w:rsidR="00E41BE7">
        <w:t>4</w:t>
      </w:r>
      <w:r w:rsidR="00E41BE7" w:rsidRPr="00DF2369">
        <w:t xml:space="preserve"> </w:t>
      </w:r>
      <w:r w:rsidR="00C476A5">
        <w:t>and 5</w:t>
      </w:r>
      <w:r w:rsidR="00E41BE7" w:rsidRPr="00DF2369">
        <w:t xml:space="preserve"> are likely to be </w:t>
      </w:r>
      <w:r w:rsidR="00E41BE7" w:rsidRPr="005A603D">
        <w:t>conservative</w:t>
      </w:r>
      <w:r w:rsidR="00C476A5">
        <w:t xml:space="preserve"> and further work would be required to further</w:t>
      </w:r>
      <w:r w:rsidR="00F06920">
        <w:t xml:space="preserve"> quantify these</w:t>
      </w:r>
      <w:r w:rsidR="00E41BE7" w:rsidRPr="00DF2369">
        <w:t>.</w:t>
      </w:r>
    </w:p>
    <w:p w14:paraId="5F110CAB" w14:textId="142CB596" w:rsidR="00E41BE7" w:rsidRDefault="00382EE8" w:rsidP="757C95A0">
      <w:r>
        <w:rPr>
          <w:rFonts w:ascii="ZWAdobeF" w:hAnsi="ZWAdobeF" w:cs="ZWAdobeF"/>
          <w:sz w:val="2"/>
          <w:szCs w:val="2"/>
        </w:rPr>
        <w:t>967B</w:t>
      </w:r>
      <w:r w:rsidR="00E41BE7">
        <w:t>Taken together, the evidence indicates that Option</w:t>
      </w:r>
      <w:r w:rsidR="00E41BE7" w:rsidRPr="6332CC80">
        <w:rPr>
          <w:rFonts w:ascii="Arial" w:hAnsi="Arial" w:cs="Arial"/>
        </w:rPr>
        <w:t> </w:t>
      </w:r>
      <w:r w:rsidR="00E41BE7">
        <w:t xml:space="preserve">4 provides the strongest </w:t>
      </w:r>
      <w:r w:rsidR="005C107B">
        <w:t xml:space="preserve">outcomes for </w:t>
      </w:r>
      <w:r w:rsidR="00E41BE7">
        <w:t>ecological ambition and community value, delivering the only option that consistently supports system</w:t>
      </w:r>
      <w:r w:rsidR="00E41BE7">
        <w:noBreakHyphen/>
        <w:t xml:space="preserve">scale river recovery while remaining </w:t>
      </w:r>
      <w:r w:rsidR="4F80EC5B">
        <w:t>net beneficial</w:t>
      </w:r>
      <w:r w:rsidR="00E41BE7">
        <w:t xml:space="preserve"> when economic, social, environmental and cultural factors are assessed together.</w:t>
      </w:r>
      <w:r w:rsidR="003F4A7D">
        <w:t xml:space="preserve"> </w:t>
      </w:r>
      <w:r w:rsidR="00B81AC8" w:rsidRPr="00B81AC8">
        <w:t xml:space="preserve">However, Option 4 </w:t>
      </w:r>
      <w:r w:rsidR="005C107B">
        <w:t xml:space="preserve">requires </w:t>
      </w:r>
      <w:r w:rsidR="00B81AC8" w:rsidRPr="00B81AC8">
        <w:t xml:space="preserve">upgrades to Tantangara Dam </w:t>
      </w:r>
      <w:r w:rsidR="005C107B">
        <w:t xml:space="preserve">to deliver channel maintenance flows </w:t>
      </w:r>
      <w:r w:rsidR="00B81AC8" w:rsidRPr="00B81AC8">
        <w:t xml:space="preserve">and the Panel has recommended that a feasibility report </w:t>
      </w:r>
      <w:r w:rsidR="00AD4A93">
        <w:t xml:space="preserve">and costing </w:t>
      </w:r>
      <w:r w:rsidR="00B81AC8" w:rsidRPr="00B81AC8">
        <w:t>be developed to assess this</w:t>
      </w:r>
      <w:r w:rsidR="004852D8">
        <w:t xml:space="preserve"> in more detail</w:t>
      </w:r>
      <w:r w:rsidR="009A2BBB">
        <w:t xml:space="preserve">. </w:t>
      </w:r>
      <w:r w:rsidR="00B81AC8" w:rsidRPr="00B81AC8">
        <w:t xml:space="preserve"> Option</w:t>
      </w:r>
      <w:r w:rsidR="00790DEC">
        <w:t> </w:t>
      </w:r>
      <w:r w:rsidR="00B81AC8" w:rsidRPr="00B81AC8">
        <w:t>5 should be progressed in the interim</w:t>
      </w:r>
      <w:r w:rsidR="009A2BBB">
        <w:t xml:space="preserve">, as </w:t>
      </w:r>
      <w:r w:rsidR="003D20C4">
        <w:t>this</w:t>
      </w:r>
      <w:r w:rsidR="009A2BBB">
        <w:t xml:space="preserve"> </w:t>
      </w:r>
      <w:r w:rsidR="00B81AC8" w:rsidRPr="00B81AC8">
        <w:t xml:space="preserve">offers </w:t>
      </w:r>
      <w:r w:rsidR="009A2BBB">
        <w:t>the</w:t>
      </w:r>
      <w:r w:rsidR="00B81AC8" w:rsidRPr="00B81AC8">
        <w:t xml:space="preserve"> strong</w:t>
      </w:r>
      <w:r w:rsidR="009A2BBB">
        <w:t>est</w:t>
      </w:r>
      <w:r w:rsidR="00B81AC8" w:rsidRPr="00B81AC8">
        <w:t xml:space="preserve"> benefit–cost ratio, particularly given the advantages associated with channel clearing flows.</w:t>
      </w:r>
    </w:p>
    <w:p w14:paraId="3FD4E5EF" w14:textId="523A5F2A" w:rsidR="00333EDD" w:rsidRPr="00E51085" w:rsidRDefault="000D57A5" w:rsidP="00333EDD">
      <w:pPr>
        <w:pStyle w:val="Sub-Heading"/>
        <w:rPr>
          <w:iCs w:val="0"/>
          <w:sz w:val="20"/>
          <w:szCs w:val="20"/>
        </w:rPr>
      </w:pPr>
      <w:r w:rsidRPr="00E51085">
        <w:rPr>
          <w:b/>
          <w:iCs w:val="0"/>
          <w:color w:val="auto"/>
          <w:sz w:val="20"/>
          <w:szCs w:val="20"/>
        </w:rPr>
        <w:lastRenderedPageBreak/>
        <w:t xml:space="preserve">Figure </w:t>
      </w:r>
      <w:r w:rsidRPr="00E51085">
        <w:rPr>
          <w:b/>
          <w:iCs w:val="0"/>
          <w:color w:val="auto"/>
          <w:sz w:val="20"/>
          <w:szCs w:val="20"/>
        </w:rPr>
        <w:fldChar w:fldCharType="begin"/>
      </w:r>
      <w:r w:rsidRPr="00E51085">
        <w:rPr>
          <w:b/>
          <w:iCs w:val="0"/>
          <w:color w:val="auto"/>
          <w:sz w:val="20"/>
          <w:szCs w:val="20"/>
        </w:rPr>
        <w:instrText xml:space="preserve"> SEQ Figure \* ARABIC </w:instrText>
      </w:r>
      <w:r w:rsidRPr="00E51085">
        <w:rPr>
          <w:b/>
          <w:iCs w:val="0"/>
          <w:color w:val="auto"/>
          <w:sz w:val="20"/>
          <w:szCs w:val="20"/>
        </w:rPr>
        <w:fldChar w:fldCharType="separate"/>
      </w:r>
      <w:r w:rsidR="0005178F">
        <w:rPr>
          <w:b/>
          <w:iCs w:val="0"/>
          <w:noProof/>
          <w:color w:val="auto"/>
          <w:sz w:val="20"/>
          <w:szCs w:val="20"/>
        </w:rPr>
        <w:t>12</w:t>
      </w:r>
      <w:r w:rsidRPr="00E51085">
        <w:rPr>
          <w:b/>
          <w:iCs w:val="0"/>
          <w:color w:val="auto"/>
          <w:sz w:val="20"/>
          <w:szCs w:val="20"/>
        </w:rPr>
        <w:fldChar w:fldCharType="end"/>
      </w:r>
      <w:r w:rsidRPr="00E51085">
        <w:rPr>
          <w:b/>
          <w:iCs w:val="0"/>
          <w:color w:val="auto"/>
          <w:sz w:val="20"/>
          <w:szCs w:val="20"/>
        </w:rPr>
        <w:t>: Incremental costs and benefits of environmental flow options analysed compared to Base Case ($millions, EPV terms, $FY25</w:t>
      </w:r>
      <w:r w:rsidR="00333EDD" w:rsidRPr="00E51085">
        <w:rPr>
          <w:b/>
          <w:iCs w:val="0"/>
          <w:color w:val="auto"/>
          <w:sz w:val="20"/>
          <w:szCs w:val="20"/>
        </w:rPr>
        <w:t>). Source: Frontier Economics, 2026</w:t>
      </w:r>
      <w:r w:rsidR="00D709A0" w:rsidRPr="00E51085">
        <w:rPr>
          <w:b/>
          <w:bCs/>
          <w:iCs w:val="0"/>
          <w:color w:val="auto"/>
          <w:sz w:val="20"/>
          <w:szCs w:val="20"/>
        </w:rPr>
        <w:t>.</w:t>
      </w:r>
    </w:p>
    <w:p w14:paraId="07763B79" w14:textId="6585CED9" w:rsidR="000D57A5" w:rsidRPr="00333EDD" w:rsidRDefault="000D57A5" w:rsidP="000D57A5">
      <w:pPr>
        <w:pStyle w:val="Caption"/>
        <w:keepNext/>
        <w:jc w:val="both"/>
        <w:rPr>
          <w:b/>
          <w:bCs/>
          <w:color w:val="auto"/>
          <w:sz w:val="20"/>
          <w:szCs w:val="20"/>
        </w:rPr>
      </w:pPr>
    </w:p>
    <w:p w14:paraId="600925E1" w14:textId="1F978DEE" w:rsidR="00E41BE7" w:rsidRPr="00DF2369" w:rsidRDefault="00382EE8" w:rsidP="00E41BE7">
      <w:pPr>
        <w:spacing w:before="210" w:after="210" w:line="300" w:lineRule="auto"/>
        <w:rPr>
          <w:rFonts w:ascii="Calibri" w:eastAsia="Calibri" w:hAnsi="Calibri" w:cs="Calibri"/>
        </w:rPr>
      </w:pPr>
      <w:r>
        <w:rPr>
          <w:rFonts w:ascii="ZWAdobeF" w:eastAsia="Calibri" w:hAnsi="ZWAdobeF" w:cs="ZWAdobeF"/>
          <w:sz w:val="2"/>
          <w:szCs w:val="2"/>
        </w:rPr>
        <w:t>968B</w:t>
      </w:r>
      <w:r w:rsidR="00F5045F">
        <w:rPr>
          <w:noProof/>
        </w:rPr>
        <w:drawing>
          <wp:inline distT="0" distB="0" distL="0" distR="0" wp14:anchorId="594C53FB" wp14:editId="60A81250">
            <wp:extent cx="6204957" cy="3390900"/>
            <wp:effectExtent l="0" t="0" r="5715" b="0"/>
            <wp:docPr id="936141427" name="Picture 1" descr="P10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41427" name="Picture 1" descr="P1041#yIS1"/>
                    <pic:cNvPicPr/>
                  </pic:nvPicPr>
                  <pic:blipFill>
                    <a:blip r:embed="rId62"/>
                    <a:stretch>
                      <a:fillRect/>
                    </a:stretch>
                  </pic:blipFill>
                  <pic:spPr>
                    <a:xfrm>
                      <a:off x="0" y="0"/>
                      <a:ext cx="6220259" cy="3399262"/>
                    </a:xfrm>
                    <a:prstGeom prst="rect">
                      <a:avLst/>
                    </a:prstGeom>
                  </pic:spPr>
                </pic:pic>
              </a:graphicData>
            </a:graphic>
          </wp:inline>
        </w:drawing>
      </w:r>
    </w:p>
    <w:p w14:paraId="6277A506" w14:textId="600BB482" w:rsidR="002B3CB3" w:rsidRPr="00EA0E97" w:rsidRDefault="00E41BE7" w:rsidP="00E41BE7">
      <w:pPr>
        <w:pStyle w:val="ReviewHeading2"/>
      </w:pPr>
      <w:bookmarkStart w:id="69" w:name="_Toc233285605"/>
      <w:bookmarkStart w:id="70" w:name="_Toc233801484"/>
      <w:r>
        <w:t>4.7 Adaptive operating arrangements</w:t>
      </w:r>
      <w:bookmarkEnd w:id="69"/>
      <w:bookmarkEnd w:id="70"/>
    </w:p>
    <w:p w14:paraId="68D3CD9A" w14:textId="2668DA9D" w:rsidR="00224236" w:rsidRPr="009262AF" w:rsidRDefault="00382EE8" w:rsidP="757C95A0">
      <w:r>
        <w:rPr>
          <w:rFonts w:ascii="ZWAdobeF" w:hAnsi="ZWAdobeF" w:cs="ZWAdobeF"/>
          <w:sz w:val="2"/>
          <w:szCs w:val="2"/>
        </w:rPr>
        <w:t>969B</w:t>
      </w:r>
      <w:r w:rsidR="00224236">
        <w:t xml:space="preserve">Across both the Snowy and the </w:t>
      </w:r>
      <w:r w:rsidR="0717FE62">
        <w:t>U</w:t>
      </w:r>
      <w:r w:rsidR="00224236">
        <w:t xml:space="preserve">pper Murrumbidgee </w:t>
      </w:r>
      <w:r w:rsidR="00EE110B">
        <w:t>r</w:t>
      </w:r>
      <w:r w:rsidR="00224236">
        <w:t>iver</w:t>
      </w:r>
      <w:r w:rsidR="00EE110B">
        <w:t>s</w:t>
      </w:r>
      <w:r w:rsidR="00224236">
        <w:t>, the evidence consistently demonstrates that achieving ecological outcomes depends not only on the volume of water, but on how it is delivered. Fixed and pre-determined operating rules are in themselves insufficient to respond to environmental need, climate variability and system constraints. Adaptive operating arrangements are therefore required.</w:t>
      </w:r>
    </w:p>
    <w:p w14:paraId="72015A04" w14:textId="709F32B2" w:rsidR="00224236" w:rsidRPr="009262AF" w:rsidRDefault="00382EE8" w:rsidP="757C95A0">
      <w:r>
        <w:rPr>
          <w:rFonts w:ascii="ZWAdobeF" w:hAnsi="ZWAdobeF" w:cs="ZWAdobeF"/>
          <w:bCs/>
          <w:sz w:val="2"/>
          <w:szCs w:val="2"/>
        </w:rPr>
        <w:t>970B</w:t>
      </w:r>
      <w:r w:rsidR="00224236" w:rsidRPr="004D2A3E">
        <w:rPr>
          <w:b/>
          <w:bCs/>
        </w:rPr>
        <w:t>Chapter 6</w:t>
      </w:r>
      <w:r w:rsidR="00224236">
        <w:t xml:space="preserve"> of this report introduces the broader adaptive management framework within which operational flexibility provides an integral component. Adaptive operational decisions enable the release of additional environmental water to be targeted when and where they deliver the greatest benefit, responding to natural climate cues and environmental needs, and support nimble action during extreme events to balance environmental, water security and energy outcomes. Adaptive operational decisions must be supported by robust monitoring and the integration of science and local knowledge. </w:t>
      </w:r>
    </w:p>
    <w:p w14:paraId="1C00A133" w14:textId="6E98A281" w:rsidR="00224236" w:rsidRPr="009262AF" w:rsidRDefault="00382EE8" w:rsidP="757C95A0">
      <w:r>
        <w:rPr>
          <w:rFonts w:ascii="ZWAdobeF" w:hAnsi="ZWAdobeF" w:cs="ZWAdobeF"/>
          <w:sz w:val="2"/>
          <w:szCs w:val="2"/>
        </w:rPr>
        <w:t>971B</w:t>
      </w:r>
      <w:r w:rsidR="00224236" w:rsidRPr="009262AF">
        <w:t>Submissions on the Snowy River reinforce that rigid, compliance</w:t>
      </w:r>
      <w:r w:rsidR="00224236" w:rsidRPr="009262AF">
        <w:noBreakHyphen/>
        <w:t>based approaches limit long</w:t>
      </w:r>
      <w:r w:rsidR="00224236" w:rsidRPr="009262AF">
        <w:noBreakHyphen/>
        <w:t xml:space="preserve">term </w:t>
      </w:r>
      <w:r w:rsidR="00224236">
        <w:t xml:space="preserve">environmental </w:t>
      </w:r>
      <w:r w:rsidR="00224236" w:rsidRPr="009262AF">
        <w:t>outcomes. Energy stakeholders and agencies similarly highlight that adaptive decision</w:t>
      </w:r>
      <w:r w:rsidR="00224236" w:rsidRPr="009262AF">
        <w:noBreakHyphen/>
        <w:t>making is key to minimising energy system impacts.</w:t>
      </w:r>
    </w:p>
    <w:p w14:paraId="08388069" w14:textId="129B65AF" w:rsidR="00224236" w:rsidRPr="009262AF" w:rsidRDefault="00382EE8" w:rsidP="757C95A0">
      <w:r>
        <w:rPr>
          <w:rFonts w:ascii="ZWAdobeF" w:hAnsi="ZWAdobeF" w:cs="ZWAdobeF"/>
          <w:sz w:val="2"/>
          <w:szCs w:val="2"/>
        </w:rPr>
        <w:t>972B</w:t>
      </w:r>
      <w:r w:rsidR="00224236" w:rsidRPr="009262AF">
        <w:t xml:space="preserve">The </w:t>
      </w:r>
      <w:r w:rsidR="000F5896">
        <w:t>FNAG</w:t>
      </w:r>
      <w:r w:rsidR="00224236" w:rsidRPr="009262AF">
        <w:t xml:space="preserve"> advice in the Upper Murrumbidgee reinforces this position of requiring adaptive </w:t>
      </w:r>
      <w:r w:rsidR="00224236">
        <w:t>decision-making</w:t>
      </w:r>
      <w:r w:rsidR="00224236" w:rsidRPr="009262AF">
        <w:t>, emphasising that caring for a living river requires ongoing, responsive decision</w:t>
      </w:r>
      <w:r w:rsidR="00224236" w:rsidRPr="009262AF">
        <w:noBreakHyphen/>
        <w:t xml:space="preserve">making guided by cultural knowledge, seasonal understanding and observation of river condition.  </w:t>
      </w:r>
      <w:r w:rsidR="00A813DC">
        <w:t xml:space="preserve">Stakeholder </w:t>
      </w:r>
      <w:r w:rsidR="00224236" w:rsidRPr="009262AF">
        <w:t xml:space="preserve">advice cautions that static flow rules risk entrenching a </w:t>
      </w:r>
      <w:r w:rsidR="002F2F12">
        <w:t xml:space="preserve">managed but </w:t>
      </w:r>
      <w:r w:rsidR="00224236" w:rsidRPr="009262AF">
        <w:t xml:space="preserve">degraded state </w:t>
      </w:r>
      <w:r w:rsidR="00224236" w:rsidRPr="009262AF">
        <w:lastRenderedPageBreak/>
        <w:t xml:space="preserve">and instead supports adaptive approaches that enable healing, renewal and intergenerational responsibility. </w:t>
      </w:r>
    </w:p>
    <w:p w14:paraId="7097A44D" w14:textId="45F7A80A" w:rsidR="00E41BE7" w:rsidRPr="00EA0E97" w:rsidRDefault="00224236" w:rsidP="00224236">
      <w:pPr>
        <w:pStyle w:val="ReviewHeading3"/>
      </w:pPr>
      <w:r>
        <w:t>Managing dry years and extreme events</w:t>
      </w:r>
    </w:p>
    <w:p w14:paraId="0F62AFED" w14:textId="26908DC4" w:rsidR="00C54D70" w:rsidRPr="009262AF" w:rsidRDefault="00382EE8" w:rsidP="757C95A0">
      <w:r>
        <w:rPr>
          <w:rFonts w:ascii="ZWAdobeF" w:hAnsi="ZWAdobeF" w:cs="ZWAdobeF"/>
          <w:sz w:val="2"/>
          <w:szCs w:val="2"/>
        </w:rPr>
        <w:t>973B</w:t>
      </w:r>
      <w:r w:rsidR="00C54D70" w:rsidRPr="009262AF">
        <w:t>Dry years and extreme events are projected to increase in frequency and severity. Managing for these events requires a high degree of operational flexibility</w:t>
      </w:r>
      <w:r w:rsidR="00C54D70">
        <w:t>, including for inter-annual variability in water resource availability</w:t>
      </w:r>
      <w:r w:rsidR="00C54D70" w:rsidRPr="009262AF">
        <w:t>. Rigid, pre</w:t>
      </w:r>
      <w:r w:rsidR="00C54D70" w:rsidRPr="009262AF">
        <w:noBreakHyphen/>
        <w:t xml:space="preserve">committed release schedules increase the risk of harm during droughts and periods of energy system stress. </w:t>
      </w:r>
    </w:p>
    <w:p w14:paraId="247C5B35" w14:textId="007F168B" w:rsidR="00C54D70" w:rsidRPr="009262AF" w:rsidRDefault="00382EE8" w:rsidP="757C95A0">
      <w:r>
        <w:rPr>
          <w:rFonts w:ascii="ZWAdobeF" w:hAnsi="ZWAdobeF" w:cs="ZWAdobeF"/>
          <w:sz w:val="2"/>
          <w:szCs w:val="2"/>
        </w:rPr>
        <w:t>974B</w:t>
      </w:r>
      <w:r w:rsidR="00C54D70">
        <w:t xml:space="preserve">Under adaptive operating arrangements </w:t>
      </w:r>
      <w:r w:rsidR="00C54D70" w:rsidRPr="009262AF">
        <w:t xml:space="preserve">environmental releases </w:t>
      </w:r>
      <w:r w:rsidR="00C54D70">
        <w:t>could be</w:t>
      </w:r>
      <w:r w:rsidR="00C54D70" w:rsidRPr="009262AF">
        <w:t xml:space="preserve"> deferred, reshaped or targeted to </w:t>
      </w:r>
      <w:r w:rsidR="00C54D70">
        <w:t>flexibly respond to</w:t>
      </w:r>
      <w:r w:rsidR="00C54D70" w:rsidRPr="009262AF">
        <w:t xml:space="preserve"> conditions </w:t>
      </w:r>
      <w:r w:rsidR="00C54D70">
        <w:t xml:space="preserve">in the </w:t>
      </w:r>
      <w:r w:rsidR="00C54D70" w:rsidRPr="009262AF">
        <w:t>downstream</w:t>
      </w:r>
      <w:r w:rsidR="00C54D70">
        <w:t xml:space="preserve"> environment</w:t>
      </w:r>
      <w:r w:rsidR="00C54D70" w:rsidRPr="009262AF">
        <w:t xml:space="preserve">, </w:t>
      </w:r>
      <w:r w:rsidR="00C54D70">
        <w:t>or to</w:t>
      </w:r>
      <w:r w:rsidR="00C54D70" w:rsidRPr="009262AF">
        <w:t xml:space="preserve"> preserving Snowy Hydro’s capacity to respond during periods of high energy demand or reliability risk. Decisions made closer to real time, particularly for larger environmental flushes, enable alignment with hydrological opportunity and energy market conditions.</w:t>
      </w:r>
    </w:p>
    <w:p w14:paraId="51C3B766" w14:textId="58F31525" w:rsidR="00C54D70" w:rsidRPr="009262AF" w:rsidRDefault="00382EE8" w:rsidP="757C95A0">
      <w:r>
        <w:rPr>
          <w:rFonts w:ascii="ZWAdobeF" w:hAnsi="ZWAdobeF" w:cs="ZWAdobeF"/>
          <w:sz w:val="2"/>
          <w:szCs w:val="2"/>
        </w:rPr>
        <w:t>975B</w:t>
      </w:r>
      <w:r w:rsidR="00C54D70">
        <w:t>A</w:t>
      </w:r>
      <w:r w:rsidR="00C54D70" w:rsidRPr="009262AF">
        <w:t xml:space="preserve">daptive </w:t>
      </w:r>
      <w:r w:rsidR="00C54D70">
        <w:t>operating arrangements</w:t>
      </w:r>
      <w:r w:rsidR="00C54D70" w:rsidRPr="009262AF">
        <w:t xml:space="preserve"> designed to manage risk during extreme events should include:</w:t>
      </w:r>
    </w:p>
    <w:p w14:paraId="5C5FB844" w14:textId="2F7FE7F9" w:rsidR="00C54D70" w:rsidRPr="009262AF" w:rsidRDefault="00382EE8" w:rsidP="00115BD6">
      <w:pPr>
        <w:pStyle w:val="ListParagraph"/>
        <w:numPr>
          <w:ilvl w:val="0"/>
          <w:numId w:val="88"/>
        </w:numPr>
      </w:pPr>
      <w:r>
        <w:rPr>
          <w:rFonts w:ascii="ZWAdobeF" w:hAnsi="ZWAdobeF" w:cs="ZWAdobeF"/>
          <w:sz w:val="2"/>
          <w:szCs w:val="2"/>
        </w:rPr>
        <w:t>177B</w:t>
      </w:r>
      <w:r w:rsidR="00C54D70">
        <w:t>predefined decision flexibility criteria that guide the short-term prioritisation of resources between specific EWR or electricity generation</w:t>
      </w:r>
    </w:p>
    <w:p w14:paraId="5F2CFE57" w14:textId="09B9946E" w:rsidR="00C54D70" w:rsidRPr="009262AF" w:rsidRDefault="00382EE8" w:rsidP="00115BD6">
      <w:pPr>
        <w:pStyle w:val="ListParagraph"/>
        <w:numPr>
          <w:ilvl w:val="0"/>
          <w:numId w:val="88"/>
        </w:numPr>
      </w:pPr>
      <w:r>
        <w:rPr>
          <w:rFonts w:ascii="ZWAdobeF" w:hAnsi="ZWAdobeF" w:cs="ZWAdobeF"/>
          <w:sz w:val="2"/>
          <w:szCs w:val="2"/>
        </w:rPr>
        <w:t>178B</w:t>
      </w:r>
      <w:r w:rsidR="00C54D70">
        <w:t>flexibility to adjust the planning of releases during periods of prolonged low</w:t>
      </w:r>
      <w:r w:rsidR="071FE644">
        <w:t xml:space="preserve"> </w:t>
      </w:r>
      <w:r w:rsidR="00C54D70">
        <w:t>flow or shortfalls in the electricity market</w:t>
      </w:r>
    </w:p>
    <w:p w14:paraId="5C263030" w14:textId="1D02A67C" w:rsidR="00C54D70" w:rsidRPr="009262AF" w:rsidRDefault="00382EE8" w:rsidP="00115BD6">
      <w:pPr>
        <w:pStyle w:val="ListParagraph"/>
        <w:numPr>
          <w:ilvl w:val="0"/>
          <w:numId w:val="88"/>
        </w:numPr>
      </w:pPr>
      <w:r>
        <w:rPr>
          <w:rFonts w:ascii="ZWAdobeF" w:hAnsi="ZWAdobeF" w:cs="ZWAdobeF"/>
          <w:sz w:val="2"/>
          <w:szCs w:val="2"/>
        </w:rPr>
        <w:t>179B</w:t>
      </w:r>
      <w:r w:rsidR="00C54D70">
        <w:t>the capacity to coordinate environmental releases with events, such as floods, post</w:t>
      </w:r>
      <w:r w:rsidR="00C54D70">
        <w:noBreakHyphen/>
        <w:t>fire recovery or periods of poor water quality, to maximise ecological benefit while managing system risk</w:t>
      </w:r>
    </w:p>
    <w:p w14:paraId="40138072" w14:textId="3A4FA891" w:rsidR="00C54D70" w:rsidRPr="009262AF" w:rsidRDefault="00382EE8" w:rsidP="00115BD6">
      <w:pPr>
        <w:pStyle w:val="ListParagraph"/>
        <w:numPr>
          <w:ilvl w:val="0"/>
          <w:numId w:val="88"/>
        </w:numPr>
      </w:pPr>
      <w:r>
        <w:rPr>
          <w:rFonts w:ascii="ZWAdobeF" w:hAnsi="ZWAdobeF" w:cs="ZWAdobeF"/>
          <w:sz w:val="2"/>
          <w:szCs w:val="2"/>
        </w:rPr>
        <w:t>180B</w:t>
      </w:r>
      <w:r w:rsidR="00C54D70" w:rsidRPr="009262AF">
        <w:t>robust system of water accounting that manages the transfer of resource across different objectives</w:t>
      </w:r>
      <w:r w:rsidR="00C54D70">
        <w:t xml:space="preserve"> and between years</w:t>
      </w:r>
      <w:r w:rsidR="00C54D70" w:rsidRPr="009262AF">
        <w:t xml:space="preserve">.   </w:t>
      </w:r>
    </w:p>
    <w:p w14:paraId="0818D40A" w14:textId="20ADBC86" w:rsidR="00224236" w:rsidRPr="00EA0E97" w:rsidRDefault="00C54D70" w:rsidP="00224236">
      <w:pPr>
        <w:pStyle w:val="ReviewHeading3"/>
      </w:pPr>
      <w:r>
        <w:t>Establishing the foundations of</w:t>
      </w:r>
      <w:r w:rsidDel="0055524C">
        <w:t xml:space="preserve"> </w:t>
      </w:r>
      <w:r>
        <w:t>adaptive operating arrangements</w:t>
      </w:r>
    </w:p>
    <w:p w14:paraId="14D3247E" w14:textId="54862BEB" w:rsidR="000E21A4" w:rsidRPr="009262AF" w:rsidRDefault="00382EE8" w:rsidP="6332CC80">
      <w:r>
        <w:rPr>
          <w:rFonts w:ascii="ZWAdobeF" w:hAnsi="ZWAdobeF" w:cs="ZWAdobeF"/>
          <w:sz w:val="2"/>
          <w:szCs w:val="2"/>
        </w:rPr>
        <w:t>976B</w:t>
      </w:r>
      <w:r w:rsidR="000E21A4">
        <w:t>The foundations of an adaptive, flexible operating framework include the following key elements</w:t>
      </w:r>
      <w:r w:rsidR="003C2EE7">
        <w:t xml:space="preserve"> </w:t>
      </w:r>
      <w:r w:rsidR="000E21A4">
        <w:t xml:space="preserve">and are foundational recommendations arising from this </w:t>
      </w:r>
      <w:r w:rsidR="2B740D30">
        <w:t>R</w:t>
      </w:r>
      <w:r w:rsidR="000E21A4">
        <w:t>eview.</w:t>
      </w:r>
    </w:p>
    <w:p w14:paraId="1DDA0586" w14:textId="7B01008F" w:rsidR="00C54D70" w:rsidRPr="00EA0E97" w:rsidRDefault="000E21A4" w:rsidP="000E21A4">
      <w:pPr>
        <w:pStyle w:val="Sub-Heading"/>
      </w:pPr>
      <w:r>
        <w:rPr>
          <w:rFonts w:eastAsia="Calibri"/>
        </w:rPr>
        <w:t>Enhanced environmental water planning</w:t>
      </w:r>
    </w:p>
    <w:p w14:paraId="4363DD1D" w14:textId="52B067AD" w:rsidR="009C38FD" w:rsidRDefault="00382EE8" w:rsidP="00115BD6">
      <w:pPr>
        <w:pStyle w:val="ListParagraph"/>
        <w:numPr>
          <w:ilvl w:val="0"/>
          <w:numId w:val="89"/>
        </w:numPr>
      </w:pPr>
      <w:r>
        <w:rPr>
          <w:rFonts w:ascii="ZWAdobeF" w:hAnsi="ZWAdobeF" w:cs="ZWAdobeF"/>
          <w:sz w:val="2"/>
          <w:szCs w:val="2"/>
        </w:rPr>
        <w:t>181B</w:t>
      </w:r>
      <w:r w:rsidR="009C38FD" w:rsidRPr="6A995F2C">
        <w:rPr>
          <w:b/>
        </w:rPr>
        <w:t>Long-term environmental watering strategy</w:t>
      </w:r>
      <w:r w:rsidR="009C38FD">
        <w:t xml:space="preserve"> that:</w:t>
      </w:r>
    </w:p>
    <w:p w14:paraId="692676CD" w14:textId="614C99AD" w:rsidR="009C38FD" w:rsidRPr="009262AF" w:rsidRDefault="00382EE8" w:rsidP="00115BD6">
      <w:pPr>
        <w:pStyle w:val="ListParagraph"/>
        <w:numPr>
          <w:ilvl w:val="1"/>
          <w:numId w:val="89"/>
        </w:numPr>
      </w:pPr>
      <w:r>
        <w:rPr>
          <w:rFonts w:ascii="ZWAdobeF" w:hAnsi="ZWAdobeF" w:cs="ZWAdobeF"/>
          <w:sz w:val="2"/>
          <w:szCs w:val="2"/>
        </w:rPr>
        <w:t>182B</w:t>
      </w:r>
      <w:r w:rsidR="009C38FD">
        <w:t xml:space="preserve">provides </w:t>
      </w:r>
      <w:r w:rsidR="009C38FD" w:rsidRPr="009262AF">
        <w:t>measurable ecological and cultural objectives</w:t>
      </w:r>
    </w:p>
    <w:p w14:paraId="03A88B71" w14:textId="33C680EB" w:rsidR="009C38FD" w:rsidRPr="009262AF" w:rsidRDefault="00382EE8" w:rsidP="00115BD6">
      <w:pPr>
        <w:pStyle w:val="ListParagraph"/>
        <w:numPr>
          <w:ilvl w:val="1"/>
          <w:numId w:val="89"/>
        </w:numPr>
      </w:pPr>
      <w:r>
        <w:rPr>
          <w:rFonts w:ascii="ZWAdobeF" w:hAnsi="ZWAdobeF" w:cs="ZWAdobeF"/>
          <w:sz w:val="2"/>
          <w:szCs w:val="2"/>
        </w:rPr>
        <w:t>183B</w:t>
      </w:r>
      <w:r w:rsidR="009C38FD">
        <w:t>i</w:t>
      </w:r>
      <w:r w:rsidR="009C38FD" w:rsidRPr="009262AF">
        <w:t>ntegrate</w:t>
      </w:r>
      <w:r w:rsidR="009C38FD">
        <w:t>d</w:t>
      </w:r>
      <w:r w:rsidR="009C38FD" w:rsidRPr="009262AF">
        <w:t xml:space="preserve"> environmental flow planning with broader catchment (regional) and Basin</w:t>
      </w:r>
      <w:r w:rsidR="009C38FD" w:rsidRPr="009262AF">
        <w:noBreakHyphen/>
        <w:t>scale objectives, ensuring upstream and downstream outcomes are considered together</w:t>
      </w:r>
      <w:r w:rsidR="00E57A83">
        <w:t>.</w:t>
      </w:r>
    </w:p>
    <w:p w14:paraId="73FA0FEA" w14:textId="41DC1961" w:rsidR="009C38FD" w:rsidRPr="009262AF" w:rsidRDefault="00382EE8" w:rsidP="00115BD6">
      <w:pPr>
        <w:pStyle w:val="ListParagraph"/>
        <w:numPr>
          <w:ilvl w:val="0"/>
          <w:numId w:val="89"/>
        </w:numPr>
      </w:pPr>
      <w:r>
        <w:rPr>
          <w:rFonts w:ascii="ZWAdobeF" w:hAnsi="ZWAdobeF" w:cs="ZWAdobeF"/>
          <w:sz w:val="2"/>
          <w:szCs w:val="2"/>
        </w:rPr>
        <w:t>184B</w:t>
      </w:r>
      <w:r w:rsidR="009C38FD" w:rsidRPr="009262AF">
        <w:t xml:space="preserve">Sophisticated </w:t>
      </w:r>
      <w:r w:rsidR="009C38FD" w:rsidRPr="3ED10C48">
        <w:rPr>
          <w:b/>
        </w:rPr>
        <w:t>planning and decision-support tools</w:t>
      </w:r>
      <w:r w:rsidR="009C38FD" w:rsidRPr="009262AF">
        <w:t xml:space="preserve"> </w:t>
      </w:r>
      <w:r w:rsidR="009C38FD">
        <w:t xml:space="preserve">(modelling capability) </w:t>
      </w:r>
      <w:r w:rsidR="009C38FD" w:rsidRPr="009262AF">
        <w:t xml:space="preserve">are </w:t>
      </w:r>
      <w:r w:rsidR="009C38FD">
        <w:t xml:space="preserve">developed and </w:t>
      </w:r>
      <w:r w:rsidR="009C38FD" w:rsidRPr="009262AF">
        <w:t>used to support scalable planning and operational decision-making to target EWR in near</w:t>
      </w:r>
      <w:r w:rsidR="002B6524">
        <w:t xml:space="preserve"> </w:t>
      </w:r>
      <w:r w:rsidR="009C38FD" w:rsidRPr="009262AF">
        <w:t>real</w:t>
      </w:r>
      <w:r w:rsidR="002B6524">
        <w:t>-</w:t>
      </w:r>
      <w:r w:rsidR="009C38FD" w:rsidRPr="009262AF">
        <w:t>time.</w:t>
      </w:r>
    </w:p>
    <w:p w14:paraId="324723C1" w14:textId="77777777" w:rsidR="00262825" w:rsidRDefault="00262825" w:rsidP="00262825"/>
    <w:p w14:paraId="72FBF47F" w14:textId="77777777" w:rsidR="00262825" w:rsidRDefault="00262825" w:rsidP="00262825"/>
    <w:p w14:paraId="063B9EA7" w14:textId="1B5CBD89" w:rsidR="000E21A4" w:rsidRPr="00EA0E97" w:rsidRDefault="008237EC" w:rsidP="000E21A4">
      <w:pPr>
        <w:pStyle w:val="Sub-Heading"/>
        <w:rPr>
          <w:rFonts w:eastAsia="Calibri"/>
        </w:rPr>
      </w:pPr>
      <w:r w:rsidRPr="3EDF01A8">
        <w:rPr>
          <w:rFonts w:eastAsia="Calibri"/>
        </w:rPr>
        <w:lastRenderedPageBreak/>
        <w:t>Flexible operating arrangements</w:t>
      </w:r>
    </w:p>
    <w:p w14:paraId="5C85227D" w14:textId="52AC94FA" w:rsidR="009927BE" w:rsidRPr="009262AF" w:rsidRDefault="00382EE8" w:rsidP="001A7279">
      <w:r>
        <w:rPr>
          <w:rFonts w:ascii="ZWAdobeF" w:hAnsi="ZWAdobeF" w:cs="ZWAdobeF"/>
          <w:sz w:val="2"/>
          <w:szCs w:val="2"/>
        </w:rPr>
        <w:t>977B</w:t>
      </w:r>
      <w:r w:rsidR="009927BE" w:rsidRPr="009262AF">
        <w:t xml:space="preserve">Establish a formal adaptive operating framework that includes: </w:t>
      </w:r>
    </w:p>
    <w:p w14:paraId="7A8901E7" w14:textId="135C3010" w:rsidR="009927BE" w:rsidRPr="009262AF" w:rsidRDefault="00382EE8" w:rsidP="00115BD6">
      <w:pPr>
        <w:pStyle w:val="ListParagraph"/>
        <w:numPr>
          <w:ilvl w:val="0"/>
          <w:numId w:val="90"/>
        </w:numPr>
      </w:pPr>
      <w:r>
        <w:rPr>
          <w:rFonts w:ascii="ZWAdobeF" w:hAnsi="ZWAdobeF" w:cs="ZWAdobeF"/>
          <w:bCs/>
          <w:sz w:val="2"/>
          <w:szCs w:val="2"/>
        </w:rPr>
        <w:t>185B</w:t>
      </w:r>
      <w:r w:rsidR="025815A8" w:rsidRPr="037ED572">
        <w:rPr>
          <w:b/>
          <w:bCs/>
        </w:rPr>
        <w:t>Environmental water requirements</w:t>
      </w:r>
      <w:r w:rsidR="025815A8">
        <w:t xml:space="preserve"> periodically</w:t>
      </w:r>
      <w:r w:rsidR="3E7E60B2">
        <w:t xml:space="preserve"> </w:t>
      </w:r>
      <w:r w:rsidR="025815A8">
        <w:t xml:space="preserve">reviewed that define the timing, magnitude, inter-annual variability and sequencing of </w:t>
      </w:r>
      <w:r w:rsidR="7FE45AF2">
        <w:t xml:space="preserve">planned and flexible </w:t>
      </w:r>
      <w:r w:rsidR="025815A8">
        <w:t>environmental flows</w:t>
      </w:r>
      <w:r w:rsidR="3705155E">
        <w:t>.</w:t>
      </w:r>
      <w:r w:rsidR="025815A8">
        <w:t xml:space="preserve"> </w:t>
      </w:r>
    </w:p>
    <w:p w14:paraId="751AFBB7" w14:textId="76FE42F9" w:rsidR="009927BE" w:rsidRDefault="00382EE8" w:rsidP="00115BD6">
      <w:pPr>
        <w:pStyle w:val="ListParagraph"/>
        <w:numPr>
          <w:ilvl w:val="0"/>
          <w:numId w:val="90"/>
        </w:numPr>
      </w:pPr>
      <w:r>
        <w:rPr>
          <w:rFonts w:ascii="ZWAdobeF" w:hAnsi="ZWAdobeF" w:cs="ZWAdobeF"/>
          <w:bCs/>
          <w:sz w:val="2"/>
          <w:szCs w:val="2"/>
        </w:rPr>
        <w:t>186B</w:t>
      </w:r>
      <w:r w:rsidR="009927BE" w:rsidRPr="009927BE">
        <w:rPr>
          <w:b/>
          <w:bCs/>
        </w:rPr>
        <w:t>Operations plan</w:t>
      </w:r>
      <w:r w:rsidR="009927BE">
        <w:t xml:space="preserve"> that sets out </w:t>
      </w:r>
      <w:r w:rsidR="009927BE" w:rsidRPr="009262AF">
        <w:t>annual and multi</w:t>
      </w:r>
      <w:r w:rsidR="009927BE" w:rsidRPr="009262AF">
        <w:noBreakHyphen/>
        <w:t xml:space="preserve">year </w:t>
      </w:r>
      <w:r w:rsidR="009927BE">
        <w:t xml:space="preserve">water </w:t>
      </w:r>
      <w:r w:rsidR="009927BE" w:rsidRPr="009262AF">
        <w:t xml:space="preserve">planning that </w:t>
      </w:r>
      <w:r w:rsidR="009927BE">
        <w:t xml:space="preserve">provides the operating envelope for </w:t>
      </w:r>
      <w:r w:rsidR="009927BE" w:rsidRPr="009262AF">
        <w:t>respond</w:t>
      </w:r>
      <w:r w:rsidR="009927BE">
        <w:t>ing to changes in</w:t>
      </w:r>
      <w:r w:rsidR="009927BE" w:rsidRPr="009262AF">
        <w:t xml:space="preserve"> water availability and </w:t>
      </w:r>
      <w:r w:rsidR="009927BE">
        <w:t>environmental</w:t>
      </w:r>
      <w:r w:rsidR="009927BE" w:rsidRPr="009262AF">
        <w:t xml:space="preserve"> condition</w:t>
      </w:r>
      <w:r w:rsidR="009927BE">
        <w:t>s</w:t>
      </w:r>
      <w:r w:rsidR="314ED487">
        <w:t>.</w:t>
      </w:r>
      <w:r w:rsidR="009927BE">
        <w:t xml:space="preserve"> </w:t>
      </w:r>
    </w:p>
    <w:p w14:paraId="2737A4FA" w14:textId="5C424FDA" w:rsidR="009927BE" w:rsidRPr="00085BB3" w:rsidRDefault="00382EE8" w:rsidP="00115BD6">
      <w:pPr>
        <w:pStyle w:val="ListParagraph"/>
        <w:numPr>
          <w:ilvl w:val="0"/>
          <w:numId w:val="90"/>
        </w:numPr>
      </w:pPr>
      <w:r>
        <w:rPr>
          <w:rFonts w:ascii="ZWAdobeF" w:hAnsi="ZWAdobeF" w:cs="ZWAdobeF"/>
          <w:bCs/>
          <w:sz w:val="2"/>
          <w:szCs w:val="2"/>
        </w:rPr>
        <w:t>187B</w:t>
      </w:r>
      <w:r w:rsidR="611BAA14" w:rsidRPr="037ED572">
        <w:rPr>
          <w:b/>
          <w:bCs/>
        </w:rPr>
        <w:t>Delegated e</w:t>
      </w:r>
      <w:r w:rsidR="025815A8" w:rsidRPr="037ED572">
        <w:rPr>
          <w:b/>
          <w:bCs/>
        </w:rPr>
        <w:t xml:space="preserve">nvironmental water manager </w:t>
      </w:r>
      <w:r w:rsidR="04C93899" w:rsidRPr="037ED572">
        <w:rPr>
          <w:b/>
          <w:bCs/>
        </w:rPr>
        <w:t>who has authority</w:t>
      </w:r>
      <w:r w:rsidR="025815A8">
        <w:t xml:space="preserve"> for optimising the delivery of water within the terms of the </w:t>
      </w:r>
      <w:r w:rsidR="003305B0">
        <w:t>L</w:t>
      </w:r>
      <w:r w:rsidR="025815A8">
        <w:t xml:space="preserve">icence taking into account catchment conditions, weather forecasts, snow melt etc. Based on those considerations the manager would request Snowy </w:t>
      </w:r>
      <w:r w:rsidR="2BABD25B">
        <w:t xml:space="preserve">Hydro </w:t>
      </w:r>
      <w:r w:rsidR="025815A8">
        <w:t>to make an environmental release.</w:t>
      </w:r>
    </w:p>
    <w:p w14:paraId="1CC0CA49" w14:textId="477485EA" w:rsidR="009927BE" w:rsidRPr="009262AF" w:rsidRDefault="00382EE8" w:rsidP="00115BD6">
      <w:pPr>
        <w:pStyle w:val="ListParagraph"/>
        <w:numPr>
          <w:ilvl w:val="0"/>
          <w:numId w:val="90"/>
        </w:numPr>
      </w:pPr>
      <w:r>
        <w:rPr>
          <w:rFonts w:ascii="ZWAdobeF" w:hAnsi="ZWAdobeF" w:cs="ZWAdobeF"/>
          <w:bCs/>
          <w:sz w:val="2"/>
          <w:szCs w:val="2"/>
        </w:rPr>
        <w:t>188B</w:t>
      </w:r>
      <w:r w:rsidR="009927BE" w:rsidRPr="009927BE">
        <w:rPr>
          <w:b/>
          <w:bCs/>
        </w:rPr>
        <w:t>Water accounting framework</w:t>
      </w:r>
      <w:r w:rsidR="009927BE">
        <w:t xml:space="preserve"> </w:t>
      </w:r>
      <w:r w:rsidR="009927BE" w:rsidRPr="00EA6D30">
        <w:t xml:space="preserve">that </w:t>
      </w:r>
      <w:r w:rsidR="009927BE">
        <w:t>establishes inter-annual water use (carryover), addresses sharing of spill risk and that gives effect to the flexible operations i.e. deferral/repay of environmental water deliveries</w:t>
      </w:r>
      <w:r w:rsidR="4285F858">
        <w:t>.</w:t>
      </w:r>
    </w:p>
    <w:p w14:paraId="2B1D2697" w14:textId="0A10F430" w:rsidR="009927BE" w:rsidRPr="009262AF" w:rsidRDefault="00382EE8" w:rsidP="00115BD6">
      <w:pPr>
        <w:pStyle w:val="ListParagraph"/>
        <w:numPr>
          <w:ilvl w:val="0"/>
          <w:numId w:val="90"/>
        </w:numPr>
      </w:pPr>
      <w:r>
        <w:rPr>
          <w:rFonts w:ascii="ZWAdobeF" w:hAnsi="ZWAdobeF" w:cs="ZWAdobeF"/>
          <w:bCs/>
          <w:sz w:val="2"/>
          <w:szCs w:val="2"/>
        </w:rPr>
        <w:t>189B</w:t>
      </w:r>
      <w:r w:rsidR="009927BE" w:rsidRPr="009927BE">
        <w:rPr>
          <w:b/>
          <w:bCs/>
        </w:rPr>
        <w:t>Process for operational decision</w:t>
      </w:r>
      <w:r w:rsidR="009927BE">
        <w:noBreakHyphen/>
      </w:r>
      <w:r w:rsidR="009927BE" w:rsidRPr="009927BE">
        <w:rPr>
          <w:b/>
          <w:bCs/>
        </w:rPr>
        <w:t>making</w:t>
      </w:r>
      <w:r w:rsidR="009927BE" w:rsidRPr="009262AF">
        <w:t xml:space="preserve"> in near</w:t>
      </w:r>
      <w:r w:rsidR="001E2747">
        <w:t xml:space="preserve"> </w:t>
      </w:r>
      <w:r w:rsidR="009927BE" w:rsidRPr="009262AF">
        <w:t>real</w:t>
      </w:r>
      <w:r w:rsidR="001E2747">
        <w:t>-</w:t>
      </w:r>
      <w:r w:rsidR="009927BE" w:rsidRPr="009262AF">
        <w:t>time to allow releases to be aligned with natural inflow events, ecological opportunity and system conditions</w:t>
      </w:r>
      <w:r w:rsidR="15498076">
        <w:t>.</w:t>
      </w:r>
    </w:p>
    <w:p w14:paraId="185E410E" w14:textId="73511EA1" w:rsidR="009927BE" w:rsidRPr="009262AF" w:rsidRDefault="00382EE8" w:rsidP="00115BD6">
      <w:pPr>
        <w:pStyle w:val="ListParagraph"/>
        <w:numPr>
          <w:ilvl w:val="0"/>
          <w:numId w:val="90"/>
        </w:numPr>
      </w:pPr>
      <w:r>
        <w:rPr>
          <w:rFonts w:ascii="ZWAdobeF" w:hAnsi="ZWAdobeF" w:cs="ZWAdobeF"/>
          <w:bCs/>
          <w:sz w:val="2"/>
          <w:szCs w:val="2"/>
        </w:rPr>
        <w:t>190B</w:t>
      </w:r>
      <w:r w:rsidR="009927BE" w:rsidRPr="009927BE">
        <w:rPr>
          <w:b/>
          <w:bCs/>
        </w:rPr>
        <w:t>Flexibility criteria</w:t>
      </w:r>
      <w:r w:rsidR="009927BE">
        <w:t xml:space="preserve"> define the decision parameters for exercising flexibility in response to</w:t>
      </w:r>
      <w:r w:rsidR="009927BE" w:rsidRPr="009262AF">
        <w:t xml:space="preserve"> critical water </w:t>
      </w:r>
      <w:r w:rsidR="009927BE">
        <w:t>or</w:t>
      </w:r>
      <w:r w:rsidR="009927BE" w:rsidRPr="009262AF">
        <w:t xml:space="preserve"> energy market events</w:t>
      </w:r>
      <w:r w:rsidR="00920E75">
        <w:t xml:space="preserve">, these establishing an operating envelope </w:t>
      </w:r>
      <w:r w:rsidR="00D73195">
        <w:t xml:space="preserve">for </w:t>
      </w:r>
      <w:r w:rsidR="00CA30D4">
        <w:t xml:space="preserve">the adaptive </w:t>
      </w:r>
      <w:r w:rsidR="00CB011A">
        <w:t>arrangements</w:t>
      </w:r>
      <w:r w:rsidR="009927BE" w:rsidRPr="009262AF">
        <w:t xml:space="preserve">. </w:t>
      </w:r>
    </w:p>
    <w:p w14:paraId="72F27386" w14:textId="3B883474" w:rsidR="009927BE" w:rsidRDefault="00382EE8" w:rsidP="001A7279">
      <w:pPr>
        <w:ind w:left="360"/>
      </w:pPr>
      <w:r>
        <w:rPr>
          <w:rFonts w:ascii="ZWAdobeF" w:hAnsi="ZWAdobeF" w:cs="ZWAdobeF"/>
          <w:sz w:val="2"/>
          <w:szCs w:val="2"/>
        </w:rPr>
        <w:t>978B</w:t>
      </w:r>
      <w:r w:rsidR="009927BE">
        <w:t>The process for operational decision-making:</w:t>
      </w:r>
    </w:p>
    <w:p w14:paraId="5A46D9C8" w14:textId="1E2CE635" w:rsidR="009927BE" w:rsidRDefault="00382EE8" w:rsidP="00115BD6">
      <w:pPr>
        <w:pStyle w:val="ListParagraph"/>
        <w:numPr>
          <w:ilvl w:val="0"/>
          <w:numId w:val="90"/>
        </w:numPr>
      </w:pPr>
      <w:r>
        <w:rPr>
          <w:rFonts w:ascii="ZWAdobeF" w:hAnsi="ZWAdobeF" w:cs="ZWAdobeF"/>
          <w:sz w:val="2"/>
          <w:szCs w:val="2"/>
        </w:rPr>
        <w:t>191B</w:t>
      </w:r>
      <w:r w:rsidR="009927BE">
        <w:t xml:space="preserve">The Deed should set out the operating envelope </w:t>
      </w:r>
      <w:r w:rsidR="00D13BE0">
        <w:t xml:space="preserve">and flexibility criteria </w:t>
      </w:r>
      <w:r w:rsidR="009927BE">
        <w:t>for adaptive operations, in response to natural climate cues, environmental conditions</w:t>
      </w:r>
      <w:r w:rsidR="00385386">
        <w:t xml:space="preserve">, </w:t>
      </w:r>
      <w:r w:rsidR="009927BE">
        <w:t>water availability</w:t>
      </w:r>
      <w:r w:rsidR="00385386">
        <w:t xml:space="preserve"> and </w:t>
      </w:r>
      <w:r w:rsidR="009B6D8E">
        <w:t xml:space="preserve">critical </w:t>
      </w:r>
      <w:r w:rsidR="00385386">
        <w:t xml:space="preserve">energy market </w:t>
      </w:r>
      <w:r w:rsidR="009B6D8E">
        <w:t>risks</w:t>
      </w:r>
      <w:r w:rsidR="2DC957F3">
        <w:t>.</w:t>
      </w:r>
    </w:p>
    <w:p w14:paraId="6B1DC278" w14:textId="4EB5593A" w:rsidR="009927BE" w:rsidRDefault="00382EE8" w:rsidP="00115BD6">
      <w:pPr>
        <w:pStyle w:val="ListParagraph"/>
        <w:numPr>
          <w:ilvl w:val="0"/>
          <w:numId w:val="90"/>
        </w:numPr>
      </w:pPr>
      <w:r>
        <w:rPr>
          <w:rFonts w:ascii="ZWAdobeF" w:hAnsi="ZWAdobeF" w:cs="ZWAdobeF"/>
          <w:sz w:val="2"/>
          <w:szCs w:val="2"/>
        </w:rPr>
        <w:t>192B</w:t>
      </w:r>
      <w:r w:rsidR="009927BE">
        <w:t xml:space="preserve">The Snowy Water Licence would need to enable flexibility for </w:t>
      </w:r>
      <w:r w:rsidR="006D60FF">
        <w:t xml:space="preserve">the </w:t>
      </w:r>
      <w:r w:rsidR="009927BE">
        <w:t xml:space="preserve">Snowy Scheme and environmental water manager to </w:t>
      </w:r>
      <w:r w:rsidR="00FA630E">
        <w:t xml:space="preserve">coordinate </w:t>
      </w:r>
      <w:r w:rsidR="009927BE">
        <w:t xml:space="preserve">within the scope of the Operational Plan, including exercising the </w:t>
      </w:r>
      <w:r w:rsidR="77BA90C4">
        <w:t>f</w:t>
      </w:r>
      <w:r w:rsidR="009927BE">
        <w:t xml:space="preserve">lexibility </w:t>
      </w:r>
      <w:r w:rsidR="535717A3">
        <w:t>c</w:t>
      </w:r>
      <w:r w:rsidR="009927BE">
        <w:t xml:space="preserve">riteria as required with minimal administrative procedure. </w:t>
      </w:r>
    </w:p>
    <w:p w14:paraId="6FBA5640" w14:textId="77DC04E9" w:rsidR="009927BE" w:rsidRDefault="00382EE8" w:rsidP="00115BD6">
      <w:pPr>
        <w:pStyle w:val="ListParagraph"/>
        <w:numPr>
          <w:ilvl w:val="0"/>
          <w:numId w:val="90"/>
        </w:numPr>
      </w:pPr>
      <w:r>
        <w:rPr>
          <w:rFonts w:ascii="ZWAdobeF" w:hAnsi="ZWAdobeF" w:cs="ZWAdobeF"/>
          <w:sz w:val="2"/>
          <w:szCs w:val="2"/>
        </w:rPr>
        <w:t>193B</w:t>
      </w:r>
      <w:r w:rsidR="009927BE">
        <w:t xml:space="preserve">The Operations Plan is developed </w:t>
      </w:r>
      <w:r w:rsidR="3E71F03C">
        <w:t xml:space="preserve">as part of the AWOP </w:t>
      </w:r>
      <w:r w:rsidR="009927BE">
        <w:t>in consultation with the Snowy Advisory Committee</w:t>
      </w:r>
      <w:r w:rsidR="16991CDD">
        <w:t>, WCLC, STAG,</w:t>
      </w:r>
      <w:r w:rsidR="009927BE">
        <w:t xml:space="preserve"> and </w:t>
      </w:r>
      <w:r w:rsidR="16991CDD">
        <w:t>CP</w:t>
      </w:r>
      <w:r w:rsidR="0084118D">
        <w:t>H</w:t>
      </w:r>
      <w:r w:rsidR="16991CDD">
        <w:t>R</w:t>
      </w:r>
      <w:r w:rsidR="009927BE">
        <w:t xml:space="preserve"> </w:t>
      </w:r>
      <w:r w:rsidR="3232D784">
        <w:t xml:space="preserve">with advice from </w:t>
      </w:r>
      <w:r w:rsidR="00C41BEC">
        <w:t>Snowy Hydro</w:t>
      </w:r>
      <w:r w:rsidR="00FA630E">
        <w:t>,</w:t>
      </w:r>
      <w:r w:rsidR="009927BE">
        <w:t xml:space="preserve"> and </w:t>
      </w:r>
      <w:r w:rsidR="74541DD8">
        <w:t>approved</w:t>
      </w:r>
      <w:r w:rsidR="009927BE">
        <w:t xml:space="preserve"> by the NSW Water Administration Ministerial Corporation.</w:t>
      </w:r>
    </w:p>
    <w:p w14:paraId="5A8BBB60" w14:textId="5AB89FEC" w:rsidR="009927BE" w:rsidRDefault="00382EE8" w:rsidP="00115BD6">
      <w:pPr>
        <w:pStyle w:val="ListParagraph"/>
        <w:numPr>
          <w:ilvl w:val="0"/>
          <w:numId w:val="90"/>
        </w:numPr>
      </w:pPr>
      <w:r>
        <w:rPr>
          <w:rFonts w:ascii="ZWAdobeF" w:hAnsi="ZWAdobeF" w:cs="ZWAdobeF"/>
          <w:sz w:val="2"/>
          <w:szCs w:val="2"/>
        </w:rPr>
        <w:t>194B</w:t>
      </w:r>
      <w:r w:rsidR="009927BE">
        <w:t>Operational authority to implement the Operational Plan should reside with appropriate operational staff</w:t>
      </w:r>
      <w:r w:rsidR="006D60FF">
        <w:t xml:space="preserve"> (</w:t>
      </w:r>
      <w:r w:rsidR="009B6D8E">
        <w:t>Snowy Hydro</w:t>
      </w:r>
      <w:r w:rsidR="00E3123D">
        <w:t xml:space="preserve"> and </w:t>
      </w:r>
      <w:r w:rsidR="6A152870">
        <w:t>WAMC delegated decision maker,</w:t>
      </w:r>
      <w:r w:rsidR="004348D5">
        <w:t xml:space="preserve"> </w:t>
      </w:r>
      <w:r w:rsidR="371743C8">
        <w:t>who is</w:t>
      </w:r>
      <w:r w:rsidR="6A152870">
        <w:t xml:space="preserve"> an </w:t>
      </w:r>
      <w:r w:rsidR="00E3123D">
        <w:t>environmental water manager)</w:t>
      </w:r>
      <w:r w:rsidR="009927BE">
        <w:t xml:space="preserve">, with mechanisms for risk management and escalation if required to </w:t>
      </w:r>
      <w:r w:rsidR="2876546B">
        <w:t>a WAMC approved sta</w:t>
      </w:r>
      <w:r w:rsidR="009927BE">
        <w:t>t</w:t>
      </w:r>
      <w:r w:rsidR="2876546B">
        <w:t xml:space="preserve">utory </w:t>
      </w:r>
      <w:r w:rsidR="31A8FFEF">
        <w:t>p</w:t>
      </w:r>
      <w:r w:rsidR="3C2E0735">
        <w:t>os</w:t>
      </w:r>
      <w:r w:rsidR="31A8FFEF">
        <w:t>ition of</w:t>
      </w:r>
      <w:r w:rsidR="2876546B">
        <w:t xml:space="preserve"> Snowy Water Commissioner, </w:t>
      </w:r>
      <w:r w:rsidR="009927BE">
        <w:t>to enable highly responsive operational decision-making on emerging critical events.</w:t>
      </w:r>
      <w:r w:rsidR="3B2588B1">
        <w:t xml:space="preserve">  A WAMC delegated adaptive flow decision maker is necessary to ensure </w:t>
      </w:r>
      <w:r w:rsidR="03EC35BF">
        <w:t>ti</w:t>
      </w:r>
      <w:r w:rsidR="6787F8A9">
        <w:t>m</w:t>
      </w:r>
      <w:r w:rsidR="03EC35BF">
        <w:t>ely</w:t>
      </w:r>
      <w:r w:rsidR="3B2588B1">
        <w:t xml:space="preserve"> decisions </w:t>
      </w:r>
      <w:r w:rsidR="00201366">
        <w:t>because</w:t>
      </w:r>
      <w:r w:rsidR="3B2588B1">
        <w:t xml:space="preserve"> </w:t>
      </w:r>
      <w:r w:rsidR="004D04BA">
        <w:t>approval of</w:t>
      </w:r>
      <w:r w:rsidR="3B2588B1">
        <w:t xml:space="preserve"> each adaptive flow </w:t>
      </w:r>
      <w:r w:rsidR="004D04BA">
        <w:t xml:space="preserve">by WAMC </w:t>
      </w:r>
      <w:r w:rsidR="3B2588B1">
        <w:t>will be too time consuming.</w:t>
      </w:r>
    </w:p>
    <w:p w14:paraId="3DA041E5" w14:textId="6B2738BD" w:rsidR="009927BE" w:rsidRDefault="00382EE8" w:rsidP="00115BD6">
      <w:pPr>
        <w:pStyle w:val="ListParagraph"/>
        <w:numPr>
          <w:ilvl w:val="0"/>
          <w:numId w:val="90"/>
        </w:numPr>
      </w:pPr>
      <w:r>
        <w:rPr>
          <w:rFonts w:ascii="ZWAdobeF" w:hAnsi="ZWAdobeF" w:cs="ZWAdobeF"/>
          <w:sz w:val="2"/>
          <w:szCs w:val="2"/>
        </w:rPr>
        <w:t>195B</w:t>
      </w:r>
      <w:r w:rsidR="009927BE" w:rsidRPr="009262AF">
        <w:t xml:space="preserve">Water managers of the Snowy Scheme maintain full flexibility for the management of the water resources within the Scheme’s storage and are accountable for </w:t>
      </w:r>
      <w:r w:rsidR="009927BE">
        <w:t xml:space="preserve">delivering on the Operating Plan, unless otherwise directed to avoid </w:t>
      </w:r>
      <w:r w:rsidR="000D7407">
        <w:t xml:space="preserve">impacting </w:t>
      </w:r>
      <w:r w:rsidR="009927BE">
        <w:t xml:space="preserve">their </w:t>
      </w:r>
      <w:r w:rsidR="000D7407">
        <w:t xml:space="preserve">important </w:t>
      </w:r>
      <w:r w:rsidR="009927BE">
        <w:t xml:space="preserve">role in the NEM. Snowy Hydro may defer a release if </w:t>
      </w:r>
      <w:r w:rsidR="005E2CC6">
        <w:t>deemed</w:t>
      </w:r>
      <w:r w:rsidR="009927BE">
        <w:t xml:space="preserve"> necessary with </w:t>
      </w:r>
      <w:r w:rsidR="005E2CC6">
        <w:t>consideration of</w:t>
      </w:r>
      <w:r w:rsidR="009927BE">
        <w:t>:</w:t>
      </w:r>
    </w:p>
    <w:p w14:paraId="480CB6DF" w14:textId="7EE67BC5" w:rsidR="009927BE" w:rsidRPr="007E49B6" w:rsidRDefault="00382EE8" w:rsidP="00115BD6">
      <w:pPr>
        <w:pStyle w:val="ListParagraph"/>
        <w:numPr>
          <w:ilvl w:val="1"/>
          <w:numId w:val="90"/>
        </w:numPr>
      </w:pPr>
      <w:r>
        <w:rPr>
          <w:rFonts w:ascii="ZWAdobeF" w:hAnsi="ZWAdobeF" w:cs="ZWAdobeF"/>
          <w:sz w:val="2"/>
          <w:szCs w:val="2"/>
        </w:rPr>
        <w:t>196B</w:t>
      </w:r>
      <w:r w:rsidR="009927BE" w:rsidRPr="007E49B6">
        <w:t xml:space="preserve">the terms of the licence </w:t>
      </w:r>
    </w:p>
    <w:p w14:paraId="2AD06A32" w14:textId="00ACC3F7" w:rsidR="009927BE" w:rsidRPr="007E49B6" w:rsidRDefault="00382EE8" w:rsidP="00115BD6">
      <w:pPr>
        <w:pStyle w:val="ListParagraph"/>
        <w:numPr>
          <w:ilvl w:val="1"/>
          <w:numId w:val="90"/>
        </w:numPr>
      </w:pPr>
      <w:r>
        <w:rPr>
          <w:rFonts w:ascii="ZWAdobeF" w:hAnsi="ZWAdobeF" w:cs="ZWAdobeF"/>
          <w:sz w:val="2"/>
          <w:szCs w:val="2"/>
        </w:rPr>
        <w:lastRenderedPageBreak/>
        <w:t>197B</w:t>
      </w:r>
      <w:r w:rsidR="009927BE">
        <w:t>energy market information from the NEM systems including pre-dispatch, the current short</w:t>
      </w:r>
      <w:r w:rsidR="2A18FC88">
        <w:t>-</w:t>
      </w:r>
      <w:r w:rsidR="009927BE">
        <w:t>term projected assessment of system adequacy and most recent medium</w:t>
      </w:r>
      <w:r w:rsidR="5A00847F">
        <w:t>-</w:t>
      </w:r>
      <w:r w:rsidR="009927BE">
        <w:t xml:space="preserve">term projected assessment of system adequacy </w:t>
      </w:r>
    </w:p>
    <w:p w14:paraId="1886CA32" w14:textId="4FF4E2C7" w:rsidR="009927BE" w:rsidRPr="007E49B6" w:rsidRDefault="00382EE8" w:rsidP="00115BD6">
      <w:pPr>
        <w:pStyle w:val="ListParagraph"/>
        <w:numPr>
          <w:ilvl w:val="1"/>
          <w:numId w:val="90"/>
        </w:numPr>
      </w:pPr>
      <w:r>
        <w:rPr>
          <w:rFonts w:ascii="ZWAdobeF" w:hAnsi="ZWAdobeF" w:cs="ZWAdobeF"/>
          <w:sz w:val="2"/>
          <w:szCs w:val="2"/>
        </w:rPr>
        <w:t>198B</w:t>
      </w:r>
      <w:r w:rsidR="40B3027B">
        <w:t>c</w:t>
      </w:r>
      <w:r w:rsidR="009927BE">
        <w:t>onditions</w:t>
      </w:r>
      <w:r w:rsidR="009927BE" w:rsidRPr="007E49B6">
        <w:t xml:space="preserve"> within the </w:t>
      </w:r>
      <w:r w:rsidR="1302666D">
        <w:t>S</w:t>
      </w:r>
      <w:r w:rsidR="009927BE">
        <w:t>cheme</w:t>
      </w:r>
      <w:r w:rsidR="009927BE" w:rsidRPr="007E49B6">
        <w:t xml:space="preserve"> including plant availability, weather forecasts, snow depth, water level in Tantangara</w:t>
      </w:r>
      <w:r w:rsidR="2192F471">
        <w:t xml:space="preserve"> Dam</w:t>
      </w:r>
    </w:p>
    <w:p w14:paraId="0607A554" w14:textId="19D3085F" w:rsidR="009927BE" w:rsidRDefault="00382EE8" w:rsidP="00115BD6">
      <w:pPr>
        <w:pStyle w:val="ListParagraph"/>
        <w:numPr>
          <w:ilvl w:val="1"/>
          <w:numId w:val="90"/>
        </w:numPr>
      </w:pPr>
      <w:r>
        <w:rPr>
          <w:rFonts w:ascii="ZWAdobeF" w:hAnsi="ZWAdobeF" w:cs="ZWAdobeF"/>
          <w:sz w:val="2"/>
          <w:szCs w:val="2"/>
        </w:rPr>
        <w:t>199B</w:t>
      </w:r>
      <w:r w:rsidR="2192F471">
        <w:t>a</w:t>
      </w:r>
      <w:r w:rsidR="009927BE">
        <w:t>ny directions from AEMO.</w:t>
      </w:r>
    </w:p>
    <w:p w14:paraId="2E0D2AD6" w14:textId="53EF2E60" w:rsidR="009927BE" w:rsidRDefault="00382EE8" w:rsidP="00115BD6">
      <w:pPr>
        <w:pStyle w:val="ListParagraph"/>
        <w:numPr>
          <w:ilvl w:val="0"/>
          <w:numId w:val="90"/>
        </w:numPr>
      </w:pPr>
      <w:r>
        <w:rPr>
          <w:rFonts w:ascii="ZWAdobeF" w:hAnsi="ZWAdobeF" w:cs="ZWAdobeF"/>
          <w:sz w:val="2"/>
          <w:szCs w:val="2"/>
        </w:rPr>
        <w:t>200B</w:t>
      </w:r>
      <w:r w:rsidR="009927BE">
        <w:t xml:space="preserve">Flexibility that exceeds the scope of the Operating Plan is subject to formal direction </w:t>
      </w:r>
      <w:r w:rsidR="1D125528">
        <w:t>by the WAMC</w:t>
      </w:r>
      <w:r w:rsidR="009927BE">
        <w:t xml:space="preserve"> </w:t>
      </w:r>
      <w:r w:rsidR="00333EDD">
        <w:t>o</w:t>
      </w:r>
      <w:r w:rsidR="009927BE">
        <w:t xml:space="preserve">r </w:t>
      </w:r>
      <w:r w:rsidR="61AC4F7B">
        <w:t>statutory commissioner with authority for</w:t>
      </w:r>
      <w:r w:rsidR="61AC4F7B" w:rsidDel="005A5D24">
        <w:t xml:space="preserve"> </w:t>
      </w:r>
      <w:r w:rsidR="51E2E071">
        <w:t>dispute resolution</w:t>
      </w:r>
      <w:r w:rsidR="161145E1">
        <w:t>.</w:t>
      </w:r>
    </w:p>
    <w:p w14:paraId="1E348A7A" w14:textId="3632BFA7" w:rsidR="00BE6F64" w:rsidRPr="00F246A4" w:rsidRDefault="00382EE8" w:rsidP="00F246A4">
      <w:pPr>
        <w:spacing w:after="0" w:line="300" w:lineRule="atLeast"/>
        <w:rPr>
          <w:rFonts w:eastAsia="Times New Roman" w:cs="Segoe UI"/>
          <w:kern w:val="0"/>
          <w:szCs w:val="22"/>
          <w:lang w:eastAsia="en-AU"/>
          <w14:ligatures w14:val="none"/>
        </w:rPr>
      </w:pPr>
      <w:r>
        <w:rPr>
          <w:rFonts w:ascii="ZWAdobeF" w:eastAsia="Times New Roman" w:hAnsi="ZWAdobeF" w:cs="ZWAdobeF"/>
          <w:kern w:val="0"/>
          <w:sz w:val="2"/>
          <w:szCs w:val="2"/>
          <w:lang w:eastAsia="en-AU"/>
          <w14:ligatures w14:val="none"/>
        </w:rPr>
        <w:t>979B</w:t>
      </w:r>
      <w:r w:rsidR="00BE6F64" w:rsidRPr="00F246A4">
        <w:rPr>
          <w:rFonts w:eastAsia="Times New Roman" w:cs="Segoe UI"/>
          <w:kern w:val="0"/>
          <w:szCs w:val="22"/>
          <w:lang w:eastAsia="en-AU"/>
          <w14:ligatures w14:val="none"/>
        </w:rPr>
        <w:t>The Panel considers that these flexible arrangements should be formally established to ensure the intended outcomes are achieved. However, conflicts or the need for dispute resolution are expected to be infrequent.</w:t>
      </w:r>
    </w:p>
    <w:p w14:paraId="5EE6B1FC" w14:textId="4F0A3E39" w:rsidR="00823F8B" w:rsidRDefault="00823F8B" w:rsidP="00823F8B">
      <w:pPr>
        <w:pStyle w:val="Sub-Heading"/>
        <w:rPr>
          <w:rFonts w:eastAsia="Calibri"/>
        </w:rPr>
      </w:pPr>
      <w:r>
        <w:rPr>
          <w:rFonts w:eastAsia="Calibri"/>
        </w:rPr>
        <w:t>Monitoring</w:t>
      </w:r>
      <w:r w:rsidR="00DA700E">
        <w:rPr>
          <w:rFonts w:eastAsia="Calibri"/>
        </w:rPr>
        <w:t>, evaluation and improvement</w:t>
      </w:r>
    </w:p>
    <w:p w14:paraId="216642DE" w14:textId="5B21AE90" w:rsidR="005A5FE7" w:rsidRDefault="00382EE8" w:rsidP="00115BD6">
      <w:pPr>
        <w:pStyle w:val="ListParagraph"/>
        <w:numPr>
          <w:ilvl w:val="0"/>
          <w:numId w:val="91"/>
        </w:numPr>
      </w:pPr>
      <w:r>
        <w:rPr>
          <w:rFonts w:ascii="ZWAdobeF" w:hAnsi="ZWAdobeF" w:cs="ZWAdobeF"/>
          <w:sz w:val="2"/>
          <w:szCs w:val="2"/>
        </w:rPr>
        <w:t>201B</w:t>
      </w:r>
      <w:r w:rsidR="005A5FE7">
        <w:t>Establish robust monitoring, evaluation and reporting (MER) framework directly linked to management decisions and continuous improvement</w:t>
      </w:r>
      <w:r w:rsidR="005B67E7">
        <w:t>:</w:t>
      </w:r>
      <w:r w:rsidR="005A5FE7">
        <w:t xml:space="preserve"> </w:t>
      </w:r>
    </w:p>
    <w:p w14:paraId="6B1FF38C" w14:textId="23284667" w:rsidR="005A5FE7" w:rsidRDefault="00382EE8" w:rsidP="00115BD6">
      <w:pPr>
        <w:pStyle w:val="ListParagraph"/>
        <w:numPr>
          <w:ilvl w:val="1"/>
          <w:numId w:val="91"/>
        </w:numPr>
      </w:pPr>
      <w:r>
        <w:rPr>
          <w:rFonts w:ascii="ZWAdobeF" w:hAnsi="ZWAdobeF" w:cs="ZWAdobeF"/>
          <w:sz w:val="2"/>
          <w:szCs w:val="2"/>
        </w:rPr>
        <w:t>202B</w:t>
      </w:r>
      <w:r w:rsidR="005B67E7">
        <w:t>t</w:t>
      </w:r>
      <w:r w:rsidR="005A5FE7">
        <w:t>he monitoring program requires coordination across the ACT, NSW and Victoria and integrated with downstream monitoring in the Murray-Daling Basin Southern Connected Basin.</w:t>
      </w:r>
    </w:p>
    <w:p w14:paraId="43CF24D7" w14:textId="7037AE58" w:rsidR="005A5FE7" w:rsidRPr="009262AF" w:rsidRDefault="00382EE8" w:rsidP="00115BD6">
      <w:pPr>
        <w:pStyle w:val="ListParagraph"/>
        <w:numPr>
          <w:ilvl w:val="1"/>
          <w:numId w:val="91"/>
        </w:numPr>
      </w:pPr>
      <w:r>
        <w:rPr>
          <w:rFonts w:ascii="ZWAdobeF" w:hAnsi="ZWAdobeF" w:cs="ZWAdobeF"/>
          <w:sz w:val="2"/>
          <w:szCs w:val="2"/>
        </w:rPr>
        <w:t>203B</w:t>
      </w:r>
      <w:r w:rsidR="005B67E7">
        <w:t>e</w:t>
      </w:r>
      <w:r w:rsidR="005A5FE7">
        <w:t xml:space="preserve">xtension of the FlowMER program delivered by the Commonwealth Environmental Water Holder (CEWH) </w:t>
      </w:r>
      <w:r w:rsidR="001C3BA8">
        <w:t xml:space="preserve">or similar program coordinated by the MDBA </w:t>
      </w:r>
      <w:r w:rsidR="005A5FE7">
        <w:t xml:space="preserve">provides intergovernmental coordination and the appropriate geographical scale of implementation. </w:t>
      </w:r>
    </w:p>
    <w:p w14:paraId="7CC523FE" w14:textId="7FEE336C" w:rsidR="005A5FE7" w:rsidRPr="009262AF" w:rsidRDefault="00382EE8" w:rsidP="00115BD6">
      <w:pPr>
        <w:pStyle w:val="ListParagraph"/>
        <w:numPr>
          <w:ilvl w:val="0"/>
          <w:numId w:val="91"/>
        </w:numPr>
      </w:pPr>
      <w:r>
        <w:rPr>
          <w:rFonts w:ascii="ZWAdobeF" w:hAnsi="ZWAdobeF" w:cs="ZWAdobeF"/>
          <w:sz w:val="2"/>
          <w:szCs w:val="2"/>
        </w:rPr>
        <w:t>204B</w:t>
      </w:r>
      <w:r w:rsidR="005A5FE7" w:rsidRPr="009262AF">
        <w:t xml:space="preserve">Monitoring should assess: </w:t>
      </w:r>
    </w:p>
    <w:p w14:paraId="3202C9F3" w14:textId="18012B7E" w:rsidR="005A5FE7" w:rsidRPr="009262AF" w:rsidRDefault="00382EE8" w:rsidP="00115BD6">
      <w:pPr>
        <w:pStyle w:val="ListParagraph"/>
        <w:numPr>
          <w:ilvl w:val="1"/>
          <w:numId w:val="91"/>
        </w:numPr>
      </w:pPr>
      <w:r>
        <w:rPr>
          <w:rFonts w:ascii="ZWAdobeF" w:hAnsi="ZWAdobeF" w:cs="ZWAdobeF"/>
          <w:sz w:val="2"/>
          <w:szCs w:val="2"/>
        </w:rPr>
        <w:t>205B</w:t>
      </w:r>
      <w:r w:rsidR="005A5FE7" w:rsidRPr="009262AF">
        <w:t xml:space="preserve">achievement of </w:t>
      </w:r>
      <w:r w:rsidR="005A5FE7">
        <w:t>EWRs</w:t>
      </w:r>
    </w:p>
    <w:p w14:paraId="300A40BA" w14:textId="0B42AD5B" w:rsidR="005A5FE7" w:rsidRPr="009262AF" w:rsidRDefault="00382EE8" w:rsidP="00115BD6">
      <w:pPr>
        <w:pStyle w:val="ListParagraph"/>
        <w:numPr>
          <w:ilvl w:val="1"/>
          <w:numId w:val="91"/>
        </w:numPr>
      </w:pPr>
      <w:r>
        <w:rPr>
          <w:rFonts w:ascii="ZWAdobeF" w:hAnsi="ZWAdobeF" w:cs="ZWAdobeF"/>
          <w:sz w:val="2"/>
          <w:szCs w:val="2"/>
        </w:rPr>
        <w:t>206B</w:t>
      </w:r>
      <w:r w:rsidR="005A5FE7" w:rsidRPr="009262AF">
        <w:t>ecological responses, including habitat condition, connectivity and threatened species</w:t>
      </w:r>
    </w:p>
    <w:p w14:paraId="1461E40F" w14:textId="484146B7" w:rsidR="005A5FE7" w:rsidRDefault="00382EE8" w:rsidP="00115BD6">
      <w:pPr>
        <w:pStyle w:val="ListParagraph"/>
        <w:numPr>
          <w:ilvl w:val="1"/>
          <w:numId w:val="91"/>
        </w:numPr>
      </w:pPr>
      <w:r>
        <w:rPr>
          <w:rFonts w:ascii="ZWAdobeF" w:hAnsi="ZWAdobeF" w:cs="ZWAdobeF"/>
          <w:sz w:val="2"/>
          <w:szCs w:val="2"/>
        </w:rPr>
        <w:t>207B</w:t>
      </w:r>
      <w:r w:rsidR="005A5FE7" w:rsidRPr="009262AF">
        <w:t>effectiveness of different flow components under varying climatic conditions.</w:t>
      </w:r>
    </w:p>
    <w:p w14:paraId="0A76C7AE" w14:textId="08A8A151" w:rsidR="005A5FE7" w:rsidRDefault="00382EE8" w:rsidP="00115BD6">
      <w:pPr>
        <w:pStyle w:val="ListParagraph"/>
        <w:numPr>
          <w:ilvl w:val="0"/>
          <w:numId w:val="91"/>
        </w:numPr>
      </w:pPr>
      <w:r>
        <w:rPr>
          <w:rFonts w:ascii="ZWAdobeF" w:hAnsi="ZWAdobeF" w:cs="ZWAdobeF"/>
          <w:sz w:val="2"/>
          <w:szCs w:val="2"/>
        </w:rPr>
        <w:t>208B</w:t>
      </w:r>
      <w:r w:rsidR="005A5FE7">
        <w:t>Early priority is given to establishing the monitoring program for providing a baseline for future decision-making.</w:t>
      </w:r>
    </w:p>
    <w:p w14:paraId="09D7027B" w14:textId="39A84D42" w:rsidR="005A5FE7" w:rsidRDefault="00382EE8" w:rsidP="00115BD6">
      <w:pPr>
        <w:pStyle w:val="ListParagraph"/>
        <w:numPr>
          <w:ilvl w:val="0"/>
          <w:numId w:val="91"/>
        </w:numPr>
      </w:pPr>
      <w:r>
        <w:rPr>
          <w:rFonts w:ascii="ZWAdobeF" w:hAnsi="ZWAdobeF" w:cs="ZWAdobeF"/>
          <w:sz w:val="2"/>
          <w:szCs w:val="2"/>
        </w:rPr>
        <w:t>209B</w:t>
      </w:r>
      <w:r w:rsidR="005A5FE7">
        <w:t>Annual reporting provides public information on:</w:t>
      </w:r>
    </w:p>
    <w:p w14:paraId="1886D8DD" w14:textId="2C4A4E3D" w:rsidR="005A5FE7" w:rsidRDefault="00382EE8" w:rsidP="00115BD6">
      <w:pPr>
        <w:pStyle w:val="ListParagraph"/>
        <w:numPr>
          <w:ilvl w:val="1"/>
          <w:numId w:val="91"/>
        </w:numPr>
      </w:pPr>
      <w:r>
        <w:rPr>
          <w:rFonts w:ascii="ZWAdobeF" w:hAnsi="ZWAdobeF" w:cs="ZWAdobeF"/>
          <w:sz w:val="2"/>
          <w:szCs w:val="2"/>
        </w:rPr>
        <w:t>210B</w:t>
      </w:r>
      <w:r w:rsidR="76A3ED03">
        <w:t>e</w:t>
      </w:r>
      <w:r w:rsidR="005A5FE7">
        <w:t>nvironmental water outcomes related to EWRs</w:t>
      </w:r>
    </w:p>
    <w:p w14:paraId="083A6843" w14:textId="090F555C" w:rsidR="005A5FE7" w:rsidRPr="009262AF" w:rsidRDefault="00382EE8" w:rsidP="00115BD6">
      <w:pPr>
        <w:pStyle w:val="ListParagraph"/>
        <w:numPr>
          <w:ilvl w:val="1"/>
          <w:numId w:val="91"/>
        </w:numPr>
      </w:pPr>
      <w:r>
        <w:rPr>
          <w:rFonts w:ascii="ZWAdobeF" w:hAnsi="ZWAdobeF" w:cs="ZWAdobeF"/>
          <w:sz w:val="2"/>
          <w:szCs w:val="2"/>
        </w:rPr>
        <w:t>211B</w:t>
      </w:r>
      <w:r w:rsidR="07A85692">
        <w:t>e</w:t>
      </w:r>
      <w:r w:rsidR="005A5FE7">
        <w:t>nvironmental water accounting</w:t>
      </w:r>
    </w:p>
    <w:p w14:paraId="43BE7AE0" w14:textId="0BA30BFB" w:rsidR="005A5FE7" w:rsidRDefault="00382EE8" w:rsidP="00115BD6">
      <w:pPr>
        <w:pStyle w:val="ListParagraph"/>
        <w:numPr>
          <w:ilvl w:val="1"/>
          <w:numId w:val="91"/>
        </w:numPr>
      </w:pPr>
      <w:r>
        <w:rPr>
          <w:rFonts w:ascii="ZWAdobeF" w:hAnsi="ZWAdobeF" w:cs="ZWAdobeF"/>
          <w:sz w:val="2"/>
          <w:szCs w:val="2"/>
        </w:rPr>
        <w:t>212B</w:t>
      </w:r>
      <w:r w:rsidR="35A4ABD2">
        <w:t>i</w:t>
      </w:r>
      <w:r w:rsidR="005A5FE7">
        <w:t>mplementation of obligations and responsibilities of Snowy Scheme and environmental water managers.</w:t>
      </w:r>
    </w:p>
    <w:p w14:paraId="4933E986" w14:textId="55EBD69E" w:rsidR="00DA700E" w:rsidRDefault="00C65E52" w:rsidP="00C65E52">
      <w:pPr>
        <w:pStyle w:val="Sub-Heading"/>
      </w:pPr>
      <w:r>
        <w:rPr>
          <w:rFonts w:eastAsia="Calibri"/>
        </w:rPr>
        <w:t>Integration of science</w:t>
      </w:r>
    </w:p>
    <w:p w14:paraId="042010EF" w14:textId="75C46D53" w:rsidR="00D174E7" w:rsidRPr="009262AF" w:rsidRDefault="00382EE8" w:rsidP="00115BD6">
      <w:pPr>
        <w:pStyle w:val="ListParagraph"/>
        <w:numPr>
          <w:ilvl w:val="0"/>
          <w:numId w:val="92"/>
        </w:numPr>
      </w:pPr>
      <w:r>
        <w:rPr>
          <w:rFonts w:ascii="ZWAdobeF" w:hAnsi="ZWAdobeF" w:cs="ZWAdobeF"/>
          <w:sz w:val="2"/>
          <w:szCs w:val="2"/>
        </w:rPr>
        <w:t>213B</w:t>
      </w:r>
      <w:r w:rsidR="00D174E7" w:rsidRPr="009262AF">
        <w:t xml:space="preserve">Establish a science program that maintains access to independent scientific advice and generates new information that </w:t>
      </w:r>
      <w:r w:rsidR="00D174E7">
        <w:t>integrates</w:t>
      </w:r>
      <w:r w:rsidR="00D174E7" w:rsidRPr="009262AF">
        <w:t xml:space="preserve"> new evidence and climate projections </w:t>
      </w:r>
      <w:r w:rsidR="00D174E7">
        <w:t>into future planning and decision-making</w:t>
      </w:r>
      <w:r w:rsidR="00D174E7" w:rsidRPr="009262AF">
        <w:t>.</w:t>
      </w:r>
    </w:p>
    <w:p w14:paraId="5D36410B" w14:textId="3B77960E" w:rsidR="00D174E7" w:rsidRDefault="00382EE8" w:rsidP="00115BD6">
      <w:pPr>
        <w:pStyle w:val="ListParagraph"/>
        <w:numPr>
          <w:ilvl w:val="0"/>
          <w:numId w:val="92"/>
        </w:numPr>
      </w:pPr>
      <w:r>
        <w:rPr>
          <w:rFonts w:ascii="ZWAdobeF" w:hAnsi="ZWAdobeF" w:cs="ZWAdobeF"/>
          <w:sz w:val="2"/>
          <w:szCs w:val="2"/>
        </w:rPr>
        <w:t>214B</w:t>
      </w:r>
      <w:r w:rsidR="00D174E7">
        <w:t>The coordination of independent science to be delivered by the CEWH</w:t>
      </w:r>
      <w:r w:rsidR="001C3BA8">
        <w:t xml:space="preserve"> or the MDBA</w:t>
      </w:r>
      <w:r w:rsidR="00D174E7">
        <w:t xml:space="preserve"> at the geographical scale of the Upper Murrumbidgee (the Murray-Darling ‘Eastern Basin’) and </w:t>
      </w:r>
      <w:r w:rsidR="001C3BA8">
        <w:t>the Snowy River</w:t>
      </w:r>
      <w:r w:rsidR="009E3CDB">
        <w:t>,</w:t>
      </w:r>
      <w:r w:rsidR="00D174E7">
        <w:t xml:space="preserve"> and across the ACT, NSW and Victoria</w:t>
      </w:r>
      <w:r w:rsidR="20D1EA41">
        <w:t>n</w:t>
      </w:r>
      <w:r w:rsidR="00D174E7">
        <w:t xml:space="preserve"> jurisdictions.</w:t>
      </w:r>
      <w:r w:rsidR="00D174E7" w:rsidRPr="009262AF">
        <w:t xml:space="preserve">  </w:t>
      </w:r>
    </w:p>
    <w:p w14:paraId="7C8B36D0" w14:textId="102C808D" w:rsidR="00D174E7" w:rsidRPr="009262AF" w:rsidRDefault="00330752" w:rsidP="00D174E7">
      <w:pPr>
        <w:pStyle w:val="Sub-Heading"/>
        <w:rPr>
          <w:rFonts w:eastAsia="Calibri"/>
        </w:rPr>
      </w:pPr>
      <w:r>
        <w:rPr>
          <w:rFonts w:eastAsia="Calibri"/>
        </w:rPr>
        <w:lastRenderedPageBreak/>
        <w:t>Stakeholder and First Nations participation</w:t>
      </w:r>
    </w:p>
    <w:p w14:paraId="212C72BF" w14:textId="4CF70495" w:rsidR="00822503" w:rsidRPr="009262AF" w:rsidRDefault="00382EE8" w:rsidP="00115BD6">
      <w:pPr>
        <w:pStyle w:val="ListParagraph"/>
        <w:numPr>
          <w:ilvl w:val="0"/>
          <w:numId w:val="93"/>
        </w:numPr>
      </w:pPr>
      <w:r>
        <w:rPr>
          <w:rFonts w:ascii="ZWAdobeF" w:hAnsi="ZWAdobeF" w:cs="ZWAdobeF"/>
          <w:sz w:val="2"/>
          <w:szCs w:val="2"/>
        </w:rPr>
        <w:t>215B</w:t>
      </w:r>
      <w:r w:rsidR="00822503">
        <w:t>Embed First Nations custodianship and community stewardship in environmental water governance, including participation in setting objectives, identifying cultural flow priorities</w:t>
      </w:r>
      <w:r w:rsidR="00C92DF8">
        <w:t>, catchment management</w:t>
      </w:r>
      <w:r w:rsidR="00822503">
        <w:t xml:space="preserve"> and priority setting for adaptive operations.</w:t>
      </w:r>
    </w:p>
    <w:p w14:paraId="413AC781" w14:textId="38CDDF29" w:rsidR="00822503" w:rsidRDefault="00382EE8" w:rsidP="00115BD6">
      <w:pPr>
        <w:pStyle w:val="ListParagraph"/>
        <w:numPr>
          <w:ilvl w:val="0"/>
          <w:numId w:val="93"/>
        </w:numPr>
      </w:pPr>
      <w:r>
        <w:rPr>
          <w:rFonts w:ascii="ZWAdobeF" w:hAnsi="ZWAdobeF" w:cs="ZWAdobeF"/>
          <w:sz w:val="2"/>
          <w:szCs w:val="2"/>
        </w:rPr>
        <w:t>216B</w:t>
      </w:r>
      <w:r w:rsidR="00822503">
        <w:t>The Snowy Advisory Committee established by the NSW Government provides an existing mechanism for this purpose</w:t>
      </w:r>
      <w:r w:rsidR="04599D13">
        <w:t>,</w:t>
      </w:r>
      <w:r w:rsidR="00CF4818">
        <w:t xml:space="preserve"> </w:t>
      </w:r>
      <w:r w:rsidR="00822503">
        <w:t xml:space="preserve">with expanded scope (Terms of Reference), membership and legislated </w:t>
      </w:r>
      <w:r w:rsidR="00E06D04">
        <w:t>authority</w:t>
      </w:r>
      <w:r w:rsidR="00C92DF8">
        <w:t xml:space="preserve"> </w:t>
      </w:r>
      <w:r w:rsidR="00822503">
        <w:t xml:space="preserve">for the NSW </w:t>
      </w:r>
      <w:r w:rsidR="00070BAE">
        <w:t xml:space="preserve">environmental water manager </w:t>
      </w:r>
      <w:r w:rsidR="00822503">
        <w:t xml:space="preserve">to actively manage this </w:t>
      </w:r>
      <w:r w:rsidR="7CE31307">
        <w:t>c</w:t>
      </w:r>
      <w:r w:rsidR="00822503">
        <w:t xml:space="preserve">ommittee outside of </w:t>
      </w:r>
      <w:r w:rsidR="36810935">
        <w:t>m</w:t>
      </w:r>
      <w:r w:rsidR="00822503">
        <w:t xml:space="preserve">inisterial administration. </w:t>
      </w:r>
    </w:p>
    <w:p w14:paraId="49D152EA" w14:textId="5571FE35" w:rsidR="00822503" w:rsidRPr="009262AF" w:rsidRDefault="00822503" w:rsidP="00822503">
      <w:pPr>
        <w:pStyle w:val="Sub-Heading"/>
        <w:rPr>
          <w:rFonts w:eastAsia="Calibri"/>
        </w:rPr>
      </w:pPr>
      <w:r>
        <w:rPr>
          <w:rFonts w:eastAsia="Calibri"/>
        </w:rPr>
        <w:t>Independent audit and review</w:t>
      </w:r>
    </w:p>
    <w:p w14:paraId="20035342" w14:textId="6C4F49C4" w:rsidR="00FB1935" w:rsidRDefault="00382EE8" w:rsidP="00115BD6">
      <w:pPr>
        <w:pStyle w:val="ListParagraph"/>
        <w:numPr>
          <w:ilvl w:val="0"/>
          <w:numId w:val="94"/>
        </w:numPr>
      </w:pPr>
      <w:r>
        <w:rPr>
          <w:rFonts w:ascii="ZWAdobeF" w:hAnsi="ZWAdobeF" w:cs="ZWAdobeF"/>
          <w:sz w:val="2"/>
          <w:szCs w:val="2"/>
        </w:rPr>
        <w:t>217B</w:t>
      </w:r>
      <w:r w:rsidR="00FB1935">
        <w:t>Annual</w:t>
      </w:r>
      <w:r w:rsidR="00FB1935" w:rsidRPr="009262AF">
        <w:t xml:space="preserve"> independent audits</w:t>
      </w:r>
      <w:r w:rsidR="00FB1935">
        <w:t xml:space="preserve"> of water accounts</w:t>
      </w:r>
      <w:r w:rsidR="00FB1935" w:rsidRPr="009262AF">
        <w:t xml:space="preserve">  </w:t>
      </w:r>
    </w:p>
    <w:p w14:paraId="3A9DC100" w14:textId="04C7492F" w:rsidR="00FB1935" w:rsidRPr="009262AF" w:rsidRDefault="00382EE8" w:rsidP="00115BD6">
      <w:pPr>
        <w:pStyle w:val="ListParagraph"/>
        <w:numPr>
          <w:ilvl w:val="0"/>
          <w:numId w:val="94"/>
        </w:numPr>
      </w:pPr>
      <w:r>
        <w:rPr>
          <w:rFonts w:ascii="ZWAdobeF" w:hAnsi="ZWAdobeF" w:cs="ZWAdobeF"/>
          <w:sz w:val="2"/>
          <w:szCs w:val="2"/>
        </w:rPr>
        <w:t>218B</w:t>
      </w:r>
      <w:r w:rsidR="00FB1935">
        <w:t xml:space="preserve">5 and 10-year </w:t>
      </w:r>
      <w:r w:rsidR="00FB1935" w:rsidRPr="009262AF">
        <w:t>reviews of environmental water delivery</w:t>
      </w:r>
      <w:r w:rsidR="00FB1935">
        <w:t xml:space="preserve"> arrangements</w:t>
      </w:r>
      <w:r w:rsidR="00FB1935" w:rsidRPr="009262AF">
        <w:t xml:space="preserve">, outcomes and governance to ensure accountability and </w:t>
      </w:r>
      <w:r w:rsidR="00FB1935">
        <w:t>effectiveness for mitigating risks to the NEM</w:t>
      </w:r>
      <w:r w:rsidR="00FB1935" w:rsidRPr="009262AF">
        <w:t>.</w:t>
      </w:r>
    </w:p>
    <w:p w14:paraId="5101F56A" w14:textId="11765C80" w:rsidR="00FB1935" w:rsidRDefault="00382EE8" w:rsidP="00FB1935">
      <w:r>
        <w:rPr>
          <w:rFonts w:ascii="ZWAdobeF" w:hAnsi="ZWAdobeF" w:cs="ZWAdobeF"/>
          <w:sz w:val="2"/>
          <w:szCs w:val="2"/>
        </w:rPr>
        <w:t>980B</w:t>
      </w:r>
      <w:r w:rsidR="00FB1935" w:rsidRPr="009262AF">
        <w:t>This approach reflects best practice environmental water management across the Murray–Darling Basin and provides a pathway to move from stabilising a degraded system toward long</w:t>
      </w:r>
      <w:r w:rsidR="00FB1935" w:rsidRPr="009262AF">
        <w:noBreakHyphen/>
        <w:t>term ecological recovery and resilience.</w:t>
      </w:r>
    </w:p>
    <w:p w14:paraId="3087352A" w14:textId="086DCC82" w:rsidR="00FB1935" w:rsidRPr="009262AF" w:rsidRDefault="00FB1935" w:rsidP="00FB1935">
      <w:pPr>
        <w:pStyle w:val="ReviewHeading2"/>
      </w:pPr>
      <w:bookmarkStart w:id="71" w:name="_Toc233285606"/>
      <w:bookmarkStart w:id="72" w:name="_Toc233801485"/>
      <w:r>
        <w:t>4.8 Conclusion</w:t>
      </w:r>
      <w:bookmarkEnd w:id="71"/>
      <w:bookmarkEnd w:id="72"/>
    </w:p>
    <w:p w14:paraId="75618249" w14:textId="64CC6CCA" w:rsidR="005719C8" w:rsidRPr="009262AF" w:rsidRDefault="00382EE8" w:rsidP="51947CBF">
      <w:r>
        <w:rPr>
          <w:rFonts w:ascii="ZWAdobeF" w:hAnsi="ZWAdobeF" w:cs="ZWAdobeF"/>
          <w:sz w:val="2"/>
          <w:szCs w:val="2"/>
        </w:rPr>
        <w:t>981B</w:t>
      </w:r>
      <w:r w:rsidR="005719C8" w:rsidRPr="009262AF">
        <w:t xml:space="preserve">The environmental flow options considered through this </w:t>
      </w:r>
      <w:r w:rsidR="12AFAAD1">
        <w:t>R</w:t>
      </w:r>
      <w:r w:rsidR="005719C8">
        <w:t>eview</w:t>
      </w:r>
      <w:r w:rsidR="005719C8" w:rsidRPr="009262AF">
        <w:t xml:space="preserve"> present different ecological outcomes and system implications. The primary distinction is not whether impacts exist, but the extent to which environmental outcomes are pursued</w:t>
      </w:r>
      <w:r w:rsidR="005719C8">
        <w:t>, the effectiveness of the operating arrangements to maximise the environmental outcomes</w:t>
      </w:r>
      <w:r w:rsidR="005719C8" w:rsidRPr="009262AF">
        <w:t xml:space="preserve"> and how associated impacts are managed through design, governance and adaptive operation.</w:t>
      </w:r>
    </w:p>
    <w:p w14:paraId="38D02999" w14:textId="356AFF2F" w:rsidR="005719C8" w:rsidRPr="009262AF" w:rsidRDefault="00382EE8" w:rsidP="51947CBF">
      <w:r>
        <w:rPr>
          <w:rFonts w:ascii="ZWAdobeF" w:hAnsi="ZWAdobeF" w:cs="ZWAdobeF"/>
          <w:sz w:val="2"/>
          <w:szCs w:val="2"/>
        </w:rPr>
        <w:t>982B</w:t>
      </w:r>
      <w:r w:rsidR="4D56B33F">
        <w:t>The Panel’s</w:t>
      </w:r>
      <w:r w:rsidR="005719C8">
        <w:t xml:space="preserve"> </w:t>
      </w:r>
      <w:r w:rsidR="2F207818">
        <w:t xml:space="preserve">focus </w:t>
      </w:r>
      <w:r w:rsidR="005719C8">
        <w:t xml:space="preserve">is not </w:t>
      </w:r>
      <w:r w:rsidR="22CDC5F0">
        <w:t xml:space="preserve">on </w:t>
      </w:r>
      <w:r w:rsidR="005719C8">
        <w:t xml:space="preserve">whether increased environmental flows are compatible with system needs, but </w:t>
      </w:r>
      <w:r w:rsidR="4F57D319">
        <w:t xml:space="preserve">on </w:t>
      </w:r>
      <w:r w:rsidR="005719C8">
        <w:t>how to design and govern flow delivery to achieve ecological recovery while maintaining energy system reliability and water supply outcomes.</w:t>
      </w:r>
    </w:p>
    <w:p w14:paraId="24D8AED2" w14:textId="5E9A6580" w:rsidR="005719C8" w:rsidRPr="00EA6D30" w:rsidRDefault="005719C8" w:rsidP="51947CBF">
      <w:pPr>
        <w:pStyle w:val="ReviewHeading3"/>
      </w:pPr>
      <w:r w:rsidRPr="00EA6D30">
        <w:t>Overarching conclusions</w:t>
      </w:r>
    </w:p>
    <w:p w14:paraId="27B778C5" w14:textId="77777777" w:rsidR="005719C8" w:rsidRPr="009262AF" w:rsidRDefault="005719C8" w:rsidP="2C6269E5">
      <w:pPr>
        <w:pStyle w:val="Sub-Heading"/>
        <w:rPr>
          <w:rFonts w:eastAsia="Calibri"/>
        </w:rPr>
      </w:pPr>
      <w:r w:rsidRPr="009262AF">
        <w:rPr>
          <w:rFonts w:eastAsia="Calibri"/>
        </w:rPr>
        <w:t>The status quo is not sustainable</w:t>
      </w:r>
    </w:p>
    <w:p w14:paraId="44A0E62C" w14:textId="7911A81B" w:rsidR="005719C8" w:rsidRPr="009262AF" w:rsidRDefault="00382EE8" w:rsidP="51947CBF">
      <w:r>
        <w:rPr>
          <w:rFonts w:ascii="ZWAdobeF" w:hAnsi="ZWAdobeF" w:cs="ZWAdobeF"/>
          <w:sz w:val="2"/>
          <w:szCs w:val="2"/>
        </w:rPr>
        <w:t>983B</w:t>
      </w:r>
      <w:r w:rsidR="005719C8">
        <w:t xml:space="preserve">Current flow regimes do not meet ecological requirements and are associated with ongoing decline that includes the extinction of native fish species. The impacts of ecosystem collapse and degradation of the river system create broader impacts </w:t>
      </w:r>
      <w:r w:rsidR="3A87FEE6">
        <w:t>on</w:t>
      </w:r>
      <w:r w:rsidR="005719C8">
        <w:t xml:space="preserve"> urban water security, human health (water quality), regional economic growth social and cultural wellbeing.</w:t>
      </w:r>
    </w:p>
    <w:p w14:paraId="6BAB0032" w14:textId="77777777" w:rsidR="005719C8" w:rsidRPr="009262AF" w:rsidRDefault="005719C8" w:rsidP="2C6269E5">
      <w:pPr>
        <w:pStyle w:val="Sub-Heading"/>
        <w:rPr>
          <w:rFonts w:eastAsia="Calibri"/>
        </w:rPr>
      </w:pPr>
      <w:r w:rsidRPr="009262AF">
        <w:rPr>
          <w:rFonts w:eastAsia="Calibri"/>
        </w:rPr>
        <w:t>Volume alone is insufficient</w:t>
      </w:r>
    </w:p>
    <w:p w14:paraId="1A3372AE" w14:textId="6C64FB82" w:rsidR="005719C8" w:rsidRPr="009262AF" w:rsidRDefault="00382EE8" w:rsidP="00115BD6">
      <w:pPr>
        <w:pStyle w:val="ListParagraph"/>
        <w:numPr>
          <w:ilvl w:val="0"/>
          <w:numId w:val="97"/>
        </w:numPr>
      </w:pPr>
      <w:r>
        <w:rPr>
          <w:rFonts w:ascii="ZWAdobeF" w:hAnsi="ZWAdobeF" w:cs="ZWAdobeF"/>
          <w:sz w:val="2"/>
          <w:szCs w:val="2"/>
        </w:rPr>
        <w:t>219B</w:t>
      </w:r>
      <w:r w:rsidR="005719C8">
        <w:t>Ecological recovery depends on restoring flow regime characteristics, particularly variability and disturbance. This requires increased volume managed under a flexible operating framework and infrastructure with the appropriate capacity to deliver the flow regime.</w:t>
      </w:r>
    </w:p>
    <w:p w14:paraId="42C34212" w14:textId="015D1E6D" w:rsidR="005719C8" w:rsidRPr="009262AF" w:rsidRDefault="00382EE8" w:rsidP="00115BD6">
      <w:pPr>
        <w:pStyle w:val="ListParagraph"/>
        <w:numPr>
          <w:ilvl w:val="0"/>
          <w:numId w:val="97"/>
        </w:numPr>
      </w:pPr>
      <w:r>
        <w:rPr>
          <w:rFonts w:ascii="ZWAdobeF" w:hAnsi="ZWAdobeF" w:cs="ZWAdobeF"/>
          <w:sz w:val="2"/>
          <w:szCs w:val="2"/>
        </w:rPr>
        <w:t>220B</w:t>
      </w:r>
      <w:r w:rsidR="005719C8">
        <w:t>Options must provide baseflow conditions that mitigate the acute stress caused by extreme dry climate events, protecting na</w:t>
      </w:r>
      <w:r w:rsidR="00A4293C">
        <w:t>ti</w:t>
      </w:r>
      <w:r w:rsidR="005719C8">
        <w:t>ve species and maintaining basic ecosystem services.</w:t>
      </w:r>
    </w:p>
    <w:p w14:paraId="57CA839B" w14:textId="6EDF2360" w:rsidR="005719C8" w:rsidRPr="009262AF" w:rsidRDefault="00382EE8" w:rsidP="00115BD6">
      <w:pPr>
        <w:pStyle w:val="ListParagraph"/>
        <w:numPr>
          <w:ilvl w:val="0"/>
          <w:numId w:val="97"/>
        </w:numPr>
      </w:pPr>
      <w:r>
        <w:rPr>
          <w:rFonts w:ascii="ZWAdobeF" w:hAnsi="ZWAdobeF" w:cs="ZWAdobeF"/>
          <w:sz w:val="2"/>
          <w:szCs w:val="2"/>
        </w:rPr>
        <w:lastRenderedPageBreak/>
        <w:t>221B</w:t>
      </w:r>
      <w:r w:rsidR="005719C8">
        <w:t>Flushing flows are the critical differentiator</w:t>
      </w:r>
      <w:r w:rsidR="66360EFF">
        <w:t xml:space="preserve">—high </w:t>
      </w:r>
      <w:r w:rsidR="005719C8">
        <w:t>magnitude events underpin sediment transport, habitat reset and connectivity. To achieve this requires infrastructure upgrade to Tantangara Dam</w:t>
      </w:r>
      <w:r w:rsidR="3CE036A0">
        <w:t>.</w:t>
      </w:r>
    </w:p>
    <w:p w14:paraId="0F27ADB3" w14:textId="77777777" w:rsidR="005719C8" w:rsidRPr="009262AF" w:rsidRDefault="005719C8" w:rsidP="77664E54">
      <w:pPr>
        <w:pStyle w:val="Sub-Heading"/>
        <w:rPr>
          <w:rFonts w:eastAsia="Calibri"/>
        </w:rPr>
      </w:pPr>
      <w:r w:rsidRPr="009262AF">
        <w:rPr>
          <w:rFonts w:eastAsia="Calibri"/>
        </w:rPr>
        <w:t>Trade-offs are unavoidable and multidimensional but can be minimised through design and operational flexibility</w:t>
      </w:r>
    </w:p>
    <w:p w14:paraId="003F5E15" w14:textId="6F38BE08" w:rsidR="005719C8" w:rsidRPr="009262AF" w:rsidRDefault="00382EE8" w:rsidP="00115BD6">
      <w:pPr>
        <w:pStyle w:val="ListParagraph"/>
        <w:numPr>
          <w:ilvl w:val="0"/>
          <w:numId w:val="96"/>
        </w:numPr>
      </w:pPr>
      <w:r>
        <w:rPr>
          <w:rFonts w:ascii="ZWAdobeF" w:hAnsi="ZWAdobeF" w:cs="ZWAdobeF"/>
          <w:sz w:val="2"/>
          <w:szCs w:val="2"/>
        </w:rPr>
        <w:t>222B</w:t>
      </w:r>
      <w:r w:rsidR="005719C8">
        <w:t xml:space="preserve">Water is a finite resource </w:t>
      </w:r>
      <w:r w:rsidR="00146C73">
        <w:t>and, in this case,</w:t>
      </w:r>
      <w:r w:rsidR="005719C8">
        <w:t xml:space="preserve"> rebalancing water use for environmental improvements inevitably reduces the available water for energy generation</w:t>
      </w:r>
      <w:r w:rsidR="00146C73">
        <w:t>.</w:t>
      </w:r>
      <w:r w:rsidR="005719C8">
        <w:t xml:space="preserve"> </w:t>
      </w:r>
      <w:r w:rsidR="16B482AB">
        <w:t>A</w:t>
      </w:r>
      <w:r w:rsidR="005719C8">
        <w:t xml:space="preserve">nalysis conducted for this </w:t>
      </w:r>
      <w:r w:rsidR="1C95A5E4">
        <w:t>R</w:t>
      </w:r>
      <w:r w:rsidR="005719C8">
        <w:t>eview indicates that the impacts are minor and manageable with good design choices.</w:t>
      </w:r>
    </w:p>
    <w:p w14:paraId="1A090BFF" w14:textId="5B4B34E3" w:rsidR="005719C8" w:rsidRPr="009262AF" w:rsidRDefault="00382EE8" w:rsidP="00115BD6">
      <w:pPr>
        <w:pStyle w:val="ListParagraph"/>
        <w:numPr>
          <w:ilvl w:val="0"/>
          <w:numId w:val="96"/>
        </w:numPr>
      </w:pPr>
      <w:r>
        <w:rPr>
          <w:rFonts w:ascii="ZWAdobeF" w:hAnsi="ZWAdobeF" w:cs="ZWAdobeF"/>
          <w:sz w:val="2"/>
          <w:szCs w:val="2"/>
        </w:rPr>
        <w:t>223B</w:t>
      </w:r>
      <w:r w:rsidR="005719C8" w:rsidRPr="009262AF">
        <w:t xml:space="preserve">Adaptive </w:t>
      </w:r>
      <w:r w:rsidR="005719C8">
        <w:t>operating arrangements</w:t>
      </w:r>
      <w:r w:rsidR="005719C8" w:rsidRPr="009262AF">
        <w:t>, including near</w:t>
      </w:r>
      <w:r w:rsidR="00102C52">
        <w:t xml:space="preserve"> </w:t>
      </w:r>
      <w:r w:rsidR="005719C8" w:rsidRPr="009262AF">
        <w:t>real</w:t>
      </w:r>
      <w:r w:rsidR="00102C52">
        <w:t>-</w:t>
      </w:r>
      <w:r w:rsidR="005719C8" w:rsidRPr="009262AF">
        <w:t xml:space="preserve">time operations and flexibility during critical energy events, </w:t>
      </w:r>
      <w:r w:rsidR="005719C8">
        <w:t>provide</w:t>
      </w:r>
      <w:r w:rsidR="005719C8" w:rsidRPr="009262AF">
        <w:t xml:space="preserve"> an effective mechanism for avoiding perverse outcomes for the </w:t>
      </w:r>
      <w:r w:rsidR="5F454504">
        <w:t>NEM</w:t>
      </w:r>
      <w:r w:rsidR="005719C8" w:rsidRPr="009262AF">
        <w:t xml:space="preserve"> and </w:t>
      </w:r>
      <w:r w:rsidR="005719C8">
        <w:t>minimi</w:t>
      </w:r>
      <w:r w:rsidR="1812F1C4">
        <w:t>s</w:t>
      </w:r>
      <w:r w:rsidR="005719C8">
        <w:t>ing</w:t>
      </w:r>
      <w:r w:rsidR="005719C8" w:rsidRPr="009262AF">
        <w:t xml:space="preserve"> impacts to Snowy Hydro business outcomes.</w:t>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122490" w14:paraId="7CCB9A1C" w14:textId="77777777" w:rsidTr="00DB3E34">
        <w:tc>
          <w:tcPr>
            <w:tcW w:w="9288" w:type="dxa"/>
            <w:shd w:val="clear" w:color="auto" w:fill="000099"/>
          </w:tcPr>
          <w:p w14:paraId="76858EFE" w14:textId="5E576F06" w:rsidR="00122490" w:rsidRPr="00A17844" w:rsidRDefault="00382EE8" w:rsidP="00A17844">
            <w:pPr>
              <w:pStyle w:val="RecsBox"/>
              <w:rPr>
                <w:b/>
              </w:rPr>
            </w:pPr>
            <w:r>
              <w:rPr>
                <w:rFonts w:ascii="ZWAdobeF" w:hAnsi="ZWAdobeF" w:cs="ZWAdobeF"/>
                <w:bCs/>
                <w:sz w:val="2"/>
                <w:szCs w:val="2"/>
              </w:rPr>
              <w:t>1503B</w:t>
            </w:r>
            <w:r w:rsidR="00A17844" w:rsidRPr="00A17844">
              <w:rPr>
                <w:b/>
                <w:bCs/>
              </w:rPr>
              <w:t>Recommendations</w:t>
            </w:r>
          </w:p>
        </w:tc>
      </w:tr>
      <w:tr w:rsidR="00122490" w14:paraId="2F4BD485" w14:textId="77777777" w:rsidTr="00DB3E34">
        <w:tc>
          <w:tcPr>
            <w:tcW w:w="9288" w:type="dxa"/>
          </w:tcPr>
          <w:p w14:paraId="158FD671" w14:textId="6D0E72CF" w:rsidR="000267DE" w:rsidRPr="003502AE" w:rsidRDefault="00382EE8" w:rsidP="003502AE">
            <w:pPr>
              <w:pStyle w:val="RecsBox"/>
              <w:rPr>
                <w:b/>
              </w:rPr>
            </w:pPr>
            <w:r>
              <w:rPr>
                <w:rFonts w:ascii="ZWAdobeF" w:hAnsi="ZWAdobeF" w:cs="ZWAdobeF"/>
                <w:sz w:val="2"/>
                <w:szCs w:val="2"/>
              </w:rPr>
              <w:t>1504B</w:t>
            </w:r>
            <w:r w:rsidR="000267DE" w:rsidRPr="003502AE">
              <w:rPr>
                <w:b/>
              </w:rPr>
              <w:t>Recommendation 1 – Upper Murrumbidgee River environmental flows</w:t>
            </w:r>
          </w:p>
          <w:p w14:paraId="22A77AAF" w14:textId="53793C63" w:rsidR="000267DE" w:rsidRPr="003502AE" w:rsidRDefault="00382EE8" w:rsidP="000267DE">
            <w:pPr>
              <w:pStyle w:val="RecsBox"/>
            </w:pPr>
            <w:r>
              <w:rPr>
                <w:rFonts w:ascii="ZWAdobeF" w:hAnsi="ZWAdobeF" w:cs="ZWAdobeF"/>
                <w:sz w:val="2"/>
                <w:szCs w:val="2"/>
              </w:rPr>
              <w:t>1505B</w:t>
            </w:r>
            <w:r w:rsidR="000267DE" w:rsidRPr="003502AE">
              <w:t>Environmental flows in the Upper Murrumbidgee River are increased to achieve environmental outcomes equivalent to the delivery of an average annual target of 30% (87 GL equivalent) of the average annual inflows into Tantangara Dam, delivered through redirecting a portion of the Required Annual Release from the Snowy-Tumut Development through Tantangara Dam. Meeting this requirement is to be delivered through:</w:t>
            </w:r>
          </w:p>
          <w:p w14:paraId="0E1A55AF" w14:textId="6BE1E0C8" w:rsidR="000267DE" w:rsidRPr="00F57AB8" w:rsidRDefault="00382EE8" w:rsidP="00B11C71">
            <w:pPr>
              <w:pStyle w:val="RecsBox"/>
              <w:numPr>
                <w:ilvl w:val="0"/>
                <w:numId w:val="139"/>
              </w:numPr>
              <w:rPr>
                <w:rFonts w:asciiTheme="minorHAnsi" w:hAnsiTheme="minorHAnsi"/>
                <w:lang w:val="en-US"/>
              </w:rPr>
            </w:pPr>
            <w:r>
              <w:rPr>
                <w:rFonts w:ascii="ZWAdobeF" w:hAnsi="ZWAdobeF" w:cs="ZWAdobeF"/>
                <w:sz w:val="2"/>
                <w:szCs w:val="2"/>
                <w:lang w:val="en-US"/>
              </w:rPr>
              <w:t>1506B</w:t>
            </w:r>
            <w:r w:rsidR="000267DE" w:rsidRPr="00F57AB8">
              <w:rPr>
                <w:rFonts w:asciiTheme="minorHAnsi" w:hAnsiTheme="minorHAnsi"/>
                <w:lang w:val="en-US"/>
              </w:rPr>
              <w:t xml:space="preserve">planned environmental water - rules-based variable baseflows and small freshes that provide certainty in operations and minimum outcomes </w:t>
            </w:r>
          </w:p>
          <w:p w14:paraId="2355C057" w14:textId="770091AF" w:rsidR="000267DE" w:rsidRPr="00F57AB8" w:rsidRDefault="00382EE8" w:rsidP="00B11C71">
            <w:pPr>
              <w:pStyle w:val="RecsBox"/>
              <w:numPr>
                <w:ilvl w:val="0"/>
                <w:numId w:val="139"/>
              </w:numPr>
              <w:rPr>
                <w:rFonts w:asciiTheme="minorHAnsi" w:hAnsiTheme="minorHAnsi"/>
                <w:lang w:val="en-US"/>
              </w:rPr>
            </w:pPr>
            <w:r>
              <w:rPr>
                <w:rFonts w:ascii="ZWAdobeF" w:hAnsi="ZWAdobeF" w:cs="ZWAdobeF"/>
                <w:sz w:val="2"/>
                <w:szCs w:val="2"/>
                <w:lang w:val="en-US"/>
              </w:rPr>
              <w:t>1507B</w:t>
            </w:r>
            <w:r w:rsidR="000267DE" w:rsidRPr="00F57AB8">
              <w:rPr>
                <w:rFonts w:asciiTheme="minorHAnsi" w:hAnsiTheme="minorHAnsi"/>
                <w:lang w:val="en-US"/>
              </w:rPr>
              <w:t>adaptive environmental water - managed through flexible operating arrangements with the scale and timing of releases aligned with climate conditions and proportionate to Tantangara Dam inflows</w:t>
            </w:r>
          </w:p>
          <w:p w14:paraId="2BC09210" w14:textId="4E5D93EC" w:rsidR="000267DE" w:rsidRPr="00F57AB8" w:rsidRDefault="00382EE8" w:rsidP="00B11C71">
            <w:pPr>
              <w:pStyle w:val="RecsBox"/>
              <w:numPr>
                <w:ilvl w:val="0"/>
                <w:numId w:val="139"/>
              </w:numPr>
              <w:rPr>
                <w:rFonts w:asciiTheme="minorHAnsi" w:hAnsiTheme="minorHAnsi"/>
                <w:lang w:val="en-US"/>
              </w:rPr>
            </w:pPr>
            <w:r>
              <w:rPr>
                <w:rFonts w:ascii="ZWAdobeF" w:hAnsi="ZWAdobeF" w:cs="ZWAdobeF"/>
                <w:sz w:val="2"/>
                <w:szCs w:val="2"/>
                <w:lang w:val="en-US"/>
              </w:rPr>
              <w:t>1508B</w:t>
            </w:r>
            <w:r w:rsidR="000267DE" w:rsidRPr="00F57AB8">
              <w:rPr>
                <w:rFonts w:asciiTheme="minorHAnsi" w:hAnsiTheme="minorHAnsi"/>
                <w:lang w:val="en-US"/>
              </w:rPr>
              <w:t xml:space="preserve">the volume is in addition to other environmental flows for the associated montane rivers and the Snowy River </w:t>
            </w:r>
          </w:p>
          <w:p w14:paraId="29E41D7C" w14:textId="0108EC4A" w:rsidR="00122490" w:rsidRPr="006112D7" w:rsidRDefault="00382EE8" w:rsidP="00B11C71">
            <w:pPr>
              <w:pStyle w:val="RecsBox"/>
              <w:numPr>
                <w:ilvl w:val="0"/>
                <w:numId w:val="139"/>
              </w:numPr>
              <w:rPr>
                <w:rFonts w:asciiTheme="minorHAnsi" w:hAnsiTheme="minorHAnsi"/>
                <w:lang w:val="en-US"/>
              </w:rPr>
            </w:pPr>
            <w:r>
              <w:rPr>
                <w:rFonts w:ascii="ZWAdobeF" w:hAnsi="ZWAdobeF" w:cs="ZWAdobeF"/>
                <w:sz w:val="2"/>
                <w:szCs w:val="2"/>
                <w:lang w:val="en-US"/>
              </w:rPr>
              <w:t>1509B</w:t>
            </w:r>
            <w:r w:rsidR="000267DE" w:rsidRPr="00F57AB8">
              <w:rPr>
                <w:rFonts w:asciiTheme="minorHAnsi" w:hAnsiTheme="minorHAnsi"/>
                <w:lang w:val="en-US"/>
              </w:rPr>
              <w:t>staged delivery, commencing with an increase in the volume of water to an average annual target of 23% (68 GL equivalent) of average annual inflow, with further increase subject to a 5-year audit on the effectiveness of environmental water delivery.</w:t>
            </w:r>
          </w:p>
        </w:tc>
      </w:tr>
      <w:tr w:rsidR="006A31B2" w14:paraId="396AB894" w14:textId="77777777" w:rsidTr="00DB3E34">
        <w:tc>
          <w:tcPr>
            <w:tcW w:w="9288" w:type="dxa"/>
          </w:tcPr>
          <w:p w14:paraId="58412EE8" w14:textId="37DEFFD2" w:rsidR="00A25255" w:rsidRPr="00A25255" w:rsidRDefault="00382EE8" w:rsidP="00A25255">
            <w:pPr>
              <w:pStyle w:val="RecsBox"/>
              <w:rPr>
                <w:b/>
                <w:bCs/>
              </w:rPr>
            </w:pPr>
            <w:r>
              <w:rPr>
                <w:rFonts w:ascii="ZWAdobeF" w:hAnsi="ZWAdobeF" w:cs="ZWAdobeF"/>
                <w:bCs/>
                <w:sz w:val="2"/>
                <w:szCs w:val="2"/>
              </w:rPr>
              <w:t>1510B</w:t>
            </w:r>
            <w:r w:rsidR="00A25255" w:rsidRPr="00A25255">
              <w:rPr>
                <w:b/>
                <w:bCs/>
              </w:rPr>
              <w:t>Recommendation 2 – Tantangara Dam Outlet Upgrade Feasibility Study</w:t>
            </w:r>
          </w:p>
          <w:p w14:paraId="57B15A0A" w14:textId="06098FD1" w:rsidR="00A25255" w:rsidRPr="00A25255" w:rsidRDefault="00382EE8" w:rsidP="00A25255">
            <w:pPr>
              <w:pStyle w:val="RecsBox"/>
            </w:pPr>
            <w:r>
              <w:rPr>
                <w:rFonts w:ascii="ZWAdobeF" w:hAnsi="ZWAdobeF" w:cs="ZWAdobeF"/>
                <w:sz w:val="2"/>
                <w:szCs w:val="2"/>
              </w:rPr>
              <w:t>1511B</w:t>
            </w:r>
            <w:r w:rsidR="00A25255" w:rsidRPr="00A25255">
              <w:t xml:space="preserve">Snowy Hydro to commission and submit to the Australian Government, within 2 years from the acceptance of this Review report, an independent study to determine feasibility level costs of upgrading the outlet valve on Tantangara Dam, to enable flushing flows that are required to support ecosystem recovery. Following this, the cost benefit analysis should then be updated to determine whether the upgrade should proceed. </w:t>
            </w:r>
          </w:p>
          <w:p w14:paraId="28AABEE9" w14:textId="49DEDE78" w:rsidR="006A31B2" w:rsidRPr="00F57AB8" w:rsidRDefault="00382EE8" w:rsidP="00A25255">
            <w:pPr>
              <w:pStyle w:val="RecsBox"/>
            </w:pPr>
            <w:r>
              <w:rPr>
                <w:rFonts w:ascii="ZWAdobeF" w:hAnsi="ZWAdobeF" w:cs="ZWAdobeF"/>
                <w:sz w:val="2"/>
                <w:szCs w:val="2"/>
              </w:rPr>
              <w:t>1512B</w:t>
            </w:r>
            <w:r w:rsidR="00A25255" w:rsidRPr="00A25255">
              <w:t>The development of the business case must be consistent with Infrastructure Australia’s Assessment Framework to reflect national standards for best-practice infrastructure development.</w:t>
            </w:r>
          </w:p>
        </w:tc>
      </w:tr>
      <w:tr w:rsidR="00A25255" w14:paraId="0504049D" w14:textId="77777777" w:rsidTr="00DB3E34">
        <w:tc>
          <w:tcPr>
            <w:tcW w:w="9288" w:type="dxa"/>
          </w:tcPr>
          <w:p w14:paraId="05ABD1CE" w14:textId="36E9FEC0" w:rsidR="00DB3E34" w:rsidRPr="00DB3E34" w:rsidRDefault="00382EE8" w:rsidP="00DB3E34">
            <w:pPr>
              <w:pStyle w:val="RecsBox"/>
              <w:rPr>
                <w:b/>
                <w:bCs/>
              </w:rPr>
            </w:pPr>
            <w:r>
              <w:rPr>
                <w:rFonts w:ascii="ZWAdobeF" w:hAnsi="ZWAdobeF" w:cs="ZWAdobeF"/>
                <w:bCs/>
                <w:sz w:val="2"/>
                <w:szCs w:val="2"/>
              </w:rPr>
              <w:t>1513B</w:t>
            </w:r>
            <w:r w:rsidR="00DB3E34" w:rsidRPr="00DB3E34">
              <w:rPr>
                <w:b/>
                <w:bCs/>
              </w:rPr>
              <w:t>Recommendation 3 – Environmental Water Monitoring Program</w:t>
            </w:r>
          </w:p>
          <w:p w14:paraId="14225AD9" w14:textId="58224CD2" w:rsidR="00A25255" w:rsidRPr="00DB3E34" w:rsidRDefault="00382EE8" w:rsidP="00A25255">
            <w:pPr>
              <w:pStyle w:val="RecsBox"/>
            </w:pPr>
            <w:r>
              <w:rPr>
                <w:rFonts w:ascii="ZWAdobeF" w:hAnsi="ZWAdobeF" w:cs="ZWAdobeF"/>
                <w:sz w:val="2"/>
                <w:szCs w:val="2"/>
              </w:rPr>
              <w:t>1514B</w:t>
            </w:r>
            <w:r w:rsidR="00DB3E34" w:rsidRPr="00FA5D32">
              <w:t>The Commonwealth Environmental Water Holder, with governments, should establish, as a priority, a monitoring program that builds a baseline for assessing the effectiveness of environmental water delivery by governments when considering the business case for infrastructure upgrades.</w:t>
            </w:r>
          </w:p>
        </w:tc>
      </w:tr>
      <w:tr w:rsidR="00DB3E34" w14:paraId="74F7F8B2" w14:textId="77777777" w:rsidTr="00DB3E34">
        <w:tc>
          <w:tcPr>
            <w:tcW w:w="9288" w:type="dxa"/>
          </w:tcPr>
          <w:p w14:paraId="2E3C6741" w14:textId="012A8AFA" w:rsidR="00E92656" w:rsidRPr="00E92656" w:rsidRDefault="00382EE8" w:rsidP="00E92656">
            <w:pPr>
              <w:pStyle w:val="RecsBox"/>
              <w:rPr>
                <w:b/>
                <w:bCs/>
              </w:rPr>
            </w:pPr>
            <w:r>
              <w:rPr>
                <w:rFonts w:ascii="ZWAdobeF" w:hAnsi="ZWAdobeF" w:cs="ZWAdobeF"/>
                <w:bCs/>
                <w:sz w:val="2"/>
                <w:szCs w:val="2"/>
              </w:rPr>
              <w:lastRenderedPageBreak/>
              <w:t>1515B</w:t>
            </w:r>
            <w:r w:rsidR="00E92656" w:rsidRPr="00E92656">
              <w:rPr>
                <w:b/>
                <w:bCs/>
              </w:rPr>
              <w:t>Recommendation 4 – ACT Water Entitlement Contribution to Environmental Flows</w:t>
            </w:r>
          </w:p>
          <w:p w14:paraId="5D8C9333" w14:textId="00380BD5" w:rsidR="00DB3E34" w:rsidRPr="00E92656" w:rsidRDefault="00382EE8" w:rsidP="00E92656">
            <w:pPr>
              <w:pStyle w:val="RecsBox"/>
            </w:pPr>
            <w:r>
              <w:rPr>
                <w:rFonts w:ascii="ZWAdobeF" w:hAnsi="ZWAdobeF" w:cs="ZWAdobeF"/>
                <w:sz w:val="2"/>
                <w:szCs w:val="2"/>
              </w:rPr>
              <w:t>1516B</w:t>
            </w:r>
            <w:r w:rsidR="00E92656" w:rsidRPr="00FA5D32">
              <w:t xml:space="preserve">The ACT Government provides water entitlements to the Commonwealth Environmental Water Holder of a volume that offsets the actual volumetric risk to water reliability in the regulated Murrumbidgee from the additional minor transmission losses associated with improving environmental flows. This entitlement is a dependency for the increased environmental water and contributes towards the ACT Government’s inclusion as a Party to the new Deed. </w:t>
            </w:r>
          </w:p>
        </w:tc>
      </w:tr>
      <w:tr w:rsidR="0079177C" w14:paraId="31567A8A" w14:textId="77777777" w:rsidTr="00DB3E34">
        <w:tc>
          <w:tcPr>
            <w:tcW w:w="9288" w:type="dxa"/>
          </w:tcPr>
          <w:p w14:paraId="13BAF914" w14:textId="6E6DAAA2" w:rsidR="00524E6C" w:rsidRPr="00524E6C" w:rsidRDefault="00382EE8" w:rsidP="00524E6C">
            <w:pPr>
              <w:pStyle w:val="RecsBox"/>
              <w:rPr>
                <w:b/>
                <w:bCs/>
              </w:rPr>
            </w:pPr>
            <w:r>
              <w:rPr>
                <w:rFonts w:ascii="ZWAdobeF" w:hAnsi="ZWAdobeF" w:cs="ZWAdobeF"/>
                <w:bCs/>
                <w:sz w:val="2"/>
                <w:szCs w:val="2"/>
              </w:rPr>
              <w:t>1517B</w:t>
            </w:r>
            <w:r w:rsidR="00524E6C" w:rsidRPr="00524E6C">
              <w:rPr>
                <w:b/>
                <w:bCs/>
              </w:rPr>
              <w:t>Recommendation 5 – Snowy River Increased Flows</w:t>
            </w:r>
          </w:p>
          <w:p w14:paraId="68B63685" w14:textId="151F5788" w:rsidR="0079177C" w:rsidRPr="00524E6C" w:rsidRDefault="00382EE8" w:rsidP="00524E6C">
            <w:pPr>
              <w:pStyle w:val="RecsBox"/>
              <w:rPr>
                <w:lang w:val="en-US"/>
              </w:rPr>
            </w:pPr>
            <w:r>
              <w:rPr>
                <w:rFonts w:ascii="ZWAdobeF" w:hAnsi="ZWAdobeF" w:cs="ZWAdobeF"/>
                <w:sz w:val="2"/>
                <w:szCs w:val="2"/>
                <w:lang w:val="en-US"/>
              </w:rPr>
              <w:t>1518B</w:t>
            </w:r>
            <w:r w:rsidR="00524E6C" w:rsidRPr="00FA5D32">
              <w:rPr>
                <w:lang w:val="en-US"/>
              </w:rPr>
              <w:t>For the final report the IRP further investigate the impact on the NEM of Snowy Hydro delivering an annual average of 212 GL to the Snowy River, noting that this was the original intent of the Deed and that water was purchased for this purpose and that rather than being delivered to the Snowy River the water has been used for energy and irrigators.  In this context, the Panel notes, there is no reasonable basis for applying existing compensation arrangements to deliver on the original policy intent of governments.</w:t>
            </w:r>
          </w:p>
        </w:tc>
      </w:tr>
      <w:tr w:rsidR="003B7BC7" w14:paraId="6FE4005B" w14:textId="77777777" w:rsidTr="00DB3E34">
        <w:tc>
          <w:tcPr>
            <w:tcW w:w="9288" w:type="dxa"/>
          </w:tcPr>
          <w:p w14:paraId="18EEA3CA" w14:textId="2D46EDD9" w:rsidR="003B7BC7" w:rsidRPr="00A450D9" w:rsidRDefault="00382EE8" w:rsidP="003B7BC7">
            <w:pPr>
              <w:pStyle w:val="RecsBox"/>
              <w:rPr>
                <w:b/>
              </w:rPr>
            </w:pPr>
            <w:r>
              <w:rPr>
                <w:rFonts w:ascii="ZWAdobeF" w:hAnsi="ZWAdobeF" w:cs="ZWAdobeF"/>
                <w:sz w:val="2"/>
                <w:szCs w:val="2"/>
              </w:rPr>
              <w:t>1519B</w:t>
            </w:r>
            <w:r w:rsidR="003B7BC7" w:rsidRPr="00A450D9">
              <w:rPr>
                <w:b/>
              </w:rPr>
              <w:t>Recommendation 6 – Evaluation of Snowy River Increased Flows and other Snowy Montane Rivers</w:t>
            </w:r>
          </w:p>
          <w:p w14:paraId="160E3242" w14:textId="5C2FB531" w:rsidR="003B7BC7" w:rsidRPr="00FA5D32" w:rsidRDefault="00382EE8" w:rsidP="003B7BC7">
            <w:pPr>
              <w:pStyle w:val="RecsBox"/>
              <w:rPr>
                <w:lang w:val="en-US"/>
              </w:rPr>
            </w:pPr>
            <w:r>
              <w:rPr>
                <w:rFonts w:ascii="ZWAdobeF" w:hAnsi="ZWAdobeF" w:cs="ZWAdobeF"/>
                <w:sz w:val="2"/>
                <w:szCs w:val="2"/>
                <w:lang w:val="en-US"/>
              </w:rPr>
              <w:t>1520B</w:t>
            </w:r>
            <w:r w:rsidR="003B7BC7" w:rsidRPr="00FA5D32">
              <w:rPr>
                <w:lang w:val="en-US"/>
              </w:rPr>
              <w:t>Within 3 years of the acceptance of this report, the effectiveness of the existing Snowy River Increased Flows to be subject to a thorough, quantitative evaluation for delivering on the original agreed commitment of governments to restore the health of the Snowy River. This review is to:</w:t>
            </w:r>
          </w:p>
          <w:p w14:paraId="39AAD875" w14:textId="1431F925" w:rsidR="003B7BC7" w:rsidRPr="00FA5D32" w:rsidRDefault="00382EE8" w:rsidP="00B11C71">
            <w:pPr>
              <w:pStyle w:val="RecsBox"/>
              <w:numPr>
                <w:ilvl w:val="0"/>
                <w:numId w:val="140"/>
              </w:numPr>
              <w:rPr>
                <w:lang w:val="en-US"/>
              </w:rPr>
            </w:pPr>
            <w:r>
              <w:rPr>
                <w:rFonts w:ascii="ZWAdobeF" w:hAnsi="ZWAdobeF" w:cs="ZWAdobeF"/>
                <w:sz w:val="2"/>
                <w:szCs w:val="2"/>
                <w:lang w:val="en-US"/>
              </w:rPr>
              <w:t>1521B</w:t>
            </w:r>
            <w:r w:rsidR="003B7BC7" w:rsidRPr="00FA5D32">
              <w:rPr>
                <w:lang w:val="en-US"/>
              </w:rPr>
              <w:t>be undertaken by the Australian Government, in consultation with relevant jurisdictions</w:t>
            </w:r>
          </w:p>
          <w:p w14:paraId="6A3EC91B" w14:textId="44DE0350" w:rsidR="003B7BC7" w:rsidRPr="00FA5D32" w:rsidRDefault="00382EE8" w:rsidP="00B11C71">
            <w:pPr>
              <w:pStyle w:val="RecsBox"/>
              <w:numPr>
                <w:ilvl w:val="0"/>
                <w:numId w:val="140"/>
              </w:numPr>
              <w:rPr>
                <w:lang w:val="en-US"/>
              </w:rPr>
            </w:pPr>
            <w:r>
              <w:rPr>
                <w:rFonts w:ascii="ZWAdobeF" w:hAnsi="ZWAdobeF" w:cs="ZWAdobeF"/>
                <w:sz w:val="2"/>
                <w:szCs w:val="2"/>
                <w:lang w:val="en-US"/>
              </w:rPr>
              <w:t>1522B</w:t>
            </w:r>
            <w:r w:rsidR="003B7BC7" w:rsidRPr="00FA5D32">
              <w:rPr>
                <w:lang w:val="en-US"/>
              </w:rPr>
              <w:t>review the effective volume and adaptive flow approach of environmental water required to achieve the policy objective, with consideration for climate projections and growth in water demands along the river</w:t>
            </w:r>
          </w:p>
          <w:p w14:paraId="05B61164" w14:textId="57C1E794" w:rsidR="003B7BC7" w:rsidRPr="00FA5D32" w:rsidRDefault="00382EE8" w:rsidP="00B11C71">
            <w:pPr>
              <w:pStyle w:val="RecsBox"/>
              <w:numPr>
                <w:ilvl w:val="0"/>
                <w:numId w:val="140"/>
              </w:numPr>
            </w:pPr>
            <w:r>
              <w:rPr>
                <w:rFonts w:ascii="ZWAdobeF" w:hAnsi="ZWAdobeF" w:cs="ZWAdobeF"/>
                <w:sz w:val="2"/>
                <w:szCs w:val="2"/>
              </w:rPr>
              <w:t>1523B</w:t>
            </w:r>
            <w:r w:rsidR="003B7BC7" w:rsidRPr="00FA5D32">
              <w:t>develop measurable ecological objectives for the Snowy River as a priority under the renewed arrangement to support outcome-based environmental water delivery and long-term system performance</w:t>
            </w:r>
          </w:p>
          <w:p w14:paraId="34C5D11E" w14:textId="5AA3C4CE" w:rsidR="003B7BC7" w:rsidRPr="00FA5D32" w:rsidRDefault="00382EE8" w:rsidP="00B11C71">
            <w:pPr>
              <w:pStyle w:val="RecsBox"/>
              <w:numPr>
                <w:ilvl w:val="0"/>
                <w:numId w:val="140"/>
              </w:numPr>
            </w:pPr>
            <w:r>
              <w:rPr>
                <w:rFonts w:ascii="ZWAdobeF" w:hAnsi="ZWAdobeF" w:cs="ZWAdobeF"/>
                <w:sz w:val="2"/>
                <w:szCs w:val="2"/>
              </w:rPr>
              <w:t>1524B</w:t>
            </w:r>
            <w:r w:rsidR="003B7BC7" w:rsidRPr="00FA5D32">
              <w:t>investigate the impact on the NEM of Snowy Hydro delivering up to 294 GL to the Snowy River</w:t>
            </w:r>
          </w:p>
          <w:p w14:paraId="570EDA92" w14:textId="5E14AFA9" w:rsidR="003B7BC7" w:rsidRPr="003B7BC7" w:rsidRDefault="00382EE8" w:rsidP="00B11C71">
            <w:pPr>
              <w:pStyle w:val="RecsBox"/>
              <w:numPr>
                <w:ilvl w:val="0"/>
                <w:numId w:val="140"/>
              </w:numPr>
            </w:pPr>
            <w:r>
              <w:rPr>
                <w:rFonts w:ascii="ZWAdobeF" w:hAnsi="ZWAdobeF" w:cs="ZWAdobeF"/>
                <w:sz w:val="2"/>
                <w:szCs w:val="2"/>
              </w:rPr>
              <w:t>1525B</w:t>
            </w:r>
            <w:r w:rsidR="003B7BC7" w:rsidRPr="00FA5D32">
              <w:t>on completion of the exercise for the Snowy River, prepare a plan and costings for undertaking a similar exercise for the other rivers in the Snowy scheme.</w:t>
            </w:r>
          </w:p>
        </w:tc>
      </w:tr>
      <w:tr w:rsidR="006112D7" w14:paraId="682DE2CF" w14:textId="77777777" w:rsidTr="00DB3E34">
        <w:tc>
          <w:tcPr>
            <w:tcW w:w="9288" w:type="dxa"/>
          </w:tcPr>
          <w:p w14:paraId="6451705E" w14:textId="5916E324" w:rsidR="00AE733D" w:rsidRPr="00AE733D" w:rsidRDefault="00382EE8" w:rsidP="00AE733D">
            <w:pPr>
              <w:pStyle w:val="RecsBox"/>
              <w:rPr>
                <w:b/>
                <w:bCs/>
              </w:rPr>
            </w:pPr>
            <w:r>
              <w:rPr>
                <w:rFonts w:ascii="ZWAdobeF" w:hAnsi="ZWAdobeF" w:cs="ZWAdobeF"/>
                <w:bCs/>
                <w:sz w:val="2"/>
                <w:szCs w:val="2"/>
              </w:rPr>
              <w:t>1526B</w:t>
            </w:r>
            <w:r w:rsidR="00AE733D" w:rsidRPr="00AE733D">
              <w:rPr>
                <w:b/>
                <w:bCs/>
              </w:rPr>
              <w:t xml:space="preserve">Recommendation 7 – Decommissioning of Mowamba Weir </w:t>
            </w:r>
          </w:p>
          <w:p w14:paraId="275E4FF3" w14:textId="1856E834" w:rsidR="006112D7" w:rsidRPr="00AE733D" w:rsidRDefault="00382EE8" w:rsidP="003B7BC7">
            <w:pPr>
              <w:pStyle w:val="RecsBox"/>
            </w:pPr>
            <w:r>
              <w:rPr>
                <w:rFonts w:ascii="ZWAdobeF" w:hAnsi="ZWAdobeF" w:cs="ZWAdobeF"/>
                <w:sz w:val="2"/>
                <w:szCs w:val="2"/>
              </w:rPr>
              <w:t>1527B</w:t>
            </w:r>
            <w:r w:rsidR="00AE733D" w:rsidRPr="00FA5D32">
              <w:t>Decommission the Mowamba Weir within 5 years of acceptance of this review, giving effect to recommendations from the Ten-Year Review of the Snowy Water Licence.</w:t>
            </w:r>
          </w:p>
        </w:tc>
      </w:tr>
      <w:tr w:rsidR="00AE733D" w14:paraId="6578EC85" w14:textId="77777777" w:rsidTr="00DB3E34">
        <w:tc>
          <w:tcPr>
            <w:tcW w:w="9288" w:type="dxa"/>
          </w:tcPr>
          <w:p w14:paraId="18D389B5" w14:textId="00E62645" w:rsidR="00A61992" w:rsidRPr="00A61992" w:rsidRDefault="00382EE8" w:rsidP="00A61992">
            <w:pPr>
              <w:pStyle w:val="RecsBox"/>
              <w:rPr>
                <w:b/>
                <w:bCs/>
              </w:rPr>
            </w:pPr>
            <w:r>
              <w:rPr>
                <w:rFonts w:ascii="ZWAdobeF" w:hAnsi="ZWAdobeF" w:cs="ZWAdobeF"/>
                <w:bCs/>
                <w:sz w:val="2"/>
                <w:szCs w:val="2"/>
              </w:rPr>
              <w:t>1528B</w:t>
            </w:r>
            <w:r w:rsidR="00A61992" w:rsidRPr="00A61992">
              <w:rPr>
                <w:b/>
                <w:bCs/>
              </w:rPr>
              <w:t xml:space="preserve">Recommendation 8 – Adaptive Operating Framework for </w:t>
            </w:r>
            <w:r w:rsidR="00597BD5">
              <w:rPr>
                <w:b/>
                <w:bCs/>
              </w:rPr>
              <w:t xml:space="preserve">the </w:t>
            </w:r>
            <w:r w:rsidR="004E18BD">
              <w:rPr>
                <w:b/>
                <w:bCs/>
              </w:rPr>
              <w:t>Upper Murrumbidgee River</w:t>
            </w:r>
          </w:p>
          <w:p w14:paraId="06569623" w14:textId="40D6862C" w:rsidR="00A61992" w:rsidRPr="00FA5D32" w:rsidRDefault="00382EE8" w:rsidP="00A61992">
            <w:pPr>
              <w:pStyle w:val="RecsBox"/>
              <w:rPr>
                <w:lang w:val="en-US"/>
              </w:rPr>
            </w:pPr>
            <w:r>
              <w:rPr>
                <w:rFonts w:ascii="ZWAdobeF" w:hAnsi="ZWAdobeF" w:cs="ZWAdobeF"/>
                <w:sz w:val="2"/>
                <w:szCs w:val="2"/>
                <w:lang w:val="en-US"/>
              </w:rPr>
              <w:t>1529B</w:t>
            </w:r>
            <w:r w:rsidR="00A61992" w:rsidRPr="00FA5D32">
              <w:rPr>
                <w:lang w:val="en-US"/>
              </w:rPr>
              <w:t xml:space="preserve">NSW implement, in consultation with other governments and with advice from Snowy Hydro, an adaptive operating framework to provide flexible operating arrangements that deliver environmental outcomes and provide flexible responsiveness to critical weather, water and energy events within the Upper Murrumbidgee River. </w:t>
            </w:r>
          </w:p>
          <w:p w14:paraId="42CA64BA" w14:textId="126ED463" w:rsidR="00A61992" w:rsidRPr="00FA5D32" w:rsidRDefault="00382EE8" w:rsidP="00A61992">
            <w:pPr>
              <w:pStyle w:val="RecsBox"/>
              <w:rPr>
                <w:lang w:val="en-US"/>
              </w:rPr>
            </w:pPr>
            <w:r>
              <w:rPr>
                <w:rFonts w:ascii="ZWAdobeF" w:hAnsi="ZWAdobeF" w:cs="ZWAdobeF"/>
                <w:sz w:val="2"/>
                <w:szCs w:val="2"/>
                <w:lang w:val="en-US"/>
              </w:rPr>
              <w:t>1530B</w:t>
            </w:r>
            <w:r w:rsidR="00A61992" w:rsidRPr="00FA5D32">
              <w:rPr>
                <w:lang w:val="en-US"/>
              </w:rPr>
              <w:t>The environmental water flow program for the Upper Murrumbidgee is to be supported by:</w:t>
            </w:r>
          </w:p>
          <w:p w14:paraId="69870D42" w14:textId="4131113B" w:rsidR="00A61992" w:rsidRPr="00FA5D32" w:rsidRDefault="00382EE8" w:rsidP="00B11C71">
            <w:pPr>
              <w:pStyle w:val="RecsBox"/>
              <w:numPr>
                <w:ilvl w:val="0"/>
                <w:numId w:val="141"/>
              </w:numPr>
              <w:rPr>
                <w:lang w:val="en-US"/>
              </w:rPr>
            </w:pPr>
            <w:r>
              <w:rPr>
                <w:rFonts w:ascii="ZWAdobeF" w:hAnsi="ZWAdobeF" w:cs="ZWAdobeF"/>
                <w:sz w:val="2"/>
                <w:szCs w:val="2"/>
                <w:lang w:val="en-US"/>
              </w:rPr>
              <w:t>1531B</w:t>
            </w:r>
            <w:r w:rsidR="00A61992" w:rsidRPr="00FA5D32">
              <w:rPr>
                <w:lang w:val="en-US"/>
              </w:rPr>
              <w:t>enhanced environmental water planning with measurable objectives within the Annual Water Operating Plan</w:t>
            </w:r>
          </w:p>
          <w:p w14:paraId="7D148712" w14:textId="3699B13C" w:rsidR="00A61992" w:rsidRPr="00FA5D32" w:rsidRDefault="00382EE8" w:rsidP="00B11C71">
            <w:pPr>
              <w:pStyle w:val="RecsBox"/>
              <w:numPr>
                <w:ilvl w:val="0"/>
                <w:numId w:val="141"/>
              </w:numPr>
              <w:rPr>
                <w:lang w:val="en-US"/>
              </w:rPr>
            </w:pPr>
            <w:r>
              <w:rPr>
                <w:rFonts w:ascii="ZWAdobeF" w:hAnsi="ZWAdobeF" w:cs="ZWAdobeF"/>
                <w:sz w:val="2"/>
                <w:szCs w:val="2"/>
                <w:lang w:val="en-US"/>
              </w:rPr>
              <w:t>1532B</w:t>
            </w:r>
            <w:r w:rsidR="00A61992" w:rsidRPr="00FA5D32">
              <w:rPr>
                <w:lang w:val="en-US"/>
              </w:rPr>
              <w:t xml:space="preserve">flexible operating arrangements and processes within a flexibility envelope will include a water accounting framework that will establish annual and interannual water use </w:t>
            </w:r>
          </w:p>
          <w:p w14:paraId="178EC589" w14:textId="67EE28A2" w:rsidR="00A61992" w:rsidRPr="00FA5D32" w:rsidRDefault="00382EE8" w:rsidP="00B11C71">
            <w:pPr>
              <w:pStyle w:val="RecsBox"/>
              <w:numPr>
                <w:ilvl w:val="0"/>
                <w:numId w:val="141"/>
              </w:numPr>
              <w:rPr>
                <w:lang w:val="en-US"/>
              </w:rPr>
            </w:pPr>
            <w:r>
              <w:rPr>
                <w:rFonts w:ascii="ZWAdobeF" w:hAnsi="ZWAdobeF" w:cs="ZWAdobeF"/>
                <w:sz w:val="2"/>
                <w:szCs w:val="2"/>
                <w:lang w:val="en-US"/>
              </w:rPr>
              <w:t>1533B</w:t>
            </w:r>
            <w:r w:rsidR="00A61992" w:rsidRPr="00FA5D32">
              <w:rPr>
                <w:lang w:val="en-US"/>
              </w:rPr>
              <w:t xml:space="preserve">a monitoring, evaluation and science program </w:t>
            </w:r>
          </w:p>
          <w:p w14:paraId="5B3CE652" w14:textId="47998773" w:rsidR="00A61992" w:rsidRPr="00FA5D32" w:rsidRDefault="00382EE8" w:rsidP="00B11C71">
            <w:pPr>
              <w:pStyle w:val="RecsBox"/>
              <w:numPr>
                <w:ilvl w:val="0"/>
                <w:numId w:val="141"/>
              </w:numPr>
              <w:rPr>
                <w:lang w:val="en-US"/>
              </w:rPr>
            </w:pPr>
            <w:r>
              <w:rPr>
                <w:rFonts w:ascii="ZWAdobeF" w:hAnsi="ZWAdobeF" w:cs="ZWAdobeF"/>
                <w:sz w:val="2"/>
                <w:szCs w:val="2"/>
                <w:lang w:val="en-US"/>
              </w:rPr>
              <w:t>1534B</w:t>
            </w:r>
            <w:r w:rsidR="00A61992" w:rsidRPr="00FA5D32">
              <w:rPr>
                <w:lang w:val="en-US"/>
              </w:rPr>
              <w:t>First Nations and stakeholder participation</w:t>
            </w:r>
          </w:p>
          <w:p w14:paraId="4A5CB18E" w14:textId="6A011BEF" w:rsidR="00A61992" w:rsidRPr="00FA5D32" w:rsidRDefault="00382EE8" w:rsidP="00B11C71">
            <w:pPr>
              <w:pStyle w:val="RecsBox"/>
              <w:numPr>
                <w:ilvl w:val="0"/>
                <w:numId w:val="141"/>
              </w:numPr>
              <w:rPr>
                <w:lang w:val="en-US"/>
              </w:rPr>
            </w:pPr>
            <w:r>
              <w:rPr>
                <w:rFonts w:ascii="ZWAdobeF" w:hAnsi="ZWAdobeF" w:cs="ZWAdobeF"/>
                <w:sz w:val="2"/>
                <w:szCs w:val="2"/>
                <w:lang w:val="en-US"/>
              </w:rPr>
              <w:t>1535B</w:t>
            </w:r>
            <w:r w:rsidR="00A61992" w:rsidRPr="00FA5D32">
              <w:rPr>
                <w:lang w:val="en-US"/>
              </w:rPr>
              <w:t>reporting and reviews.</w:t>
            </w:r>
          </w:p>
          <w:p w14:paraId="65987764" w14:textId="0AEABA7E" w:rsidR="00A61992" w:rsidRPr="00FA5D32" w:rsidRDefault="00382EE8" w:rsidP="00A61992">
            <w:pPr>
              <w:pStyle w:val="RecsBox"/>
              <w:rPr>
                <w:lang w:val="en-US"/>
              </w:rPr>
            </w:pPr>
            <w:r>
              <w:rPr>
                <w:rFonts w:ascii="ZWAdobeF" w:hAnsi="ZWAdobeF" w:cs="ZWAdobeF"/>
                <w:sz w:val="2"/>
                <w:szCs w:val="2"/>
                <w:lang w:val="en-US"/>
              </w:rPr>
              <w:lastRenderedPageBreak/>
              <w:t>1536B</w:t>
            </w:r>
            <w:r w:rsidR="00A61992" w:rsidRPr="00FA5D32">
              <w:rPr>
                <w:lang w:val="en-US"/>
              </w:rPr>
              <w:t>The operating arrangements must be consistent with Snowy Hydro's responsibilities as a NEM participant and support AEMO's planning and operation of the NEM.</w:t>
            </w:r>
          </w:p>
          <w:p w14:paraId="27AE517D" w14:textId="194BC5AA" w:rsidR="00AE733D" w:rsidRPr="00A61992" w:rsidRDefault="00382EE8" w:rsidP="00AE733D">
            <w:pPr>
              <w:pStyle w:val="RecsBox"/>
            </w:pPr>
            <w:r>
              <w:rPr>
                <w:rFonts w:ascii="ZWAdobeF" w:hAnsi="ZWAdobeF" w:cs="ZWAdobeF"/>
                <w:sz w:val="2"/>
                <w:szCs w:val="2"/>
              </w:rPr>
              <w:t>1537B</w:t>
            </w:r>
            <w:r w:rsidR="00A61992" w:rsidRPr="00FA5D32">
              <w:t>Following the completion of Recommendation 6, investigate if this approach could be applied to other Snowy and Snowy Montane Rivers.</w:t>
            </w:r>
          </w:p>
        </w:tc>
      </w:tr>
    </w:tbl>
    <w:p w14:paraId="0C2BE587" w14:textId="27D17487" w:rsidR="00E52196" w:rsidRPr="009262AF" w:rsidRDefault="00E52196" w:rsidP="77664E54"/>
    <w:p w14:paraId="5041DF4F" w14:textId="3F579E42" w:rsidR="00DE305F" w:rsidRDefault="00DE305F" w:rsidP="2D43C0C0">
      <w:r>
        <w:br w:type="page"/>
      </w:r>
    </w:p>
    <w:p w14:paraId="1F5F1522" w14:textId="77777777" w:rsidR="00330752" w:rsidRPr="009262AF" w:rsidRDefault="00330752" w:rsidP="2D43C0C0"/>
    <w:p w14:paraId="78854958" w14:textId="1808810E" w:rsidR="00E4506D" w:rsidRDefault="00382EE8" w:rsidP="00115BD6">
      <w:pPr>
        <w:pStyle w:val="ReviewHeading"/>
        <w:numPr>
          <w:ilvl w:val="0"/>
          <w:numId w:val="95"/>
        </w:numPr>
        <w:ind w:left="426"/>
      </w:pPr>
      <w:bookmarkStart w:id="73" w:name="_Toc233285607"/>
      <w:bookmarkStart w:id="74" w:name="_Toc233801486"/>
      <w:r>
        <w:rPr>
          <w:rFonts w:ascii="ZWAdobeF" w:hAnsi="ZWAdobeF" w:cs="ZWAdobeF"/>
          <w:b w:val="0"/>
          <w:color w:val="auto"/>
          <w:spacing w:val="0"/>
          <w:sz w:val="2"/>
          <w:szCs w:val="2"/>
        </w:rPr>
        <w:t>1664B</w:t>
      </w:r>
      <w:r w:rsidR="000C1863">
        <w:t>New Objectives and Governance</w:t>
      </w:r>
      <w:bookmarkEnd w:id="73"/>
      <w:bookmarkEnd w:id="74"/>
    </w:p>
    <w:p w14:paraId="58D7E854" w14:textId="77777777" w:rsidR="00A037BF" w:rsidRDefault="00A037BF" w:rsidP="00737A42"/>
    <w:p w14:paraId="1F34040C" w14:textId="4FF2287F" w:rsidR="00737A42" w:rsidRPr="00737A42" w:rsidRDefault="00382EE8" w:rsidP="00737A42">
      <w:r>
        <w:rPr>
          <w:rFonts w:ascii="ZWAdobeF" w:hAnsi="ZWAdobeF" w:cs="ZWAdobeF"/>
          <w:sz w:val="2"/>
          <w:szCs w:val="2"/>
        </w:rPr>
        <w:t>984B</w:t>
      </w:r>
      <w:r w:rsidR="00C678B9" w:rsidRPr="007A4839">
        <w:t xml:space="preserve">This chapter sets out the objectives and governance framework for </w:t>
      </w:r>
      <w:r w:rsidR="4BA6552D">
        <w:t>a</w:t>
      </w:r>
      <w:r w:rsidR="76E5F561">
        <w:t xml:space="preserve"> </w:t>
      </w:r>
      <w:r w:rsidR="40033413">
        <w:t>new</w:t>
      </w:r>
      <w:r w:rsidR="00677B78">
        <w:t xml:space="preserve"> Deed</w:t>
      </w:r>
      <w:r w:rsidR="00C678B9" w:rsidRPr="007A4839">
        <w:t>. These elements are intrinsically linked: objectives define the outcomes the system is intended to achieve, while governance determines how those outcomes are delivered in practice.</w:t>
      </w:r>
      <w:r w:rsidR="00737A42">
        <w:t xml:space="preserve"> </w:t>
      </w:r>
      <w:r w:rsidR="00737A42" w:rsidRPr="00737A42">
        <w:t>Together, objectives and performance indicators provide a “report card” for the system, dependent on effective governance to guide decision-making, coordination and adaptation.</w:t>
      </w:r>
    </w:p>
    <w:p w14:paraId="5E2A0868" w14:textId="4DCA5F81" w:rsidR="00857EE8" w:rsidRDefault="00E55196" w:rsidP="00E55196">
      <w:pPr>
        <w:pStyle w:val="ReviewHeading2"/>
      </w:pPr>
      <w:bookmarkStart w:id="75" w:name="_Toc233285608"/>
      <w:bookmarkStart w:id="76" w:name="_Toc233801487"/>
      <w:r>
        <w:t>5.1 New Shared Objectives</w:t>
      </w:r>
      <w:bookmarkEnd w:id="75"/>
      <w:bookmarkEnd w:id="76"/>
    </w:p>
    <w:p w14:paraId="560DC678" w14:textId="7554C40D" w:rsidR="00865B63" w:rsidRPr="00262FD9" w:rsidRDefault="00382EE8" w:rsidP="00715EBD">
      <w:pPr>
        <w:rPr>
          <w:lang w:eastAsia="en-AU"/>
        </w:rPr>
      </w:pPr>
      <w:r>
        <w:rPr>
          <w:rFonts w:ascii="ZWAdobeF" w:hAnsi="ZWAdobeF" w:cs="ZWAdobeF"/>
          <w:sz w:val="2"/>
          <w:szCs w:val="2"/>
          <w:lang w:eastAsia="en-AU"/>
        </w:rPr>
        <w:t>985B</w:t>
      </w:r>
      <w:r w:rsidR="00865B63" w:rsidRPr="6332CC80">
        <w:rPr>
          <w:lang w:eastAsia="en-AU"/>
        </w:rPr>
        <w:t xml:space="preserve">The </w:t>
      </w:r>
      <w:r w:rsidR="00675D9E" w:rsidRPr="6332CC80">
        <w:rPr>
          <w:lang w:eastAsia="en-AU"/>
        </w:rPr>
        <w:t xml:space="preserve">recommended </w:t>
      </w:r>
      <w:r w:rsidR="00865B63" w:rsidRPr="6332CC80">
        <w:rPr>
          <w:lang w:eastAsia="en-AU"/>
        </w:rPr>
        <w:t>objectives are intended to shift the system toward outcomes-based management, improve transparency and accountability in decision-making, support adaptive management over time, and provide a clear basis for assessing system performance.</w:t>
      </w:r>
    </w:p>
    <w:p w14:paraId="6983DFE7" w14:textId="06A7FAFF" w:rsidR="00865B63" w:rsidRPr="00262FD9" w:rsidRDefault="00382EE8" w:rsidP="00715EBD">
      <w:pPr>
        <w:rPr>
          <w:lang w:eastAsia="en-AU"/>
        </w:rPr>
      </w:pPr>
      <w:r>
        <w:rPr>
          <w:rFonts w:ascii="ZWAdobeF" w:hAnsi="ZWAdobeF" w:cs="ZWAdobeF"/>
          <w:sz w:val="2"/>
          <w:szCs w:val="2"/>
          <w:lang w:eastAsia="en-AU"/>
        </w:rPr>
        <w:t>986B</w:t>
      </w:r>
      <w:r w:rsidR="00865B63" w:rsidRPr="00262FD9">
        <w:rPr>
          <w:lang w:eastAsia="en-AU"/>
        </w:rPr>
        <w:t>Together, these objectives establish a foundation for a performance framework, enabling governments and stakeholders to assess whether the system is delivering intended outcomes and to adapt settings where required.</w:t>
      </w:r>
    </w:p>
    <w:p w14:paraId="033199DB" w14:textId="3795BE08" w:rsidR="00865B63" w:rsidRPr="00262FD9" w:rsidRDefault="00382EE8" w:rsidP="00865B63">
      <w:pPr>
        <w:spacing w:before="100" w:beforeAutospacing="1" w:after="100" w:afterAutospacing="1" w:line="300" w:lineRule="atLeast"/>
        <w:outlineLvl w:val="1"/>
        <w:rPr>
          <w:rFonts w:eastAsia="Times New Roman" w:cs="Calibri"/>
          <w:lang w:eastAsia="en-AU"/>
        </w:rPr>
      </w:pPr>
      <w:r>
        <w:rPr>
          <w:rFonts w:ascii="ZWAdobeF" w:eastAsia="Times New Roman" w:hAnsi="ZWAdobeF" w:cs="ZWAdobeF"/>
          <w:sz w:val="2"/>
          <w:szCs w:val="2"/>
          <w:lang w:eastAsia="en-AU"/>
        </w:rPr>
        <w:t>987B</w:t>
      </w:r>
      <w:r w:rsidR="00865B63" w:rsidRPr="00262FD9">
        <w:rPr>
          <w:rFonts w:eastAsia="Times New Roman" w:cs="Calibri"/>
          <w:lang w:eastAsia="en-AU"/>
        </w:rPr>
        <w:t>The Panel recommends the following objectives for the renewed arrangement:</w:t>
      </w:r>
    </w:p>
    <w:p w14:paraId="20E8207B" w14:textId="5BFDEDB9" w:rsidR="00865B63" w:rsidRPr="00445A5E" w:rsidRDefault="00382EE8" w:rsidP="00F246A4">
      <w:pPr>
        <w:pStyle w:val="ListParagraph"/>
        <w:numPr>
          <w:ilvl w:val="0"/>
          <w:numId w:val="5"/>
        </w:numPr>
        <w:spacing w:before="100" w:beforeAutospacing="1" w:after="100" w:afterAutospacing="1" w:line="276" w:lineRule="auto"/>
        <w:jc w:val="left"/>
        <w:outlineLvl w:val="1"/>
        <w:rPr>
          <w:rFonts w:eastAsia="Times New Roman" w:cs="Calibri"/>
          <w:lang w:eastAsia="en-AU"/>
        </w:rPr>
      </w:pPr>
      <w:r>
        <w:rPr>
          <w:rFonts w:ascii="ZWAdobeF" w:eastAsia="Times New Roman" w:hAnsi="ZWAdobeF" w:cs="ZWAdobeF"/>
          <w:sz w:val="2"/>
          <w:szCs w:val="2"/>
          <w:lang w:eastAsia="en-AU"/>
        </w:rPr>
        <w:t>224B</w:t>
      </w:r>
      <w:r w:rsidR="00865B63" w:rsidRPr="00445A5E">
        <w:rPr>
          <w:rFonts w:eastAsia="Times New Roman" w:cs="Calibri"/>
          <w:b/>
          <w:lang w:eastAsia="en-AU"/>
        </w:rPr>
        <w:t>Improve ecological outcomes</w:t>
      </w:r>
      <w:r w:rsidR="00865B63">
        <w:br/>
      </w:r>
      <w:r w:rsidR="00865B63" w:rsidRPr="00445A5E">
        <w:rPr>
          <w:rFonts w:eastAsia="Times New Roman" w:cs="Calibri"/>
          <w:lang w:eastAsia="en-AU"/>
        </w:rPr>
        <w:t>Protect, improve and maintain the ecological condition, function and resilience of rivers affected by Snowy Scheme operations, including supporting healthy biota, natural river processes and the recovery of threatened species</w:t>
      </w:r>
      <w:r w:rsidR="15D6BF38" w:rsidRPr="00445A5E">
        <w:rPr>
          <w:rFonts w:eastAsia="Times New Roman" w:cs="Calibri"/>
          <w:lang w:eastAsia="en-AU"/>
        </w:rPr>
        <w:t>.</w:t>
      </w:r>
    </w:p>
    <w:p w14:paraId="0432D1D3" w14:textId="74B19715" w:rsidR="00865B63" w:rsidRPr="00262FD9" w:rsidRDefault="00382EE8" w:rsidP="002852C7">
      <w:pPr>
        <w:numPr>
          <w:ilvl w:val="0"/>
          <w:numId w:val="5"/>
        </w:numPr>
        <w:spacing w:before="100" w:beforeAutospacing="1" w:after="100" w:afterAutospacing="1" w:line="276" w:lineRule="auto"/>
        <w:jc w:val="left"/>
        <w:outlineLvl w:val="1"/>
        <w:rPr>
          <w:rFonts w:eastAsia="Times New Roman" w:cs="Calibri"/>
          <w:lang w:eastAsia="en-AU"/>
        </w:rPr>
      </w:pPr>
      <w:r>
        <w:rPr>
          <w:rFonts w:ascii="ZWAdobeF" w:eastAsia="Times New Roman" w:hAnsi="ZWAdobeF" w:cs="ZWAdobeF"/>
          <w:sz w:val="2"/>
          <w:szCs w:val="2"/>
          <w:lang w:eastAsia="en-AU"/>
        </w:rPr>
        <w:t>988B</w:t>
      </w:r>
      <w:r w:rsidR="00865B63" w:rsidRPr="00262FD9">
        <w:rPr>
          <w:rFonts w:eastAsia="Times New Roman" w:cs="Calibri"/>
          <w:b/>
          <w:lang w:eastAsia="en-AU"/>
        </w:rPr>
        <w:t>Maintain water security</w:t>
      </w:r>
      <w:r w:rsidR="00865B63">
        <w:br/>
      </w:r>
      <w:r w:rsidR="00865B63" w:rsidRPr="00262FD9">
        <w:rPr>
          <w:rFonts w:eastAsia="Times New Roman" w:cs="Calibri"/>
          <w:lang w:eastAsia="en-AU"/>
        </w:rPr>
        <w:t>Maintain water security for users in the lower Murrumbidgee River, consistent with entitlement frameworks and national water principles</w:t>
      </w:r>
      <w:r w:rsidR="7EFD744C" w:rsidRPr="1EC6178A">
        <w:rPr>
          <w:rFonts w:eastAsia="Times New Roman" w:cs="Calibri"/>
          <w:lang w:eastAsia="en-AU"/>
        </w:rPr>
        <w:t>.</w:t>
      </w:r>
    </w:p>
    <w:p w14:paraId="2CA84C8B" w14:textId="357C1800" w:rsidR="00865B63" w:rsidRPr="00262FD9" w:rsidRDefault="00382EE8" w:rsidP="002852C7">
      <w:pPr>
        <w:numPr>
          <w:ilvl w:val="0"/>
          <w:numId w:val="5"/>
        </w:numPr>
        <w:spacing w:before="100" w:beforeAutospacing="1" w:after="100" w:afterAutospacing="1" w:line="276" w:lineRule="auto"/>
        <w:jc w:val="left"/>
        <w:outlineLvl w:val="1"/>
        <w:rPr>
          <w:rFonts w:eastAsia="Times New Roman" w:cs="Calibri"/>
          <w:lang w:eastAsia="en-AU"/>
        </w:rPr>
      </w:pPr>
      <w:r>
        <w:rPr>
          <w:rFonts w:ascii="ZWAdobeF" w:eastAsia="Times New Roman" w:hAnsi="ZWAdobeF" w:cs="ZWAdobeF"/>
          <w:sz w:val="2"/>
          <w:szCs w:val="2"/>
          <w:lang w:eastAsia="en-AU"/>
        </w:rPr>
        <w:t>989B</w:t>
      </w:r>
      <w:r w:rsidR="00865B63" w:rsidRPr="00262FD9">
        <w:rPr>
          <w:rFonts w:eastAsia="Times New Roman" w:cs="Calibri"/>
          <w:b/>
          <w:lang w:eastAsia="en-AU"/>
        </w:rPr>
        <w:t>Minimise impacts on energy system outcomes</w:t>
      </w:r>
      <w:r w:rsidR="00865B63">
        <w:br/>
      </w:r>
      <w:r w:rsidR="00865B63" w:rsidRPr="00262FD9">
        <w:rPr>
          <w:rFonts w:eastAsia="Times New Roman" w:cs="Calibri"/>
          <w:lang w:eastAsia="en-AU"/>
        </w:rPr>
        <w:t>Maintain minimal, transparent and manageable impacts on the NEM, ensuring impacts on Snowy Hydro operations are modest and risks to the business are minimised</w:t>
      </w:r>
      <w:r w:rsidR="41056900" w:rsidRPr="1EC6178A">
        <w:rPr>
          <w:rFonts w:eastAsia="Times New Roman" w:cs="Calibri"/>
          <w:lang w:eastAsia="en-AU"/>
        </w:rPr>
        <w:t>.</w:t>
      </w:r>
    </w:p>
    <w:p w14:paraId="4F8D2F83" w14:textId="587C5956" w:rsidR="00865B63" w:rsidRPr="00262FD9" w:rsidRDefault="00382EE8" w:rsidP="002852C7">
      <w:pPr>
        <w:numPr>
          <w:ilvl w:val="0"/>
          <w:numId w:val="5"/>
        </w:numPr>
        <w:spacing w:before="100" w:beforeAutospacing="1" w:after="100" w:afterAutospacing="1" w:line="276" w:lineRule="auto"/>
        <w:jc w:val="left"/>
        <w:outlineLvl w:val="1"/>
        <w:rPr>
          <w:rFonts w:eastAsia="Times New Roman" w:cs="Calibri"/>
          <w:lang w:eastAsia="en-AU"/>
        </w:rPr>
      </w:pPr>
      <w:r>
        <w:rPr>
          <w:rFonts w:ascii="ZWAdobeF" w:eastAsia="Times New Roman" w:hAnsi="ZWAdobeF" w:cs="ZWAdobeF"/>
          <w:sz w:val="2"/>
          <w:szCs w:val="2"/>
          <w:lang w:eastAsia="en-AU"/>
        </w:rPr>
        <w:t>990B</w:t>
      </w:r>
      <w:r w:rsidR="00865B63" w:rsidRPr="00262FD9">
        <w:rPr>
          <w:rFonts w:eastAsia="Times New Roman" w:cs="Calibri"/>
          <w:b/>
          <w:lang w:eastAsia="en-AU"/>
        </w:rPr>
        <w:t>Improve First Nations outcomes</w:t>
      </w:r>
      <w:r w:rsidR="00865B63">
        <w:br/>
      </w:r>
      <w:r w:rsidR="00865B63" w:rsidRPr="00262FD9">
        <w:rPr>
          <w:rFonts w:eastAsia="Times New Roman" w:cs="Calibri"/>
          <w:lang w:eastAsia="en-AU"/>
        </w:rPr>
        <w:t>Enable the staged inclusion and elevation of First Nations in governance, planning and cultural water use, consistent with Closing the Gap</w:t>
      </w:r>
      <w:r w:rsidR="00B73028">
        <w:rPr>
          <w:rFonts w:eastAsia="Times New Roman" w:cs="Calibri"/>
          <w:lang w:eastAsia="en-AU"/>
        </w:rPr>
        <w:t xml:space="preserve"> commitment</w:t>
      </w:r>
      <w:r w:rsidR="00E64A3A">
        <w:rPr>
          <w:rFonts w:eastAsia="Times New Roman" w:cs="Calibri"/>
          <w:lang w:eastAsia="en-AU"/>
        </w:rPr>
        <w:t>s</w:t>
      </w:r>
      <w:r w:rsidR="627B85F5" w:rsidRPr="1EC6178A">
        <w:rPr>
          <w:rFonts w:eastAsia="Times New Roman" w:cs="Calibri"/>
          <w:lang w:eastAsia="en-AU"/>
        </w:rPr>
        <w:t>.</w:t>
      </w:r>
    </w:p>
    <w:p w14:paraId="76648536" w14:textId="1B31970C" w:rsidR="00865B63" w:rsidRPr="00262FD9" w:rsidRDefault="00382EE8" w:rsidP="002852C7">
      <w:pPr>
        <w:numPr>
          <w:ilvl w:val="0"/>
          <w:numId w:val="5"/>
        </w:numPr>
        <w:spacing w:before="100" w:beforeAutospacing="1" w:after="100" w:afterAutospacing="1" w:line="276" w:lineRule="auto"/>
        <w:jc w:val="left"/>
        <w:outlineLvl w:val="1"/>
        <w:rPr>
          <w:rFonts w:eastAsia="Times New Roman" w:cs="Calibri"/>
          <w:lang w:eastAsia="en-AU"/>
        </w:rPr>
      </w:pPr>
      <w:r>
        <w:rPr>
          <w:rFonts w:ascii="ZWAdobeF" w:eastAsia="Times New Roman" w:hAnsi="ZWAdobeF" w:cs="ZWAdobeF"/>
          <w:sz w:val="2"/>
          <w:szCs w:val="2"/>
          <w:lang w:eastAsia="en-AU"/>
        </w:rPr>
        <w:t>991B</w:t>
      </w:r>
      <w:r w:rsidR="00865B63" w:rsidRPr="00262FD9">
        <w:rPr>
          <w:rFonts w:eastAsia="Times New Roman" w:cs="Calibri"/>
          <w:b/>
          <w:lang w:eastAsia="en-AU"/>
        </w:rPr>
        <w:t>Improve community participation and transparency</w:t>
      </w:r>
      <w:r w:rsidR="00865B63">
        <w:br/>
      </w:r>
      <w:r w:rsidR="00865B63" w:rsidRPr="00262FD9">
        <w:rPr>
          <w:rFonts w:eastAsia="Times New Roman" w:cs="Calibri"/>
          <w:lang w:eastAsia="en-AU"/>
        </w:rPr>
        <w:t xml:space="preserve">Strengthen stakeholder engagement, access to information and transparent and timely release in decision-making </w:t>
      </w:r>
      <w:r w:rsidR="00865B63" w:rsidRPr="1DDF6884">
        <w:rPr>
          <w:rFonts w:eastAsia="Times New Roman" w:cs="Calibri"/>
          <w:lang w:eastAsia="en-AU"/>
        </w:rPr>
        <w:t>processes</w:t>
      </w:r>
      <w:r w:rsidR="589DE8ED" w:rsidRPr="1EC6178A">
        <w:rPr>
          <w:rFonts w:eastAsia="Times New Roman" w:cs="Calibri"/>
          <w:lang w:eastAsia="en-AU"/>
        </w:rPr>
        <w:t>.</w:t>
      </w:r>
    </w:p>
    <w:p w14:paraId="0957538B" w14:textId="7473D7FA" w:rsidR="00865B63" w:rsidRPr="00262FD9" w:rsidRDefault="00382EE8" w:rsidP="002852C7">
      <w:pPr>
        <w:numPr>
          <w:ilvl w:val="0"/>
          <w:numId w:val="5"/>
        </w:numPr>
        <w:spacing w:before="100" w:beforeAutospacing="1" w:after="100" w:afterAutospacing="1" w:line="276" w:lineRule="auto"/>
        <w:jc w:val="left"/>
        <w:outlineLvl w:val="1"/>
        <w:rPr>
          <w:rFonts w:eastAsia="Times New Roman" w:cs="Calibri"/>
          <w:lang w:eastAsia="en-AU"/>
        </w:rPr>
      </w:pPr>
      <w:r>
        <w:rPr>
          <w:rFonts w:ascii="ZWAdobeF" w:eastAsia="Times New Roman" w:hAnsi="ZWAdobeF" w:cs="ZWAdobeF"/>
          <w:bCs/>
          <w:sz w:val="2"/>
          <w:szCs w:val="2"/>
          <w:lang w:eastAsia="en-AU"/>
        </w:rPr>
        <w:t>992B</w:t>
      </w:r>
      <w:r w:rsidR="00865B63" w:rsidRPr="6332CC80">
        <w:rPr>
          <w:rFonts w:eastAsia="Times New Roman" w:cs="Calibri"/>
          <w:b/>
          <w:bCs/>
          <w:lang w:eastAsia="en-AU"/>
        </w:rPr>
        <w:t>Achieve public trust and confidence</w:t>
      </w:r>
      <w:r w:rsidR="00865B63">
        <w:br/>
      </w:r>
      <w:r w:rsidR="00865B63" w:rsidRPr="6332CC80">
        <w:rPr>
          <w:rFonts w:eastAsia="Times New Roman" w:cs="Calibri"/>
          <w:lang w:eastAsia="en-AU"/>
        </w:rPr>
        <w:t>Implement clear, measurable and enforceable arrangements that can evolve over time in response to new information, climate variability and changing community expectations.</w:t>
      </w:r>
    </w:p>
    <w:p w14:paraId="762CB6C3" w14:textId="2F6FF0C1" w:rsidR="00865B63" w:rsidRPr="00262FD9" w:rsidRDefault="00382EE8" w:rsidP="00865B63">
      <w:pPr>
        <w:spacing w:before="100" w:beforeAutospacing="1" w:after="100" w:afterAutospacing="1" w:line="300" w:lineRule="atLeast"/>
        <w:outlineLvl w:val="2"/>
        <w:rPr>
          <w:rFonts w:eastAsia="Times New Roman" w:cs="Calibri"/>
          <w:lang w:eastAsia="en-AU"/>
        </w:rPr>
      </w:pPr>
      <w:r>
        <w:rPr>
          <w:rFonts w:ascii="ZWAdobeF" w:eastAsia="Times New Roman" w:hAnsi="ZWAdobeF" w:cs="ZWAdobeF"/>
          <w:sz w:val="2"/>
          <w:szCs w:val="2"/>
          <w:lang w:eastAsia="en-AU"/>
        </w:rPr>
        <w:lastRenderedPageBreak/>
        <w:t>993B</w:t>
      </w:r>
      <w:r w:rsidR="00865B63" w:rsidRPr="00262FD9">
        <w:rPr>
          <w:rFonts w:eastAsia="Times New Roman" w:cs="Calibri"/>
          <w:lang w:eastAsia="en-AU"/>
        </w:rPr>
        <w:t xml:space="preserve">Specific objectives </w:t>
      </w:r>
      <w:r w:rsidR="009807D9" w:rsidRPr="00262FD9">
        <w:rPr>
          <w:rFonts w:eastAsia="Times New Roman" w:cs="Calibri"/>
          <w:lang w:eastAsia="en-AU"/>
        </w:rPr>
        <w:t>proposed</w:t>
      </w:r>
      <w:r w:rsidR="00865B63" w:rsidRPr="00262FD9">
        <w:rPr>
          <w:rFonts w:eastAsia="Times New Roman" w:cs="Calibri"/>
          <w:lang w:eastAsia="en-AU"/>
        </w:rPr>
        <w:t xml:space="preserve"> for the Upper Murrumbidgee River are set out </w:t>
      </w:r>
      <w:r w:rsidR="00865B63" w:rsidRPr="00DE305F">
        <w:rPr>
          <w:rFonts w:eastAsia="Times New Roman" w:cs="Calibri"/>
          <w:lang w:eastAsia="en-AU"/>
        </w:rPr>
        <w:t xml:space="preserve">at </w:t>
      </w:r>
      <w:r w:rsidR="00865B63" w:rsidRPr="00DE305F">
        <w:rPr>
          <w:rFonts w:eastAsia="Times New Roman" w:cs="Calibri"/>
          <w:b/>
          <w:bCs/>
          <w:lang w:eastAsia="en-AU"/>
        </w:rPr>
        <w:t xml:space="preserve">Box </w:t>
      </w:r>
      <w:r w:rsidR="00DE305F" w:rsidRPr="00DE305F">
        <w:rPr>
          <w:rFonts w:eastAsia="Times New Roman" w:cs="Calibri"/>
          <w:b/>
          <w:bCs/>
          <w:lang w:eastAsia="en-AU"/>
        </w:rPr>
        <w:t>3</w:t>
      </w:r>
      <w:r w:rsidR="00865B63" w:rsidRPr="00DE305F">
        <w:rPr>
          <w:rFonts w:eastAsia="Times New Roman" w:cs="Calibri"/>
          <w:lang w:eastAsia="en-AU"/>
        </w:rPr>
        <w:t>. These</w:t>
      </w:r>
      <w:r w:rsidR="00865B63" w:rsidRPr="00262FD9">
        <w:rPr>
          <w:rFonts w:eastAsia="Times New Roman" w:cs="Calibri"/>
          <w:lang w:eastAsia="en-AU"/>
        </w:rPr>
        <w:t xml:space="preserve"> objectives focus on restoring key physical processes and improving the condition and resilience of aquatic ecosystems.</w:t>
      </w:r>
    </w:p>
    <w:p w14:paraId="2C6C4AAE" w14:textId="73701F5C" w:rsidR="00865B63" w:rsidRPr="00262FD9" w:rsidRDefault="00DE305F" w:rsidP="00865B63">
      <w:pPr>
        <w:spacing w:before="100" w:beforeAutospacing="1" w:after="100" w:afterAutospacing="1" w:line="300" w:lineRule="atLeast"/>
        <w:rPr>
          <w:rFonts w:eastAsia="Times New Roman" w:cs="Calibri"/>
          <w:lang w:eastAsia="en-AU"/>
        </w:rPr>
      </w:pPr>
      <w:r>
        <w:rPr>
          <w:noProof/>
        </w:rPr>
        <mc:AlternateContent>
          <mc:Choice Requires="wps">
            <w:drawing>
              <wp:anchor distT="0" distB="0" distL="114300" distR="114300" simplePos="0" relativeHeight="251658256" behindDoc="0" locked="0" layoutInCell="1" allowOverlap="1" wp14:anchorId="5EF7BED1" wp14:editId="63E9228E">
                <wp:simplePos x="0" y="0"/>
                <wp:positionH relativeFrom="margin">
                  <wp:align>right</wp:align>
                </wp:positionH>
                <wp:positionV relativeFrom="paragraph">
                  <wp:posOffset>845820</wp:posOffset>
                </wp:positionV>
                <wp:extent cx="5858510" cy="159385"/>
                <wp:effectExtent l="0" t="0" r="8890" b="0"/>
                <wp:wrapSquare wrapText="bothSides"/>
                <wp:docPr id="727993764" name="Text Box 1" descr="P1181TB17#y1"/>
                <wp:cNvGraphicFramePr/>
                <a:graphic xmlns:a="http://schemas.openxmlformats.org/drawingml/2006/main">
                  <a:graphicData uri="http://schemas.microsoft.com/office/word/2010/wordprocessingShape">
                    <wps:wsp>
                      <wps:cNvSpPr txBox="1"/>
                      <wps:spPr>
                        <a:xfrm>
                          <a:off x="0" y="0"/>
                          <a:ext cx="5858510" cy="159385"/>
                        </a:xfrm>
                        <a:prstGeom prst="rect">
                          <a:avLst/>
                        </a:prstGeom>
                        <a:solidFill>
                          <a:prstClr val="white"/>
                        </a:solidFill>
                        <a:ln>
                          <a:noFill/>
                        </a:ln>
                      </wps:spPr>
                      <wps:txbx>
                        <w:txbxContent>
                          <w:p w14:paraId="672599CE" w14:textId="379884C5" w:rsidR="00DE305F" w:rsidRPr="00DE305F" w:rsidRDefault="00DE305F" w:rsidP="00DE305F">
                            <w:pPr>
                              <w:pStyle w:val="Caption"/>
                              <w:shd w:val="clear" w:color="auto" w:fill="DAE9F7" w:themeFill="text2" w:themeFillTint="1A"/>
                              <w:rPr>
                                <w:b/>
                                <w:bCs/>
                                <w:noProof/>
                                <w:color w:val="auto"/>
                                <w:sz w:val="24"/>
                                <w:szCs w:val="20"/>
                              </w:rPr>
                            </w:pPr>
                            <w:r w:rsidRPr="00DE305F">
                              <w:rPr>
                                <w:b/>
                                <w:bCs/>
                                <w:color w:val="auto"/>
                                <w:sz w:val="20"/>
                                <w:szCs w:val="20"/>
                              </w:rPr>
                              <w:t xml:space="preserve">Box </w:t>
                            </w:r>
                            <w:r w:rsidRPr="00DE305F">
                              <w:rPr>
                                <w:b/>
                                <w:bCs/>
                                <w:color w:val="auto"/>
                                <w:sz w:val="20"/>
                                <w:szCs w:val="20"/>
                              </w:rPr>
                              <w:fldChar w:fldCharType="begin"/>
                            </w:r>
                            <w:r w:rsidRPr="00DE305F">
                              <w:rPr>
                                <w:b/>
                                <w:bCs/>
                                <w:color w:val="auto"/>
                                <w:sz w:val="20"/>
                                <w:szCs w:val="20"/>
                              </w:rPr>
                              <w:instrText xml:space="preserve"> SEQ Box \* ARABIC </w:instrText>
                            </w:r>
                            <w:r w:rsidRPr="00DE305F">
                              <w:rPr>
                                <w:b/>
                                <w:bCs/>
                                <w:color w:val="auto"/>
                                <w:sz w:val="20"/>
                                <w:szCs w:val="20"/>
                              </w:rPr>
                              <w:fldChar w:fldCharType="separate"/>
                            </w:r>
                            <w:r w:rsidR="0005178F">
                              <w:rPr>
                                <w:b/>
                                <w:bCs/>
                                <w:noProof/>
                                <w:color w:val="auto"/>
                                <w:sz w:val="20"/>
                                <w:szCs w:val="20"/>
                              </w:rPr>
                              <w:t>3</w:t>
                            </w:r>
                            <w:r w:rsidRPr="00DE305F">
                              <w:rPr>
                                <w:b/>
                                <w:bCs/>
                                <w:color w:val="auto"/>
                                <w:sz w:val="20"/>
                                <w:szCs w:val="20"/>
                              </w:rPr>
                              <w:fldChar w:fldCharType="end"/>
                            </w:r>
                            <w:r w:rsidRPr="00DE305F">
                              <w:rPr>
                                <w:b/>
                                <w:bCs/>
                                <w:color w:val="auto"/>
                                <w:sz w:val="20"/>
                                <w:szCs w:val="20"/>
                              </w:rPr>
                              <w:t>: Proposed Ecological Objectives for the Upper Murrumbidgee River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BED1" id="_x0000_s1033" type="#_x0000_t202" alt="P1181TB17#y1" style="position:absolute;left:0;text-align:left;margin-left:410.1pt;margin-top:66.6pt;width:461.3pt;height:12.5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" stroked="f">
                <v:textbox inset="0,0,0,0">
                  <w:txbxContent>
                    <w:p w14:paraId="672599CE" w14:textId="379884C5" w:rsidR="00DE305F" w:rsidRPr="00DE305F" w:rsidRDefault="00DE305F" w:rsidP="00DE305F">
                      <w:pPr>
                        <w:pStyle w:val="Caption"/>
                        <w:shd w:val="clear" w:color="auto" w:fill="DAE9F7" w:themeFill="text2" w:themeFillTint="1A"/>
                        <w:rPr>
                          <w:b/>
                          <w:bCs/>
                          <w:noProof/>
                          <w:color w:val="auto"/>
                          <w:sz w:val="24"/>
                          <w:szCs w:val="20"/>
                        </w:rPr>
                      </w:pPr>
                      <w:r w:rsidRPr="00DE305F">
                        <w:rPr>
                          <w:b/>
                          <w:bCs/>
                          <w:color w:val="auto"/>
                          <w:sz w:val="20"/>
                          <w:szCs w:val="20"/>
                        </w:rPr>
                        <w:t xml:space="preserve">Box </w:t>
                      </w:r>
                      <w:r w:rsidRPr="00DE305F">
                        <w:rPr>
                          <w:b/>
                          <w:bCs/>
                          <w:color w:val="auto"/>
                          <w:sz w:val="20"/>
                          <w:szCs w:val="20"/>
                        </w:rPr>
                        <w:fldChar w:fldCharType="begin"/>
                      </w:r>
                      <w:r w:rsidRPr="00DE305F">
                        <w:rPr>
                          <w:b/>
                          <w:bCs/>
                          <w:color w:val="auto"/>
                          <w:sz w:val="20"/>
                          <w:szCs w:val="20"/>
                        </w:rPr>
                        <w:instrText xml:space="preserve"> SEQ Box \* ARABIC </w:instrText>
                      </w:r>
                      <w:r w:rsidRPr="00DE305F">
                        <w:rPr>
                          <w:b/>
                          <w:bCs/>
                          <w:color w:val="auto"/>
                          <w:sz w:val="20"/>
                          <w:szCs w:val="20"/>
                        </w:rPr>
                        <w:fldChar w:fldCharType="separate"/>
                      </w:r>
                      <w:r w:rsidR="0005178F">
                        <w:rPr>
                          <w:b/>
                          <w:bCs/>
                          <w:noProof/>
                          <w:color w:val="auto"/>
                          <w:sz w:val="20"/>
                          <w:szCs w:val="20"/>
                        </w:rPr>
                        <w:t>3</w:t>
                      </w:r>
                      <w:r w:rsidRPr="00DE305F">
                        <w:rPr>
                          <w:b/>
                          <w:bCs/>
                          <w:color w:val="auto"/>
                          <w:sz w:val="20"/>
                          <w:szCs w:val="20"/>
                        </w:rPr>
                        <w:fldChar w:fldCharType="end"/>
                      </w:r>
                      <w:r w:rsidRPr="00DE305F">
                        <w:rPr>
                          <w:b/>
                          <w:bCs/>
                          <w:color w:val="auto"/>
                          <w:sz w:val="20"/>
                          <w:szCs w:val="20"/>
                        </w:rPr>
                        <w:t>: Proposed Ecological Objectives for the Upper Murrumbidgee River</w:t>
                      </w:r>
                    </w:p>
                  </w:txbxContent>
                </v:textbox>
                <w10:wrap type="square" anchorx="margin"/>
              </v:shape>
            </w:pict>
          </mc:Fallback>
        </mc:AlternateContent>
      </w:r>
      <w:r w:rsidR="00C91537">
        <w:rPr>
          <w:noProof/>
        </w:rPr>
        <mc:AlternateContent>
          <mc:Choice Requires="wps">
            <w:drawing>
              <wp:anchor distT="45720" distB="45720" distL="114300" distR="114300" simplePos="0" relativeHeight="251658244" behindDoc="0" locked="0" layoutInCell="1" allowOverlap="1" wp14:anchorId="0B048889" wp14:editId="594C9122">
                <wp:simplePos x="0" y="0"/>
                <wp:positionH relativeFrom="margin">
                  <wp:posOffset>-58420</wp:posOffset>
                </wp:positionH>
                <wp:positionV relativeFrom="paragraph">
                  <wp:posOffset>785495</wp:posOffset>
                </wp:positionV>
                <wp:extent cx="6082030" cy="2005330"/>
                <wp:effectExtent l="38100" t="38100" r="90170" b="90170"/>
                <wp:wrapSquare wrapText="bothSides"/>
                <wp:docPr id="1273339193" name="Text Box 2" descr="P1181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2005330"/>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6F0393F8" w14:textId="7CD7D73D" w:rsidR="00C91537" w:rsidRPr="00F246A4" w:rsidRDefault="00C91537" w:rsidP="00C91537">
                            <w:pPr>
                              <w:rPr>
                                <w:b/>
                                <w:sz w:val="18"/>
                                <w:szCs w:val="20"/>
                              </w:rPr>
                            </w:pPr>
                          </w:p>
                          <w:p w14:paraId="77507426" w14:textId="77777777" w:rsidR="00C91537" w:rsidRPr="00F246A4" w:rsidRDefault="00C91537" w:rsidP="00C91537">
                            <w:pPr>
                              <w:rPr>
                                <w:b/>
                                <w:sz w:val="18"/>
                                <w:szCs w:val="20"/>
                              </w:rPr>
                            </w:pPr>
                            <w:r w:rsidRPr="00F246A4">
                              <w:rPr>
                                <w:b/>
                                <w:sz w:val="18"/>
                                <w:szCs w:val="20"/>
                              </w:rPr>
                              <w:t>Physical Process Objectives</w:t>
                            </w:r>
                          </w:p>
                          <w:p w14:paraId="6484CBAA" w14:textId="77777777" w:rsidR="00C91537" w:rsidRPr="00F246A4" w:rsidRDefault="00C91537" w:rsidP="00115BD6">
                            <w:pPr>
                              <w:pStyle w:val="ListParagraph"/>
                              <w:numPr>
                                <w:ilvl w:val="0"/>
                                <w:numId w:val="105"/>
                              </w:numPr>
                              <w:ind w:left="709" w:hanging="349"/>
                              <w:rPr>
                                <w:sz w:val="18"/>
                                <w:szCs w:val="20"/>
                              </w:rPr>
                            </w:pPr>
                            <w:r w:rsidRPr="00F246A4">
                              <w:rPr>
                                <w:sz w:val="18"/>
                                <w:szCs w:val="20"/>
                              </w:rPr>
                              <w:t>Flow components align with aspects of the natural regimes</w:t>
                            </w:r>
                          </w:p>
                          <w:p w14:paraId="55862E52" w14:textId="77777777" w:rsidR="00C91537" w:rsidRPr="00F246A4" w:rsidRDefault="00C91537" w:rsidP="00115BD6">
                            <w:pPr>
                              <w:pStyle w:val="ListParagraph"/>
                              <w:numPr>
                                <w:ilvl w:val="0"/>
                                <w:numId w:val="105"/>
                              </w:numPr>
                              <w:ind w:left="709" w:hanging="349"/>
                              <w:rPr>
                                <w:sz w:val="18"/>
                                <w:szCs w:val="20"/>
                              </w:rPr>
                            </w:pPr>
                            <w:r w:rsidRPr="00F246A4">
                              <w:rPr>
                                <w:sz w:val="18"/>
                                <w:szCs w:val="20"/>
                              </w:rPr>
                              <w:t>Flow regime that mobilises sediment</w:t>
                            </w:r>
                            <w:r w:rsidRPr="00F246A4">
                              <w:rPr>
                                <w:rFonts w:ascii="Arial" w:hAnsi="Arial" w:cs="Arial"/>
                                <w:sz w:val="18"/>
                                <w:szCs w:val="20"/>
                              </w:rPr>
                              <w:t> </w:t>
                            </w:r>
                            <w:r w:rsidRPr="00F246A4">
                              <w:rPr>
                                <w:sz w:val="18"/>
                                <w:szCs w:val="20"/>
                              </w:rPr>
                              <w:t xml:space="preserve"> </w:t>
                            </w:r>
                          </w:p>
                          <w:p w14:paraId="17ABD968" w14:textId="47E25A8F" w:rsidR="00C91537" w:rsidRPr="00F246A4" w:rsidRDefault="00C91537" w:rsidP="00115BD6">
                            <w:pPr>
                              <w:pStyle w:val="ListParagraph"/>
                              <w:numPr>
                                <w:ilvl w:val="0"/>
                                <w:numId w:val="105"/>
                              </w:numPr>
                              <w:ind w:left="709" w:hanging="349"/>
                              <w:rPr>
                                <w:sz w:val="18"/>
                                <w:szCs w:val="20"/>
                              </w:rPr>
                            </w:pPr>
                            <w:r w:rsidRPr="00F246A4">
                              <w:rPr>
                                <w:sz w:val="18"/>
                                <w:szCs w:val="20"/>
                              </w:rPr>
                              <w:t>Maintain water quality that is sufficient to protect and restore ecosystems and ecosystem functions</w:t>
                            </w:r>
                          </w:p>
                          <w:p w14:paraId="36C0278D" w14:textId="77777777" w:rsidR="00C91537" w:rsidRPr="00F246A4" w:rsidRDefault="00C91537" w:rsidP="00C91537">
                            <w:pPr>
                              <w:rPr>
                                <w:b/>
                                <w:sz w:val="18"/>
                                <w:szCs w:val="20"/>
                              </w:rPr>
                            </w:pPr>
                            <w:r w:rsidRPr="00F246A4">
                              <w:rPr>
                                <w:b/>
                                <w:sz w:val="18"/>
                                <w:szCs w:val="20"/>
                              </w:rPr>
                              <w:t>Biotic Objectives</w:t>
                            </w:r>
                          </w:p>
                          <w:p w14:paraId="04BA0B9E" w14:textId="77777777" w:rsidR="00C91537" w:rsidRPr="00F246A4" w:rsidRDefault="00C91537" w:rsidP="00115BD6">
                            <w:pPr>
                              <w:pStyle w:val="ListParagraph"/>
                              <w:numPr>
                                <w:ilvl w:val="0"/>
                                <w:numId w:val="106"/>
                              </w:numPr>
                              <w:ind w:left="709" w:hanging="349"/>
                              <w:rPr>
                                <w:sz w:val="18"/>
                                <w:szCs w:val="20"/>
                              </w:rPr>
                            </w:pPr>
                            <w:r w:rsidRPr="00F246A4">
                              <w:rPr>
                                <w:sz w:val="18"/>
                                <w:szCs w:val="20"/>
                              </w:rPr>
                              <w:t xml:space="preserve">Improved and resilient Macquarie Perch population  </w:t>
                            </w:r>
                          </w:p>
                          <w:p w14:paraId="705C5322" w14:textId="77777777" w:rsidR="00C91537" w:rsidRPr="00F246A4" w:rsidRDefault="00C91537" w:rsidP="00115BD6">
                            <w:pPr>
                              <w:pStyle w:val="ListParagraph"/>
                              <w:numPr>
                                <w:ilvl w:val="0"/>
                                <w:numId w:val="106"/>
                              </w:numPr>
                              <w:ind w:left="709" w:hanging="349"/>
                              <w:rPr>
                                <w:sz w:val="18"/>
                                <w:szCs w:val="20"/>
                              </w:rPr>
                            </w:pPr>
                            <w:r w:rsidRPr="00F246A4">
                              <w:rPr>
                                <w:sz w:val="18"/>
                                <w:szCs w:val="20"/>
                              </w:rPr>
                              <w:t xml:space="preserve">Improved and resilient Murray Cod population  </w:t>
                            </w:r>
                          </w:p>
                          <w:p w14:paraId="20EE3C09" w14:textId="77777777" w:rsidR="00C91537" w:rsidRPr="00F246A4" w:rsidRDefault="00C91537" w:rsidP="00115BD6">
                            <w:pPr>
                              <w:pStyle w:val="ListParagraph"/>
                              <w:numPr>
                                <w:ilvl w:val="0"/>
                                <w:numId w:val="106"/>
                              </w:numPr>
                              <w:ind w:left="709" w:hanging="349"/>
                              <w:rPr>
                                <w:sz w:val="18"/>
                                <w:szCs w:val="20"/>
                              </w:rPr>
                            </w:pPr>
                            <w:r w:rsidRPr="00F246A4">
                              <w:rPr>
                                <w:sz w:val="18"/>
                                <w:szCs w:val="20"/>
                              </w:rPr>
                              <w:t>Improved and resilient macroinvertebrate populations</w:t>
                            </w:r>
                            <w:r w:rsidRPr="00F246A4">
                              <w:rPr>
                                <w:rFonts w:ascii="Arial" w:hAnsi="Arial" w:cs="Arial"/>
                                <w:sz w:val="18"/>
                                <w:szCs w:val="20"/>
                              </w:rPr>
                              <w:t> </w:t>
                            </w:r>
                            <w:r w:rsidRPr="00F246A4">
                              <w:rPr>
                                <w:sz w:val="18"/>
                                <w:szCs w:val="20"/>
                              </w:rPr>
                              <w:t xml:space="preserve"> </w:t>
                            </w:r>
                          </w:p>
                          <w:p w14:paraId="3768C96B" w14:textId="07A78898" w:rsidR="00C91537" w:rsidRPr="00F246A4" w:rsidRDefault="00C91537" w:rsidP="00C91537">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48889" id="_x0000_s1034" type="#_x0000_t202" alt="P1181TB5#y1" style="position:absolute;left:0;text-align:left;margin-left:-4.6pt;margin-top:61.85pt;width:478.9pt;height:15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" fillcolor="#dceaf7 [351]" stroked="f">
                <v:shadow on="t" color="black" opacity="26214f" origin="-.5,-.5" offset=".74836mm,.74836mm"/>
                <v:textbox>
                  <w:txbxContent>
                    <w:p w14:paraId="6F0393F8" w14:textId="7CD7D73D" w:rsidR="00C91537" w:rsidRPr="00F246A4" w:rsidRDefault="00C91537" w:rsidP="00C91537">
                      <w:pPr>
                        <w:rPr>
                          <w:b/>
                          <w:sz w:val="18"/>
                          <w:szCs w:val="20"/>
                        </w:rPr>
                      </w:pPr>
                    </w:p>
                    <w:p w14:paraId="77507426" w14:textId="77777777" w:rsidR="00C91537" w:rsidRPr="00F246A4" w:rsidRDefault="00C91537" w:rsidP="00C91537">
                      <w:pPr>
                        <w:rPr>
                          <w:b/>
                          <w:sz w:val="18"/>
                          <w:szCs w:val="20"/>
                        </w:rPr>
                      </w:pPr>
                      <w:r w:rsidRPr="00F246A4">
                        <w:rPr>
                          <w:b/>
                          <w:sz w:val="18"/>
                          <w:szCs w:val="20"/>
                        </w:rPr>
                        <w:t>Physical Process Objectives</w:t>
                      </w:r>
                    </w:p>
                    <w:p w14:paraId="6484CBAA" w14:textId="77777777" w:rsidR="00C91537" w:rsidRPr="00F246A4" w:rsidRDefault="00C91537" w:rsidP="00115BD6">
                      <w:pPr>
                        <w:pStyle w:val="ListParagraph"/>
                        <w:numPr>
                          <w:ilvl w:val="0"/>
                          <w:numId w:val="105"/>
                        </w:numPr>
                        <w:ind w:left="709" w:hanging="349"/>
                        <w:rPr>
                          <w:sz w:val="18"/>
                          <w:szCs w:val="20"/>
                        </w:rPr>
                      </w:pPr>
                      <w:r w:rsidRPr="00F246A4">
                        <w:rPr>
                          <w:sz w:val="18"/>
                          <w:szCs w:val="20"/>
                        </w:rPr>
                        <w:t>Flow components align with aspects of the natural regimes</w:t>
                      </w:r>
                    </w:p>
                    <w:p w14:paraId="55862E52" w14:textId="77777777" w:rsidR="00C91537" w:rsidRPr="00F246A4" w:rsidRDefault="00C91537" w:rsidP="00115BD6">
                      <w:pPr>
                        <w:pStyle w:val="ListParagraph"/>
                        <w:numPr>
                          <w:ilvl w:val="0"/>
                          <w:numId w:val="105"/>
                        </w:numPr>
                        <w:ind w:left="709" w:hanging="349"/>
                        <w:rPr>
                          <w:sz w:val="18"/>
                          <w:szCs w:val="20"/>
                        </w:rPr>
                      </w:pPr>
                      <w:r w:rsidRPr="00F246A4">
                        <w:rPr>
                          <w:sz w:val="18"/>
                          <w:szCs w:val="20"/>
                        </w:rPr>
                        <w:t>Flow regime that mobilises sediment</w:t>
                      </w:r>
                      <w:r w:rsidRPr="00F246A4">
                        <w:rPr>
                          <w:rFonts w:ascii="Arial" w:hAnsi="Arial" w:cs="Arial"/>
                          <w:sz w:val="18"/>
                          <w:szCs w:val="20"/>
                        </w:rPr>
                        <w:t> </w:t>
                      </w:r>
                      <w:r w:rsidRPr="00F246A4">
                        <w:rPr>
                          <w:sz w:val="18"/>
                          <w:szCs w:val="20"/>
                        </w:rPr>
                        <w:t xml:space="preserve"> </w:t>
                      </w:r>
                    </w:p>
                    <w:p w14:paraId="17ABD968" w14:textId="47E25A8F" w:rsidR="00C91537" w:rsidRPr="00F246A4" w:rsidRDefault="00C91537" w:rsidP="00115BD6">
                      <w:pPr>
                        <w:pStyle w:val="ListParagraph"/>
                        <w:numPr>
                          <w:ilvl w:val="0"/>
                          <w:numId w:val="105"/>
                        </w:numPr>
                        <w:ind w:left="709" w:hanging="349"/>
                        <w:rPr>
                          <w:sz w:val="18"/>
                          <w:szCs w:val="20"/>
                        </w:rPr>
                      </w:pPr>
                      <w:r w:rsidRPr="00F246A4">
                        <w:rPr>
                          <w:sz w:val="18"/>
                          <w:szCs w:val="20"/>
                        </w:rPr>
                        <w:t>Maintain water quality that is sufficient to protect and restore ecosystems and ecosystem functions</w:t>
                      </w:r>
                    </w:p>
                    <w:p w14:paraId="36C0278D" w14:textId="77777777" w:rsidR="00C91537" w:rsidRPr="00F246A4" w:rsidRDefault="00C91537" w:rsidP="00C91537">
                      <w:pPr>
                        <w:rPr>
                          <w:b/>
                          <w:sz w:val="18"/>
                          <w:szCs w:val="20"/>
                        </w:rPr>
                      </w:pPr>
                      <w:r w:rsidRPr="00F246A4">
                        <w:rPr>
                          <w:b/>
                          <w:sz w:val="18"/>
                          <w:szCs w:val="20"/>
                        </w:rPr>
                        <w:t>Biotic Objectives</w:t>
                      </w:r>
                    </w:p>
                    <w:p w14:paraId="04BA0B9E" w14:textId="77777777" w:rsidR="00C91537" w:rsidRPr="00F246A4" w:rsidRDefault="00C91537" w:rsidP="00115BD6">
                      <w:pPr>
                        <w:pStyle w:val="ListParagraph"/>
                        <w:numPr>
                          <w:ilvl w:val="0"/>
                          <w:numId w:val="106"/>
                        </w:numPr>
                        <w:ind w:left="709" w:hanging="349"/>
                        <w:rPr>
                          <w:sz w:val="18"/>
                          <w:szCs w:val="20"/>
                        </w:rPr>
                      </w:pPr>
                      <w:r w:rsidRPr="00F246A4">
                        <w:rPr>
                          <w:sz w:val="18"/>
                          <w:szCs w:val="20"/>
                        </w:rPr>
                        <w:t xml:space="preserve">Improved and resilient Macquarie Perch population  </w:t>
                      </w:r>
                    </w:p>
                    <w:p w14:paraId="705C5322" w14:textId="77777777" w:rsidR="00C91537" w:rsidRPr="00F246A4" w:rsidRDefault="00C91537" w:rsidP="00115BD6">
                      <w:pPr>
                        <w:pStyle w:val="ListParagraph"/>
                        <w:numPr>
                          <w:ilvl w:val="0"/>
                          <w:numId w:val="106"/>
                        </w:numPr>
                        <w:ind w:left="709" w:hanging="349"/>
                        <w:rPr>
                          <w:sz w:val="18"/>
                          <w:szCs w:val="20"/>
                        </w:rPr>
                      </w:pPr>
                      <w:r w:rsidRPr="00F246A4">
                        <w:rPr>
                          <w:sz w:val="18"/>
                          <w:szCs w:val="20"/>
                        </w:rPr>
                        <w:t xml:space="preserve">Improved and resilient Murray Cod population  </w:t>
                      </w:r>
                    </w:p>
                    <w:p w14:paraId="20EE3C09" w14:textId="77777777" w:rsidR="00C91537" w:rsidRPr="00F246A4" w:rsidRDefault="00C91537" w:rsidP="00115BD6">
                      <w:pPr>
                        <w:pStyle w:val="ListParagraph"/>
                        <w:numPr>
                          <w:ilvl w:val="0"/>
                          <w:numId w:val="106"/>
                        </w:numPr>
                        <w:ind w:left="709" w:hanging="349"/>
                        <w:rPr>
                          <w:sz w:val="18"/>
                          <w:szCs w:val="20"/>
                        </w:rPr>
                      </w:pPr>
                      <w:r w:rsidRPr="00F246A4">
                        <w:rPr>
                          <w:sz w:val="18"/>
                          <w:szCs w:val="20"/>
                        </w:rPr>
                        <w:t>Improved and resilient macroinvertebrate populations</w:t>
                      </w:r>
                      <w:r w:rsidRPr="00F246A4">
                        <w:rPr>
                          <w:rFonts w:ascii="Arial" w:hAnsi="Arial" w:cs="Arial"/>
                          <w:sz w:val="18"/>
                          <w:szCs w:val="20"/>
                        </w:rPr>
                        <w:t> </w:t>
                      </w:r>
                      <w:r w:rsidRPr="00F246A4">
                        <w:rPr>
                          <w:sz w:val="18"/>
                          <w:szCs w:val="20"/>
                        </w:rPr>
                        <w:t xml:space="preserve"> </w:t>
                      </w:r>
                    </w:p>
                    <w:p w14:paraId="3768C96B" w14:textId="07A78898" w:rsidR="00C91537" w:rsidRPr="00F246A4" w:rsidRDefault="00C91537" w:rsidP="00C91537">
                      <w:pPr>
                        <w:rPr>
                          <w:sz w:val="16"/>
                          <w:szCs w:val="18"/>
                        </w:rPr>
                      </w:pPr>
                    </w:p>
                  </w:txbxContent>
                </v:textbox>
                <w10:wrap type="square" anchorx="margin"/>
              </v:shape>
            </w:pict>
          </mc:Fallback>
        </mc:AlternateContent>
      </w:r>
      <w:r w:rsidR="00382EE8">
        <w:rPr>
          <w:rFonts w:ascii="ZWAdobeF" w:eastAsia="Times New Roman" w:hAnsi="ZWAdobeF" w:cs="ZWAdobeF"/>
          <w:sz w:val="2"/>
          <w:szCs w:val="2"/>
          <w:lang w:eastAsia="en-AU"/>
        </w:rPr>
        <w:t>994B</w:t>
      </w:r>
      <w:r w:rsidR="00865B63" w:rsidRPr="00262FD9">
        <w:rPr>
          <w:rFonts w:eastAsia="Times New Roman" w:cs="Calibri"/>
          <w:lang w:eastAsia="en-AU"/>
        </w:rPr>
        <w:t>They provide a measurable and outcome-focused basis for environmental water delivery and system performance and are intended as initial targets to support recovery from current conditions, with future review to refine and adapt them over time.</w:t>
      </w:r>
    </w:p>
    <w:p w14:paraId="250B8018" w14:textId="7061CFDC" w:rsidR="009E7B8C" w:rsidRPr="00262FD9" w:rsidRDefault="00382EE8" w:rsidP="009E7B8C">
      <w:pPr>
        <w:spacing w:before="100" w:beforeAutospacing="1" w:after="100" w:afterAutospacing="1" w:line="300" w:lineRule="atLeast"/>
        <w:rPr>
          <w:rFonts w:eastAsia="Times New Roman" w:cs="Calibri"/>
          <w:lang w:eastAsia="en-AU"/>
        </w:rPr>
      </w:pPr>
      <w:r>
        <w:rPr>
          <w:rFonts w:ascii="ZWAdobeF" w:eastAsia="Times New Roman" w:hAnsi="ZWAdobeF" w:cs="ZWAdobeF"/>
          <w:sz w:val="2"/>
          <w:szCs w:val="2"/>
          <w:lang w:eastAsia="en-AU"/>
        </w:rPr>
        <w:t>995B</w:t>
      </w:r>
      <w:r w:rsidR="009E7B8C" w:rsidRPr="00262FD9">
        <w:rPr>
          <w:rFonts w:eastAsia="Times New Roman" w:cs="Calibri"/>
          <w:lang w:eastAsia="en-AU"/>
        </w:rPr>
        <w:t>Ecological objectives for the Snowy River should be developed as a priority (within 3 years) under the renewed arrangement to guide outcome-based environmental water delivery.</w:t>
      </w:r>
    </w:p>
    <w:p w14:paraId="1040D8EE" w14:textId="7CC478B7" w:rsidR="006D3E10" w:rsidRDefault="00B85AD7" w:rsidP="00CC7A58">
      <w:pPr>
        <w:pStyle w:val="ReviewHeading2"/>
        <w:jc w:val="left"/>
      </w:pPr>
      <w:bookmarkStart w:id="77" w:name="_Toc233285609"/>
      <w:bookmarkStart w:id="78" w:name="_Toc233801488"/>
      <w:r>
        <w:t>5.2</w:t>
      </w:r>
      <w:r w:rsidR="00891267">
        <w:t xml:space="preserve"> </w:t>
      </w:r>
      <w:r w:rsidR="00B1770C">
        <w:t>From objectives to system governance and performance</w:t>
      </w:r>
      <w:bookmarkEnd w:id="77"/>
      <w:bookmarkEnd w:id="78"/>
    </w:p>
    <w:p w14:paraId="44D04E47" w14:textId="181B74F0" w:rsidR="009B1905" w:rsidRDefault="00382EE8" w:rsidP="00DC1EA1">
      <w:pPr>
        <w:rPr>
          <w:lang w:eastAsia="en-AU"/>
        </w:rPr>
      </w:pPr>
      <w:r>
        <w:rPr>
          <w:rFonts w:ascii="ZWAdobeF" w:hAnsi="ZWAdobeF" w:cs="ZWAdobeF"/>
          <w:sz w:val="2"/>
          <w:szCs w:val="2"/>
          <w:lang w:eastAsia="en-AU"/>
        </w:rPr>
        <w:t>996B</w:t>
      </w:r>
      <w:r w:rsidR="3CA68BDC" w:rsidRPr="6332CC80">
        <w:rPr>
          <w:lang w:eastAsia="en-AU"/>
        </w:rPr>
        <w:t xml:space="preserve">The </w:t>
      </w:r>
      <w:r w:rsidR="00C069F5">
        <w:rPr>
          <w:lang w:eastAsia="en-AU"/>
        </w:rPr>
        <w:t xml:space="preserve">system </w:t>
      </w:r>
      <w:r w:rsidR="3CA68BDC" w:rsidRPr="6332CC80">
        <w:rPr>
          <w:lang w:eastAsia="en-AU"/>
        </w:rPr>
        <w:t xml:space="preserve">objectives and </w:t>
      </w:r>
      <w:r w:rsidR="007B1812">
        <w:rPr>
          <w:lang w:eastAsia="en-AU"/>
        </w:rPr>
        <w:t xml:space="preserve">associated </w:t>
      </w:r>
      <w:r w:rsidR="3CA68BDC" w:rsidRPr="6332CC80">
        <w:rPr>
          <w:lang w:eastAsia="en-AU"/>
        </w:rPr>
        <w:t xml:space="preserve">performance indicators jointly establish a </w:t>
      </w:r>
      <w:r w:rsidR="007B1812">
        <w:rPr>
          <w:lang w:eastAsia="en-AU"/>
        </w:rPr>
        <w:t>clear framework for assessing overall system performance</w:t>
      </w:r>
      <w:r w:rsidR="3CA68BDC" w:rsidRPr="6332CC80">
        <w:rPr>
          <w:lang w:eastAsia="en-AU"/>
        </w:rPr>
        <w:t>.</w:t>
      </w:r>
      <w:r w:rsidR="00E40718">
        <w:rPr>
          <w:lang w:eastAsia="en-AU"/>
        </w:rPr>
        <w:t xml:space="preserve"> Together, they function as a “report card” that enables government</w:t>
      </w:r>
      <w:r w:rsidR="001E5CCA">
        <w:rPr>
          <w:lang w:eastAsia="en-AU"/>
        </w:rPr>
        <w:t xml:space="preserve">s and stakeholders to evaluate progress and support accountability. </w:t>
      </w:r>
      <w:r w:rsidR="3CA68BDC" w:rsidRPr="6332CC80">
        <w:rPr>
          <w:lang w:eastAsia="en-AU"/>
        </w:rPr>
        <w:t xml:space="preserve"> </w:t>
      </w:r>
    </w:p>
    <w:p w14:paraId="6B5E63C7" w14:textId="6B46D9B9" w:rsidR="009B1905" w:rsidRDefault="00382EE8" w:rsidP="009B1905">
      <w:pPr>
        <w:rPr>
          <w:lang w:eastAsia="en-AU"/>
        </w:rPr>
      </w:pPr>
      <w:r>
        <w:rPr>
          <w:rFonts w:ascii="ZWAdobeF" w:hAnsi="ZWAdobeF" w:cs="ZWAdobeF"/>
          <w:sz w:val="2"/>
          <w:szCs w:val="2"/>
          <w:lang w:eastAsia="en-AU"/>
        </w:rPr>
        <w:t>997B</w:t>
      </w:r>
      <w:r w:rsidR="009B1905" w:rsidRPr="009B1905">
        <w:rPr>
          <w:lang w:eastAsia="en-AU"/>
        </w:rPr>
        <w:t>Performance indicators provide a consistent and measurable basis for assessing whether the system is delivering intended outcomes. They support evidence-based decision-making, enable transparency and underpin adaptive management over time.</w:t>
      </w:r>
    </w:p>
    <w:p w14:paraId="5B4601AC" w14:textId="7AE982AB" w:rsidR="009B1905" w:rsidRPr="00262FD9" w:rsidDel="002A12F6" w:rsidRDefault="00382EE8" w:rsidP="009B1905">
      <w:pPr>
        <w:pStyle w:val="NormalWeb"/>
        <w:spacing w:line="300" w:lineRule="atLeast"/>
        <w:rPr>
          <w:rFonts w:asciiTheme="minorHAnsi" w:hAnsiTheme="minorHAnsi" w:cs="Calibri"/>
        </w:rPr>
      </w:pPr>
      <w:r>
        <w:rPr>
          <w:rFonts w:ascii="ZWAdobeF" w:hAnsi="ZWAdobeF" w:cs="ZWAdobeF"/>
          <w:sz w:val="2"/>
          <w:szCs w:val="2"/>
        </w:rPr>
        <w:t>1498B</w:t>
      </w:r>
      <w:r w:rsidR="009B1905" w:rsidRPr="6332CC80" w:rsidDel="002A12F6">
        <w:rPr>
          <w:rFonts w:asciiTheme="minorHAnsi" w:hAnsiTheme="minorHAnsi" w:cs="Calibri"/>
        </w:rPr>
        <w:t xml:space="preserve">Each objective should be supported by clearly defined, measurable performance indicators. </w:t>
      </w:r>
    </w:p>
    <w:p w14:paraId="0ECB8918" w14:textId="0DAE8323" w:rsidR="00E53C1D" w:rsidRPr="00D709A0" w:rsidRDefault="00382EE8" w:rsidP="00E53C1D">
      <w:pPr>
        <w:pStyle w:val="Caption"/>
        <w:keepNext/>
        <w:rPr>
          <w:b/>
          <w:i w:val="0"/>
          <w:color w:val="auto"/>
          <w:sz w:val="20"/>
          <w:szCs w:val="20"/>
        </w:rPr>
      </w:pPr>
      <w:r>
        <w:rPr>
          <w:rFonts w:ascii="ZWAdobeF" w:hAnsi="ZWAdobeF" w:cs="ZWAdobeF"/>
          <w:i w:val="0"/>
          <w:color w:val="auto"/>
          <w:sz w:val="2"/>
          <w:szCs w:val="2"/>
        </w:rPr>
        <w:t>8B</w:t>
      </w:r>
      <w:r w:rsidR="00E53C1D" w:rsidRPr="00D709A0">
        <w:rPr>
          <w:b/>
          <w:i w:val="0"/>
          <w:color w:val="auto"/>
          <w:sz w:val="20"/>
          <w:szCs w:val="20"/>
        </w:rPr>
        <w:t xml:space="preserve">Table </w:t>
      </w:r>
      <w:r w:rsidR="00E53C1D" w:rsidRPr="00D709A0">
        <w:rPr>
          <w:b/>
          <w:i w:val="0"/>
          <w:color w:val="auto"/>
          <w:sz w:val="20"/>
          <w:szCs w:val="20"/>
        </w:rPr>
        <w:fldChar w:fldCharType="begin"/>
      </w:r>
      <w:r w:rsidR="00E53C1D" w:rsidRPr="00D709A0">
        <w:rPr>
          <w:b/>
          <w:i w:val="0"/>
          <w:color w:val="auto"/>
          <w:sz w:val="20"/>
          <w:szCs w:val="20"/>
        </w:rPr>
        <w:instrText xml:space="preserve"> SEQ Table \* ARABIC </w:instrText>
      </w:r>
      <w:r w:rsidR="00E53C1D" w:rsidRPr="00D709A0">
        <w:rPr>
          <w:b/>
          <w:i w:val="0"/>
          <w:color w:val="auto"/>
          <w:sz w:val="20"/>
          <w:szCs w:val="20"/>
        </w:rPr>
        <w:fldChar w:fldCharType="separate"/>
      </w:r>
      <w:r w:rsidR="0005178F">
        <w:rPr>
          <w:b/>
          <w:i w:val="0"/>
          <w:noProof/>
          <w:color w:val="auto"/>
          <w:sz w:val="20"/>
          <w:szCs w:val="20"/>
        </w:rPr>
        <w:t>3</w:t>
      </w:r>
      <w:r w:rsidR="00E53C1D" w:rsidRPr="00D709A0">
        <w:rPr>
          <w:b/>
          <w:i w:val="0"/>
          <w:color w:val="auto"/>
          <w:sz w:val="20"/>
          <w:szCs w:val="20"/>
        </w:rPr>
        <w:fldChar w:fldCharType="end"/>
      </w:r>
      <w:r w:rsidR="00E53C1D" w:rsidRPr="00D709A0">
        <w:rPr>
          <w:b/>
          <w:i w:val="0"/>
          <w:color w:val="auto"/>
          <w:sz w:val="20"/>
          <w:szCs w:val="20"/>
        </w:rPr>
        <w:t xml:space="preserve">: Objective and Performance </w:t>
      </w:r>
      <w:r w:rsidR="00E53C1D" w:rsidRPr="00D709A0">
        <w:rPr>
          <w:b/>
          <w:bCs/>
          <w:i w:val="0"/>
          <w:iCs w:val="0"/>
          <w:color w:val="auto"/>
          <w:sz w:val="20"/>
          <w:szCs w:val="20"/>
        </w:rPr>
        <w:t>Indicator</w:t>
      </w:r>
      <w:r w:rsidR="00D709A0">
        <w:rPr>
          <w:b/>
          <w:bCs/>
          <w:i w:val="0"/>
          <w:iCs w:val="0"/>
          <w:color w:val="auto"/>
          <w:sz w:val="20"/>
          <w:szCs w:val="20"/>
        </w:rPr>
        <w:t>s</w:t>
      </w:r>
    </w:p>
    <w:tbl>
      <w:tblPr>
        <w:tblStyle w:val="PlainTable5"/>
        <w:tblW w:w="9639" w:type="dxa"/>
        <w:tblLook w:val="04A0" w:firstRow="1" w:lastRow="0" w:firstColumn="1" w:lastColumn="0" w:noHBand="0" w:noVBand="1"/>
      </w:tblPr>
      <w:tblGrid>
        <w:gridCol w:w="2101"/>
        <w:gridCol w:w="7538"/>
      </w:tblGrid>
      <w:tr w:rsidR="009B1905" w:rsidRPr="000D6035" w:rsidDel="002A12F6" w14:paraId="37BAF2D5" w14:textId="77777777" w:rsidTr="00715E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1" w:type="dxa"/>
            <w:hideMark/>
          </w:tcPr>
          <w:p w14:paraId="4E0D8E5F"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Objective</w:t>
            </w:r>
          </w:p>
        </w:tc>
        <w:tc>
          <w:tcPr>
            <w:tcW w:w="7538" w:type="dxa"/>
            <w:hideMark/>
          </w:tcPr>
          <w:p w14:paraId="791BB9FC" w14:textId="77777777" w:rsidR="009B1905" w:rsidRPr="000D6035" w:rsidDel="002A12F6" w:rsidRDefault="009B19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b/>
                <w:sz w:val="18"/>
                <w:szCs w:val="16"/>
              </w:rPr>
            </w:pPr>
            <w:r w:rsidRPr="000D6035" w:rsidDel="002A12F6">
              <w:rPr>
                <w:rStyle w:val="Strong"/>
                <w:rFonts w:cs="Calibri"/>
                <w:sz w:val="18"/>
                <w:szCs w:val="16"/>
              </w:rPr>
              <w:t>Performance indicators (success measures)</w:t>
            </w:r>
          </w:p>
        </w:tc>
      </w:tr>
      <w:tr w:rsidR="009B1905" w:rsidRPr="000D6035" w:rsidDel="002A12F6" w14:paraId="00DD5756" w14:textId="77777777" w:rsidTr="0071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hideMark/>
          </w:tcPr>
          <w:p w14:paraId="1A0299A4"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Improve ecological outcomes</w:t>
            </w:r>
          </w:p>
        </w:tc>
        <w:tc>
          <w:tcPr>
            <w:tcW w:w="7538" w:type="dxa"/>
            <w:hideMark/>
          </w:tcPr>
          <w:p w14:paraId="5C094268" w14:textId="65627850" w:rsidR="00680CED"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225B</w:t>
            </w:r>
            <w:r w:rsidR="009B1905" w:rsidRPr="000D6035" w:rsidDel="002A12F6">
              <w:rPr>
                <w:rFonts w:cs="Calibri"/>
                <w:sz w:val="18"/>
                <w:szCs w:val="16"/>
              </w:rPr>
              <w:t xml:space="preserve">Flow regimes meet defined ecological flow components in ≥X% of years </w:t>
            </w:r>
          </w:p>
          <w:p w14:paraId="4EE0D8F6" w14:textId="7D05DFAA" w:rsidR="00680CED"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226B</w:t>
            </w:r>
            <w:r w:rsidR="009B1905" w:rsidRPr="000D6035" w:rsidDel="002A12F6">
              <w:rPr>
                <w:rFonts w:cs="Calibri"/>
                <w:sz w:val="18"/>
                <w:szCs w:val="16"/>
              </w:rPr>
              <w:t xml:space="preserve">Stable or increasing population trends for key indicator species over rolling 5-year audit and 10-year periods </w:t>
            </w:r>
          </w:p>
          <w:p w14:paraId="4F80347C" w14:textId="0D61D3C5" w:rsidR="00680CED"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227B</w:t>
            </w:r>
            <w:r w:rsidR="009B1905" w:rsidRPr="000D6035" w:rsidDel="002A12F6">
              <w:rPr>
                <w:rFonts w:cs="Calibri"/>
                <w:sz w:val="18"/>
                <w:szCs w:val="16"/>
              </w:rPr>
              <w:t xml:space="preserve">Water quality and habitat condition meet agreed ecological thresholds </w:t>
            </w:r>
          </w:p>
          <w:p w14:paraId="70CCEE42" w14:textId="106BA9E8" w:rsidR="009B1905" w:rsidRPr="000D6035" w:rsidDel="002A12F6"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228B</w:t>
            </w:r>
            <w:r w:rsidR="009B1905" w:rsidRPr="000D6035" w:rsidDel="002A12F6">
              <w:rPr>
                <w:rFonts w:cs="Calibri"/>
                <w:sz w:val="18"/>
                <w:szCs w:val="16"/>
              </w:rPr>
              <w:t>Demonstrated progress toward ecological condition targets, independently verified</w:t>
            </w:r>
          </w:p>
        </w:tc>
      </w:tr>
      <w:tr w:rsidR="009B1905" w:rsidRPr="000D6035" w:rsidDel="002A12F6" w14:paraId="35D07C26" w14:textId="77777777" w:rsidTr="00715EBD">
        <w:tc>
          <w:tcPr>
            <w:cnfStyle w:val="001000000000" w:firstRow="0" w:lastRow="0" w:firstColumn="1" w:lastColumn="0" w:oddVBand="0" w:evenVBand="0" w:oddHBand="0" w:evenHBand="0" w:firstRowFirstColumn="0" w:firstRowLastColumn="0" w:lastRowFirstColumn="0" w:lastRowLastColumn="0"/>
            <w:tcW w:w="2101" w:type="dxa"/>
            <w:hideMark/>
          </w:tcPr>
          <w:p w14:paraId="466C2D5F"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Maintain water security</w:t>
            </w:r>
          </w:p>
        </w:tc>
        <w:tc>
          <w:tcPr>
            <w:tcW w:w="7538" w:type="dxa"/>
            <w:hideMark/>
          </w:tcPr>
          <w:p w14:paraId="50FADA90" w14:textId="389D950B" w:rsidR="00A242F0"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229B</w:t>
            </w:r>
            <w:r w:rsidR="009B1905" w:rsidRPr="000D6035" w:rsidDel="002A12F6">
              <w:rPr>
                <w:rFonts w:cs="Calibri"/>
                <w:sz w:val="18"/>
                <w:szCs w:val="16"/>
              </w:rPr>
              <w:t>No material reduction in reliability of downstream entitlements relative to baseline</w:t>
            </w:r>
          </w:p>
          <w:p w14:paraId="11381168" w14:textId="39818379" w:rsidR="00A242F0"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230B</w:t>
            </w:r>
            <w:r w:rsidR="009B1905" w:rsidRPr="000D6035" w:rsidDel="002A12F6">
              <w:rPr>
                <w:rFonts w:cs="Calibri"/>
                <w:sz w:val="18"/>
                <w:szCs w:val="16"/>
              </w:rPr>
              <w:t xml:space="preserve">Zero unplanned impacts on critical human water needs </w:t>
            </w:r>
          </w:p>
          <w:p w14:paraId="17976AE2" w14:textId="6E1512DC" w:rsidR="00A242F0"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231B</w:t>
            </w:r>
            <w:r w:rsidR="009B1905" w:rsidRPr="000D6035" w:rsidDel="002A12F6">
              <w:rPr>
                <w:rFonts w:cs="Calibri"/>
                <w:sz w:val="18"/>
                <w:szCs w:val="16"/>
              </w:rPr>
              <w:t xml:space="preserve">All changes to water availability managed within agreed risk-sharing frameworks </w:t>
            </w:r>
          </w:p>
          <w:p w14:paraId="3F157905" w14:textId="6F03565D" w:rsidR="009B1905" w:rsidRPr="000D6035" w:rsidDel="002A12F6"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232B</w:t>
            </w:r>
            <w:r w:rsidR="009B1905" w:rsidRPr="000D6035" w:rsidDel="002A12F6">
              <w:rPr>
                <w:rFonts w:cs="Calibri"/>
                <w:sz w:val="18"/>
                <w:szCs w:val="16"/>
              </w:rPr>
              <w:t>Annual reporting confirms no systematic decline in entitlement reliability</w:t>
            </w:r>
          </w:p>
        </w:tc>
      </w:tr>
      <w:tr w:rsidR="009B1905" w:rsidRPr="000D6035" w:rsidDel="002A12F6" w14:paraId="1889E2CD" w14:textId="77777777" w:rsidTr="0071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hideMark/>
          </w:tcPr>
          <w:p w14:paraId="1A3794A6"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lastRenderedPageBreak/>
              <w:t>Minimise impacts on energy system outcomes</w:t>
            </w:r>
          </w:p>
        </w:tc>
        <w:tc>
          <w:tcPr>
            <w:tcW w:w="7538" w:type="dxa"/>
            <w:hideMark/>
          </w:tcPr>
          <w:p w14:paraId="5A71E855" w14:textId="786FAB16" w:rsidR="006D74B3"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233B</w:t>
            </w:r>
            <w:r w:rsidR="009B1905" w:rsidRPr="000D6035" w:rsidDel="002A12F6">
              <w:rPr>
                <w:rFonts w:cs="Calibri"/>
                <w:sz w:val="18"/>
                <w:szCs w:val="16"/>
              </w:rPr>
              <w:t>Generation impacts remain within agreed annual thresholds (GWh range)</w:t>
            </w:r>
          </w:p>
          <w:p w14:paraId="646853FD" w14:textId="20C6747D" w:rsidR="006D74B3"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234B</w:t>
            </w:r>
            <w:r w:rsidR="009B1905" w:rsidRPr="000D6035" w:rsidDel="002A12F6">
              <w:rPr>
                <w:rFonts w:cs="Calibri"/>
                <w:sz w:val="18"/>
                <w:szCs w:val="16"/>
              </w:rPr>
              <w:t>No adverse impact on system reliability during critical NEM events attributable to environmental water delivery</w:t>
            </w:r>
          </w:p>
          <w:p w14:paraId="1B6566D6" w14:textId="4AA11599" w:rsidR="006D74B3"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235B</w:t>
            </w:r>
            <w:r w:rsidR="009B1905" w:rsidRPr="000D6035" w:rsidDel="002A12F6">
              <w:rPr>
                <w:rFonts w:cs="Calibri"/>
                <w:sz w:val="18"/>
                <w:szCs w:val="16"/>
              </w:rPr>
              <w:t>Snowy Hydro retains capacity to respond to peak demand events</w:t>
            </w:r>
          </w:p>
          <w:p w14:paraId="614E6BC9" w14:textId="0231C6B7" w:rsidR="009B1905" w:rsidRPr="000D6035" w:rsidDel="002A12F6"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236B</w:t>
            </w:r>
            <w:r w:rsidR="009B1905" w:rsidRPr="000D6035" w:rsidDel="002A12F6">
              <w:rPr>
                <w:rFonts w:cs="Calibri"/>
                <w:sz w:val="18"/>
                <w:szCs w:val="16"/>
              </w:rPr>
              <w:t>All impacts quantified and publicly reported annually.</w:t>
            </w:r>
          </w:p>
        </w:tc>
      </w:tr>
      <w:tr w:rsidR="009B1905" w:rsidRPr="000D6035" w:rsidDel="002A12F6" w14:paraId="1D5C1094" w14:textId="77777777" w:rsidTr="00715EBD">
        <w:tc>
          <w:tcPr>
            <w:cnfStyle w:val="001000000000" w:firstRow="0" w:lastRow="0" w:firstColumn="1" w:lastColumn="0" w:oddVBand="0" w:evenVBand="0" w:oddHBand="0" w:evenHBand="0" w:firstRowFirstColumn="0" w:firstRowLastColumn="0" w:lastRowFirstColumn="0" w:lastRowLastColumn="0"/>
            <w:tcW w:w="2101" w:type="dxa"/>
            <w:hideMark/>
          </w:tcPr>
          <w:p w14:paraId="7CCE91B5"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Improve First Nations outcomes</w:t>
            </w:r>
          </w:p>
        </w:tc>
        <w:tc>
          <w:tcPr>
            <w:tcW w:w="7538" w:type="dxa"/>
            <w:hideMark/>
          </w:tcPr>
          <w:p w14:paraId="44CD068B" w14:textId="6C39D874" w:rsidR="00360D9F"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237B</w:t>
            </w:r>
            <w:r w:rsidR="009B1905" w:rsidRPr="000D6035" w:rsidDel="002A12F6">
              <w:rPr>
                <w:rFonts w:cs="Calibri"/>
                <w:sz w:val="18"/>
                <w:szCs w:val="16"/>
              </w:rPr>
              <w:t>Formal participation of First Nations in governance and planning achieved and maintained</w:t>
            </w:r>
          </w:p>
          <w:p w14:paraId="38DC9BC2" w14:textId="06AB1463" w:rsidR="00360D9F"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238B</w:t>
            </w:r>
            <w:r w:rsidR="009B1905" w:rsidRPr="000D6035" w:rsidDel="002A12F6">
              <w:rPr>
                <w:rFonts w:cs="Calibri"/>
                <w:sz w:val="18"/>
                <w:szCs w:val="16"/>
              </w:rPr>
              <w:t xml:space="preserve">Measurable progress toward establishment of cultural water arrangements within defined timeframes </w:t>
            </w:r>
          </w:p>
          <w:p w14:paraId="7A4530BC" w14:textId="4613F501" w:rsidR="00360D9F"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239B</w:t>
            </w:r>
            <w:r w:rsidR="009B1905" w:rsidRPr="000D6035" w:rsidDel="002A12F6">
              <w:rPr>
                <w:rFonts w:cs="Calibri"/>
                <w:sz w:val="18"/>
                <w:szCs w:val="16"/>
              </w:rPr>
              <w:t>Increasing delivery of on-Country programs and stewardship activities</w:t>
            </w:r>
          </w:p>
          <w:p w14:paraId="1BB8D8A6" w14:textId="70F6C5EC" w:rsidR="009B1905" w:rsidRPr="000D6035" w:rsidDel="002A12F6"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240B</w:t>
            </w:r>
            <w:r w:rsidR="009B1905" w:rsidRPr="000D6035" w:rsidDel="002A12F6">
              <w:rPr>
                <w:rFonts w:cs="Calibri"/>
                <w:sz w:val="18"/>
                <w:szCs w:val="16"/>
              </w:rPr>
              <w:t>Demonstrated integration of First Nations’ knowledge in decision-making.</w:t>
            </w:r>
          </w:p>
        </w:tc>
      </w:tr>
      <w:tr w:rsidR="009B1905" w:rsidRPr="000D6035" w:rsidDel="002A12F6" w14:paraId="3B19C38F" w14:textId="77777777" w:rsidTr="0071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hideMark/>
          </w:tcPr>
          <w:p w14:paraId="6FF4C10C"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Improve community participation and transparency</w:t>
            </w:r>
          </w:p>
        </w:tc>
        <w:tc>
          <w:tcPr>
            <w:tcW w:w="7538" w:type="dxa"/>
            <w:hideMark/>
          </w:tcPr>
          <w:p w14:paraId="606BED12" w14:textId="6424C06B" w:rsidR="001B1E75"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241B</w:t>
            </w:r>
            <w:r w:rsidR="009B1905" w:rsidRPr="000D6035" w:rsidDel="002A12F6">
              <w:rPr>
                <w:rFonts w:cs="Calibri"/>
                <w:sz w:val="18"/>
                <w:szCs w:val="16"/>
              </w:rPr>
              <w:t xml:space="preserve">All major decisions and trade-offs publicly reported within defined timeframes </w:t>
            </w:r>
          </w:p>
          <w:p w14:paraId="25505F4E" w14:textId="41DD5C25" w:rsidR="001B1E75"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242B</w:t>
            </w:r>
            <w:r w:rsidR="009B1905" w:rsidRPr="000D6035" w:rsidDel="002A12F6">
              <w:rPr>
                <w:rFonts w:cs="Calibri"/>
                <w:sz w:val="18"/>
                <w:szCs w:val="16"/>
              </w:rPr>
              <w:t>Annual reporting provides clear, accessible information on system performance</w:t>
            </w:r>
          </w:p>
          <w:p w14:paraId="75759B20" w14:textId="0796DE5D" w:rsidR="001B1E75"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243B</w:t>
            </w:r>
            <w:r w:rsidR="009B1905" w:rsidRPr="000D6035" w:rsidDel="002A12F6">
              <w:rPr>
                <w:rFonts w:cs="Calibri"/>
                <w:sz w:val="18"/>
                <w:szCs w:val="16"/>
              </w:rPr>
              <w:t>Documented opportunities for stakeholder participation in planning and review each year</w:t>
            </w:r>
          </w:p>
          <w:p w14:paraId="1B9EEDE9" w14:textId="6DB3036A" w:rsidR="009B1905" w:rsidRPr="000D6035" w:rsidDel="002A12F6"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244B</w:t>
            </w:r>
            <w:r w:rsidR="009B1905" w:rsidRPr="000D6035" w:rsidDel="002A12F6">
              <w:rPr>
                <w:rFonts w:cs="Calibri"/>
                <w:sz w:val="18"/>
                <w:szCs w:val="16"/>
              </w:rPr>
              <w:t>Measurable improvement in stakeholder satisfaction with engagement processes over time</w:t>
            </w:r>
          </w:p>
        </w:tc>
      </w:tr>
      <w:tr w:rsidR="009B1905" w:rsidRPr="000D6035" w:rsidDel="002A12F6" w14:paraId="1AC708DE" w14:textId="77777777" w:rsidTr="00715EBD">
        <w:tc>
          <w:tcPr>
            <w:cnfStyle w:val="001000000000" w:firstRow="0" w:lastRow="0" w:firstColumn="1" w:lastColumn="0" w:oddVBand="0" w:evenVBand="0" w:oddHBand="0" w:evenHBand="0" w:firstRowFirstColumn="0" w:firstRowLastColumn="0" w:lastRowFirstColumn="0" w:lastRowLastColumn="0"/>
            <w:tcW w:w="2101" w:type="dxa"/>
            <w:hideMark/>
          </w:tcPr>
          <w:p w14:paraId="66701C77"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Enable balanced and effective delivery</w:t>
            </w:r>
          </w:p>
        </w:tc>
        <w:tc>
          <w:tcPr>
            <w:tcW w:w="7538" w:type="dxa"/>
            <w:hideMark/>
          </w:tcPr>
          <w:p w14:paraId="18294C6E" w14:textId="680D9FA9" w:rsidR="000D6035"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245B</w:t>
            </w:r>
            <w:r w:rsidR="009B1905" w:rsidRPr="000D6035" w:rsidDel="002A12F6">
              <w:rPr>
                <w:rFonts w:cs="Calibri"/>
                <w:sz w:val="18"/>
                <w:szCs w:val="16"/>
              </w:rPr>
              <w:t>All material decisions include documented trade-off assessments</w:t>
            </w:r>
          </w:p>
          <w:p w14:paraId="0896A903" w14:textId="72E220B4" w:rsidR="000D6035"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246B</w:t>
            </w:r>
            <w:r w:rsidR="009B1905" w:rsidRPr="000D6035" w:rsidDel="002A12F6">
              <w:rPr>
                <w:rFonts w:cs="Calibri"/>
                <w:sz w:val="18"/>
                <w:szCs w:val="16"/>
              </w:rPr>
              <w:t>Environmental water delivery achieves planned priorities in ≥X% of years</w:t>
            </w:r>
          </w:p>
          <w:p w14:paraId="13B05185" w14:textId="098949D5" w:rsidR="000D6035"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247B</w:t>
            </w:r>
            <w:r w:rsidR="009B1905" w:rsidRPr="000D6035" w:rsidDel="002A12F6">
              <w:rPr>
                <w:rFonts w:cs="Calibri"/>
                <w:sz w:val="18"/>
                <w:szCs w:val="16"/>
              </w:rPr>
              <w:t>Decision-making operates within defined timeframes and escalation pathways</w:t>
            </w:r>
          </w:p>
          <w:p w14:paraId="7600E110" w14:textId="521BA4AC" w:rsidR="009B1905" w:rsidRPr="000D6035" w:rsidDel="002A12F6" w:rsidRDefault="00382EE8" w:rsidP="00115BD6">
            <w:pPr>
              <w:pStyle w:val="ListParagraph"/>
              <w:numPr>
                <w:ilvl w:val="0"/>
                <w:numId w:val="135"/>
              </w:numPr>
              <w:tabs>
                <w:tab w:val="clear" w:pos="720"/>
              </w:tabs>
              <w:ind w:left="207" w:hanging="218"/>
              <w:jc w:val="left"/>
              <w:cnfStyle w:val="000000000000" w:firstRow="0" w:lastRow="0" w:firstColumn="0" w:lastColumn="0" w:oddVBand="0" w:evenVBand="0" w:oddHBand="0" w:evenHBand="0" w:firstRowFirstColumn="0" w:firstRowLastColumn="0" w:lastRowFirstColumn="0" w:lastRowLastColumn="0"/>
              <w:rPr>
                <w:rFonts w:cs="Calibri"/>
                <w:sz w:val="18"/>
                <w:szCs w:val="16"/>
              </w:rPr>
            </w:pPr>
            <w:r>
              <w:rPr>
                <w:rFonts w:ascii="ZWAdobeF" w:hAnsi="ZWAdobeF" w:cs="ZWAdobeF"/>
                <w:sz w:val="2"/>
                <w:szCs w:val="2"/>
              </w:rPr>
              <w:t>248B</w:t>
            </w:r>
            <w:r w:rsidR="009B1905" w:rsidRPr="000D6035" w:rsidDel="002A12F6">
              <w:rPr>
                <w:rFonts w:cs="Calibri"/>
                <w:sz w:val="18"/>
                <w:szCs w:val="16"/>
              </w:rPr>
              <w:t>Clear alignment between objectives, decisions and observed outcomes.</w:t>
            </w:r>
          </w:p>
        </w:tc>
      </w:tr>
      <w:tr w:rsidR="009B1905" w:rsidRPr="000D6035" w:rsidDel="002A12F6" w14:paraId="593B87B1" w14:textId="77777777" w:rsidTr="0071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hideMark/>
          </w:tcPr>
          <w:p w14:paraId="60ABEF68" w14:textId="77777777" w:rsidR="009B1905" w:rsidRPr="000D6035" w:rsidDel="002A12F6" w:rsidRDefault="009B1905">
            <w:pPr>
              <w:jc w:val="left"/>
              <w:rPr>
                <w:rFonts w:asciiTheme="minorHAnsi" w:hAnsiTheme="minorHAnsi" w:cs="Calibri"/>
                <w:b/>
                <w:sz w:val="18"/>
                <w:szCs w:val="16"/>
              </w:rPr>
            </w:pPr>
            <w:r w:rsidRPr="000D6035" w:rsidDel="002A12F6">
              <w:rPr>
                <w:rStyle w:val="Strong"/>
                <w:rFonts w:cs="Calibri"/>
                <w:sz w:val="18"/>
                <w:szCs w:val="16"/>
              </w:rPr>
              <w:t>Achieve public trust and confidence</w:t>
            </w:r>
          </w:p>
        </w:tc>
        <w:tc>
          <w:tcPr>
            <w:tcW w:w="7538" w:type="dxa"/>
            <w:hideMark/>
          </w:tcPr>
          <w:p w14:paraId="0615D06F" w14:textId="2F57B085" w:rsidR="000D6035"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249B</w:t>
            </w:r>
            <w:r w:rsidR="009B1905" w:rsidRPr="000D6035" w:rsidDel="002A12F6">
              <w:rPr>
                <w:rFonts w:cs="Calibri"/>
                <w:sz w:val="18"/>
                <w:szCs w:val="16"/>
              </w:rPr>
              <w:t>Annual public reporting delivered on system performance</w:t>
            </w:r>
          </w:p>
          <w:p w14:paraId="0A597E67" w14:textId="5E138EBC" w:rsidR="000D6035"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250B</w:t>
            </w:r>
            <w:r w:rsidR="009B1905" w:rsidRPr="000D6035" w:rsidDel="002A12F6">
              <w:rPr>
                <w:rFonts w:cs="Calibri"/>
                <w:sz w:val="18"/>
                <w:szCs w:val="16"/>
              </w:rPr>
              <w:t>Independent audits completed every 5 years and publicly released</w:t>
            </w:r>
          </w:p>
          <w:p w14:paraId="6DDE8976" w14:textId="014563D5" w:rsidR="000D6035"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251B</w:t>
            </w:r>
            <w:r w:rsidR="009B1905" w:rsidRPr="000D6035" w:rsidDel="002A12F6">
              <w:rPr>
                <w:rFonts w:cs="Calibri"/>
                <w:sz w:val="18"/>
                <w:szCs w:val="16"/>
              </w:rPr>
              <w:t>System-level reviews completed every 10 years with published responses</w:t>
            </w:r>
          </w:p>
          <w:p w14:paraId="3F0C62EA" w14:textId="5DE3A532" w:rsidR="009B1905" w:rsidRPr="000D6035" w:rsidDel="002A12F6" w:rsidRDefault="00382EE8" w:rsidP="00115BD6">
            <w:pPr>
              <w:pStyle w:val="ListParagraph"/>
              <w:numPr>
                <w:ilvl w:val="0"/>
                <w:numId w:val="135"/>
              </w:numPr>
              <w:tabs>
                <w:tab w:val="clear" w:pos="720"/>
              </w:tabs>
              <w:ind w:left="207" w:hanging="218"/>
              <w:jc w:val="left"/>
              <w:cnfStyle w:val="000000100000" w:firstRow="0" w:lastRow="0" w:firstColumn="0" w:lastColumn="0" w:oddVBand="0" w:evenVBand="0" w:oddHBand="1" w:evenHBand="0" w:firstRowFirstColumn="0" w:firstRowLastColumn="0" w:lastRowFirstColumn="0" w:lastRowLastColumn="0"/>
              <w:rPr>
                <w:rFonts w:cs="Calibri"/>
                <w:sz w:val="18"/>
                <w:szCs w:val="16"/>
              </w:rPr>
            </w:pPr>
            <w:r>
              <w:rPr>
                <w:rFonts w:ascii="ZWAdobeF" w:hAnsi="ZWAdobeF" w:cs="ZWAdobeF"/>
                <w:sz w:val="2"/>
                <w:szCs w:val="2"/>
              </w:rPr>
              <w:t>252B</w:t>
            </w:r>
            <w:r w:rsidR="009B1905" w:rsidRPr="000D6035" w:rsidDel="002A12F6">
              <w:rPr>
                <w:rFonts w:cs="Calibri"/>
                <w:sz w:val="18"/>
                <w:szCs w:val="16"/>
              </w:rPr>
              <w:t>All instances of non-compliance publicly reported and addressed.</w:t>
            </w:r>
          </w:p>
        </w:tc>
      </w:tr>
    </w:tbl>
    <w:p w14:paraId="6E6F00F9" w14:textId="77777777" w:rsidR="009B1905" w:rsidRPr="009B1905" w:rsidRDefault="009B1905" w:rsidP="009B1905">
      <w:pPr>
        <w:rPr>
          <w:lang w:eastAsia="en-AU"/>
        </w:rPr>
      </w:pPr>
    </w:p>
    <w:p w14:paraId="721BDCC7" w14:textId="469BB10A" w:rsidR="00F471FD" w:rsidRDefault="00382EE8" w:rsidP="00DC1EA1">
      <w:pPr>
        <w:rPr>
          <w:lang w:eastAsia="en-AU"/>
        </w:rPr>
      </w:pPr>
      <w:r>
        <w:rPr>
          <w:rFonts w:ascii="ZWAdobeF" w:hAnsi="ZWAdobeF" w:cs="ZWAdobeF"/>
          <w:sz w:val="2"/>
          <w:szCs w:val="2"/>
          <w:lang w:eastAsia="en-AU"/>
        </w:rPr>
        <w:t>998B</w:t>
      </w:r>
      <w:r w:rsidR="005334F3">
        <w:rPr>
          <w:lang w:eastAsia="en-AU"/>
        </w:rPr>
        <w:t>Together, t</w:t>
      </w:r>
      <w:r w:rsidR="00714312" w:rsidRPr="00714312">
        <w:rPr>
          <w:lang w:eastAsia="en-AU"/>
        </w:rPr>
        <w:t>hese indicators provide a comprehensive basis for assessing system performance across environmental, water, energy, cultural and community outcomes</w:t>
      </w:r>
      <w:r w:rsidR="005D78C9">
        <w:rPr>
          <w:lang w:eastAsia="en-AU"/>
        </w:rPr>
        <w:t xml:space="preserve"> and</w:t>
      </w:r>
      <w:r w:rsidR="00714312" w:rsidRPr="00714312">
        <w:rPr>
          <w:lang w:eastAsia="en-AU"/>
        </w:rPr>
        <w:t xml:space="preserve"> enable consistent evaluation of progress over time</w:t>
      </w:r>
      <w:r w:rsidR="005D78C9">
        <w:rPr>
          <w:lang w:eastAsia="en-AU"/>
        </w:rPr>
        <w:t>.</w:t>
      </w:r>
    </w:p>
    <w:p w14:paraId="48451F4E" w14:textId="4F6090B1" w:rsidR="003B00CF" w:rsidRDefault="00382EE8" w:rsidP="004A2385">
      <w:pPr>
        <w:rPr>
          <w:lang w:eastAsia="en-AU"/>
        </w:rPr>
      </w:pPr>
      <w:r>
        <w:rPr>
          <w:rFonts w:ascii="ZWAdobeF" w:hAnsi="ZWAdobeF" w:cs="ZWAdobeF"/>
          <w:sz w:val="2"/>
          <w:szCs w:val="2"/>
          <w:lang w:eastAsia="en-AU"/>
        </w:rPr>
        <w:t>999B</w:t>
      </w:r>
      <w:r w:rsidR="003B00CF" w:rsidRPr="003B00CF">
        <w:rPr>
          <w:lang w:eastAsia="en-AU"/>
        </w:rPr>
        <w:t xml:space="preserve">This performance framework </w:t>
      </w:r>
      <w:r w:rsidR="00494860">
        <w:rPr>
          <w:lang w:eastAsia="en-AU"/>
        </w:rPr>
        <w:t>is</w:t>
      </w:r>
      <w:r w:rsidR="003B00CF" w:rsidRPr="003B00CF">
        <w:rPr>
          <w:lang w:eastAsia="en-AU"/>
        </w:rPr>
        <w:t xml:space="preserve"> supported by regular monitoring and public reporting, including structured audit (e.g. 5-yearly) and periodic review (e.g. 10-yearly). It should inform independent evaluation processes and enable adaptive management, including updates to objectives, indicators and system settings over ti</w:t>
      </w:r>
      <w:r w:rsidR="003B00CF">
        <w:rPr>
          <w:lang w:eastAsia="en-AU"/>
        </w:rPr>
        <w:t>me.</w:t>
      </w:r>
    </w:p>
    <w:p w14:paraId="7B54BDEE" w14:textId="5B651196" w:rsidR="00714312" w:rsidRDefault="00382EE8" w:rsidP="00DC1EA1">
      <w:pPr>
        <w:rPr>
          <w:lang w:eastAsia="en-AU"/>
        </w:rPr>
      </w:pPr>
      <w:r>
        <w:rPr>
          <w:rFonts w:ascii="ZWAdobeF" w:hAnsi="ZWAdobeF" w:cs="ZWAdobeF"/>
          <w:sz w:val="2"/>
          <w:szCs w:val="2"/>
          <w:lang w:eastAsia="en-AU"/>
        </w:rPr>
        <w:t>1000B</w:t>
      </w:r>
      <w:r w:rsidR="004A2385" w:rsidRPr="6332CC80" w:rsidDel="002A12F6">
        <w:rPr>
          <w:lang w:eastAsia="en-AU"/>
        </w:rPr>
        <w:t xml:space="preserve">The framework is not intended to be static. Indicators and targets should be </w:t>
      </w:r>
      <w:r w:rsidR="0082086C">
        <w:rPr>
          <w:lang w:eastAsia="en-AU"/>
        </w:rPr>
        <w:t xml:space="preserve">periodically </w:t>
      </w:r>
      <w:r w:rsidR="008C0FE0">
        <w:rPr>
          <w:lang w:eastAsia="en-AU"/>
        </w:rPr>
        <w:t>reviewed</w:t>
      </w:r>
      <w:r w:rsidR="0082086C">
        <w:rPr>
          <w:lang w:eastAsia="en-AU"/>
        </w:rPr>
        <w:t xml:space="preserve"> and </w:t>
      </w:r>
      <w:r w:rsidR="004A2385" w:rsidRPr="6332CC80" w:rsidDel="002A12F6">
        <w:rPr>
          <w:lang w:eastAsia="en-AU"/>
        </w:rPr>
        <w:t xml:space="preserve">refined </w:t>
      </w:r>
      <w:r w:rsidR="0082086C">
        <w:rPr>
          <w:lang w:eastAsia="en-AU"/>
        </w:rPr>
        <w:t>to reflect evolving</w:t>
      </w:r>
      <w:r w:rsidR="004A2385" w:rsidRPr="6332CC80" w:rsidDel="002A12F6">
        <w:rPr>
          <w:lang w:eastAsia="en-AU"/>
        </w:rPr>
        <w:t xml:space="preserve"> knowledge</w:t>
      </w:r>
      <w:r w:rsidR="008C0FE0">
        <w:rPr>
          <w:lang w:eastAsia="en-AU"/>
        </w:rPr>
        <w:t xml:space="preserve">, </w:t>
      </w:r>
      <w:r w:rsidR="004A2385" w:rsidRPr="6332CC80" w:rsidDel="002A12F6">
        <w:rPr>
          <w:lang w:eastAsia="en-AU"/>
        </w:rPr>
        <w:t xml:space="preserve">system </w:t>
      </w:r>
      <w:r w:rsidR="0082086C">
        <w:rPr>
          <w:lang w:eastAsia="en-AU"/>
        </w:rPr>
        <w:t>performance and</w:t>
      </w:r>
      <w:r w:rsidR="008C0FE0">
        <w:rPr>
          <w:lang w:eastAsia="en-AU"/>
        </w:rPr>
        <w:t xml:space="preserve"> environmental </w:t>
      </w:r>
      <w:r w:rsidR="004A2385" w:rsidRPr="6332CC80" w:rsidDel="002A12F6">
        <w:rPr>
          <w:lang w:eastAsia="en-AU"/>
        </w:rPr>
        <w:t>conditions.</w:t>
      </w:r>
      <w:r w:rsidR="006B0CE5">
        <w:rPr>
          <w:lang w:eastAsia="en-AU"/>
        </w:rPr>
        <w:t xml:space="preserve"> </w:t>
      </w:r>
      <w:r w:rsidR="00714312" w:rsidRPr="00714312">
        <w:rPr>
          <w:lang w:eastAsia="en-AU"/>
        </w:rPr>
        <w:t>Achieving these outcomes depends on a governance framework capable of translating objectives into decisions, coordinating delivery and responding to changing conditions and new information. In this context, the performance framework is integral to governance, informing decision-making and enabling adaptive management.</w:t>
      </w:r>
    </w:p>
    <w:p w14:paraId="0329C89E" w14:textId="49DDC1EA" w:rsidR="00A72DC4" w:rsidRPr="00C26602" w:rsidRDefault="00382EE8" w:rsidP="00DC1EA1">
      <w:pPr>
        <w:rPr>
          <w:lang w:eastAsia="en-AU"/>
        </w:rPr>
      </w:pPr>
      <w:r>
        <w:rPr>
          <w:rFonts w:ascii="ZWAdobeF" w:hAnsi="ZWAdobeF" w:cs="ZWAdobeF"/>
          <w:sz w:val="2"/>
          <w:szCs w:val="2"/>
          <w:lang w:eastAsia="en-AU"/>
        </w:rPr>
        <w:t>1001B</w:t>
      </w:r>
      <w:r w:rsidR="00A72DC4" w:rsidRPr="6332CC80">
        <w:rPr>
          <w:lang w:eastAsia="en-AU"/>
        </w:rPr>
        <w:t xml:space="preserve">To </w:t>
      </w:r>
      <w:r w:rsidR="00EC7719">
        <w:rPr>
          <w:lang w:eastAsia="en-AU"/>
        </w:rPr>
        <w:t>function effectively</w:t>
      </w:r>
      <w:r w:rsidR="00A72DC4" w:rsidRPr="6332CC80">
        <w:rPr>
          <w:lang w:eastAsia="en-AU"/>
        </w:rPr>
        <w:t>, the system must:</w:t>
      </w:r>
    </w:p>
    <w:p w14:paraId="7502031A" w14:textId="78F77F5B" w:rsidR="00A72DC4" w:rsidRPr="00A72DC4" w:rsidRDefault="00382EE8" w:rsidP="002852C7">
      <w:pPr>
        <w:pStyle w:val="ListParagraph"/>
        <w:numPr>
          <w:ilvl w:val="0"/>
          <w:numId w:val="11"/>
        </w:numPr>
      </w:pPr>
      <w:r>
        <w:rPr>
          <w:rFonts w:ascii="ZWAdobeF" w:hAnsi="ZWAdobeF" w:cs="ZWAdobeF"/>
          <w:sz w:val="2"/>
          <w:szCs w:val="2"/>
        </w:rPr>
        <w:t>253B</w:t>
      </w:r>
      <w:r w:rsidR="00A72DC4" w:rsidRPr="00A72DC4">
        <w:t>support explicit and transparent trade-off decision-making</w:t>
      </w:r>
    </w:p>
    <w:p w14:paraId="693DF501" w14:textId="0CB438E6" w:rsidR="00A72DC4" w:rsidRPr="00A72DC4" w:rsidRDefault="00382EE8" w:rsidP="002852C7">
      <w:pPr>
        <w:pStyle w:val="ListParagraph"/>
        <w:numPr>
          <w:ilvl w:val="0"/>
          <w:numId w:val="11"/>
        </w:numPr>
      </w:pPr>
      <w:r>
        <w:rPr>
          <w:rFonts w:ascii="ZWAdobeF" w:hAnsi="ZWAdobeF" w:cs="ZWAdobeF"/>
          <w:sz w:val="2"/>
          <w:szCs w:val="2"/>
        </w:rPr>
        <w:t>254B</w:t>
      </w:r>
      <w:r w:rsidR="00A72DC4">
        <w:t>enable adaptive management in response to changing conditions and new information</w:t>
      </w:r>
    </w:p>
    <w:p w14:paraId="08ED222D" w14:textId="155F8669" w:rsidR="00A72DC4" w:rsidRPr="00A72DC4" w:rsidRDefault="00382EE8" w:rsidP="002852C7">
      <w:pPr>
        <w:pStyle w:val="ListParagraph"/>
        <w:numPr>
          <w:ilvl w:val="0"/>
          <w:numId w:val="11"/>
        </w:numPr>
      </w:pPr>
      <w:r>
        <w:rPr>
          <w:rFonts w:ascii="ZWAdobeF" w:hAnsi="ZWAdobeF" w:cs="ZWAdobeF"/>
          <w:sz w:val="2"/>
          <w:szCs w:val="2"/>
        </w:rPr>
        <w:t>255B</w:t>
      </w:r>
      <w:r w:rsidR="00A72DC4" w:rsidRPr="00A72DC4">
        <w:t>provide clear roles, responsibilities and accountability</w:t>
      </w:r>
    </w:p>
    <w:p w14:paraId="0C44C0AA" w14:textId="73DD8C62" w:rsidR="00A72DC4" w:rsidRPr="00A72DC4" w:rsidRDefault="00382EE8" w:rsidP="002852C7">
      <w:pPr>
        <w:pStyle w:val="ListParagraph"/>
        <w:numPr>
          <w:ilvl w:val="0"/>
          <w:numId w:val="11"/>
        </w:numPr>
      </w:pPr>
      <w:r>
        <w:rPr>
          <w:rFonts w:ascii="ZWAdobeF" w:hAnsi="ZWAdobeF" w:cs="ZWAdobeF"/>
          <w:sz w:val="2"/>
          <w:szCs w:val="2"/>
        </w:rPr>
        <w:t>256B</w:t>
      </w:r>
      <w:r w:rsidR="00A72DC4" w:rsidRPr="00A72DC4">
        <w:t>ensure coordinated planning and delivery across jurisdictions and delivery entities</w:t>
      </w:r>
    </w:p>
    <w:p w14:paraId="449FE298" w14:textId="0FF98E87" w:rsidR="00A72DC4" w:rsidRPr="00A72DC4" w:rsidRDefault="00382EE8" w:rsidP="002852C7">
      <w:pPr>
        <w:pStyle w:val="ListParagraph"/>
        <w:numPr>
          <w:ilvl w:val="0"/>
          <w:numId w:val="11"/>
        </w:numPr>
      </w:pPr>
      <w:r>
        <w:rPr>
          <w:rFonts w:ascii="ZWAdobeF" w:hAnsi="ZWAdobeF" w:cs="ZWAdobeF"/>
          <w:sz w:val="2"/>
          <w:szCs w:val="2"/>
        </w:rPr>
        <w:t>257B</w:t>
      </w:r>
      <w:r w:rsidR="00A72DC4" w:rsidRPr="00A72DC4">
        <w:t>include independent oversight, monitoring and review</w:t>
      </w:r>
    </w:p>
    <w:p w14:paraId="44C4BAD5" w14:textId="2E626641" w:rsidR="00A72DC4" w:rsidRPr="00A72DC4" w:rsidRDefault="00382EE8" w:rsidP="002852C7">
      <w:pPr>
        <w:pStyle w:val="ListParagraph"/>
        <w:numPr>
          <w:ilvl w:val="0"/>
          <w:numId w:val="11"/>
        </w:numPr>
      </w:pPr>
      <w:r>
        <w:rPr>
          <w:rFonts w:ascii="ZWAdobeF" w:hAnsi="ZWAdobeF" w:cs="ZWAdobeF"/>
          <w:sz w:val="2"/>
          <w:szCs w:val="2"/>
        </w:rPr>
        <w:t>258B</w:t>
      </w:r>
      <w:r w:rsidR="00A72DC4" w:rsidRPr="00A72DC4">
        <w:t>embed First Nations participation and community engagement</w:t>
      </w:r>
    </w:p>
    <w:p w14:paraId="4A406082" w14:textId="6FD08A9C" w:rsidR="00A72DC4" w:rsidRPr="00A72DC4" w:rsidRDefault="00382EE8" w:rsidP="002852C7">
      <w:pPr>
        <w:pStyle w:val="ListParagraph"/>
        <w:numPr>
          <w:ilvl w:val="0"/>
          <w:numId w:val="11"/>
        </w:numPr>
      </w:pPr>
      <w:r>
        <w:rPr>
          <w:rFonts w:ascii="ZWAdobeF" w:hAnsi="ZWAdobeF" w:cs="ZWAdobeF"/>
          <w:sz w:val="2"/>
          <w:szCs w:val="2"/>
        </w:rPr>
        <w:t>259B</w:t>
      </w:r>
      <w:r w:rsidR="00A72DC4" w:rsidRPr="00A72DC4">
        <w:t>ensure transparent reporting on decisions and outcomes</w:t>
      </w:r>
      <w:r w:rsidR="00040937">
        <w:t>.</w:t>
      </w:r>
    </w:p>
    <w:p w14:paraId="22C340FB" w14:textId="1F2F2CA5" w:rsidR="00A72DC4" w:rsidRPr="00C26602" w:rsidRDefault="00382EE8" w:rsidP="00DC1EA1">
      <w:pPr>
        <w:rPr>
          <w:lang w:eastAsia="en-AU"/>
        </w:rPr>
      </w:pPr>
      <w:r>
        <w:rPr>
          <w:rFonts w:ascii="ZWAdobeF" w:hAnsi="ZWAdobeF" w:cs="ZWAdobeF"/>
          <w:sz w:val="2"/>
          <w:szCs w:val="2"/>
          <w:lang w:eastAsia="en-AU"/>
        </w:rPr>
        <w:lastRenderedPageBreak/>
        <w:t>1002B</w:t>
      </w:r>
      <w:r w:rsidR="00A72DC4" w:rsidRPr="00C26602">
        <w:rPr>
          <w:lang w:eastAsia="en-AU"/>
        </w:rPr>
        <w:t>These requirements highlight that success depends not only on what is agreed, but on how the system operates in practice.</w:t>
      </w:r>
    </w:p>
    <w:p w14:paraId="37A0AA49" w14:textId="25F0BA7E" w:rsidR="00A72DC4" w:rsidRPr="00C26602" w:rsidRDefault="00382EE8" w:rsidP="00DC1EA1">
      <w:pPr>
        <w:rPr>
          <w:lang w:eastAsia="en-AU"/>
        </w:rPr>
      </w:pPr>
      <w:r>
        <w:rPr>
          <w:rFonts w:ascii="ZWAdobeF" w:hAnsi="ZWAdobeF" w:cs="ZWAdobeF"/>
          <w:sz w:val="2"/>
          <w:szCs w:val="2"/>
          <w:lang w:eastAsia="en-AU"/>
        </w:rPr>
        <w:t>1003B</w:t>
      </w:r>
      <w:r w:rsidR="00A72DC4" w:rsidRPr="00C26602">
        <w:rPr>
          <w:lang w:eastAsia="en-AU"/>
        </w:rPr>
        <w:t>The Panel therefore proposes a governance framework that:</w:t>
      </w:r>
    </w:p>
    <w:p w14:paraId="29B188D7" w14:textId="7F3EC3F6" w:rsidR="00A72DC4" w:rsidRPr="00A72DC4" w:rsidRDefault="00382EE8" w:rsidP="002852C7">
      <w:pPr>
        <w:pStyle w:val="ListParagraph"/>
        <w:numPr>
          <w:ilvl w:val="0"/>
          <w:numId w:val="10"/>
        </w:numPr>
      </w:pPr>
      <w:r>
        <w:rPr>
          <w:rFonts w:ascii="ZWAdobeF" w:hAnsi="ZWAdobeF" w:cs="ZWAdobeF"/>
          <w:sz w:val="2"/>
          <w:szCs w:val="2"/>
        </w:rPr>
        <w:t>260B</w:t>
      </w:r>
      <w:r w:rsidR="00A72DC4" w:rsidRPr="00A72DC4">
        <w:t>translates objectives into coordinated system-level decisions</w:t>
      </w:r>
    </w:p>
    <w:p w14:paraId="1ADB5D2D" w14:textId="4883B18A" w:rsidR="00A72DC4" w:rsidRPr="00A72DC4" w:rsidRDefault="00382EE8" w:rsidP="002852C7">
      <w:pPr>
        <w:pStyle w:val="ListParagraph"/>
        <w:numPr>
          <w:ilvl w:val="0"/>
          <w:numId w:val="10"/>
        </w:numPr>
      </w:pPr>
      <w:r>
        <w:rPr>
          <w:rFonts w:ascii="ZWAdobeF" w:hAnsi="ZWAdobeF" w:cs="ZWAdobeF"/>
          <w:sz w:val="2"/>
          <w:szCs w:val="2"/>
        </w:rPr>
        <w:t>261B</w:t>
      </w:r>
      <w:r w:rsidR="00A72DC4" w:rsidRPr="00A72DC4">
        <w:t>supports adaptive and efficient delivery</w:t>
      </w:r>
    </w:p>
    <w:p w14:paraId="6C923C3F" w14:textId="02EFE729" w:rsidR="00A72DC4" w:rsidRPr="00A72DC4" w:rsidRDefault="00382EE8" w:rsidP="002852C7">
      <w:pPr>
        <w:pStyle w:val="ListParagraph"/>
        <w:numPr>
          <w:ilvl w:val="0"/>
          <w:numId w:val="10"/>
        </w:numPr>
      </w:pPr>
      <w:r>
        <w:rPr>
          <w:rFonts w:ascii="ZWAdobeF" w:hAnsi="ZWAdobeF" w:cs="ZWAdobeF"/>
          <w:sz w:val="2"/>
          <w:szCs w:val="2"/>
        </w:rPr>
        <w:t>262B</w:t>
      </w:r>
      <w:r w:rsidR="00A72DC4" w:rsidRPr="00A72DC4">
        <w:t>ensures accountability and transparency</w:t>
      </w:r>
    </w:p>
    <w:p w14:paraId="411E1FDE" w14:textId="2DD94319" w:rsidR="00A72DC4" w:rsidRPr="00A72DC4" w:rsidRDefault="00382EE8" w:rsidP="002852C7">
      <w:pPr>
        <w:pStyle w:val="ListParagraph"/>
        <w:numPr>
          <w:ilvl w:val="0"/>
          <w:numId w:val="10"/>
        </w:numPr>
      </w:pPr>
      <w:r>
        <w:rPr>
          <w:rFonts w:ascii="ZWAdobeF" w:hAnsi="ZWAdobeF" w:cs="ZWAdobeF"/>
          <w:sz w:val="2"/>
          <w:szCs w:val="2"/>
        </w:rPr>
        <w:t>263B</w:t>
      </w:r>
      <w:r w:rsidR="00A72DC4" w:rsidRPr="00A72DC4">
        <w:t>enables continuous learning and improvement</w:t>
      </w:r>
      <w:r w:rsidR="00FB5F3D">
        <w:t>.</w:t>
      </w:r>
    </w:p>
    <w:p w14:paraId="3BB95F8A" w14:textId="44312EB2" w:rsidR="00A72DC4" w:rsidRDefault="00382EE8" w:rsidP="00DC1EA1">
      <w:pPr>
        <w:rPr>
          <w:lang w:eastAsia="en-AU"/>
        </w:rPr>
      </w:pPr>
      <w:r>
        <w:rPr>
          <w:rFonts w:ascii="ZWAdobeF" w:hAnsi="ZWAdobeF" w:cs="ZWAdobeF"/>
          <w:sz w:val="2"/>
          <w:szCs w:val="2"/>
          <w:lang w:eastAsia="en-AU"/>
        </w:rPr>
        <w:t>1004B</w:t>
      </w:r>
      <w:r w:rsidR="00A72DC4" w:rsidRPr="00F95C55">
        <w:rPr>
          <w:lang w:eastAsia="en-AU"/>
        </w:rPr>
        <w:t>The proposed governance framework is underpinned by a set of design principles that guide how the system should operate in practice.</w:t>
      </w:r>
    </w:p>
    <w:p w14:paraId="59E89739" w14:textId="61C7AC7D" w:rsidR="007743A8" w:rsidRPr="00F95C55" w:rsidRDefault="00382EE8" w:rsidP="00DC1EA1">
      <w:pPr>
        <w:rPr>
          <w:lang w:eastAsia="en-AU"/>
        </w:rPr>
      </w:pPr>
      <w:r>
        <w:rPr>
          <w:rFonts w:ascii="ZWAdobeF" w:hAnsi="ZWAdobeF" w:cs="ZWAdobeF"/>
          <w:sz w:val="2"/>
          <w:szCs w:val="2"/>
          <w:lang w:eastAsia="en-AU"/>
        </w:rPr>
        <w:t>1005B</w:t>
      </w:r>
      <w:r w:rsidR="007743A8" w:rsidRPr="007743A8">
        <w:rPr>
          <w:lang w:eastAsia="en-AU"/>
        </w:rPr>
        <w:t xml:space="preserve">These principles do not duplicate the system objectives or performance indicators. </w:t>
      </w:r>
      <w:r w:rsidR="00980FA0">
        <w:rPr>
          <w:lang w:eastAsia="en-AU"/>
        </w:rPr>
        <w:t>They</w:t>
      </w:r>
      <w:r w:rsidR="007743A8" w:rsidRPr="007743A8">
        <w:rPr>
          <w:lang w:eastAsia="en-AU"/>
        </w:rPr>
        <w:t xml:space="preserve"> guide how governance arrangements are designed and how decisions are made in practice to support delivery of the intended outcomes.</w:t>
      </w:r>
    </w:p>
    <w:p w14:paraId="11779FDD" w14:textId="65B02F8E" w:rsidR="00A72DC4" w:rsidRPr="00CC7A58" w:rsidRDefault="00A72DC4" w:rsidP="00CC7A58">
      <w:pPr>
        <w:pStyle w:val="ReviewHeading3"/>
        <w:rPr>
          <w:rStyle w:val="eop"/>
        </w:rPr>
      </w:pPr>
      <w:r w:rsidRPr="00CC7A58">
        <w:rPr>
          <w:rStyle w:val="normaltextrun"/>
        </w:rPr>
        <w:t>System design principles</w:t>
      </w:r>
      <w:r w:rsidRPr="00CC7A58">
        <w:rPr>
          <w:rStyle w:val="eop"/>
        </w:rPr>
        <w:t> </w:t>
      </w:r>
    </w:p>
    <w:p w14:paraId="1CCEDC2A" w14:textId="62C95B7D" w:rsidR="007743A8" w:rsidRDefault="00382EE8" w:rsidP="00CC7A58">
      <w:r>
        <w:rPr>
          <w:rFonts w:ascii="ZWAdobeF" w:hAnsi="ZWAdobeF" w:cs="ZWAdobeF"/>
          <w:sz w:val="2"/>
          <w:szCs w:val="2"/>
        </w:rPr>
        <w:t>1006B</w:t>
      </w:r>
      <w:r w:rsidR="007743A8">
        <w:t>These principles guide how the governance framework operates in practice and support consistent, transparent and effective decision-making.</w:t>
      </w:r>
    </w:p>
    <w:p w14:paraId="353CA5C5" w14:textId="3D1B7E4E" w:rsidR="00A72DC4" w:rsidRPr="00A72DC4" w:rsidRDefault="00382EE8" w:rsidP="002852C7">
      <w:pPr>
        <w:pStyle w:val="ListParagraph"/>
        <w:numPr>
          <w:ilvl w:val="0"/>
          <w:numId w:val="6"/>
        </w:numPr>
      </w:pPr>
      <w:r>
        <w:rPr>
          <w:rFonts w:ascii="ZWAdobeF" w:hAnsi="ZWAdobeF" w:cs="ZWAdobeF"/>
          <w:sz w:val="2"/>
          <w:szCs w:val="2"/>
        </w:rPr>
        <w:t>264B</w:t>
      </w:r>
      <w:r w:rsidR="2CA12FF6">
        <w:t xml:space="preserve">Engagement with communities and First Nations: </w:t>
      </w:r>
    </w:p>
    <w:p w14:paraId="1040F19D" w14:textId="142DD39A" w:rsidR="006F33CB" w:rsidRPr="00AD4DBD" w:rsidRDefault="00382EE8" w:rsidP="002852C7">
      <w:pPr>
        <w:pStyle w:val="ListParagraph"/>
        <w:numPr>
          <w:ilvl w:val="1"/>
          <w:numId w:val="6"/>
        </w:numPr>
        <w:spacing w:line="276" w:lineRule="auto"/>
        <w:rPr>
          <w:rFonts w:eastAsia="Calibri"/>
          <w:color w:val="000000" w:themeColor="text1"/>
        </w:rPr>
      </w:pPr>
      <w:r>
        <w:rPr>
          <w:rFonts w:ascii="ZWAdobeF" w:eastAsia="Calibri" w:hAnsi="ZWAdobeF" w:cs="ZWAdobeF"/>
          <w:sz w:val="2"/>
          <w:szCs w:val="2"/>
        </w:rPr>
        <w:t>265B</w:t>
      </w:r>
      <w:r w:rsidR="00A72DC4" w:rsidRPr="3D525EBC">
        <w:rPr>
          <w:rFonts w:eastAsia="Calibri"/>
          <w:color w:val="000000" w:themeColor="text1"/>
        </w:rPr>
        <w:t>Decision-making should reflect community priorities and incorporate Traditional Owner knowledge and values </w:t>
      </w:r>
    </w:p>
    <w:p w14:paraId="71263628" w14:textId="65449C52" w:rsidR="00A72DC4" w:rsidRPr="00A72DC4" w:rsidRDefault="00382EE8" w:rsidP="002852C7">
      <w:pPr>
        <w:pStyle w:val="ListParagraph"/>
        <w:numPr>
          <w:ilvl w:val="0"/>
          <w:numId w:val="6"/>
        </w:numPr>
      </w:pPr>
      <w:r>
        <w:rPr>
          <w:rFonts w:ascii="ZWAdobeF" w:hAnsi="ZWAdobeF" w:cs="ZWAdobeF"/>
          <w:sz w:val="2"/>
          <w:szCs w:val="2"/>
        </w:rPr>
        <w:t>266B</w:t>
      </w:r>
      <w:r w:rsidR="00A72DC4" w:rsidRPr="00A72DC4">
        <w:t xml:space="preserve">Transparency and clarity: </w:t>
      </w:r>
    </w:p>
    <w:p w14:paraId="41747B02" w14:textId="39E6C5F2" w:rsidR="006F33CB" w:rsidRPr="00AD4DBD" w:rsidRDefault="00382EE8" w:rsidP="002852C7">
      <w:pPr>
        <w:pStyle w:val="ListParagraph"/>
        <w:numPr>
          <w:ilvl w:val="1"/>
          <w:numId w:val="6"/>
        </w:numPr>
        <w:spacing w:line="276" w:lineRule="auto"/>
        <w:rPr>
          <w:rFonts w:eastAsia="Calibri"/>
          <w:color w:val="000000" w:themeColor="text1"/>
        </w:rPr>
      </w:pPr>
      <w:r>
        <w:rPr>
          <w:rFonts w:ascii="ZWAdobeF" w:eastAsia="Calibri" w:hAnsi="ZWAdobeF" w:cs="ZWAdobeF"/>
          <w:sz w:val="2"/>
          <w:szCs w:val="2"/>
        </w:rPr>
        <w:t>267B</w:t>
      </w:r>
      <w:r w:rsidR="00A72DC4" w:rsidRPr="53FA9F2D">
        <w:rPr>
          <w:rFonts w:eastAsia="Calibri"/>
          <w:color w:val="000000" w:themeColor="text1"/>
        </w:rPr>
        <w:t>Arrangements should be clear, predictable, and accessible to stakeholders</w:t>
      </w:r>
    </w:p>
    <w:p w14:paraId="19232FBD" w14:textId="77816403" w:rsidR="00A72DC4" w:rsidRPr="00A72DC4" w:rsidRDefault="00382EE8" w:rsidP="002852C7">
      <w:pPr>
        <w:pStyle w:val="ListParagraph"/>
        <w:numPr>
          <w:ilvl w:val="0"/>
          <w:numId w:val="6"/>
        </w:numPr>
      </w:pPr>
      <w:r>
        <w:rPr>
          <w:rFonts w:ascii="ZWAdobeF" w:hAnsi="ZWAdobeF" w:cs="ZWAdobeF"/>
          <w:sz w:val="2"/>
          <w:szCs w:val="2"/>
        </w:rPr>
        <w:t>268B</w:t>
      </w:r>
      <w:r w:rsidR="00A72DC4" w:rsidRPr="00A72DC4">
        <w:t xml:space="preserve">Minimising third-party impacts: </w:t>
      </w:r>
    </w:p>
    <w:p w14:paraId="0B94648F" w14:textId="1F46BB05" w:rsidR="006F33CB" w:rsidRPr="00AD4DBD" w:rsidRDefault="00382EE8" w:rsidP="002852C7">
      <w:pPr>
        <w:pStyle w:val="ListParagraph"/>
        <w:numPr>
          <w:ilvl w:val="1"/>
          <w:numId w:val="6"/>
        </w:numPr>
        <w:rPr>
          <w:rFonts w:eastAsia="Calibri"/>
          <w:color w:val="000000" w:themeColor="text1"/>
        </w:rPr>
      </w:pPr>
      <w:r>
        <w:rPr>
          <w:rFonts w:ascii="ZWAdobeF" w:eastAsia="Calibri" w:hAnsi="ZWAdobeF" w:cs="ZWAdobeF"/>
          <w:sz w:val="2"/>
          <w:szCs w:val="2"/>
        </w:rPr>
        <w:t>269B</w:t>
      </w:r>
      <w:r w:rsidR="00A72DC4" w:rsidRPr="103B27C3">
        <w:rPr>
          <w:rFonts w:eastAsia="Calibri"/>
          <w:color w:val="000000" w:themeColor="text1"/>
        </w:rPr>
        <w:t>Impacts on other water users and communities should be carefully managed</w:t>
      </w:r>
    </w:p>
    <w:p w14:paraId="5697CC3D" w14:textId="23F5944B" w:rsidR="00A72DC4" w:rsidRPr="00A72DC4" w:rsidRDefault="00382EE8" w:rsidP="002852C7">
      <w:pPr>
        <w:pStyle w:val="ListParagraph"/>
        <w:numPr>
          <w:ilvl w:val="0"/>
          <w:numId w:val="6"/>
        </w:numPr>
      </w:pPr>
      <w:r>
        <w:rPr>
          <w:rFonts w:ascii="ZWAdobeF" w:hAnsi="ZWAdobeF" w:cs="ZWAdobeF"/>
          <w:sz w:val="2"/>
          <w:szCs w:val="2"/>
        </w:rPr>
        <w:t>270B</w:t>
      </w:r>
      <w:r w:rsidR="00A72DC4" w:rsidRPr="00A72DC4">
        <w:t xml:space="preserve">Protection of critical human water needs: </w:t>
      </w:r>
    </w:p>
    <w:p w14:paraId="0AE2F5E8" w14:textId="77376A4A" w:rsidR="005744AB" w:rsidRPr="00AD4DBD" w:rsidRDefault="00382EE8" w:rsidP="002852C7">
      <w:pPr>
        <w:pStyle w:val="ListParagraph"/>
        <w:numPr>
          <w:ilvl w:val="1"/>
          <w:numId w:val="6"/>
        </w:numPr>
        <w:rPr>
          <w:rFonts w:eastAsia="Calibri"/>
          <w:color w:val="000000" w:themeColor="text1"/>
        </w:rPr>
      </w:pPr>
      <w:r>
        <w:rPr>
          <w:rFonts w:ascii="ZWAdobeF" w:eastAsia="Calibri" w:hAnsi="ZWAdobeF" w:cs="ZWAdobeF"/>
          <w:sz w:val="2"/>
          <w:szCs w:val="2"/>
        </w:rPr>
        <w:t>271B</w:t>
      </w:r>
      <w:r w:rsidR="00A72DC4" w:rsidRPr="6332CC80">
        <w:rPr>
          <w:rFonts w:eastAsia="Calibri"/>
          <w:color w:val="000000" w:themeColor="text1"/>
        </w:rPr>
        <w:t>Essential water requirements must be reliably met at all times </w:t>
      </w:r>
    </w:p>
    <w:p w14:paraId="7C775668" w14:textId="6D6FDB27" w:rsidR="00A72DC4" w:rsidRPr="00A72DC4" w:rsidRDefault="00382EE8" w:rsidP="002852C7">
      <w:pPr>
        <w:pStyle w:val="ListParagraph"/>
        <w:numPr>
          <w:ilvl w:val="0"/>
          <w:numId w:val="6"/>
        </w:numPr>
      </w:pPr>
      <w:r>
        <w:rPr>
          <w:rFonts w:ascii="ZWAdobeF" w:hAnsi="ZWAdobeF" w:cs="ZWAdobeF"/>
          <w:sz w:val="2"/>
          <w:szCs w:val="2"/>
        </w:rPr>
        <w:t>272B</w:t>
      </w:r>
      <w:r w:rsidR="00A72DC4" w:rsidRPr="00A72DC4">
        <w:t xml:space="preserve">Maintaining energy system integrity: </w:t>
      </w:r>
    </w:p>
    <w:p w14:paraId="1F3C5427" w14:textId="105379AF" w:rsidR="005744AB" w:rsidRPr="00AD4DBD" w:rsidRDefault="00382EE8" w:rsidP="002852C7">
      <w:pPr>
        <w:pStyle w:val="ListParagraph"/>
        <w:numPr>
          <w:ilvl w:val="1"/>
          <w:numId w:val="6"/>
        </w:numPr>
        <w:rPr>
          <w:rFonts w:eastAsia="Calibri"/>
          <w:color w:val="000000" w:themeColor="text1"/>
          <w:szCs w:val="22"/>
        </w:rPr>
      </w:pPr>
      <w:r>
        <w:rPr>
          <w:rFonts w:ascii="ZWAdobeF" w:eastAsia="Calibri" w:hAnsi="ZWAdobeF" w:cs="ZWAdobeF"/>
          <w:sz w:val="2"/>
          <w:szCs w:val="2"/>
        </w:rPr>
        <w:t>273B</w:t>
      </w:r>
      <w:r w:rsidR="00A72DC4" w:rsidRPr="00B545F1">
        <w:rPr>
          <w:rFonts w:eastAsia="Calibri"/>
          <w:color w:val="000000" w:themeColor="text1"/>
          <w:szCs w:val="22"/>
        </w:rPr>
        <w:t>Impacts on Snowy Hydro operations and the NEM should be managed and understood </w:t>
      </w:r>
    </w:p>
    <w:p w14:paraId="2D6264A5" w14:textId="3B5393A2" w:rsidR="00A72DC4" w:rsidRPr="00A72DC4" w:rsidRDefault="00382EE8" w:rsidP="002852C7">
      <w:pPr>
        <w:pStyle w:val="ListParagraph"/>
        <w:numPr>
          <w:ilvl w:val="0"/>
          <w:numId w:val="6"/>
        </w:numPr>
      </w:pPr>
      <w:r>
        <w:rPr>
          <w:rFonts w:ascii="ZWAdobeF" w:hAnsi="ZWAdobeF" w:cs="ZWAdobeF"/>
          <w:sz w:val="2"/>
          <w:szCs w:val="2"/>
        </w:rPr>
        <w:t>274B</w:t>
      </w:r>
      <w:r w:rsidR="00A72DC4" w:rsidRPr="00A72DC4">
        <w:t>Clarity of objectives and operational arrangements: </w:t>
      </w:r>
    </w:p>
    <w:p w14:paraId="3B73CDA5" w14:textId="57B7A576" w:rsidR="005744AB" w:rsidRPr="00AD4DBD" w:rsidRDefault="00382EE8" w:rsidP="002852C7">
      <w:pPr>
        <w:pStyle w:val="ListParagraph"/>
        <w:numPr>
          <w:ilvl w:val="1"/>
          <w:numId w:val="6"/>
        </w:numPr>
        <w:rPr>
          <w:rFonts w:eastAsia="Calibri"/>
          <w:color w:val="000000" w:themeColor="text1"/>
          <w:szCs w:val="22"/>
        </w:rPr>
      </w:pPr>
      <w:r>
        <w:rPr>
          <w:rFonts w:ascii="ZWAdobeF" w:eastAsia="Calibri" w:hAnsi="ZWAdobeF" w:cs="ZWAdobeF"/>
          <w:sz w:val="2"/>
          <w:szCs w:val="2"/>
        </w:rPr>
        <w:t>275B</w:t>
      </w:r>
      <w:r w:rsidR="00A72DC4" w:rsidRPr="00B545F1">
        <w:rPr>
          <w:rFonts w:eastAsia="Calibri"/>
          <w:color w:val="000000" w:themeColor="text1"/>
          <w:szCs w:val="22"/>
        </w:rPr>
        <w:t>Roles, responsibilities and processes should be clearly defined to support effective and consistent delivery </w:t>
      </w:r>
    </w:p>
    <w:p w14:paraId="6BE8EA26" w14:textId="04875AEB" w:rsidR="00A72DC4" w:rsidRPr="00A72DC4" w:rsidRDefault="00382EE8" w:rsidP="002852C7">
      <w:pPr>
        <w:pStyle w:val="ListParagraph"/>
        <w:numPr>
          <w:ilvl w:val="0"/>
          <w:numId w:val="6"/>
        </w:numPr>
      </w:pPr>
      <w:r>
        <w:rPr>
          <w:rFonts w:ascii="ZWAdobeF" w:hAnsi="ZWAdobeF" w:cs="ZWAdobeF"/>
          <w:sz w:val="2"/>
          <w:szCs w:val="2"/>
        </w:rPr>
        <w:t>276B</w:t>
      </w:r>
      <w:r w:rsidR="00A72DC4" w:rsidRPr="00A72DC4">
        <w:t xml:space="preserve">Fit-for-purpose infrastructure: </w:t>
      </w:r>
    </w:p>
    <w:p w14:paraId="286FC2C8" w14:textId="1310BF4B" w:rsidR="005744AB" w:rsidRPr="00AD4DBD" w:rsidRDefault="00382EE8" w:rsidP="002852C7">
      <w:pPr>
        <w:pStyle w:val="ListParagraph"/>
        <w:numPr>
          <w:ilvl w:val="1"/>
          <w:numId w:val="6"/>
        </w:numPr>
        <w:rPr>
          <w:rFonts w:eastAsia="Calibri"/>
          <w:color w:val="000000" w:themeColor="text1"/>
          <w:szCs w:val="22"/>
        </w:rPr>
      </w:pPr>
      <w:r>
        <w:rPr>
          <w:rFonts w:ascii="ZWAdobeF" w:eastAsia="Calibri" w:hAnsi="ZWAdobeF" w:cs="ZWAdobeF"/>
          <w:sz w:val="2"/>
          <w:szCs w:val="2"/>
        </w:rPr>
        <w:t>277B</w:t>
      </w:r>
      <w:r w:rsidR="00A72DC4" w:rsidRPr="00B545F1">
        <w:rPr>
          <w:rFonts w:eastAsia="Calibri"/>
          <w:color w:val="000000" w:themeColor="text1"/>
          <w:szCs w:val="22"/>
        </w:rPr>
        <w:t>Systems and infrastructure must support the delivery of intended outcomes </w:t>
      </w:r>
    </w:p>
    <w:p w14:paraId="77C691DC" w14:textId="5477CD6D" w:rsidR="00A72DC4" w:rsidRPr="00A72DC4" w:rsidRDefault="00382EE8" w:rsidP="002852C7">
      <w:pPr>
        <w:pStyle w:val="ListParagraph"/>
        <w:numPr>
          <w:ilvl w:val="0"/>
          <w:numId w:val="6"/>
        </w:numPr>
      </w:pPr>
      <w:r>
        <w:rPr>
          <w:rFonts w:ascii="ZWAdobeF" w:hAnsi="ZWAdobeF" w:cs="ZWAdobeF"/>
          <w:sz w:val="2"/>
          <w:szCs w:val="2"/>
        </w:rPr>
        <w:t>278B</w:t>
      </w:r>
      <w:r w:rsidR="00A72DC4" w:rsidRPr="00A72DC4">
        <w:t xml:space="preserve">Adaptive and evolving arrangements: </w:t>
      </w:r>
    </w:p>
    <w:p w14:paraId="07EECE1E" w14:textId="5E4D3F07" w:rsidR="006D0EAF" w:rsidRPr="007C7870" w:rsidRDefault="00382EE8" w:rsidP="007C7870">
      <w:pPr>
        <w:pStyle w:val="ListParagraph"/>
        <w:numPr>
          <w:ilvl w:val="1"/>
          <w:numId w:val="6"/>
        </w:numPr>
      </w:pPr>
      <w:r>
        <w:rPr>
          <w:rFonts w:ascii="ZWAdobeF" w:eastAsia="Calibri" w:hAnsi="ZWAdobeF" w:cs="ZWAdobeF"/>
          <w:sz w:val="2"/>
          <w:szCs w:val="2"/>
        </w:rPr>
        <w:t>279B</w:t>
      </w:r>
      <w:r w:rsidR="00A72DC4" w:rsidRPr="00B545F1">
        <w:rPr>
          <w:rFonts w:eastAsia="Calibri"/>
          <w:color w:val="000000" w:themeColor="text1"/>
          <w:szCs w:val="22"/>
        </w:rPr>
        <w:t>Frameworks should be capable of adjustment in response to new knowledge, climate variability and implementation experience. </w:t>
      </w:r>
    </w:p>
    <w:p w14:paraId="64A10244" w14:textId="523239C7" w:rsidR="00121768" w:rsidRDefault="002778AF" w:rsidP="002778AF">
      <w:pPr>
        <w:pStyle w:val="ReviewHeading2"/>
      </w:pPr>
      <w:bookmarkStart w:id="79" w:name="_Toc233285610"/>
      <w:bookmarkStart w:id="80" w:name="_Toc233801489"/>
      <w:r>
        <w:lastRenderedPageBreak/>
        <w:t>5.3</w:t>
      </w:r>
      <w:r w:rsidR="00C47594">
        <w:t xml:space="preserve"> Proposed governance framework</w:t>
      </w:r>
      <w:bookmarkEnd w:id="79"/>
      <w:bookmarkEnd w:id="80"/>
    </w:p>
    <w:p w14:paraId="76E6A86E" w14:textId="56DFAF19" w:rsidR="0087033E" w:rsidRPr="00F7238E" w:rsidRDefault="00382EE8" w:rsidP="00AD4DBD">
      <w:r>
        <w:rPr>
          <w:rFonts w:ascii="ZWAdobeF" w:hAnsi="ZWAdobeF" w:cs="ZWAdobeF"/>
          <w:sz w:val="2"/>
          <w:szCs w:val="2"/>
        </w:rPr>
        <w:t>1007B</w:t>
      </w:r>
      <w:r w:rsidR="27CFF690">
        <w:t>This section sets out</w:t>
      </w:r>
      <w:r w:rsidR="0087033E" w:rsidDel="27CFF690">
        <w:t xml:space="preserve"> how</w:t>
      </w:r>
      <w:r w:rsidR="27CFF690">
        <w:t xml:space="preserve"> </w:t>
      </w:r>
      <w:r w:rsidR="62AC80DE">
        <w:t xml:space="preserve">the proposed </w:t>
      </w:r>
      <w:r w:rsidR="27CFF690">
        <w:t xml:space="preserve">governance arrangements </w:t>
      </w:r>
      <w:r w:rsidR="62AC80DE">
        <w:t xml:space="preserve">would </w:t>
      </w:r>
      <w:r w:rsidR="27CFF690">
        <w:t>operate in practice to deliver the system objectives. It focuses on how decisions are made, how trade-offs are managed, and how implementation is coordinated across the system.</w:t>
      </w:r>
    </w:p>
    <w:p w14:paraId="09D88644" w14:textId="1784A5F7" w:rsidR="0087033E" w:rsidRDefault="00382EE8" w:rsidP="00AD4DBD">
      <w:r>
        <w:rPr>
          <w:rFonts w:ascii="ZWAdobeF" w:hAnsi="ZWAdobeF" w:cs="ZWAdobeF"/>
          <w:sz w:val="2"/>
          <w:szCs w:val="2"/>
        </w:rPr>
        <w:t>1008B</w:t>
      </w:r>
      <w:r w:rsidR="27CFF690">
        <w:t xml:space="preserve">The Panel’s assessment is that incremental or partial reform </w:t>
      </w:r>
      <w:r w:rsidR="72105DB3">
        <w:t>will not</w:t>
      </w:r>
      <w:r w:rsidR="27CFF690">
        <w:t xml:space="preserve"> address the structural limitations of the current arrangements. A revised governance framework is therefore required.</w:t>
      </w:r>
    </w:p>
    <w:p w14:paraId="47E108F5" w14:textId="1A0A484E" w:rsidR="00853FFB" w:rsidRDefault="00382EE8" w:rsidP="00AD4DBD">
      <w:r>
        <w:rPr>
          <w:rFonts w:ascii="ZWAdobeF" w:hAnsi="ZWAdobeF" w:cs="ZWAdobeF"/>
          <w:sz w:val="2"/>
          <w:szCs w:val="2"/>
        </w:rPr>
        <w:t>1009B</w:t>
      </w:r>
      <w:r w:rsidR="00853FFB">
        <w:t>The proposed governance framework translates objectives and performance into decision-making, delivery and assurance arrangements. It should also support alignment with broader basin and system planning processes, including MDBA Basin planning, jurisdictional water planning and energy system coordination.</w:t>
      </w:r>
    </w:p>
    <w:p w14:paraId="5185AEE0" w14:textId="11A5A07B" w:rsidR="00F12B68" w:rsidRDefault="00382EE8" w:rsidP="00AD4DBD">
      <w:r>
        <w:rPr>
          <w:rFonts w:ascii="ZWAdobeF" w:hAnsi="ZWAdobeF" w:cs="ZWAdobeF"/>
          <w:sz w:val="2"/>
          <w:szCs w:val="2"/>
        </w:rPr>
        <w:t>1010B</w:t>
      </w:r>
      <w:r w:rsidR="00F12B68" w:rsidRPr="00993D3F">
        <w:t>Throughout this section, shaded boxes are used to illustrate specific elements of the proposed governance framework. These boxes highlight key supporting features and design options that demonstrate how the framework could operate in practice. They provide more detailed and concrete examples, including potential institutional arrangements and implementation pathways, while allowing flexibility for governments to determine the most appropriate approach.</w:t>
      </w:r>
    </w:p>
    <w:p w14:paraId="54B43286" w14:textId="6B14A25C" w:rsidR="00EF0886" w:rsidRPr="00236F33" w:rsidRDefault="00382EE8" w:rsidP="00CC7A58">
      <w:pPr>
        <w:jc w:val="left"/>
      </w:pPr>
      <w:r>
        <w:rPr>
          <w:rFonts w:ascii="ZWAdobeF" w:hAnsi="ZWAdobeF" w:cs="ZWAdobeF"/>
          <w:sz w:val="2"/>
          <w:szCs w:val="2"/>
        </w:rPr>
        <w:t>1011B</w:t>
      </w:r>
      <w:r w:rsidR="00EF0886" w:rsidRPr="00236F33">
        <w:t>The Panel has proposed a set of reforms to address these structural limitations and to strengthen the overall governance system. These reforms focus on clarifying roles, improving coordination and accountability and introducing more explicit and adaptive decision-making processes.</w:t>
      </w:r>
    </w:p>
    <w:p w14:paraId="20031AFE" w14:textId="334EA4CA" w:rsidR="00EF0886" w:rsidRDefault="00332B43" w:rsidP="00577B2D">
      <w:r w:rsidRPr="00D709A0">
        <w:rPr>
          <w:rStyle w:val="Sub-HeadingChar"/>
          <w:rFonts w:eastAsiaTheme="minorHAnsi"/>
          <w:noProof/>
        </w:rPr>
        <w:drawing>
          <wp:anchor distT="0" distB="0" distL="114300" distR="114300" simplePos="0" relativeHeight="251658272" behindDoc="0" locked="0" layoutInCell="1" allowOverlap="1" wp14:anchorId="14F4AA7D" wp14:editId="37519BE0">
            <wp:simplePos x="0" y="0"/>
            <wp:positionH relativeFrom="column">
              <wp:posOffset>-196850</wp:posOffset>
            </wp:positionH>
            <wp:positionV relativeFrom="paragraph">
              <wp:posOffset>567055</wp:posOffset>
            </wp:positionV>
            <wp:extent cx="6575812" cy="2392031"/>
            <wp:effectExtent l="0" t="0" r="0" b="8890"/>
            <wp:wrapSquare wrapText="bothSides"/>
            <wp:docPr id="2100512557" name="Picture 24" descr="P127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2557" name="Picture 24" descr="P1277#y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75812" cy="2392031"/>
                    </a:xfrm>
                    <a:prstGeom prst="rect">
                      <a:avLst/>
                    </a:prstGeom>
                    <a:noFill/>
                  </pic:spPr>
                </pic:pic>
              </a:graphicData>
            </a:graphic>
          </wp:anchor>
        </w:drawing>
      </w:r>
      <w:r w:rsidR="00382EE8">
        <w:rPr>
          <w:rStyle w:val="Sub-HeadingChar"/>
          <w:rFonts w:ascii="ZWAdobeF" w:eastAsiaTheme="minorHAnsi" w:hAnsi="ZWAdobeF" w:cs="ZWAdobeF"/>
          <w:i w:val="0"/>
          <w:color w:val="auto"/>
          <w:sz w:val="2"/>
          <w:szCs w:val="2"/>
        </w:rPr>
        <w:t>1012B</w:t>
      </w:r>
      <w:r w:rsidR="00EF0886" w:rsidRPr="00D709A0">
        <w:rPr>
          <w:rStyle w:val="Sub-HeadingChar"/>
          <w:rFonts w:eastAsiaTheme="minorHAnsi"/>
        </w:rPr>
        <w:t xml:space="preserve">Figure </w:t>
      </w:r>
      <w:r w:rsidR="009E5F25" w:rsidRPr="00D709A0">
        <w:rPr>
          <w:rStyle w:val="Sub-HeadingChar"/>
          <w:rFonts w:eastAsiaTheme="minorHAnsi"/>
        </w:rPr>
        <w:t>1</w:t>
      </w:r>
      <w:r w:rsidR="00644966" w:rsidRPr="00D709A0">
        <w:rPr>
          <w:rStyle w:val="Sub-HeadingChar"/>
          <w:rFonts w:eastAsiaTheme="minorHAnsi"/>
        </w:rPr>
        <w:t>2</w:t>
      </w:r>
      <w:r w:rsidR="009A44C5" w:rsidRPr="00D709A0">
        <w:rPr>
          <w:rStyle w:val="Sub-HeadingChar"/>
          <w:rFonts w:eastAsiaTheme="minorHAnsi"/>
        </w:rPr>
        <w:t>:</w:t>
      </w:r>
      <w:r w:rsidR="00EF0886" w:rsidRPr="00D709A0">
        <w:rPr>
          <w:rStyle w:val="Sub-HeadingChar"/>
          <w:rFonts w:eastAsiaTheme="minorHAnsi"/>
        </w:rPr>
        <w:t xml:space="preserve"> </w:t>
      </w:r>
      <w:r w:rsidR="00A1681D" w:rsidRPr="00D709A0">
        <w:rPr>
          <w:rStyle w:val="Sub-HeadingChar"/>
          <w:rFonts w:eastAsiaTheme="minorHAnsi"/>
        </w:rPr>
        <w:t>Summary of</w:t>
      </w:r>
      <w:r w:rsidR="00EF0886" w:rsidRPr="00D709A0">
        <w:rPr>
          <w:rStyle w:val="Sub-HeadingChar"/>
          <w:rFonts w:eastAsiaTheme="minorHAnsi"/>
        </w:rPr>
        <w:t xml:space="preserve"> key changes in governance architecture, illustrating the shift from the current arrangements to the proposed framework</w:t>
      </w:r>
      <w:r w:rsidR="00EF0886" w:rsidRPr="00A1681D">
        <w:rPr>
          <w:b/>
          <w:i/>
        </w:rPr>
        <w:t>.</w:t>
      </w:r>
    </w:p>
    <w:p w14:paraId="091D811A" w14:textId="77777777" w:rsidR="00CB695C" w:rsidRDefault="00CB695C" w:rsidP="00577B2D">
      <w:pPr>
        <w:rPr>
          <w:rFonts w:asciiTheme="majorHAnsi" w:eastAsia="Times New Roman" w:hAnsiTheme="majorHAnsi" w:cstheme="majorBidi"/>
          <w:i/>
          <w:iCs/>
          <w:color w:val="000099"/>
          <w:sz w:val="28"/>
          <w:szCs w:val="32"/>
          <w:lang w:eastAsia="en-AU"/>
        </w:rPr>
      </w:pPr>
    </w:p>
    <w:p w14:paraId="4073A8D6" w14:textId="3CBCD546" w:rsidR="00370976" w:rsidRPr="00223E2C" w:rsidRDefault="00382EE8" w:rsidP="00577B2D">
      <w:r>
        <w:rPr>
          <w:rFonts w:ascii="ZWAdobeF" w:hAnsi="ZWAdobeF" w:cs="ZWAdobeF"/>
          <w:sz w:val="2"/>
          <w:szCs w:val="2"/>
        </w:rPr>
        <w:t>1013B</w:t>
      </w:r>
      <w:r w:rsidR="00370976" w:rsidRPr="00223E2C">
        <w:t>The</w:t>
      </w:r>
      <w:r w:rsidR="00225009">
        <w:t xml:space="preserve"> proposed</w:t>
      </w:r>
      <w:r w:rsidR="00370976" w:rsidRPr="00223E2C">
        <w:t xml:space="preserve"> framework is structured around </w:t>
      </w:r>
      <w:r w:rsidR="5733CF59">
        <w:t>six</w:t>
      </w:r>
      <w:r w:rsidR="00370976" w:rsidRPr="00223E2C">
        <w:t xml:space="preserve"> core components:</w:t>
      </w:r>
    </w:p>
    <w:p w14:paraId="3020F2FC" w14:textId="654C5745" w:rsidR="00370976" w:rsidRPr="00223E2C" w:rsidRDefault="00382EE8" w:rsidP="00115BD6">
      <w:pPr>
        <w:pStyle w:val="ListParagraph"/>
        <w:numPr>
          <w:ilvl w:val="0"/>
          <w:numId w:val="13"/>
        </w:numPr>
        <w:ind w:left="567"/>
      </w:pPr>
      <w:r>
        <w:rPr>
          <w:rFonts w:ascii="ZWAdobeF" w:hAnsi="ZWAdobeF" w:cs="ZWAdobeF"/>
          <w:bCs/>
          <w:sz w:val="2"/>
          <w:szCs w:val="2"/>
        </w:rPr>
        <w:t>280B</w:t>
      </w:r>
      <w:r w:rsidR="00AA1AFE">
        <w:rPr>
          <w:b/>
          <w:bCs/>
        </w:rPr>
        <w:t>A new Deed</w:t>
      </w:r>
      <w:r w:rsidR="009E5F25">
        <w:rPr>
          <w:b/>
          <w:bCs/>
        </w:rPr>
        <w:t xml:space="preserve"> </w:t>
      </w:r>
      <w:r w:rsidR="00370976" w:rsidRPr="009E5F25">
        <w:t>-</w:t>
      </w:r>
      <w:r w:rsidR="00370976">
        <w:t xml:space="preserve"> </w:t>
      </w:r>
      <w:r w:rsidR="00370976" w:rsidRPr="00223E2C">
        <w:t>establishing shared objectives, roles and system foundations</w:t>
      </w:r>
    </w:p>
    <w:p w14:paraId="7B166DD5" w14:textId="587A423F" w:rsidR="00370976" w:rsidRPr="00223E2C" w:rsidRDefault="00382EE8" w:rsidP="00115BD6">
      <w:pPr>
        <w:pStyle w:val="ListParagraph"/>
        <w:numPr>
          <w:ilvl w:val="0"/>
          <w:numId w:val="13"/>
        </w:numPr>
        <w:ind w:left="567"/>
      </w:pPr>
      <w:r>
        <w:rPr>
          <w:rFonts w:ascii="ZWAdobeF" w:hAnsi="ZWAdobeF" w:cs="ZWAdobeF"/>
          <w:bCs/>
          <w:sz w:val="2"/>
          <w:szCs w:val="2"/>
        </w:rPr>
        <w:t>281B</w:t>
      </w:r>
      <w:r w:rsidR="00370976" w:rsidRPr="00577B2D">
        <w:rPr>
          <w:b/>
          <w:bCs/>
        </w:rPr>
        <w:t>Governance and decision-making</w:t>
      </w:r>
      <w:r w:rsidR="00370976" w:rsidRPr="00223E2C">
        <w:t xml:space="preserve"> </w:t>
      </w:r>
      <w:r w:rsidR="00370976">
        <w:t xml:space="preserve">- </w:t>
      </w:r>
      <w:r w:rsidR="00370976" w:rsidRPr="00223E2C">
        <w:t>strengthening decision-making processes and trade-off management</w:t>
      </w:r>
    </w:p>
    <w:p w14:paraId="26807EBD" w14:textId="1A80C109" w:rsidR="00370976" w:rsidRPr="00223E2C" w:rsidRDefault="00382EE8" w:rsidP="00115BD6">
      <w:pPr>
        <w:pStyle w:val="ListParagraph"/>
        <w:numPr>
          <w:ilvl w:val="0"/>
          <w:numId w:val="13"/>
        </w:numPr>
        <w:ind w:left="567"/>
      </w:pPr>
      <w:r>
        <w:rPr>
          <w:rFonts w:ascii="ZWAdobeF" w:hAnsi="ZWAdobeF" w:cs="ZWAdobeF"/>
          <w:bCs/>
          <w:sz w:val="2"/>
          <w:szCs w:val="2"/>
        </w:rPr>
        <w:lastRenderedPageBreak/>
        <w:t>282B</w:t>
      </w:r>
      <w:r w:rsidR="00370976" w:rsidRPr="00577B2D">
        <w:rPr>
          <w:b/>
          <w:bCs/>
        </w:rPr>
        <w:t>Operational delivery</w:t>
      </w:r>
      <w:r w:rsidR="00370976" w:rsidRPr="00223E2C">
        <w:t xml:space="preserve"> </w:t>
      </w:r>
      <w:r w:rsidR="00370976">
        <w:t>-</w:t>
      </w:r>
      <w:r w:rsidR="00370976" w:rsidRPr="00223E2C">
        <w:t xml:space="preserve"> continuing delivery through existing entities within a clearer and more adaptive framework</w:t>
      </w:r>
    </w:p>
    <w:p w14:paraId="2A8AE3F7" w14:textId="0100E5E9" w:rsidR="00370976" w:rsidRPr="00223E2C" w:rsidRDefault="00382EE8" w:rsidP="00115BD6">
      <w:pPr>
        <w:pStyle w:val="ListParagraph"/>
        <w:numPr>
          <w:ilvl w:val="0"/>
          <w:numId w:val="13"/>
        </w:numPr>
        <w:ind w:left="567"/>
      </w:pPr>
      <w:r>
        <w:rPr>
          <w:rFonts w:ascii="ZWAdobeF" w:hAnsi="ZWAdobeF" w:cs="ZWAdobeF"/>
          <w:bCs/>
          <w:sz w:val="2"/>
          <w:szCs w:val="2"/>
        </w:rPr>
        <w:t>283B</w:t>
      </w:r>
      <w:r w:rsidR="00370976" w:rsidRPr="00577B2D">
        <w:rPr>
          <w:b/>
          <w:bCs/>
        </w:rPr>
        <w:t>Monitoring, reporting and review</w:t>
      </w:r>
      <w:r w:rsidR="00370976" w:rsidRPr="00223E2C">
        <w:t xml:space="preserve"> </w:t>
      </w:r>
      <w:r w:rsidR="00370976">
        <w:t xml:space="preserve">- </w:t>
      </w:r>
      <w:r w:rsidR="00370976" w:rsidRPr="00223E2C">
        <w:t>providing transparency, performance tracking and adaptive learning</w:t>
      </w:r>
    </w:p>
    <w:p w14:paraId="2D584343" w14:textId="04F9DF87" w:rsidR="00370976" w:rsidRPr="00223E2C" w:rsidRDefault="00382EE8" w:rsidP="00115BD6">
      <w:pPr>
        <w:pStyle w:val="ListParagraph"/>
        <w:numPr>
          <w:ilvl w:val="0"/>
          <w:numId w:val="13"/>
        </w:numPr>
        <w:ind w:left="567"/>
      </w:pPr>
      <w:r>
        <w:rPr>
          <w:rFonts w:ascii="ZWAdobeF" w:hAnsi="ZWAdobeF" w:cs="ZWAdobeF"/>
          <w:bCs/>
          <w:sz w:val="2"/>
          <w:szCs w:val="2"/>
        </w:rPr>
        <w:t>284B</w:t>
      </w:r>
      <w:r w:rsidR="00370976" w:rsidRPr="00577B2D">
        <w:rPr>
          <w:b/>
          <w:bCs/>
        </w:rPr>
        <w:t>Compliance and enforcement (system assurance)</w:t>
      </w:r>
      <w:r w:rsidR="00370976" w:rsidRPr="00223E2C">
        <w:t xml:space="preserve"> </w:t>
      </w:r>
      <w:r w:rsidR="00370976">
        <w:t xml:space="preserve">- </w:t>
      </w:r>
      <w:r w:rsidR="00370976" w:rsidRPr="00223E2C">
        <w:t>ensuring accountability and adherence to agreed requirements</w:t>
      </w:r>
      <w:r w:rsidR="002B34A8">
        <w:t>.</w:t>
      </w:r>
    </w:p>
    <w:p w14:paraId="15457AB9" w14:textId="68043889" w:rsidR="52367282" w:rsidRDefault="00382EE8" w:rsidP="00115BD6">
      <w:pPr>
        <w:pStyle w:val="ListParagraph"/>
        <w:numPr>
          <w:ilvl w:val="0"/>
          <w:numId w:val="13"/>
        </w:numPr>
        <w:ind w:left="567"/>
      </w:pPr>
      <w:r>
        <w:rPr>
          <w:rFonts w:ascii="ZWAdobeF" w:hAnsi="ZWAdobeF" w:cs="ZWAdobeF"/>
          <w:sz w:val="2"/>
          <w:szCs w:val="2"/>
        </w:rPr>
        <w:t>285B</w:t>
      </w:r>
      <w:r w:rsidR="52367282" w:rsidRPr="00F246A4">
        <w:rPr>
          <w:b/>
        </w:rPr>
        <w:t>Review</w:t>
      </w:r>
      <w:r w:rsidR="52367282">
        <w:t xml:space="preserve"> – providing for assessment of effectiveness, adaptation and improvement</w:t>
      </w:r>
    </w:p>
    <w:p w14:paraId="2E193496" w14:textId="1FB11876" w:rsidR="00370976" w:rsidRDefault="00382EE8" w:rsidP="00577B2D">
      <w:r>
        <w:rPr>
          <w:rFonts w:ascii="ZWAdobeF" w:hAnsi="ZWAdobeF" w:cs="ZWAdobeF"/>
          <w:sz w:val="2"/>
          <w:szCs w:val="2"/>
        </w:rPr>
        <w:t>1014B</w:t>
      </w:r>
      <w:r w:rsidR="00370976" w:rsidRPr="00223E2C">
        <w:t xml:space="preserve">Community and First </w:t>
      </w:r>
      <w:r w:rsidR="00370976" w:rsidRPr="00055A8E">
        <w:t>Nations participation is embedded across all components, including objective-setting, decision-making, implementation and review.</w:t>
      </w:r>
    </w:p>
    <w:p w14:paraId="48667408" w14:textId="77777777" w:rsidR="00A33413" w:rsidRDefault="001E5105" w:rsidP="001E5105">
      <w:pPr>
        <w:pStyle w:val="ReviewHeading3"/>
      </w:pPr>
      <w:r>
        <w:t>Governance framework in practice</w:t>
      </w:r>
    </w:p>
    <w:p w14:paraId="520DA182" w14:textId="1A998671" w:rsidR="00A33413" w:rsidRPr="00577B2D" w:rsidRDefault="00AA1AFE" w:rsidP="00494860">
      <w:pPr>
        <w:pStyle w:val="Sub-Heading"/>
      </w:pPr>
      <w:r>
        <w:t xml:space="preserve">A new Deed </w:t>
      </w:r>
    </w:p>
    <w:p w14:paraId="6FF9D0DD" w14:textId="51FE312B" w:rsidR="00A33413" w:rsidRPr="00577B2D" w:rsidRDefault="00382EE8" w:rsidP="00A33413">
      <w:pPr>
        <w:rPr>
          <w:rFonts w:cs="Calibri"/>
        </w:rPr>
      </w:pPr>
      <w:r>
        <w:rPr>
          <w:rFonts w:ascii="ZWAdobeF" w:hAnsi="ZWAdobeF" w:cs="ZWAdobeF"/>
          <w:sz w:val="2"/>
          <w:szCs w:val="2"/>
        </w:rPr>
        <w:t>1015B</w:t>
      </w:r>
      <w:r w:rsidR="00A33413" w:rsidRPr="00577B2D">
        <w:rPr>
          <w:rFonts w:cs="Calibri"/>
        </w:rPr>
        <w:t>The</w:t>
      </w:r>
      <w:r w:rsidR="00AA1AFE">
        <w:rPr>
          <w:rFonts w:cs="Calibri"/>
        </w:rPr>
        <w:t xml:space="preserve"> new Deed that</w:t>
      </w:r>
      <w:r w:rsidR="003B7C21">
        <w:rPr>
          <w:rFonts w:cs="Calibri"/>
        </w:rPr>
        <w:t xml:space="preserve"> </w:t>
      </w:r>
      <w:r w:rsidR="00A33413" w:rsidRPr="00577B2D">
        <w:rPr>
          <w:rFonts w:cs="Calibri"/>
        </w:rPr>
        <w:t>establishes the system foundations, including</w:t>
      </w:r>
      <w:r w:rsidR="006F057F" w:rsidRPr="00577B2D">
        <w:rPr>
          <w:rFonts w:cs="Calibri"/>
        </w:rPr>
        <w:t>:</w:t>
      </w:r>
    </w:p>
    <w:p w14:paraId="5DCEA9EA" w14:textId="630BAD24" w:rsidR="00A33413" w:rsidRPr="00577B2D" w:rsidRDefault="00382EE8" w:rsidP="002852C7">
      <w:pPr>
        <w:pStyle w:val="ListParagraph"/>
        <w:numPr>
          <w:ilvl w:val="0"/>
          <w:numId w:val="9"/>
        </w:numPr>
        <w:spacing w:after="200" w:line="276" w:lineRule="auto"/>
        <w:jc w:val="left"/>
        <w:rPr>
          <w:rFonts w:cs="Calibri"/>
        </w:rPr>
      </w:pPr>
      <w:r>
        <w:rPr>
          <w:rFonts w:ascii="ZWAdobeF" w:hAnsi="ZWAdobeF" w:cs="ZWAdobeF"/>
          <w:sz w:val="2"/>
          <w:szCs w:val="2"/>
        </w:rPr>
        <w:t>286B</w:t>
      </w:r>
      <w:r w:rsidR="00A33413" w:rsidRPr="6F7FF183">
        <w:rPr>
          <w:rFonts w:cs="Calibri"/>
        </w:rPr>
        <w:t>defin</w:t>
      </w:r>
      <w:r w:rsidR="24171E8F" w:rsidRPr="6F7FF183">
        <w:rPr>
          <w:rFonts w:cs="Calibri"/>
        </w:rPr>
        <w:t>ing</w:t>
      </w:r>
      <w:r w:rsidR="00A33413" w:rsidRPr="00577B2D">
        <w:rPr>
          <w:rFonts w:cs="Calibri"/>
        </w:rPr>
        <w:t xml:space="preserve"> system objectives, performance expectations and review requirements</w:t>
      </w:r>
    </w:p>
    <w:p w14:paraId="5C596B1F" w14:textId="54087209" w:rsidR="00A33413" w:rsidRPr="00577B2D" w:rsidRDefault="00382EE8" w:rsidP="002852C7">
      <w:pPr>
        <w:pStyle w:val="ListParagraph"/>
        <w:numPr>
          <w:ilvl w:val="0"/>
          <w:numId w:val="9"/>
        </w:numPr>
        <w:spacing w:after="200" w:line="276" w:lineRule="auto"/>
        <w:jc w:val="left"/>
        <w:rPr>
          <w:rFonts w:cs="Calibri"/>
        </w:rPr>
      </w:pPr>
      <w:r>
        <w:rPr>
          <w:rFonts w:ascii="ZWAdobeF" w:hAnsi="ZWAdobeF" w:cs="ZWAdobeF"/>
          <w:sz w:val="2"/>
          <w:szCs w:val="2"/>
        </w:rPr>
        <w:t>287B</w:t>
      </w:r>
      <w:r w:rsidR="00A33413" w:rsidRPr="6F7FF183">
        <w:rPr>
          <w:rFonts w:cs="Calibri"/>
        </w:rPr>
        <w:t>establish</w:t>
      </w:r>
      <w:r w:rsidR="7FED745A" w:rsidRPr="6F7FF183">
        <w:rPr>
          <w:rFonts w:cs="Calibri"/>
        </w:rPr>
        <w:t>ing</w:t>
      </w:r>
      <w:r w:rsidR="00A33413" w:rsidRPr="00577B2D">
        <w:rPr>
          <w:rFonts w:cs="Calibri"/>
        </w:rPr>
        <w:t xml:space="preserve"> roles, responsibilities and participation across jurisdictions</w:t>
      </w:r>
    </w:p>
    <w:p w14:paraId="6D6F5A6D" w14:textId="1308CF61" w:rsidR="00A33413" w:rsidRPr="00577B2D" w:rsidRDefault="00382EE8" w:rsidP="002852C7">
      <w:pPr>
        <w:pStyle w:val="ListParagraph"/>
        <w:numPr>
          <w:ilvl w:val="0"/>
          <w:numId w:val="9"/>
        </w:numPr>
        <w:spacing w:after="200" w:line="276" w:lineRule="auto"/>
        <w:jc w:val="left"/>
        <w:rPr>
          <w:rFonts w:cs="Calibri"/>
        </w:rPr>
      </w:pPr>
      <w:r>
        <w:rPr>
          <w:rFonts w:ascii="ZWAdobeF" w:hAnsi="ZWAdobeF" w:cs="ZWAdobeF"/>
          <w:sz w:val="2"/>
          <w:szCs w:val="2"/>
        </w:rPr>
        <w:t>288B</w:t>
      </w:r>
      <w:r w:rsidR="00A33413" w:rsidRPr="6F7FF183" w:rsidDel="00A33413">
        <w:rPr>
          <w:rFonts w:cs="Calibri"/>
        </w:rPr>
        <w:t>s</w:t>
      </w:r>
      <w:r w:rsidR="00A33413" w:rsidRPr="6F7FF183">
        <w:rPr>
          <w:rFonts w:cs="Calibri"/>
        </w:rPr>
        <w:t>et</w:t>
      </w:r>
      <w:r w:rsidR="24BD928B" w:rsidRPr="6F7FF183">
        <w:rPr>
          <w:rFonts w:cs="Calibri"/>
        </w:rPr>
        <w:t>ting</w:t>
      </w:r>
      <w:r w:rsidR="00A33413" w:rsidRPr="00577B2D">
        <w:rPr>
          <w:rFonts w:cs="Calibri"/>
        </w:rPr>
        <w:t xml:space="preserve"> the parameters for decision-making and system operation</w:t>
      </w:r>
    </w:p>
    <w:p w14:paraId="63ED0374" w14:textId="4A7203CE" w:rsidR="00A33413" w:rsidRPr="00577B2D" w:rsidRDefault="00382EE8" w:rsidP="002852C7">
      <w:pPr>
        <w:pStyle w:val="ListParagraph"/>
        <w:numPr>
          <w:ilvl w:val="0"/>
          <w:numId w:val="9"/>
        </w:numPr>
        <w:spacing w:after="200" w:line="276" w:lineRule="auto"/>
        <w:jc w:val="left"/>
        <w:rPr>
          <w:rFonts w:cs="Calibri"/>
        </w:rPr>
      </w:pPr>
      <w:r>
        <w:rPr>
          <w:rFonts w:ascii="ZWAdobeF" w:hAnsi="ZWAdobeF" w:cs="ZWAdobeF"/>
          <w:sz w:val="2"/>
          <w:szCs w:val="2"/>
        </w:rPr>
        <w:t>289B</w:t>
      </w:r>
      <w:r w:rsidR="00A33413" w:rsidRPr="6F7FF183">
        <w:rPr>
          <w:rFonts w:cs="Calibri"/>
        </w:rPr>
        <w:t>provid</w:t>
      </w:r>
      <w:r w:rsidR="7E44C366" w:rsidRPr="6F7FF183">
        <w:rPr>
          <w:rFonts w:cs="Calibri"/>
        </w:rPr>
        <w:t>ing</w:t>
      </w:r>
      <w:r w:rsidR="00A33413" w:rsidRPr="00577B2D">
        <w:rPr>
          <w:rFonts w:cs="Calibri"/>
        </w:rPr>
        <w:t xml:space="preserve"> the basis for accountability, transparency and periodic review</w:t>
      </w:r>
      <w:r w:rsidR="00F32C2D" w:rsidRPr="00577B2D">
        <w:rPr>
          <w:rFonts w:cs="Calibri"/>
        </w:rPr>
        <w:t>.</w:t>
      </w:r>
    </w:p>
    <w:p w14:paraId="16AA5CB9" w14:textId="10605199" w:rsidR="00A33413" w:rsidRPr="00577B2D" w:rsidRDefault="00A33413" w:rsidP="00EC36B6">
      <w:pPr>
        <w:pStyle w:val="Sub-Heading"/>
      </w:pPr>
      <w:r w:rsidRPr="00577B2D">
        <w:t>Governance and decision-making</w:t>
      </w:r>
    </w:p>
    <w:p w14:paraId="20B3E80C" w14:textId="14563669" w:rsidR="00A33413" w:rsidRPr="00577B2D" w:rsidRDefault="00382EE8" w:rsidP="00D3335A">
      <w:r>
        <w:rPr>
          <w:rFonts w:ascii="ZWAdobeF" w:hAnsi="ZWAdobeF" w:cs="ZWAdobeF"/>
          <w:sz w:val="2"/>
          <w:szCs w:val="2"/>
        </w:rPr>
        <w:t>1016B</w:t>
      </w:r>
      <w:r w:rsidR="00A33413" w:rsidRPr="00577B2D">
        <w:t>Governance and decision-making arrangements define how</w:t>
      </w:r>
      <w:r w:rsidR="00F32C2D" w:rsidRPr="00577B2D">
        <w:t>:</w:t>
      </w:r>
    </w:p>
    <w:p w14:paraId="30D9C8BC" w14:textId="40F50F3C" w:rsidR="00A33413" w:rsidRPr="00577B2D" w:rsidRDefault="00382EE8" w:rsidP="002852C7">
      <w:pPr>
        <w:pStyle w:val="ListParagraph"/>
        <w:numPr>
          <w:ilvl w:val="0"/>
          <w:numId w:val="8"/>
        </w:numPr>
      </w:pPr>
      <w:r>
        <w:rPr>
          <w:rFonts w:ascii="ZWAdobeF" w:hAnsi="ZWAdobeF" w:cs="ZWAdobeF"/>
          <w:sz w:val="2"/>
          <w:szCs w:val="2"/>
        </w:rPr>
        <w:t>290B</w:t>
      </w:r>
      <w:r w:rsidR="00A33413" w:rsidRPr="00577B2D">
        <w:t>decisions are made within clearly defined roles and governance structures</w:t>
      </w:r>
    </w:p>
    <w:p w14:paraId="2DF6ACDD" w14:textId="4CB7C45D" w:rsidR="00A33413" w:rsidRPr="00577B2D" w:rsidRDefault="00382EE8" w:rsidP="002852C7">
      <w:pPr>
        <w:pStyle w:val="ListParagraph"/>
        <w:numPr>
          <w:ilvl w:val="0"/>
          <w:numId w:val="8"/>
        </w:numPr>
      </w:pPr>
      <w:r>
        <w:rPr>
          <w:rFonts w:ascii="ZWAdobeF" w:hAnsi="ZWAdobeF" w:cs="ZWAdobeF"/>
          <w:sz w:val="2"/>
          <w:szCs w:val="2"/>
        </w:rPr>
        <w:t>291B</w:t>
      </w:r>
      <w:r w:rsidR="00A33413" w:rsidRPr="00577B2D">
        <w:t>trade-offs are assessed using agreed frameworks and criteria</w:t>
      </w:r>
    </w:p>
    <w:p w14:paraId="6B526895" w14:textId="6729E15E" w:rsidR="00A33413" w:rsidRPr="00577B2D" w:rsidRDefault="00382EE8" w:rsidP="002852C7">
      <w:pPr>
        <w:pStyle w:val="ListParagraph"/>
        <w:numPr>
          <w:ilvl w:val="0"/>
          <w:numId w:val="8"/>
        </w:numPr>
      </w:pPr>
      <w:r>
        <w:rPr>
          <w:rFonts w:ascii="ZWAdobeF" w:hAnsi="ZWAdobeF" w:cs="ZWAdobeF"/>
          <w:sz w:val="2"/>
          <w:szCs w:val="2"/>
        </w:rPr>
        <w:t>292B</w:t>
      </w:r>
      <w:r w:rsidR="00A33413" w:rsidRPr="00577B2D">
        <w:t xml:space="preserve">escalation pathways are established, including independent dispute resolution where required </w:t>
      </w:r>
      <w:r w:rsidR="00A33413" w:rsidRPr="00D709A0">
        <w:rPr>
          <w:b/>
        </w:rPr>
        <w:t xml:space="preserve">(Box </w:t>
      </w:r>
      <w:r w:rsidR="00D709A0" w:rsidRPr="00D709A0">
        <w:rPr>
          <w:b/>
          <w:bCs/>
        </w:rPr>
        <w:t>4</w:t>
      </w:r>
      <w:r w:rsidR="00A33413" w:rsidRPr="00D709A0">
        <w:rPr>
          <w:b/>
        </w:rPr>
        <w:t>)</w:t>
      </w:r>
    </w:p>
    <w:p w14:paraId="53831536" w14:textId="7ABE0745" w:rsidR="00A33413" w:rsidRPr="00577B2D" w:rsidRDefault="00382EE8" w:rsidP="002852C7">
      <w:pPr>
        <w:pStyle w:val="ListParagraph"/>
        <w:numPr>
          <w:ilvl w:val="0"/>
          <w:numId w:val="8"/>
        </w:numPr>
      </w:pPr>
      <w:r>
        <w:rPr>
          <w:rFonts w:ascii="ZWAdobeF" w:hAnsi="ZWAdobeF" w:cs="ZWAdobeF"/>
          <w:sz w:val="2"/>
          <w:szCs w:val="2"/>
        </w:rPr>
        <w:t>293B</w:t>
      </w:r>
      <w:r w:rsidR="00A33413" w:rsidRPr="00577B2D">
        <w:t>decisions are documented and publicly reported</w:t>
      </w:r>
      <w:r w:rsidR="00F32C2D" w:rsidRPr="00577B2D">
        <w:t>.</w:t>
      </w:r>
    </w:p>
    <w:p w14:paraId="66D1A6D6" w14:textId="473C98C8" w:rsidR="00A33413" w:rsidRPr="00577B2D" w:rsidRDefault="00382EE8" w:rsidP="00D3335A">
      <w:pPr>
        <w:rPr>
          <w:rFonts w:eastAsia="Times New Roman"/>
          <w:lang w:eastAsia="en-AU"/>
        </w:rPr>
      </w:pPr>
      <w:r>
        <w:rPr>
          <w:rFonts w:ascii="ZWAdobeF" w:eastAsia="Times New Roman" w:hAnsi="ZWAdobeF" w:cs="ZWAdobeF"/>
          <w:sz w:val="2"/>
          <w:szCs w:val="2"/>
          <w:lang w:eastAsia="en-AU"/>
        </w:rPr>
        <w:t>1017B</w:t>
      </w:r>
      <w:r w:rsidR="00A33413" w:rsidRPr="00577B2D">
        <w:rPr>
          <w:rFonts w:eastAsia="Times New Roman"/>
          <w:lang w:eastAsia="en-AU"/>
        </w:rPr>
        <w:t xml:space="preserve">These arrangements are supported by coordinated implementation across jurisdictions and delivery entities </w:t>
      </w:r>
      <w:r w:rsidR="00A33413" w:rsidRPr="00235CB5">
        <w:rPr>
          <w:rFonts w:eastAsia="Times New Roman"/>
          <w:b/>
          <w:lang w:eastAsia="en-AU"/>
        </w:rPr>
        <w:t xml:space="preserve">(see Box </w:t>
      </w:r>
      <w:r w:rsidR="00235CB5" w:rsidRPr="00235CB5">
        <w:rPr>
          <w:rFonts w:eastAsia="Times New Roman"/>
          <w:b/>
          <w:bCs/>
          <w:lang w:eastAsia="en-AU"/>
        </w:rPr>
        <w:t>5</w:t>
      </w:r>
      <w:r w:rsidR="00A33413" w:rsidRPr="00235CB5">
        <w:rPr>
          <w:rFonts w:eastAsia="Times New Roman"/>
          <w:b/>
          <w:lang w:eastAsia="en-AU"/>
        </w:rPr>
        <w:t>).</w:t>
      </w:r>
    </w:p>
    <w:p w14:paraId="029C6E00" w14:textId="0728E743" w:rsidR="00A33413" w:rsidRPr="00577B2D" w:rsidRDefault="00382EE8" w:rsidP="00D3335A">
      <w:r>
        <w:rPr>
          <w:rFonts w:ascii="ZWAdobeF" w:hAnsi="ZWAdobeF" w:cs="ZWAdobeF"/>
          <w:sz w:val="2"/>
          <w:szCs w:val="2"/>
        </w:rPr>
        <w:t>1018B</w:t>
      </w:r>
      <w:r w:rsidR="00A33413" w:rsidRPr="00577B2D">
        <w:t xml:space="preserve">Governance arrangements should provide for ongoing input from experts, communities and First Nations people, ensuring that decision-making is informed by evidence, local knowledge and diverse perspectives </w:t>
      </w:r>
      <w:r w:rsidR="00A33413" w:rsidRPr="00235CB5">
        <w:rPr>
          <w:b/>
        </w:rPr>
        <w:t xml:space="preserve">(Box </w:t>
      </w:r>
      <w:r w:rsidR="00235CB5" w:rsidRPr="00235CB5">
        <w:rPr>
          <w:b/>
          <w:bCs/>
        </w:rPr>
        <w:t>6</w:t>
      </w:r>
      <w:r w:rsidR="00A33413" w:rsidRPr="00235CB5">
        <w:rPr>
          <w:b/>
        </w:rPr>
        <w:t>)</w:t>
      </w:r>
      <w:r w:rsidR="00A231C5" w:rsidRPr="00235CB5">
        <w:rPr>
          <w:b/>
        </w:rPr>
        <w:t>.</w:t>
      </w:r>
    </w:p>
    <w:p w14:paraId="4634B70A" w14:textId="3E456462" w:rsidR="00A33413" w:rsidRPr="00577B2D" w:rsidRDefault="00382EE8" w:rsidP="00D3335A">
      <w:r>
        <w:rPr>
          <w:rFonts w:ascii="ZWAdobeF" w:hAnsi="ZWAdobeF" w:cs="ZWAdobeF"/>
          <w:sz w:val="2"/>
          <w:szCs w:val="2"/>
        </w:rPr>
        <w:t>1019B</w:t>
      </w:r>
      <w:r w:rsidR="00A33413" w:rsidRPr="00577B2D">
        <w:t>Within this framework:</w:t>
      </w:r>
    </w:p>
    <w:p w14:paraId="6F5EC795" w14:textId="4D22773E" w:rsidR="00A33413" w:rsidRPr="00577B2D" w:rsidRDefault="00382EE8" w:rsidP="002852C7">
      <w:pPr>
        <w:pStyle w:val="ListParagraph"/>
        <w:numPr>
          <w:ilvl w:val="0"/>
          <w:numId w:val="7"/>
        </w:numPr>
      </w:pPr>
      <w:r>
        <w:rPr>
          <w:rFonts w:ascii="ZWAdobeF" w:hAnsi="ZWAdobeF" w:cs="ZWAdobeF"/>
          <w:sz w:val="2"/>
          <w:szCs w:val="2"/>
        </w:rPr>
        <w:t>294B</w:t>
      </w:r>
      <w:r w:rsidR="00A33413" w:rsidRPr="00577B2D">
        <w:t>governments set policy and objectives</w:t>
      </w:r>
    </w:p>
    <w:p w14:paraId="221BA4E1" w14:textId="00EE32E0" w:rsidR="00A33413" w:rsidRPr="00577B2D" w:rsidRDefault="00382EE8" w:rsidP="002852C7">
      <w:pPr>
        <w:pStyle w:val="ListParagraph"/>
        <w:numPr>
          <w:ilvl w:val="0"/>
          <w:numId w:val="7"/>
        </w:numPr>
      </w:pPr>
      <w:r>
        <w:rPr>
          <w:rFonts w:ascii="ZWAdobeF" w:hAnsi="ZWAdobeF" w:cs="ZWAdobeF"/>
          <w:sz w:val="2"/>
          <w:szCs w:val="2"/>
        </w:rPr>
        <w:t>295B</w:t>
      </w:r>
      <w:r w:rsidR="00A33413" w:rsidRPr="00577B2D">
        <w:t>designated decision-making mechanisms (including independent oversight functions where required) assess trade-offs and resolve disputes</w:t>
      </w:r>
    </w:p>
    <w:p w14:paraId="1991080F" w14:textId="3DC31AF6" w:rsidR="00A33413" w:rsidRPr="00577B2D" w:rsidRDefault="00382EE8" w:rsidP="002852C7">
      <w:pPr>
        <w:pStyle w:val="ListParagraph"/>
        <w:numPr>
          <w:ilvl w:val="0"/>
          <w:numId w:val="7"/>
        </w:numPr>
      </w:pPr>
      <w:r>
        <w:rPr>
          <w:rFonts w:ascii="ZWAdobeF" w:hAnsi="ZWAdobeF" w:cs="ZWAdobeF"/>
          <w:sz w:val="2"/>
          <w:szCs w:val="2"/>
        </w:rPr>
        <w:t>296B</w:t>
      </w:r>
      <w:r w:rsidR="00A33413" w:rsidRPr="00577B2D">
        <w:t>advisory inputs inform decision-making processes</w:t>
      </w:r>
      <w:r w:rsidR="00D91460" w:rsidRPr="00577B2D">
        <w:t>.</w:t>
      </w:r>
    </w:p>
    <w:p w14:paraId="46965928" w14:textId="08E113D9" w:rsidR="00133354" w:rsidRPr="00577B2D" w:rsidRDefault="00382EE8" w:rsidP="00D3335A">
      <w:pPr>
        <w:rPr>
          <w:rFonts w:eastAsia="Times New Roman"/>
          <w:lang w:eastAsia="en-AU"/>
        </w:rPr>
      </w:pPr>
      <w:r>
        <w:rPr>
          <w:rFonts w:ascii="ZWAdobeF" w:eastAsia="Times New Roman" w:hAnsi="ZWAdobeF" w:cs="ZWAdobeF"/>
          <w:sz w:val="2"/>
          <w:szCs w:val="2"/>
          <w:lang w:eastAsia="en-AU"/>
        </w:rPr>
        <w:t>1020B</w:t>
      </w:r>
      <w:r w:rsidR="00A33413" w:rsidRPr="6332CC80">
        <w:rPr>
          <w:rFonts w:eastAsia="Times New Roman"/>
          <w:lang w:eastAsia="en-AU"/>
        </w:rPr>
        <w:t xml:space="preserve">The proposed framework builds on these arrangements by introducing a clearer structure for coordination and decision-making, including strengthened intergovernmental coordination at the senior officials level, a more formalised coordination function across planning and delivery and an </w:t>
      </w:r>
      <w:r w:rsidR="00133354" w:rsidRPr="6332CC80">
        <w:rPr>
          <w:rFonts w:eastAsia="Times New Roman"/>
          <w:lang w:eastAsia="en-AU"/>
        </w:rPr>
        <w:t xml:space="preserve">expanded role for delivery partners. Existing committees would continue to play a role but with </w:t>
      </w:r>
      <w:r w:rsidR="00133354" w:rsidRPr="6332CC80">
        <w:rPr>
          <w:rFonts w:eastAsia="Times New Roman"/>
          <w:lang w:eastAsia="en-AU"/>
        </w:rPr>
        <w:lastRenderedPageBreak/>
        <w:t>strengthened and clarified functions, including broader participation (for example, the inclusion of the Commonwealth Environmental Water Holder in relevant committees) and</w:t>
      </w:r>
      <w:r w:rsidR="00133354" w:rsidRPr="6332CC80">
        <w:rPr>
          <w:rFonts w:eastAsia="Times New Roman" w:cs="Segoe UI"/>
          <w:sz w:val="21"/>
          <w:szCs w:val="21"/>
          <w:lang w:eastAsia="en-AU"/>
        </w:rPr>
        <w:t xml:space="preserve"> </w:t>
      </w:r>
      <w:r w:rsidR="00133354" w:rsidRPr="6332CC80">
        <w:rPr>
          <w:rFonts w:eastAsia="Times New Roman"/>
          <w:lang w:eastAsia="en-AU"/>
        </w:rPr>
        <w:t>an expanded advisory function with a remit extending beyond the Snowy River to reflect broader considerations, including ACT and Victorian interests.</w:t>
      </w:r>
    </w:p>
    <w:p w14:paraId="7E8E718D" w14:textId="216A5F91" w:rsidR="006D6C13" w:rsidRPr="00577B2D" w:rsidRDefault="00382EE8" w:rsidP="00D3335A">
      <w:pPr>
        <w:rPr>
          <w:highlight w:val="yellow"/>
        </w:rPr>
      </w:pPr>
      <w:r>
        <w:rPr>
          <w:rFonts w:ascii="ZWAdobeF" w:hAnsi="ZWAdobeF" w:cs="ZWAdobeF"/>
          <w:sz w:val="2"/>
          <w:szCs w:val="2"/>
        </w:rPr>
        <w:t>1021B</w:t>
      </w:r>
      <w:r w:rsidR="00133354" w:rsidRPr="00577B2D">
        <w:t>Alignment of corporate governance settings, including Statements of Expectations, is also critical to ensuring that system-level decisions are reflected in operational and strategic behaviour (</w:t>
      </w:r>
      <w:r w:rsidR="00133354" w:rsidRPr="00235CB5">
        <w:rPr>
          <w:b/>
        </w:rPr>
        <w:t xml:space="preserve">Box </w:t>
      </w:r>
      <w:r w:rsidR="00235CB5" w:rsidRPr="00235CB5">
        <w:rPr>
          <w:b/>
          <w:bCs/>
        </w:rPr>
        <w:t>7</w:t>
      </w:r>
      <w:r w:rsidR="00133354" w:rsidRPr="00235CB5">
        <w:rPr>
          <w:b/>
        </w:rPr>
        <w:t>).</w:t>
      </w:r>
    </w:p>
    <w:p w14:paraId="2F46DA34" w14:textId="68410504" w:rsidR="52E482A2" w:rsidRDefault="00382EE8" w:rsidP="449A8F71">
      <w:r>
        <w:rPr>
          <w:rFonts w:ascii="ZWAdobeF" w:hAnsi="ZWAdobeF" w:cs="ZWAdobeF"/>
          <w:sz w:val="2"/>
          <w:szCs w:val="2"/>
        </w:rPr>
        <w:t>1022B</w:t>
      </w:r>
      <w:r w:rsidR="52E482A2">
        <w:t xml:space="preserve">The development and approval of the AWOP will continue under existing </w:t>
      </w:r>
      <w:r w:rsidR="00D809FE">
        <w:t xml:space="preserve">NSW </w:t>
      </w:r>
      <w:r w:rsidR="52E482A2">
        <w:t>legislative and licence arrangements</w:t>
      </w:r>
      <w:r w:rsidR="00D809FE">
        <w:t xml:space="preserve">, informed by existing committees (see </w:t>
      </w:r>
      <w:r w:rsidR="00D809FE" w:rsidRPr="005F257F">
        <w:rPr>
          <w:b/>
        </w:rPr>
        <w:t>Chapter 3</w:t>
      </w:r>
      <w:r w:rsidR="00D809FE">
        <w:t>)</w:t>
      </w:r>
      <w:r w:rsidR="52E482A2">
        <w:t>. The AWOP sets out how Snowy Hydro will deliver its water release obligations each year under the Snowy Water Licence, including incorporation of environmental flow planning.</w:t>
      </w:r>
      <w:r w:rsidR="1DB60D17">
        <w:t xml:space="preserve"> The AWOP will also include adaptive water planning and the processes to make it happen.</w:t>
      </w:r>
    </w:p>
    <w:p w14:paraId="78A2440E" w14:textId="6E3E549D" w:rsidR="004D37C1" w:rsidRDefault="00382EE8" w:rsidP="51572233">
      <w:r>
        <w:rPr>
          <w:rFonts w:ascii="ZWAdobeF" w:hAnsi="ZWAdobeF" w:cs="ZWAdobeF"/>
          <w:sz w:val="2"/>
          <w:szCs w:val="2"/>
        </w:rPr>
        <w:t>1023B</w:t>
      </w:r>
      <w:r w:rsidR="00C94124">
        <w:t xml:space="preserve">The proposed </w:t>
      </w:r>
      <w:r w:rsidR="5AFAD88C">
        <w:t>s</w:t>
      </w:r>
      <w:r w:rsidR="00C94124">
        <w:t xml:space="preserve">enior </w:t>
      </w:r>
      <w:r w:rsidR="420A8870">
        <w:t>o</w:t>
      </w:r>
      <w:r w:rsidR="00C94124">
        <w:t xml:space="preserve">fficials </w:t>
      </w:r>
      <w:r w:rsidR="6CD6A782">
        <w:t>g</w:t>
      </w:r>
      <w:r w:rsidR="00C94124">
        <w:t xml:space="preserve">roup </w:t>
      </w:r>
      <w:r w:rsidR="046FCC7E">
        <w:t>would</w:t>
      </w:r>
      <w:r w:rsidR="00C94124">
        <w:t xml:space="preserve"> provide system-level oversight, coordination </w:t>
      </w:r>
      <w:r w:rsidR="6C6CCB21">
        <w:t xml:space="preserve">of agreed reforms across jurisdictions </w:t>
      </w:r>
      <w:r w:rsidR="00C94124">
        <w:t xml:space="preserve">and </w:t>
      </w:r>
      <w:r w:rsidR="6FD19246">
        <w:t xml:space="preserve">coordination and </w:t>
      </w:r>
      <w:r w:rsidR="00C94124">
        <w:t xml:space="preserve">strategic direction across both water and energy interactions and support implementation of the Deed. This complements, rather than replaces, existing arrangements such as SWGOC and the statutory AWOP process. </w:t>
      </w:r>
    </w:p>
    <w:p w14:paraId="23F026A1" w14:textId="5DF671E1" w:rsidR="00C86D5A" w:rsidRDefault="00DD6ACA" w:rsidP="51572233">
      <w:r>
        <w:rPr>
          <w:noProof/>
        </w:rPr>
        <w:lastRenderedPageBreak/>
        <mc:AlternateContent>
          <mc:Choice Requires="wps">
            <w:drawing>
              <wp:anchor distT="0" distB="0" distL="114300" distR="114300" simplePos="0" relativeHeight="251658257" behindDoc="0" locked="0" layoutInCell="1" allowOverlap="1" wp14:anchorId="13F02334" wp14:editId="76FEC5B6">
                <wp:simplePos x="0" y="0"/>
                <wp:positionH relativeFrom="margin">
                  <wp:posOffset>-1270</wp:posOffset>
                </wp:positionH>
                <wp:positionV relativeFrom="paragraph">
                  <wp:posOffset>212090</wp:posOffset>
                </wp:positionV>
                <wp:extent cx="5901055" cy="159385"/>
                <wp:effectExtent l="0" t="0" r="4445" b="0"/>
                <wp:wrapSquare wrapText="bothSides"/>
                <wp:docPr id="1070659208" name="Text Box 1" descr="P1310TB18#y1"/>
                <wp:cNvGraphicFramePr/>
                <a:graphic xmlns:a="http://schemas.openxmlformats.org/drawingml/2006/main">
                  <a:graphicData uri="http://schemas.microsoft.com/office/word/2010/wordprocessingShape">
                    <wps:wsp>
                      <wps:cNvSpPr txBox="1"/>
                      <wps:spPr>
                        <a:xfrm>
                          <a:off x="0" y="0"/>
                          <a:ext cx="5901055" cy="159385"/>
                        </a:xfrm>
                        <a:prstGeom prst="rect">
                          <a:avLst/>
                        </a:prstGeom>
                        <a:solidFill>
                          <a:prstClr val="white"/>
                        </a:solidFill>
                        <a:ln>
                          <a:noFill/>
                        </a:ln>
                      </wps:spPr>
                      <wps:txbx>
                        <w:txbxContent>
                          <w:p w14:paraId="2F780F4E" w14:textId="7C97F0F1" w:rsidR="004A0BAA" w:rsidRPr="00351F91" w:rsidRDefault="004A0BAA" w:rsidP="004A0BAA">
                            <w:pPr>
                              <w:pStyle w:val="Caption"/>
                              <w:shd w:val="clear" w:color="auto" w:fill="DAE9F7" w:themeFill="text2" w:themeFillTint="1A"/>
                              <w:rPr>
                                <w:b/>
                                <w:bCs/>
                                <w:noProof/>
                                <w:color w:val="auto"/>
                                <w:sz w:val="24"/>
                                <w:szCs w:val="20"/>
                              </w:rPr>
                            </w:pPr>
                            <w:r w:rsidRPr="00351F91">
                              <w:rPr>
                                <w:b/>
                                <w:bCs/>
                                <w:color w:val="auto"/>
                                <w:sz w:val="20"/>
                                <w:szCs w:val="20"/>
                              </w:rPr>
                              <w:t xml:space="preserve">Box </w:t>
                            </w:r>
                            <w:r w:rsidRPr="00351F91">
                              <w:rPr>
                                <w:b/>
                                <w:bCs/>
                                <w:color w:val="auto"/>
                                <w:sz w:val="20"/>
                                <w:szCs w:val="20"/>
                              </w:rPr>
                              <w:fldChar w:fldCharType="begin"/>
                            </w:r>
                            <w:r w:rsidRPr="00351F91">
                              <w:rPr>
                                <w:b/>
                                <w:bCs/>
                                <w:color w:val="auto"/>
                                <w:sz w:val="20"/>
                                <w:szCs w:val="20"/>
                              </w:rPr>
                              <w:instrText xml:space="preserve"> SEQ Box \* ARABIC </w:instrText>
                            </w:r>
                            <w:r w:rsidRPr="00351F91">
                              <w:rPr>
                                <w:b/>
                                <w:bCs/>
                                <w:color w:val="auto"/>
                                <w:sz w:val="20"/>
                                <w:szCs w:val="20"/>
                              </w:rPr>
                              <w:fldChar w:fldCharType="separate"/>
                            </w:r>
                            <w:r w:rsidR="0005178F">
                              <w:rPr>
                                <w:b/>
                                <w:bCs/>
                                <w:noProof/>
                                <w:color w:val="auto"/>
                                <w:sz w:val="20"/>
                                <w:szCs w:val="20"/>
                              </w:rPr>
                              <w:t>4</w:t>
                            </w:r>
                            <w:r w:rsidRPr="00351F91">
                              <w:rPr>
                                <w:b/>
                                <w:bCs/>
                                <w:color w:val="auto"/>
                                <w:sz w:val="20"/>
                                <w:szCs w:val="20"/>
                              </w:rPr>
                              <w:fldChar w:fldCharType="end"/>
                            </w:r>
                            <w:r w:rsidRPr="00351F91">
                              <w:rPr>
                                <w:b/>
                                <w:bCs/>
                                <w:color w:val="auto"/>
                                <w:sz w:val="20"/>
                                <w:szCs w:val="20"/>
                              </w:rPr>
                              <w:t>: Independent Dispute Resolution (Snowy Water Commissioner)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2334" id="_x0000_s1035" type="#_x0000_t202" alt="P1310TB18#y1" style="position:absolute;left:0;text-align:left;margin-left:-.1pt;margin-top:16.7pt;width:464.65pt;height:12.5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" stroked="f">
                <v:textbox inset="0,0,0,0">
                  <w:txbxContent>
                    <w:p w14:paraId="2F780F4E" w14:textId="7C97F0F1" w:rsidR="004A0BAA" w:rsidRPr="00351F91" w:rsidRDefault="004A0BAA" w:rsidP="004A0BAA">
                      <w:pPr>
                        <w:pStyle w:val="Caption"/>
                        <w:shd w:val="clear" w:color="auto" w:fill="DAE9F7" w:themeFill="text2" w:themeFillTint="1A"/>
                        <w:rPr>
                          <w:b/>
                          <w:bCs/>
                          <w:noProof/>
                          <w:color w:val="auto"/>
                          <w:sz w:val="24"/>
                          <w:szCs w:val="20"/>
                        </w:rPr>
                      </w:pPr>
                      <w:r w:rsidRPr="00351F91">
                        <w:rPr>
                          <w:b/>
                          <w:bCs/>
                          <w:color w:val="auto"/>
                          <w:sz w:val="20"/>
                          <w:szCs w:val="20"/>
                        </w:rPr>
                        <w:t xml:space="preserve">Box </w:t>
                      </w:r>
                      <w:r w:rsidRPr="00351F91">
                        <w:rPr>
                          <w:b/>
                          <w:bCs/>
                          <w:color w:val="auto"/>
                          <w:sz w:val="20"/>
                          <w:szCs w:val="20"/>
                        </w:rPr>
                        <w:fldChar w:fldCharType="begin"/>
                      </w:r>
                      <w:r w:rsidRPr="00351F91">
                        <w:rPr>
                          <w:b/>
                          <w:bCs/>
                          <w:color w:val="auto"/>
                          <w:sz w:val="20"/>
                          <w:szCs w:val="20"/>
                        </w:rPr>
                        <w:instrText xml:space="preserve"> SEQ Box \* ARABIC </w:instrText>
                      </w:r>
                      <w:r w:rsidRPr="00351F91">
                        <w:rPr>
                          <w:b/>
                          <w:bCs/>
                          <w:color w:val="auto"/>
                          <w:sz w:val="20"/>
                          <w:szCs w:val="20"/>
                        </w:rPr>
                        <w:fldChar w:fldCharType="separate"/>
                      </w:r>
                      <w:r w:rsidR="0005178F">
                        <w:rPr>
                          <w:b/>
                          <w:bCs/>
                          <w:noProof/>
                          <w:color w:val="auto"/>
                          <w:sz w:val="20"/>
                          <w:szCs w:val="20"/>
                        </w:rPr>
                        <w:t>4</w:t>
                      </w:r>
                      <w:r w:rsidRPr="00351F91">
                        <w:rPr>
                          <w:b/>
                          <w:bCs/>
                          <w:color w:val="auto"/>
                          <w:sz w:val="20"/>
                          <w:szCs w:val="20"/>
                        </w:rPr>
                        <w:fldChar w:fldCharType="end"/>
                      </w:r>
                      <w:r w:rsidRPr="00351F91">
                        <w:rPr>
                          <w:b/>
                          <w:bCs/>
                          <w:color w:val="auto"/>
                          <w:sz w:val="20"/>
                          <w:szCs w:val="20"/>
                        </w:rPr>
                        <w:t>: Independent Dispute Resolution (Snowy Water Commissioner)</w:t>
                      </w:r>
                    </w:p>
                  </w:txbxContent>
                </v:textbox>
                <w10:wrap type="square" anchorx="margin"/>
              </v:shape>
            </w:pict>
          </mc:Fallback>
        </mc:AlternateContent>
      </w:r>
      <w:r>
        <w:rPr>
          <w:noProof/>
        </w:rPr>
        <mc:AlternateContent>
          <mc:Choice Requires="wps">
            <w:drawing>
              <wp:anchor distT="0" distB="0" distL="114300" distR="114300" simplePos="0" relativeHeight="251658253" behindDoc="0" locked="0" layoutInCell="1" allowOverlap="1" wp14:anchorId="112647C1" wp14:editId="6A55E434">
                <wp:simplePos x="0" y="0"/>
                <wp:positionH relativeFrom="margin">
                  <wp:posOffset>-113665</wp:posOffset>
                </wp:positionH>
                <wp:positionV relativeFrom="paragraph">
                  <wp:posOffset>95250</wp:posOffset>
                </wp:positionV>
                <wp:extent cx="6082030" cy="6153150"/>
                <wp:effectExtent l="38100" t="38100" r="90170" b="95250"/>
                <wp:wrapSquare wrapText="bothSides"/>
                <wp:docPr id="519742740" name="Text Box 2" descr="P1310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6153150"/>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43C7D592" w14:textId="001C3E97" w:rsidR="008849FB" w:rsidRPr="00DB314E" w:rsidRDefault="008849FB" w:rsidP="008849FB">
                            <w:pPr>
                              <w:rPr>
                                <w:sz w:val="18"/>
                                <w:szCs w:val="20"/>
                              </w:rPr>
                            </w:pPr>
                          </w:p>
                          <w:p w14:paraId="64592744" w14:textId="77777777" w:rsidR="008849FB" w:rsidRPr="00DB314E" w:rsidRDefault="008849FB" w:rsidP="006E0E53">
                            <w:pPr>
                              <w:spacing w:after="0"/>
                              <w:rPr>
                                <w:b/>
                                <w:sz w:val="18"/>
                                <w:szCs w:val="20"/>
                              </w:rPr>
                            </w:pPr>
                            <w:r w:rsidRPr="00DB314E">
                              <w:rPr>
                                <w:b/>
                                <w:sz w:val="18"/>
                                <w:szCs w:val="20"/>
                              </w:rPr>
                              <w:t>Proposed enhancement</w:t>
                            </w:r>
                          </w:p>
                          <w:p w14:paraId="4B4444C1" w14:textId="0D810DD6" w:rsidR="008849FB" w:rsidRPr="00DB314E" w:rsidRDefault="008849FB" w:rsidP="008849FB">
                            <w:pPr>
                              <w:rPr>
                                <w:sz w:val="18"/>
                                <w:szCs w:val="20"/>
                              </w:rPr>
                            </w:pPr>
                            <w:r w:rsidRPr="00DB314E">
                              <w:rPr>
                                <w:sz w:val="18"/>
                                <w:szCs w:val="20"/>
                              </w:rPr>
                              <w:t>The Panel proposes establis</w:t>
                            </w:r>
                            <w:r w:rsidR="0003405C" w:rsidRPr="00DB314E">
                              <w:rPr>
                                <w:sz w:val="18"/>
                                <w:szCs w:val="20"/>
                              </w:rPr>
                              <w:t>hment of</w:t>
                            </w:r>
                            <w:r w:rsidRPr="00DB314E">
                              <w:rPr>
                                <w:sz w:val="18"/>
                                <w:szCs w:val="20"/>
                              </w:rPr>
                              <w:t xml:space="preserve"> an independent dispute resolution mechanism to support decision-making where agreement cannot be reached</w:t>
                            </w:r>
                            <w:r w:rsidR="0062180E" w:rsidRPr="00DB314E">
                              <w:rPr>
                                <w:sz w:val="18"/>
                                <w:szCs w:val="20"/>
                              </w:rPr>
                              <w:t xml:space="preserve"> on </w:t>
                            </w:r>
                            <w:r w:rsidR="001E2B7A" w:rsidRPr="00DB314E">
                              <w:rPr>
                                <w:sz w:val="18"/>
                                <w:szCs w:val="20"/>
                              </w:rPr>
                              <w:t xml:space="preserve">an </w:t>
                            </w:r>
                            <w:r w:rsidR="008D2A08" w:rsidRPr="00DB314E">
                              <w:rPr>
                                <w:sz w:val="18"/>
                                <w:szCs w:val="20"/>
                              </w:rPr>
                              <w:t>adaptive environmental flow volume or timing</w:t>
                            </w:r>
                            <w:r w:rsidRPr="00DB314E">
                              <w:rPr>
                                <w:sz w:val="18"/>
                                <w:szCs w:val="20"/>
                              </w:rPr>
                              <w:t>. This function would operate as a backstop within the governance framework, ensuring trade-offs can be resolved in a timely and transparent way.</w:t>
                            </w:r>
                          </w:p>
                          <w:p w14:paraId="150E6CEB" w14:textId="77777777" w:rsidR="008849FB" w:rsidRPr="00DB314E" w:rsidRDefault="008849FB" w:rsidP="006E0E53">
                            <w:pPr>
                              <w:spacing w:after="0"/>
                              <w:rPr>
                                <w:b/>
                                <w:sz w:val="18"/>
                                <w:szCs w:val="20"/>
                              </w:rPr>
                            </w:pPr>
                            <w:r w:rsidRPr="00DB314E">
                              <w:rPr>
                                <w:b/>
                                <w:sz w:val="18"/>
                                <w:szCs w:val="20"/>
                              </w:rPr>
                              <w:t>Design approach</w:t>
                            </w:r>
                          </w:p>
                          <w:p w14:paraId="65752DD0" w14:textId="17107471" w:rsidR="008849FB" w:rsidRPr="00DB314E" w:rsidRDefault="008849FB" w:rsidP="008849FB">
                            <w:pPr>
                              <w:rPr>
                                <w:sz w:val="18"/>
                                <w:szCs w:val="20"/>
                              </w:rPr>
                            </w:pPr>
                            <w:r w:rsidRPr="00DB314E">
                              <w:rPr>
                                <w:sz w:val="18"/>
                                <w:szCs w:val="20"/>
                              </w:rPr>
                              <w:t>Th</w:t>
                            </w:r>
                            <w:r w:rsidR="0003405C" w:rsidRPr="00DB314E">
                              <w:rPr>
                                <w:sz w:val="18"/>
                                <w:szCs w:val="20"/>
                              </w:rPr>
                              <w:t>e Panel recommends this</w:t>
                            </w:r>
                            <w:r w:rsidR="005575B2">
                              <w:rPr>
                                <w:sz w:val="18"/>
                                <w:szCs w:val="20"/>
                              </w:rPr>
                              <w:t xml:space="preserve"> </w:t>
                            </w:r>
                            <w:r w:rsidRPr="00DB314E">
                              <w:rPr>
                                <w:sz w:val="18"/>
                                <w:szCs w:val="20"/>
                              </w:rPr>
                              <w:t>be established as a statutory independent officer, supported by a small secretariat. It could draw on existing models of independent statutory roles or expert panels and operate alongside existing governance bodies without duplicating their functions.</w:t>
                            </w:r>
                          </w:p>
                          <w:p w14:paraId="5B6B787A" w14:textId="77777777" w:rsidR="008849FB" w:rsidRPr="00DB314E" w:rsidRDefault="008849FB" w:rsidP="006E0E53">
                            <w:pPr>
                              <w:spacing w:after="0"/>
                              <w:rPr>
                                <w:b/>
                                <w:sz w:val="18"/>
                                <w:szCs w:val="20"/>
                              </w:rPr>
                            </w:pPr>
                            <w:r w:rsidRPr="00DB314E">
                              <w:rPr>
                                <w:b/>
                                <w:sz w:val="18"/>
                                <w:szCs w:val="20"/>
                              </w:rPr>
                              <w:t>Key elements</w:t>
                            </w:r>
                          </w:p>
                          <w:p w14:paraId="44F9BA16"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independent, evidence-based assessment of trade-offs</w:t>
                            </w:r>
                          </w:p>
                          <w:p w14:paraId="3B64A8B2"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decisions made within defined timeframes, including operational contexts</w:t>
                            </w:r>
                          </w:p>
                          <w:p w14:paraId="1FA8922D"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use as a last-resort mechanism, not a routine decision-maker</w:t>
                            </w:r>
                          </w:p>
                          <w:p w14:paraId="20FC9633"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publication of decisions and reasons.</w:t>
                            </w:r>
                          </w:p>
                          <w:p w14:paraId="151AF1CE"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authority under the WAMC</w:t>
                            </w:r>
                          </w:p>
                          <w:p w14:paraId="1C5993DD" w14:textId="5EAE9DF9" w:rsidR="00601509" w:rsidRPr="00DB314E" w:rsidRDefault="00601509" w:rsidP="00115BD6">
                            <w:pPr>
                              <w:pStyle w:val="ListParagraph"/>
                              <w:numPr>
                                <w:ilvl w:val="0"/>
                                <w:numId w:val="107"/>
                              </w:numPr>
                              <w:ind w:left="709" w:hanging="349"/>
                              <w:rPr>
                                <w:sz w:val="18"/>
                                <w:szCs w:val="20"/>
                              </w:rPr>
                            </w:pPr>
                            <w:r w:rsidRPr="00DB314E">
                              <w:rPr>
                                <w:sz w:val="18"/>
                                <w:szCs w:val="20"/>
                              </w:rPr>
                              <w:t xml:space="preserve">not </w:t>
                            </w:r>
                            <w:r w:rsidR="00944FC5" w:rsidRPr="00DB314E">
                              <w:rPr>
                                <w:sz w:val="18"/>
                                <w:szCs w:val="20"/>
                              </w:rPr>
                              <w:t>available</w:t>
                            </w:r>
                            <w:r w:rsidRPr="00DB314E">
                              <w:rPr>
                                <w:sz w:val="18"/>
                                <w:szCs w:val="20"/>
                              </w:rPr>
                              <w:t xml:space="preserve"> for base</w:t>
                            </w:r>
                            <w:r w:rsidR="00944FC5" w:rsidRPr="00DB314E">
                              <w:rPr>
                                <w:sz w:val="18"/>
                                <w:szCs w:val="20"/>
                              </w:rPr>
                              <w:t>line flow allocations</w:t>
                            </w:r>
                          </w:p>
                          <w:p w14:paraId="37AFC619" w14:textId="5A2216D7" w:rsidR="008849FB" w:rsidRPr="00F246A4" w:rsidRDefault="008849FB" w:rsidP="006E0E53">
                            <w:pPr>
                              <w:spacing w:after="0"/>
                              <w:rPr>
                                <w:b/>
                                <w:sz w:val="18"/>
                                <w:szCs w:val="20"/>
                              </w:rPr>
                            </w:pPr>
                            <w:r w:rsidRPr="00DB314E">
                              <w:rPr>
                                <w:b/>
                                <w:sz w:val="18"/>
                                <w:szCs w:val="20"/>
                              </w:rPr>
                              <w:t>Operational principles</w:t>
                            </w:r>
                            <w:r w:rsidR="00AE1CC6">
                              <w:rPr>
                                <w:b/>
                                <w:bCs/>
                                <w:sz w:val="18"/>
                                <w:szCs w:val="20"/>
                              </w:rPr>
                              <w:t xml:space="preserve">: </w:t>
                            </w:r>
                          </w:p>
                          <w:p w14:paraId="6D4F6CD8" w14:textId="77777777" w:rsidR="008849FB" w:rsidRPr="00F246A4" w:rsidRDefault="008849FB" w:rsidP="008849FB">
                            <w:pPr>
                              <w:rPr>
                                <w:sz w:val="18"/>
                                <w:szCs w:val="20"/>
                              </w:rPr>
                            </w:pPr>
                            <w:r w:rsidRPr="00F246A4">
                              <w:rPr>
                                <w:sz w:val="18"/>
                                <w:szCs w:val="20"/>
                              </w:rPr>
                              <w:t>The role should operate in accordance with the following principles:</w:t>
                            </w:r>
                          </w:p>
                          <w:p w14:paraId="1B0F8A6A" w14:textId="77777777" w:rsidR="008849FB" w:rsidRPr="00F246A4" w:rsidRDefault="008849FB" w:rsidP="00115BD6">
                            <w:pPr>
                              <w:pStyle w:val="ListParagraph"/>
                              <w:numPr>
                                <w:ilvl w:val="0"/>
                                <w:numId w:val="136"/>
                              </w:numPr>
                              <w:rPr>
                                <w:sz w:val="18"/>
                                <w:szCs w:val="20"/>
                              </w:rPr>
                            </w:pPr>
                            <w:r w:rsidRPr="00F246A4">
                              <w:rPr>
                                <w:b/>
                                <w:sz w:val="18"/>
                                <w:szCs w:val="20"/>
                              </w:rPr>
                              <w:t>Independence:</w:t>
                            </w:r>
                            <w:r w:rsidRPr="00F246A4">
                              <w:rPr>
                                <w:sz w:val="18"/>
                                <w:szCs w:val="20"/>
                              </w:rPr>
                              <w:t xml:space="preserve"> operates at arm’s length from governments and delivery entities, with decisions that are impartial, evidence-based and credible </w:t>
                            </w:r>
                          </w:p>
                          <w:p w14:paraId="3E3DC65F" w14:textId="7D8F160A" w:rsidR="008849FB" w:rsidRPr="00F246A4" w:rsidRDefault="008849FB" w:rsidP="00115BD6">
                            <w:pPr>
                              <w:pStyle w:val="ListParagraph"/>
                              <w:numPr>
                                <w:ilvl w:val="0"/>
                                <w:numId w:val="136"/>
                              </w:numPr>
                              <w:rPr>
                                <w:sz w:val="18"/>
                                <w:szCs w:val="20"/>
                              </w:rPr>
                            </w:pPr>
                            <w:r w:rsidRPr="00F246A4">
                              <w:rPr>
                                <w:b/>
                                <w:sz w:val="18"/>
                                <w:szCs w:val="20"/>
                              </w:rPr>
                              <w:t>Last resort (backstop):</w:t>
                            </w:r>
                            <w:r w:rsidRPr="00F246A4">
                              <w:rPr>
                                <w:sz w:val="18"/>
                                <w:szCs w:val="20"/>
                              </w:rPr>
                              <w:t xml:space="preserve"> used only where</w:t>
                            </w:r>
                            <w:r w:rsidR="0082076D" w:rsidRPr="00F246A4">
                              <w:rPr>
                                <w:sz w:val="18"/>
                                <w:szCs w:val="20"/>
                              </w:rPr>
                              <w:t xml:space="preserve"> an adaptive environmental flow volume or timing</w:t>
                            </w:r>
                            <w:r w:rsidRPr="00F246A4">
                              <w:rPr>
                                <w:sz w:val="18"/>
                                <w:szCs w:val="20"/>
                              </w:rPr>
                              <w:t xml:space="preserve"> cannot be resolved through existing processes, and applied sparingly </w:t>
                            </w:r>
                          </w:p>
                          <w:p w14:paraId="62EFF763" w14:textId="1321CE37" w:rsidR="008849FB" w:rsidRPr="00F246A4" w:rsidRDefault="008849FB" w:rsidP="00115BD6">
                            <w:pPr>
                              <w:pStyle w:val="ListParagraph"/>
                              <w:numPr>
                                <w:ilvl w:val="0"/>
                                <w:numId w:val="136"/>
                              </w:numPr>
                              <w:rPr>
                                <w:sz w:val="18"/>
                                <w:szCs w:val="20"/>
                              </w:rPr>
                            </w:pPr>
                            <w:r w:rsidRPr="00F246A4">
                              <w:rPr>
                                <w:b/>
                                <w:sz w:val="18"/>
                                <w:szCs w:val="20"/>
                              </w:rPr>
                              <w:t>Timeliness:</w:t>
                            </w:r>
                            <w:r w:rsidRPr="00F246A4">
                              <w:rPr>
                                <w:sz w:val="18"/>
                                <w:szCs w:val="20"/>
                              </w:rPr>
                              <w:t xml:space="preserve"> capable of making decisions within defined timeframes, including rapid determinations in operational contexts (ie hour</w:t>
                            </w:r>
                            <w:r w:rsidR="004A0BAA">
                              <w:rPr>
                                <w:sz w:val="18"/>
                                <w:szCs w:val="20"/>
                              </w:rPr>
                              <w:t>s</w:t>
                            </w:r>
                            <w:r w:rsidRPr="00F246A4">
                              <w:rPr>
                                <w:sz w:val="18"/>
                                <w:szCs w:val="20"/>
                              </w:rPr>
                              <w:t xml:space="preserve">) </w:t>
                            </w:r>
                          </w:p>
                          <w:p w14:paraId="09CEE16F" w14:textId="77777777" w:rsidR="000C1B50" w:rsidRPr="00F246A4" w:rsidRDefault="000C1B50" w:rsidP="00115BD6">
                            <w:pPr>
                              <w:pStyle w:val="ListParagraph"/>
                              <w:numPr>
                                <w:ilvl w:val="0"/>
                                <w:numId w:val="136"/>
                              </w:numPr>
                              <w:rPr>
                                <w:sz w:val="18"/>
                                <w:szCs w:val="20"/>
                              </w:rPr>
                            </w:pPr>
                            <w:r w:rsidRPr="00F246A4">
                              <w:rPr>
                                <w:b/>
                                <w:sz w:val="18"/>
                                <w:szCs w:val="20"/>
                              </w:rPr>
                              <w:t>Clarity and proportionality:</w:t>
                            </w:r>
                            <w:r w:rsidRPr="00F246A4">
                              <w:rPr>
                                <w:sz w:val="18"/>
                                <w:szCs w:val="20"/>
                              </w:rPr>
                              <w:t xml:space="preserve"> intervenes only when presented with a dispute, with a response proportionate to the issue and focused on resolving specific disputes, not broader system questions </w:t>
                            </w:r>
                          </w:p>
                          <w:p w14:paraId="60AB0FA7" w14:textId="77777777" w:rsidR="000C1B50" w:rsidRPr="00F246A4" w:rsidRDefault="000C1B50" w:rsidP="00115BD6">
                            <w:pPr>
                              <w:pStyle w:val="ListParagraph"/>
                              <w:numPr>
                                <w:ilvl w:val="0"/>
                                <w:numId w:val="136"/>
                              </w:numPr>
                              <w:rPr>
                                <w:sz w:val="18"/>
                                <w:szCs w:val="20"/>
                              </w:rPr>
                            </w:pPr>
                            <w:r w:rsidRPr="00F246A4">
                              <w:rPr>
                                <w:b/>
                                <w:sz w:val="18"/>
                                <w:szCs w:val="20"/>
                              </w:rPr>
                              <w:t>Consistency with agreed framework:</w:t>
                            </w:r>
                            <w:r w:rsidRPr="00F246A4">
                              <w:rPr>
                                <w:sz w:val="18"/>
                                <w:szCs w:val="20"/>
                              </w:rPr>
                              <w:t xml:space="preserve"> decisions are made within agreed objectives, rules and operating parameters and do not revisit system settings </w:t>
                            </w:r>
                          </w:p>
                          <w:p w14:paraId="1D845994" w14:textId="2E0B7B45" w:rsidR="000C1B50" w:rsidRPr="00F246A4" w:rsidRDefault="000C1B50" w:rsidP="00115BD6">
                            <w:pPr>
                              <w:pStyle w:val="ListParagraph"/>
                              <w:numPr>
                                <w:ilvl w:val="0"/>
                                <w:numId w:val="136"/>
                              </w:numPr>
                              <w:rPr>
                                <w:sz w:val="18"/>
                                <w:szCs w:val="20"/>
                              </w:rPr>
                            </w:pPr>
                            <w:r w:rsidRPr="00F246A4">
                              <w:rPr>
                                <w:b/>
                                <w:sz w:val="18"/>
                                <w:szCs w:val="20"/>
                              </w:rPr>
                              <w:t>Transparency and trust:</w:t>
                            </w:r>
                            <w:r w:rsidRPr="00F246A4">
                              <w:rPr>
                                <w:sz w:val="18"/>
                                <w:szCs w:val="20"/>
                              </w:rPr>
                              <w:t xml:space="preserve"> decisions and reasons, including trade-offs, are published in a clear and timely way (e.g. decision within 24 hours with a statement of reasons provided within a further defined timeframe).</w:t>
                            </w:r>
                          </w:p>
                          <w:p w14:paraId="5B01AAFA" w14:textId="796D496B" w:rsidR="008849FB" w:rsidRPr="00F246A4" w:rsidRDefault="000C1B50" w:rsidP="00115BD6">
                            <w:pPr>
                              <w:pStyle w:val="ListParagraph"/>
                              <w:numPr>
                                <w:ilvl w:val="0"/>
                                <w:numId w:val="136"/>
                              </w:numPr>
                              <w:rPr>
                                <w:sz w:val="18"/>
                                <w:szCs w:val="20"/>
                              </w:rPr>
                            </w:pPr>
                            <w:r w:rsidRPr="00F246A4">
                              <w:rPr>
                                <w:b/>
                                <w:sz w:val="18"/>
                                <w:szCs w:val="20"/>
                              </w:rPr>
                              <w:t>Learning over time:</w:t>
                            </w:r>
                            <w:r w:rsidRPr="00F246A4">
                              <w:rPr>
                                <w:sz w:val="18"/>
                                <w:szCs w:val="20"/>
                              </w:rPr>
                              <w:t xml:space="preserve"> insights from prior decisions iteratively inform governance, planning and review processes, with reliance on the role expected to decrease as the system matures.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2647C1" id="_x0000_s1036" type="#_x0000_t202" alt="P1310TB14#y1" style="position:absolute;left:0;text-align:left;margin-left:-8.95pt;margin-top:7.5pt;width:478.9pt;height:484.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" fillcolor="#dceaf7 [351]" stroked="f">
                <v:shadow on="t" color="black" opacity="26214f" origin="-.5,-.5" offset=".74836mm,.74836mm"/>
                <v:textbox>
                  <w:txbxContent>
                    <w:p w14:paraId="43C7D592" w14:textId="001C3E97" w:rsidR="008849FB" w:rsidRPr="00DB314E" w:rsidRDefault="008849FB" w:rsidP="008849FB">
                      <w:pPr>
                        <w:rPr>
                          <w:sz w:val="18"/>
                          <w:szCs w:val="20"/>
                        </w:rPr>
                      </w:pPr>
                    </w:p>
                    <w:p w14:paraId="64592744" w14:textId="77777777" w:rsidR="008849FB" w:rsidRPr="00DB314E" w:rsidRDefault="008849FB" w:rsidP="006E0E53">
                      <w:pPr>
                        <w:spacing w:after="0"/>
                        <w:rPr>
                          <w:b/>
                          <w:sz w:val="18"/>
                          <w:szCs w:val="20"/>
                        </w:rPr>
                      </w:pPr>
                      <w:r w:rsidRPr="00DB314E">
                        <w:rPr>
                          <w:b/>
                          <w:sz w:val="18"/>
                          <w:szCs w:val="20"/>
                        </w:rPr>
                        <w:t>Proposed enhancement</w:t>
                      </w:r>
                    </w:p>
                    <w:p w14:paraId="4B4444C1" w14:textId="0D810DD6" w:rsidR="008849FB" w:rsidRPr="00DB314E" w:rsidRDefault="008849FB" w:rsidP="008849FB">
                      <w:pPr>
                        <w:rPr>
                          <w:sz w:val="18"/>
                          <w:szCs w:val="20"/>
                        </w:rPr>
                      </w:pPr>
                      <w:r w:rsidRPr="00DB314E">
                        <w:rPr>
                          <w:sz w:val="18"/>
                          <w:szCs w:val="20"/>
                        </w:rPr>
                        <w:t>The Panel proposes establis</w:t>
                      </w:r>
                      <w:r w:rsidR="0003405C" w:rsidRPr="00DB314E">
                        <w:rPr>
                          <w:sz w:val="18"/>
                          <w:szCs w:val="20"/>
                        </w:rPr>
                        <w:t>hment of</w:t>
                      </w:r>
                      <w:r w:rsidRPr="00DB314E">
                        <w:rPr>
                          <w:sz w:val="18"/>
                          <w:szCs w:val="20"/>
                        </w:rPr>
                        <w:t xml:space="preserve"> an independent dispute resolution mechanism to support decision-making where agreement cannot be reached</w:t>
                      </w:r>
                      <w:r w:rsidR="0062180E" w:rsidRPr="00DB314E">
                        <w:rPr>
                          <w:sz w:val="18"/>
                          <w:szCs w:val="20"/>
                        </w:rPr>
                        <w:t xml:space="preserve"> on </w:t>
                      </w:r>
                      <w:r w:rsidR="001E2B7A" w:rsidRPr="00DB314E">
                        <w:rPr>
                          <w:sz w:val="18"/>
                          <w:szCs w:val="20"/>
                        </w:rPr>
                        <w:t xml:space="preserve">an </w:t>
                      </w:r>
                      <w:r w:rsidR="008D2A08" w:rsidRPr="00DB314E">
                        <w:rPr>
                          <w:sz w:val="18"/>
                          <w:szCs w:val="20"/>
                        </w:rPr>
                        <w:t>adaptive environmental flow volume or timing</w:t>
                      </w:r>
                      <w:r w:rsidRPr="00DB314E">
                        <w:rPr>
                          <w:sz w:val="18"/>
                          <w:szCs w:val="20"/>
                        </w:rPr>
                        <w:t>. This function would operate as a backstop within the governance framework, ensuring trade-offs can be resolved in a timely and transparent way.</w:t>
                      </w:r>
                    </w:p>
                    <w:p w14:paraId="150E6CEB" w14:textId="77777777" w:rsidR="008849FB" w:rsidRPr="00DB314E" w:rsidRDefault="008849FB" w:rsidP="006E0E53">
                      <w:pPr>
                        <w:spacing w:after="0"/>
                        <w:rPr>
                          <w:b/>
                          <w:sz w:val="18"/>
                          <w:szCs w:val="20"/>
                        </w:rPr>
                      </w:pPr>
                      <w:r w:rsidRPr="00DB314E">
                        <w:rPr>
                          <w:b/>
                          <w:sz w:val="18"/>
                          <w:szCs w:val="20"/>
                        </w:rPr>
                        <w:t>Design approach</w:t>
                      </w:r>
                    </w:p>
                    <w:p w14:paraId="65752DD0" w14:textId="17107471" w:rsidR="008849FB" w:rsidRPr="00DB314E" w:rsidRDefault="008849FB" w:rsidP="008849FB">
                      <w:pPr>
                        <w:rPr>
                          <w:sz w:val="18"/>
                          <w:szCs w:val="20"/>
                        </w:rPr>
                      </w:pPr>
                      <w:r w:rsidRPr="00DB314E">
                        <w:rPr>
                          <w:sz w:val="18"/>
                          <w:szCs w:val="20"/>
                        </w:rPr>
                        <w:t>Th</w:t>
                      </w:r>
                      <w:r w:rsidR="0003405C" w:rsidRPr="00DB314E">
                        <w:rPr>
                          <w:sz w:val="18"/>
                          <w:szCs w:val="20"/>
                        </w:rPr>
                        <w:t>e Panel recommends this</w:t>
                      </w:r>
                      <w:r w:rsidR="005575B2">
                        <w:rPr>
                          <w:sz w:val="18"/>
                          <w:szCs w:val="20"/>
                        </w:rPr>
                        <w:t xml:space="preserve"> </w:t>
                      </w:r>
                      <w:r w:rsidRPr="00DB314E">
                        <w:rPr>
                          <w:sz w:val="18"/>
                          <w:szCs w:val="20"/>
                        </w:rPr>
                        <w:t>be established as a statutory independent officer, supported by a small secretariat. It could draw on existing models of independent statutory roles or expert panels and operate alongside existing governance bodies without duplicating their functions.</w:t>
                      </w:r>
                    </w:p>
                    <w:p w14:paraId="5B6B787A" w14:textId="77777777" w:rsidR="008849FB" w:rsidRPr="00DB314E" w:rsidRDefault="008849FB" w:rsidP="006E0E53">
                      <w:pPr>
                        <w:spacing w:after="0"/>
                        <w:rPr>
                          <w:b/>
                          <w:sz w:val="18"/>
                          <w:szCs w:val="20"/>
                        </w:rPr>
                      </w:pPr>
                      <w:r w:rsidRPr="00DB314E">
                        <w:rPr>
                          <w:b/>
                          <w:sz w:val="18"/>
                          <w:szCs w:val="20"/>
                        </w:rPr>
                        <w:t>Key elements</w:t>
                      </w:r>
                    </w:p>
                    <w:p w14:paraId="44F9BA16"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independent, evidence-based assessment of trade-offs</w:t>
                      </w:r>
                    </w:p>
                    <w:p w14:paraId="3B64A8B2"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decisions made within defined timeframes, including operational contexts</w:t>
                      </w:r>
                    </w:p>
                    <w:p w14:paraId="1FA8922D"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use as a last-resort mechanism, not a routine decision-maker</w:t>
                      </w:r>
                    </w:p>
                    <w:p w14:paraId="20FC9633"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publication of decisions and reasons.</w:t>
                      </w:r>
                    </w:p>
                    <w:p w14:paraId="151AF1CE" w14:textId="77777777" w:rsidR="008849FB" w:rsidRPr="00DB314E" w:rsidRDefault="008849FB" w:rsidP="00115BD6">
                      <w:pPr>
                        <w:pStyle w:val="ListParagraph"/>
                        <w:numPr>
                          <w:ilvl w:val="0"/>
                          <w:numId w:val="107"/>
                        </w:numPr>
                        <w:ind w:left="709" w:hanging="349"/>
                        <w:rPr>
                          <w:sz w:val="18"/>
                          <w:szCs w:val="20"/>
                        </w:rPr>
                      </w:pPr>
                      <w:r w:rsidRPr="00DB314E">
                        <w:rPr>
                          <w:sz w:val="18"/>
                          <w:szCs w:val="20"/>
                        </w:rPr>
                        <w:t>authority under the WAMC</w:t>
                      </w:r>
                    </w:p>
                    <w:p w14:paraId="1C5993DD" w14:textId="5EAE9DF9" w:rsidR="00601509" w:rsidRPr="00DB314E" w:rsidRDefault="00601509" w:rsidP="00115BD6">
                      <w:pPr>
                        <w:pStyle w:val="ListParagraph"/>
                        <w:numPr>
                          <w:ilvl w:val="0"/>
                          <w:numId w:val="107"/>
                        </w:numPr>
                        <w:ind w:left="709" w:hanging="349"/>
                        <w:rPr>
                          <w:sz w:val="18"/>
                          <w:szCs w:val="20"/>
                        </w:rPr>
                      </w:pPr>
                      <w:r w:rsidRPr="00DB314E">
                        <w:rPr>
                          <w:sz w:val="18"/>
                          <w:szCs w:val="20"/>
                        </w:rPr>
                        <w:t xml:space="preserve">not </w:t>
                      </w:r>
                      <w:r w:rsidR="00944FC5" w:rsidRPr="00DB314E">
                        <w:rPr>
                          <w:sz w:val="18"/>
                          <w:szCs w:val="20"/>
                        </w:rPr>
                        <w:t>available</w:t>
                      </w:r>
                      <w:r w:rsidRPr="00DB314E">
                        <w:rPr>
                          <w:sz w:val="18"/>
                          <w:szCs w:val="20"/>
                        </w:rPr>
                        <w:t xml:space="preserve"> for base</w:t>
                      </w:r>
                      <w:r w:rsidR="00944FC5" w:rsidRPr="00DB314E">
                        <w:rPr>
                          <w:sz w:val="18"/>
                          <w:szCs w:val="20"/>
                        </w:rPr>
                        <w:t>line flow allocations</w:t>
                      </w:r>
                    </w:p>
                    <w:p w14:paraId="37AFC619" w14:textId="5A2216D7" w:rsidR="008849FB" w:rsidRPr="00F246A4" w:rsidRDefault="008849FB" w:rsidP="006E0E53">
                      <w:pPr>
                        <w:spacing w:after="0"/>
                        <w:rPr>
                          <w:b/>
                          <w:sz w:val="18"/>
                          <w:szCs w:val="20"/>
                        </w:rPr>
                      </w:pPr>
                      <w:r w:rsidRPr="00DB314E">
                        <w:rPr>
                          <w:b/>
                          <w:sz w:val="18"/>
                          <w:szCs w:val="20"/>
                        </w:rPr>
                        <w:t>Operational principles</w:t>
                      </w:r>
                      <w:r w:rsidR="00AE1CC6">
                        <w:rPr>
                          <w:b/>
                          <w:bCs/>
                          <w:sz w:val="18"/>
                          <w:szCs w:val="20"/>
                        </w:rPr>
                        <w:t xml:space="preserve">: </w:t>
                      </w:r>
                    </w:p>
                    <w:p w14:paraId="6D4F6CD8" w14:textId="77777777" w:rsidR="008849FB" w:rsidRPr="00F246A4" w:rsidRDefault="008849FB" w:rsidP="008849FB">
                      <w:pPr>
                        <w:rPr>
                          <w:sz w:val="18"/>
                          <w:szCs w:val="20"/>
                        </w:rPr>
                      </w:pPr>
                      <w:r w:rsidRPr="00F246A4">
                        <w:rPr>
                          <w:sz w:val="18"/>
                          <w:szCs w:val="20"/>
                        </w:rPr>
                        <w:t>The role should operate in accordance with the following principles:</w:t>
                      </w:r>
                    </w:p>
                    <w:p w14:paraId="1B0F8A6A" w14:textId="77777777" w:rsidR="008849FB" w:rsidRPr="00F246A4" w:rsidRDefault="008849FB" w:rsidP="00115BD6">
                      <w:pPr>
                        <w:pStyle w:val="ListParagraph"/>
                        <w:numPr>
                          <w:ilvl w:val="0"/>
                          <w:numId w:val="136"/>
                        </w:numPr>
                        <w:rPr>
                          <w:sz w:val="18"/>
                          <w:szCs w:val="20"/>
                        </w:rPr>
                      </w:pPr>
                      <w:r w:rsidRPr="00F246A4">
                        <w:rPr>
                          <w:b/>
                          <w:sz w:val="18"/>
                          <w:szCs w:val="20"/>
                        </w:rPr>
                        <w:t>Independence:</w:t>
                      </w:r>
                      <w:r w:rsidRPr="00F246A4">
                        <w:rPr>
                          <w:sz w:val="18"/>
                          <w:szCs w:val="20"/>
                        </w:rPr>
                        <w:t xml:space="preserve"> operates at arm’s length from governments and delivery entities, with decisions that are impartial, evidence-based and credible </w:t>
                      </w:r>
                    </w:p>
                    <w:p w14:paraId="3E3DC65F" w14:textId="7D8F160A" w:rsidR="008849FB" w:rsidRPr="00F246A4" w:rsidRDefault="008849FB" w:rsidP="00115BD6">
                      <w:pPr>
                        <w:pStyle w:val="ListParagraph"/>
                        <w:numPr>
                          <w:ilvl w:val="0"/>
                          <w:numId w:val="136"/>
                        </w:numPr>
                        <w:rPr>
                          <w:sz w:val="18"/>
                          <w:szCs w:val="20"/>
                        </w:rPr>
                      </w:pPr>
                      <w:r w:rsidRPr="00F246A4">
                        <w:rPr>
                          <w:b/>
                          <w:sz w:val="18"/>
                          <w:szCs w:val="20"/>
                        </w:rPr>
                        <w:t>Last resort (backstop):</w:t>
                      </w:r>
                      <w:r w:rsidRPr="00F246A4">
                        <w:rPr>
                          <w:sz w:val="18"/>
                          <w:szCs w:val="20"/>
                        </w:rPr>
                        <w:t xml:space="preserve"> used only where</w:t>
                      </w:r>
                      <w:r w:rsidR="0082076D" w:rsidRPr="00F246A4">
                        <w:rPr>
                          <w:sz w:val="18"/>
                          <w:szCs w:val="20"/>
                        </w:rPr>
                        <w:t xml:space="preserve"> an adaptive environmental flow volume or timing</w:t>
                      </w:r>
                      <w:r w:rsidRPr="00F246A4">
                        <w:rPr>
                          <w:sz w:val="18"/>
                          <w:szCs w:val="20"/>
                        </w:rPr>
                        <w:t xml:space="preserve"> cannot be resolved through existing processes, and applied sparingly </w:t>
                      </w:r>
                    </w:p>
                    <w:p w14:paraId="62EFF763" w14:textId="1321CE37" w:rsidR="008849FB" w:rsidRPr="00F246A4" w:rsidRDefault="008849FB" w:rsidP="00115BD6">
                      <w:pPr>
                        <w:pStyle w:val="ListParagraph"/>
                        <w:numPr>
                          <w:ilvl w:val="0"/>
                          <w:numId w:val="136"/>
                        </w:numPr>
                        <w:rPr>
                          <w:sz w:val="18"/>
                          <w:szCs w:val="20"/>
                        </w:rPr>
                      </w:pPr>
                      <w:r w:rsidRPr="00F246A4">
                        <w:rPr>
                          <w:b/>
                          <w:sz w:val="18"/>
                          <w:szCs w:val="20"/>
                        </w:rPr>
                        <w:t>Timeliness:</w:t>
                      </w:r>
                      <w:r w:rsidRPr="00F246A4">
                        <w:rPr>
                          <w:sz w:val="18"/>
                          <w:szCs w:val="20"/>
                        </w:rPr>
                        <w:t xml:space="preserve"> capable of making decisions within defined timeframes, including rapid determinations in operational contexts (ie hour</w:t>
                      </w:r>
                      <w:r w:rsidR="004A0BAA">
                        <w:rPr>
                          <w:sz w:val="18"/>
                          <w:szCs w:val="20"/>
                        </w:rPr>
                        <w:t>s</w:t>
                      </w:r>
                      <w:r w:rsidRPr="00F246A4">
                        <w:rPr>
                          <w:sz w:val="18"/>
                          <w:szCs w:val="20"/>
                        </w:rPr>
                        <w:t xml:space="preserve">) </w:t>
                      </w:r>
                    </w:p>
                    <w:p w14:paraId="09CEE16F" w14:textId="77777777" w:rsidR="000C1B50" w:rsidRPr="00F246A4" w:rsidRDefault="000C1B50" w:rsidP="00115BD6">
                      <w:pPr>
                        <w:pStyle w:val="ListParagraph"/>
                        <w:numPr>
                          <w:ilvl w:val="0"/>
                          <w:numId w:val="136"/>
                        </w:numPr>
                        <w:rPr>
                          <w:sz w:val="18"/>
                          <w:szCs w:val="20"/>
                        </w:rPr>
                      </w:pPr>
                      <w:r w:rsidRPr="00F246A4">
                        <w:rPr>
                          <w:b/>
                          <w:sz w:val="18"/>
                          <w:szCs w:val="20"/>
                        </w:rPr>
                        <w:t>Clarity and proportionality:</w:t>
                      </w:r>
                      <w:r w:rsidRPr="00F246A4">
                        <w:rPr>
                          <w:sz w:val="18"/>
                          <w:szCs w:val="20"/>
                        </w:rPr>
                        <w:t xml:space="preserve"> intervenes only when presented with a dispute, with a response proportionate to the issue and focused on resolving specific disputes, not broader system questions </w:t>
                      </w:r>
                    </w:p>
                    <w:p w14:paraId="60AB0FA7" w14:textId="77777777" w:rsidR="000C1B50" w:rsidRPr="00F246A4" w:rsidRDefault="000C1B50" w:rsidP="00115BD6">
                      <w:pPr>
                        <w:pStyle w:val="ListParagraph"/>
                        <w:numPr>
                          <w:ilvl w:val="0"/>
                          <w:numId w:val="136"/>
                        </w:numPr>
                        <w:rPr>
                          <w:sz w:val="18"/>
                          <w:szCs w:val="20"/>
                        </w:rPr>
                      </w:pPr>
                      <w:r w:rsidRPr="00F246A4">
                        <w:rPr>
                          <w:b/>
                          <w:sz w:val="18"/>
                          <w:szCs w:val="20"/>
                        </w:rPr>
                        <w:t>Consistency with agreed framework:</w:t>
                      </w:r>
                      <w:r w:rsidRPr="00F246A4">
                        <w:rPr>
                          <w:sz w:val="18"/>
                          <w:szCs w:val="20"/>
                        </w:rPr>
                        <w:t xml:space="preserve"> decisions are made within agreed objectives, rules and operating parameters and do not revisit system settings </w:t>
                      </w:r>
                    </w:p>
                    <w:p w14:paraId="1D845994" w14:textId="2E0B7B45" w:rsidR="000C1B50" w:rsidRPr="00F246A4" w:rsidRDefault="000C1B50" w:rsidP="00115BD6">
                      <w:pPr>
                        <w:pStyle w:val="ListParagraph"/>
                        <w:numPr>
                          <w:ilvl w:val="0"/>
                          <w:numId w:val="136"/>
                        </w:numPr>
                        <w:rPr>
                          <w:sz w:val="18"/>
                          <w:szCs w:val="20"/>
                        </w:rPr>
                      </w:pPr>
                      <w:r w:rsidRPr="00F246A4">
                        <w:rPr>
                          <w:b/>
                          <w:sz w:val="18"/>
                          <w:szCs w:val="20"/>
                        </w:rPr>
                        <w:t>Transparency and trust:</w:t>
                      </w:r>
                      <w:r w:rsidRPr="00F246A4">
                        <w:rPr>
                          <w:sz w:val="18"/>
                          <w:szCs w:val="20"/>
                        </w:rPr>
                        <w:t xml:space="preserve"> decisions and reasons, including trade-offs, are published in a clear and timely way (e.g. decision within 24 hours with a statement of reasons provided within a further defined timeframe).</w:t>
                      </w:r>
                    </w:p>
                    <w:p w14:paraId="5B01AAFA" w14:textId="796D496B" w:rsidR="008849FB" w:rsidRPr="00F246A4" w:rsidRDefault="000C1B50" w:rsidP="00115BD6">
                      <w:pPr>
                        <w:pStyle w:val="ListParagraph"/>
                        <w:numPr>
                          <w:ilvl w:val="0"/>
                          <w:numId w:val="136"/>
                        </w:numPr>
                        <w:rPr>
                          <w:sz w:val="18"/>
                          <w:szCs w:val="20"/>
                        </w:rPr>
                      </w:pPr>
                      <w:r w:rsidRPr="00F246A4">
                        <w:rPr>
                          <w:b/>
                          <w:sz w:val="18"/>
                          <w:szCs w:val="20"/>
                        </w:rPr>
                        <w:t>Learning over time:</w:t>
                      </w:r>
                      <w:r w:rsidRPr="00F246A4">
                        <w:rPr>
                          <w:sz w:val="18"/>
                          <w:szCs w:val="20"/>
                        </w:rPr>
                        <w:t xml:space="preserve"> insights from prior decisions iteratively inform governance, planning and review processes, with reliance on the role expected to decrease as the system matures.</w:t>
                      </w:r>
                    </w:p>
                  </w:txbxContent>
                </v:textbox>
                <w10:wrap type="square" anchorx="margin"/>
              </v:shape>
            </w:pict>
          </mc:Fallback>
        </mc:AlternateContent>
      </w:r>
    </w:p>
    <w:p w14:paraId="1CAC44CE" w14:textId="5581C3B8" w:rsidR="51572233" w:rsidRDefault="00A67865" w:rsidP="51572233">
      <w:r>
        <w:rPr>
          <w:noProof/>
        </w:rPr>
        <w:lastRenderedPageBreak/>
        <mc:AlternateContent>
          <mc:Choice Requires="wps">
            <w:drawing>
              <wp:anchor distT="45720" distB="45720" distL="114300" distR="114300" simplePos="0" relativeHeight="251658246" behindDoc="0" locked="0" layoutInCell="1" allowOverlap="1" wp14:anchorId="64576F86" wp14:editId="2851D039">
                <wp:simplePos x="0" y="0"/>
                <wp:positionH relativeFrom="margin">
                  <wp:posOffset>-98425</wp:posOffset>
                </wp:positionH>
                <wp:positionV relativeFrom="paragraph">
                  <wp:posOffset>4132580</wp:posOffset>
                </wp:positionV>
                <wp:extent cx="6082030" cy="3428365"/>
                <wp:effectExtent l="38100" t="38100" r="90170" b="95885"/>
                <wp:wrapSquare wrapText="bothSides"/>
                <wp:docPr id="1736335163" name="Text Box 2" descr="P13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428365"/>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40FEE40C" w14:textId="0087A287" w:rsidR="00F8091F" w:rsidRPr="00F8091F" w:rsidRDefault="00F8091F" w:rsidP="00386EFC">
                            <w:pPr>
                              <w:spacing w:after="0"/>
                              <w:rPr>
                                <w:b/>
                                <w:i/>
                                <w:iCs/>
                                <w:sz w:val="20"/>
                                <w:szCs w:val="22"/>
                              </w:rPr>
                            </w:pPr>
                            <w:r w:rsidRPr="00F8091F">
                              <w:rPr>
                                <w:b/>
                                <w:i/>
                                <w:iCs/>
                                <w:sz w:val="20"/>
                                <w:szCs w:val="22"/>
                              </w:rPr>
                              <w:t>Box 6: Advisory and Participatory Inputs</w:t>
                            </w:r>
                          </w:p>
                          <w:p w14:paraId="18753F6B" w14:textId="77777777" w:rsidR="00F8091F" w:rsidRDefault="00F8091F" w:rsidP="00386EFC">
                            <w:pPr>
                              <w:spacing w:after="0"/>
                              <w:rPr>
                                <w:b/>
                                <w:sz w:val="18"/>
                                <w:szCs w:val="20"/>
                              </w:rPr>
                            </w:pPr>
                          </w:p>
                          <w:p w14:paraId="15009FDE" w14:textId="633D8476" w:rsidR="00386EFC" w:rsidRPr="00F246A4" w:rsidRDefault="00386EFC" w:rsidP="00386EFC">
                            <w:pPr>
                              <w:spacing w:after="0"/>
                              <w:rPr>
                                <w:b/>
                                <w:sz w:val="18"/>
                                <w:szCs w:val="20"/>
                              </w:rPr>
                            </w:pPr>
                            <w:r w:rsidRPr="00F246A4">
                              <w:rPr>
                                <w:b/>
                                <w:sz w:val="18"/>
                                <w:szCs w:val="20"/>
                              </w:rPr>
                              <w:t>Proposed enhancement</w:t>
                            </w:r>
                          </w:p>
                          <w:p w14:paraId="5401D161" w14:textId="77777777" w:rsidR="00386EFC" w:rsidRPr="00F246A4" w:rsidRDefault="00386EFC" w:rsidP="00386EFC">
                            <w:pPr>
                              <w:rPr>
                                <w:sz w:val="18"/>
                                <w:szCs w:val="20"/>
                              </w:rPr>
                            </w:pPr>
                            <w:r w:rsidRPr="00F246A4">
                              <w:rPr>
                                <w:sz w:val="18"/>
                                <w:szCs w:val="20"/>
                              </w:rPr>
                              <w:t>The Panel proposes strengthening advisory and participatory inputs to ensure that decision-making is informed by experts, community perspectives and First Nations knowledge. This would support more consistent integration of these inputs across planning, decision-making and review processes.</w:t>
                            </w:r>
                          </w:p>
                          <w:p w14:paraId="64CA45E3" w14:textId="77777777" w:rsidR="00386EFC" w:rsidRPr="00F246A4" w:rsidRDefault="00386EFC" w:rsidP="00386EFC">
                            <w:pPr>
                              <w:spacing w:after="0"/>
                              <w:rPr>
                                <w:b/>
                                <w:sz w:val="18"/>
                                <w:szCs w:val="20"/>
                              </w:rPr>
                            </w:pPr>
                            <w:r w:rsidRPr="00F246A4">
                              <w:rPr>
                                <w:b/>
                                <w:sz w:val="18"/>
                                <w:szCs w:val="20"/>
                              </w:rPr>
                              <w:t>Design approach</w:t>
                            </w:r>
                          </w:p>
                          <w:p w14:paraId="3EE7F287" w14:textId="36BC451E" w:rsidR="00386EFC" w:rsidRPr="00F246A4" w:rsidRDefault="00C92DF8" w:rsidP="00386EFC">
                            <w:pPr>
                              <w:rPr>
                                <w:sz w:val="18"/>
                                <w:szCs w:val="20"/>
                              </w:rPr>
                            </w:pPr>
                            <w:r w:rsidRPr="00F246A4">
                              <w:rPr>
                                <w:sz w:val="18"/>
                                <w:szCs w:val="20"/>
                              </w:rPr>
                              <w:t>The Panel recommends t</w:t>
                            </w:r>
                            <w:r w:rsidR="00386EFC" w:rsidRPr="00F246A4">
                              <w:rPr>
                                <w:sz w:val="18"/>
                                <w:szCs w:val="20"/>
                              </w:rPr>
                              <w:t>his build on existing advisory arrangements, including bodies such as the Snowy Advisory Committee, while expanding their scope and participation to reflect the broader system context. Advisory mechanisms would operate within a clearer governance structure, with defined pathways for input into decision-making and system review.</w:t>
                            </w:r>
                          </w:p>
                          <w:p w14:paraId="634FEF72" w14:textId="77777777" w:rsidR="00386EFC" w:rsidRPr="00F246A4" w:rsidRDefault="00386EFC" w:rsidP="00715EBD">
                            <w:pPr>
                              <w:spacing w:after="0"/>
                              <w:rPr>
                                <w:b/>
                                <w:sz w:val="18"/>
                                <w:szCs w:val="20"/>
                              </w:rPr>
                            </w:pPr>
                            <w:r w:rsidRPr="00F246A4">
                              <w:rPr>
                                <w:b/>
                                <w:sz w:val="18"/>
                                <w:szCs w:val="20"/>
                              </w:rPr>
                              <w:t>Key elements</w:t>
                            </w:r>
                          </w:p>
                          <w:p w14:paraId="0CA1D06B"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structured input from experts, communities and First Nations stakeholders</w:t>
                            </w:r>
                          </w:p>
                          <w:p w14:paraId="36C550D8"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integration of advisory input into planning, decision-making and review processes</w:t>
                            </w:r>
                          </w:p>
                          <w:p w14:paraId="4ABB3C3E"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expanded participation where appropriate (e.g. possible inclusion of the Commonwealth Environmental Water Holder and broader jurisdictional representation)</w:t>
                            </w:r>
                          </w:p>
                          <w:p w14:paraId="0C030532"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evolution of existing advisory bodies toward a broader, system-level remit, reflecting basin-scale considerations rather than a sole focus on the Snowy River</w:t>
                            </w:r>
                          </w:p>
                          <w:p w14:paraId="6AEB0D81"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clear articulation of the role of advisory inputs within the wider governance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76F86" id="_x0000_s1037" type="#_x0000_t202" alt="P1311TB7#y1" style="position:absolute;left:0;text-align:left;margin-left:-7.75pt;margin-top:325.4pt;width:478.9pt;height:269.9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" fillcolor="#dceaf7 [351]" stroked="f">
                <v:shadow on="t" color="black" opacity="26214f" origin="-.5,-.5" offset=".74836mm,.74836mm"/>
                <v:textbox>
                  <w:txbxContent>
                    <w:p w14:paraId="40FEE40C" w14:textId="0087A287" w:rsidR="00F8091F" w:rsidRPr="00F8091F" w:rsidRDefault="00F8091F" w:rsidP="00386EFC">
                      <w:pPr>
                        <w:spacing w:after="0"/>
                        <w:rPr>
                          <w:b/>
                          <w:i/>
                          <w:iCs/>
                          <w:sz w:val="20"/>
                          <w:szCs w:val="22"/>
                        </w:rPr>
                      </w:pPr>
                      <w:r w:rsidRPr="00F8091F">
                        <w:rPr>
                          <w:b/>
                          <w:i/>
                          <w:iCs/>
                          <w:sz w:val="20"/>
                          <w:szCs w:val="22"/>
                        </w:rPr>
                        <w:t>Box 6: Advisory and Participatory Inputs</w:t>
                      </w:r>
                    </w:p>
                    <w:p w14:paraId="18753F6B" w14:textId="77777777" w:rsidR="00F8091F" w:rsidRDefault="00F8091F" w:rsidP="00386EFC">
                      <w:pPr>
                        <w:spacing w:after="0"/>
                        <w:rPr>
                          <w:b/>
                          <w:sz w:val="18"/>
                          <w:szCs w:val="20"/>
                        </w:rPr>
                      </w:pPr>
                    </w:p>
                    <w:p w14:paraId="15009FDE" w14:textId="633D8476" w:rsidR="00386EFC" w:rsidRPr="00F246A4" w:rsidRDefault="00386EFC" w:rsidP="00386EFC">
                      <w:pPr>
                        <w:spacing w:after="0"/>
                        <w:rPr>
                          <w:b/>
                          <w:sz w:val="18"/>
                          <w:szCs w:val="20"/>
                        </w:rPr>
                      </w:pPr>
                      <w:r w:rsidRPr="00F246A4">
                        <w:rPr>
                          <w:b/>
                          <w:sz w:val="18"/>
                          <w:szCs w:val="20"/>
                        </w:rPr>
                        <w:t>Proposed enhancement</w:t>
                      </w:r>
                    </w:p>
                    <w:p w14:paraId="5401D161" w14:textId="77777777" w:rsidR="00386EFC" w:rsidRPr="00F246A4" w:rsidRDefault="00386EFC" w:rsidP="00386EFC">
                      <w:pPr>
                        <w:rPr>
                          <w:sz w:val="18"/>
                          <w:szCs w:val="20"/>
                        </w:rPr>
                      </w:pPr>
                      <w:r w:rsidRPr="00F246A4">
                        <w:rPr>
                          <w:sz w:val="18"/>
                          <w:szCs w:val="20"/>
                        </w:rPr>
                        <w:t>The Panel proposes strengthening advisory and participatory inputs to ensure that decision-making is informed by experts, community perspectives and First Nations knowledge. This would support more consistent integration of these inputs across planning, decision-making and review processes.</w:t>
                      </w:r>
                    </w:p>
                    <w:p w14:paraId="64CA45E3" w14:textId="77777777" w:rsidR="00386EFC" w:rsidRPr="00F246A4" w:rsidRDefault="00386EFC" w:rsidP="00386EFC">
                      <w:pPr>
                        <w:spacing w:after="0"/>
                        <w:rPr>
                          <w:b/>
                          <w:sz w:val="18"/>
                          <w:szCs w:val="20"/>
                        </w:rPr>
                      </w:pPr>
                      <w:r w:rsidRPr="00F246A4">
                        <w:rPr>
                          <w:b/>
                          <w:sz w:val="18"/>
                          <w:szCs w:val="20"/>
                        </w:rPr>
                        <w:t>Design approach</w:t>
                      </w:r>
                    </w:p>
                    <w:p w14:paraId="3EE7F287" w14:textId="36BC451E" w:rsidR="00386EFC" w:rsidRPr="00F246A4" w:rsidRDefault="00C92DF8" w:rsidP="00386EFC">
                      <w:pPr>
                        <w:rPr>
                          <w:sz w:val="18"/>
                          <w:szCs w:val="20"/>
                        </w:rPr>
                      </w:pPr>
                      <w:r w:rsidRPr="00F246A4">
                        <w:rPr>
                          <w:sz w:val="18"/>
                          <w:szCs w:val="20"/>
                        </w:rPr>
                        <w:t>The Panel recommends t</w:t>
                      </w:r>
                      <w:r w:rsidR="00386EFC" w:rsidRPr="00F246A4">
                        <w:rPr>
                          <w:sz w:val="18"/>
                          <w:szCs w:val="20"/>
                        </w:rPr>
                        <w:t>his build on existing advisory arrangements, including bodies such as the Snowy Advisory Committee, while expanding their scope and participation to reflect the broader system context. Advisory mechanisms would operate within a clearer governance structure, with defined pathways for input into decision-making and system review.</w:t>
                      </w:r>
                    </w:p>
                    <w:p w14:paraId="634FEF72" w14:textId="77777777" w:rsidR="00386EFC" w:rsidRPr="00F246A4" w:rsidRDefault="00386EFC" w:rsidP="00715EBD">
                      <w:pPr>
                        <w:spacing w:after="0"/>
                        <w:rPr>
                          <w:b/>
                          <w:sz w:val="18"/>
                          <w:szCs w:val="20"/>
                        </w:rPr>
                      </w:pPr>
                      <w:r w:rsidRPr="00F246A4">
                        <w:rPr>
                          <w:b/>
                          <w:sz w:val="18"/>
                          <w:szCs w:val="20"/>
                        </w:rPr>
                        <w:t>Key elements</w:t>
                      </w:r>
                    </w:p>
                    <w:p w14:paraId="0CA1D06B"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structured input from experts, communities and First Nations stakeholders</w:t>
                      </w:r>
                    </w:p>
                    <w:p w14:paraId="36C550D8"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integration of advisory input into planning, decision-making and review processes</w:t>
                      </w:r>
                    </w:p>
                    <w:p w14:paraId="4ABB3C3E"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expanded participation where appropriate (e.g. possible inclusion of the Commonwealth Environmental Water Holder and broader jurisdictional representation)</w:t>
                      </w:r>
                    </w:p>
                    <w:p w14:paraId="0C030532"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evolution of existing advisory bodies toward a broader, system-level remit, reflecting basin-scale considerations rather than a sole focus on the Snowy River</w:t>
                      </w:r>
                    </w:p>
                    <w:p w14:paraId="6AEB0D81" w14:textId="77777777" w:rsidR="00386EFC" w:rsidRPr="00F246A4" w:rsidRDefault="00386EFC" w:rsidP="00115BD6">
                      <w:pPr>
                        <w:pStyle w:val="ListParagraph"/>
                        <w:numPr>
                          <w:ilvl w:val="0"/>
                          <w:numId w:val="109"/>
                        </w:numPr>
                        <w:ind w:left="709" w:hanging="436"/>
                        <w:rPr>
                          <w:sz w:val="18"/>
                          <w:szCs w:val="20"/>
                        </w:rPr>
                      </w:pPr>
                      <w:r w:rsidRPr="00F246A4">
                        <w:rPr>
                          <w:sz w:val="18"/>
                          <w:szCs w:val="20"/>
                        </w:rPr>
                        <w:t>clear articulation of the role of advisory inputs within the wider governance framework.</w:t>
                      </w:r>
                    </w:p>
                  </w:txbxContent>
                </v:textbox>
                <w10:wrap type="square"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1369F560" wp14:editId="6CD5764D">
                <wp:simplePos x="0" y="0"/>
                <wp:positionH relativeFrom="margin">
                  <wp:posOffset>-91081</wp:posOffset>
                </wp:positionH>
                <wp:positionV relativeFrom="paragraph">
                  <wp:posOffset>1357796</wp:posOffset>
                </wp:positionV>
                <wp:extent cx="6082030" cy="2569845"/>
                <wp:effectExtent l="38100" t="38100" r="90170" b="97155"/>
                <wp:wrapSquare wrapText="bothSides"/>
                <wp:docPr id="1651061420" name="Text Box 2" descr="P131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2569845"/>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7BC1060B" w14:textId="232BC991" w:rsidR="00F65FB0" w:rsidRPr="00F65FB0" w:rsidRDefault="00F8091F" w:rsidP="00F65FB0">
                            <w:pPr>
                              <w:shd w:val="clear" w:color="auto" w:fill="DAE9F7" w:themeFill="text2" w:themeFillTint="1A"/>
                              <w:rPr>
                                <w:b/>
                                <w:bCs/>
                                <w:i/>
                                <w:iCs/>
                                <w:sz w:val="16"/>
                                <w:szCs w:val="18"/>
                              </w:rPr>
                            </w:pPr>
                            <w:r>
                              <w:rPr>
                                <w:b/>
                                <w:sz w:val="18"/>
                                <w:szCs w:val="20"/>
                              </w:rPr>
                              <w:t xml:space="preserve"> </w:t>
                            </w:r>
                            <w:r w:rsidR="00031585">
                              <w:rPr>
                                <w:b/>
                                <w:bCs/>
                                <w:i/>
                                <w:iCs/>
                                <w:sz w:val="20"/>
                                <w:szCs w:val="22"/>
                              </w:rPr>
                              <w:t xml:space="preserve">Box </w:t>
                            </w:r>
                            <w:r w:rsidR="007D6E58">
                              <w:rPr>
                                <w:b/>
                                <w:bCs/>
                                <w:i/>
                                <w:iCs/>
                                <w:sz w:val="20"/>
                                <w:szCs w:val="22"/>
                              </w:rPr>
                              <w:t>5: I</w:t>
                            </w:r>
                            <w:r w:rsidR="00F65FB0" w:rsidRPr="00561D18">
                              <w:rPr>
                                <w:b/>
                                <w:bCs/>
                                <w:i/>
                                <w:iCs/>
                                <w:sz w:val="20"/>
                                <w:szCs w:val="22"/>
                              </w:rPr>
                              <w:t>mplementation Coordination (Senior Officials Function)</w:t>
                            </w:r>
                          </w:p>
                          <w:p w14:paraId="600FA913" w14:textId="7D1A79D6" w:rsidR="00614690" w:rsidRPr="00F246A4" w:rsidRDefault="00614690" w:rsidP="006E0E53">
                            <w:pPr>
                              <w:spacing w:after="0"/>
                              <w:rPr>
                                <w:b/>
                                <w:sz w:val="18"/>
                                <w:szCs w:val="20"/>
                              </w:rPr>
                            </w:pPr>
                            <w:r w:rsidRPr="00F246A4">
                              <w:rPr>
                                <w:b/>
                                <w:sz w:val="18"/>
                                <w:szCs w:val="20"/>
                              </w:rPr>
                              <w:t>Proposed enhancement</w:t>
                            </w:r>
                          </w:p>
                          <w:p w14:paraId="53D6168B" w14:textId="6FB456DA" w:rsidR="00614690" w:rsidRPr="00F246A4" w:rsidRDefault="00614690" w:rsidP="00614690">
                            <w:pPr>
                              <w:rPr>
                                <w:sz w:val="18"/>
                                <w:szCs w:val="20"/>
                              </w:rPr>
                            </w:pPr>
                            <w:r w:rsidRPr="00F246A4">
                              <w:rPr>
                                <w:sz w:val="18"/>
                                <w:szCs w:val="20"/>
                              </w:rPr>
                              <w:t>The Panel proposes establish</w:t>
                            </w:r>
                            <w:r w:rsidR="0003405C" w:rsidRPr="00F246A4">
                              <w:rPr>
                                <w:sz w:val="18"/>
                                <w:szCs w:val="20"/>
                              </w:rPr>
                              <w:t>ment of</w:t>
                            </w:r>
                            <w:r w:rsidRPr="00F246A4">
                              <w:rPr>
                                <w:sz w:val="18"/>
                                <w:szCs w:val="20"/>
                              </w:rPr>
                              <w:t xml:space="preserve"> a more formalised intergovernmental coordination function to support implementation and whole-of-system operation.</w:t>
                            </w:r>
                          </w:p>
                          <w:p w14:paraId="572BA7C3" w14:textId="77777777" w:rsidR="00614690" w:rsidRPr="00F246A4" w:rsidRDefault="00614690" w:rsidP="006E0E53">
                            <w:pPr>
                              <w:spacing w:after="0"/>
                              <w:rPr>
                                <w:b/>
                                <w:sz w:val="18"/>
                                <w:szCs w:val="20"/>
                              </w:rPr>
                            </w:pPr>
                            <w:r w:rsidRPr="00F246A4">
                              <w:rPr>
                                <w:b/>
                                <w:sz w:val="18"/>
                                <w:szCs w:val="20"/>
                              </w:rPr>
                              <w:t>Design approach</w:t>
                            </w:r>
                          </w:p>
                          <w:p w14:paraId="40CFD8CE" w14:textId="443EDEF9" w:rsidR="00614690" w:rsidRPr="00F246A4" w:rsidRDefault="00C92DF8" w:rsidP="00614690">
                            <w:pPr>
                              <w:rPr>
                                <w:sz w:val="18"/>
                                <w:szCs w:val="20"/>
                              </w:rPr>
                            </w:pPr>
                            <w:r w:rsidRPr="00F246A4">
                              <w:rPr>
                                <w:sz w:val="18"/>
                                <w:szCs w:val="20"/>
                              </w:rPr>
                              <w:t>The Panel recommends t</w:t>
                            </w:r>
                            <w:r w:rsidR="00614690" w:rsidRPr="00F246A4">
                              <w:rPr>
                                <w:sz w:val="18"/>
                                <w:szCs w:val="20"/>
                              </w:rPr>
                              <w:t>his function</w:t>
                            </w:r>
                            <w:r w:rsidRPr="00F246A4">
                              <w:rPr>
                                <w:sz w:val="18"/>
                                <w:szCs w:val="20"/>
                              </w:rPr>
                              <w:t xml:space="preserve"> is</w:t>
                            </w:r>
                            <w:r w:rsidR="00614690" w:rsidRPr="00F246A4">
                              <w:rPr>
                                <w:sz w:val="18"/>
                                <w:szCs w:val="20"/>
                              </w:rPr>
                              <w:t xml:space="preserve"> delivered through a senior officials committee or similar intergovernmental forum, supported by existing service delivery agencies (for example, the MDBA, which already performs coordination and delivery functions).</w:t>
                            </w:r>
                          </w:p>
                          <w:p w14:paraId="00BD1F12" w14:textId="77777777" w:rsidR="009E1F9F" w:rsidRPr="00F246A4" w:rsidRDefault="00614690" w:rsidP="006E0E53">
                            <w:pPr>
                              <w:spacing w:after="0"/>
                              <w:rPr>
                                <w:b/>
                                <w:sz w:val="18"/>
                                <w:szCs w:val="20"/>
                              </w:rPr>
                            </w:pPr>
                            <w:r w:rsidRPr="00F246A4">
                              <w:rPr>
                                <w:b/>
                                <w:sz w:val="18"/>
                                <w:szCs w:val="20"/>
                              </w:rPr>
                              <w:t>Key elements</w:t>
                            </w:r>
                          </w:p>
                          <w:p w14:paraId="725DACE9"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coordination of planning and delivery across jurisdictions</w:t>
                            </w:r>
                          </w:p>
                          <w:p w14:paraId="0EBF4968"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oversight of implementation sequencing and system integration</w:t>
                            </w:r>
                          </w:p>
                          <w:p w14:paraId="5B6FC2DE"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use of existing service delivery agents where appropriate</w:t>
                            </w:r>
                          </w:p>
                          <w:p w14:paraId="69939F4E"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support for consistent, whole-of-system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9F560" id="_x0000_s1038" type="#_x0000_t202" alt="P1311TB6#y1" style="position:absolute;left:0;text-align:left;margin-left:-7.15pt;margin-top:106.9pt;width:478.9pt;height:202.3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" fillcolor="#dceaf7 [351]" stroked="f">
                <v:shadow on="t" color="black" opacity="26214f" origin="-.5,-.5" offset=".74836mm,.74836mm"/>
                <v:textbox>
                  <w:txbxContent>
                    <w:p w14:paraId="7BC1060B" w14:textId="232BC991" w:rsidR="00F65FB0" w:rsidRPr="00F65FB0" w:rsidRDefault="00F8091F" w:rsidP="00F65FB0">
                      <w:pPr>
                        <w:shd w:val="clear" w:color="auto" w:fill="DAE9F7" w:themeFill="text2" w:themeFillTint="1A"/>
                        <w:rPr>
                          <w:b/>
                          <w:bCs/>
                          <w:i/>
                          <w:iCs/>
                          <w:sz w:val="16"/>
                          <w:szCs w:val="18"/>
                        </w:rPr>
                      </w:pPr>
                      <w:r>
                        <w:rPr>
                          <w:b/>
                          <w:sz w:val="18"/>
                          <w:szCs w:val="20"/>
                        </w:rPr>
                        <w:t xml:space="preserve"> </w:t>
                      </w:r>
                      <w:r w:rsidR="00031585">
                        <w:rPr>
                          <w:b/>
                          <w:bCs/>
                          <w:i/>
                          <w:iCs/>
                          <w:sz w:val="20"/>
                          <w:szCs w:val="22"/>
                        </w:rPr>
                        <w:t xml:space="preserve">Box </w:t>
                      </w:r>
                      <w:r w:rsidR="007D6E58">
                        <w:rPr>
                          <w:b/>
                          <w:bCs/>
                          <w:i/>
                          <w:iCs/>
                          <w:sz w:val="20"/>
                          <w:szCs w:val="22"/>
                        </w:rPr>
                        <w:t>5: I</w:t>
                      </w:r>
                      <w:r w:rsidR="00F65FB0" w:rsidRPr="00561D18">
                        <w:rPr>
                          <w:b/>
                          <w:bCs/>
                          <w:i/>
                          <w:iCs/>
                          <w:sz w:val="20"/>
                          <w:szCs w:val="22"/>
                        </w:rPr>
                        <w:t>mplementation Coordination (Senior Officials Function)</w:t>
                      </w:r>
                    </w:p>
                    <w:p w14:paraId="600FA913" w14:textId="7D1A79D6" w:rsidR="00614690" w:rsidRPr="00F246A4" w:rsidRDefault="00614690" w:rsidP="006E0E53">
                      <w:pPr>
                        <w:spacing w:after="0"/>
                        <w:rPr>
                          <w:b/>
                          <w:sz w:val="18"/>
                          <w:szCs w:val="20"/>
                        </w:rPr>
                      </w:pPr>
                      <w:r w:rsidRPr="00F246A4">
                        <w:rPr>
                          <w:b/>
                          <w:sz w:val="18"/>
                          <w:szCs w:val="20"/>
                        </w:rPr>
                        <w:t>Proposed enhancement</w:t>
                      </w:r>
                    </w:p>
                    <w:p w14:paraId="53D6168B" w14:textId="6FB456DA" w:rsidR="00614690" w:rsidRPr="00F246A4" w:rsidRDefault="00614690" w:rsidP="00614690">
                      <w:pPr>
                        <w:rPr>
                          <w:sz w:val="18"/>
                          <w:szCs w:val="20"/>
                        </w:rPr>
                      </w:pPr>
                      <w:r w:rsidRPr="00F246A4">
                        <w:rPr>
                          <w:sz w:val="18"/>
                          <w:szCs w:val="20"/>
                        </w:rPr>
                        <w:t>The Panel proposes establish</w:t>
                      </w:r>
                      <w:r w:rsidR="0003405C" w:rsidRPr="00F246A4">
                        <w:rPr>
                          <w:sz w:val="18"/>
                          <w:szCs w:val="20"/>
                        </w:rPr>
                        <w:t>ment of</w:t>
                      </w:r>
                      <w:r w:rsidRPr="00F246A4">
                        <w:rPr>
                          <w:sz w:val="18"/>
                          <w:szCs w:val="20"/>
                        </w:rPr>
                        <w:t xml:space="preserve"> a more formalised intergovernmental coordination function to support implementation and whole-of-system operation.</w:t>
                      </w:r>
                    </w:p>
                    <w:p w14:paraId="572BA7C3" w14:textId="77777777" w:rsidR="00614690" w:rsidRPr="00F246A4" w:rsidRDefault="00614690" w:rsidP="006E0E53">
                      <w:pPr>
                        <w:spacing w:after="0"/>
                        <w:rPr>
                          <w:b/>
                          <w:sz w:val="18"/>
                          <w:szCs w:val="20"/>
                        </w:rPr>
                      </w:pPr>
                      <w:r w:rsidRPr="00F246A4">
                        <w:rPr>
                          <w:b/>
                          <w:sz w:val="18"/>
                          <w:szCs w:val="20"/>
                        </w:rPr>
                        <w:t>Design approach</w:t>
                      </w:r>
                    </w:p>
                    <w:p w14:paraId="40CFD8CE" w14:textId="443EDEF9" w:rsidR="00614690" w:rsidRPr="00F246A4" w:rsidRDefault="00C92DF8" w:rsidP="00614690">
                      <w:pPr>
                        <w:rPr>
                          <w:sz w:val="18"/>
                          <w:szCs w:val="20"/>
                        </w:rPr>
                      </w:pPr>
                      <w:r w:rsidRPr="00F246A4">
                        <w:rPr>
                          <w:sz w:val="18"/>
                          <w:szCs w:val="20"/>
                        </w:rPr>
                        <w:t>The Panel recommends t</w:t>
                      </w:r>
                      <w:r w:rsidR="00614690" w:rsidRPr="00F246A4">
                        <w:rPr>
                          <w:sz w:val="18"/>
                          <w:szCs w:val="20"/>
                        </w:rPr>
                        <w:t>his function</w:t>
                      </w:r>
                      <w:r w:rsidRPr="00F246A4">
                        <w:rPr>
                          <w:sz w:val="18"/>
                          <w:szCs w:val="20"/>
                        </w:rPr>
                        <w:t xml:space="preserve"> is</w:t>
                      </w:r>
                      <w:r w:rsidR="00614690" w:rsidRPr="00F246A4">
                        <w:rPr>
                          <w:sz w:val="18"/>
                          <w:szCs w:val="20"/>
                        </w:rPr>
                        <w:t xml:space="preserve"> delivered through a senior officials committee or similar intergovernmental forum, supported by existing service delivery agencies (for example, the MDBA, which already performs coordination and delivery functions).</w:t>
                      </w:r>
                    </w:p>
                    <w:p w14:paraId="00BD1F12" w14:textId="77777777" w:rsidR="009E1F9F" w:rsidRPr="00F246A4" w:rsidRDefault="00614690" w:rsidP="006E0E53">
                      <w:pPr>
                        <w:spacing w:after="0"/>
                        <w:rPr>
                          <w:b/>
                          <w:sz w:val="18"/>
                          <w:szCs w:val="20"/>
                        </w:rPr>
                      </w:pPr>
                      <w:r w:rsidRPr="00F246A4">
                        <w:rPr>
                          <w:b/>
                          <w:sz w:val="18"/>
                          <w:szCs w:val="20"/>
                        </w:rPr>
                        <w:t>Key elements</w:t>
                      </w:r>
                    </w:p>
                    <w:p w14:paraId="725DACE9"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coordination of planning and delivery across jurisdictions</w:t>
                      </w:r>
                    </w:p>
                    <w:p w14:paraId="0EBF4968"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oversight of implementation sequencing and system integration</w:t>
                      </w:r>
                    </w:p>
                    <w:p w14:paraId="5B6FC2DE"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use of existing service delivery agents where appropriate</w:t>
                      </w:r>
                    </w:p>
                    <w:p w14:paraId="69939F4E" w14:textId="77777777" w:rsidR="00614690" w:rsidRPr="00F246A4" w:rsidRDefault="00614690" w:rsidP="00115BD6">
                      <w:pPr>
                        <w:pStyle w:val="ListParagraph"/>
                        <w:numPr>
                          <w:ilvl w:val="0"/>
                          <w:numId w:val="108"/>
                        </w:numPr>
                        <w:ind w:left="709" w:hanging="349"/>
                        <w:rPr>
                          <w:sz w:val="18"/>
                          <w:szCs w:val="20"/>
                        </w:rPr>
                      </w:pPr>
                      <w:r w:rsidRPr="00F246A4">
                        <w:rPr>
                          <w:sz w:val="18"/>
                          <w:szCs w:val="20"/>
                        </w:rPr>
                        <w:t>support for consistent, whole-of-system operation.</w:t>
                      </w:r>
                    </w:p>
                  </w:txbxContent>
                </v:textbox>
                <w10:wrap type="square" anchorx="margin"/>
              </v:shape>
            </w:pict>
          </mc:Fallback>
        </mc:AlternateContent>
      </w:r>
      <w:r w:rsidR="00382EE8">
        <w:rPr>
          <w:rFonts w:ascii="ZWAdobeF" w:hAnsi="ZWAdobeF" w:cs="ZWAdobeF"/>
          <w:sz w:val="2"/>
          <w:szCs w:val="2"/>
        </w:rPr>
        <w:t>1024B</w:t>
      </w:r>
      <w:r w:rsidR="76647BAA">
        <w:t xml:space="preserve">The </w:t>
      </w:r>
      <w:r w:rsidR="7A2048C8">
        <w:t>s</w:t>
      </w:r>
      <w:r w:rsidR="76647BAA">
        <w:t xml:space="preserve">enior </w:t>
      </w:r>
      <w:r w:rsidR="6AF52B37">
        <w:t>o</w:t>
      </w:r>
      <w:r w:rsidR="76647BAA">
        <w:t xml:space="preserve">fficials </w:t>
      </w:r>
      <w:r w:rsidR="7CB49EF1">
        <w:t>g</w:t>
      </w:r>
      <w:r w:rsidR="76647BAA">
        <w:t xml:space="preserve">roup does not assume operational or statutory decision-making functions under the </w:t>
      </w:r>
      <w:r w:rsidR="008C5F3B">
        <w:t>L</w:t>
      </w:r>
      <w:r w:rsidR="76647BAA">
        <w:t>icence and does not duplicate or override the established AWOP approval process.</w:t>
      </w:r>
      <w:r w:rsidR="592A6C65" w:rsidRPr="6332CC80">
        <w:rPr>
          <w:rFonts w:ascii="Segoe UI" w:eastAsia="Times New Roman" w:hAnsi="Segoe UI" w:cs="Segoe UI"/>
          <w:sz w:val="21"/>
          <w:szCs w:val="21"/>
          <w:lang w:eastAsia="en-AU"/>
        </w:rPr>
        <w:t xml:space="preserve"> </w:t>
      </w:r>
      <w:r w:rsidR="592A6C65">
        <w:t>T</w:t>
      </w:r>
      <w:r w:rsidR="0B61A9C7">
        <w:t>he governance framework distinguishes between system-level oversight and implementation (</w:t>
      </w:r>
      <w:r w:rsidR="2C7FAA9E">
        <w:t>s</w:t>
      </w:r>
      <w:r w:rsidR="0B61A9C7">
        <w:t xml:space="preserve">enior </w:t>
      </w:r>
      <w:r w:rsidR="3BDE4C88">
        <w:t>o</w:t>
      </w:r>
      <w:r w:rsidR="0B61A9C7">
        <w:t xml:space="preserve">fficials </w:t>
      </w:r>
      <w:r w:rsidR="569865AD">
        <w:t>g</w:t>
      </w:r>
      <w:r w:rsidR="0B61A9C7">
        <w:t>roup), intergovernmental coordination and advisory input (including SWGOC and advisory committees) and statutory decision-making and delivery under the Snowy Water Licence (WAMC and Snowy Hydro).</w:t>
      </w:r>
    </w:p>
    <w:p w14:paraId="4A7D8DF0" w14:textId="30654F5E" w:rsidR="008849FB" w:rsidRDefault="008849FB" w:rsidP="51572233"/>
    <w:p w14:paraId="33B86F7A" w14:textId="6415506F" w:rsidR="006D6C13" w:rsidRDefault="006D6C13">
      <w:pPr>
        <w:jc w:val="left"/>
        <w:rPr>
          <w:rFonts w:ascii="Calibri" w:hAnsi="Calibri" w:cs="Calibri"/>
          <w:highlight w:val="yellow"/>
        </w:rPr>
      </w:pPr>
    </w:p>
    <w:p w14:paraId="3A1F2E9F" w14:textId="557B34CC" w:rsidR="5207B15F" w:rsidRDefault="5207B15F">
      <w:pPr>
        <w:rPr>
          <w:rFonts w:ascii="Calibri" w:hAnsi="Calibri" w:cs="Calibri"/>
        </w:rPr>
      </w:pPr>
    </w:p>
    <w:p w14:paraId="427AEBC1" w14:textId="121932CF" w:rsidR="00E002B2" w:rsidRDefault="00E002B2" w:rsidP="00675765"/>
    <w:p w14:paraId="689AEC4B" w14:textId="307CE874" w:rsidR="00E66728" w:rsidRDefault="004A364C" w:rsidP="00675765">
      <w:r>
        <w:rPr>
          <w:noProof/>
        </w:rPr>
        <w:lastRenderedPageBreak/>
        <mc:AlternateContent>
          <mc:Choice Requires="wps">
            <w:drawing>
              <wp:anchor distT="0" distB="0" distL="114300" distR="114300" simplePos="0" relativeHeight="251658258" behindDoc="0" locked="0" layoutInCell="1" allowOverlap="1" wp14:anchorId="24B59166" wp14:editId="74F6FDAF">
                <wp:simplePos x="0" y="0"/>
                <wp:positionH relativeFrom="margin">
                  <wp:align>left</wp:align>
                </wp:positionH>
                <wp:positionV relativeFrom="paragraph">
                  <wp:posOffset>117806</wp:posOffset>
                </wp:positionV>
                <wp:extent cx="5985510" cy="148590"/>
                <wp:effectExtent l="0" t="0" r="0" b="3810"/>
                <wp:wrapSquare wrapText="bothSides"/>
                <wp:docPr id="1930223029" name="Text Box 1" descr="P1316TB19#y1"/>
                <wp:cNvGraphicFramePr/>
                <a:graphic xmlns:a="http://schemas.openxmlformats.org/drawingml/2006/main">
                  <a:graphicData uri="http://schemas.microsoft.com/office/word/2010/wordprocessingShape">
                    <wps:wsp>
                      <wps:cNvSpPr txBox="1"/>
                      <wps:spPr>
                        <a:xfrm>
                          <a:off x="0" y="0"/>
                          <a:ext cx="5985510" cy="148590"/>
                        </a:xfrm>
                        <a:prstGeom prst="rect">
                          <a:avLst/>
                        </a:prstGeom>
                        <a:solidFill>
                          <a:prstClr val="white"/>
                        </a:solidFill>
                        <a:ln>
                          <a:noFill/>
                        </a:ln>
                      </wps:spPr>
                      <wps:txbx>
                        <w:txbxContent>
                          <w:p w14:paraId="6E8BE673" w14:textId="60FD1921" w:rsidR="004A364C" w:rsidRPr="004A364C" w:rsidRDefault="004A364C" w:rsidP="004A364C">
                            <w:pPr>
                              <w:pStyle w:val="Caption"/>
                              <w:shd w:val="clear" w:color="auto" w:fill="DAE9F7" w:themeFill="text2" w:themeFillTint="1A"/>
                              <w:rPr>
                                <w:b/>
                                <w:bCs/>
                                <w:noProof/>
                                <w:color w:val="auto"/>
                                <w:sz w:val="24"/>
                                <w:szCs w:val="20"/>
                              </w:rPr>
                            </w:pPr>
                            <w:r w:rsidRPr="004A364C">
                              <w:rPr>
                                <w:b/>
                                <w:bCs/>
                                <w:color w:val="auto"/>
                                <w:sz w:val="20"/>
                                <w:szCs w:val="20"/>
                              </w:rPr>
                              <w:t xml:space="preserve">Box </w:t>
                            </w:r>
                            <w:r w:rsidRPr="004A364C">
                              <w:rPr>
                                <w:b/>
                                <w:bCs/>
                                <w:color w:val="auto"/>
                                <w:sz w:val="20"/>
                                <w:szCs w:val="20"/>
                              </w:rPr>
                              <w:fldChar w:fldCharType="begin"/>
                            </w:r>
                            <w:r w:rsidRPr="004A364C">
                              <w:rPr>
                                <w:b/>
                                <w:bCs/>
                                <w:color w:val="auto"/>
                                <w:sz w:val="20"/>
                                <w:szCs w:val="20"/>
                              </w:rPr>
                              <w:instrText xml:space="preserve"> SEQ Box \* ARABIC </w:instrText>
                            </w:r>
                            <w:r w:rsidRPr="004A364C">
                              <w:rPr>
                                <w:b/>
                                <w:bCs/>
                                <w:color w:val="auto"/>
                                <w:sz w:val="20"/>
                                <w:szCs w:val="20"/>
                              </w:rPr>
                              <w:fldChar w:fldCharType="separate"/>
                            </w:r>
                            <w:r w:rsidR="0005178F">
                              <w:rPr>
                                <w:b/>
                                <w:bCs/>
                                <w:noProof/>
                                <w:color w:val="auto"/>
                                <w:sz w:val="20"/>
                                <w:szCs w:val="20"/>
                              </w:rPr>
                              <w:t>7</w:t>
                            </w:r>
                            <w:r w:rsidRPr="004A364C">
                              <w:rPr>
                                <w:b/>
                                <w:bCs/>
                                <w:color w:val="auto"/>
                                <w:sz w:val="20"/>
                                <w:szCs w:val="20"/>
                              </w:rPr>
                              <w:fldChar w:fldCharType="end"/>
                            </w:r>
                            <w:r w:rsidRPr="004A364C">
                              <w:rPr>
                                <w:b/>
                                <w:bCs/>
                                <w:color w:val="auto"/>
                                <w:sz w:val="20"/>
                                <w:szCs w:val="20"/>
                              </w:rPr>
                              <w:t>: Strengthened governance expectations for Snowy Hydro Limited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9166" id="_x0000_s1039" type="#_x0000_t202" alt="P1316TB19#y1" style="position:absolute;left:0;text-align:left;margin-left:0;margin-top:9.3pt;width:471.3pt;height:11.7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" stroked="f">
                <v:textbox inset="0,0,0,0">
                  <w:txbxContent>
                    <w:p w14:paraId="6E8BE673" w14:textId="60FD1921" w:rsidR="004A364C" w:rsidRPr="004A364C" w:rsidRDefault="004A364C" w:rsidP="004A364C">
                      <w:pPr>
                        <w:pStyle w:val="Caption"/>
                        <w:shd w:val="clear" w:color="auto" w:fill="DAE9F7" w:themeFill="text2" w:themeFillTint="1A"/>
                        <w:rPr>
                          <w:b/>
                          <w:bCs/>
                          <w:noProof/>
                          <w:color w:val="auto"/>
                          <w:sz w:val="24"/>
                          <w:szCs w:val="20"/>
                        </w:rPr>
                      </w:pPr>
                      <w:r w:rsidRPr="004A364C">
                        <w:rPr>
                          <w:b/>
                          <w:bCs/>
                          <w:color w:val="auto"/>
                          <w:sz w:val="20"/>
                          <w:szCs w:val="20"/>
                        </w:rPr>
                        <w:t xml:space="preserve">Box </w:t>
                      </w:r>
                      <w:r w:rsidRPr="004A364C">
                        <w:rPr>
                          <w:b/>
                          <w:bCs/>
                          <w:color w:val="auto"/>
                          <w:sz w:val="20"/>
                          <w:szCs w:val="20"/>
                        </w:rPr>
                        <w:fldChar w:fldCharType="begin"/>
                      </w:r>
                      <w:r w:rsidRPr="004A364C">
                        <w:rPr>
                          <w:b/>
                          <w:bCs/>
                          <w:color w:val="auto"/>
                          <w:sz w:val="20"/>
                          <w:szCs w:val="20"/>
                        </w:rPr>
                        <w:instrText xml:space="preserve"> SEQ Box \* ARABIC </w:instrText>
                      </w:r>
                      <w:r w:rsidRPr="004A364C">
                        <w:rPr>
                          <w:b/>
                          <w:bCs/>
                          <w:color w:val="auto"/>
                          <w:sz w:val="20"/>
                          <w:szCs w:val="20"/>
                        </w:rPr>
                        <w:fldChar w:fldCharType="separate"/>
                      </w:r>
                      <w:r w:rsidR="0005178F">
                        <w:rPr>
                          <w:b/>
                          <w:bCs/>
                          <w:noProof/>
                          <w:color w:val="auto"/>
                          <w:sz w:val="20"/>
                          <w:szCs w:val="20"/>
                        </w:rPr>
                        <w:t>7</w:t>
                      </w:r>
                      <w:r w:rsidRPr="004A364C">
                        <w:rPr>
                          <w:b/>
                          <w:bCs/>
                          <w:color w:val="auto"/>
                          <w:sz w:val="20"/>
                          <w:szCs w:val="20"/>
                        </w:rPr>
                        <w:fldChar w:fldCharType="end"/>
                      </w:r>
                      <w:r w:rsidRPr="004A364C">
                        <w:rPr>
                          <w:b/>
                          <w:bCs/>
                          <w:color w:val="auto"/>
                          <w:sz w:val="20"/>
                          <w:szCs w:val="20"/>
                        </w:rPr>
                        <w:t>: Strengthened governance expectations for Snowy Hydro Limited</w:t>
                      </w:r>
                    </w:p>
                  </w:txbxContent>
                </v:textbox>
                <w10:wrap type="square" anchorx="margin"/>
              </v:shape>
            </w:pict>
          </mc:Fallback>
        </mc:AlternateContent>
      </w:r>
      <w:r w:rsidR="000604EB">
        <w:rPr>
          <w:noProof/>
        </w:rPr>
        <mc:AlternateContent>
          <mc:Choice Requires="wps">
            <w:drawing>
              <wp:anchor distT="45720" distB="45720" distL="114300" distR="114300" simplePos="0" relativeHeight="251658247" behindDoc="0" locked="0" layoutInCell="1" allowOverlap="1" wp14:anchorId="6996B32D" wp14:editId="5C57DE5E">
                <wp:simplePos x="0" y="0"/>
                <wp:positionH relativeFrom="margin">
                  <wp:posOffset>-98453</wp:posOffset>
                </wp:positionH>
                <wp:positionV relativeFrom="paragraph">
                  <wp:posOffset>38266</wp:posOffset>
                </wp:positionV>
                <wp:extent cx="6082030" cy="3619500"/>
                <wp:effectExtent l="38100" t="38100" r="90170" b="95250"/>
                <wp:wrapSquare wrapText="bothSides"/>
                <wp:docPr id="976566824" name="Text Box 2" descr="P131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619500"/>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0E21F262" w14:textId="77777777" w:rsidR="004A364C" w:rsidRDefault="004A364C" w:rsidP="00A57497">
                            <w:pPr>
                              <w:spacing w:after="0"/>
                              <w:rPr>
                                <w:b/>
                                <w:sz w:val="18"/>
                                <w:szCs w:val="20"/>
                              </w:rPr>
                            </w:pPr>
                          </w:p>
                          <w:p w14:paraId="45DFE4C2" w14:textId="77777777" w:rsidR="004A364C" w:rsidRDefault="004A364C" w:rsidP="00A57497">
                            <w:pPr>
                              <w:spacing w:after="0"/>
                              <w:rPr>
                                <w:b/>
                                <w:sz w:val="18"/>
                                <w:szCs w:val="20"/>
                              </w:rPr>
                            </w:pPr>
                          </w:p>
                          <w:p w14:paraId="2FE95DB2" w14:textId="14D3DD11" w:rsidR="00A57497" w:rsidRPr="00F246A4" w:rsidRDefault="00A57497" w:rsidP="00A57497">
                            <w:pPr>
                              <w:spacing w:after="0"/>
                              <w:rPr>
                                <w:b/>
                                <w:sz w:val="18"/>
                                <w:szCs w:val="20"/>
                              </w:rPr>
                            </w:pPr>
                            <w:r w:rsidRPr="00F246A4">
                              <w:rPr>
                                <w:b/>
                                <w:sz w:val="18"/>
                                <w:szCs w:val="20"/>
                              </w:rPr>
                              <w:t>Proposed enhancement</w:t>
                            </w:r>
                          </w:p>
                          <w:p w14:paraId="26BC32CF" w14:textId="77777777" w:rsidR="00A57497" w:rsidRPr="00F246A4" w:rsidRDefault="00A57497" w:rsidP="00A57497">
                            <w:pPr>
                              <w:rPr>
                                <w:sz w:val="18"/>
                                <w:szCs w:val="20"/>
                              </w:rPr>
                            </w:pPr>
                            <w:r w:rsidRPr="00F246A4">
                              <w:rPr>
                                <w:sz w:val="18"/>
                                <w:szCs w:val="20"/>
                              </w:rPr>
                              <w:t>The Panel proposes strengthening the governance expectations applying to Snowy Hydro to better align corporate decision-making with system-level objectives, including environmental and water outcomes.</w:t>
                            </w:r>
                          </w:p>
                          <w:p w14:paraId="2147CA0A" w14:textId="77777777" w:rsidR="00A57497" w:rsidRPr="00F246A4" w:rsidRDefault="00A57497" w:rsidP="00A57497">
                            <w:pPr>
                              <w:spacing w:after="0"/>
                              <w:rPr>
                                <w:b/>
                                <w:sz w:val="18"/>
                                <w:szCs w:val="20"/>
                              </w:rPr>
                            </w:pPr>
                            <w:r w:rsidRPr="00F246A4">
                              <w:rPr>
                                <w:b/>
                                <w:sz w:val="18"/>
                                <w:szCs w:val="20"/>
                              </w:rPr>
                              <w:t>Design approach</w:t>
                            </w:r>
                          </w:p>
                          <w:p w14:paraId="5A1E9375" w14:textId="50B3D2DA" w:rsidR="00A57497" w:rsidRPr="00F246A4" w:rsidRDefault="0003405C" w:rsidP="00A57497">
                            <w:pPr>
                              <w:rPr>
                                <w:sz w:val="18"/>
                                <w:szCs w:val="20"/>
                              </w:rPr>
                            </w:pPr>
                            <w:r w:rsidRPr="00F246A4">
                              <w:rPr>
                                <w:sz w:val="18"/>
                                <w:szCs w:val="20"/>
                              </w:rPr>
                              <w:t>The Panel recommends t</w:t>
                            </w:r>
                            <w:r w:rsidR="00A57497" w:rsidRPr="00F246A4">
                              <w:rPr>
                                <w:sz w:val="18"/>
                                <w:szCs w:val="20"/>
                              </w:rPr>
                              <w:t>his be implemented through</w:t>
                            </w:r>
                            <w:r w:rsidR="00A57497" w:rsidRPr="00F246A4" w:rsidDel="00A57497">
                              <w:rPr>
                                <w:sz w:val="18"/>
                                <w:szCs w:val="20"/>
                              </w:rPr>
                              <w:t xml:space="preserve"> </w:t>
                            </w:r>
                            <w:r w:rsidR="00A57497" w:rsidRPr="00F246A4">
                              <w:rPr>
                                <w:sz w:val="18"/>
                                <w:szCs w:val="20"/>
                              </w:rPr>
                              <w:t>a revised Statement of Expectations issued by Shareholder Ministers, consistent with existing government business enterprise frameworks. These instruments could be used to more clearly embed system objectives, including environmental outcomes and First Nations engagement, within corporate governance, performance and oversight arrangements.</w:t>
                            </w:r>
                          </w:p>
                          <w:p w14:paraId="620BE7B0" w14:textId="1DACC3B9" w:rsidR="00A57497" w:rsidRPr="00F246A4" w:rsidRDefault="00A57497" w:rsidP="00A57497">
                            <w:pPr>
                              <w:rPr>
                                <w:sz w:val="18"/>
                                <w:szCs w:val="20"/>
                              </w:rPr>
                            </w:pPr>
                            <w:r w:rsidRPr="00F246A4">
                              <w:rPr>
                                <w:sz w:val="18"/>
                                <w:szCs w:val="20"/>
                              </w:rPr>
                              <w:t>In addition,</w:t>
                            </w:r>
                            <w:r w:rsidRPr="00F246A4" w:rsidDel="00A57497">
                              <w:rPr>
                                <w:sz w:val="18"/>
                                <w:szCs w:val="20"/>
                              </w:rPr>
                              <w:t xml:space="preserve"> </w:t>
                            </w:r>
                            <w:r w:rsidRPr="00F246A4">
                              <w:rPr>
                                <w:sz w:val="18"/>
                                <w:szCs w:val="20"/>
                              </w:rPr>
                              <w:t xml:space="preserve">the Australian Government should consider whether current shareholder and governance arrangements adequately reflect water policy interests, noting the interaction between energy, water and environmental outcomes and give consideration to the Minister responsible for Water becoming a shareholder. </w:t>
                            </w:r>
                          </w:p>
                          <w:p w14:paraId="6AC920AF" w14:textId="77777777" w:rsidR="00A57497" w:rsidRPr="00F246A4" w:rsidRDefault="00A57497" w:rsidP="006E0E53">
                            <w:pPr>
                              <w:spacing w:after="0"/>
                              <w:rPr>
                                <w:b/>
                                <w:sz w:val="18"/>
                                <w:szCs w:val="20"/>
                              </w:rPr>
                            </w:pPr>
                            <w:r w:rsidRPr="00F246A4">
                              <w:rPr>
                                <w:b/>
                                <w:sz w:val="18"/>
                                <w:szCs w:val="20"/>
                              </w:rPr>
                              <w:t>Key elements</w:t>
                            </w:r>
                          </w:p>
                          <w:p w14:paraId="40F7CC97" w14:textId="77777777" w:rsidR="00A57497" w:rsidRPr="00F246A4" w:rsidRDefault="00A57497" w:rsidP="00115BD6">
                            <w:pPr>
                              <w:pStyle w:val="ListParagraph"/>
                              <w:numPr>
                                <w:ilvl w:val="0"/>
                                <w:numId w:val="110"/>
                              </w:numPr>
                              <w:ind w:left="851" w:hanging="491"/>
                              <w:rPr>
                                <w:sz w:val="18"/>
                                <w:szCs w:val="20"/>
                              </w:rPr>
                            </w:pPr>
                            <w:r w:rsidRPr="00F246A4">
                              <w:rPr>
                                <w:sz w:val="18"/>
                                <w:szCs w:val="20"/>
                              </w:rPr>
                              <w:t>explicit inclusion of environmental, water and public benefit objectives within Statements of Expectations</w:t>
                            </w:r>
                          </w:p>
                          <w:p w14:paraId="7D708FCC" w14:textId="77777777" w:rsidR="00A57497" w:rsidRPr="00F246A4" w:rsidRDefault="00A57497" w:rsidP="00115BD6">
                            <w:pPr>
                              <w:pStyle w:val="ListParagraph"/>
                              <w:numPr>
                                <w:ilvl w:val="0"/>
                                <w:numId w:val="110"/>
                              </w:numPr>
                              <w:ind w:left="851" w:hanging="491"/>
                              <w:rPr>
                                <w:sz w:val="18"/>
                                <w:szCs w:val="20"/>
                              </w:rPr>
                            </w:pPr>
                            <w:r w:rsidRPr="00F246A4">
                              <w:rPr>
                                <w:sz w:val="18"/>
                                <w:szCs w:val="20"/>
                              </w:rPr>
                              <w:t>consideration of performance-linked mechanisms, such as incorporating environmental outcomes (e.g. river health and environmental flow delivery) into internal performance frameworks and executive incentives</w:t>
                            </w:r>
                          </w:p>
                          <w:p w14:paraId="6249883B" w14:textId="77777777" w:rsidR="00A57497" w:rsidRPr="00F246A4" w:rsidRDefault="00A57497" w:rsidP="00115BD6">
                            <w:pPr>
                              <w:pStyle w:val="ListParagraph"/>
                              <w:numPr>
                                <w:ilvl w:val="0"/>
                                <w:numId w:val="110"/>
                              </w:numPr>
                              <w:ind w:left="851" w:hanging="491"/>
                              <w:rPr>
                                <w:sz w:val="18"/>
                                <w:szCs w:val="20"/>
                              </w:rPr>
                            </w:pPr>
                            <w:r w:rsidRPr="00F246A4">
                              <w:rPr>
                                <w:sz w:val="18"/>
                                <w:szCs w:val="20"/>
                              </w:rPr>
                              <w:t>alignment of corporate governance and reporting with system-level performance expectations</w:t>
                            </w:r>
                          </w:p>
                          <w:p w14:paraId="465F0641" w14:textId="35C81410" w:rsidR="00A57497" w:rsidRPr="00F246A4" w:rsidRDefault="00A57497" w:rsidP="00115BD6">
                            <w:pPr>
                              <w:pStyle w:val="ListParagraph"/>
                              <w:numPr>
                                <w:ilvl w:val="0"/>
                                <w:numId w:val="110"/>
                              </w:numPr>
                              <w:ind w:left="851" w:hanging="491"/>
                              <w:rPr>
                                <w:sz w:val="18"/>
                                <w:szCs w:val="20"/>
                              </w:rPr>
                            </w:pPr>
                            <w:r w:rsidRPr="00F246A4">
                              <w:rPr>
                                <w:sz w:val="18"/>
                                <w:szCs w:val="20"/>
                              </w:rPr>
                              <w:t>board composition to include skills and experience relevant to environmental management and water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B32D" id="_x0000_s1040" type="#_x0000_t202" alt="P1316TB8#y1" style="position:absolute;left:0;text-align:left;margin-left:-7.75pt;margin-top:3pt;width:478.9pt;height:28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" fillcolor="#dceaf7 [351]" stroked="f">
                <v:shadow on="t" color="black" opacity="26214f" origin="-.5,-.5" offset=".74836mm,.74836mm"/>
                <v:textbox>
                  <w:txbxContent>
                    <w:p w14:paraId="0E21F262" w14:textId="77777777" w:rsidR="004A364C" w:rsidRDefault="004A364C" w:rsidP="00A57497">
                      <w:pPr>
                        <w:spacing w:after="0"/>
                        <w:rPr>
                          <w:b/>
                          <w:sz w:val="18"/>
                          <w:szCs w:val="20"/>
                        </w:rPr>
                      </w:pPr>
                    </w:p>
                    <w:p w14:paraId="45DFE4C2" w14:textId="77777777" w:rsidR="004A364C" w:rsidRDefault="004A364C" w:rsidP="00A57497">
                      <w:pPr>
                        <w:spacing w:after="0"/>
                        <w:rPr>
                          <w:b/>
                          <w:sz w:val="18"/>
                          <w:szCs w:val="20"/>
                        </w:rPr>
                      </w:pPr>
                    </w:p>
                    <w:p w14:paraId="2FE95DB2" w14:textId="14D3DD11" w:rsidR="00A57497" w:rsidRPr="00F246A4" w:rsidRDefault="00A57497" w:rsidP="00A57497">
                      <w:pPr>
                        <w:spacing w:after="0"/>
                        <w:rPr>
                          <w:b/>
                          <w:sz w:val="18"/>
                          <w:szCs w:val="20"/>
                        </w:rPr>
                      </w:pPr>
                      <w:r w:rsidRPr="00F246A4">
                        <w:rPr>
                          <w:b/>
                          <w:sz w:val="18"/>
                          <w:szCs w:val="20"/>
                        </w:rPr>
                        <w:t>Proposed enhancement</w:t>
                      </w:r>
                    </w:p>
                    <w:p w14:paraId="26BC32CF" w14:textId="77777777" w:rsidR="00A57497" w:rsidRPr="00F246A4" w:rsidRDefault="00A57497" w:rsidP="00A57497">
                      <w:pPr>
                        <w:rPr>
                          <w:sz w:val="18"/>
                          <w:szCs w:val="20"/>
                        </w:rPr>
                      </w:pPr>
                      <w:r w:rsidRPr="00F246A4">
                        <w:rPr>
                          <w:sz w:val="18"/>
                          <w:szCs w:val="20"/>
                        </w:rPr>
                        <w:t>The Panel proposes strengthening the governance expectations applying to Snowy Hydro to better align corporate decision-making with system-level objectives, including environmental and water outcomes.</w:t>
                      </w:r>
                    </w:p>
                    <w:p w14:paraId="2147CA0A" w14:textId="77777777" w:rsidR="00A57497" w:rsidRPr="00F246A4" w:rsidRDefault="00A57497" w:rsidP="00A57497">
                      <w:pPr>
                        <w:spacing w:after="0"/>
                        <w:rPr>
                          <w:b/>
                          <w:sz w:val="18"/>
                          <w:szCs w:val="20"/>
                        </w:rPr>
                      </w:pPr>
                      <w:r w:rsidRPr="00F246A4">
                        <w:rPr>
                          <w:b/>
                          <w:sz w:val="18"/>
                          <w:szCs w:val="20"/>
                        </w:rPr>
                        <w:t>Design approach</w:t>
                      </w:r>
                    </w:p>
                    <w:p w14:paraId="5A1E9375" w14:textId="50B3D2DA" w:rsidR="00A57497" w:rsidRPr="00F246A4" w:rsidRDefault="0003405C" w:rsidP="00A57497">
                      <w:pPr>
                        <w:rPr>
                          <w:sz w:val="18"/>
                          <w:szCs w:val="20"/>
                        </w:rPr>
                      </w:pPr>
                      <w:r w:rsidRPr="00F246A4">
                        <w:rPr>
                          <w:sz w:val="18"/>
                          <w:szCs w:val="20"/>
                        </w:rPr>
                        <w:t>The Panel recommends t</w:t>
                      </w:r>
                      <w:r w:rsidR="00A57497" w:rsidRPr="00F246A4">
                        <w:rPr>
                          <w:sz w:val="18"/>
                          <w:szCs w:val="20"/>
                        </w:rPr>
                        <w:t>his be implemented through</w:t>
                      </w:r>
                      <w:r w:rsidR="00A57497" w:rsidRPr="00F246A4" w:rsidDel="00A57497">
                        <w:rPr>
                          <w:sz w:val="18"/>
                          <w:szCs w:val="20"/>
                        </w:rPr>
                        <w:t xml:space="preserve"> </w:t>
                      </w:r>
                      <w:r w:rsidR="00A57497" w:rsidRPr="00F246A4">
                        <w:rPr>
                          <w:sz w:val="18"/>
                          <w:szCs w:val="20"/>
                        </w:rPr>
                        <w:t>a revised Statement of Expectations issued by Shareholder Ministers, consistent with existing government business enterprise frameworks. These instruments could be used to more clearly embed system objectives, including environmental outcomes and First Nations engagement, within corporate governance, performance and oversight arrangements.</w:t>
                      </w:r>
                    </w:p>
                    <w:p w14:paraId="620BE7B0" w14:textId="1DACC3B9" w:rsidR="00A57497" w:rsidRPr="00F246A4" w:rsidRDefault="00A57497" w:rsidP="00A57497">
                      <w:pPr>
                        <w:rPr>
                          <w:sz w:val="18"/>
                          <w:szCs w:val="20"/>
                        </w:rPr>
                      </w:pPr>
                      <w:r w:rsidRPr="00F246A4">
                        <w:rPr>
                          <w:sz w:val="18"/>
                          <w:szCs w:val="20"/>
                        </w:rPr>
                        <w:t>In addition,</w:t>
                      </w:r>
                      <w:r w:rsidRPr="00F246A4" w:rsidDel="00A57497">
                        <w:rPr>
                          <w:sz w:val="18"/>
                          <w:szCs w:val="20"/>
                        </w:rPr>
                        <w:t xml:space="preserve"> </w:t>
                      </w:r>
                      <w:r w:rsidRPr="00F246A4">
                        <w:rPr>
                          <w:sz w:val="18"/>
                          <w:szCs w:val="20"/>
                        </w:rPr>
                        <w:t xml:space="preserve">the Australian Government should consider whether current shareholder and governance arrangements adequately reflect water policy interests, noting the interaction between energy, water and environmental outcomes and give consideration to the Minister responsible for Water becoming a shareholder. </w:t>
                      </w:r>
                    </w:p>
                    <w:p w14:paraId="6AC920AF" w14:textId="77777777" w:rsidR="00A57497" w:rsidRPr="00F246A4" w:rsidRDefault="00A57497" w:rsidP="006E0E53">
                      <w:pPr>
                        <w:spacing w:after="0"/>
                        <w:rPr>
                          <w:b/>
                          <w:sz w:val="18"/>
                          <w:szCs w:val="20"/>
                        </w:rPr>
                      </w:pPr>
                      <w:r w:rsidRPr="00F246A4">
                        <w:rPr>
                          <w:b/>
                          <w:sz w:val="18"/>
                          <w:szCs w:val="20"/>
                        </w:rPr>
                        <w:t>Key elements</w:t>
                      </w:r>
                    </w:p>
                    <w:p w14:paraId="40F7CC97" w14:textId="77777777" w:rsidR="00A57497" w:rsidRPr="00F246A4" w:rsidRDefault="00A57497" w:rsidP="00115BD6">
                      <w:pPr>
                        <w:pStyle w:val="ListParagraph"/>
                        <w:numPr>
                          <w:ilvl w:val="0"/>
                          <w:numId w:val="110"/>
                        </w:numPr>
                        <w:ind w:left="851" w:hanging="491"/>
                        <w:rPr>
                          <w:sz w:val="18"/>
                          <w:szCs w:val="20"/>
                        </w:rPr>
                      </w:pPr>
                      <w:r w:rsidRPr="00F246A4">
                        <w:rPr>
                          <w:sz w:val="18"/>
                          <w:szCs w:val="20"/>
                        </w:rPr>
                        <w:t>explicit inclusion of environmental, water and public benefit objectives within Statements of Expectations</w:t>
                      </w:r>
                    </w:p>
                    <w:p w14:paraId="7D708FCC" w14:textId="77777777" w:rsidR="00A57497" w:rsidRPr="00F246A4" w:rsidRDefault="00A57497" w:rsidP="00115BD6">
                      <w:pPr>
                        <w:pStyle w:val="ListParagraph"/>
                        <w:numPr>
                          <w:ilvl w:val="0"/>
                          <w:numId w:val="110"/>
                        </w:numPr>
                        <w:ind w:left="851" w:hanging="491"/>
                        <w:rPr>
                          <w:sz w:val="18"/>
                          <w:szCs w:val="20"/>
                        </w:rPr>
                      </w:pPr>
                      <w:r w:rsidRPr="00F246A4">
                        <w:rPr>
                          <w:sz w:val="18"/>
                          <w:szCs w:val="20"/>
                        </w:rPr>
                        <w:t>consideration of performance-linked mechanisms, such as incorporating environmental outcomes (e.g. river health and environmental flow delivery) into internal performance frameworks and executive incentives</w:t>
                      </w:r>
                    </w:p>
                    <w:p w14:paraId="6249883B" w14:textId="77777777" w:rsidR="00A57497" w:rsidRPr="00F246A4" w:rsidRDefault="00A57497" w:rsidP="00115BD6">
                      <w:pPr>
                        <w:pStyle w:val="ListParagraph"/>
                        <w:numPr>
                          <w:ilvl w:val="0"/>
                          <w:numId w:val="110"/>
                        </w:numPr>
                        <w:ind w:left="851" w:hanging="491"/>
                        <w:rPr>
                          <w:sz w:val="18"/>
                          <w:szCs w:val="20"/>
                        </w:rPr>
                      </w:pPr>
                      <w:r w:rsidRPr="00F246A4">
                        <w:rPr>
                          <w:sz w:val="18"/>
                          <w:szCs w:val="20"/>
                        </w:rPr>
                        <w:t>alignment of corporate governance and reporting with system-level performance expectations</w:t>
                      </w:r>
                    </w:p>
                    <w:p w14:paraId="465F0641" w14:textId="35C81410" w:rsidR="00A57497" w:rsidRPr="00F246A4" w:rsidRDefault="00A57497" w:rsidP="00115BD6">
                      <w:pPr>
                        <w:pStyle w:val="ListParagraph"/>
                        <w:numPr>
                          <w:ilvl w:val="0"/>
                          <w:numId w:val="110"/>
                        </w:numPr>
                        <w:ind w:left="851" w:hanging="491"/>
                        <w:rPr>
                          <w:sz w:val="18"/>
                          <w:szCs w:val="20"/>
                        </w:rPr>
                      </w:pPr>
                      <w:r w:rsidRPr="00F246A4">
                        <w:rPr>
                          <w:sz w:val="18"/>
                          <w:szCs w:val="20"/>
                        </w:rPr>
                        <w:t>board composition to include skills and experience relevant to environmental management and water systems.</w:t>
                      </w:r>
                    </w:p>
                  </w:txbxContent>
                </v:textbox>
                <w10:wrap type="square" anchorx="margin"/>
              </v:shape>
            </w:pict>
          </mc:Fallback>
        </mc:AlternateContent>
      </w:r>
    </w:p>
    <w:p w14:paraId="32A5A5F0" w14:textId="3ABA50C1" w:rsidR="00A216CD" w:rsidRPr="00EC1343" w:rsidRDefault="00A216CD" w:rsidP="00143063">
      <w:pPr>
        <w:pStyle w:val="Sub-Heading"/>
      </w:pPr>
      <w:r w:rsidRPr="00EC1343">
        <w:t>Operational delivery</w:t>
      </w:r>
    </w:p>
    <w:p w14:paraId="17DBB01F" w14:textId="656E5A0E" w:rsidR="00A216CD" w:rsidRPr="00143DC1" w:rsidRDefault="00382EE8" w:rsidP="00887EC1">
      <w:r>
        <w:rPr>
          <w:rFonts w:ascii="ZWAdobeF" w:hAnsi="ZWAdobeF" w:cs="ZWAdobeF"/>
          <w:sz w:val="2"/>
          <w:szCs w:val="2"/>
        </w:rPr>
        <w:t>1025B</w:t>
      </w:r>
      <w:r w:rsidR="00A216CD" w:rsidRPr="00143DC1">
        <w:t>Operational delivery continues through existing entities including Snowy Hydro</w:t>
      </w:r>
      <w:r w:rsidR="00B65BA2">
        <w:t>,</w:t>
      </w:r>
      <w:r w:rsidR="00A216CD" w:rsidRPr="00143DC1">
        <w:t xml:space="preserve"> but is significantly strengthened through more active and adaptive management of environmental water.</w:t>
      </w:r>
    </w:p>
    <w:p w14:paraId="6200571F" w14:textId="4D879510" w:rsidR="00A216CD" w:rsidRDefault="00382EE8" w:rsidP="00887EC1">
      <w:r>
        <w:rPr>
          <w:rFonts w:ascii="ZWAdobeF" w:hAnsi="ZWAdobeF" w:cs="ZWAdobeF"/>
          <w:sz w:val="2"/>
          <w:szCs w:val="2"/>
        </w:rPr>
        <w:t>1026B</w:t>
      </w:r>
      <w:r w:rsidR="00A216CD" w:rsidRPr="00143DC1">
        <w:t>These arrangements introduce a more dynamic model of operation, where trade-offs between environmental outcomes and energy generation are exposed and managed in real time, rather than being determined solely through static rules or planning</w:t>
      </w:r>
      <w:r w:rsidR="00A07106">
        <w:t xml:space="preserve"> requirements that are </w:t>
      </w:r>
      <w:r w:rsidR="006A6AB9">
        <w:t xml:space="preserve">undertaken </w:t>
      </w:r>
      <w:r w:rsidR="00A07106">
        <w:t xml:space="preserve">so far in advance </w:t>
      </w:r>
      <w:r w:rsidR="006A6AB9">
        <w:t>of the operation</w:t>
      </w:r>
      <w:r w:rsidR="00A216CD" w:rsidRPr="00143DC1">
        <w:t>.</w:t>
      </w:r>
      <w:r w:rsidR="00A216CD">
        <w:t xml:space="preserve"> Introducing an Environmental Water Manager would support </w:t>
      </w:r>
      <w:r w:rsidR="00A216CD" w:rsidRPr="007D499A">
        <w:t>this (</w:t>
      </w:r>
      <w:r w:rsidR="00A216CD" w:rsidRPr="007D499A">
        <w:rPr>
          <w:b/>
          <w:bCs/>
        </w:rPr>
        <w:t xml:space="preserve">Box </w:t>
      </w:r>
      <w:r w:rsidR="007D499A" w:rsidRPr="007D499A">
        <w:rPr>
          <w:b/>
          <w:bCs/>
        </w:rPr>
        <w:t>8</w:t>
      </w:r>
      <w:r w:rsidR="00A216CD" w:rsidRPr="007D499A">
        <w:t>).</w:t>
      </w:r>
    </w:p>
    <w:p w14:paraId="693513E9" w14:textId="2D9F2628" w:rsidR="00997825" w:rsidRDefault="00382EE8" w:rsidP="001F718B">
      <w:r>
        <w:rPr>
          <w:rFonts w:ascii="ZWAdobeF" w:hAnsi="ZWAdobeF" w:cs="ZWAdobeF"/>
          <w:sz w:val="2"/>
          <w:szCs w:val="2"/>
        </w:rPr>
        <w:t>1027B</w:t>
      </w:r>
      <w:r w:rsidR="00A216CD" w:rsidRPr="00D15C3E">
        <w:t>This represents a shift from a largely rules-based delivery model to one that incorporates active management and real</w:t>
      </w:r>
      <w:r w:rsidR="00B65BA2">
        <w:t xml:space="preserve"> </w:t>
      </w:r>
      <w:r w:rsidR="00A216CD" w:rsidRPr="00D15C3E">
        <w:t>time decision-making.</w:t>
      </w:r>
    </w:p>
    <w:p w14:paraId="01920E3D" w14:textId="337D5F3F" w:rsidR="007D499A" w:rsidRDefault="00CE7C25" w:rsidP="00143063">
      <w:pPr>
        <w:pStyle w:val="Sub-Heading"/>
      </w:pPr>
      <w:r>
        <w:rPr>
          <w:noProof/>
        </w:rPr>
        <w:lastRenderedPageBreak/>
        <mc:AlternateContent>
          <mc:Choice Requires="wps">
            <w:drawing>
              <wp:anchor distT="0" distB="0" distL="114300" distR="114300" simplePos="0" relativeHeight="251658267" behindDoc="0" locked="0" layoutInCell="1" allowOverlap="1" wp14:anchorId="4546A2A4" wp14:editId="55199CE1">
                <wp:simplePos x="0" y="0"/>
                <wp:positionH relativeFrom="margin">
                  <wp:align>right</wp:align>
                </wp:positionH>
                <wp:positionV relativeFrom="paragraph">
                  <wp:posOffset>495300</wp:posOffset>
                </wp:positionV>
                <wp:extent cx="5907405" cy="166370"/>
                <wp:effectExtent l="0" t="0" r="0" b="5080"/>
                <wp:wrapSquare wrapText="bothSides"/>
                <wp:docPr id="1591550875" name="Text Box 1" descr="P1321TB28#y1"/>
                <wp:cNvGraphicFramePr/>
                <a:graphic xmlns:a="http://schemas.openxmlformats.org/drawingml/2006/main">
                  <a:graphicData uri="http://schemas.microsoft.com/office/word/2010/wordprocessingShape">
                    <wps:wsp>
                      <wps:cNvSpPr txBox="1"/>
                      <wps:spPr>
                        <a:xfrm>
                          <a:off x="0" y="0"/>
                          <a:ext cx="5907819" cy="166977"/>
                        </a:xfrm>
                        <a:prstGeom prst="rect">
                          <a:avLst/>
                        </a:prstGeom>
                        <a:solidFill>
                          <a:prstClr val="white"/>
                        </a:solidFill>
                        <a:ln>
                          <a:noFill/>
                        </a:ln>
                      </wps:spPr>
                      <wps:txbx>
                        <w:txbxContent>
                          <w:p w14:paraId="036ACE6A" w14:textId="3709E50D" w:rsidR="007D499A" w:rsidRPr="007D499A" w:rsidRDefault="007D499A" w:rsidP="007D499A">
                            <w:pPr>
                              <w:pStyle w:val="Caption"/>
                              <w:shd w:val="clear" w:color="auto" w:fill="DAE9F7" w:themeFill="text2" w:themeFillTint="1A"/>
                              <w:rPr>
                                <w:rFonts w:asciiTheme="majorHAnsi" w:eastAsia="Times New Roman" w:hAnsiTheme="majorHAnsi" w:cstheme="majorBidi"/>
                                <w:b/>
                                <w:bCs/>
                                <w:noProof/>
                                <w:color w:val="auto"/>
                                <w:sz w:val="32"/>
                                <w:szCs w:val="36"/>
                              </w:rPr>
                            </w:pPr>
                            <w:r w:rsidRPr="007D499A">
                              <w:rPr>
                                <w:b/>
                                <w:bCs/>
                                <w:color w:val="auto"/>
                                <w:sz w:val="20"/>
                                <w:szCs w:val="20"/>
                              </w:rPr>
                              <w:t xml:space="preserve">Box </w:t>
                            </w:r>
                            <w:r w:rsidRPr="007D499A">
                              <w:rPr>
                                <w:b/>
                                <w:bCs/>
                                <w:color w:val="auto"/>
                                <w:sz w:val="20"/>
                                <w:szCs w:val="20"/>
                              </w:rPr>
                              <w:fldChar w:fldCharType="begin"/>
                            </w:r>
                            <w:r w:rsidRPr="007D499A">
                              <w:rPr>
                                <w:b/>
                                <w:bCs/>
                                <w:color w:val="auto"/>
                                <w:sz w:val="20"/>
                                <w:szCs w:val="20"/>
                              </w:rPr>
                              <w:instrText xml:space="preserve"> SEQ Box \* ARABIC </w:instrText>
                            </w:r>
                            <w:r w:rsidRPr="007D499A">
                              <w:rPr>
                                <w:b/>
                                <w:bCs/>
                                <w:color w:val="auto"/>
                                <w:sz w:val="20"/>
                                <w:szCs w:val="20"/>
                              </w:rPr>
                              <w:fldChar w:fldCharType="separate"/>
                            </w:r>
                            <w:r w:rsidR="0005178F">
                              <w:rPr>
                                <w:b/>
                                <w:bCs/>
                                <w:noProof/>
                                <w:color w:val="auto"/>
                                <w:sz w:val="20"/>
                                <w:szCs w:val="20"/>
                              </w:rPr>
                              <w:t>8</w:t>
                            </w:r>
                            <w:r w:rsidRPr="007D499A">
                              <w:rPr>
                                <w:b/>
                                <w:bCs/>
                                <w:color w:val="auto"/>
                                <w:sz w:val="20"/>
                                <w:szCs w:val="20"/>
                              </w:rPr>
                              <w:fldChar w:fldCharType="end"/>
                            </w:r>
                            <w:r w:rsidRPr="007D499A">
                              <w:rPr>
                                <w:b/>
                                <w:bCs/>
                                <w:color w:val="auto"/>
                                <w:sz w:val="20"/>
                                <w:szCs w:val="20"/>
                              </w:rPr>
                              <w:t>: Environmental water management function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A2A4" id="_x0000_s1041" type="#_x0000_t202" alt="P1321TB28#y1" style="position:absolute;margin-left:413.95pt;margin-top:39pt;width:465.15pt;height:13.1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" stroked="f">
                <v:textbox inset="0,0,0,0">
                  <w:txbxContent>
                    <w:p w14:paraId="036ACE6A" w14:textId="3709E50D" w:rsidR="007D499A" w:rsidRPr="007D499A" w:rsidRDefault="007D499A" w:rsidP="007D499A">
                      <w:pPr>
                        <w:pStyle w:val="Caption"/>
                        <w:shd w:val="clear" w:color="auto" w:fill="DAE9F7" w:themeFill="text2" w:themeFillTint="1A"/>
                        <w:rPr>
                          <w:rFonts w:asciiTheme="majorHAnsi" w:eastAsia="Times New Roman" w:hAnsiTheme="majorHAnsi" w:cstheme="majorBidi"/>
                          <w:b/>
                          <w:bCs/>
                          <w:noProof/>
                          <w:color w:val="auto"/>
                          <w:sz w:val="32"/>
                          <w:szCs w:val="36"/>
                        </w:rPr>
                      </w:pPr>
                      <w:r w:rsidRPr="007D499A">
                        <w:rPr>
                          <w:b/>
                          <w:bCs/>
                          <w:color w:val="auto"/>
                          <w:sz w:val="20"/>
                          <w:szCs w:val="20"/>
                        </w:rPr>
                        <w:t xml:space="preserve">Box </w:t>
                      </w:r>
                      <w:r w:rsidRPr="007D499A">
                        <w:rPr>
                          <w:b/>
                          <w:bCs/>
                          <w:color w:val="auto"/>
                          <w:sz w:val="20"/>
                          <w:szCs w:val="20"/>
                        </w:rPr>
                        <w:fldChar w:fldCharType="begin"/>
                      </w:r>
                      <w:r w:rsidRPr="007D499A">
                        <w:rPr>
                          <w:b/>
                          <w:bCs/>
                          <w:color w:val="auto"/>
                          <w:sz w:val="20"/>
                          <w:szCs w:val="20"/>
                        </w:rPr>
                        <w:instrText xml:space="preserve"> SEQ Box \* ARABIC </w:instrText>
                      </w:r>
                      <w:r w:rsidRPr="007D499A">
                        <w:rPr>
                          <w:b/>
                          <w:bCs/>
                          <w:color w:val="auto"/>
                          <w:sz w:val="20"/>
                          <w:szCs w:val="20"/>
                        </w:rPr>
                        <w:fldChar w:fldCharType="separate"/>
                      </w:r>
                      <w:r w:rsidR="0005178F">
                        <w:rPr>
                          <w:b/>
                          <w:bCs/>
                          <w:noProof/>
                          <w:color w:val="auto"/>
                          <w:sz w:val="20"/>
                          <w:szCs w:val="20"/>
                        </w:rPr>
                        <w:t>8</w:t>
                      </w:r>
                      <w:r w:rsidRPr="007D499A">
                        <w:rPr>
                          <w:b/>
                          <w:bCs/>
                          <w:color w:val="auto"/>
                          <w:sz w:val="20"/>
                          <w:szCs w:val="20"/>
                        </w:rPr>
                        <w:fldChar w:fldCharType="end"/>
                      </w:r>
                      <w:r w:rsidRPr="007D499A">
                        <w:rPr>
                          <w:b/>
                          <w:bCs/>
                          <w:color w:val="auto"/>
                          <w:sz w:val="20"/>
                          <w:szCs w:val="20"/>
                        </w:rPr>
                        <w:t>: Environmental water management function</w:t>
                      </w:r>
                    </w:p>
                  </w:txbxContent>
                </v:textbox>
                <w10:wrap type="square" anchorx="margin"/>
              </v:shape>
            </w:pict>
          </mc:Fallback>
        </mc:AlternateContent>
      </w:r>
    </w:p>
    <w:p w14:paraId="32E8958A" w14:textId="36A302BA" w:rsidR="00AA272B" w:rsidRPr="001F718B" w:rsidRDefault="0052153B" w:rsidP="00143063">
      <w:pPr>
        <w:pStyle w:val="Sub-Heading"/>
      </w:pPr>
      <w:r>
        <w:rPr>
          <w:noProof/>
        </w:rPr>
        <mc:AlternateContent>
          <mc:Choice Requires="wps">
            <w:drawing>
              <wp:anchor distT="45720" distB="45720" distL="114300" distR="114300" simplePos="0" relativeHeight="251658248" behindDoc="0" locked="0" layoutInCell="1" allowOverlap="1" wp14:anchorId="6BA8A386" wp14:editId="781EDCA3">
                <wp:simplePos x="0" y="0"/>
                <wp:positionH relativeFrom="margin">
                  <wp:align>center</wp:align>
                </wp:positionH>
                <wp:positionV relativeFrom="paragraph">
                  <wp:posOffset>38624</wp:posOffset>
                </wp:positionV>
                <wp:extent cx="6082030" cy="3802380"/>
                <wp:effectExtent l="38100" t="38100" r="90170" b="102870"/>
                <wp:wrapSquare wrapText="bothSides"/>
                <wp:docPr id="1036063658" name="Text Box 2" descr="P1322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802380"/>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3B82CD4F" w14:textId="77777777" w:rsidR="007D499A" w:rsidRDefault="007D499A" w:rsidP="006E0E53">
                            <w:pPr>
                              <w:spacing w:after="0"/>
                              <w:rPr>
                                <w:b/>
                                <w:sz w:val="18"/>
                                <w:szCs w:val="20"/>
                              </w:rPr>
                            </w:pPr>
                          </w:p>
                          <w:p w14:paraId="06FC9949" w14:textId="77777777" w:rsidR="007D499A" w:rsidRDefault="007D499A" w:rsidP="006E0E53">
                            <w:pPr>
                              <w:spacing w:after="0"/>
                              <w:rPr>
                                <w:b/>
                                <w:sz w:val="18"/>
                                <w:szCs w:val="20"/>
                              </w:rPr>
                            </w:pPr>
                          </w:p>
                          <w:p w14:paraId="60461E9B" w14:textId="77777777" w:rsidR="00053A2D" w:rsidRPr="00F246A4" w:rsidRDefault="00053A2D" w:rsidP="006E0E53">
                            <w:pPr>
                              <w:spacing w:after="0"/>
                              <w:rPr>
                                <w:b/>
                                <w:sz w:val="18"/>
                                <w:szCs w:val="20"/>
                              </w:rPr>
                            </w:pPr>
                            <w:r w:rsidRPr="00F246A4">
                              <w:rPr>
                                <w:b/>
                                <w:sz w:val="18"/>
                                <w:szCs w:val="20"/>
                              </w:rPr>
                              <w:t>Proposed enhancement</w:t>
                            </w:r>
                          </w:p>
                          <w:p w14:paraId="7D111604" w14:textId="77777777" w:rsidR="00053A2D" w:rsidRPr="00F246A4" w:rsidRDefault="00053A2D" w:rsidP="00053A2D">
                            <w:pPr>
                              <w:rPr>
                                <w:sz w:val="18"/>
                                <w:szCs w:val="20"/>
                              </w:rPr>
                            </w:pPr>
                            <w:r w:rsidRPr="00F246A4">
                              <w:rPr>
                                <w:sz w:val="18"/>
                                <w:szCs w:val="20"/>
                              </w:rPr>
                              <w:t>The Panel proposes establishing a strengthened environmental water management function as a key operational reform. This introduces dedicated expertise and capability to actively manage environmental water delivery and maximise ecological outcomes within agreed system constraints.</w:t>
                            </w:r>
                          </w:p>
                          <w:p w14:paraId="2F82E230" w14:textId="77777777" w:rsidR="00053A2D" w:rsidRPr="00F246A4" w:rsidRDefault="00053A2D" w:rsidP="006E0E53">
                            <w:pPr>
                              <w:spacing w:after="0"/>
                              <w:rPr>
                                <w:b/>
                                <w:sz w:val="18"/>
                                <w:szCs w:val="20"/>
                              </w:rPr>
                            </w:pPr>
                            <w:r w:rsidRPr="00F246A4">
                              <w:rPr>
                                <w:b/>
                                <w:sz w:val="18"/>
                                <w:szCs w:val="20"/>
                              </w:rPr>
                              <w:t>Design approach</w:t>
                            </w:r>
                          </w:p>
                          <w:p w14:paraId="4B2C1983" w14:textId="07DD5179" w:rsidR="00053A2D" w:rsidRPr="00F246A4" w:rsidRDefault="0003405C" w:rsidP="00053A2D">
                            <w:pPr>
                              <w:rPr>
                                <w:sz w:val="18"/>
                                <w:szCs w:val="20"/>
                              </w:rPr>
                            </w:pPr>
                            <w:r w:rsidRPr="00F246A4">
                              <w:rPr>
                                <w:sz w:val="18"/>
                                <w:szCs w:val="20"/>
                              </w:rPr>
                              <w:t>The Panel recommends t</w:t>
                            </w:r>
                            <w:r w:rsidR="00053A2D" w:rsidRPr="00F246A4">
                              <w:rPr>
                                <w:sz w:val="18"/>
                                <w:szCs w:val="20"/>
                              </w:rPr>
                              <w:t>his function could build on existing environmental water management capability across jurisdictions, rather than requiring a new stand-alone institution. For example, it could be delivered through:</w:t>
                            </w:r>
                          </w:p>
                          <w:p w14:paraId="75DB9AC4" w14:textId="77777777" w:rsidR="00053A2D" w:rsidRPr="00F246A4" w:rsidRDefault="00053A2D" w:rsidP="00115BD6">
                            <w:pPr>
                              <w:pStyle w:val="ListParagraph"/>
                              <w:numPr>
                                <w:ilvl w:val="0"/>
                                <w:numId w:val="111"/>
                              </w:numPr>
                              <w:ind w:left="851" w:hanging="491"/>
                              <w:rPr>
                                <w:sz w:val="18"/>
                                <w:szCs w:val="20"/>
                              </w:rPr>
                            </w:pPr>
                            <w:r w:rsidRPr="00F246A4">
                              <w:rPr>
                                <w:sz w:val="18"/>
                                <w:szCs w:val="20"/>
                              </w:rPr>
                              <w:t xml:space="preserve">an expanded role for the Commonwealth Environmental Water Holder </w:t>
                            </w:r>
                          </w:p>
                          <w:p w14:paraId="04CD4BCA" w14:textId="77777777" w:rsidR="00053A2D" w:rsidRPr="00F246A4" w:rsidRDefault="00053A2D" w:rsidP="00115BD6">
                            <w:pPr>
                              <w:pStyle w:val="ListParagraph"/>
                              <w:numPr>
                                <w:ilvl w:val="0"/>
                                <w:numId w:val="111"/>
                              </w:numPr>
                              <w:ind w:left="851" w:hanging="491"/>
                              <w:rPr>
                                <w:sz w:val="18"/>
                                <w:szCs w:val="20"/>
                              </w:rPr>
                            </w:pPr>
                            <w:r w:rsidRPr="00F246A4">
                              <w:rPr>
                                <w:sz w:val="18"/>
                                <w:szCs w:val="20"/>
                              </w:rPr>
                              <w:t>a coordinated function across state environmental water managers (e.g. NSW and Victoria)</w:t>
                            </w:r>
                          </w:p>
                          <w:p w14:paraId="52E13E27" w14:textId="77777777" w:rsidR="00053A2D" w:rsidRPr="00F246A4" w:rsidRDefault="00053A2D" w:rsidP="00115BD6">
                            <w:pPr>
                              <w:pStyle w:val="ListParagraph"/>
                              <w:numPr>
                                <w:ilvl w:val="0"/>
                                <w:numId w:val="111"/>
                              </w:numPr>
                              <w:ind w:left="851" w:hanging="491"/>
                              <w:rPr>
                                <w:sz w:val="18"/>
                                <w:szCs w:val="20"/>
                              </w:rPr>
                            </w:pPr>
                            <w:r w:rsidRPr="00F246A4">
                              <w:rPr>
                                <w:sz w:val="18"/>
                                <w:szCs w:val="20"/>
                              </w:rPr>
                              <w:t>or a joint arrangement combining Australian Government and state expertise for the Snowy– Upper Murrumbidgee system</w:t>
                            </w:r>
                          </w:p>
                          <w:p w14:paraId="261A39BB" w14:textId="77777777" w:rsidR="00053A2D" w:rsidRPr="00F246A4" w:rsidRDefault="00053A2D" w:rsidP="00053A2D">
                            <w:pPr>
                              <w:rPr>
                                <w:sz w:val="18"/>
                                <w:szCs w:val="20"/>
                              </w:rPr>
                            </w:pPr>
                            <w:r w:rsidRPr="00F246A4">
                              <w:rPr>
                                <w:sz w:val="18"/>
                                <w:szCs w:val="20"/>
                              </w:rPr>
                              <w:t>In each case, the function would operate with a clear mandate for real-time, adaptive decision-making, working alongside Snowy Hydro and within defined governance and escalation pathways.</w:t>
                            </w:r>
                          </w:p>
                          <w:p w14:paraId="5725936C" w14:textId="77777777" w:rsidR="00053A2D" w:rsidRPr="00F246A4" w:rsidRDefault="00053A2D" w:rsidP="006E0E53">
                            <w:pPr>
                              <w:spacing w:after="0"/>
                              <w:rPr>
                                <w:b/>
                                <w:sz w:val="18"/>
                                <w:szCs w:val="20"/>
                              </w:rPr>
                            </w:pPr>
                            <w:r w:rsidRPr="00F246A4">
                              <w:rPr>
                                <w:b/>
                                <w:sz w:val="18"/>
                                <w:szCs w:val="20"/>
                              </w:rPr>
                              <w:t>Key elements</w:t>
                            </w:r>
                          </w:p>
                          <w:p w14:paraId="579583EE" w14:textId="77777777" w:rsidR="00053A2D" w:rsidRPr="00F246A4" w:rsidRDefault="00053A2D" w:rsidP="00115BD6">
                            <w:pPr>
                              <w:pStyle w:val="ListParagraph"/>
                              <w:numPr>
                                <w:ilvl w:val="0"/>
                                <w:numId w:val="112"/>
                              </w:numPr>
                              <w:ind w:left="851" w:hanging="491"/>
                              <w:rPr>
                                <w:sz w:val="18"/>
                                <w:szCs w:val="20"/>
                              </w:rPr>
                            </w:pPr>
                            <w:r w:rsidRPr="00F246A4">
                              <w:rPr>
                                <w:sz w:val="18"/>
                                <w:szCs w:val="20"/>
                              </w:rPr>
                              <w:t>active, real-time management of environmental water delivery</w:t>
                            </w:r>
                          </w:p>
                          <w:p w14:paraId="1DF3184E" w14:textId="77777777" w:rsidR="00053A2D" w:rsidRPr="00F246A4" w:rsidRDefault="00053A2D" w:rsidP="00115BD6">
                            <w:pPr>
                              <w:pStyle w:val="ListParagraph"/>
                              <w:numPr>
                                <w:ilvl w:val="0"/>
                                <w:numId w:val="112"/>
                              </w:numPr>
                              <w:ind w:left="851" w:hanging="491"/>
                              <w:rPr>
                                <w:sz w:val="18"/>
                                <w:szCs w:val="20"/>
                              </w:rPr>
                            </w:pPr>
                            <w:r w:rsidRPr="00F246A4">
                              <w:rPr>
                                <w:sz w:val="18"/>
                                <w:szCs w:val="20"/>
                              </w:rPr>
                              <w:t>ability to adapt releases in response to changing conditions and environmental opportunities</w:t>
                            </w:r>
                          </w:p>
                          <w:p w14:paraId="11F82FD2" w14:textId="77777777" w:rsidR="00053A2D" w:rsidRPr="00F246A4" w:rsidRDefault="00053A2D" w:rsidP="00115BD6">
                            <w:pPr>
                              <w:pStyle w:val="ListParagraph"/>
                              <w:numPr>
                                <w:ilvl w:val="0"/>
                                <w:numId w:val="112"/>
                              </w:numPr>
                              <w:ind w:left="851" w:hanging="491"/>
                              <w:rPr>
                                <w:sz w:val="18"/>
                                <w:szCs w:val="20"/>
                              </w:rPr>
                            </w:pPr>
                            <w:r w:rsidRPr="00F246A4">
                              <w:rPr>
                                <w:sz w:val="18"/>
                                <w:szCs w:val="20"/>
                              </w:rPr>
                              <w:t>operation within defined parameters agreed through governance arrangements</w:t>
                            </w:r>
                          </w:p>
                          <w:p w14:paraId="39AB341D" w14:textId="7F8C323F" w:rsidR="0040500D" w:rsidRPr="00F246A4" w:rsidRDefault="00053A2D" w:rsidP="00115BD6">
                            <w:pPr>
                              <w:pStyle w:val="ListParagraph"/>
                              <w:numPr>
                                <w:ilvl w:val="0"/>
                                <w:numId w:val="112"/>
                              </w:numPr>
                              <w:ind w:left="851" w:hanging="491"/>
                              <w:rPr>
                                <w:sz w:val="18"/>
                                <w:szCs w:val="20"/>
                              </w:rPr>
                            </w:pPr>
                            <w:r w:rsidRPr="00F246A4">
                              <w:rPr>
                                <w:sz w:val="18"/>
                                <w:szCs w:val="20"/>
                              </w:rPr>
                              <w:t>interaction with scheme operators, with escalation pathways where agreement cannot be reached.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A386" id="_x0000_s1042" type="#_x0000_t202" alt="P1322TB9#y1" style="position:absolute;margin-left:0;margin-top:3.05pt;width:478.9pt;height:299.4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" fillcolor="#dceaf7 [351]" stroked="f">
                <v:shadow on="t" color="black" opacity="26214f" origin="-.5,-.5" offset=".74836mm,.74836mm"/>
                <v:textbox>
                  <w:txbxContent>
                    <w:p w14:paraId="3B82CD4F" w14:textId="77777777" w:rsidR="007D499A" w:rsidRDefault="007D499A" w:rsidP="006E0E53">
                      <w:pPr>
                        <w:spacing w:after="0"/>
                        <w:rPr>
                          <w:b/>
                          <w:sz w:val="18"/>
                          <w:szCs w:val="20"/>
                        </w:rPr>
                      </w:pPr>
                    </w:p>
                    <w:p w14:paraId="06FC9949" w14:textId="77777777" w:rsidR="007D499A" w:rsidRDefault="007D499A" w:rsidP="006E0E53">
                      <w:pPr>
                        <w:spacing w:after="0"/>
                        <w:rPr>
                          <w:b/>
                          <w:sz w:val="18"/>
                          <w:szCs w:val="20"/>
                        </w:rPr>
                      </w:pPr>
                    </w:p>
                    <w:p w14:paraId="60461E9B" w14:textId="77777777" w:rsidR="00053A2D" w:rsidRPr="00F246A4" w:rsidRDefault="00053A2D" w:rsidP="006E0E53">
                      <w:pPr>
                        <w:spacing w:after="0"/>
                        <w:rPr>
                          <w:b/>
                          <w:sz w:val="18"/>
                          <w:szCs w:val="20"/>
                        </w:rPr>
                      </w:pPr>
                      <w:r w:rsidRPr="00F246A4">
                        <w:rPr>
                          <w:b/>
                          <w:sz w:val="18"/>
                          <w:szCs w:val="20"/>
                        </w:rPr>
                        <w:t>Proposed enhancement</w:t>
                      </w:r>
                    </w:p>
                    <w:p w14:paraId="7D111604" w14:textId="77777777" w:rsidR="00053A2D" w:rsidRPr="00F246A4" w:rsidRDefault="00053A2D" w:rsidP="00053A2D">
                      <w:pPr>
                        <w:rPr>
                          <w:sz w:val="18"/>
                          <w:szCs w:val="20"/>
                        </w:rPr>
                      </w:pPr>
                      <w:r w:rsidRPr="00F246A4">
                        <w:rPr>
                          <w:sz w:val="18"/>
                          <w:szCs w:val="20"/>
                        </w:rPr>
                        <w:t>The Panel proposes establishing a strengthened environmental water management function as a key operational reform. This introduces dedicated expertise and capability to actively manage environmental water delivery and maximise ecological outcomes within agreed system constraints.</w:t>
                      </w:r>
                    </w:p>
                    <w:p w14:paraId="2F82E230" w14:textId="77777777" w:rsidR="00053A2D" w:rsidRPr="00F246A4" w:rsidRDefault="00053A2D" w:rsidP="006E0E53">
                      <w:pPr>
                        <w:spacing w:after="0"/>
                        <w:rPr>
                          <w:b/>
                          <w:sz w:val="18"/>
                          <w:szCs w:val="20"/>
                        </w:rPr>
                      </w:pPr>
                      <w:r w:rsidRPr="00F246A4">
                        <w:rPr>
                          <w:b/>
                          <w:sz w:val="18"/>
                          <w:szCs w:val="20"/>
                        </w:rPr>
                        <w:t>Design approach</w:t>
                      </w:r>
                    </w:p>
                    <w:p w14:paraId="4B2C1983" w14:textId="07DD5179" w:rsidR="00053A2D" w:rsidRPr="00F246A4" w:rsidRDefault="0003405C" w:rsidP="00053A2D">
                      <w:pPr>
                        <w:rPr>
                          <w:sz w:val="18"/>
                          <w:szCs w:val="20"/>
                        </w:rPr>
                      </w:pPr>
                      <w:r w:rsidRPr="00F246A4">
                        <w:rPr>
                          <w:sz w:val="18"/>
                          <w:szCs w:val="20"/>
                        </w:rPr>
                        <w:t>The Panel recommends t</w:t>
                      </w:r>
                      <w:r w:rsidR="00053A2D" w:rsidRPr="00F246A4">
                        <w:rPr>
                          <w:sz w:val="18"/>
                          <w:szCs w:val="20"/>
                        </w:rPr>
                        <w:t>his function could build on existing environmental water management capability across jurisdictions, rather than requiring a new stand-alone institution. For example, it could be delivered through:</w:t>
                      </w:r>
                    </w:p>
                    <w:p w14:paraId="75DB9AC4" w14:textId="77777777" w:rsidR="00053A2D" w:rsidRPr="00F246A4" w:rsidRDefault="00053A2D" w:rsidP="00115BD6">
                      <w:pPr>
                        <w:pStyle w:val="ListParagraph"/>
                        <w:numPr>
                          <w:ilvl w:val="0"/>
                          <w:numId w:val="111"/>
                        </w:numPr>
                        <w:ind w:left="851" w:hanging="491"/>
                        <w:rPr>
                          <w:sz w:val="18"/>
                          <w:szCs w:val="20"/>
                        </w:rPr>
                      </w:pPr>
                      <w:r w:rsidRPr="00F246A4">
                        <w:rPr>
                          <w:sz w:val="18"/>
                          <w:szCs w:val="20"/>
                        </w:rPr>
                        <w:t xml:space="preserve">an expanded role for the Commonwealth Environmental Water Holder </w:t>
                      </w:r>
                    </w:p>
                    <w:p w14:paraId="04CD4BCA" w14:textId="77777777" w:rsidR="00053A2D" w:rsidRPr="00F246A4" w:rsidRDefault="00053A2D" w:rsidP="00115BD6">
                      <w:pPr>
                        <w:pStyle w:val="ListParagraph"/>
                        <w:numPr>
                          <w:ilvl w:val="0"/>
                          <w:numId w:val="111"/>
                        </w:numPr>
                        <w:ind w:left="851" w:hanging="491"/>
                        <w:rPr>
                          <w:sz w:val="18"/>
                          <w:szCs w:val="20"/>
                        </w:rPr>
                      </w:pPr>
                      <w:r w:rsidRPr="00F246A4">
                        <w:rPr>
                          <w:sz w:val="18"/>
                          <w:szCs w:val="20"/>
                        </w:rPr>
                        <w:t>a coordinated function across state environmental water managers (e.g. NSW and Victoria)</w:t>
                      </w:r>
                    </w:p>
                    <w:p w14:paraId="52E13E27" w14:textId="77777777" w:rsidR="00053A2D" w:rsidRPr="00F246A4" w:rsidRDefault="00053A2D" w:rsidP="00115BD6">
                      <w:pPr>
                        <w:pStyle w:val="ListParagraph"/>
                        <w:numPr>
                          <w:ilvl w:val="0"/>
                          <w:numId w:val="111"/>
                        </w:numPr>
                        <w:ind w:left="851" w:hanging="491"/>
                        <w:rPr>
                          <w:sz w:val="18"/>
                          <w:szCs w:val="20"/>
                        </w:rPr>
                      </w:pPr>
                      <w:r w:rsidRPr="00F246A4">
                        <w:rPr>
                          <w:sz w:val="18"/>
                          <w:szCs w:val="20"/>
                        </w:rPr>
                        <w:t>or a joint arrangement combining Australian Government and state expertise for the Snowy– Upper Murrumbidgee system</w:t>
                      </w:r>
                    </w:p>
                    <w:p w14:paraId="261A39BB" w14:textId="77777777" w:rsidR="00053A2D" w:rsidRPr="00F246A4" w:rsidRDefault="00053A2D" w:rsidP="00053A2D">
                      <w:pPr>
                        <w:rPr>
                          <w:sz w:val="18"/>
                          <w:szCs w:val="20"/>
                        </w:rPr>
                      </w:pPr>
                      <w:r w:rsidRPr="00F246A4">
                        <w:rPr>
                          <w:sz w:val="18"/>
                          <w:szCs w:val="20"/>
                        </w:rPr>
                        <w:t>In each case, the function would operate with a clear mandate for real-time, adaptive decision-making, working alongside Snowy Hydro and within defined governance and escalation pathways.</w:t>
                      </w:r>
                    </w:p>
                    <w:p w14:paraId="5725936C" w14:textId="77777777" w:rsidR="00053A2D" w:rsidRPr="00F246A4" w:rsidRDefault="00053A2D" w:rsidP="006E0E53">
                      <w:pPr>
                        <w:spacing w:after="0"/>
                        <w:rPr>
                          <w:b/>
                          <w:sz w:val="18"/>
                          <w:szCs w:val="20"/>
                        </w:rPr>
                      </w:pPr>
                      <w:r w:rsidRPr="00F246A4">
                        <w:rPr>
                          <w:b/>
                          <w:sz w:val="18"/>
                          <w:szCs w:val="20"/>
                        </w:rPr>
                        <w:t>Key elements</w:t>
                      </w:r>
                    </w:p>
                    <w:p w14:paraId="579583EE" w14:textId="77777777" w:rsidR="00053A2D" w:rsidRPr="00F246A4" w:rsidRDefault="00053A2D" w:rsidP="00115BD6">
                      <w:pPr>
                        <w:pStyle w:val="ListParagraph"/>
                        <w:numPr>
                          <w:ilvl w:val="0"/>
                          <w:numId w:val="112"/>
                        </w:numPr>
                        <w:ind w:left="851" w:hanging="491"/>
                        <w:rPr>
                          <w:sz w:val="18"/>
                          <w:szCs w:val="20"/>
                        </w:rPr>
                      </w:pPr>
                      <w:r w:rsidRPr="00F246A4">
                        <w:rPr>
                          <w:sz w:val="18"/>
                          <w:szCs w:val="20"/>
                        </w:rPr>
                        <w:t>active, real-time management of environmental water delivery</w:t>
                      </w:r>
                    </w:p>
                    <w:p w14:paraId="1DF3184E" w14:textId="77777777" w:rsidR="00053A2D" w:rsidRPr="00F246A4" w:rsidRDefault="00053A2D" w:rsidP="00115BD6">
                      <w:pPr>
                        <w:pStyle w:val="ListParagraph"/>
                        <w:numPr>
                          <w:ilvl w:val="0"/>
                          <w:numId w:val="112"/>
                        </w:numPr>
                        <w:ind w:left="851" w:hanging="491"/>
                        <w:rPr>
                          <w:sz w:val="18"/>
                          <w:szCs w:val="20"/>
                        </w:rPr>
                      </w:pPr>
                      <w:r w:rsidRPr="00F246A4">
                        <w:rPr>
                          <w:sz w:val="18"/>
                          <w:szCs w:val="20"/>
                        </w:rPr>
                        <w:t>ability to adapt releases in response to changing conditions and environmental opportunities</w:t>
                      </w:r>
                    </w:p>
                    <w:p w14:paraId="11F82FD2" w14:textId="77777777" w:rsidR="00053A2D" w:rsidRPr="00F246A4" w:rsidRDefault="00053A2D" w:rsidP="00115BD6">
                      <w:pPr>
                        <w:pStyle w:val="ListParagraph"/>
                        <w:numPr>
                          <w:ilvl w:val="0"/>
                          <w:numId w:val="112"/>
                        </w:numPr>
                        <w:ind w:left="851" w:hanging="491"/>
                        <w:rPr>
                          <w:sz w:val="18"/>
                          <w:szCs w:val="20"/>
                        </w:rPr>
                      </w:pPr>
                      <w:r w:rsidRPr="00F246A4">
                        <w:rPr>
                          <w:sz w:val="18"/>
                          <w:szCs w:val="20"/>
                        </w:rPr>
                        <w:t>operation within defined parameters agreed through governance arrangements</w:t>
                      </w:r>
                    </w:p>
                    <w:p w14:paraId="39AB341D" w14:textId="7F8C323F" w:rsidR="0040500D" w:rsidRPr="00F246A4" w:rsidRDefault="00053A2D" w:rsidP="00115BD6">
                      <w:pPr>
                        <w:pStyle w:val="ListParagraph"/>
                        <w:numPr>
                          <w:ilvl w:val="0"/>
                          <w:numId w:val="112"/>
                        </w:numPr>
                        <w:ind w:left="851" w:hanging="491"/>
                        <w:rPr>
                          <w:sz w:val="18"/>
                          <w:szCs w:val="20"/>
                        </w:rPr>
                      </w:pPr>
                      <w:r w:rsidRPr="00F246A4">
                        <w:rPr>
                          <w:sz w:val="18"/>
                          <w:szCs w:val="20"/>
                        </w:rPr>
                        <w:t>interaction with scheme operators, with escalation pathways where agreement cannot be reached.</w:t>
                      </w:r>
                    </w:p>
                  </w:txbxContent>
                </v:textbox>
                <w10:wrap type="square" anchorx="margin"/>
              </v:shape>
            </w:pict>
          </mc:Fallback>
        </mc:AlternateContent>
      </w:r>
      <w:r w:rsidR="00AA272B" w:rsidRPr="001F718B">
        <w:t>Monitoring, reporting and review</w:t>
      </w:r>
    </w:p>
    <w:p w14:paraId="1FBDAE72" w14:textId="261924A2" w:rsidR="00AA272B" w:rsidRPr="005E1382" w:rsidRDefault="00382EE8" w:rsidP="001F718B">
      <w:r>
        <w:rPr>
          <w:rFonts w:ascii="ZWAdobeF" w:hAnsi="ZWAdobeF" w:cs="ZWAdobeF"/>
          <w:sz w:val="2"/>
          <w:szCs w:val="2"/>
        </w:rPr>
        <w:t>1028B</w:t>
      </w:r>
      <w:r w:rsidR="3EB5C14C">
        <w:t>T</w:t>
      </w:r>
      <w:r w:rsidR="3A381912">
        <w:t>ransparency</w:t>
      </w:r>
      <w:r w:rsidR="00AA272B" w:rsidRPr="005E1382">
        <w:t xml:space="preserve"> on system performance and support </w:t>
      </w:r>
      <w:r w:rsidR="78E75447">
        <w:t xml:space="preserve">for </w:t>
      </w:r>
      <w:r w:rsidR="00AA272B" w:rsidRPr="005E1382">
        <w:t>adaptive management</w:t>
      </w:r>
      <w:r w:rsidR="00AA272B" w:rsidDel="7EEF566E">
        <w:t xml:space="preserve"> </w:t>
      </w:r>
      <w:r w:rsidR="095624DD">
        <w:t>through</w:t>
      </w:r>
      <w:r w:rsidR="00D97B03">
        <w:t>:</w:t>
      </w:r>
    </w:p>
    <w:p w14:paraId="4ADA00B0" w14:textId="6CA8E2FE" w:rsidR="00AA272B" w:rsidRPr="005E1382" w:rsidRDefault="00382EE8" w:rsidP="002852C7">
      <w:pPr>
        <w:pStyle w:val="ListParagraph"/>
        <w:numPr>
          <w:ilvl w:val="0"/>
          <w:numId w:val="12"/>
        </w:numPr>
      </w:pPr>
      <w:r>
        <w:rPr>
          <w:rFonts w:ascii="ZWAdobeF" w:hAnsi="ZWAdobeF" w:cs="ZWAdobeF"/>
          <w:sz w:val="2"/>
          <w:szCs w:val="2"/>
        </w:rPr>
        <w:t>297B</w:t>
      </w:r>
      <w:r w:rsidR="00AA272B" w:rsidRPr="005E1382">
        <w:t>performance monitored against defined objectives and indicators</w:t>
      </w:r>
    </w:p>
    <w:p w14:paraId="28593F66" w14:textId="14787839" w:rsidR="00AA272B" w:rsidRPr="005E1382" w:rsidRDefault="00382EE8" w:rsidP="002852C7">
      <w:pPr>
        <w:pStyle w:val="ListParagraph"/>
        <w:numPr>
          <w:ilvl w:val="0"/>
          <w:numId w:val="12"/>
        </w:numPr>
      </w:pPr>
      <w:r>
        <w:rPr>
          <w:rFonts w:ascii="ZWAdobeF" w:hAnsi="ZWAdobeF" w:cs="ZWAdobeF"/>
          <w:sz w:val="2"/>
          <w:szCs w:val="2"/>
        </w:rPr>
        <w:t>298B</w:t>
      </w:r>
      <w:r w:rsidR="00AA272B" w:rsidRPr="005E1382">
        <w:t xml:space="preserve">regular public reporting </w:t>
      </w:r>
      <w:r w:rsidR="3A381912">
        <w:t>provid</w:t>
      </w:r>
      <w:r w:rsidR="122B5138">
        <w:t>ing</w:t>
      </w:r>
      <w:r w:rsidR="00AA272B" w:rsidRPr="005E1382">
        <w:t xml:space="preserve"> transparency on decisions and outcomes</w:t>
      </w:r>
    </w:p>
    <w:p w14:paraId="0F5EB6FE" w14:textId="37D8D537" w:rsidR="00AA272B" w:rsidRPr="00725ED8" w:rsidRDefault="00382EE8" w:rsidP="002852C7">
      <w:pPr>
        <w:pStyle w:val="ListParagraph"/>
        <w:numPr>
          <w:ilvl w:val="0"/>
          <w:numId w:val="12"/>
        </w:numPr>
        <w:rPr>
          <w:szCs w:val="22"/>
        </w:rPr>
      </w:pPr>
      <w:r>
        <w:rPr>
          <w:rFonts w:ascii="ZWAdobeF" w:hAnsi="ZWAdobeF" w:cs="ZWAdobeF"/>
          <w:sz w:val="2"/>
          <w:szCs w:val="2"/>
        </w:rPr>
        <w:t>299B</w:t>
      </w:r>
      <w:r w:rsidR="00AA272B" w:rsidRPr="005E1382">
        <w:t>independent audit and evaluation assess system performance</w:t>
      </w:r>
    </w:p>
    <w:p w14:paraId="3D21CA6D" w14:textId="6AD99292" w:rsidR="00AA272B" w:rsidRDefault="00382EE8" w:rsidP="002852C7">
      <w:pPr>
        <w:pStyle w:val="ListParagraph"/>
        <w:numPr>
          <w:ilvl w:val="0"/>
          <w:numId w:val="12"/>
        </w:numPr>
        <w:rPr>
          <w:szCs w:val="22"/>
        </w:rPr>
      </w:pPr>
      <w:r>
        <w:rPr>
          <w:rFonts w:ascii="ZWAdobeF" w:hAnsi="ZWAdobeF" w:cs="ZWAdobeF"/>
          <w:sz w:val="2"/>
          <w:szCs w:val="2"/>
        </w:rPr>
        <w:t>300B</w:t>
      </w:r>
      <w:r w:rsidR="00AA272B" w:rsidRPr="005E1382">
        <w:t xml:space="preserve">periodic reviews </w:t>
      </w:r>
      <w:r w:rsidR="3A381912">
        <w:t>enabl</w:t>
      </w:r>
      <w:r w:rsidR="235C2606">
        <w:t>i</w:t>
      </w:r>
      <w:r w:rsidR="48B767A7">
        <w:t>ng</w:t>
      </w:r>
      <w:r w:rsidR="00AA272B" w:rsidRPr="005E1382">
        <w:t xml:space="preserve"> adjustment of objectives, settings and practices over time</w:t>
      </w:r>
      <w:r w:rsidR="005509C0">
        <w:t>.</w:t>
      </w:r>
    </w:p>
    <w:p w14:paraId="741C3DD6" w14:textId="77777777" w:rsidR="0052153B" w:rsidRDefault="0052153B" w:rsidP="001F718B">
      <w:pPr>
        <w:rPr>
          <w:rFonts w:eastAsia="Times New Roman"/>
          <w:lang w:eastAsia="en-AU"/>
        </w:rPr>
      </w:pPr>
    </w:p>
    <w:p w14:paraId="7759B5F7" w14:textId="0253FB3A" w:rsidR="00AA272B" w:rsidRPr="00600AEE" w:rsidRDefault="00382EE8" w:rsidP="001F718B">
      <w:pPr>
        <w:rPr>
          <w:rFonts w:eastAsia="Times New Roman"/>
          <w:lang w:eastAsia="en-AU"/>
        </w:rPr>
      </w:pPr>
      <w:r>
        <w:rPr>
          <w:rFonts w:ascii="ZWAdobeF" w:eastAsia="Times New Roman" w:hAnsi="ZWAdobeF" w:cs="ZWAdobeF"/>
          <w:sz w:val="2"/>
          <w:szCs w:val="2"/>
          <w:lang w:eastAsia="en-AU"/>
        </w:rPr>
        <w:t>1029B</w:t>
      </w:r>
      <w:r w:rsidR="00AA272B" w:rsidRPr="00723517">
        <w:rPr>
          <w:rFonts w:eastAsia="Times New Roman"/>
          <w:lang w:eastAsia="en-AU"/>
        </w:rPr>
        <w:t>This framework</w:t>
      </w:r>
      <w:r w:rsidR="00AA272B">
        <w:rPr>
          <w:rFonts w:eastAsia="Times New Roman"/>
          <w:lang w:eastAsia="en-AU"/>
        </w:rPr>
        <w:t xml:space="preserve"> </w:t>
      </w:r>
      <w:r w:rsidR="00AA272B" w:rsidRPr="00CE7C25">
        <w:rPr>
          <w:rFonts w:eastAsia="Times New Roman"/>
          <w:b/>
          <w:lang w:eastAsia="en-AU"/>
        </w:rPr>
        <w:t xml:space="preserve">(Box </w:t>
      </w:r>
      <w:r w:rsidR="00CE7C25" w:rsidRPr="00CE7C25">
        <w:rPr>
          <w:rFonts w:eastAsia="Times New Roman"/>
          <w:b/>
          <w:bCs/>
          <w:lang w:eastAsia="en-AU"/>
        </w:rPr>
        <w:t>9</w:t>
      </w:r>
      <w:r w:rsidR="00AA272B" w:rsidRPr="00CE7C25">
        <w:rPr>
          <w:rFonts w:eastAsia="Times New Roman"/>
          <w:b/>
          <w:lang w:eastAsia="en-AU"/>
        </w:rPr>
        <w:t xml:space="preserve">) </w:t>
      </w:r>
      <w:r w:rsidR="00AA272B" w:rsidRPr="00723517">
        <w:rPr>
          <w:rFonts w:eastAsia="Times New Roman"/>
          <w:lang w:eastAsia="en-AU"/>
        </w:rPr>
        <w:t>distinguishes between short-term performance reporting and long-term evaluation of system outcomes.</w:t>
      </w:r>
      <w:r w:rsidR="00653452">
        <w:rPr>
          <w:rFonts w:eastAsia="Times New Roman"/>
          <w:lang w:eastAsia="en-AU"/>
        </w:rPr>
        <w:t xml:space="preserve"> </w:t>
      </w:r>
      <w:r w:rsidR="00AA272B" w:rsidRPr="005E1382">
        <w:t>Together, these functions provide a continuous feedback loop between performance and decision-making.</w:t>
      </w:r>
    </w:p>
    <w:p w14:paraId="42ED3317" w14:textId="3424BA58" w:rsidR="009E6677" w:rsidRPr="00600AEE" w:rsidRDefault="009E6677" w:rsidP="001F718B">
      <w:pPr>
        <w:rPr>
          <w:rFonts w:eastAsia="Times New Roman"/>
          <w:lang w:eastAsia="en-AU"/>
        </w:rPr>
      </w:pPr>
    </w:p>
    <w:p w14:paraId="096DFA3B" w14:textId="77777777" w:rsidR="00317710" w:rsidRPr="00600AEE" w:rsidRDefault="00317710" w:rsidP="001F718B">
      <w:pPr>
        <w:rPr>
          <w:rFonts w:eastAsia="Times New Roman"/>
          <w:lang w:eastAsia="en-AU"/>
        </w:rPr>
      </w:pPr>
    </w:p>
    <w:p w14:paraId="762160A3" w14:textId="77777777" w:rsidR="00232B3A" w:rsidRDefault="00232B3A" w:rsidP="001F718B">
      <w:pPr>
        <w:rPr>
          <w:rFonts w:eastAsia="Times New Roman"/>
          <w:lang w:eastAsia="en-AU"/>
        </w:rPr>
      </w:pPr>
    </w:p>
    <w:p w14:paraId="1161BACC" w14:textId="77777777" w:rsidR="00232B3A" w:rsidRDefault="00232B3A" w:rsidP="001F718B">
      <w:pPr>
        <w:rPr>
          <w:rFonts w:eastAsia="Times New Roman"/>
          <w:lang w:eastAsia="en-AU"/>
        </w:rPr>
      </w:pPr>
    </w:p>
    <w:p w14:paraId="0224C44F" w14:textId="77777777" w:rsidR="00232B3A" w:rsidRDefault="00232B3A" w:rsidP="001F718B">
      <w:pPr>
        <w:rPr>
          <w:rFonts w:eastAsia="Times New Roman"/>
          <w:lang w:eastAsia="en-AU"/>
        </w:rPr>
      </w:pPr>
    </w:p>
    <w:p w14:paraId="251CF90B" w14:textId="77777777" w:rsidR="00232B3A" w:rsidRPr="00600AEE" w:rsidRDefault="00232B3A" w:rsidP="001F718B">
      <w:pPr>
        <w:rPr>
          <w:rFonts w:eastAsia="Times New Roman"/>
          <w:lang w:eastAsia="en-AU"/>
        </w:rPr>
      </w:pPr>
    </w:p>
    <w:p w14:paraId="6C42AE9F" w14:textId="157369A8" w:rsidR="00496CC0" w:rsidRPr="001C6762" w:rsidRDefault="007D499A" w:rsidP="001C6762">
      <w:pPr>
        <w:pStyle w:val="Sub-Heading"/>
      </w:pPr>
      <w:r>
        <w:rPr>
          <w:noProof/>
        </w:rPr>
        <w:lastRenderedPageBreak/>
        <mc:AlternateContent>
          <mc:Choice Requires="wps">
            <w:drawing>
              <wp:anchor distT="0" distB="0" distL="114300" distR="114300" simplePos="0" relativeHeight="251658259" behindDoc="0" locked="0" layoutInCell="1" allowOverlap="1" wp14:anchorId="1BB9BC07" wp14:editId="3A8DB586">
                <wp:simplePos x="0" y="0"/>
                <wp:positionH relativeFrom="margin">
                  <wp:align>right</wp:align>
                </wp:positionH>
                <wp:positionV relativeFrom="paragraph">
                  <wp:posOffset>124736</wp:posOffset>
                </wp:positionV>
                <wp:extent cx="5899785" cy="158750"/>
                <wp:effectExtent l="0" t="0" r="5715" b="0"/>
                <wp:wrapSquare wrapText="bothSides"/>
                <wp:docPr id="1757692493" name="Text Box 1" descr="P1336TB20#y1"/>
                <wp:cNvGraphicFramePr/>
                <a:graphic xmlns:a="http://schemas.openxmlformats.org/drawingml/2006/main">
                  <a:graphicData uri="http://schemas.microsoft.com/office/word/2010/wordprocessingShape">
                    <wps:wsp>
                      <wps:cNvSpPr txBox="1"/>
                      <wps:spPr>
                        <a:xfrm>
                          <a:off x="0" y="0"/>
                          <a:ext cx="5899785" cy="159026"/>
                        </a:xfrm>
                        <a:prstGeom prst="rect">
                          <a:avLst/>
                        </a:prstGeom>
                        <a:solidFill>
                          <a:prstClr val="white"/>
                        </a:solidFill>
                        <a:ln>
                          <a:noFill/>
                        </a:ln>
                      </wps:spPr>
                      <wps:txbx>
                        <w:txbxContent>
                          <w:p w14:paraId="09904AEE" w14:textId="1ED554A7" w:rsidR="007D499A" w:rsidRPr="007D499A" w:rsidRDefault="007D499A" w:rsidP="007D499A">
                            <w:pPr>
                              <w:pStyle w:val="Caption"/>
                              <w:shd w:val="clear" w:color="auto" w:fill="DAE9F7" w:themeFill="text2" w:themeFillTint="1A"/>
                              <w:rPr>
                                <w:rFonts w:asciiTheme="majorHAnsi" w:eastAsia="Times New Roman" w:hAnsiTheme="majorHAnsi" w:cstheme="majorBidi"/>
                                <w:b/>
                                <w:bCs/>
                                <w:noProof/>
                                <w:color w:val="auto"/>
                                <w:sz w:val="32"/>
                                <w:szCs w:val="36"/>
                              </w:rPr>
                            </w:pPr>
                            <w:r w:rsidRPr="007D499A">
                              <w:rPr>
                                <w:b/>
                                <w:bCs/>
                                <w:color w:val="auto"/>
                                <w:sz w:val="20"/>
                                <w:szCs w:val="20"/>
                              </w:rPr>
                              <w:t xml:space="preserve">Box </w:t>
                            </w:r>
                            <w:r w:rsidRPr="007D499A">
                              <w:rPr>
                                <w:b/>
                                <w:bCs/>
                                <w:color w:val="auto"/>
                                <w:sz w:val="20"/>
                                <w:szCs w:val="20"/>
                              </w:rPr>
                              <w:fldChar w:fldCharType="begin"/>
                            </w:r>
                            <w:r w:rsidRPr="007D499A">
                              <w:rPr>
                                <w:b/>
                                <w:bCs/>
                                <w:color w:val="auto"/>
                                <w:sz w:val="20"/>
                                <w:szCs w:val="20"/>
                              </w:rPr>
                              <w:instrText xml:space="preserve"> SEQ Box \* ARABIC </w:instrText>
                            </w:r>
                            <w:r w:rsidRPr="007D499A">
                              <w:rPr>
                                <w:b/>
                                <w:bCs/>
                                <w:color w:val="auto"/>
                                <w:sz w:val="20"/>
                                <w:szCs w:val="20"/>
                              </w:rPr>
                              <w:fldChar w:fldCharType="separate"/>
                            </w:r>
                            <w:r w:rsidR="0005178F">
                              <w:rPr>
                                <w:b/>
                                <w:bCs/>
                                <w:noProof/>
                                <w:color w:val="auto"/>
                                <w:sz w:val="20"/>
                                <w:szCs w:val="20"/>
                              </w:rPr>
                              <w:t>9</w:t>
                            </w:r>
                            <w:r w:rsidRPr="007D499A">
                              <w:rPr>
                                <w:b/>
                                <w:bCs/>
                                <w:color w:val="auto"/>
                                <w:sz w:val="20"/>
                                <w:szCs w:val="20"/>
                              </w:rPr>
                              <w:fldChar w:fldCharType="end"/>
                            </w:r>
                            <w:r w:rsidRPr="007D499A">
                              <w:rPr>
                                <w:b/>
                                <w:bCs/>
                                <w:color w:val="auto"/>
                                <w:sz w:val="20"/>
                                <w:szCs w:val="20"/>
                              </w:rPr>
                              <w:t>: Monitoring, reporting and review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BC07" id="_x0000_s1043" type="#_x0000_t202" alt="P1336TB20#y1" style="position:absolute;margin-left:413.35pt;margin-top:9.8pt;width:464.55pt;height:12.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" stroked="f">
                <v:textbox inset="0,0,0,0">
                  <w:txbxContent>
                    <w:p w14:paraId="09904AEE" w14:textId="1ED554A7" w:rsidR="007D499A" w:rsidRPr="007D499A" w:rsidRDefault="007D499A" w:rsidP="007D499A">
                      <w:pPr>
                        <w:pStyle w:val="Caption"/>
                        <w:shd w:val="clear" w:color="auto" w:fill="DAE9F7" w:themeFill="text2" w:themeFillTint="1A"/>
                        <w:rPr>
                          <w:rFonts w:asciiTheme="majorHAnsi" w:eastAsia="Times New Roman" w:hAnsiTheme="majorHAnsi" w:cstheme="majorBidi"/>
                          <w:b/>
                          <w:bCs/>
                          <w:noProof/>
                          <w:color w:val="auto"/>
                          <w:sz w:val="32"/>
                          <w:szCs w:val="36"/>
                        </w:rPr>
                      </w:pPr>
                      <w:r w:rsidRPr="007D499A">
                        <w:rPr>
                          <w:b/>
                          <w:bCs/>
                          <w:color w:val="auto"/>
                          <w:sz w:val="20"/>
                          <w:szCs w:val="20"/>
                        </w:rPr>
                        <w:t xml:space="preserve">Box </w:t>
                      </w:r>
                      <w:r w:rsidRPr="007D499A">
                        <w:rPr>
                          <w:b/>
                          <w:bCs/>
                          <w:color w:val="auto"/>
                          <w:sz w:val="20"/>
                          <w:szCs w:val="20"/>
                        </w:rPr>
                        <w:fldChar w:fldCharType="begin"/>
                      </w:r>
                      <w:r w:rsidRPr="007D499A">
                        <w:rPr>
                          <w:b/>
                          <w:bCs/>
                          <w:color w:val="auto"/>
                          <w:sz w:val="20"/>
                          <w:szCs w:val="20"/>
                        </w:rPr>
                        <w:instrText xml:space="preserve"> SEQ Box \* ARABIC </w:instrText>
                      </w:r>
                      <w:r w:rsidRPr="007D499A">
                        <w:rPr>
                          <w:b/>
                          <w:bCs/>
                          <w:color w:val="auto"/>
                          <w:sz w:val="20"/>
                          <w:szCs w:val="20"/>
                        </w:rPr>
                        <w:fldChar w:fldCharType="separate"/>
                      </w:r>
                      <w:r w:rsidR="0005178F">
                        <w:rPr>
                          <w:b/>
                          <w:bCs/>
                          <w:noProof/>
                          <w:color w:val="auto"/>
                          <w:sz w:val="20"/>
                          <w:szCs w:val="20"/>
                        </w:rPr>
                        <w:t>9</w:t>
                      </w:r>
                      <w:r w:rsidRPr="007D499A">
                        <w:rPr>
                          <w:b/>
                          <w:bCs/>
                          <w:color w:val="auto"/>
                          <w:sz w:val="20"/>
                          <w:szCs w:val="20"/>
                        </w:rPr>
                        <w:fldChar w:fldCharType="end"/>
                      </w:r>
                      <w:r w:rsidRPr="007D499A">
                        <w:rPr>
                          <w:b/>
                          <w:bCs/>
                          <w:color w:val="auto"/>
                          <w:sz w:val="20"/>
                          <w:szCs w:val="20"/>
                        </w:rPr>
                        <w:t>: Monitoring, reporting and review framework</w:t>
                      </w:r>
                    </w:p>
                  </w:txbxContent>
                </v:textbox>
                <w10:wrap type="square" anchorx="margin"/>
              </v:shape>
            </w:pict>
          </mc:Fallback>
        </mc:AlternateContent>
      </w:r>
      <w:r w:rsidR="00232B3A">
        <w:rPr>
          <w:noProof/>
        </w:rPr>
        <mc:AlternateContent>
          <mc:Choice Requires="wps">
            <w:drawing>
              <wp:anchor distT="45720" distB="45720" distL="114300" distR="114300" simplePos="0" relativeHeight="251658249" behindDoc="0" locked="0" layoutInCell="1" allowOverlap="1" wp14:anchorId="0025D289" wp14:editId="3F6833A0">
                <wp:simplePos x="0" y="0"/>
                <wp:positionH relativeFrom="margin">
                  <wp:align>center</wp:align>
                </wp:positionH>
                <wp:positionV relativeFrom="paragraph">
                  <wp:posOffset>38348</wp:posOffset>
                </wp:positionV>
                <wp:extent cx="6082030" cy="5805805"/>
                <wp:effectExtent l="38100" t="38100" r="90170" b="99695"/>
                <wp:wrapSquare wrapText="bothSides"/>
                <wp:docPr id="1760946494" name="Text Box 2" descr="P1336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5806109"/>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6F45654B" w14:textId="77777777" w:rsidR="009F3C8D" w:rsidRDefault="009F3C8D" w:rsidP="00232B3A">
                            <w:pPr>
                              <w:rPr>
                                <w:b/>
                                <w:bCs/>
                                <w:sz w:val="18"/>
                                <w:szCs w:val="20"/>
                              </w:rPr>
                            </w:pPr>
                          </w:p>
                          <w:p w14:paraId="4A46F2A5" w14:textId="6E0C7730" w:rsidR="00232B3A" w:rsidRPr="00F246A4" w:rsidRDefault="00232B3A" w:rsidP="00232B3A">
                            <w:pPr>
                              <w:rPr>
                                <w:b/>
                                <w:sz w:val="18"/>
                                <w:szCs w:val="20"/>
                              </w:rPr>
                            </w:pPr>
                            <w:r w:rsidRPr="00F246A4">
                              <w:rPr>
                                <w:b/>
                                <w:sz w:val="18"/>
                                <w:szCs w:val="20"/>
                              </w:rPr>
                              <w:t>Proposed enhancement</w:t>
                            </w:r>
                          </w:p>
                          <w:p w14:paraId="1ED76DAC" w14:textId="77777777" w:rsidR="00232B3A" w:rsidRPr="00F246A4" w:rsidRDefault="00232B3A" w:rsidP="00232B3A">
                            <w:pPr>
                              <w:rPr>
                                <w:sz w:val="18"/>
                                <w:szCs w:val="20"/>
                              </w:rPr>
                            </w:pPr>
                            <w:r w:rsidRPr="00F246A4">
                              <w:rPr>
                                <w:sz w:val="18"/>
                                <w:szCs w:val="20"/>
                              </w:rPr>
                              <w:t>The Panel proposes a strengthened framework for monitoring, reporting and review that distinguishes between short-term performance reporting and long-term evaluation of system outcomes. This ensures that progress against objectives is clearly assessed and that the effectiveness of the framework can be reviewed over time.</w:t>
                            </w:r>
                          </w:p>
                          <w:p w14:paraId="49972F22" w14:textId="77777777" w:rsidR="00232B3A" w:rsidRPr="00F246A4" w:rsidRDefault="00232B3A" w:rsidP="00232B3A">
                            <w:pPr>
                              <w:rPr>
                                <w:b/>
                                <w:sz w:val="18"/>
                                <w:szCs w:val="20"/>
                              </w:rPr>
                            </w:pPr>
                            <w:r w:rsidRPr="00F246A4">
                              <w:rPr>
                                <w:b/>
                                <w:sz w:val="18"/>
                                <w:szCs w:val="20"/>
                              </w:rPr>
                              <w:t>Design approach</w:t>
                            </w:r>
                          </w:p>
                          <w:p w14:paraId="47F8086A" w14:textId="0AB40029" w:rsidR="00232B3A" w:rsidRPr="00F246A4" w:rsidRDefault="0003405C" w:rsidP="00232B3A">
                            <w:pPr>
                              <w:rPr>
                                <w:sz w:val="18"/>
                                <w:szCs w:val="20"/>
                              </w:rPr>
                            </w:pPr>
                            <w:r w:rsidRPr="00F246A4">
                              <w:rPr>
                                <w:sz w:val="18"/>
                                <w:szCs w:val="20"/>
                              </w:rPr>
                              <w:t>The Panel recommends t</w:t>
                            </w:r>
                            <w:r w:rsidR="00232B3A" w:rsidRPr="00F246A4">
                              <w:rPr>
                                <w:sz w:val="18"/>
                                <w:szCs w:val="20"/>
                              </w:rPr>
                              <w:t>his framework build on existing monitoring and evaluation capability, rather than creating new institutions. For example:</w:t>
                            </w:r>
                          </w:p>
                          <w:p w14:paraId="116794EA" w14:textId="77777777" w:rsidR="00232B3A" w:rsidRPr="00F246A4" w:rsidRDefault="00232B3A" w:rsidP="00115BD6">
                            <w:pPr>
                              <w:pStyle w:val="ListParagraph"/>
                              <w:numPr>
                                <w:ilvl w:val="0"/>
                                <w:numId w:val="131"/>
                              </w:numPr>
                              <w:rPr>
                                <w:sz w:val="18"/>
                                <w:szCs w:val="20"/>
                              </w:rPr>
                            </w:pPr>
                            <w:r w:rsidRPr="00F246A4">
                              <w:rPr>
                                <w:sz w:val="18"/>
                                <w:szCs w:val="20"/>
                              </w:rPr>
                              <w:t>annual performance monitoring and reporting would draw on existing data, modelling and reporting processes</w:t>
                            </w:r>
                          </w:p>
                          <w:p w14:paraId="4DC896A5" w14:textId="3676EB54" w:rsidR="00232B3A" w:rsidRPr="00F246A4" w:rsidRDefault="00232B3A" w:rsidP="00115BD6">
                            <w:pPr>
                              <w:pStyle w:val="ListParagraph"/>
                              <w:numPr>
                                <w:ilvl w:val="0"/>
                                <w:numId w:val="131"/>
                              </w:numPr>
                              <w:rPr>
                                <w:sz w:val="18"/>
                                <w:szCs w:val="20"/>
                              </w:rPr>
                            </w:pPr>
                            <w:r w:rsidRPr="00F246A4">
                              <w:rPr>
                                <w:sz w:val="18"/>
                                <w:szCs w:val="20"/>
                              </w:rPr>
                              <w:t>independent evaluation</w:t>
                            </w:r>
                            <w:r w:rsidRPr="00F246A4" w:rsidDel="0003405C">
                              <w:rPr>
                                <w:sz w:val="18"/>
                                <w:szCs w:val="20"/>
                              </w:rPr>
                              <w:t xml:space="preserve"> </w:t>
                            </w:r>
                            <w:r w:rsidRPr="00F246A4">
                              <w:rPr>
                                <w:sz w:val="18"/>
                                <w:szCs w:val="20"/>
                              </w:rPr>
                              <w:t>of environmental outcomes should draw on bodies such as the NSW Natural Resources Commission (NRC)</w:t>
                            </w:r>
                          </w:p>
                          <w:p w14:paraId="23481647" w14:textId="0B2EC578" w:rsidR="00232B3A" w:rsidRPr="00F246A4" w:rsidRDefault="00232B3A" w:rsidP="00115BD6">
                            <w:pPr>
                              <w:pStyle w:val="ListParagraph"/>
                              <w:numPr>
                                <w:ilvl w:val="0"/>
                                <w:numId w:val="131"/>
                              </w:numPr>
                              <w:rPr>
                                <w:sz w:val="18"/>
                                <w:szCs w:val="20"/>
                              </w:rPr>
                            </w:pPr>
                            <w:r w:rsidRPr="00F246A4">
                              <w:rPr>
                                <w:sz w:val="18"/>
                                <w:szCs w:val="20"/>
                              </w:rPr>
                              <w:t>periodic system review should be undertaken</w:t>
                            </w:r>
                            <w:r w:rsidR="00721513" w:rsidRPr="00F246A4">
                              <w:rPr>
                                <w:sz w:val="18"/>
                                <w:szCs w:val="20"/>
                              </w:rPr>
                              <w:t xml:space="preserve"> </w:t>
                            </w:r>
                            <w:r w:rsidRPr="00F246A4">
                              <w:rPr>
                                <w:sz w:val="18"/>
                                <w:szCs w:val="20"/>
                              </w:rPr>
                              <w:t>by the Productivity Commission, consistent with its role in reviewing intergovernmental frameworks.</w:t>
                            </w:r>
                          </w:p>
                          <w:p w14:paraId="1F8B6F92" w14:textId="77777777" w:rsidR="00232B3A" w:rsidRPr="00F246A4" w:rsidRDefault="00232B3A" w:rsidP="00115BD6">
                            <w:pPr>
                              <w:pStyle w:val="ListParagraph"/>
                              <w:numPr>
                                <w:ilvl w:val="0"/>
                                <w:numId w:val="131"/>
                              </w:numPr>
                              <w:rPr>
                                <w:sz w:val="18"/>
                                <w:szCs w:val="20"/>
                              </w:rPr>
                            </w:pPr>
                            <w:r w:rsidRPr="00F246A4">
                              <w:rPr>
                                <w:sz w:val="18"/>
                                <w:szCs w:val="20"/>
                              </w:rPr>
                              <w:t>These components would operate as a structured cycle linking performance information to decision-making and system improvement.</w:t>
                            </w:r>
                          </w:p>
                          <w:p w14:paraId="4343FC58" w14:textId="77777777" w:rsidR="00232B3A" w:rsidRPr="00F246A4" w:rsidRDefault="00232B3A" w:rsidP="00232B3A">
                            <w:pPr>
                              <w:rPr>
                                <w:b/>
                                <w:sz w:val="18"/>
                                <w:szCs w:val="20"/>
                              </w:rPr>
                            </w:pPr>
                            <w:r w:rsidRPr="00F246A4">
                              <w:rPr>
                                <w:b/>
                                <w:sz w:val="18"/>
                                <w:szCs w:val="20"/>
                              </w:rPr>
                              <w:t>Key elements</w:t>
                            </w:r>
                          </w:p>
                          <w:p w14:paraId="2234A0AD" w14:textId="77777777" w:rsidR="00232B3A" w:rsidRPr="00F246A4" w:rsidRDefault="00232B3A" w:rsidP="00232B3A">
                            <w:pPr>
                              <w:rPr>
                                <w:sz w:val="18"/>
                                <w:szCs w:val="20"/>
                              </w:rPr>
                            </w:pPr>
                            <w:r w:rsidRPr="00F246A4">
                              <w:rPr>
                                <w:sz w:val="18"/>
                                <w:szCs w:val="20"/>
                              </w:rPr>
                              <w:t>Performance reporting (short-term, annual)</w:t>
                            </w:r>
                          </w:p>
                          <w:p w14:paraId="5804C51E" w14:textId="77777777" w:rsidR="00232B3A" w:rsidRPr="00F246A4" w:rsidRDefault="00232B3A" w:rsidP="00115BD6">
                            <w:pPr>
                              <w:pStyle w:val="ListParagraph"/>
                              <w:numPr>
                                <w:ilvl w:val="0"/>
                                <w:numId w:val="132"/>
                              </w:numPr>
                              <w:ind w:left="709"/>
                              <w:rPr>
                                <w:sz w:val="18"/>
                                <w:szCs w:val="20"/>
                              </w:rPr>
                            </w:pPr>
                            <w:r w:rsidRPr="00F246A4">
                              <w:rPr>
                                <w:sz w:val="18"/>
                                <w:szCs w:val="20"/>
                              </w:rPr>
                              <w:t>reporting against defined objectives and performance indicators</w:t>
                            </w:r>
                          </w:p>
                          <w:p w14:paraId="4A0AF98C" w14:textId="77777777" w:rsidR="00232B3A" w:rsidRPr="00F246A4" w:rsidRDefault="00232B3A" w:rsidP="00115BD6">
                            <w:pPr>
                              <w:pStyle w:val="ListParagraph"/>
                              <w:numPr>
                                <w:ilvl w:val="0"/>
                                <w:numId w:val="132"/>
                              </w:numPr>
                              <w:ind w:left="709"/>
                              <w:rPr>
                                <w:sz w:val="18"/>
                                <w:szCs w:val="20"/>
                              </w:rPr>
                            </w:pPr>
                            <w:r w:rsidRPr="00F246A4">
                              <w:rPr>
                                <w:sz w:val="18"/>
                                <w:szCs w:val="20"/>
                              </w:rPr>
                              <w:t>publication of system performance and outcomes, including ecological condition and water delivery</w:t>
                            </w:r>
                          </w:p>
                          <w:p w14:paraId="22144E0C" w14:textId="77777777" w:rsidR="00232B3A" w:rsidRPr="00F246A4" w:rsidRDefault="00232B3A" w:rsidP="00115BD6">
                            <w:pPr>
                              <w:pStyle w:val="ListParagraph"/>
                              <w:numPr>
                                <w:ilvl w:val="0"/>
                                <w:numId w:val="132"/>
                              </w:numPr>
                              <w:ind w:left="709"/>
                              <w:rPr>
                                <w:sz w:val="18"/>
                                <w:szCs w:val="20"/>
                              </w:rPr>
                            </w:pPr>
                            <w:r w:rsidRPr="00F246A4">
                              <w:rPr>
                                <w:sz w:val="18"/>
                                <w:szCs w:val="20"/>
                              </w:rPr>
                              <w:t>transparency on how decisions and delivery contribute to system objectives.</w:t>
                            </w:r>
                          </w:p>
                          <w:p w14:paraId="0002E234" w14:textId="77777777" w:rsidR="00232B3A" w:rsidRPr="00F246A4" w:rsidRDefault="00232B3A" w:rsidP="00115BD6">
                            <w:pPr>
                              <w:pStyle w:val="ListParagraph"/>
                              <w:numPr>
                                <w:ilvl w:val="0"/>
                                <w:numId w:val="132"/>
                              </w:numPr>
                              <w:ind w:left="709"/>
                              <w:rPr>
                                <w:sz w:val="18"/>
                                <w:szCs w:val="20"/>
                              </w:rPr>
                            </w:pPr>
                            <w:r w:rsidRPr="00F246A4">
                              <w:rPr>
                                <w:sz w:val="18"/>
                                <w:szCs w:val="20"/>
                              </w:rPr>
                              <w:t>System evaluation (long-term, multi-year)</w:t>
                            </w:r>
                          </w:p>
                          <w:p w14:paraId="09AC8F14" w14:textId="77777777" w:rsidR="00232B3A" w:rsidRPr="00F246A4" w:rsidRDefault="00232B3A" w:rsidP="00115BD6">
                            <w:pPr>
                              <w:pStyle w:val="ListParagraph"/>
                              <w:numPr>
                                <w:ilvl w:val="0"/>
                                <w:numId w:val="132"/>
                              </w:numPr>
                              <w:ind w:left="709"/>
                              <w:rPr>
                                <w:sz w:val="18"/>
                                <w:szCs w:val="20"/>
                              </w:rPr>
                            </w:pPr>
                            <w:r w:rsidRPr="00F246A4">
                              <w:rPr>
                                <w:sz w:val="18"/>
                                <w:szCs w:val="20"/>
                              </w:rPr>
                              <w:t>assessment of progress against outcome-based objectives (e.g. river health, key indicator species condition)</w:t>
                            </w:r>
                          </w:p>
                          <w:p w14:paraId="3BF9AFDC" w14:textId="77777777" w:rsidR="00232B3A" w:rsidRPr="00F246A4" w:rsidRDefault="00232B3A" w:rsidP="00115BD6">
                            <w:pPr>
                              <w:pStyle w:val="ListParagraph"/>
                              <w:numPr>
                                <w:ilvl w:val="0"/>
                                <w:numId w:val="132"/>
                              </w:numPr>
                              <w:ind w:left="709"/>
                              <w:rPr>
                                <w:sz w:val="18"/>
                                <w:szCs w:val="20"/>
                              </w:rPr>
                            </w:pPr>
                            <w:r w:rsidRPr="00F246A4">
                              <w:rPr>
                                <w:sz w:val="18"/>
                                <w:szCs w:val="20"/>
                              </w:rPr>
                              <w:t>independent audit of system performance over time (every 5 years)</w:t>
                            </w:r>
                          </w:p>
                          <w:p w14:paraId="74DC5811" w14:textId="77777777" w:rsidR="00232B3A" w:rsidRPr="00F246A4" w:rsidRDefault="00232B3A" w:rsidP="00115BD6">
                            <w:pPr>
                              <w:pStyle w:val="ListParagraph"/>
                              <w:numPr>
                                <w:ilvl w:val="0"/>
                                <w:numId w:val="132"/>
                              </w:numPr>
                              <w:ind w:left="709"/>
                              <w:rPr>
                                <w:sz w:val="18"/>
                                <w:szCs w:val="20"/>
                              </w:rPr>
                            </w:pPr>
                            <w:r w:rsidRPr="00F246A4">
                              <w:rPr>
                                <w:sz w:val="18"/>
                                <w:szCs w:val="20"/>
                              </w:rPr>
                              <w:t>periodic major review (every 10 years by the Productivity Commission) to assess whether the framework is achieving its intended outcomes and whether settings should be adjusted.</w:t>
                            </w:r>
                          </w:p>
                          <w:p w14:paraId="442B8068" w14:textId="77777777" w:rsidR="00232B3A" w:rsidRPr="00F246A4" w:rsidRDefault="00232B3A" w:rsidP="000F076A">
                            <w:pPr>
                              <w:rPr>
                                <w:b/>
                                <w:sz w:val="18"/>
                                <w:szCs w:val="20"/>
                              </w:rPr>
                            </w:pPr>
                            <w:r w:rsidRPr="00F246A4">
                              <w:rPr>
                                <w:b/>
                                <w:sz w:val="18"/>
                                <w:szCs w:val="20"/>
                              </w:rPr>
                              <w:t>Integration</w:t>
                            </w:r>
                          </w:p>
                          <w:p w14:paraId="53E9F5EA" w14:textId="77777777" w:rsidR="00232B3A" w:rsidRPr="00F246A4" w:rsidRDefault="00232B3A" w:rsidP="00115BD6">
                            <w:pPr>
                              <w:pStyle w:val="ListParagraph"/>
                              <w:numPr>
                                <w:ilvl w:val="0"/>
                                <w:numId w:val="133"/>
                              </w:numPr>
                              <w:rPr>
                                <w:sz w:val="18"/>
                                <w:szCs w:val="20"/>
                              </w:rPr>
                            </w:pPr>
                            <w:r w:rsidRPr="00F246A4">
                              <w:rPr>
                                <w:sz w:val="18"/>
                                <w:szCs w:val="20"/>
                              </w:rPr>
                              <w:t>monitoring and evaluation findings are used to inform planning, decision-making, program delivery and governance adjustments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5D289" id="_x0000_s1044" type="#_x0000_t202" alt="P1336TB10#y1" style="position:absolute;margin-left:0;margin-top:3pt;width:478.9pt;height:457.15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" fillcolor="#dceaf7 [351]" stroked="f">
                <v:shadow on="t" color="black" opacity="26214f" origin="-.5,-.5" offset=".74836mm,.74836mm"/>
                <v:textbox>
                  <w:txbxContent>
                    <w:p w14:paraId="6F45654B" w14:textId="77777777" w:rsidR="009F3C8D" w:rsidRDefault="009F3C8D" w:rsidP="00232B3A">
                      <w:pPr>
                        <w:rPr>
                          <w:b/>
                          <w:bCs/>
                          <w:sz w:val="18"/>
                          <w:szCs w:val="20"/>
                        </w:rPr>
                      </w:pPr>
                    </w:p>
                    <w:p w14:paraId="4A46F2A5" w14:textId="6E0C7730" w:rsidR="00232B3A" w:rsidRPr="00F246A4" w:rsidRDefault="00232B3A" w:rsidP="00232B3A">
                      <w:pPr>
                        <w:rPr>
                          <w:b/>
                          <w:sz w:val="18"/>
                          <w:szCs w:val="20"/>
                        </w:rPr>
                      </w:pPr>
                      <w:r w:rsidRPr="00F246A4">
                        <w:rPr>
                          <w:b/>
                          <w:sz w:val="18"/>
                          <w:szCs w:val="20"/>
                        </w:rPr>
                        <w:t>Proposed enhancement</w:t>
                      </w:r>
                    </w:p>
                    <w:p w14:paraId="1ED76DAC" w14:textId="77777777" w:rsidR="00232B3A" w:rsidRPr="00F246A4" w:rsidRDefault="00232B3A" w:rsidP="00232B3A">
                      <w:pPr>
                        <w:rPr>
                          <w:sz w:val="18"/>
                          <w:szCs w:val="20"/>
                        </w:rPr>
                      </w:pPr>
                      <w:r w:rsidRPr="00F246A4">
                        <w:rPr>
                          <w:sz w:val="18"/>
                          <w:szCs w:val="20"/>
                        </w:rPr>
                        <w:t>The Panel proposes a strengthened framework for monitoring, reporting and review that distinguishes between short-term performance reporting and long-term evaluation of system outcomes. This ensures that progress against objectives is clearly assessed and that the effectiveness of the framework can be reviewed over time.</w:t>
                      </w:r>
                    </w:p>
                    <w:p w14:paraId="49972F22" w14:textId="77777777" w:rsidR="00232B3A" w:rsidRPr="00F246A4" w:rsidRDefault="00232B3A" w:rsidP="00232B3A">
                      <w:pPr>
                        <w:rPr>
                          <w:b/>
                          <w:sz w:val="18"/>
                          <w:szCs w:val="20"/>
                        </w:rPr>
                      </w:pPr>
                      <w:r w:rsidRPr="00F246A4">
                        <w:rPr>
                          <w:b/>
                          <w:sz w:val="18"/>
                          <w:szCs w:val="20"/>
                        </w:rPr>
                        <w:t>Design approach</w:t>
                      </w:r>
                    </w:p>
                    <w:p w14:paraId="47F8086A" w14:textId="0AB40029" w:rsidR="00232B3A" w:rsidRPr="00F246A4" w:rsidRDefault="0003405C" w:rsidP="00232B3A">
                      <w:pPr>
                        <w:rPr>
                          <w:sz w:val="18"/>
                          <w:szCs w:val="20"/>
                        </w:rPr>
                      </w:pPr>
                      <w:r w:rsidRPr="00F246A4">
                        <w:rPr>
                          <w:sz w:val="18"/>
                          <w:szCs w:val="20"/>
                        </w:rPr>
                        <w:t>The Panel recommends t</w:t>
                      </w:r>
                      <w:r w:rsidR="00232B3A" w:rsidRPr="00F246A4">
                        <w:rPr>
                          <w:sz w:val="18"/>
                          <w:szCs w:val="20"/>
                        </w:rPr>
                        <w:t>his framework build on existing monitoring and evaluation capability, rather than creating new institutions. For example:</w:t>
                      </w:r>
                    </w:p>
                    <w:p w14:paraId="116794EA" w14:textId="77777777" w:rsidR="00232B3A" w:rsidRPr="00F246A4" w:rsidRDefault="00232B3A" w:rsidP="00115BD6">
                      <w:pPr>
                        <w:pStyle w:val="ListParagraph"/>
                        <w:numPr>
                          <w:ilvl w:val="0"/>
                          <w:numId w:val="131"/>
                        </w:numPr>
                        <w:rPr>
                          <w:sz w:val="18"/>
                          <w:szCs w:val="20"/>
                        </w:rPr>
                      </w:pPr>
                      <w:r w:rsidRPr="00F246A4">
                        <w:rPr>
                          <w:sz w:val="18"/>
                          <w:szCs w:val="20"/>
                        </w:rPr>
                        <w:t>annual performance monitoring and reporting would draw on existing data, modelling and reporting processes</w:t>
                      </w:r>
                    </w:p>
                    <w:p w14:paraId="4DC896A5" w14:textId="3676EB54" w:rsidR="00232B3A" w:rsidRPr="00F246A4" w:rsidRDefault="00232B3A" w:rsidP="00115BD6">
                      <w:pPr>
                        <w:pStyle w:val="ListParagraph"/>
                        <w:numPr>
                          <w:ilvl w:val="0"/>
                          <w:numId w:val="131"/>
                        </w:numPr>
                        <w:rPr>
                          <w:sz w:val="18"/>
                          <w:szCs w:val="20"/>
                        </w:rPr>
                      </w:pPr>
                      <w:r w:rsidRPr="00F246A4">
                        <w:rPr>
                          <w:sz w:val="18"/>
                          <w:szCs w:val="20"/>
                        </w:rPr>
                        <w:t>independent evaluation</w:t>
                      </w:r>
                      <w:r w:rsidRPr="00F246A4" w:rsidDel="0003405C">
                        <w:rPr>
                          <w:sz w:val="18"/>
                          <w:szCs w:val="20"/>
                        </w:rPr>
                        <w:t xml:space="preserve"> </w:t>
                      </w:r>
                      <w:r w:rsidRPr="00F246A4">
                        <w:rPr>
                          <w:sz w:val="18"/>
                          <w:szCs w:val="20"/>
                        </w:rPr>
                        <w:t>of environmental outcomes should draw on bodies such as the NSW Natural Resources Commission (NRC)</w:t>
                      </w:r>
                    </w:p>
                    <w:p w14:paraId="23481647" w14:textId="0B2EC578" w:rsidR="00232B3A" w:rsidRPr="00F246A4" w:rsidRDefault="00232B3A" w:rsidP="00115BD6">
                      <w:pPr>
                        <w:pStyle w:val="ListParagraph"/>
                        <w:numPr>
                          <w:ilvl w:val="0"/>
                          <w:numId w:val="131"/>
                        </w:numPr>
                        <w:rPr>
                          <w:sz w:val="18"/>
                          <w:szCs w:val="20"/>
                        </w:rPr>
                      </w:pPr>
                      <w:r w:rsidRPr="00F246A4">
                        <w:rPr>
                          <w:sz w:val="18"/>
                          <w:szCs w:val="20"/>
                        </w:rPr>
                        <w:t>periodic system review should be undertaken</w:t>
                      </w:r>
                      <w:r w:rsidR="00721513" w:rsidRPr="00F246A4">
                        <w:rPr>
                          <w:sz w:val="18"/>
                          <w:szCs w:val="20"/>
                        </w:rPr>
                        <w:t xml:space="preserve"> </w:t>
                      </w:r>
                      <w:r w:rsidRPr="00F246A4">
                        <w:rPr>
                          <w:sz w:val="18"/>
                          <w:szCs w:val="20"/>
                        </w:rPr>
                        <w:t>by the Productivity Commission, consistent with its role in reviewing intergovernmental frameworks.</w:t>
                      </w:r>
                    </w:p>
                    <w:p w14:paraId="1F8B6F92" w14:textId="77777777" w:rsidR="00232B3A" w:rsidRPr="00F246A4" w:rsidRDefault="00232B3A" w:rsidP="00115BD6">
                      <w:pPr>
                        <w:pStyle w:val="ListParagraph"/>
                        <w:numPr>
                          <w:ilvl w:val="0"/>
                          <w:numId w:val="131"/>
                        </w:numPr>
                        <w:rPr>
                          <w:sz w:val="18"/>
                          <w:szCs w:val="20"/>
                        </w:rPr>
                      </w:pPr>
                      <w:r w:rsidRPr="00F246A4">
                        <w:rPr>
                          <w:sz w:val="18"/>
                          <w:szCs w:val="20"/>
                        </w:rPr>
                        <w:t>These components would operate as a structured cycle linking performance information to decision-making and system improvement.</w:t>
                      </w:r>
                    </w:p>
                    <w:p w14:paraId="4343FC58" w14:textId="77777777" w:rsidR="00232B3A" w:rsidRPr="00F246A4" w:rsidRDefault="00232B3A" w:rsidP="00232B3A">
                      <w:pPr>
                        <w:rPr>
                          <w:b/>
                          <w:sz w:val="18"/>
                          <w:szCs w:val="20"/>
                        </w:rPr>
                      </w:pPr>
                      <w:r w:rsidRPr="00F246A4">
                        <w:rPr>
                          <w:b/>
                          <w:sz w:val="18"/>
                          <w:szCs w:val="20"/>
                        </w:rPr>
                        <w:t>Key elements</w:t>
                      </w:r>
                    </w:p>
                    <w:p w14:paraId="2234A0AD" w14:textId="77777777" w:rsidR="00232B3A" w:rsidRPr="00F246A4" w:rsidRDefault="00232B3A" w:rsidP="00232B3A">
                      <w:pPr>
                        <w:rPr>
                          <w:sz w:val="18"/>
                          <w:szCs w:val="20"/>
                        </w:rPr>
                      </w:pPr>
                      <w:r w:rsidRPr="00F246A4">
                        <w:rPr>
                          <w:sz w:val="18"/>
                          <w:szCs w:val="20"/>
                        </w:rPr>
                        <w:t>Performance reporting (short-term, annual)</w:t>
                      </w:r>
                    </w:p>
                    <w:p w14:paraId="5804C51E" w14:textId="77777777" w:rsidR="00232B3A" w:rsidRPr="00F246A4" w:rsidRDefault="00232B3A" w:rsidP="00115BD6">
                      <w:pPr>
                        <w:pStyle w:val="ListParagraph"/>
                        <w:numPr>
                          <w:ilvl w:val="0"/>
                          <w:numId w:val="132"/>
                        </w:numPr>
                        <w:ind w:left="709"/>
                        <w:rPr>
                          <w:sz w:val="18"/>
                          <w:szCs w:val="20"/>
                        </w:rPr>
                      </w:pPr>
                      <w:r w:rsidRPr="00F246A4">
                        <w:rPr>
                          <w:sz w:val="18"/>
                          <w:szCs w:val="20"/>
                        </w:rPr>
                        <w:t>reporting against defined objectives and performance indicators</w:t>
                      </w:r>
                    </w:p>
                    <w:p w14:paraId="4A0AF98C" w14:textId="77777777" w:rsidR="00232B3A" w:rsidRPr="00F246A4" w:rsidRDefault="00232B3A" w:rsidP="00115BD6">
                      <w:pPr>
                        <w:pStyle w:val="ListParagraph"/>
                        <w:numPr>
                          <w:ilvl w:val="0"/>
                          <w:numId w:val="132"/>
                        </w:numPr>
                        <w:ind w:left="709"/>
                        <w:rPr>
                          <w:sz w:val="18"/>
                          <w:szCs w:val="20"/>
                        </w:rPr>
                      </w:pPr>
                      <w:r w:rsidRPr="00F246A4">
                        <w:rPr>
                          <w:sz w:val="18"/>
                          <w:szCs w:val="20"/>
                        </w:rPr>
                        <w:t>publication of system performance and outcomes, including ecological condition and water delivery</w:t>
                      </w:r>
                    </w:p>
                    <w:p w14:paraId="22144E0C" w14:textId="77777777" w:rsidR="00232B3A" w:rsidRPr="00F246A4" w:rsidRDefault="00232B3A" w:rsidP="00115BD6">
                      <w:pPr>
                        <w:pStyle w:val="ListParagraph"/>
                        <w:numPr>
                          <w:ilvl w:val="0"/>
                          <w:numId w:val="132"/>
                        </w:numPr>
                        <w:ind w:left="709"/>
                        <w:rPr>
                          <w:sz w:val="18"/>
                          <w:szCs w:val="20"/>
                        </w:rPr>
                      </w:pPr>
                      <w:r w:rsidRPr="00F246A4">
                        <w:rPr>
                          <w:sz w:val="18"/>
                          <w:szCs w:val="20"/>
                        </w:rPr>
                        <w:t>transparency on how decisions and delivery contribute to system objectives.</w:t>
                      </w:r>
                    </w:p>
                    <w:p w14:paraId="0002E234" w14:textId="77777777" w:rsidR="00232B3A" w:rsidRPr="00F246A4" w:rsidRDefault="00232B3A" w:rsidP="00115BD6">
                      <w:pPr>
                        <w:pStyle w:val="ListParagraph"/>
                        <w:numPr>
                          <w:ilvl w:val="0"/>
                          <w:numId w:val="132"/>
                        </w:numPr>
                        <w:ind w:left="709"/>
                        <w:rPr>
                          <w:sz w:val="18"/>
                          <w:szCs w:val="20"/>
                        </w:rPr>
                      </w:pPr>
                      <w:r w:rsidRPr="00F246A4">
                        <w:rPr>
                          <w:sz w:val="18"/>
                          <w:szCs w:val="20"/>
                        </w:rPr>
                        <w:t>System evaluation (long-term, multi-year)</w:t>
                      </w:r>
                    </w:p>
                    <w:p w14:paraId="09AC8F14" w14:textId="77777777" w:rsidR="00232B3A" w:rsidRPr="00F246A4" w:rsidRDefault="00232B3A" w:rsidP="00115BD6">
                      <w:pPr>
                        <w:pStyle w:val="ListParagraph"/>
                        <w:numPr>
                          <w:ilvl w:val="0"/>
                          <w:numId w:val="132"/>
                        </w:numPr>
                        <w:ind w:left="709"/>
                        <w:rPr>
                          <w:sz w:val="18"/>
                          <w:szCs w:val="20"/>
                        </w:rPr>
                      </w:pPr>
                      <w:r w:rsidRPr="00F246A4">
                        <w:rPr>
                          <w:sz w:val="18"/>
                          <w:szCs w:val="20"/>
                        </w:rPr>
                        <w:t>assessment of progress against outcome-based objectives (e.g. river health, key indicator species condition)</w:t>
                      </w:r>
                    </w:p>
                    <w:p w14:paraId="3BF9AFDC" w14:textId="77777777" w:rsidR="00232B3A" w:rsidRPr="00F246A4" w:rsidRDefault="00232B3A" w:rsidP="00115BD6">
                      <w:pPr>
                        <w:pStyle w:val="ListParagraph"/>
                        <w:numPr>
                          <w:ilvl w:val="0"/>
                          <w:numId w:val="132"/>
                        </w:numPr>
                        <w:ind w:left="709"/>
                        <w:rPr>
                          <w:sz w:val="18"/>
                          <w:szCs w:val="20"/>
                        </w:rPr>
                      </w:pPr>
                      <w:r w:rsidRPr="00F246A4">
                        <w:rPr>
                          <w:sz w:val="18"/>
                          <w:szCs w:val="20"/>
                        </w:rPr>
                        <w:t>independent audit of system performance over time (every 5 years)</w:t>
                      </w:r>
                    </w:p>
                    <w:p w14:paraId="74DC5811" w14:textId="77777777" w:rsidR="00232B3A" w:rsidRPr="00F246A4" w:rsidRDefault="00232B3A" w:rsidP="00115BD6">
                      <w:pPr>
                        <w:pStyle w:val="ListParagraph"/>
                        <w:numPr>
                          <w:ilvl w:val="0"/>
                          <w:numId w:val="132"/>
                        </w:numPr>
                        <w:ind w:left="709"/>
                        <w:rPr>
                          <w:sz w:val="18"/>
                          <w:szCs w:val="20"/>
                        </w:rPr>
                      </w:pPr>
                      <w:r w:rsidRPr="00F246A4">
                        <w:rPr>
                          <w:sz w:val="18"/>
                          <w:szCs w:val="20"/>
                        </w:rPr>
                        <w:t>periodic major review (every 10 years by the Productivity Commission) to assess whether the framework is achieving its intended outcomes and whether settings should be adjusted.</w:t>
                      </w:r>
                    </w:p>
                    <w:p w14:paraId="442B8068" w14:textId="77777777" w:rsidR="00232B3A" w:rsidRPr="00F246A4" w:rsidRDefault="00232B3A" w:rsidP="000F076A">
                      <w:pPr>
                        <w:rPr>
                          <w:b/>
                          <w:sz w:val="18"/>
                          <w:szCs w:val="20"/>
                        </w:rPr>
                      </w:pPr>
                      <w:r w:rsidRPr="00F246A4">
                        <w:rPr>
                          <w:b/>
                          <w:sz w:val="18"/>
                          <w:szCs w:val="20"/>
                        </w:rPr>
                        <w:t>Integration</w:t>
                      </w:r>
                    </w:p>
                    <w:p w14:paraId="53E9F5EA" w14:textId="77777777" w:rsidR="00232B3A" w:rsidRPr="00F246A4" w:rsidRDefault="00232B3A" w:rsidP="00115BD6">
                      <w:pPr>
                        <w:pStyle w:val="ListParagraph"/>
                        <w:numPr>
                          <w:ilvl w:val="0"/>
                          <w:numId w:val="133"/>
                        </w:numPr>
                        <w:rPr>
                          <w:sz w:val="18"/>
                          <w:szCs w:val="20"/>
                        </w:rPr>
                      </w:pPr>
                      <w:r w:rsidRPr="00F246A4">
                        <w:rPr>
                          <w:sz w:val="18"/>
                          <w:szCs w:val="20"/>
                        </w:rPr>
                        <w:t>monitoring and evaluation findings are used to inform planning, decision-making, program delivery and governance adjustments over time.</w:t>
                      </w:r>
                    </w:p>
                  </w:txbxContent>
                </v:textbox>
                <w10:wrap type="square" anchorx="margin"/>
              </v:shape>
            </w:pict>
          </mc:Fallback>
        </mc:AlternateContent>
      </w:r>
      <w:r w:rsidR="00496CC0" w:rsidRPr="001C6762">
        <w:t>Compliance and enforcement (system assurance)</w:t>
      </w:r>
    </w:p>
    <w:p w14:paraId="5531FD60" w14:textId="0BC0E669" w:rsidR="00496CC0" w:rsidRPr="005E1382" w:rsidRDefault="00382EE8" w:rsidP="00496CC0">
      <w:r>
        <w:rPr>
          <w:rFonts w:ascii="ZWAdobeF" w:hAnsi="ZWAdobeF" w:cs="ZWAdobeF"/>
          <w:sz w:val="2"/>
          <w:szCs w:val="2"/>
        </w:rPr>
        <w:t>1030B</w:t>
      </w:r>
      <w:r w:rsidR="00496CC0" w:rsidRPr="005E1382">
        <w:t>Compliance and enforcement arrangements ensure that obligations are met and system requirements are adhered to</w:t>
      </w:r>
      <w:r w:rsidR="00D97B03">
        <w:t>:</w:t>
      </w:r>
    </w:p>
    <w:p w14:paraId="79D23033" w14:textId="6D37ABA6" w:rsidR="00496CC0" w:rsidRPr="005E1382" w:rsidRDefault="00382EE8" w:rsidP="002852C7">
      <w:pPr>
        <w:pStyle w:val="ListParagraph"/>
        <w:numPr>
          <w:ilvl w:val="0"/>
          <w:numId w:val="12"/>
        </w:numPr>
      </w:pPr>
      <w:r>
        <w:rPr>
          <w:rFonts w:ascii="ZWAdobeF" w:hAnsi="ZWAdobeF" w:cs="ZWAdobeF"/>
          <w:sz w:val="2"/>
          <w:szCs w:val="2"/>
        </w:rPr>
        <w:t>301B</w:t>
      </w:r>
      <w:r w:rsidR="00496CC0" w:rsidRPr="005E1382">
        <w:t>roles and obligations are clearly defined and enforceable</w:t>
      </w:r>
    </w:p>
    <w:p w14:paraId="0F901D0D" w14:textId="66E4A916" w:rsidR="00496CC0" w:rsidRPr="005E1382" w:rsidRDefault="00382EE8" w:rsidP="002852C7">
      <w:pPr>
        <w:pStyle w:val="ListParagraph"/>
        <w:numPr>
          <w:ilvl w:val="0"/>
          <w:numId w:val="12"/>
        </w:numPr>
      </w:pPr>
      <w:r>
        <w:rPr>
          <w:rFonts w:ascii="ZWAdobeF" w:hAnsi="ZWAdobeF" w:cs="ZWAdobeF"/>
          <w:sz w:val="2"/>
          <w:szCs w:val="2"/>
        </w:rPr>
        <w:t>302B</w:t>
      </w:r>
      <w:r w:rsidR="00496CC0" w:rsidRPr="005E1382">
        <w:t>compliance is monitored and assessed against agreed requirements</w:t>
      </w:r>
    </w:p>
    <w:p w14:paraId="26B72D67" w14:textId="196F88ED" w:rsidR="00496CC0" w:rsidRPr="005E1382" w:rsidRDefault="00382EE8" w:rsidP="002852C7">
      <w:pPr>
        <w:pStyle w:val="ListParagraph"/>
        <w:numPr>
          <w:ilvl w:val="0"/>
          <w:numId w:val="12"/>
        </w:numPr>
      </w:pPr>
      <w:r>
        <w:rPr>
          <w:rFonts w:ascii="ZWAdobeF" w:hAnsi="ZWAdobeF" w:cs="ZWAdobeF"/>
          <w:sz w:val="2"/>
          <w:szCs w:val="2"/>
        </w:rPr>
        <w:t>303B</w:t>
      </w:r>
      <w:r w:rsidR="00496CC0" w:rsidRPr="005E1382">
        <w:t>breaches are addressed through proportionate and transparent responses</w:t>
      </w:r>
    </w:p>
    <w:p w14:paraId="5C558C4D" w14:textId="40B5CC68" w:rsidR="00496CC0" w:rsidRDefault="00382EE8" w:rsidP="002852C7">
      <w:pPr>
        <w:pStyle w:val="ListParagraph"/>
        <w:numPr>
          <w:ilvl w:val="0"/>
          <w:numId w:val="12"/>
        </w:numPr>
      </w:pPr>
      <w:r>
        <w:rPr>
          <w:rFonts w:ascii="ZWAdobeF" w:hAnsi="ZWAdobeF" w:cs="ZWAdobeF"/>
          <w:sz w:val="2"/>
          <w:szCs w:val="2"/>
        </w:rPr>
        <w:t>304B</w:t>
      </w:r>
      <w:r w:rsidR="00496CC0" w:rsidRPr="005E1382">
        <w:t>accountability is supported through independent oversight and reporting</w:t>
      </w:r>
      <w:r w:rsidR="28C60C49">
        <w:t>.</w:t>
      </w:r>
    </w:p>
    <w:p w14:paraId="01D0758F" w14:textId="510291A8" w:rsidR="00A14DD1" w:rsidRDefault="003C72E2" w:rsidP="00A14DD1">
      <w:r>
        <w:rPr>
          <w:noProof/>
        </w:rPr>
        <w:lastRenderedPageBreak/>
        <mc:AlternateContent>
          <mc:Choice Requires="wps">
            <w:drawing>
              <wp:anchor distT="0" distB="0" distL="114300" distR="114300" simplePos="0" relativeHeight="251658260" behindDoc="0" locked="0" layoutInCell="1" allowOverlap="1" wp14:anchorId="74C79472" wp14:editId="7B218090">
                <wp:simplePos x="0" y="0"/>
                <wp:positionH relativeFrom="margin">
                  <wp:align>right</wp:align>
                </wp:positionH>
                <wp:positionV relativeFrom="paragraph">
                  <wp:posOffset>222427</wp:posOffset>
                </wp:positionV>
                <wp:extent cx="5899785" cy="166370"/>
                <wp:effectExtent l="0" t="0" r="5715" b="5080"/>
                <wp:wrapSquare wrapText="bothSides"/>
                <wp:docPr id="248115075" name="Text Box 1" descr="P1342TB21#y1"/>
                <wp:cNvGraphicFramePr/>
                <a:graphic xmlns:a="http://schemas.openxmlformats.org/drawingml/2006/main">
                  <a:graphicData uri="http://schemas.microsoft.com/office/word/2010/wordprocessingShape">
                    <wps:wsp>
                      <wps:cNvSpPr txBox="1"/>
                      <wps:spPr>
                        <a:xfrm>
                          <a:off x="0" y="0"/>
                          <a:ext cx="5899785" cy="166977"/>
                        </a:xfrm>
                        <a:prstGeom prst="rect">
                          <a:avLst/>
                        </a:prstGeom>
                        <a:solidFill>
                          <a:prstClr val="white"/>
                        </a:solidFill>
                        <a:ln>
                          <a:noFill/>
                        </a:ln>
                      </wps:spPr>
                      <wps:txbx>
                        <w:txbxContent>
                          <w:p w14:paraId="63337BB0" w14:textId="53E5271D" w:rsidR="003C72E2" w:rsidRPr="003C72E2" w:rsidRDefault="003C72E2" w:rsidP="003C72E2">
                            <w:pPr>
                              <w:pStyle w:val="Caption"/>
                              <w:shd w:val="clear" w:color="auto" w:fill="DAE9F7" w:themeFill="text2" w:themeFillTint="1A"/>
                              <w:rPr>
                                <w:b/>
                                <w:bCs/>
                                <w:noProof/>
                                <w:color w:val="auto"/>
                                <w:sz w:val="24"/>
                                <w:szCs w:val="20"/>
                              </w:rPr>
                            </w:pPr>
                            <w:r w:rsidRPr="003C72E2">
                              <w:rPr>
                                <w:b/>
                                <w:bCs/>
                                <w:color w:val="auto"/>
                                <w:sz w:val="20"/>
                                <w:szCs w:val="20"/>
                              </w:rPr>
                              <w:t xml:space="preserve">Box </w:t>
                            </w:r>
                            <w:r w:rsidRPr="003C72E2">
                              <w:rPr>
                                <w:b/>
                                <w:bCs/>
                                <w:color w:val="auto"/>
                                <w:sz w:val="20"/>
                                <w:szCs w:val="20"/>
                              </w:rPr>
                              <w:fldChar w:fldCharType="begin"/>
                            </w:r>
                            <w:r w:rsidRPr="003C72E2">
                              <w:rPr>
                                <w:b/>
                                <w:bCs/>
                                <w:color w:val="auto"/>
                                <w:sz w:val="20"/>
                                <w:szCs w:val="20"/>
                              </w:rPr>
                              <w:instrText xml:space="preserve"> SEQ Box \* ARABIC </w:instrText>
                            </w:r>
                            <w:r w:rsidRPr="003C72E2">
                              <w:rPr>
                                <w:b/>
                                <w:bCs/>
                                <w:color w:val="auto"/>
                                <w:sz w:val="20"/>
                                <w:szCs w:val="20"/>
                              </w:rPr>
                              <w:fldChar w:fldCharType="separate"/>
                            </w:r>
                            <w:r w:rsidR="0005178F">
                              <w:rPr>
                                <w:b/>
                                <w:bCs/>
                                <w:noProof/>
                                <w:color w:val="auto"/>
                                <w:sz w:val="20"/>
                                <w:szCs w:val="20"/>
                              </w:rPr>
                              <w:t>10</w:t>
                            </w:r>
                            <w:r w:rsidRPr="003C72E2">
                              <w:rPr>
                                <w:b/>
                                <w:bCs/>
                                <w:color w:val="auto"/>
                                <w:sz w:val="20"/>
                                <w:szCs w:val="20"/>
                              </w:rPr>
                              <w:fldChar w:fldCharType="end"/>
                            </w:r>
                            <w:r w:rsidRPr="003C72E2">
                              <w:rPr>
                                <w:b/>
                                <w:bCs/>
                                <w:color w:val="auto"/>
                                <w:sz w:val="20"/>
                                <w:szCs w:val="20"/>
                              </w:rPr>
                              <w:t>: Compliance and enforcement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9472" id="_x0000_s1045" type="#_x0000_t202" alt="P1342TB21#y1" style="position:absolute;left:0;text-align:left;margin-left:413.35pt;margin-top:17.5pt;width:464.55pt;height:13.1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" stroked="f">
                <v:textbox inset="0,0,0,0">
                  <w:txbxContent>
                    <w:p w14:paraId="63337BB0" w14:textId="53E5271D" w:rsidR="003C72E2" w:rsidRPr="003C72E2" w:rsidRDefault="003C72E2" w:rsidP="003C72E2">
                      <w:pPr>
                        <w:pStyle w:val="Caption"/>
                        <w:shd w:val="clear" w:color="auto" w:fill="DAE9F7" w:themeFill="text2" w:themeFillTint="1A"/>
                        <w:rPr>
                          <w:b/>
                          <w:bCs/>
                          <w:noProof/>
                          <w:color w:val="auto"/>
                          <w:sz w:val="24"/>
                          <w:szCs w:val="20"/>
                        </w:rPr>
                      </w:pPr>
                      <w:r w:rsidRPr="003C72E2">
                        <w:rPr>
                          <w:b/>
                          <w:bCs/>
                          <w:color w:val="auto"/>
                          <w:sz w:val="20"/>
                          <w:szCs w:val="20"/>
                        </w:rPr>
                        <w:t xml:space="preserve">Box </w:t>
                      </w:r>
                      <w:r w:rsidRPr="003C72E2">
                        <w:rPr>
                          <w:b/>
                          <w:bCs/>
                          <w:color w:val="auto"/>
                          <w:sz w:val="20"/>
                          <w:szCs w:val="20"/>
                        </w:rPr>
                        <w:fldChar w:fldCharType="begin"/>
                      </w:r>
                      <w:r w:rsidRPr="003C72E2">
                        <w:rPr>
                          <w:b/>
                          <w:bCs/>
                          <w:color w:val="auto"/>
                          <w:sz w:val="20"/>
                          <w:szCs w:val="20"/>
                        </w:rPr>
                        <w:instrText xml:space="preserve"> SEQ Box \* ARABIC </w:instrText>
                      </w:r>
                      <w:r w:rsidRPr="003C72E2">
                        <w:rPr>
                          <w:b/>
                          <w:bCs/>
                          <w:color w:val="auto"/>
                          <w:sz w:val="20"/>
                          <w:szCs w:val="20"/>
                        </w:rPr>
                        <w:fldChar w:fldCharType="separate"/>
                      </w:r>
                      <w:r w:rsidR="0005178F">
                        <w:rPr>
                          <w:b/>
                          <w:bCs/>
                          <w:noProof/>
                          <w:color w:val="auto"/>
                          <w:sz w:val="20"/>
                          <w:szCs w:val="20"/>
                        </w:rPr>
                        <w:t>10</w:t>
                      </w:r>
                      <w:r w:rsidRPr="003C72E2">
                        <w:rPr>
                          <w:b/>
                          <w:bCs/>
                          <w:color w:val="auto"/>
                          <w:sz w:val="20"/>
                          <w:szCs w:val="20"/>
                        </w:rPr>
                        <w:fldChar w:fldCharType="end"/>
                      </w:r>
                      <w:r w:rsidRPr="003C72E2">
                        <w:rPr>
                          <w:b/>
                          <w:bCs/>
                          <w:color w:val="auto"/>
                          <w:sz w:val="20"/>
                          <w:szCs w:val="20"/>
                        </w:rPr>
                        <w:t>: Compliance and enforcement framework</w:t>
                      </w:r>
                    </w:p>
                  </w:txbxContent>
                </v:textbox>
                <w10:wrap type="square" anchorx="margin"/>
              </v:shape>
            </w:pict>
          </mc:Fallback>
        </mc:AlternateContent>
      </w:r>
      <w:r w:rsidR="003547D6">
        <w:rPr>
          <w:noProof/>
        </w:rPr>
        <mc:AlternateContent>
          <mc:Choice Requires="wps">
            <w:drawing>
              <wp:anchor distT="45720" distB="45720" distL="114300" distR="114300" simplePos="0" relativeHeight="251658250" behindDoc="0" locked="0" layoutInCell="1" allowOverlap="1" wp14:anchorId="6A9AB13F" wp14:editId="321F2A1F">
                <wp:simplePos x="0" y="0"/>
                <wp:positionH relativeFrom="margin">
                  <wp:align>center</wp:align>
                </wp:positionH>
                <wp:positionV relativeFrom="paragraph">
                  <wp:posOffset>118275</wp:posOffset>
                </wp:positionV>
                <wp:extent cx="6082030" cy="4334510"/>
                <wp:effectExtent l="38100" t="38100" r="90170" b="104140"/>
                <wp:wrapSquare wrapText="bothSides"/>
                <wp:docPr id="338565587" name="Text Box 2" descr="P1342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4335117"/>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35E253EC" w14:textId="77777777" w:rsidR="00C47457" w:rsidRDefault="00C47457" w:rsidP="003547D6">
                            <w:pPr>
                              <w:rPr>
                                <w:b/>
                                <w:sz w:val="18"/>
                                <w:szCs w:val="20"/>
                              </w:rPr>
                            </w:pPr>
                          </w:p>
                          <w:p w14:paraId="7FFA9833" w14:textId="77777777" w:rsidR="003547D6" w:rsidRPr="00F246A4" w:rsidRDefault="003547D6" w:rsidP="003547D6">
                            <w:pPr>
                              <w:rPr>
                                <w:b/>
                                <w:sz w:val="18"/>
                                <w:szCs w:val="20"/>
                              </w:rPr>
                            </w:pPr>
                            <w:r w:rsidRPr="00F246A4">
                              <w:rPr>
                                <w:b/>
                                <w:sz w:val="18"/>
                                <w:szCs w:val="20"/>
                              </w:rPr>
                              <w:t>Proposed enhancement</w:t>
                            </w:r>
                          </w:p>
                          <w:p w14:paraId="4BADD430" w14:textId="77777777" w:rsidR="003547D6" w:rsidRPr="00F246A4" w:rsidRDefault="003547D6" w:rsidP="003547D6">
                            <w:pPr>
                              <w:rPr>
                                <w:sz w:val="18"/>
                                <w:szCs w:val="20"/>
                              </w:rPr>
                            </w:pPr>
                            <w:r w:rsidRPr="00F246A4">
                              <w:rPr>
                                <w:sz w:val="18"/>
                                <w:szCs w:val="20"/>
                              </w:rPr>
                              <w:t xml:space="preserve">The Panel proposes strengthening compliance and enforcement arrangements to ensure that agreed operational settings, release parameters and obligations are delivered in practice. This provides assurance that the system is operating as intended and its relationship to delivering outcomes is understood. </w:t>
                            </w:r>
                          </w:p>
                          <w:p w14:paraId="5879A308" w14:textId="77777777" w:rsidR="003547D6" w:rsidRPr="00F246A4" w:rsidRDefault="003547D6" w:rsidP="003547D6">
                            <w:pPr>
                              <w:rPr>
                                <w:b/>
                                <w:sz w:val="18"/>
                                <w:szCs w:val="20"/>
                              </w:rPr>
                            </w:pPr>
                            <w:r w:rsidRPr="00F246A4">
                              <w:rPr>
                                <w:b/>
                                <w:sz w:val="18"/>
                                <w:szCs w:val="20"/>
                              </w:rPr>
                              <w:t>Design approach</w:t>
                            </w:r>
                          </w:p>
                          <w:p w14:paraId="4D705607" w14:textId="075A7E79" w:rsidR="003547D6" w:rsidRPr="00F246A4" w:rsidRDefault="0003405C" w:rsidP="003547D6">
                            <w:pPr>
                              <w:rPr>
                                <w:sz w:val="18"/>
                                <w:szCs w:val="20"/>
                              </w:rPr>
                            </w:pPr>
                            <w:r w:rsidRPr="00F246A4">
                              <w:rPr>
                                <w:sz w:val="18"/>
                                <w:szCs w:val="20"/>
                              </w:rPr>
                              <w:t xml:space="preserve">The Panel recommends this </w:t>
                            </w:r>
                            <w:r w:rsidR="003547D6" w:rsidRPr="00F246A4">
                              <w:rPr>
                                <w:sz w:val="18"/>
                                <w:szCs w:val="20"/>
                              </w:rPr>
                              <w:t>could be delivered through existing regulatory frameworks and agencies, rather than creating new enforcement bodies. For example, compliance monitoring and enforcement could be undertaken by regulators such as the Natural Resources Access Regulator (NRAR), which already performs similar functions in relation to water management.</w:t>
                            </w:r>
                          </w:p>
                          <w:p w14:paraId="69A12880" w14:textId="77777777" w:rsidR="003547D6" w:rsidRPr="00F246A4" w:rsidRDefault="003547D6" w:rsidP="003547D6">
                            <w:pPr>
                              <w:rPr>
                                <w:sz w:val="18"/>
                                <w:szCs w:val="20"/>
                              </w:rPr>
                            </w:pPr>
                            <w:r w:rsidRPr="00F246A4">
                              <w:rPr>
                                <w:sz w:val="18"/>
                                <w:szCs w:val="20"/>
                              </w:rPr>
                              <w:t>These arrangements focus on the short-term operational timeframe, operating alongside (but distinct from) longer-term monitoring and review processes.</w:t>
                            </w:r>
                          </w:p>
                          <w:p w14:paraId="7D7537CD" w14:textId="77777777" w:rsidR="003547D6" w:rsidRPr="00F246A4" w:rsidRDefault="003547D6" w:rsidP="003547D6">
                            <w:pPr>
                              <w:rPr>
                                <w:b/>
                                <w:sz w:val="18"/>
                                <w:szCs w:val="20"/>
                              </w:rPr>
                            </w:pPr>
                            <w:r w:rsidRPr="00F246A4">
                              <w:rPr>
                                <w:b/>
                                <w:sz w:val="18"/>
                                <w:szCs w:val="20"/>
                              </w:rPr>
                              <w:t>Key elements</w:t>
                            </w:r>
                          </w:p>
                          <w:p w14:paraId="14EABCAB" w14:textId="77777777" w:rsidR="003547D6" w:rsidRPr="00F246A4" w:rsidRDefault="003547D6" w:rsidP="00115BD6">
                            <w:pPr>
                              <w:pStyle w:val="ListParagraph"/>
                              <w:numPr>
                                <w:ilvl w:val="0"/>
                                <w:numId w:val="134"/>
                              </w:numPr>
                              <w:rPr>
                                <w:sz w:val="18"/>
                                <w:szCs w:val="20"/>
                              </w:rPr>
                            </w:pPr>
                            <w:r w:rsidRPr="00F246A4">
                              <w:rPr>
                                <w:sz w:val="18"/>
                                <w:szCs w:val="20"/>
                              </w:rPr>
                              <w:t>compliance with defined operational ‘envelopes’, including release rules, licence conditions and operational settings</w:t>
                            </w:r>
                          </w:p>
                          <w:p w14:paraId="0C54B614" w14:textId="77777777" w:rsidR="003547D6" w:rsidRPr="00F246A4" w:rsidRDefault="003547D6" w:rsidP="00115BD6">
                            <w:pPr>
                              <w:pStyle w:val="ListParagraph"/>
                              <w:numPr>
                                <w:ilvl w:val="0"/>
                                <w:numId w:val="134"/>
                              </w:numPr>
                              <w:rPr>
                                <w:sz w:val="18"/>
                                <w:szCs w:val="20"/>
                              </w:rPr>
                            </w:pPr>
                            <w:r w:rsidRPr="00F246A4">
                              <w:rPr>
                                <w:sz w:val="18"/>
                                <w:szCs w:val="20"/>
                              </w:rPr>
                              <w:t>ongoing monitoring of delivery against agreed requirements (within-year / near real-time where required)</w:t>
                            </w:r>
                          </w:p>
                          <w:p w14:paraId="28D9DB75" w14:textId="77777777" w:rsidR="003547D6" w:rsidRPr="00F246A4" w:rsidRDefault="003547D6" w:rsidP="00115BD6">
                            <w:pPr>
                              <w:pStyle w:val="ListParagraph"/>
                              <w:numPr>
                                <w:ilvl w:val="0"/>
                                <w:numId w:val="134"/>
                              </w:numPr>
                              <w:rPr>
                                <w:sz w:val="18"/>
                                <w:szCs w:val="20"/>
                              </w:rPr>
                            </w:pPr>
                            <w:r w:rsidRPr="00F246A4">
                              <w:rPr>
                                <w:sz w:val="18"/>
                                <w:szCs w:val="20"/>
                              </w:rPr>
                              <w:t>independent compliance assessment and enforcement, including investigation and response to non-compliance</w:t>
                            </w:r>
                          </w:p>
                          <w:p w14:paraId="48C4E834" w14:textId="77777777" w:rsidR="003547D6" w:rsidRPr="00F246A4" w:rsidRDefault="003547D6" w:rsidP="00115BD6">
                            <w:pPr>
                              <w:pStyle w:val="ListParagraph"/>
                              <w:numPr>
                                <w:ilvl w:val="0"/>
                                <w:numId w:val="134"/>
                              </w:numPr>
                              <w:rPr>
                                <w:sz w:val="18"/>
                                <w:szCs w:val="20"/>
                              </w:rPr>
                            </w:pPr>
                            <w:r w:rsidRPr="00F246A4">
                              <w:rPr>
                                <w:sz w:val="18"/>
                                <w:szCs w:val="20"/>
                              </w:rPr>
                              <w:t>clear escalation pathways, including referral to dispute resolution mechanisms where required</w:t>
                            </w:r>
                          </w:p>
                          <w:p w14:paraId="44498CC3" w14:textId="77777777" w:rsidR="009B1305" w:rsidRPr="00F246A4" w:rsidRDefault="003547D6" w:rsidP="00115BD6">
                            <w:pPr>
                              <w:pStyle w:val="ListParagraph"/>
                              <w:numPr>
                                <w:ilvl w:val="0"/>
                                <w:numId w:val="134"/>
                              </w:numPr>
                              <w:rPr>
                                <w:sz w:val="18"/>
                                <w:szCs w:val="20"/>
                              </w:rPr>
                            </w:pPr>
                            <w:r w:rsidRPr="00F246A4">
                              <w:rPr>
                                <w:sz w:val="18"/>
                                <w:szCs w:val="20"/>
                              </w:rPr>
                              <w:t>transparent reporting of compliance outcomes, supporting accountability and confidence</w:t>
                            </w:r>
                          </w:p>
                          <w:p w14:paraId="3FA8FD1A" w14:textId="47AC9E81" w:rsidR="003547D6" w:rsidRPr="00F246A4" w:rsidRDefault="003547D6" w:rsidP="00115BD6">
                            <w:pPr>
                              <w:pStyle w:val="ListParagraph"/>
                              <w:numPr>
                                <w:ilvl w:val="0"/>
                                <w:numId w:val="134"/>
                              </w:numPr>
                              <w:rPr>
                                <w:sz w:val="18"/>
                                <w:szCs w:val="20"/>
                              </w:rPr>
                            </w:pPr>
                            <w:r w:rsidRPr="00F246A4">
                              <w:rPr>
                                <w:sz w:val="18"/>
                                <w:szCs w:val="20"/>
                              </w:rPr>
                              <w:t>delivery and governance adjustments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AB13F" id="_x0000_s1046" type="#_x0000_t202" alt="P1342TB11#y1" style="position:absolute;left:0;text-align:left;margin-left:0;margin-top:9.3pt;width:478.9pt;height:341.3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" fillcolor="#dceaf7 [351]" stroked="f">
                <v:shadow on="t" color="black" opacity="26214f" origin="-.5,-.5" offset=".74836mm,.74836mm"/>
                <v:textbox>
                  <w:txbxContent>
                    <w:p w14:paraId="35E253EC" w14:textId="77777777" w:rsidR="00C47457" w:rsidRDefault="00C47457" w:rsidP="003547D6">
                      <w:pPr>
                        <w:rPr>
                          <w:b/>
                          <w:sz w:val="18"/>
                          <w:szCs w:val="20"/>
                        </w:rPr>
                      </w:pPr>
                    </w:p>
                    <w:p w14:paraId="7FFA9833" w14:textId="77777777" w:rsidR="003547D6" w:rsidRPr="00F246A4" w:rsidRDefault="003547D6" w:rsidP="003547D6">
                      <w:pPr>
                        <w:rPr>
                          <w:b/>
                          <w:sz w:val="18"/>
                          <w:szCs w:val="20"/>
                        </w:rPr>
                      </w:pPr>
                      <w:r w:rsidRPr="00F246A4">
                        <w:rPr>
                          <w:b/>
                          <w:sz w:val="18"/>
                          <w:szCs w:val="20"/>
                        </w:rPr>
                        <w:t>Proposed enhancement</w:t>
                      </w:r>
                    </w:p>
                    <w:p w14:paraId="4BADD430" w14:textId="77777777" w:rsidR="003547D6" w:rsidRPr="00F246A4" w:rsidRDefault="003547D6" w:rsidP="003547D6">
                      <w:pPr>
                        <w:rPr>
                          <w:sz w:val="18"/>
                          <w:szCs w:val="20"/>
                        </w:rPr>
                      </w:pPr>
                      <w:r w:rsidRPr="00F246A4">
                        <w:rPr>
                          <w:sz w:val="18"/>
                          <w:szCs w:val="20"/>
                        </w:rPr>
                        <w:t xml:space="preserve">The Panel proposes strengthening compliance and enforcement arrangements to ensure that agreed operational settings, release parameters and obligations are delivered in practice. This provides assurance that the system is operating as intended and its relationship to delivering outcomes is understood. </w:t>
                      </w:r>
                    </w:p>
                    <w:p w14:paraId="5879A308" w14:textId="77777777" w:rsidR="003547D6" w:rsidRPr="00F246A4" w:rsidRDefault="003547D6" w:rsidP="003547D6">
                      <w:pPr>
                        <w:rPr>
                          <w:b/>
                          <w:sz w:val="18"/>
                          <w:szCs w:val="20"/>
                        </w:rPr>
                      </w:pPr>
                      <w:r w:rsidRPr="00F246A4">
                        <w:rPr>
                          <w:b/>
                          <w:sz w:val="18"/>
                          <w:szCs w:val="20"/>
                        </w:rPr>
                        <w:t>Design approach</w:t>
                      </w:r>
                    </w:p>
                    <w:p w14:paraId="4D705607" w14:textId="075A7E79" w:rsidR="003547D6" w:rsidRPr="00F246A4" w:rsidRDefault="0003405C" w:rsidP="003547D6">
                      <w:pPr>
                        <w:rPr>
                          <w:sz w:val="18"/>
                          <w:szCs w:val="20"/>
                        </w:rPr>
                      </w:pPr>
                      <w:r w:rsidRPr="00F246A4">
                        <w:rPr>
                          <w:sz w:val="18"/>
                          <w:szCs w:val="20"/>
                        </w:rPr>
                        <w:t xml:space="preserve">The Panel recommends this </w:t>
                      </w:r>
                      <w:r w:rsidR="003547D6" w:rsidRPr="00F246A4">
                        <w:rPr>
                          <w:sz w:val="18"/>
                          <w:szCs w:val="20"/>
                        </w:rPr>
                        <w:t>could be delivered through existing regulatory frameworks and agencies, rather than creating new enforcement bodies. For example, compliance monitoring and enforcement could be undertaken by regulators such as the Natural Resources Access Regulator (NRAR), which already performs similar functions in relation to water management.</w:t>
                      </w:r>
                    </w:p>
                    <w:p w14:paraId="69A12880" w14:textId="77777777" w:rsidR="003547D6" w:rsidRPr="00F246A4" w:rsidRDefault="003547D6" w:rsidP="003547D6">
                      <w:pPr>
                        <w:rPr>
                          <w:sz w:val="18"/>
                          <w:szCs w:val="20"/>
                        </w:rPr>
                      </w:pPr>
                      <w:r w:rsidRPr="00F246A4">
                        <w:rPr>
                          <w:sz w:val="18"/>
                          <w:szCs w:val="20"/>
                        </w:rPr>
                        <w:t>These arrangements focus on the short-term operational timeframe, operating alongside (but distinct from) longer-term monitoring and review processes.</w:t>
                      </w:r>
                    </w:p>
                    <w:p w14:paraId="7D7537CD" w14:textId="77777777" w:rsidR="003547D6" w:rsidRPr="00F246A4" w:rsidRDefault="003547D6" w:rsidP="003547D6">
                      <w:pPr>
                        <w:rPr>
                          <w:b/>
                          <w:sz w:val="18"/>
                          <w:szCs w:val="20"/>
                        </w:rPr>
                      </w:pPr>
                      <w:r w:rsidRPr="00F246A4">
                        <w:rPr>
                          <w:b/>
                          <w:sz w:val="18"/>
                          <w:szCs w:val="20"/>
                        </w:rPr>
                        <w:t>Key elements</w:t>
                      </w:r>
                    </w:p>
                    <w:p w14:paraId="14EABCAB" w14:textId="77777777" w:rsidR="003547D6" w:rsidRPr="00F246A4" w:rsidRDefault="003547D6" w:rsidP="00115BD6">
                      <w:pPr>
                        <w:pStyle w:val="ListParagraph"/>
                        <w:numPr>
                          <w:ilvl w:val="0"/>
                          <w:numId w:val="134"/>
                        </w:numPr>
                        <w:rPr>
                          <w:sz w:val="18"/>
                          <w:szCs w:val="20"/>
                        </w:rPr>
                      </w:pPr>
                      <w:r w:rsidRPr="00F246A4">
                        <w:rPr>
                          <w:sz w:val="18"/>
                          <w:szCs w:val="20"/>
                        </w:rPr>
                        <w:t>compliance with defined operational ‘envelopes’, including release rules, licence conditions and operational settings</w:t>
                      </w:r>
                    </w:p>
                    <w:p w14:paraId="0C54B614" w14:textId="77777777" w:rsidR="003547D6" w:rsidRPr="00F246A4" w:rsidRDefault="003547D6" w:rsidP="00115BD6">
                      <w:pPr>
                        <w:pStyle w:val="ListParagraph"/>
                        <w:numPr>
                          <w:ilvl w:val="0"/>
                          <w:numId w:val="134"/>
                        </w:numPr>
                        <w:rPr>
                          <w:sz w:val="18"/>
                          <w:szCs w:val="20"/>
                        </w:rPr>
                      </w:pPr>
                      <w:r w:rsidRPr="00F246A4">
                        <w:rPr>
                          <w:sz w:val="18"/>
                          <w:szCs w:val="20"/>
                        </w:rPr>
                        <w:t>ongoing monitoring of delivery against agreed requirements (within-year / near real-time where required)</w:t>
                      </w:r>
                    </w:p>
                    <w:p w14:paraId="28D9DB75" w14:textId="77777777" w:rsidR="003547D6" w:rsidRPr="00F246A4" w:rsidRDefault="003547D6" w:rsidP="00115BD6">
                      <w:pPr>
                        <w:pStyle w:val="ListParagraph"/>
                        <w:numPr>
                          <w:ilvl w:val="0"/>
                          <w:numId w:val="134"/>
                        </w:numPr>
                        <w:rPr>
                          <w:sz w:val="18"/>
                          <w:szCs w:val="20"/>
                        </w:rPr>
                      </w:pPr>
                      <w:r w:rsidRPr="00F246A4">
                        <w:rPr>
                          <w:sz w:val="18"/>
                          <w:szCs w:val="20"/>
                        </w:rPr>
                        <w:t>independent compliance assessment and enforcement, including investigation and response to non-compliance</w:t>
                      </w:r>
                    </w:p>
                    <w:p w14:paraId="48C4E834" w14:textId="77777777" w:rsidR="003547D6" w:rsidRPr="00F246A4" w:rsidRDefault="003547D6" w:rsidP="00115BD6">
                      <w:pPr>
                        <w:pStyle w:val="ListParagraph"/>
                        <w:numPr>
                          <w:ilvl w:val="0"/>
                          <w:numId w:val="134"/>
                        </w:numPr>
                        <w:rPr>
                          <w:sz w:val="18"/>
                          <w:szCs w:val="20"/>
                        </w:rPr>
                      </w:pPr>
                      <w:r w:rsidRPr="00F246A4">
                        <w:rPr>
                          <w:sz w:val="18"/>
                          <w:szCs w:val="20"/>
                        </w:rPr>
                        <w:t>clear escalation pathways, including referral to dispute resolution mechanisms where required</w:t>
                      </w:r>
                    </w:p>
                    <w:p w14:paraId="44498CC3" w14:textId="77777777" w:rsidR="009B1305" w:rsidRPr="00F246A4" w:rsidRDefault="003547D6" w:rsidP="00115BD6">
                      <w:pPr>
                        <w:pStyle w:val="ListParagraph"/>
                        <w:numPr>
                          <w:ilvl w:val="0"/>
                          <w:numId w:val="134"/>
                        </w:numPr>
                        <w:rPr>
                          <w:sz w:val="18"/>
                          <w:szCs w:val="20"/>
                        </w:rPr>
                      </w:pPr>
                      <w:r w:rsidRPr="00F246A4">
                        <w:rPr>
                          <w:sz w:val="18"/>
                          <w:szCs w:val="20"/>
                        </w:rPr>
                        <w:t>transparent reporting of compliance outcomes, supporting accountability and confidence</w:t>
                      </w:r>
                    </w:p>
                    <w:p w14:paraId="3FA8FD1A" w14:textId="47AC9E81" w:rsidR="003547D6" w:rsidRPr="00F246A4" w:rsidRDefault="003547D6" w:rsidP="00115BD6">
                      <w:pPr>
                        <w:pStyle w:val="ListParagraph"/>
                        <w:numPr>
                          <w:ilvl w:val="0"/>
                          <w:numId w:val="134"/>
                        </w:numPr>
                        <w:rPr>
                          <w:sz w:val="18"/>
                          <w:szCs w:val="20"/>
                        </w:rPr>
                      </w:pPr>
                      <w:r w:rsidRPr="00F246A4">
                        <w:rPr>
                          <w:sz w:val="18"/>
                          <w:szCs w:val="20"/>
                        </w:rPr>
                        <w:t>delivery and governance adjustments over time.</w:t>
                      </w:r>
                    </w:p>
                  </w:txbxContent>
                </v:textbox>
                <w10:wrap type="square" anchorx="margin"/>
              </v:shape>
            </w:pict>
          </mc:Fallback>
        </mc:AlternateContent>
      </w:r>
    </w:p>
    <w:p w14:paraId="3F938A99" w14:textId="25399213" w:rsidR="00AA272B" w:rsidRDefault="001F716D" w:rsidP="001F716D">
      <w:pPr>
        <w:pStyle w:val="ReviewHeading3"/>
      </w:pPr>
      <w:r>
        <w:t>An integrated governance system</w:t>
      </w:r>
    </w:p>
    <w:p w14:paraId="6348F6F7" w14:textId="78431627" w:rsidR="0082419E" w:rsidRPr="007B30AE" w:rsidRDefault="00382EE8" w:rsidP="0082419E">
      <w:r>
        <w:rPr>
          <w:rFonts w:ascii="ZWAdobeF" w:hAnsi="ZWAdobeF" w:cs="ZWAdobeF"/>
          <w:sz w:val="2"/>
          <w:szCs w:val="2"/>
        </w:rPr>
        <w:t>1031B</w:t>
      </w:r>
      <w:r w:rsidR="0082419E" w:rsidRPr="007B30AE">
        <w:t>The governance framework is designed to operate as an integrated system linking objectives, decision-making, delivery, performance assessment and compliance</w:t>
      </w:r>
      <w:r w:rsidR="62F74A83">
        <w:t>.</w:t>
      </w:r>
      <w:r w:rsidR="5C69BF6D">
        <w:t xml:space="preserve"> These linkages provide a ’closed loop’ go</w:t>
      </w:r>
      <w:r w:rsidR="6EBE2AA3">
        <w:t>vernance system.</w:t>
      </w:r>
    </w:p>
    <w:p w14:paraId="01373F2C" w14:textId="013C101F" w:rsidR="0082419E" w:rsidRPr="007B30AE" w:rsidRDefault="00382EE8" w:rsidP="0082419E">
      <w:r>
        <w:rPr>
          <w:rFonts w:ascii="ZWAdobeF" w:hAnsi="ZWAdobeF" w:cs="ZWAdobeF"/>
          <w:sz w:val="2"/>
          <w:szCs w:val="2"/>
        </w:rPr>
        <w:t>1032B</w:t>
      </w:r>
      <w:r w:rsidR="0082419E" w:rsidRPr="007B30AE">
        <w:t>At its core, the framework establishes a clear line of sight between:</w:t>
      </w:r>
    </w:p>
    <w:p w14:paraId="3F7F1B81" w14:textId="2EAB6B31" w:rsidR="0082419E" w:rsidRPr="007B30AE" w:rsidRDefault="00382EE8" w:rsidP="00115BD6">
      <w:pPr>
        <w:pStyle w:val="ListParagraph"/>
        <w:numPr>
          <w:ilvl w:val="0"/>
          <w:numId w:val="14"/>
        </w:numPr>
      </w:pPr>
      <w:r>
        <w:rPr>
          <w:rFonts w:ascii="ZWAdobeF" w:hAnsi="ZWAdobeF" w:cs="ZWAdobeF"/>
          <w:sz w:val="2"/>
          <w:szCs w:val="2"/>
        </w:rPr>
        <w:t>305B</w:t>
      </w:r>
      <w:r w:rsidR="0082419E" w:rsidRPr="007B30AE">
        <w:t xml:space="preserve">objectives and performance expectations, set through the </w:t>
      </w:r>
      <w:r w:rsidR="00205472">
        <w:t>new Deed</w:t>
      </w:r>
    </w:p>
    <w:p w14:paraId="0A4EF743" w14:textId="1B0BCC5A" w:rsidR="0082419E" w:rsidRPr="007B30AE" w:rsidRDefault="00382EE8" w:rsidP="00115BD6">
      <w:pPr>
        <w:pStyle w:val="ListParagraph"/>
        <w:numPr>
          <w:ilvl w:val="0"/>
          <w:numId w:val="14"/>
        </w:numPr>
      </w:pPr>
      <w:r>
        <w:rPr>
          <w:rFonts w:ascii="ZWAdobeF" w:hAnsi="ZWAdobeF" w:cs="ZWAdobeF"/>
          <w:sz w:val="2"/>
          <w:szCs w:val="2"/>
        </w:rPr>
        <w:t>306B</w:t>
      </w:r>
      <w:r w:rsidR="0082419E" w:rsidRPr="007B30AE">
        <w:t>decision-making processes, including the structured assessment of trade-offs</w:t>
      </w:r>
    </w:p>
    <w:p w14:paraId="12708AA7" w14:textId="374988A4" w:rsidR="0082419E" w:rsidRPr="007B30AE" w:rsidRDefault="00382EE8" w:rsidP="00115BD6">
      <w:pPr>
        <w:pStyle w:val="ListParagraph"/>
        <w:numPr>
          <w:ilvl w:val="0"/>
          <w:numId w:val="14"/>
        </w:numPr>
      </w:pPr>
      <w:r>
        <w:rPr>
          <w:rFonts w:ascii="ZWAdobeF" w:hAnsi="ZWAdobeF" w:cs="ZWAdobeF"/>
          <w:sz w:val="2"/>
          <w:szCs w:val="2"/>
        </w:rPr>
        <w:t>307B</w:t>
      </w:r>
      <w:r w:rsidR="0082419E" w:rsidRPr="007B30AE">
        <w:t>operational delivery, including more active and adaptive management of environmental water</w:t>
      </w:r>
    </w:p>
    <w:p w14:paraId="0283DCD2" w14:textId="5C2FF7FD" w:rsidR="0082419E" w:rsidRPr="007B30AE" w:rsidRDefault="00382EE8" w:rsidP="00115BD6">
      <w:pPr>
        <w:pStyle w:val="ListParagraph"/>
        <w:numPr>
          <w:ilvl w:val="0"/>
          <w:numId w:val="14"/>
        </w:numPr>
      </w:pPr>
      <w:r>
        <w:rPr>
          <w:rFonts w:ascii="ZWAdobeF" w:hAnsi="ZWAdobeF" w:cs="ZWAdobeF"/>
          <w:sz w:val="2"/>
          <w:szCs w:val="2"/>
        </w:rPr>
        <w:t>308B</w:t>
      </w:r>
      <w:r w:rsidR="0082419E" w:rsidRPr="007B30AE">
        <w:t>performance monitoring and evaluation, assessing whether outcomes are being achieved over time</w:t>
      </w:r>
    </w:p>
    <w:p w14:paraId="17BB27F4" w14:textId="13847959" w:rsidR="0082419E" w:rsidRPr="007B30AE" w:rsidRDefault="00382EE8" w:rsidP="00115BD6">
      <w:pPr>
        <w:pStyle w:val="ListParagraph"/>
        <w:numPr>
          <w:ilvl w:val="0"/>
          <w:numId w:val="14"/>
        </w:numPr>
      </w:pPr>
      <w:r>
        <w:rPr>
          <w:rFonts w:ascii="ZWAdobeF" w:hAnsi="ZWAdobeF" w:cs="ZWAdobeF"/>
          <w:sz w:val="2"/>
          <w:szCs w:val="2"/>
        </w:rPr>
        <w:t>309B</w:t>
      </w:r>
      <w:r w:rsidR="0082419E" w:rsidRPr="007B30AE">
        <w:t>compliance and enforcement, ensuring that agreed operational settings are implemented in practice</w:t>
      </w:r>
      <w:r w:rsidR="00D63231">
        <w:t>.</w:t>
      </w:r>
    </w:p>
    <w:p w14:paraId="01F86FF2" w14:textId="0B81F444" w:rsidR="0082419E" w:rsidRDefault="00382EE8" w:rsidP="0082419E">
      <w:r>
        <w:rPr>
          <w:rFonts w:ascii="ZWAdobeF" w:hAnsi="ZWAdobeF" w:cs="ZWAdobeF"/>
          <w:sz w:val="2"/>
          <w:szCs w:val="2"/>
        </w:rPr>
        <w:t>1033B</w:t>
      </w:r>
      <w:r w:rsidR="0082419E" w:rsidRPr="007B30AE">
        <w:t>These components operate across different timeframes but are closely connected.</w:t>
      </w:r>
      <w:r w:rsidR="0082419E" w:rsidRPr="007B30AE">
        <w:br/>
        <w:t>Short-term processes ensure that decisions are implemented and operational requirements are met, including real-time management of environmental water and compliance with defined operating parameters</w:t>
      </w:r>
      <w:r w:rsidR="0082419E">
        <w:t>.</w:t>
      </w:r>
    </w:p>
    <w:p w14:paraId="32EB5927" w14:textId="3B38C247" w:rsidR="0082419E" w:rsidRPr="007B30AE" w:rsidRDefault="00382EE8" w:rsidP="0082419E">
      <w:r>
        <w:rPr>
          <w:rFonts w:ascii="ZWAdobeF" w:hAnsi="ZWAdobeF" w:cs="ZWAdobeF"/>
          <w:sz w:val="2"/>
          <w:szCs w:val="2"/>
        </w:rPr>
        <w:lastRenderedPageBreak/>
        <w:t>1034B</w:t>
      </w:r>
      <w:r w:rsidR="0082419E" w:rsidRPr="007B30AE">
        <w:t>Over the longer term, monitoring, evaluation and periodic review provide a basis for assessing whether the framework is achieving its intended ecological, water and system outcomes and for making adjustments where required.</w:t>
      </w:r>
    </w:p>
    <w:p w14:paraId="09C7F687" w14:textId="169A5EEF" w:rsidR="0082419E" w:rsidRPr="007B30AE" w:rsidRDefault="00382EE8" w:rsidP="0082419E">
      <w:r>
        <w:rPr>
          <w:rFonts w:ascii="ZWAdobeF" w:hAnsi="ZWAdobeF" w:cs="ZWAdobeF"/>
          <w:sz w:val="2"/>
          <w:szCs w:val="2"/>
        </w:rPr>
        <w:t>1035B</w:t>
      </w:r>
      <w:r w:rsidR="0082419E" w:rsidRPr="007B30AE">
        <w:t>The framework also integrates multiple sources of input and oversight. Governments retain responsibility for setting objectives and policy, while structured decision-making processes ensure that trade-offs are assessed transparently. Advisory inputs inform decision-making at key points. Independent functions, including dispute resolution, audit and system review provide assurance and credibility.</w:t>
      </w:r>
    </w:p>
    <w:p w14:paraId="53F13C26" w14:textId="7F81189E" w:rsidR="00B10845" w:rsidRDefault="00382EE8" w:rsidP="0082419E">
      <w:pPr>
        <w:sectPr w:rsidR="00B10845" w:rsidSect="00BD4580">
          <w:pgSz w:w="11906" w:h="16838"/>
          <w:pgMar w:top="1440" w:right="1304" w:bottom="1440" w:left="1304" w:header="709" w:footer="709" w:gutter="0"/>
          <w:cols w:space="708"/>
          <w:docGrid w:linePitch="360"/>
        </w:sectPr>
      </w:pPr>
      <w:r>
        <w:rPr>
          <w:rFonts w:ascii="ZWAdobeF" w:hAnsi="ZWAdobeF" w:cs="ZWAdobeF"/>
          <w:sz w:val="2"/>
          <w:szCs w:val="2"/>
        </w:rPr>
        <w:t>1036B</w:t>
      </w:r>
      <w:r w:rsidR="0082419E" w:rsidRPr="007B30AE">
        <w:t>Operational delivery remains with existing entities, including Snowy Hydro, but is supported by strengthened governance expectations and more adaptive management functions</w:t>
      </w:r>
      <w:r w:rsidR="05D50710">
        <w:t xml:space="preserve"> that build on existing </w:t>
      </w:r>
      <w:r w:rsidR="350FFD4A">
        <w:t>arrangements</w:t>
      </w:r>
      <w:r w:rsidR="0082419E">
        <w:t xml:space="preserve">. </w:t>
      </w:r>
      <w:r w:rsidR="350FFD4A">
        <w:t xml:space="preserve"> </w:t>
      </w:r>
      <w:r w:rsidR="0082419E" w:rsidRPr="007B30AE">
        <w:t xml:space="preserve">This integrated approach is intended to improve transparency, strengthen accountability and support continuous improvement over time. </w:t>
      </w:r>
      <w:r w:rsidR="0082419E" w:rsidRPr="00BF2C50">
        <w:t xml:space="preserve"> As shown in </w:t>
      </w:r>
      <w:r w:rsidR="0082419E" w:rsidRPr="004E3F09">
        <w:rPr>
          <w:b/>
          <w:bCs/>
        </w:rPr>
        <w:t xml:space="preserve">Figure </w:t>
      </w:r>
      <w:r w:rsidR="004E3F09" w:rsidRPr="004E3F09">
        <w:rPr>
          <w:b/>
          <w:bCs/>
        </w:rPr>
        <w:t>1</w:t>
      </w:r>
      <w:r w:rsidR="006C5449">
        <w:rPr>
          <w:b/>
          <w:bCs/>
        </w:rPr>
        <w:t>3</w:t>
      </w:r>
      <w:r w:rsidR="0082419E" w:rsidRPr="004E3F09">
        <w:rPr>
          <w:b/>
          <w:bCs/>
        </w:rPr>
        <w:t>,</w:t>
      </w:r>
      <w:r w:rsidR="0082419E" w:rsidRPr="00BF2C50">
        <w:t xml:space="preserve"> the framework centres on a new </w:t>
      </w:r>
      <w:r w:rsidR="166F0A65">
        <w:t>Deed</w:t>
      </w:r>
      <w:r w:rsidR="73A3FD86">
        <w:t xml:space="preserve"> </w:t>
      </w:r>
      <w:r w:rsidR="00682FA8">
        <w:t>t</w:t>
      </w:r>
      <w:r w:rsidR="509E6AD5">
        <w:t>hat</w:t>
      </w:r>
      <w:r w:rsidR="0082419E" w:rsidRPr="00BF2C50">
        <w:t xml:space="preserve"> establishes system objectives and governance roles, supported by structured decision-making processes, more adaptive operational delivery and strengthened assurance mechanisms.</w:t>
      </w:r>
    </w:p>
    <w:p w14:paraId="1B79858B" w14:textId="1EE4BFB6" w:rsidR="001B4925" w:rsidRDefault="003C72E2" w:rsidP="00F92C9E">
      <w:pPr>
        <w:pStyle w:val="Sub-Heading"/>
      </w:pPr>
      <w:r>
        <w:rPr>
          <w:noProof/>
        </w:rPr>
        <w:lastRenderedPageBreak/>
        <mc:AlternateContent>
          <mc:Choice Requires="wps">
            <w:drawing>
              <wp:anchor distT="0" distB="0" distL="114300" distR="114300" simplePos="0" relativeHeight="251658261" behindDoc="0" locked="0" layoutInCell="1" allowOverlap="1" wp14:anchorId="01AADA2B" wp14:editId="02FFABE9">
                <wp:simplePos x="0" y="0"/>
                <wp:positionH relativeFrom="column">
                  <wp:posOffset>-214777</wp:posOffset>
                </wp:positionH>
                <wp:positionV relativeFrom="paragraph">
                  <wp:posOffset>0</wp:posOffset>
                </wp:positionV>
                <wp:extent cx="9437370" cy="457200"/>
                <wp:effectExtent l="0" t="0" r="0" b="0"/>
                <wp:wrapSquare wrapText="bothSides"/>
                <wp:docPr id="1034592448" name="Text Box 1" descr="P1355TB22#y1"/>
                <wp:cNvGraphicFramePr/>
                <a:graphic xmlns:a="http://schemas.openxmlformats.org/drawingml/2006/main">
                  <a:graphicData uri="http://schemas.microsoft.com/office/word/2010/wordprocessingShape">
                    <wps:wsp>
                      <wps:cNvSpPr txBox="1"/>
                      <wps:spPr>
                        <a:xfrm>
                          <a:off x="0" y="0"/>
                          <a:ext cx="9437370" cy="457200"/>
                        </a:xfrm>
                        <a:prstGeom prst="rect">
                          <a:avLst/>
                        </a:prstGeom>
                        <a:solidFill>
                          <a:prstClr val="white"/>
                        </a:solidFill>
                        <a:ln>
                          <a:noFill/>
                        </a:ln>
                      </wps:spPr>
                      <wps:txbx>
                        <w:txbxContent>
                          <w:p w14:paraId="00F1AFBF" w14:textId="2A5C49B4" w:rsidR="003C72E2" w:rsidRPr="00A4469E" w:rsidRDefault="003C72E2" w:rsidP="004E3F09">
                            <w:pPr>
                              <w:pStyle w:val="Sub-Heading"/>
                              <w:jc w:val="center"/>
                              <w:rPr>
                                <w:noProof/>
                              </w:rPr>
                            </w:pPr>
                            <w:r>
                              <w:t xml:space="preserve">Figure </w:t>
                            </w:r>
                            <w:fldSimple w:instr=" SEQ Figure \* ARABIC ">
                              <w:r w:rsidR="0005178F">
                                <w:rPr>
                                  <w:noProof/>
                                </w:rPr>
                                <w:t>13</w:t>
                              </w:r>
                            </w:fldSimple>
                            <w:r>
                              <w:t xml:space="preserve">: Proposed Governance and Legal Framework - </w:t>
                            </w:r>
                            <w:r w:rsidR="005B0CF0">
                              <w:t>F</w:t>
                            </w:r>
                            <w:r>
                              <w:t>or Draft Purposes</w:t>
                            </w:r>
                            <w:r w:rsidR="005B0CF0">
                              <w:t xml:space="preserve"> Only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AADA2B" id="_x0000_s1047" type="#_x0000_t202" alt="P1355TB22#y1" style="position:absolute;margin-left:-16.9pt;margin-top:0;width:743.1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" stroked="f">
                <v:textbox inset="0,0,0,0">
                  <w:txbxContent>
                    <w:p w14:paraId="00F1AFBF" w14:textId="2A5C49B4" w:rsidR="003C72E2" w:rsidRPr="00A4469E" w:rsidRDefault="003C72E2" w:rsidP="004E3F09">
                      <w:pPr>
                        <w:pStyle w:val="Sub-Heading"/>
                        <w:jc w:val="center"/>
                        <w:rPr>
                          <w:noProof/>
                        </w:rPr>
                      </w:pPr>
                      <w:r>
                        <w:t xml:space="preserve">Figure </w:t>
                      </w:r>
                      <w:fldSimple w:instr=" SEQ Figure \* ARABIC ">
                        <w:r w:rsidR="0005178F">
                          <w:rPr>
                            <w:noProof/>
                          </w:rPr>
                          <w:t>13</w:t>
                        </w:r>
                      </w:fldSimple>
                      <w:r>
                        <w:t xml:space="preserve">: Proposed Governance and Legal Framework - </w:t>
                      </w:r>
                      <w:r w:rsidR="005B0CF0">
                        <w:t>F</w:t>
                      </w:r>
                      <w:r>
                        <w:t>or Draft Purposes</w:t>
                      </w:r>
                      <w:r w:rsidR="005B0CF0">
                        <w:t xml:space="preserve"> Only</w:t>
                      </w:r>
                      <w:r>
                        <w:t>*</w:t>
                      </w:r>
                    </w:p>
                  </w:txbxContent>
                </v:textbox>
                <w10:wrap type="square"/>
              </v:shape>
            </w:pict>
          </mc:Fallback>
        </mc:AlternateContent>
      </w:r>
      <w:r w:rsidR="002D2E24">
        <w:rPr>
          <w:noProof/>
        </w:rPr>
        <w:drawing>
          <wp:inline distT="0" distB="0" distL="0" distR="0" wp14:anchorId="4E12EC83" wp14:editId="0D8C2950">
            <wp:extent cx="9339183" cy="4730612"/>
            <wp:effectExtent l="0" t="0" r="0" b="0"/>
            <wp:docPr id="1296713760" name="Picture 36" descr="P13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13760" name="Picture 36" descr="P1355#yIS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60894" cy="4741609"/>
                    </a:xfrm>
                    <a:prstGeom prst="rect">
                      <a:avLst/>
                    </a:prstGeom>
                    <a:noFill/>
                  </pic:spPr>
                </pic:pic>
              </a:graphicData>
            </a:graphic>
          </wp:inline>
        </w:drawing>
      </w:r>
    </w:p>
    <w:p w14:paraId="536CC234" w14:textId="5DE23D62" w:rsidR="00D72CDF" w:rsidRDefault="00D72CDF">
      <w:pPr>
        <w:jc w:val="left"/>
        <w:rPr>
          <w:rFonts w:asciiTheme="majorHAnsi" w:eastAsia="Times New Roman" w:hAnsiTheme="majorHAnsi" w:cstheme="majorBidi"/>
          <w:i/>
          <w:iCs/>
          <w:color w:val="000099"/>
          <w:sz w:val="28"/>
          <w:szCs w:val="32"/>
          <w:lang w:eastAsia="en-AU"/>
        </w:rPr>
      </w:pPr>
      <w:r w:rsidRPr="001B080A">
        <w:rPr>
          <w:iCs/>
          <w:noProof/>
        </w:rPr>
        <mc:AlternateContent>
          <mc:Choice Requires="wps">
            <w:drawing>
              <wp:anchor distT="45720" distB="45720" distL="114300" distR="114300" simplePos="0" relativeHeight="251658265" behindDoc="0" locked="0" layoutInCell="1" allowOverlap="1" wp14:anchorId="4B59B4D7" wp14:editId="6F5B629C">
                <wp:simplePos x="0" y="0"/>
                <wp:positionH relativeFrom="margin">
                  <wp:posOffset>0</wp:posOffset>
                </wp:positionH>
                <wp:positionV relativeFrom="paragraph">
                  <wp:posOffset>45085</wp:posOffset>
                </wp:positionV>
                <wp:extent cx="6560288" cy="1404620"/>
                <wp:effectExtent l="0" t="0" r="0" b="0"/>
                <wp:wrapNone/>
                <wp:docPr id="649100435" name="Text Box 2" descr="P1356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288" cy="1404620"/>
                        </a:xfrm>
                        <a:prstGeom prst="rect">
                          <a:avLst/>
                        </a:prstGeom>
                        <a:solidFill>
                          <a:srgbClr val="FFFFFF"/>
                        </a:solidFill>
                        <a:ln w="9525">
                          <a:noFill/>
                          <a:miter lim="800000"/>
                          <a:headEnd/>
                          <a:tailEnd/>
                        </a:ln>
                      </wps:spPr>
                      <wps:txbx>
                        <w:txbxContent>
                          <w:p w14:paraId="764205B7" w14:textId="77777777" w:rsidR="00D72CDF" w:rsidRPr="00E2331B" w:rsidRDefault="00D72CDF" w:rsidP="00D72CDF">
                            <w:pPr>
                              <w:rPr>
                                <w:b/>
                                <w:i/>
                                <w:sz w:val="18"/>
                                <w:szCs w:val="20"/>
                              </w:rPr>
                            </w:pPr>
                            <w:r>
                              <w:rPr>
                                <w:b/>
                                <w:bCs/>
                                <w:i/>
                                <w:iCs/>
                                <w:sz w:val="18"/>
                                <w:szCs w:val="20"/>
                              </w:rPr>
                              <w:t>*</w:t>
                            </w:r>
                            <w:r w:rsidRPr="00E2331B">
                              <w:rPr>
                                <w:b/>
                                <w:i/>
                                <w:sz w:val="18"/>
                                <w:szCs w:val="20"/>
                              </w:rPr>
                              <w:t>This diagram is provided for draft purposes only and remains subject to further review and amendment prior to finalisation.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59B4D7" id="_x0000_s1048" type="#_x0000_t202" alt="P1356TB26#y1" style="position:absolute;margin-left:0;margin-top:3.55pt;width:516.55pt;height:110.6pt;z-index:2516582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" stroked="f">
                <v:textbox style="mso-fit-shape-to-text:t">
                  <w:txbxContent>
                    <w:p w14:paraId="764205B7" w14:textId="77777777" w:rsidR="00D72CDF" w:rsidRPr="00E2331B" w:rsidRDefault="00D72CDF" w:rsidP="00D72CDF">
                      <w:pPr>
                        <w:rPr>
                          <w:b/>
                          <w:i/>
                          <w:sz w:val="18"/>
                          <w:szCs w:val="20"/>
                        </w:rPr>
                      </w:pPr>
                      <w:r>
                        <w:rPr>
                          <w:b/>
                          <w:bCs/>
                          <w:i/>
                          <w:iCs/>
                          <w:sz w:val="18"/>
                          <w:szCs w:val="20"/>
                        </w:rPr>
                        <w:t>*</w:t>
                      </w:r>
                      <w:r w:rsidRPr="00E2331B">
                        <w:rPr>
                          <w:b/>
                          <w:i/>
                          <w:sz w:val="18"/>
                          <w:szCs w:val="20"/>
                        </w:rPr>
                        <w:t>This diagram is provided for draft purposes only and remains subject to further review and amendment prior to finalisation.</w:t>
                      </w:r>
                    </w:p>
                  </w:txbxContent>
                </v:textbox>
                <w10:wrap anchorx="margin"/>
              </v:shape>
            </w:pict>
          </mc:Fallback>
        </mc:AlternateContent>
      </w:r>
      <w:r>
        <w:br w:type="page"/>
      </w:r>
    </w:p>
    <w:p w14:paraId="5EA82065" w14:textId="000965D8" w:rsidR="00E2331B" w:rsidRDefault="00E2331B" w:rsidP="00E2331B">
      <w:pPr>
        <w:pStyle w:val="Sub-Heading"/>
        <w:jc w:val="center"/>
      </w:pPr>
      <w:r>
        <w:lastRenderedPageBreak/>
        <w:t xml:space="preserve">Figure </w:t>
      </w:r>
      <w:fldSimple w:instr=" SEQ Figure \* ARABIC ">
        <w:r w:rsidR="0005178F">
          <w:rPr>
            <w:noProof/>
          </w:rPr>
          <w:t>14</w:t>
        </w:r>
      </w:fldSimple>
      <w:r>
        <w:t>: Environmental Flow Management – For Draft Purposes Only*</w:t>
      </w:r>
    </w:p>
    <w:p w14:paraId="39289D4E" w14:textId="34C4F685" w:rsidR="001B4925" w:rsidRDefault="00E2331B" w:rsidP="00CC7A58">
      <w:pPr>
        <w:pStyle w:val="Sub-Heading"/>
      </w:pPr>
      <w:r w:rsidRPr="001B080A">
        <w:rPr>
          <w:iCs w:val="0"/>
          <w:noProof/>
        </w:rPr>
        <mc:AlternateContent>
          <mc:Choice Requires="wps">
            <w:drawing>
              <wp:anchor distT="45720" distB="45720" distL="114300" distR="114300" simplePos="0" relativeHeight="251658240" behindDoc="0" locked="0" layoutInCell="1" allowOverlap="1" wp14:anchorId="1404C3B8" wp14:editId="20C43698">
                <wp:simplePos x="0" y="0"/>
                <wp:positionH relativeFrom="margin">
                  <wp:align>left</wp:align>
                </wp:positionH>
                <wp:positionV relativeFrom="paragraph">
                  <wp:posOffset>4716307</wp:posOffset>
                </wp:positionV>
                <wp:extent cx="6560288" cy="1404620"/>
                <wp:effectExtent l="0" t="0" r="0" b="0"/>
                <wp:wrapNone/>
                <wp:docPr id="1491004267" name="Text Box 2" descr="P1358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288" cy="1404620"/>
                        </a:xfrm>
                        <a:prstGeom prst="rect">
                          <a:avLst/>
                        </a:prstGeom>
                        <a:solidFill>
                          <a:srgbClr val="FFFFFF"/>
                        </a:solidFill>
                        <a:ln w="9525">
                          <a:noFill/>
                          <a:miter lim="800000"/>
                          <a:headEnd/>
                          <a:tailEnd/>
                        </a:ln>
                      </wps:spPr>
                      <wps:txbx>
                        <w:txbxContent>
                          <w:p w14:paraId="548302E6" w14:textId="28B3284F" w:rsidR="001B080A" w:rsidRPr="00CE7C25" w:rsidRDefault="00E2331B">
                            <w:pPr>
                              <w:rPr>
                                <w:sz w:val="18"/>
                                <w:szCs w:val="20"/>
                              </w:rPr>
                            </w:pPr>
                            <w:r>
                              <w:rPr>
                                <w:b/>
                                <w:bCs/>
                                <w:i/>
                                <w:iCs/>
                                <w:sz w:val="18"/>
                                <w:szCs w:val="20"/>
                              </w:rPr>
                              <w:t>*</w:t>
                            </w:r>
                            <w:r w:rsidR="001358F9" w:rsidRPr="00E2331B">
                              <w:rPr>
                                <w:b/>
                                <w:bCs/>
                                <w:i/>
                                <w:iCs/>
                                <w:sz w:val="18"/>
                                <w:szCs w:val="20"/>
                              </w:rPr>
                              <w:t>This diagram is provided for draft purposes only and remains subject to further review and amendment prior to finalisation.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4C3B8" id="_x0000_s1049" type="#_x0000_t202" alt="P1358TB1#y1" style="position:absolute;margin-left:0;margin-top:371.35pt;width:516.5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9yFA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" stroked="f">
                <v:textbox style="mso-fit-shape-to-text:t">
                  <w:txbxContent>
                    <w:p w14:paraId="548302E6" w14:textId="28B3284F" w:rsidR="001B080A" w:rsidRPr="00CE7C25" w:rsidRDefault="00E2331B">
                      <w:pPr>
                        <w:rPr>
                          <w:sz w:val="18"/>
                          <w:szCs w:val="20"/>
                        </w:rPr>
                      </w:pPr>
                      <w:r>
                        <w:rPr>
                          <w:b/>
                          <w:bCs/>
                          <w:i/>
                          <w:iCs/>
                          <w:sz w:val="18"/>
                          <w:szCs w:val="20"/>
                        </w:rPr>
                        <w:t>*</w:t>
                      </w:r>
                      <w:r w:rsidR="001358F9" w:rsidRPr="00E2331B">
                        <w:rPr>
                          <w:b/>
                          <w:bCs/>
                          <w:i/>
                          <w:iCs/>
                          <w:sz w:val="18"/>
                          <w:szCs w:val="20"/>
                        </w:rPr>
                        <w:t>This diagram is provided for draft purposes only and remains subject to further review and amendment prior to finalisation.</w:t>
                      </w:r>
                    </w:p>
                  </w:txbxContent>
                </v:textbox>
                <w10:wrap anchorx="margin"/>
              </v:shape>
            </w:pict>
          </mc:Fallback>
        </mc:AlternateContent>
      </w:r>
      <w:r w:rsidR="00A338DC">
        <w:rPr>
          <w:noProof/>
        </w:rPr>
        <w:drawing>
          <wp:inline distT="0" distB="0" distL="0" distR="0" wp14:anchorId="3AA28FF9" wp14:editId="52A45421">
            <wp:extent cx="9009261" cy="4323356"/>
            <wp:effectExtent l="0" t="0" r="1905" b="1270"/>
            <wp:docPr id="1342299426" name="Picture 28" descr="P13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99426" name="Picture 28" descr="P1358#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0583" cy="4338387"/>
                    </a:xfrm>
                    <a:prstGeom prst="rect">
                      <a:avLst/>
                    </a:prstGeom>
                    <a:noFill/>
                  </pic:spPr>
                </pic:pic>
              </a:graphicData>
            </a:graphic>
          </wp:inline>
        </w:drawing>
      </w:r>
    </w:p>
    <w:p w14:paraId="2E1E4165" w14:textId="1BD7BC7C" w:rsidR="001B4925" w:rsidRPr="007A37AE" w:rsidRDefault="001B4925" w:rsidP="00CC7A58">
      <w:pPr>
        <w:pStyle w:val="Sub-Heading"/>
        <w:rPr>
          <w:iCs w:val="0"/>
        </w:rPr>
        <w:sectPr w:rsidR="001B4925" w:rsidRPr="007A37AE" w:rsidSect="00B10845">
          <w:pgSz w:w="16838" w:h="11906" w:orient="landscape"/>
          <w:pgMar w:top="1440" w:right="1440" w:bottom="1440" w:left="1440" w:header="708" w:footer="708" w:gutter="0"/>
          <w:cols w:space="708"/>
          <w:docGrid w:linePitch="360"/>
        </w:sectPr>
      </w:pP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4D2ADE" w14:paraId="2D0596C9" w14:textId="77777777">
        <w:tc>
          <w:tcPr>
            <w:tcW w:w="9288" w:type="dxa"/>
            <w:shd w:val="clear" w:color="auto" w:fill="000099"/>
          </w:tcPr>
          <w:p w14:paraId="32F646C4" w14:textId="42819014" w:rsidR="004D2ADE" w:rsidRPr="00A17844" w:rsidRDefault="00382EE8">
            <w:pPr>
              <w:pStyle w:val="RecsBox"/>
              <w:rPr>
                <w:b/>
                <w:bCs/>
              </w:rPr>
            </w:pPr>
            <w:bookmarkStart w:id="81" w:name="_Toc233123414"/>
            <w:bookmarkStart w:id="82" w:name="_Toc233123417"/>
            <w:bookmarkStart w:id="83" w:name="_Toc233123419"/>
            <w:bookmarkStart w:id="84" w:name="_Toc233285611"/>
            <w:bookmarkStart w:id="85" w:name="_Toc233801490"/>
            <w:bookmarkEnd w:id="81"/>
            <w:bookmarkEnd w:id="82"/>
            <w:bookmarkEnd w:id="83"/>
            <w:r>
              <w:rPr>
                <w:rFonts w:ascii="ZWAdobeF" w:hAnsi="ZWAdobeF" w:cs="ZWAdobeF"/>
                <w:bCs/>
                <w:sz w:val="2"/>
                <w:szCs w:val="2"/>
              </w:rPr>
              <w:lastRenderedPageBreak/>
              <w:t>1538B</w:t>
            </w:r>
            <w:r w:rsidR="004D2ADE" w:rsidRPr="00A17844">
              <w:rPr>
                <w:b/>
                <w:bCs/>
              </w:rPr>
              <w:t>Recommendations</w:t>
            </w:r>
          </w:p>
        </w:tc>
      </w:tr>
      <w:tr w:rsidR="004D2ADE" w14:paraId="722C91DD" w14:textId="77777777">
        <w:tc>
          <w:tcPr>
            <w:tcW w:w="9288" w:type="dxa"/>
          </w:tcPr>
          <w:p w14:paraId="5D35AEAA" w14:textId="377299C3" w:rsidR="00B115C3" w:rsidRPr="00B115C3" w:rsidRDefault="00382EE8" w:rsidP="00B115C3">
            <w:pPr>
              <w:pStyle w:val="RecsBox"/>
              <w:rPr>
                <w:b/>
                <w:bCs/>
              </w:rPr>
            </w:pPr>
            <w:r>
              <w:rPr>
                <w:rFonts w:ascii="ZWAdobeF" w:hAnsi="ZWAdobeF" w:cs="ZWAdobeF"/>
                <w:bCs/>
                <w:sz w:val="2"/>
                <w:szCs w:val="2"/>
              </w:rPr>
              <w:t>1539B</w:t>
            </w:r>
            <w:r w:rsidR="00B115C3" w:rsidRPr="00B115C3">
              <w:rPr>
                <w:b/>
                <w:bCs/>
              </w:rPr>
              <w:t>Recommendation 9 – Governance and decision-making framework</w:t>
            </w:r>
          </w:p>
          <w:p w14:paraId="6F7A9762" w14:textId="6ABB888E" w:rsidR="00B115C3" w:rsidRPr="00FA5D32" w:rsidRDefault="00382EE8" w:rsidP="00B115C3">
            <w:pPr>
              <w:pStyle w:val="RecsBox"/>
            </w:pPr>
            <w:r>
              <w:rPr>
                <w:rFonts w:ascii="ZWAdobeF" w:hAnsi="ZWAdobeF" w:cs="ZWAdobeF"/>
                <w:sz w:val="2"/>
                <w:szCs w:val="2"/>
              </w:rPr>
              <w:t>1540B</w:t>
            </w:r>
            <w:r w:rsidR="00B115C3" w:rsidRPr="00FA5D32">
              <w:t>NSW, in consultation with the Australian Government, establish a decision-making framework that:</w:t>
            </w:r>
          </w:p>
          <w:p w14:paraId="4D0E6C75" w14:textId="5D6AF165" w:rsidR="00B115C3" w:rsidRPr="00FA5D32" w:rsidRDefault="00382EE8" w:rsidP="00B11C71">
            <w:pPr>
              <w:pStyle w:val="RecsBox"/>
              <w:numPr>
                <w:ilvl w:val="0"/>
                <w:numId w:val="142"/>
              </w:numPr>
            </w:pPr>
            <w:r>
              <w:rPr>
                <w:rFonts w:ascii="ZWAdobeF" w:hAnsi="ZWAdobeF" w:cs="ZWAdobeF"/>
                <w:sz w:val="2"/>
                <w:szCs w:val="2"/>
              </w:rPr>
              <w:t>1541B</w:t>
            </w:r>
            <w:r w:rsidR="00B115C3" w:rsidRPr="00FA5D32">
              <w:t xml:space="preserve">provides transparent and consistent processes for assessing trade-offs between environmental outcomes, water availability and energy system considerations </w:t>
            </w:r>
          </w:p>
          <w:p w14:paraId="3D63A709" w14:textId="2BEA7A84" w:rsidR="00B115C3" w:rsidRPr="00FA5D32" w:rsidRDefault="00382EE8" w:rsidP="00B11C71">
            <w:pPr>
              <w:pStyle w:val="RecsBox"/>
              <w:numPr>
                <w:ilvl w:val="0"/>
                <w:numId w:val="142"/>
              </w:numPr>
              <w:rPr>
                <w:u w:val="single"/>
              </w:rPr>
            </w:pPr>
            <w:r>
              <w:rPr>
                <w:rFonts w:ascii="ZWAdobeF" w:hAnsi="ZWAdobeF" w:cs="ZWAdobeF"/>
                <w:sz w:val="2"/>
                <w:szCs w:val="2"/>
              </w:rPr>
              <w:t>1542B</w:t>
            </w:r>
            <w:r w:rsidR="00B115C3" w:rsidRPr="00FA5D32">
              <w:t xml:space="preserve">establishes an independent dispute resolution mechanism as a statutory appointment of an independent Snowy Water Commissioner under </w:t>
            </w:r>
            <w:r w:rsidR="00B115C3" w:rsidRPr="00FA5D32">
              <w:rPr>
                <w:i/>
                <w:iCs/>
              </w:rPr>
              <w:t>the Water Management Act 2000</w:t>
            </w:r>
            <w:r w:rsidR="00B115C3" w:rsidRPr="00FA5D32">
              <w:t xml:space="preserve"> (NSW). The appointment is subject to consultation with Victoria, the ACT and the Australian Government.</w:t>
            </w:r>
          </w:p>
          <w:p w14:paraId="330BD8A4" w14:textId="5A7A9672" w:rsidR="00B115C3" w:rsidRPr="00FA5D32" w:rsidRDefault="00382EE8" w:rsidP="00B11C71">
            <w:pPr>
              <w:pStyle w:val="RecsBox"/>
              <w:numPr>
                <w:ilvl w:val="0"/>
                <w:numId w:val="142"/>
              </w:numPr>
            </w:pPr>
            <w:r>
              <w:rPr>
                <w:rFonts w:ascii="ZWAdobeF" w:hAnsi="ZWAdobeF" w:cs="ZWAdobeF"/>
                <w:sz w:val="2"/>
                <w:szCs w:val="2"/>
              </w:rPr>
              <w:t>1543B</w:t>
            </w:r>
            <w:r w:rsidR="00B115C3" w:rsidRPr="00FA5D32">
              <w:t>defines escalation pathways and decision-making timeframes</w:t>
            </w:r>
          </w:p>
          <w:p w14:paraId="613966E0" w14:textId="3DED7A53" w:rsidR="004D2ADE" w:rsidRPr="006112D7" w:rsidRDefault="00382EE8" w:rsidP="00B11C71">
            <w:pPr>
              <w:pStyle w:val="RecsBox"/>
              <w:numPr>
                <w:ilvl w:val="0"/>
                <w:numId w:val="142"/>
              </w:numPr>
              <w:rPr>
                <w:rFonts w:asciiTheme="minorHAnsi" w:hAnsiTheme="minorHAnsi"/>
                <w:lang w:val="en-US"/>
              </w:rPr>
            </w:pPr>
            <w:r>
              <w:rPr>
                <w:rFonts w:ascii="ZWAdobeF" w:hAnsi="ZWAdobeF" w:cs="ZWAdobeF"/>
                <w:sz w:val="2"/>
                <w:szCs w:val="2"/>
              </w:rPr>
              <w:t>1544B</w:t>
            </w:r>
            <w:r w:rsidR="00B115C3" w:rsidRPr="00FA5D32">
              <w:t>requires documentation and public reporting of decisions and trade-offs.</w:t>
            </w:r>
          </w:p>
        </w:tc>
      </w:tr>
      <w:tr w:rsidR="00D50E92" w14:paraId="0F679D8B" w14:textId="77777777">
        <w:tc>
          <w:tcPr>
            <w:tcW w:w="9288" w:type="dxa"/>
          </w:tcPr>
          <w:p w14:paraId="6C501B74" w14:textId="5B3C9358" w:rsidR="00DD6B8B" w:rsidRPr="00DD6B8B" w:rsidRDefault="00382EE8" w:rsidP="00DD6B8B">
            <w:pPr>
              <w:pStyle w:val="RecsBox"/>
              <w:rPr>
                <w:b/>
                <w:bCs/>
              </w:rPr>
            </w:pPr>
            <w:r>
              <w:rPr>
                <w:rFonts w:ascii="ZWAdobeF" w:hAnsi="ZWAdobeF" w:cs="ZWAdobeF"/>
                <w:bCs/>
                <w:sz w:val="2"/>
                <w:szCs w:val="2"/>
              </w:rPr>
              <w:t>1545B</w:t>
            </w:r>
            <w:r w:rsidR="00DD6B8B" w:rsidRPr="00DD6B8B">
              <w:rPr>
                <w:b/>
                <w:bCs/>
              </w:rPr>
              <w:t>Recommendation 10 – New Deed and system objectives</w:t>
            </w:r>
          </w:p>
          <w:p w14:paraId="583A2ECB" w14:textId="68DC01C3" w:rsidR="00DD6B8B" w:rsidRPr="00FA5D32" w:rsidRDefault="00382EE8" w:rsidP="00DD6B8B">
            <w:pPr>
              <w:pStyle w:val="RecsBox"/>
            </w:pPr>
            <w:r>
              <w:rPr>
                <w:rFonts w:ascii="ZWAdobeF" w:hAnsi="ZWAdobeF" w:cs="ZWAdobeF"/>
                <w:sz w:val="2"/>
                <w:szCs w:val="2"/>
              </w:rPr>
              <w:t>1546B</w:t>
            </w:r>
            <w:r w:rsidR="00DD6B8B" w:rsidRPr="00FA5D32">
              <w:t>Governments replace the Snowy Water Inquiry Outcomes Implementation Deed with a new Deed that:</w:t>
            </w:r>
          </w:p>
          <w:p w14:paraId="4B22131D" w14:textId="7BA7A118" w:rsidR="00DD6B8B" w:rsidRPr="00FA5D32" w:rsidRDefault="00382EE8" w:rsidP="00B11C71">
            <w:pPr>
              <w:pStyle w:val="RecsBox"/>
              <w:numPr>
                <w:ilvl w:val="0"/>
                <w:numId w:val="143"/>
              </w:numPr>
            </w:pPr>
            <w:r>
              <w:rPr>
                <w:rFonts w:ascii="ZWAdobeF" w:hAnsi="ZWAdobeF" w:cs="ZWAdobeF"/>
                <w:sz w:val="2"/>
                <w:szCs w:val="2"/>
              </w:rPr>
              <w:t>1547B</w:t>
            </w:r>
            <w:r w:rsidR="00DD6B8B" w:rsidRPr="00FA5D32">
              <w:t>establishes clear, system-level objectives across environmental, water, energy, cultural and community outcomes</w:t>
            </w:r>
          </w:p>
          <w:p w14:paraId="7544128E" w14:textId="1EF016CE" w:rsidR="00DD6B8B" w:rsidRPr="00FA5D32" w:rsidRDefault="00382EE8" w:rsidP="00B11C71">
            <w:pPr>
              <w:pStyle w:val="RecsBox"/>
              <w:numPr>
                <w:ilvl w:val="0"/>
                <w:numId w:val="143"/>
              </w:numPr>
            </w:pPr>
            <w:r>
              <w:rPr>
                <w:rFonts w:ascii="ZWAdobeF" w:hAnsi="ZWAdobeF" w:cs="ZWAdobeF"/>
                <w:sz w:val="2"/>
                <w:szCs w:val="2"/>
              </w:rPr>
              <w:t>1548B</w:t>
            </w:r>
            <w:r w:rsidR="00DD6B8B" w:rsidRPr="00FA5D32">
              <w:t>includes all relevant jurisdictions, with the ACT joining as a full participant following agreement on the contribution of the ACT to the arrangement</w:t>
            </w:r>
          </w:p>
          <w:p w14:paraId="4F88B551" w14:textId="77DE1C49" w:rsidR="00DD6B8B" w:rsidRPr="00FA5D32" w:rsidRDefault="00382EE8" w:rsidP="00B11C71">
            <w:pPr>
              <w:pStyle w:val="RecsBox"/>
              <w:numPr>
                <w:ilvl w:val="0"/>
                <w:numId w:val="143"/>
              </w:numPr>
            </w:pPr>
            <w:r>
              <w:rPr>
                <w:rFonts w:ascii="ZWAdobeF" w:hAnsi="ZWAdobeF" w:cs="ZWAdobeF"/>
                <w:sz w:val="2"/>
                <w:szCs w:val="2"/>
              </w:rPr>
              <w:t>1549B</w:t>
            </w:r>
            <w:r w:rsidR="00DD6B8B" w:rsidRPr="00FA5D32">
              <w:t>defines roles, responsibilities and decision-making arrangements across governments</w:t>
            </w:r>
          </w:p>
          <w:p w14:paraId="4AA0B546" w14:textId="499F1B10" w:rsidR="00DD6B8B" w:rsidRPr="00FA5D32" w:rsidRDefault="00382EE8" w:rsidP="00B11C71">
            <w:pPr>
              <w:pStyle w:val="RecsBox"/>
              <w:numPr>
                <w:ilvl w:val="0"/>
                <w:numId w:val="143"/>
              </w:numPr>
            </w:pPr>
            <w:r>
              <w:rPr>
                <w:rFonts w:ascii="ZWAdobeF" w:hAnsi="ZWAdobeF" w:cs="ZWAdobeF"/>
                <w:sz w:val="2"/>
                <w:szCs w:val="2"/>
              </w:rPr>
              <w:t>1550B</w:t>
            </w:r>
            <w:r w:rsidR="00DD6B8B" w:rsidRPr="00FA5D32">
              <w:t>provides the foundation for coordinated planning, funding, implementation and monitoring</w:t>
            </w:r>
          </w:p>
          <w:p w14:paraId="125717E6" w14:textId="1B0C8034" w:rsidR="00DD6B8B" w:rsidRPr="00FA5D32" w:rsidRDefault="00382EE8" w:rsidP="00B11C71">
            <w:pPr>
              <w:pStyle w:val="RecsBox"/>
              <w:numPr>
                <w:ilvl w:val="0"/>
                <w:numId w:val="143"/>
              </w:numPr>
            </w:pPr>
            <w:r>
              <w:rPr>
                <w:rFonts w:ascii="ZWAdobeF" w:hAnsi="ZWAdobeF" w:cs="ZWAdobeF"/>
                <w:sz w:val="2"/>
                <w:szCs w:val="2"/>
              </w:rPr>
              <w:t>1551B</w:t>
            </w:r>
            <w:r w:rsidR="00DD6B8B" w:rsidRPr="00FA5D32">
              <w:t>establishes 5-yearly audits and 10-yearly reviews.</w:t>
            </w:r>
          </w:p>
          <w:p w14:paraId="323C8163" w14:textId="77777777" w:rsidR="00DD6B8B" w:rsidRPr="00FA5D32" w:rsidRDefault="00DD6B8B" w:rsidP="00DD6B8B">
            <w:pPr>
              <w:pStyle w:val="RecsBox"/>
            </w:pPr>
            <w:r w:rsidRPr="00FA5D32">
              <w:t xml:space="preserve"> </w:t>
            </w:r>
          </w:p>
          <w:p w14:paraId="563C7A98" w14:textId="51BEAD55" w:rsidR="00DD6B8B" w:rsidRPr="00FA5D32" w:rsidRDefault="00382EE8" w:rsidP="00DD6B8B">
            <w:pPr>
              <w:pStyle w:val="RecsBox"/>
            </w:pPr>
            <w:r>
              <w:rPr>
                <w:rFonts w:ascii="ZWAdobeF" w:hAnsi="ZWAdobeF" w:cs="ZWAdobeF"/>
                <w:sz w:val="2"/>
                <w:szCs w:val="2"/>
              </w:rPr>
              <w:t>1552B</w:t>
            </w:r>
            <w:r w:rsidR="00DD6B8B" w:rsidRPr="00FA5D32">
              <w:t>The new Deed should be clearly structured and accessible, supported by appropriate explanatory material, and include:</w:t>
            </w:r>
          </w:p>
          <w:p w14:paraId="69380BEF" w14:textId="4867D0B6" w:rsidR="00DD6B8B" w:rsidRPr="00FA5D32" w:rsidRDefault="00382EE8" w:rsidP="00B11C71">
            <w:pPr>
              <w:pStyle w:val="RecsBox"/>
              <w:numPr>
                <w:ilvl w:val="0"/>
                <w:numId w:val="144"/>
              </w:numPr>
            </w:pPr>
            <w:r>
              <w:rPr>
                <w:rFonts w:ascii="ZWAdobeF" w:hAnsi="ZWAdobeF" w:cs="ZWAdobeF"/>
                <w:sz w:val="2"/>
                <w:szCs w:val="2"/>
              </w:rPr>
              <w:t>1553B</w:t>
            </w:r>
            <w:r w:rsidR="00DD6B8B" w:rsidRPr="00FA5D32">
              <w:t>measurable ecological performance indicators for the Upper Murrumbidgee and, in time, the Snowy and other Snowy Montane rivers</w:t>
            </w:r>
          </w:p>
          <w:p w14:paraId="33A65715" w14:textId="604B6B7F" w:rsidR="00D50E92" w:rsidRPr="008B6B1F" w:rsidRDefault="00382EE8" w:rsidP="00B11C71">
            <w:pPr>
              <w:pStyle w:val="RecsBox"/>
              <w:numPr>
                <w:ilvl w:val="0"/>
                <w:numId w:val="144"/>
              </w:numPr>
            </w:pPr>
            <w:r>
              <w:rPr>
                <w:rFonts w:ascii="ZWAdobeF" w:hAnsi="ZWAdobeF" w:cs="ZWAdobeF"/>
                <w:sz w:val="2"/>
                <w:szCs w:val="2"/>
              </w:rPr>
              <w:t>1554B</w:t>
            </w:r>
            <w:r w:rsidR="00DD6B8B" w:rsidRPr="00FA5D32">
              <w:t>responsibility for transparent public reporting on performance, monitoring outcomes and compliance (including in line with Recommendation 14 on compliance and enforcement).</w:t>
            </w:r>
          </w:p>
        </w:tc>
      </w:tr>
      <w:tr w:rsidR="008B6B1F" w14:paraId="7BEDB233" w14:textId="77777777">
        <w:tc>
          <w:tcPr>
            <w:tcW w:w="9288" w:type="dxa"/>
          </w:tcPr>
          <w:p w14:paraId="766DC9E5" w14:textId="5F5523CD" w:rsidR="00780FB9" w:rsidRPr="00780FB9" w:rsidRDefault="00382EE8" w:rsidP="00780FB9">
            <w:pPr>
              <w:pStyle w:val="RecsBox"/>
              <w:rPr>
                <w:b/>
                <w:bCs/>
              </w:rPr>
            </w:pPr>
            <w:r>
              <w:rPr>
                <w:rFonts w:ascii="ZWAdobeF" w:hAnsi="ZWAdobeF" w:cs="ZWAdobeF"/>
                <w:bCs/>
                <w:sz w:val="2"/>
                <w:szCs w:val="2"/>
              </w:rPr>
              <w:t>1555B</w:t>
            </w:r>
            <w:r w:rsidR="00780FB9" w:rsidRPr="00780FB9">
              <w:rPr>
                <w:b/>
                <w:bCs/>
              </w:rPr>
              <w:t>Recommendation 11 – Intergovernmental coordination (Senior Officials)</w:t>
            </w:r>
          </w:p>
          <w:p w14:paraId="6CE74B01" w14:textId="0C0CBA56" w:rsidR="00780FB9" w:rsidRPr="00FA5D32" w:rsidRDefault="00382EE8" w:rsidP="00780FB9">
            <w:pPr>
              <w:pStyle w:val="RecsBox"/>
            </w:pPr>
            <w:r>
              <w:rPr>
                <w:rFonts w:ascii="ZWAdobeF" w:hAnsi="ZWAdobeF" w:cs="ZWAdobeF"/>
                <w:sz w:val="2"/>
                <w:szCs w:val="2"/>
              </w:rPr>
              <w:t>1556B</w:t>
            </w:r>
            <w:r w:rsidR="00780FB9" w:rsidRPr="00FA5D32">
              <w:t>Governments establish a senior officials level committee with authority and accountability to support implementation and whole-of-system operation.</w:t>
            </w:r>
          </w:p>
          <w:p w14:paraId="16CEF3BE" w14:textId="00C1209C" w:rsidR="00780FB9" w:rsidRPr="00FA5D32" w:rsidRDefault="00382EE8" w:rsidP="00780FB9">
            <w:pPr>
              <w:pStyle w:val="RecsBox"/>
            </w:pPr>
            <w:r>
              <w:rPr>
                <w:rFonts w:ascii="ZWAdobeF" w:hAnsi="ZWAdobeF" w:cs="ZWAdobeF"/>
                <w:sz w:val="2"/>
                <w:szCs w:val="2"/>
              </w:rPr>
              <w:t>1557B</w:t>
            </w:r>
            <w:r w:rsidR="00780FB9" w:rsidRPr="00FA5D32">
              <w:t>This function must:</w:t>
            </w:r>
          </w:p>
          <w:p w14:paraId="1C697E85" w14:textId="02C2A859" w:rsidR="00780FB9" w:rsidRPr="00FA5D32" w:rsidRDefault="00382EE8" w:rsidP="00B11C71">
            <w:pPr>
              <w:pStyle w:val="RecsBox"/>
              <w:numPr>
                <w:ilvl w:val="0"/>
                <w:numId w:val="145"/>
              </w:numPr>
              <w:rPr>
                <w:u w:val="single"/>
              </w:rPr>
            </w:pPr>
            <w:r>
              <w:rPr>
                <w:rFonts w:ascii="ZWAdobeF" w:hAnsi="ZWAdobeF" w:cs="ZWAdobeF"/>
                <w:sz w:val="2"/>
                <w:szCs w:val="2"/>
              </w:rPr>
              <w:t>1558B</w:t>
            </w:r>
            <w:r w:rsidR="00780FB9" w:rsidRPr="00FA5D32">
              <w:t>provide whole-of-system oversight of implementation, sequencing and coordination</w:t>
            </w:r>
          </w:p>
          <w:p w14:paraId="16276288" w14:textId="205BF494" w:rsidR="00780FB9" w:rsidRPr="00FA5D32" w:rsidRDefault="00382EE8" w:rsidP="00B11C71">
            <w:pPr>
              <w:pStyle w:val="RecsBox"/>
              <w:numPr>
                <w:ilvl w:val="0"/>
                <w:numId w:val="145"/>
              </w:numPr>
            </w:pPr>
            <w:r>
              <w:rPr>
                <w:rFonts w:ascii="ZWAdobeF" w:hAnsi="ZWAdobeF" w:cs="ZWAdobeF"/>
                <w:sz w:val="2"/>
                <w:szCs w:val="2"/>
              </w:rPr>
              <w:t>1559B</w:t>
            </w:r>
            <w:r w:rsidR="00780FB9" w:rsidRPr="00FA5D32">
              <w:t xml:space="preserve">ensure alignment across water, environment, energy, First Nations and community objectives </w:t>
            </w:r>
          </w:p>
          <w:p w14:paraId="7FFBB985" w14:textId="0F7BEDBC" w:rsidR="00780FB9" w:rsidRPr="00FA5D32" w:rsidRDefault="00382EE8" w:rsidP="00B11C71">
            <w:pPr>
              <w:pStyle w:val="RecsBox"/>
              <w:numPr>
                <w:ilvl w:val="0"/>
                <w:numId w:val="145"/>
              </w:numPr>
            </w:pPr>
            <w:r>
              <w:rPr>
                <w:rFonts w:ascii="ZWAdobeF" w:hAnsi="ZWAdobeF" w:cs="ZWAdobeF"/>
                <w:sz w:val="2"/>
                <w:szCs w:val="2"/>
              </w:rPr>
              <w:t>1560B</w:t>
            </w:r>
            <w:r w:rsidR="00780FB9" w:rsidRPr="00FA5D32">
              <w:t xml:space="preserve">Approve an annual plan, for example, from the MDBA, which coordinates as necessary, activities under the Deed </w:t>
            </w:r>
          </w:p>
          <w:p w14:paraId="77091368" w14:textId="018CBEAF" w:rsidR="00780FB9" w:rsidRPr="00FA5D32" w:rsidRDefault="00382EE8" w:rsidP="00B11C71">
            <w:pPr>
              <w:pStyle w:val="RecsBox"/>
              <w:numPr>
                <w:ilvl w:val="0"/>
                <w:numId w:val="145"/>
              </w:numPr>
            </w:pPr>
            <w:r>
              <w:rPr>
                <w:rFonts w:ascii="ZWAdobeF" w:hAnsi="ZWAdobeF" w:cs="ZWAdobeF"/>
                <w:sz w:val="2"/>
                <w:szCs w:val="2"/>
              </w:rPr>
              <w:t>1561B</w:t>
            </w:r>
            <w:r w:rsidR="00780FB9" w:rsidRPr="00FA5D32">
              <w:t>support effective collaboration across jurisdictions</w:t>
            </w:r>
          </w:p>
          <w:p w14:paraId="3D763C22" w14:textId="0F24603D" w:rsidR="008B6B1F" w:rsidRPr="007079B7" w:rsidRDefault="00382EE8" w:rsidP="00B11C71">
            <w:pPr>
              <w:pStyle w:val="RecsBox"/>
              <w:numPr>
                <w:ilvl w:val="0"/>
                <w:numId w:val="145"/>
              </w:numPr>
            </w:pPr>
            <w:r>
              <w:rPr>
                <w:rFonts w:ascii="ZWAdobeF" w:hAnsi="ZWAdobeF" w:cs="ZWAdobeF"/>
                <w:sz w:val="2"/>
                <w:szCs w:val="2"/>
              </w:rPr>
              <w:t>1562B</w:t>
            </w:r>
            <w:r w:rsidR="00780FB9" w:rsidRPr="00FA5D32">
              <w:t xml:space="preserve">include and respond to the advice of First Nations, the community and scientific input. </w:t>
            </w:r>
          </w:p>
        </w:tc>
      </w:tr>
      <w:tr w:rsidR="007079B7" w14:paraId="6AF0B48B" w14:textId="77777777">
        <w:tc>
          <w:tcPr>
            <w:tcW w:w="9288" w:type="dxa"/>
          </w:tcPr>
          <w:p w14:paraId="69E0A1BE" w14:textId="298FDD2A" w:rsidR="00A35A70" w:rsidRPr="00A35A70" w:rsidRDefault="00382EE8" w:rsidP="00A35A70">
            <w:pPr>
              <w:pStyle w:val="RecsBox"/>
              <w:rPr>
                <w:b/>
                <w:bCs/>
              </w:rPr>
            </w:pPr>
            <w:r>
              <w:rPr>
                <w:rFonts w:ascii="ZWAdobeF" w:hAnsi="ZWAdobeF" w:cs="ZWAdobeF"/>
                <w:bCs/>
                <w:sz w:val="2"/>
                <w:szCs w:val="2"/>
              </w:rPr>
              <w:t>1563B</w:t>
            </w:r>
            <w:r w:rsidR="00A35A70" w:rsidRPr="00A35A70">
              <w:rPr>
                <w:b/>
                <w:bCs/>
              </w:rPr>
              <w:t>Recommendation 12 – Advisory and participatory inputs</w:t>
            </w:r>
          </w:p>
          <w:p w14:paraId="69A9D2DB" w14:textId="61C04E7C" w:rsidR="00A35A70" w:rsidRPr="00FA5D32" w:rsidRDefault="00382EE8" w:rsidP="00A35A70">
            <w:pPr>
              <w:pStyle w:val="RecsBox"/>
            </w:pPr>
            <w:r>
              <w:rPr>
                <w:rFonts w:ascii="ZWAdobeF" w:hAnsi="ZWAdobeF" w:cs="ZWAdobeF"/>
                <w:sz w:val="2"/>
                <w:szCs w:val="2"/>
              </w:rPr>
              <w:t>1564B</w:t>
            </w:r>
            <w:r w:rsidR="00A35A70" w:rsidRPr="00FA5D32">
              <w:t>Governments strengthen advisory and participatory arrangements to support decision-making across the system.</w:t>
            </w:r>
          </w:p>
          <w:p w14:paraId="330B1DC9" w14:textId="703CA62F" w:rsidR="00A35A70" w:rsidRPr="00FA5D32" w:rsidRDefault="00382EE8" w:rsidP="00A35A70">
            <w:pPr>
              <w:pStyle w:val="RecsBox"/>
            </w:pPr>
            <w:r>
              <w:rPr>
                <w:rFonts w:ascii="ZWAdobeF" w:hAnsi="ZWAdobeF" w:cs="ZWAdobeF"/>
                <w:sz w:val="2"/>
                <w:szCs w:val="2"/>
              </w:rPr>
              <w:lastRenderedPageBreak/>
              <w:t>1565B</w:t>
            </w:r>
            <w:r w:rsidR="00A35A70" w:rsidRPr="00FA5D32">
              <w:t>This includes:</w:t>
            </w:r>
          </w:p>
          <w:p w14:paraId="4C827605" w14:textId="70A47580" w:rsidR="00A35A70" w:rsidRPr="00FA5D32" w:rsidRDefault="00382EE8" w:rsidP="00B11C71">
            <w:pPr>
              <w:pStyle w:val="RecsBox"/>
              <w:numPr>
                <w:ilvl w:val="0"/>
                <w:numId w:val="146"/>
              </w:numPr>
            </w:pPr>
            <w:r>
              <w:rPr>
                <w:rFonts w:ascii="ZWAdobeF" w:hAnsi="ZWAdobeF" w:cs="ZWAdobeF"/>
                <w:sz w:val="2"/>
                <w:szCs w:val="2"/>
              </w:rPr>
              <w:t>1566B</w:t>
            </w:r>
            <w:r w:rsidR="00A35A70" w:rsidRPr="00FA5D32">
              <w:t>NSW expanding advisory arrangements (such as the Snowy Advisory Committee) to include additional ACT, First Nations and community representation</w:t>
            </w:r>
          </w:p>
          <w:p w14:paraId="43F67B07" w14:textId="40F0CAE4" w:rsidR="00A35A70" w:rsidRPr="00FA5D32" w:rsidRDefault="00382EE8" w:rsidP="00B11C71">
            <w:pPr>
              <w:pStyle w:val="RecsBox"/>
              <w:numPr>
                <w:ilvl w:val="0"/>
                <w:numId w:val="146"/>
              </w:numPr>
            </w:pPr>
            <w:r>
              <w:rPr>
                <w:rFonts w:ascii="ZWAdobeF" w:hAnsi="ZWAdobeF" w:cs="ZWAdobeF"/>
                <w:sz w:val="2"/>
                <w:szCs w:val="2"/>
              </w:rPr>
              <w:t>1567B</w:t>
            </w:r>
            <w:r w:rsidR="00A35A70" w:rsidRPr="00FA5D32">
              <w:t>ensuring input into planning, decision-making and review processes is consistent and coordinated</w:t>
            </w:r>
          </w:p>
          <w:p w14:paraId="61DA93E2" w14:textId="48F6D907" w:rsidR="00A35A70" w:rsidRPr="00FA5D32" w:rsidRDefault="00382EE8" w:rsidP="00B11C71">
            <w:pPr>
              <w:pStyle w:val="RecsBox"/>
              <w:numPr>
                <w:ilvl w:val="0"/>
                <w:numId w:val="146"/>
              </w:numPr>
            </w:pPr>
            <w:r>
              <w:rPr>
                <w:rFonts w:ascii="ZWAdobeF" w:hAnsi="ZWAdobeF" w:cs="ZWAdobeF"/>
                <w:sz w:val="2"/>
                <w:szCs w:val="2"/>
              </w:rPr>
              <w:t>1568B</w:t>
            </w:r>
            <w:r w:rsidR="00A35A70" w:rsidRPr="00FA5D32">
              <w:t>including the Commonwealth Environmental Water Holder in relevant advisory and coordination forums</w:t>
            </w:r>
          </w:p>
          <w:p w14:paraId="044BCC7E" w14:textId="33330FED" w:rsidR="007079B7" w:rsidRPr="00780FB9" w:rsidRDefault="00382EE8" w:rsidP="00B11C71">
            <w:pPr>
              <w:pStyle w:val="RecsBox"/>
              <w:numPr>
                <w:ilvl w:val="0"/>
                <w:numId w:val="146"/>
              </w:numPr>
            </w:pPr>
            <w:r>
              <w:rPr>
                <w:rFonts w:ascii="ZWAdobeF" w:hAnsi="ZWAdobeF" w:cs="ZWAdobeF"/>
                <w:sz w:val="2"/>
                <w:szCs w:val="2"/>
              </w:rPr>
              <w:t>1569B</w:t>
            </w:r>
            <w:r w:rsidR="00A35A70" w:rsidRPr="00FA5D32">
              <w:t>supporting transparency and community confidence through clear engagement processes and public reporting.</w:t>
            </w:r>
          </w:p>
        </w:tc>
      </w:tr>
      <w:tr w:rsidR="005C2902" w14:paraId="5A51CE58" w14:textId="77777777">
        <w:tc>
          <w:tcPr>
            <w:tcW w:w="9288" w:type="dxa"/>
          </w:tcPr>
          <w:p w14:paraId="529A71C1" w14:textId="6FFC0AB1" w:rsidR="001B7D34" w:rsidRPr="001B7D34" w:rsidRDefault="00382EE8" w:rsidP="001B7D34">
            <w:pPr>
              <w:pStyle w:val="RecsBox"/>
              <w:rPr>
                <w:rFonts w:eastAsia="Aptos"/>
                <w:b/>
                <w:bCs/>
              </w:rPr>
            </w:pPr>
            <w:r>
              <w:rPr>
                <w:rFonts w:ascii="ZWAdobeF" w:eastAsia="Aptos" w:hAnsi="ZWAdobeF" w:cs="ZWAdobeF"/>
                <w:bCs/>
                <w:sz w:val="2"/>
                <w:szCs w:val="2"/>
              </w:rPr>
              <w:lastRenderedPageBreak/>
              <w:t>1570B</w:t>
            </w:r>
            <w:r w:rsidR="001B7D34" w:rsidRPr="001B7D34">
              <w:rPr>
                <w:rFonts w:eastAsia="Aptos"/>
                <w:b/>
                <w:bCs/>
              </w:rPr>
              <w:t>Recommendation 13 – Monitoring, reporting and review</w:t>
            </w:r>
          </w:p>
          <w:p w14:paraId="5EAD10E5" w14:textId="22B0B427" w:rsidR="001B7D34" w:rsidRPr="00A64286" w:rsidRDefault="00382EE8" w:rsidP="001B7D34">
            <w:pPr>
              <w:pStyle w:val="RecsBox"/>
              <w:rPr>
                <w:rFonts w:eastAsia="Aptos"/>
              </w:rPr>
            </w:pPr>
            <w:r>
              <w:rPr>
                <w:rFonts w:ascii="ZWAdobeF" w:eastAsia="Aptos" w:hAnsi="ZWAdobeF" w:cs="ZWAdobeF"/>
                <w:sz w:val="2"/>
                <w:szCs w:val="2"/>
              </w:rPr>
              <w:t>1571B</w:t>
            </w:r>
            <w:r w:rsidR="001B7D34" w:rsidRPr="260626C7">
              <w:rPr>
                <w:rFonts w:eastAsia="Aptos"/>
              </w:rPr>
              <w:t>Governments establish an integrated monitoring, reporting and review framework</w:t>
            </w:r>
            <w:r w:rsidR="001B7D34" w:rsidRPr="00A64286">
              <w:rPr>
                <w:rFonts w:eastAsia="Aptos"/>
              </w:rPr>
              <w:t xml:space="preserve"> </w:t>
            </w:r>
            <w:r w:rsidR="001B7D34" w:rsidRPr="260626C7">
              <w:rPr>
                <w:rFonts w:eastAsia="Aptos"/>
              </w:rPr>
              <w:t>which brings together monitoring undertaken by relevant entities (including the Commonwealth Environmental Water Holder) that:</w:t>
            </w:r>
          </w:p>
          <w:p w14:paraId="306E0346" w14:textId="4EB5775B" w:rsidR="001B7D34" w:rsidRPr="00A64286" w:rsidRDefault="00382EE8" w:rsidP="00B11C71">
            <w:pPr>
              <w:pStyle w:val="RecsBox"/>
              <w:numPr>
                <w:ilvl w:val="0"/>
                <w:numId w:val="147"/>
              </w:numPr>
              <w:rPr>
                <w:rFonts w:eastAsia="Aptos"/>
              </w:rPr>
            </w:pPr>
            <w:r>
              <w:rPr>
                <w:rFonts w:ascii="ZWAdobeF" w:eastAsia="Aptos" w:hAnsi="ZWAdobeF" w:cs="ZWAdobeF"/>
                <w:sz w:val="2"/>
                <w:szCs w:val="2"/>
              </w:rPr>
              <w:t>1572B</w:t>
            </w:r>
            <w:r w:rsidR="001B7D34" w:rsidRPr="00A64286">
              <w:rPr>
                <w:rFonts w:eastAsia="Aptos"/>
              </w:rPr>
              <w:t>assesses performance against agreed objectives and indicators</w:t>
            </w:r>
          </w:p>
          <w:p w14:paraId="0780655B" w14:textId="58083A67" w:rsidR="001B7D34" w:rsidRPr="00A64286" w:rsidRDefault="00382EE8" w:rsidP="00B11C71">
            <w:pPr>
              <w:pStyle w:val="RecsBox"/>
              <w:numPr>
                <w:ilvl w:val="0"/>
                <w:numId w:val="147"/>
              </w:numPr>
              <w:rPr>
                <w:rFonts w:eastAsia="Aptos"/>
              </w:rPr>
            </w:pPr>
            <w:r>
              <w:rPr>
                <w:rFonts w:ascii="ZWAdobeF" w:eastAsia="Aptos" w:hAnsi="ZWAdobeF" w:cs="ZWAdobeF"/>
                <w:sz w:val="2"/>
                <w:szCs w:val="2"/>
              </w:rPr>
              <w:t>1573B</w:t>
            </w:r>
            <w:r w:rsidR="001B7D34" w:rsidRPr="00A64286">
              <w:rPr>
                <w:rFonts w:eastAsia="Aptos"/>
              </w:rPr>
              <w:t>provides independent, transparent reporting on system outcomes</w:t>
            </w:r>
          </w:p>
          <w:p w14:paraId="63BD0E20" w14:textId="68CB3DA1" w:rsidR="001B7D34" w:rsidRPr="00A64286" w:rsidRDefault="00382EE8" w:rsidP="00B11C71">
            <w:pPr>
              <w:pStyle w:val="RecsBox"/>
              <w:numPr>
                <w:ilvl w:val="0"/>
                <w:numId w:val="147"/>
              </w:numPr>
              <w:rPr>
                <w:rFonts w:eastAsia="Aptos"/>
              </w:rPr>
            </w:pPr>
            <w:r>
              <w:rPr>
                <w:rFonts w:ascii="ZWAdobeF" w:eastAsia="Aptos" w:hAnsi="ZWAdobeF" w:cs="ZWAdobeF"/>
                <w:sz w:val="2"/>
                <w:szCs w:val="2"/>
              </w:rPr>
              <w:t>1574B</w:t>
            </w:r>
            <w:r w:rsidR="001B7D34" w:rsidRPr="00A64286">
              <w:rPr>
                <w:rFonts w:eastAsia="Aptos"/>
              </w:rPr>
              <w:t>supports adaptive management through feedback into decision-making</w:t>
            </w:r>
          </w:p>
          <w:p w14:paraId="66D3D90F" w14:textId="76E275B9" w:rsidR="001B7D34" w:rsidRDefault="00382EE8" w:rsidP="00B11C71">
            <w:pPr>
              <w:pStyle w:val="RecsBox"/>
              <w:numPr>
                <w:ilvl w:val="0"/>
                <w:numId w:val="147"/>
              </w:numPr>
              <w:rPr>
                <w:rFonts w:eastAsia="Aptos"/>
              </w:rPr>
            </w:pPr>
            <w:r>
              <w:rPr>
                <w:rFonts w:ascii="ZWAdobeF" w:eastAsia="Aptos" w:hAnsi="ZWAdobeF" w:cs="ZWAdobeF"/>
                <w:sz w:val="2"/>
                <w:szCs w:val="2"/>
              </w:rPr>
              <w:t>1575B</w:t>
            </w:r>
            <w:r w:rsidR="001B7D34" w:rsidRPr="6E62429A">
              <w:rPr>
                <w:rFonts w:eastAsia="Aptos"/>
              </w:rPr>
              <w:t>includes regular independent audit (e.g. 5-yearly) and 10</w:t>
            </w:r>
            <w:r w:rsidR="001B7D34">
              <w:rPr>
                <w:rFonts w:eastAsia="Aptos"/>
              </w:rPr>
              <w:t>-</w:t>
            </w:r>
            <w:r w:rsidR="001B7D34" w:rsidRPr="6E62429A">
              <w:rPr>
                <w:rFonts w:eastAsia="Aptos"/>
              </w:rPr>
              <w:t>yearly Deed review</w:t>
            </w:r>
          </w:p>
          <w:p w14:paraId="54C31036" w14:textId="476B3524" w:rsidR="005C2902" w:rsidRPr="00AF4166" w:rsidRDefault="00382EE8" w:rsidP="00B11C71">
            <w:pPr>
              <w:pStyle w:val="RecsBox"/>
              <w:numPr>
                <w:ilvl w:val="0"/>
                <w:numId w:val="147"/>
              </w:numPr>
              <w:rPr>
                <w:rFonts w:eastAsia="Aptos"/>
              </w:rPr>
            </w:pPr>
            <w:r>
              <w:rPr>
                <w:rFonts w:ascii="ZWAdobeF" w:eastAsia="Aptos" w:hAnsi="ZWAdobeF" w:cs="ZWAdobeF"/>
                <w:sz w:val="2"/>
                <w:szCs w:val="2"/>
              </w:rPr>
              <w:t>1576B</w:t>
            </w:r>
            <w:r w:rsidR="001B7D34" w:rsidRPr="078A0D1C">
              <w:rPr>
                <w:rFonts w:eastAsia="Aptos"/>
              </w:rPr>
              <w:t xml:space="preserve">provides coordination across jurisdictions.  </w:t>
            </w:r>
          </w:p>
        </w:tc>
      </w:tr>
      <w:tr w:rsidR="00AF4166" w14:paraId="3504C1BC" w14:textId="77777777">
        <w:tc>
          <w:tcPr>
            <w:tcW w:w="9288" w:type="dxa"/>
          </w:tcPr>
          <w:p w14:paraId="21E4226B" w14:textId="6B5F707C" w:rsidR="008D5748" w:rsidRPr="008D5748" w:rsidRDefault="00382EE8" w:rsidP="008D5748">
            <w:pPr>
              <w:pStyle w:val="RecsBox"/>
              <w:rPr>
                <w:rFonts w:eastAsia="Aptos"/>
                <w:b/>
                <w:bCs/>
              </w:rPr>
            </w:pPr>
            <w:r>
              <w:rPr>
                <w:rFonts w:ascii="ZWAdobeF" w:eastAsia="Aptos" w:hAnsi="ZWAdobeF" w:cs="ZWAdobeF"/>
                <w:bCs/>
                <w:sz w:val="2"/>
                <w:szCs w:val="2"/>
              </w:rPr>
              <w:t>1577B</w:t>
            </w:r>
            <w:r w:rsidR="008D5748" w:rsidRPr="008D5748">
              <w:rPr>
                <w:rFonts w:eastAsia="Aptos"/>
                <w:b/>
                <w:bCs/>
              </w:rPr>
              <w:t xml:space="preserve">Recommendation 14 – Compliance and enforcement </w:t>
            </w:r>
          </w:p>
          <w:p w14:paraId="242EB204" w14:textId="559FB7EA" w:rsidR="008D5748" w:rsidRPr="00A64286" w:rsidRDefault="00382EE8" w:rsidP="008D5748">
            <w:pPr>
              <w:pStyle w:val="RecsBox"/>
              <w:rPr>
                <w:rFonts w:eastAsia="Aptos"/>
                <w:szCs w:val="22"/>
              </w:rPr>
            </w:pPr>
            <w:r>
              <w:rPr>
                <w:rFonts w:ascii="ZWAdobeF" w:eastAsia="Aptos" w:hAnsi="ZWAdobeF" w:cs="ZWAdobeF"/>
                <w:sz w:val="2"/>
                <w:szCs w:val="2"/>
              </w:rPr>
              <w:t>1578B</w:t>
            </w:r>
            <w:r w:rsidR="008D5748" w:rsidRPr="00A64286">
              <w:rPr>
                <w:rFonts w:eastAsia="Aptos"/>
                <w:szCs w:val="22"/>
              </w:rPr>
              <w:t>Governments establish a strengthened compliance and enforcement framework that:</w:t>
            </w:r>
          </w:p>
          <w:p w14:paraId="2E7015CD" w14:textId="2A17297F" w:rsidR="008D5748" w:rsidRPr="00A64286" w:rsidRDefault="00382EE8" w:rsidP="00B11C71">
            <w:pPr>
              <w:pStyle w:val="RecsBox"/>
              <w:numPr>
                <w:ilvl w:val="0"/>
                <w:numId w:val="148"/>
              </w:numPr>
              <w:rPr>
                <w:rFonts w:eastAsia="Aptos"/>
                <w:szCs w:val="22"/>
              </w:rPr>
            </w:pPr>
            <w:r>
              <w:rPr>
                <w:rFonts w:ascii="ZWAdobeF" w:eastAsia="Aptos" w:hAnsi="ZWAdobeF" w:cs="ZWAdobeF"/>
                <w:sz w:val="2"/>
                <w:szCs w:val="2"/>
              </w:rPr>
              <w:t>1579B</w:t>
            </w:r>
            <w:r w:rsidR="008D5748" w:rsidRPr="00A64286">
              <w:rPr>
                <w:rFonts w:eastAsia="Aptos"/>
                <w:szCs w:val="22"/>
              </w:rPr>
              <w:t>supports delivery of system-level objectives</w:t>
            </w:r>
          </w:p>
          <w:p w14:paraId="1D0124DA" w14:textId="2337ADE7" w:rsidR="008D5748" w:rsidRPr="00A64286" w:rsidRDefault="00382EE8" w:rsidP="00B11C71">
            <w:pPr>
              <w:pStyle w:val="RecsBox"/>
              <w:numPr>
                <w:ilvl w:val="0"/>
                <w:numId w:val="148"/>
              </w:numPr>
              <w:rPr>
                <w:rFonts w:eastAsia="Aptos"/>
                <w:szCs w:val="22"/>
              </w:rPr>
            </w:pPr>
            <w:r>
              <w:rPr>
                <w:rFonts w:ascii="ZWAdobeF" w:eastAsia="Aptos" w:hAnsi="ZWAdobeF" w:cs="ZWAdobeF"/>
                <w:sz w:val="2"/>
                <w:szCs w:val="2"/>
              </w:rPr>
              <w:t>1580B</w:t>
            </w:r>
            <w:r w:rsidR="008D5748" w:rsidRPr="00A64286">
              <w:rPr>
                <w:rFonts w:eastAsia="Aptos"/>
                <w:szCs w:val="22"/>
              </w:rPr>
              <w:t>separates compliance and enforcement functions from policy decision-making and operational and delivery to ensure independent oversight and clear accountability</w:t>
            </w:r>
          </w:p>
          <w:p w14:paraId="4FEF8EB2" w14:textId="5B212FE8" w:rsidR="008D5748" w:rsidRPr="00A64286" w:rsidRDefault="00382EE8" w:rsidP="00B11C71">
            <w:pPr>
              <w:pStyle w:val="RecsBox"/>
              <w:numPr>
                <w:ilvl w:val="0"/>
                <w:numId w:val="148"/>
              </w:numPr>
              <w:rPr>
                <w:rFonts w:eastAsia="Aptos"/>
                <w:szCs w:val="22"/>
              </w:rPr>
            </w:pPr>
            <w:r>
              <w:rPr>
                <w:rFonts w:ascii="ZWAdobeF" w:eastAsia="Aptos" w:hAnsi="ZWAdobeF" w:cs="ZWAdobeF"/>
                <w:sz w:val="2"/>
                <w:szCs w:val="2"/>
              </w:rPr>
              <w:t>1581B</w:t>
            </w:r>
            <w:r w:rsidR="008D5748" w:rsidRPr="00A64286">
              <w:rPr>
                <w:rFonts w:eastAsia="Aptos"/>
                <w:szCs w:val="22"/>
              </w:rPr>
              <w:t>applies proportionate enforcement mechanisms</w:t>
            </w:r>
          </w:p>
          <w:p w14:paraId="344211CA" w14:textId="1A8428E2" w:rsidR="008D5748" w:rsidRPr="00A64286" w:rsidRDefault="00382EE8" w:rsidP="00B11C71">
            <w:pPr>
              <w:pStyle w:val="RecsBox"/>
              <w:numPr>
                <w:ilvl w:val="0"/>
                <w:numId w:val="148"/>
              </w:numPr>
              <w:rPr>
                <w:rFonts w:eastAsia="Aptos"/>
                <w:szCs w:val="22"/>
              </w:rPr>
            </w:pPr>
            <w:r>
              <w:rPr>
                <w:rFonts w:ascii="ZWAdobeF" w:eastAsia="Aptos" w:hAnsi="ZWAdobeF" w:cs="ZWAdobeF"/>
                <w:sz w:val="2"/>
                <w:szCs w:val="2"/>
              </w:rPr>
              <w:t>1582B</w:t>
            </w:r>
            <w:r w:rsidR="008D5748" w:rsidRPr="00A64286">
              <w:rPr>
                <w:rFonts w:eastAsia="Aptos"/>
                <w:szCs w:val="22"/>
              </w:rPr>
              <w:t xml:space="preserve">provides transparent and regular (e.g. annual) public reporting on compliance </w:t>
            </w:r>
          </w:p>
          <w:p w14:paraId="7C14621C" w14:textId="76B86193" w:rsidR="00AF4166" w:rsidRPr="008D5748" w:rsidRDefault="00382EE8" w:rsidP="00B11C71">
            <w:pPr>
              <w:pStyle w:val="RecsBox"/>
              <w:numPr>
                <w:ilvl w:val="0"/>
                <w:numId w:val="148"/>
              </w:numPr>
              <w:rPr>
                <w:rFonts w:eastAsia="Aptos"/>
                <w:szCs w:val="22"/>
              </w:rPr>
            </w:pPr>
            <w:r>
              <w:rPr>
                <w:rFonts w:ascii="ZWAdobeF" w:eastAsia="Aptos" w:hAnsi="ZWAdobeF" w:cs="ZWAdobeF"/>
                <w:sz w:val="2"/>
                <w:szCs w:val="2"/>
              </w:rPr>
              <w:t>1583B</w:t>
            </w:r>
            <w:r w:rsidR="008D5748" w:rsidRPr="00A64286">
              <w:rPr>
                <w:rFonts w:eastAsia="Aptos"/>
                <w:szCs w:val="22"/>
              </w:rPr>
              <w:t>integrates with monitoring and review processes to support continuous improvement.</w:t>
            </w:r>
          </w:p>
        </w:tc>
      </w:tr>
      <w:tr w:rsidR="00D97DCE" w14:paraId="15A77B5D" w14:textId="77777777">
        <w:tc>
          <w:tcPr>
            <w:tcW w:w="9288" w:type="dxa"/>
          </w:tcPr>
          <w:p w14:paraId="55345927" w14:textId="09B16D3D" w:rsidR="00D97DCE" w:rsidRPr="00D97DCE" w:rsidRDefault="00382EE8" w:rsidP="00D97DCE">
            <w:pPr>
              <w:pStyle w:val="RecsBox"/>
              <w:rPr>
                <w:rFonts w:eastAsia="Aptos"/>
                <w:b/>
                <w:bCs/>
              </w:rPr>
            </w:pPr>
            <w:r>
              <w:rPr>
                <w:rFonts w:ascii="ZWAdobeF" w:eastAsia="Aptos" w:hAnsi="ZWAdobeF" w:cs="ZWAdobeF"/>
                <w:bCs/>
                <w:sz w:val="2"/>
                <w:szCs w:val="2"/>
              </w:rPr>
              <w:t>1584B</w:t>
            </w:r>
            <w:r w:rsidR="00D97DCE" w:rsidRPr="00D97DCE">
              <w:rPr>
                <w:rFonts w:eastAsia="Aptos"/>
                <w:b/>
                <w:bCs/>
              </w:rPr>
              <w:t>Recommendation 23 – Alignment of Corporate Governance (Snowy Hydro)</w:t>
            </w:r>
          </w:p>
          <w:p w14:paraId="2CEFA86C" w14:textId="1E71AAC8" w:rsidR="00D97DCE" w:rsidRPr="00A64286" w:rsidRDefault="00382EE8" w:rsidP="00D97DCE">
            <w:pPr>
              <w:pStyle w:val="RecsBox"/>
              <w:rPr>
                <w:rFonts w:eastAsia="Aptos"/>
              </w:rPr>
            </w:pPr>
            <w:r>
              <w:rPr>
                <w:rFonts w:ascii="ZWAdobeF" w:eastAsia="Aptos" w:hAnsi="ZWAdobeF" w:cs="ZWAdobeF"/>
                <w:sz w:val="2"/>
                <w:szCs w:val="2"/>
              </w:rPr>
              <w:t>1585B</w:t>
            </w:r>
            <w:r w:rsidR="00D97DCE" w:rsidRPr="00A64286">
              <w:rPr>
                <w:rFonts w:eastAsia="Aptos"/>
              </w:rPr>
              <w:t>The Australian Government should strengthen alignment between Snowy Hydro</w:t>
            </w:r>
            <w:r w:rsidR="00D97DCE">
              <w:rPr>
                <w:rFonts w:eastAsia="Aptos"/>
              </w:rPr>
              <w:t>’s</w:t>
            </w:r>
            <w:r w:rsidR="00D97DCE" w:rsidRPr="00A64286">
              <w:rPr>
                <w:rFonts w:eastAsia="Aptos"/>
              </w:rPr>
              <w:t xml:space="preserve"> corporate governance and system-level objectives.</w:t>
            </w:r>
          </w:p>
          <w:p w14:paraId="50D1D258" w14:textId="0DAF703E" w:rsidR="00D97DCE" w:rsidRPr="00A64286" w:rsidRDefault="00382EE8" w:rsidP="00D97DCE">
            <w:pPr>
              <w:pStyle w:val="RecsBox"/>
              <w:rPr>
                <w:rFonts w:eastAsia="Aptos"/>
              </w:rPr>
            </w:pPr>
            <w:r>
              <w:rPr>
                <w:rFonts w:ascii="ZWAdobeF" w:eastAsia="Aptos" w:hAnsi="ZWAdobeF" w:cs="ZWAdobeF"/>
                <w:sz w:val="2"/>
                <w:szCs w:val="2"/>
              </w:rPr>
              <w:t>1586B</w:t>
            </w:r>
            <w:r w:rsidR="00D97DCE" w:rsidRPr="00A64286">
              <w:rPr>
                <w:rFonts w:eastAsia="Aptos"/>
              </w:rPr>
              <w:t>This include</w:t>
            </w:r>
            <w:r w:rsidR="00D97DCE">
              <w:rPr>
                <w:rFonts w:eastAsia="Aptos"/>
              </w:rPr>
              <w:t>s</w:t>
            </w:r>
            <w:r w:rsidR="00D97DCE" w:rsidRPr="00A64286">
              <w:rPr>
                <w:rFonts w:eastAsia="Aptos"/>
              </w:rPr>
              <w:t>:</w:t>
            </w:r>
          </w:p>
          <w:p w14:paraId="1C7F5C6E" w14:textId="63E61B3A" w:rsidR="00D97DCE" w:rsidRPr="00A64286" w:rsidRDefault="00382EE8" w:rsidP="00B11C71">
            <w:pPr>
              <w:pStyle w:val="RecsBox"/>
              <w:numPr>
                <w:ilvl w:val="0"/>
                <w:numId w:val="149"/>
              </w:numPr>
              <w:rPr>
                <w:rFonts w:eastAsia="Aptos"/>
              </w:rPr>
            </w:pPr>
            <w:r>
              <w:rPr>
                <w:rFonts w:ascii="ZWAdobeF" w:eastAsia="Aptos" w:hAnsi="ZWAdobeF" w:cs="ZWAdobeF"/>
                <w:sz w:val="2"/>
                <w:szCs w:val="2"/>
              </w:rPr>
              <w:t>1587B</w:t>
            </w:r>
            <w:r w:rsidR="00D97DCE" w:rsidRPr="00A64286">
              <w:rPr>
                <w:rFonts w:eastAsia="Aptos"/>
              </w:rPr>
              <w:t>revising Statements of Expectations to reflect environmental, water and public benefit outcomes</w:t>
            </w:r>
          </w:p>
          <w:p w14:paraId="5D099A76" w14:textId="3E0F16AF" w:rsidR="00D97DCE" w:rsidRPr="00A64286" w:rsidRDefault="00382EE8" w:rsidP="00B11C71">
            <w:pPr>
              <w:pStyle w:val="RecsBox"/>
              <w:numPr>
                <w:ilvl w:val="0"/>
                <w:numId w:val="149"/>
              </w:numPr>
              <w:rPr>
                <w:rFonts w:eastAsia="Aptos"/>
              </w:rPr>
            </w:pPr>
            <w:r>
              <w:rPr>
                <w:rFonts w:ascii="ZWAdobeF" w:eastAsia="Aptos" w:hAnsi="ZWAdobeF" w:cs="ZWAdobeF"/>
                <w:sz w:val="2"/>
                <w:szCs w:val="2"/>
              </w:rPr>
              <w:t>1588B</w:t>
            </w:r>
            <w:r w:rsidR="00D97DCE" w:rsidRPr="00A64286">
              <w:rPr>
                <w:rFonts w:eastAsia="Aptos"/>
              </w:rPr>
              <w:t>incorporating specific performance measures linked to river environmental flow and system outcomes in Snowy Hydro’s Balanced Scorecard framework to inform performance assessment for bonuses for senior staff</w:t>
            </w:r>
          </w:p>
          <w:p w14:paraId="54778B0A" w14:textId="68D492C2" w:rsidR="00D97DCE" w:rsidRPr="00A64286" w:rsidRDefault="00382EE8" w:rsidP="00B11C71">
            <w:pPr>
              <w:pStyle w:val="RecsBox"/>
              <w:numPr>
                <w:ilvl w:val="0"/>
                <w:numId w:val="149"/>
              </w:numPr>
              <w:rPr>
                <w:rFonts w:eastAsia="Aptos"/>
              </w:rPr>
            </w:pPr>
            <w:r>
              <w:rPr>
                <w:rFonts w:ascii="ZWAdobeF" w:eastAsia="Aptos" w:hAnsi="ZWAdobeF" w:cs="ZWAdobeF"/>
                <w:sz w:val="2"/>
                <w:szCs w:val="2"/>
              </w:rPr>
              <w:t>1589B</w:t>
            </w:r>
            <w:r w:rsidR="00D97DCE" w:rsidRPr="078A0D1C">
              <w:rPr>
                <w:rFonts w:eastAsia="Aptos"/>
              </w:rPr>
              <w:t>ensuring board capability is balanced across priority sectors and functions, including water, environment, public policy (in addition to energy, risk, strategy, finance and other relevant skills)</w:t>
            </w:r>
          </w:p>
          <w:p w14:paraId="091DE73D" w14:textId="61F400EE" w:rsidR="00D97DCE" w:rsidRPr="00A64286" w:rsidRDefault="00382EE8" w:rsidP="00B11C71">
            <w:pPr>
              <w:pStyle w:val="RecsBox"/>
              <w:numPr>
                <w:ilvl w:val="0"/>
                <w:numId w:val="149"/>
              </w:numPr>
              <w:rPr>
                <w:rFonts w:eastAsia="Aptos"/>
              </w:rPr>
            </w:pPr>
            <w:r>
              <w:rPr>
                <w:rFonts w:ascii="ZWAdobeF" w:eastAsia="Aptos" w:hAnsi="ZWAdobeF" w:cs="ZWAdobeF"/>
                <w:sz w:val="2"/>
                <w:szCs w:val="2"/>
              </w:rPr>
              <w:t>1590B</w:t>
            </w:r>
            <w:r w:rsidR="00D97DCE" w:rsidRPr="00A64286">
              <w:rPr>
                <w:rFonts w:eastAsia="Aptos"/>
              </w:rPr>
              <w:t xml:space="preserve">appointing the </w:t>
            </w:r>
            <w:r w:rsidR="00D97DCE">
              <w:rPr>
                <w:rFonts w:eastAsia="Aptos"/>
              </w:rPr>
              <w:t>Australian Government M</w:t>
            </w:r>
            <w:r w:rsidR="00D97DCE" w:rsidRPr="00A64286">
              <w:rPr>
                <w:rFonts w:eastAsia="Aptos"/>
              </w:rPr>
              <w:t xml:space="preserve">inister responsible for water as a shareholder minister. </w:t>
            </w:r>
          </w:p>
          <w:p w14:paraId="043F90ED" w14:textId="77777777" w:rsidR="00D97DCE" w:rsidRPr="008D5748" w:rsidRDefault="00D97DCE" w:rsidP="008D5748">
            <w:pPr>
              <w:pStyle w:val="RecsBox"/>
              <w:rPr>
                <w:b/>
                <w:bCs/>
              </w:rPr>
            </w:pPr>
          </w:p>
        </w:tc>
      </w:tr>
    </w:tbl>
    <w:p w14:paraId="07AA691E" w14:textId="77777777" w:rsidR="004D2ADE" w:rsidRDefault="004D2ADE">
      <w:pPr>
        <w:jc w:val="left"/>
        <w:rPr>
          <w:rFonts w:asciiTheme="majorHAnsi" w:eastAsiaTheme="majorEastAsia" w:hAnsiTheme="majorHAnsi" w:cstheme="majorBidi"/>
          <w:b/>
          <w:color w:val="000099"/>
          <w:spacing w:val="-10"/>
          <w:kern w:val="28"/>
          <w:sz w:val="56"/>
          <w:szCs w:val="56"/>
        </w:rPr>
      </w:pPr>
      <w:r>
        <w:br w:type="page"/>
      </w:r>
    </w:p>
    <w:p w14:paraId="2F4E89D8" w14:textId="33A87DEF" w:rsidR="004F3CFA" w:rsidRDefault="00382EE8" w:rsidP="00115BD6">
      <w:pPr>
        <w:pStyle w:val="ReviewHeading"/>
        <w:numPr>
          <w:ilvl w:val="0"/>
          <w:numId w:val="95"/>
        </w:numPr>
        <w:tabs>
          <w:tab w:val="clear" w:pos="720"/>
        </w:tabs>
        <w:ind w:left="0" w:firstLine="0"/>
      </w:pPr>
      <w:r>
        <w:rPr>
          <w:rFonts w:ascii="ZWAdobeF" w:hAnsi="ZWAdobeF" w:cs="ZWAdobeF"/>
          <w:b w:val="0"/>
          <w:color w:val="auto"/>
          <w:spacing w:val="0"/>
          <w:sz w:val="2"/>
          <w:szCs w:val="2"/>
        </w:rPr>
        <w:lastRenderedPageBreak/>
        <w:t>1665B</w:t>
      </w:r>
      <w:r w:rsidR="1209BBE6">
        <w:t xml:space="preserve">System integration and </w:t>
      </w:r>
      <w:r w:rsidR="6DA6F003">
        <w:t>enabling elements</w:t>
      </w:r>
      <w:bookmarkEnd w:id="84"/>
      <w:bookmarkEnd w:id="85"/>
    </w:p>
    <w:p w14:paraId="56D191FB" w14:textId="77777777" w:rsidR="00F3702B" w:rsidRDefault="00F3702B" w:rsidP="00F246A4">
      <w:pPr>
        <w:rPr>
          <w:lang w:eastAsia="en-AU"/>
        </w:rPr>
      </w:pPr>
    </w:p>
    <w:p w14:paraId="6FF38BE7" w14:textId="0C9B0F59" w:rsidR="00ED4EF8" w:rsidRDefault="00382EE8" w:rsidP="009C55FC">
      <w:pPr>
        <w:rPr>
          <w:lang w:eastAsia="en-AU"/>
        </w:rPr>
      </w:pPr>
      <w:r>
        <w:rPr>
          <w:rFonts w:ascii="ZWAdobeF" w:hAnsi="ZWAdobeF" w:cs="ZWAdobeF"/>
          <w:sz w:val="2"/>
          <w:szCs w:val="2"/>
          <w:lang w:eastAsia="en-AU"/>
        </w:rPr>
        <w:t>1037B</w:t>
      </w:r>
      <w:r w:rsidR="00352A48" w:rsidRPr="00352A48">
        <w:rPr>
          <w:lang w:eastAsia="en-AU"/>
        </w:rPr>
        <w:t xml:space="preserve">The elements in this chapter are integral to achieving the system objectives and ensuring the effectiveness of the environmental flow arrangements outlined in </w:t>
      </w:r>
      <w:r w:rsidR="00352A48" w:rsidRPr="00E12F62">
        <w:rPr>
          <w:b/>
          <w:bCs/>
          <w:lang w:eastAsia="en-AU"/>
        </w:rPr>
        <w:t>Chapter 4</w:t>
      </w:r>
      <w:r w:rsidR="00352A48" w:rsidRPr="00352A48">
        <w:rPr>
          <w:lang w:eastAsia="en-AU"/>
        </w:rPr>
        <w:t xml:space="preserve"> and the governance framework outlined in </w:t>
      </w:r>
      <w:r w:rsidR="00352A48" w:rsidRPr="00E12F62">
        <w:rPr>
          <w:b/>
          <w:bCs/>
          <w:lang w:eastAsia="en-AU"/>
        </w:rPr>
        <w:t>Chapter 5</w:t>
      </w:r>
      <w:r w:rsidR="00352A48" w:rsidRPr="00352A48">
        <w:rPr>
          <w:lang w:eastAsia="en-AU"/>
        </w:rPr>
        <w:t>.</w:t>
      </w:r>
    </w:p>
    <w:p w14:paraId="0D98F624" w14:textId="52FB4536" w:rsidR="00033174" w:rsidRPr="00352A48" w:rsidRDefault="00382EE8" w:rsidP="00F246A4">
      <w:pPr>
        <w:rPr>
          <w:lang w:eastAsia="en-AU"/>
        </w:rPr>
      </w:pPr>
      <w:r>
        <w:rPr>
          <w:rFonts w:ascii="ZWAdobeF" w:hAnsi="ZWAdobeF" w:cs="ZWAdobeF"/>
          <w:sz w:val="2"/>
          <w:szCs w:val="2"/>
          <w:lang w:eastAsia="en-AU"/>
        </w:rPr>
        <w:t>1038B</w:t>
      </w:r>
      <w:r w:rsidR="00033174" w:rsidRPr="00352A48">
        <w:rPr>
          <w:lang w:eastAsia="en-AU"/>
        </w:rPr>
        <w:t>They reflect the broader system context within which environmental water is delivered, including the participation of First Nations and communities, integration across water, energy and land management systems and the coordination of planning and operations at a whole-of-system scale.</w:t>
      </w:r>
    </w:p>
    <w:p w14:paraId="40276A91" w14:textId="1E663B3D" w:rsidR="00033174" w:rsidRPr="00352A48" w:rsidRDefault="00382EE8" w:rsidP="00F246A4">
      <w:pPr>
        <w:rPr>
          <w:lang w:eastAsia="en-AU"/>
        </w:rPr>
      </w:pPr>
      <w:r>
        <w:rPr>
          <w:rFonts w:ascii="ZWAdobeF" w:hAnsi="ZWAdobeF" w:cs="ZWAdobeF"/>
          <w:sz w:val="2"/>
          <w:szCs w:val="2"/>
          <w:lang w:eastAsia="en-AU"/>
        </w:rPr>
        <w:t>1039B</w:t>
      </w:r>
      <w:r w:rsidR="00033174" w:rsidRPr="00352A48">
        <w:rPr>
          <w:lang w:eastAsia="en-AU"/>
        </w:rPr>
        <w:t xml:space="preserve">This includes the interaction between environmental water delivery and the </w:t>
      </w:r>
      <w:r w:rsidR="00F47769">
        <w:rPr>
          <w:lang w:eastAsia="en-AU"/>
        </w:rPr>
        <w:t>NEM</w:t>
      </w:r>
      <w:r w:rsidR="00033174" w:rsidRPr="00352A48">
        <w:rPr>
          <w:lang w:eastAsia="en-AU"/>
        </w:rPr>
        <w:t>, the role of catchment condition and complementary land and water management actions, and the need for adaptive operational arrangements and risk-sharing mechanisms</w:t>
      </w:r>
      <w:r w:rsidR="00033174" w:rsidRPr="00352A48" w:rsidDel="0059322A">
        <w:rPr>
          <w:lang w:eastAsia="en-AU"/>
        </w:rPr>
        <w:t>.</w:t>
      </w:r>
    </w:p>
    <w:p w14:paraId="7029CA20" w14:textId="13221AAE" w:rsidR="00691430" w:rsidRDefault="00382EE8" w:rsidP="00F246A4">
      <w:pPr>
        <w:rPr>
          <w:lang w:eastAsia="en-AU"/>
        </w:rPr>
      </w:pPr>
      <w:r>
        <w:rPr>
          <w:rFonts w:ascii="ZWAdobeF" w:hAnsi="ZWAdobeF" w:cs="ZWAdobeF"/>
          <w:sz w:val="2"/>
          <w:szCs w:val="2"/>
          <w:lang w:eastAsia="en-AU"/>
        </w:rPr>
        <w:t>1040B</w:t>
      </w:r>
      <w:r w:rsidR="00D506D0" w:rsidRPr="00352A48">
        <w:rPr>
          <w:lang w:eastAsia="en-AU"/>
        </w:rPr>
        <w:t>T</w:t>
      </w:r>
      <w:r w:rsidR="00033174" w:rsidRPr="00352A48">
        <w:rPr>
          <w:lang w:eastAsia="en-AU"/>
        </w:rPr>
        <w:t xml:space="preserve">hese elements form the enabling conditions for effective system performance, ensuring that </w:t>
      </w:r>
      <w:r w:rsidR="00352A48" w:rsidRPr="00352A48">
        <w:rPr>
          <w:lang w:eastAsia="en-AU"/>
        </w:rPr>
        <w:t xml:space="preserve">environmental flow arrangements and </w:t>
      </w:r>
      <w:r w:rsidR="00033174" w:rsidRPr="00352A48">
        <w:rPr>
          <w:lang w:eastAsia="en-AU"/>
        </w:rPr>
        <w:t xml:space="preserve">governance </w:t>
      </w:r>
      <w:r w:rsidR="00352A48" w:rsidRPr="00352A48">
        <w:rPr>
          <w:lang w:eastAsia="en-AU"/>
        </w:rPr>
        <w:t>frameworks</w:t>
      </w:r>
      <w:r w:rsidR="00033174" w:rsidRPr="00352A48">
        <w:rPr>
          <w:lang w:eastAsia="en-AU"/>
        </w:rPr>
        <w:t xml:space="preserve"> are supported by the broader institutional, environmental and socio-economic settings required to deliver intended outcomes over time.</w:t>
      </w:r>
    </w:p>
    <w:p w14:paraId="2543125D" w14:textId="43257624" w:rsidR="00086F2A" w:rsidRDefault="00641C97" w:rsidP="00F246A4">
      <w:pPr>
        <w:pStyle w:val="Sub-Heading"/>
      </w:pPr>
      <w:r>
        <w:t>Stakeholder perspectives on system integration and enabling elements</w:t>
      </w:r>
    </w:p>
    <w:p w14:paraId="45D7E5CE" w14:textId="47D3604C" w:rsidR="00565A16" w:rsidRDefault="00382EE8" w:rsidP="00F246A4">
      <w:r>
        <w:rPr>
          <w:rFonts w:ascii="ZWAdobeF" w:hAnsi="ZWAdobeF" w:cs="ZWAdobeF"/>
          <w:sz w:val="2"/>
          <w:szCs w:val="2"/>
        </w:rPr>
        <w:t>1041B</w:t>
      </w:r>
      <w:r w:rsidR="00565A16">
        <w:t>Stakeholder feedback consistently emphasised that achieving improved ecological outcomes requires more than changes to environmental water delivery. Across consultation, there was strong support for a more integrated, whole-of-system approach that aligns governance, environmental flows, catchment condition and community and First Nations involvement.</w:t>
      </w:r>
    </w:p>
    <w:p w14:paraId="0697EE53" w14:textId="3BB27230" w:rsidR="00565A16" w:rsidRPr="00CC7A58" w:rsidRDefault="00382EE8" w:rsidP="00F246A4">
      <w:pPr>
        <w:rPr>
          <w:b/>
          <w:bCs/>
        </w:rPr>
      </w:pPr>
      <w:r>
        <w:rPr>
          <w:rFonts w:ascii="ZWAdobeF" w:hAnsi="ZWAdobeF" w:cs="ZWAdobeF"/>
          <w:bCs/>
          <w:sz w:val="2"/>
          <w:szCs w:val="2"/>
        </w:rPr>
        <w:t>1042B</w:t>
      </w:r>
      <w:r w:rsidR="00565A16" w:rsidRPr="00CC7A58">
        <w:rPr>
          <w:b/>
          <w:bCs/>
        </w:rPr>
        <w:t>First Nations participation and custodianship</w:t>
      </w:r>
    </w:p>
    <w:p w14:paraId="0D9E9B81" w14:textId="7734B28B" w:rsidR="00565A16" w:rsidRDefault="00382EE8" w:rsidP="00F246A4">
      <w:r>
        <w:rPr>
          <w:rFonts w:ascii="ZWAdobeF" w:hAnsi="ZWAdobeF" w:cs="ZWAdobeF"/>
          <w:sz w:val="2"/>
          <w:szCs w:val="2"/>
        </w:rPr>
        <w:t>1043B</w:t>
      </w:r>
      <w:r w:rsidR="00565A16">
        <w:t>Stakeholders, particularly through the First Nations Advisory Group, identified the absence of formal roles for First Nations in governance and management as a key limitation of current arrangements. There was strong support for a shift from consultation-based engagement toward structured and enduring custodial roles, including greater involvement in planning, decision-making, delivery and monitoring. This includes recognition of cultural water and the integration of cultural knowledge and indicators into system management.</w:t>
      </w:r>
    </w:p>
    <w:p w14:paraId="0E7BD2DC" w14:textId="46CB1014" w:rsidR="00134639" w:rsidRPr="00CC7A58" w:rsidRDefault="00382EE8" w:rsidP="00F246A4">
      <w:pPr>
        <w:rPr>
          <w:i/>
          <w:iCs/>
        </w:rPr>
      </w:pPr>
      <w:r>
        <w:rPr>
          <w:rFonts w:ascii="ZWAdobeF" w:hAnsi="ZWAdobeF" w:cs="ZWAdobeF"/>
          <w:iCs/>
          <w:sz w:val="2"/>
          <w:szCs w:val="2"/>
        </w:rPr>
        <w:t>1044B</w:t>
      </w:r>
      <w:r w:rsidR="00134639" w:rsidRPr="00CC7A58">
        <w:rPr>
          <w:i/>
          <w:iCs/>
        </w:rPr>
        <w:t>“We seek active involvement in the management of the Snowy River. We should not be ‘consulted’ as bystanders; we should be integrated into the Emergency Management and Water Governance frameworks of Far East Gippsland.” - Submission 16</w:t>
      </w:r>
      <w:r w:rsidR="000E3A46">
        <w:rPr>
          <w:i/>
          <w:iCs/>
        </w:rPr>
        <w:t xml:space="preserve">, </w:t>
      </w:r>
      <w:r w:rsidR="00134639" w:rsidRPr="00CC7A58">
        <w:rPr>
          <w:i/>
          <w:iCs/>
        </w:rPr>
        <w:t>Scott Eades</w:t>
      </w:r>
    </w:p>
    <w:p w14:paraId="208D0C53" w14:textId="4BF9BCC1" w:rsidR="00257830" w:rsidRPr="00CC7A58" w:rsidRDefault="00382EE8" w:rsidP="00F246A4">
      <w:pPr>
        <w:rPr>
          <w:i/>
          <w:iCs/>
        </w:rPr>
      </w:pPr>
      <w:r>
        <w:rPr>
          <w:rFonts w:ascii="ZWAdobeF" w:hAnsi="ZWAdobeF" w:cs="ZWAdobeF"/>
          <w:iCs/>
          <w:sz w:val="2"/>
          <w:szCs w:val="2"/>
        </w:rPr>
        <w:t>1045B</w:t>
      </w:r>
      <w:r w:rsidR="00257830" w:rsidRPr="00CC7A58">
        <w:rPr>
          <w:i/>
          <w:iCs/>
        </w:rPr>
        <w:t>“First Nations participation requires particular and explicit recognition of authority…must be embedded as decision-makers within water governance arrangements, rather than consulted after decisions are effectively settled.” - Submission 129</w:t>
      </w:r>
      <w:r w:rsidR="000E3A46" w:rsidRPr="00CC7A58">
        <w:rPr>
          <w:i/>
          <w:iCs/>
        </w:rPr>
        <w:t>, Australian River Restoration Centre</w:t>
      </w:r>
    </w:p>
    <w:p w14:paraId="0FEB2362" w14:textId="77777777" w:rsidR="003853C6" w:rsidRDefault="003853C6" w:rsidP="00F246A4"/>
    <w:p w14:paraId="2A013A03" w14:textId="77777777" w:rsidR="003853C6" w:rsidRPr="00257830" w:rsidRDefault="003853C6" w:rsidP="00F246A4"/>
    <w:p w14:paraId="18C063EE" w14:textId="2A063A5D" w:rsidR="00565A16" w:rsidRPr="00CC7A58" w:rsidRDefault="00382EE8" w:rsidP="00F246A4">
      <w:pPr>
        <w:rPr>
          <w:b/>
          <w:bCs/>
        </w:rPr>
      </w:pPr>
      <w:r>
        <w:rPr>
          <w:rFonts w:ascii="ZWAdobeF" w:hAnsi="ZWAdobeF" w:cs="ZWAdobeF"/>
          <w:bCs/>
          <w:sz w:val="2"/>
          <w:szCs w:val="2"/>
        </w:rPr>
        <w:lastRenderedPageBreak/>
        <w:t>1046B</w:t>
      </w:r>
      <w:r w:rsidR="00565A16" w:rsidRPr="00CC7A58">
        <w:rPr>
          <w:b/>
          <w:bCs/>
        </w:rPr>
        <w:t>Community involvement and transparency</w:t>
      </w:r>
    </w:p>
    <w:p w14:paraId="27C6608D" w14:textId="7FCB0185" w:rsidR="00565A16" w:rsidRDefault="00382EE8" w:rsidP="00F246A4">
      <w:r>
        <w:rPr>
          <w:rFonts w:ascii="ZWAdobeF" w:hAnsi="ZWAdobeF" w:cs="ZWAdobeF"/>
          <w:sz w:val="2"/>
          <w:szCs w:val="2"/>
        </w:rPr>
        <w:t>1047B</w:t>
      </w:r>
      <w:r w:rsidR="00565A16">
        <w:t>Submissions highlighted a need for more meaningful and consistent community participation in planning and decision-making processes. Stakeholders emphasised that local knowledge and stewardship play an important role in improving river health, and that existing engagement processes are often fragmented or limited to consultation rather than ongoing involvement. Improved transparency in decision-making and clearer communication of trade-offs and outcomes were also identified as priorities for building trust and confidence.</w:t>
      </w:r>
    </w:p>
    <w:p w14:paraId="69359417" w14:textId="34641D76" w:rsidR="00072B92" w:rsidRPr="00CC7A58" w:rsidRDefault="00382EE8" w:rsidP="00F246A4">
      <w:pPr>
        <w:rPr>
          <w:i/>
          <w:iCs/>
        </w:rPr>
      </w:pPr>
      <w:r>
        <w:rPr>
          <w:rFonts w:ascii="ZWAdobeF" w:hAnsi="ZWAdobeF" w:cs="ZWAdobeF"/>
          <w:iCs/>
          <w:sz w:val="2"/>
          <w:szCs w:val="2"/>
        </w:rPr>
        <w:t>1048B</w:t>
      </w:r>
      <w:r w:rsidR="00072B92" w:rsidRPr="00CC7A58">
        <w:rPr>
          <w:i/>
          <w:iCs/>
        </w:rPr>
        <w:t>“Communities connected to the river deserve a meaningful role in its governance. This includes the AC</w:t>
      </w:r>
      <w:r w:rsidR="008D4B8D" w:rsidRPr="00CC7A58">
        <w:rPr>
          <w:i/>
          <w:iCs/>
        </w:rPr>
        <w:t xml:space="preserve">T, which relies on the river for drinking water, </w:t>
      </w:r>
      <w:r w:rsidR="00072B92" w:rsidRPr="00CC7A58">
        <w:rPr>
          <w:i/>
          <w:iCs/>
        </w:rPr>
        <w:t>as well as First Nations peoples, whose knowledge and stewardship should be recognised and embedded within decision-making structures.” – Submission 2</w:t>
      </w:r>
      <w:r w:rsidR="008D4B8D" w:rsidRPr="00CC7A58">
        <w:rPr>
          <w:i/>
          <w:iCs/>
        </w:rPr>
        <w:t>7, Anonymous</w:t>
      </w:r>
    </w:p>
    <w:p w14:paraId="40FEA9FC" w14:textId="5F1B4648" w:rsidR="0029699B" w:rsidRPr="00CC7A58" w:rsidRDefault="00382EE8" w:rsidP="00F246A4">
      <w:pPr>
        <w:rPr>
          <w:i/>
          <w:iCs/>
        </w:rPr>
      </w:pPr>
      <w:r>
        <w:rPr>
          <w:rFonts w:ascii="ZWAdobeF" w:hAnsi="ZWAdobeF" w:cs="ZWAdobeF"/>
          <w:iCs/>
          <w:sz w:val="2"/>
          <w:szCs w:val="2"/>
        </w:rPr>
        <w:t>1049B</w:t>
      </w:r>
      <w:r w:rsidR="0029699B" w:rsidRPr="00CC7A58">
        <w:rPr>
          <w:i/>
          <w:iCs/>
        </w:rPr>
        <w:t xml:space="preserve">“Communities affected by the river should have a meaningful role in decisions.” – Submission 28, </w:t>
      </w:r>
      <w:r w:rsidR="00470CFD" w:rsidRPr="00CC7A58">
        <w:rPr>
          <w:i/>
          <w:iCs/>
        </w:rPr>
        <w:t>Anonymous</w:t>
      </w:r>
    </w:p>
    <w:p w14:paraId="0072D8D1" w14:textId="04A8E9BA" w:rsidR="00565A16" w:rsidRPr="00CC7A58" w:rsidRDefault="00382EE8" w:rsidP="00F246A4">
      <w:pPr>
        <w:rPr>
          <w:b/>
          <w:bCs/>
        </w:rPr>
      </w:pPr>
      <w:r>
        <w:rPr>
          <w:rFonts w:ascii="ZWAdobeF" w:hAnsi="ZWAdobeF" w:cs="ZWAdobeF"/>
          <w:bCs/>
          <w:sz w:val="2"/>
          <w:szCs w:val="2"/>
        </w:rPr>
        <w:t>1050B</w:t>
      </w:r>
      <w:r w:rsidR="00565A16" w:rsidRPr="00CC7A58">
        <w:rPr>
          <w:b/>
          <w:bCs/>
        </w:rPr>
        <w:t>Whole-of-system planning and coordination</w:t>
      </w:r>
    </w:p>
    <w:p w14:paraId="50F48A5D" w14:textId="7685C379" w:rsidR="00565A16" w:rsidRDefault="00382EE8" w:rsidP="00F246A4">
      <w:r>
        <w:rPr>
          <w:rFonts w:ascii="ZWAdobeF" w:hAnsi="ZWAdobeF" w:cs="ZWAdobeF"/>
          <w:sz w:val="2"/>
          <w:szCs w:val="2"/>
        </w:rPr>
        <w:t>1051B</w:t>
      </w:r>
      <w:r w:rsidR="00565A16">
        <w:t>Across governments and stakeholders, there was broad recognition that current arrangements operate in a fragmented manner, with responsibilities distributed across jurisdictions, agencies and programs. Stakeholders emphasised the need for clearer coordination mechanisms, shared objectives and integrated planning processes that operate at a system scale. This includes aligning environmental water delivery with catchment management, land use planning and broader water resource management.</w:t>
      </w:r>
    </w:p>
    <w:p w14:paraId="5FCB6F5B" w14:textId="4AC80572" w:rsidR="00047AF0" w:rsidRPr="00CC7A58" w:rsidRDefault="00382EE8" w:rsidP="00F246A4">
      <w:pPr>
        <w:rPr>
          <w:i/>
          <w:iCs/>
        </w:rPr>
      </w:pPr>
      <w:r>
        <w:rPr>
          <w:rFonts w:ascii="ZWAdobeF" w:hAnsi="ZWAdobeF" w:cs="ZWAdobeF"/>
          <w:iCs/>
          <w:sz w:val="2"/>
          <w:szCs w:val="2"/>
        </w:rPr>
        <w:t>1052B</w:t>
      </w:r>
      <w:r w:rsidR="00047AF0" w:rsidRPr="00CC7A58">
        <w:rPr>
          <w:i/>
          <w:iCs/>
        </w:rPr>
        <w:t>“I encourage the review to carefully balance environmental improvements in the Upper Murrumbidgee with the protection of downstream water users in NSW.” – Submission</w:t>
      </w:r>
      <w:r w:rsidR="002B144B" w:rsidRPr="00CC7A58">
        <w:rPr>
          <w:i/>
          <w:iCs/>
        </w:rPr>
        <w:t xml:space="preserve">s </w:t>
      </w:r>
      <w:r w:rsidR="00047AF0" w:rsidRPr="00CC7A58">
        <w:rPr>
          <w:i/>
          <w:iCs/>
        </w:rPr>
        <w:t>20</w:t>
      </w:r>
      <w:r w:rsidR="00167A19" w:rsidRPr="00CC7A58">
        <w:rPr>
          <w:i/>
          <w:iCs/>
        </w:rPr>
        <w:t xml:space="preserve">, </w:t>
      </w:r>
      <w:r w:rsidR="007351B3" w:rsidRPr="00CC7A58">
        <w:rPr>
          <w:i/>
          <w:iCs/>
        </w:rPr>
        <w:t>Rodfos Farming</w:t>
      </w:r>
      <w:r w:rsidR="001B1C16" w:rsidRPr="00CC7A58">
        <w:rPr>
          <w:i/>
          <w:iCs/>
        </w:rPr>
        <w:t xml:space="preserve"> and </w:t>
      </w:r>
      <w:r w:rsidR="002B144B" w:rsidRPr="00CC7A58">
        <w:rPr>
          <w:i/>
          <w:iCs/>
        </w:rPr>
        <w:t>21</w:t>
      </w:r>
      <w:r w:rsidR="001B1C16" w:rsidRPr="00CC7A58">
        <w:rPr>
          <w:i/>
          <w:iCs/>
        </w:rPr>
        <w:t xml:space="preserve">, </w:t>
      </w:r>
      <w:r w:rsidR="00FC2DBD" w:rsidRPr="00CC7A58">
        <w:rPr>
          <w:i/>
          <w:iCs/>
        </w:rPr>
        <w:t>I Quarisa</w:t>
      </w:r>
      <w:r w:rsidR="00D53E23" w:rsidRPr="00CC7A58">
        <w:rPr>
          <w:i/>
          <w:iCs/>
        </w:rPr>
        <w:t xml:space="preserve"> </w:t>
      </w:r>
    </w:p>
    <w:p w14:paraId="077B9860" w14:textId="37E7983C" w:rsidR="00597662" w:rsidRPr="00CC7A58" w:rsidRDefault="00382EE8" w:rsidP="00F246A4">
      <w:pPr>
        <w:rPr>
          <w:i/>
          <w:iCs/>
        </w:rPr>
      </w:pPr>
      <w:r>
        <w:rPr>
          <w:rFonts w:ascii="ZWAdobeF" w:hAnsi="ZWAdobeF" w:cs="ZWAdobeF"/>
          <w:iCs/>
          <w:sz w:val="2"/>
          <w:szCs w:val="2"/>
        </w:rPr>
        <w:t>1053B</w:t>
      </w:r>
      <w:r w:rsidR="00597662" w:rsidRPr="00CC7A58">
        <w:rPr>
          <w:i/>
          <w:iCs/>
        </w:rPr>
        <w:t>“</w:t>
      </w:r>
      <w:r w:rsidR="006F034D" w:rsidRPr="00CC7A58">
        <w:rPr>
          <w:i/>
          <w:iCs/>
        </w:rPr>
        <w:t>Governance arrangements are exclusionary and lack transparency and accountability…t</w:t>
      </w:r>
      <w:r w:rsidR="00597662" w:rsidRPr="00CC7A58">
        <w:rPr>
          <w:i/>
          <w:iCs/>
        </w:rPr>
        <w:t>he Deed does not include clear obligations to protect biodiversity or prevent local extinction</w:t>
      </w:r>
      <w:r w:rsidR="006F034D" w:rsidRPr="00CC7A58">
        <w:rPr>
          <w:i/>
          <w:iCs/>
        </w:rPr>
        <w:t>s”</w:t>
      </w:r>
      <w:r w:rsidR="006A234D" w:rsidRPr="00CC7A58">
        <w:rPr>
          <w:i/>
          <w:iCs/>
        </w:rPr>
        <w:t xml:space="preserve"> – Submission</w:t>
      </w:r>
      <w:r w:rsidR="008821F0">
        <w:rPr>
          <w:i/>
          <w:iCs/>
        </w:rPr>
        <w:t> </w:t>
      </w:r>
      <w:r w:rsidR="006A234D" w:rsidRPr="00CC7A58">
        <w:rPr>
          <w:i/>
          <w:iCs/>
        </w:rPr>
        <w:t>54, Jimmy Hooper</w:t>
      </w:r>
    </w:p>
    <w:p w14:paraId="506CF3B8" w14:textId="540DFE74" w:rsidR="00565A16" w:rsidRPr="00CC7A58" w:rsidRDefault="00382EE8" w:rsidP="00F246A4">
      <w:pPr>
        <w:rPr>
          <w:b/>
          <w:bCs/>
        </w:rPr>
      </w:pPr>
      <w:r>
        <w:rPr>
          <w:rFonts w:ascii="ZWAdobeF" w:hAnsi="ZWAdobeF" w:cs="ZWAdobeF"/>
          <w:bCs/>
          <w:sz w:val="2"/>
          <w:szCs w:val="2"/>
        </w:rPr>
        <w:t>1054B</w:t>
      </w:r>
      <w:r w:rsidR="00565A16" w:rsidRPr="00CC7A58">
        <w:rPr>
          <w:b/>
          <w:bCs/>
        </w:rPr>
        <w:t>Catchment management and complementary actions</w:t>
      </w:r>
    </w:p>
    <w:p w14:paraId="7ECEA84A" w14:textId="6434AE42" w:rsidR="00565A16" w:rsidRDefault="00382EE8" w:rsidP="00F246A4">
      <w:r>
        <w:rPr>
          <w:rFonts w:ascii="ZWAdobeF" w:hAnsi="ZWAdobeF" w:cs="ZWAdobeF"/>
          <w:sz w:val="2"/>
          <w:szCs w:val="2"/>
        </w:rPr>
        <w:t>1055B</w:t>
      </w:r>
      <w:r w:rsidR="00565A16">
        <w:t>Stakeholders consistently noted that environmental water alone is insufficient to deliver ecological recovery where catchment condition is degraded. While there is strong capability and existing investment in catchment management, these efforts were described as fragmented, short-term and not consistently aligned with environmental water delivery. There was strong support for more coordinated, long-term and place-based approaches that integrate on-ground works with flow management.</w:t>
      </w:r>
    </w:p>
    <w:p w14:paraId="3CD16A05" w14:textId="42A8E3B7" w:rsidR="00AA73FD" w:rsidRPr="00CC7A58" w:rsidRDefault="00382EE8" w:rsidP="00F246A4">
      <w:pPr>
        <w:rPr>
          <w:i/>
          <w:iCs/>
        </w:rPr>
      </w:pPr>
      <w:r>
        <w:rPr>
          <w:rFonts w:ascii="ZWAdobeF" w:hAnsi="ZWAdobeF" w:cs="ZWAdobeF"/>
          <w:iCs/>
          <w:sz w:val="2"/>
          <w:szCs w:val="2"/>
        </w:rPr>
        <w:t>1056B</w:t>
      </w:r>
      <w:r w:rsidR="00AA73FD" w:rsidRPr="00CC7A58">
        <w:rPr>
          <w:i/>
          <w:iCs/>
        </w:rPr>
        <w:t>“The state of the river is just devastating. It is absolutely choking on sand. The sand slugging is extreme.” – Submission 2</w:t>
      </w:r>
      <w:r w:rsidR="001679B3" w:rsidRPr="00CC7A58">
        <w:rPr>
          <w:i/>
          <w:iCs/>
        </w:rPr>
        <w:t>, Anonymous</w:t>
      </w:r>
    </w:p>
    <w:p w14:paraId="0250ADC2" w14:textId="47A93D7E" w:rsidR="00FD7C05" w:rsidRPr="00CC7A58" w:rsidRDefault="00382EE8" w:rsidP="00F246A4">
      <w:pPr>
        <w:rPr>
          <w:i/>
          <w:iCs/>
        </w:rPr>
      </w:pPr>
      <w:r>
        <w:rPr>
          <w:rFonts w:ascii="ZWAdobeF" w:hAnsi="ZWAdobeF" w:cs="ZWAdobeF"/>
          <w:iCs/>
          <w:sz w:val="2"/>
          <w:szCs w:val="2"/>
        </w:rPr>
        <w:t>1057B</w:t>
      </w:r>
      <w:r w:rsidR="00FD7C05" w:rsidRPr="00CC7A58">
        <w:rPr>
          <w:i/>
          <w:iCs/>
        </w:rPr>
        <w:t>“Lack of flood flows combined with accelerated erosion from land clearing and over grazin</w:t>
      </w:r>
      <w:r w:rsidR="00DF35FE" w:rsidRPr="00CC7A58">
        <w:rPr>
          <w:i/>
          <w:iCs/>
        </w:rPr>
        <w:t>g</w:t>
      </w:r>
      <w:r w:rsidR="00DB1366" w:rsidRPr="00CC7A58">
        <w:rPr>
          <w:i/>
          <w:iCs/>
        </w:rPr>
        <w:t>,</w:t>
      </w:r>
      <w:r w:rsidR="00DF35FE" w:rsidRPr="00CC7A58">
        <w:rPr>
          <w:i/>
          <w:iCs/>
        </w:rPr>
        <w:t xml:space="preserve"> leading to extensive streambank and gully erosion</w:t>
      </w:r>
      <w:r w:rsidR="00DB1366" w:rsidRPr="00CC7A58">
        <w:rPr>
          <w:i/>
          <w:iCs/>
        </w:rPr>
        <w:t xml:space="preserve">, </w:t>
      </w:r>
      <w:r w:rsidR="00FD7C05" w:rsidRPr="00CC7A58">
        <w:rPr>
          <w:i/>
          <w:iCs/>
        </w:rPr>
        <w:t>has filled many refuge pools reducing drought refuges and restricting movement.” – Submission 11</w:t>
      </w:r>
      <w:r w:rsidR="00D1601B" w:rsidRPr="00CC7A58">
        <w:rPr>
          <w:i/>
          <w:iCs/>
        </w:rPr>
        <w:t>, Fin Martin</w:t>
      </w:r>
    </w:p>
    <w:p w14:paraId="591B25E7" w14:textId="415DD460" w:rsidR="00565A16" w:rsidRPr="00CC7A58" w:rsidRDefault="00382EE8" w:rsidP="00F246A4">
      <w:pPr>
        <w:rPr>
          <w:b/>
          <w:bCs/>
        </w:rPr>
      </w:pPr>
      <w:r>
        <w:rPr>
          <w:rFonts w:ascii="ZWAdobeF" w:hAnsi="ZWAdobeF" w:cs="ZWAdobeF"/>
          <w:bCs/>
          <w:sz w:val="2"/>
          <w:szCs w:val="2"/>
        </w:rPr>
        <w:lastRenderedPageBreak/>
        <w:t>1058B</w:t>
      </w:r>
      <w:r w:rsidR="00003200">
        <w:rPr>
          <w:b/>
          <w:bCs/>
        </w:rPr>
        <w:t>Revised compensation framework</w:t>
      </w:r>
    </w:p>
    <w:p w14:paraId="19280143" w14:textId="420127BA" w:rsidR="00167046" w:rsidRPr="00167046" w:rsidRDefault="00382EE8" w:rsidP="00F246A4">
      <w:r>
        <w:rPr>
          <w:rFonts w:ascii="ZWAdobeF" w:hAnsi="ZWAdobeF" w:cs="ZWAdobeF"/>
          <w:sz w:val="2"/>
          <w:szCs w:val="2"/>
        </w:rPr>
        <w:t>1059B</w:t>
      </w:r>
      <w:r w:rsidR="00167046" w:rsidRPr="00167046">
        <w:t xml:space="preserve">Stakeholders broadly supported more adaptive and flexible environmental water management, including the ability to respond to climatic variability and emerging ecological information. However, a consistent concern across submissions and intergovernmental discussions was that current arrangements require </w:t>
      </w:r>
      <w:r w:rsidR="00C41F60">
        <w:t xml:space="preserve">new </w:t>
      </w:r>
      <w:r w:rsidR="00167046" w:rsidRPr="00167046">
        <w:t xml:space="preserve">impacts </w:t>
      </w:r>
      <w:r w:rsidR="00742114">
        <w:t xml:space="preserve">to </w:t>
      </w:r>
      <w:r w:rsidR="00C41F60">
        <w:t xml:space="preserve">Snowy Hydro </w:t>
      </w:r>
      <w:r w:rsidR="00167046" w:rsidRPr="00167046">
        <w:t xml:space="preserve">to be offset, reinforcing expectations of protection from change and limiting the scope for adjustment. As identified through the </w:t>
      </w:r>
      <w:r w:rsidR="00C41F60">
        <w:t>RCG</w:t>
      </w:r>
      <w:r w:rsidR="00167046" w:rsidRPr="00167046">
        <w:t xml:space="preserve">, </w:t>
      </w:r>
      <w:r w:rsidR="00D473E6">
        <w:t>this</w:t>
      </w:r>
      <w:r w:rsidR="00167046" w:rsidRPr="00167046">
        <w:t xml:space="preserve"> act</w:t>
      </w:r>
      <w:r w:rsidR="00D473E6">
        <w:t>s</w:t>
      </w:r>
      <w:r w:rsidR="00167046" w:rsidRPr="00167046">
        <w:t xml:space="preserve"> as a practical barrier to adaptation. Stakeholders emphasised the need for clearer and more predictable approaches to allocating risk, including moving away from discretionary, case</w:t>
      </w:r>
      <w:r w:rsidR="00167046" w:rsidRPr="00167046">
        <w:noBreakHyphen/>
        <w:t>by</w:t>
      </w:r>
      <w:r w:rsidR="00167046" w:rsidRPr="00167046">
        <w:noBreakHyphen/>
        <w:t>case compensation</w:t>
      </w:r>
      <w:r w:rsidR="006544B7">
        <w:t xml:space="preserve"> under the current Snowy Compensation Deed</w:t>
      </w:r>
      <w:r w:rsidR="00167046" w:rsidRPr="00167046">
        <w:t xml:space="preserve"> towards defined, transparent and rule</w:t>
      </w:r>
      <w:r w:rsidR="00167046" w:rsidRPr="00167046">
        <w:noBreakHyphen/>
        <w:t>based arrangements that enable more confident decision</w:t>
      </w:r>
      <w:r w:rsidR="00167046" w:rsidRPr="00167046">
        <w:noBreakHyphen/>
        <w:t>making, improve system flexibility and support improved environmental outcomes over time.</w:t>
      </w:r>
    </w:p>
    <w:p w14:paraId="405FF0B4" w14:textId="505AAF3A" w:rsidR="008B09DF" w:rsidRPr="00CC7A58" w:rsidRDefault="00382EE8" w:rsidP="00F246A4">
      <w:pPr>
        <w:rPr>
          <w:i/>
          <w:iCs/>
        </w:rPr>
      </w:pPr>
      <w:r>
        <w:rPr>
          <w:rFonts w:ascii="ZWAdobeF" w:hAnsi="ZWAdobeF" w:cs="ZWAdobeF"/>
          <w:iCs/>
          <w:sz w:val="2"/>
          <w:szCs w:val="2"/>
        </w:rPr>
        <w:t>1060B</w:t>
      </w:r>
      <w:r w:rsidR="008B09DF" w:rsidRPr="00CC7A58">
        <w:rPr>
          <w:i/>
          <w:iCs/>
        </w:rPr>
        <w:t>“</w:t>
      </w:r>
      <w:r w:rsidR="00971EAC" w:rsidRPr="00CC7A58">
        <w:rPr>
          <w:i/>
          <w:iCs/>
        </w:rPr>
        <w:t>While the Deed can be amended by agreement of the Deed Parties, any corresponding change to the Licence triggers compensation payable by NSW to SHL, unless SHL agrees to changes. The costs incurred and compensation payable are in practice determined by the Licensee (SHL) under the current framework and are difficult to independently verify. There is no prescribed approach to calculating the costs. This creates a structural disincentive to pursue changes to the Deed or Licence that would improve outcomes, even where these align with the original intent or are otherwise agreed by all governments.” – Review Consultation Group Discussion Summary</w:t>
      </w:r>
    </w:p>
    <w:p w14:paraId="152C54CE" w14:textId="1B8001B0" w:rsidR="00727410" w:rsidRDefault="009C55FC" w:rsidP="001E4DFD">
      <w:pPr>
        <w:pStyle w:val="ReviewHeading2"/>
        <w:jc w:val="left"/>
      </w:pPr>
      <w:bookmarkStart w:id="86" w:name="_Toc233123421"/>
      <w:bookmarkStart w:id="87" w:name="_Toc233285612"/>
      <w:bookmarkStart w:id="88" w:name="_Toc233801491"/>
      <w:bookmarkEnd w:id="86"/>
      <w:r>
        <w:t xml:space="preserve">6.1 </w:t>
      </w:r>
      <w:r w:rsidR="005B03EA">
        <w:t>First Nations Participation</w:t>
      </w:r>
      <w:bookmarkEnd w:id="87"/>
      <w:bookmarkEnd w:id="88"/>
    </w:p>
    <w:p w14:paraId="4850D207" w14:textId="51088ECA" w:rsidR="00295E3B" w:rsidRDefault="00382EE8" w:rsidP="00F246A4">
      <w:r>
        <w:rPr>
          <w:rFonts w:ascii="ZWAdobeF" w:hAnsi="ZWAdobeF" w:cs="ZWAdobeF"/>
          <w:sz w:val="2"/>
          <w:szCs w:val="2"/>
        </w:rPr>
        <w:t>1061B</w:t>
      </w:r>
      <w:r w:rsidR="00295E3B" w:rsidRPr="00A557C4">
        <w:t xml:space="preserve">This </w:t>
      </w:r>
      <w:r w:rsidR="00D506D0">
        <w:t>section</w:t>
      </w:r>
      <w:r w:rsidR="00D506D0" w:rsidRPr="00A557C4">
        <w:t xml:space="preserve"> </w:t>
      </w:r>
      <w:r w:rsidR="00295E3B" w:rsidRPr="00A557C4">
        <w:t xml:space="preserve">responds to the voices of </w:t>
      </w:r>
      <w:r w:rsidR="3A19BC3A">
        <w:t xml:space="preserve">First </w:t>
      </w:r>
      <w:r w:rsidR="00295E3B" w:rsidRPr="00A557C4">
        <w:t xml:space="preserve">Nations that have engaged in this review with recommendations on how </w:t>
      </w:r>
      <w:r w:rsidR="0EC01E41">
        <w:t>their</w:t>
      </w:r>
      <w:r w:rsidR="45F6B921">
        <w:t xml:space="preserve"> </w:t>
      </w:r>
      <w:r w:rsidR="00295E3B" w:rsidRPr="007A77A1">
        <w:t xml:space="preserve">water interests can be progressed within </w:t>
      </w:r>
      <w:r w:rsidR="00295E3B">
        <w:t>the proposed reforms</w:t>
      </w:r>
      <w:r w:rsidR="00295E3B" w:rsidRPr="007A77A1">
        <w:t>.</w:t>
      </w:r>
      <w:r w:rsidR="00295E3B" w:rsidRPr="00A557C4">
        <w:t xml:space="preserve"> </w:t>
      </w:r>
    </w:p>
    <w:p w14:paraId="21911CD8" w14:textId="38BB708D" w:rsidR="00295E3B" w:rsidRDefault="00382EE8" w:rsidP="00F246A4">
      <w:r>
        <w:rPr>
          <w:rFonts w:ascii="ZWAdobeF" w:hAnsi="ZWAdobeF" w:cs="ZWAdobeF"/>
          <w:sz w:val="2"/>
          <w:szCs w:val="2"/>
        </w:rPr>
        <w:t>1062B</w:t>
      </w:r>
      <w:r w:rsidR="6834A5D5">
        <w:t xml:space="preserve">The </w:t>
      </w:r>
      <w:r w:rsidR="0B1B0DDF">
        <w:t>Review received advice from the FNAG</w:t>
      </w:r>
      <w:r w:rsidR="04ABE1A9">
        <w:t xml:space="preserve"> (FNAG</w:t>
      </w:r>
      <w:r w:rsidR="6834A5D5">
        <w:t xml:space="preserve"> Custodianship Papers</w:t>
      </w:r>
      <w:r w:rsidR="04ABE1A9">
        <w:t>),</w:t>
      </w:r>
      <w:r w:rsidR="0B1B0DDF">
        <w:t xml:space="preserve"> </w:t>
      </w:r>
      <w:r w:rsidR="01DAD9C6">
        <w:t>perspectives from</w:t>
      </w:r>
      <w:r w:rsidR="0B1B0DDF">
        <w:t xml:space="preserve"> </w:t>
      </w:r>
      <w:r w:rsidR="6834A5D5" w:rsidRPr="00CC08C1">
        <w:t xml:space="preserve">Snowy River </w:t>
      </w:r>
      <w:r w:rsidR="43DDF0C8">
        <w:t>First Nations</w:t>
      </w:r>
      <w:r w:rsidR="00B406EA">
        <w:t xml:space="preserve"> </w:t>
      </w:r>
      <w:r w:rsidR="50559EDD">
        <w:t>and through</w:t>
      </w:r>
      <w:r w:rsidR="6834A5D5" w:rsidRPr="006D45D8">
        <w:t xml:space="preserve"> public submissions on the </w:t>
      </w:r>
      <w:r w:rsidR="1C5E6921">
        <w:t xml:space="preserve">Panel’s </w:t>
      </w:r>
      <w:r w:rsidR="6834A5D5" w:rsidRPr="006D45D8">
        <w:t>Issues Consultation paper</w:t>
      </w:r>
      <w:r w:rsidR="00B406EA">
        <w:t>.</w:t>
      </w:r>
      <w:r w:rsidR="00B406EA" w:rsidRPr="00B406EA">
        <w:rPr>
          <w:rStyle w:val="FootnoteReference"/>
        </w:rPr>
        <w:t xml:space="preserve"> </w:t>
      </w:r>
      <w:r>
        <w:rPr>
          <w:rFonts w:ascii="ZWAdobeF" w:hAnsi="ZWAdobeF" w:cs="ZWAdobeF"/>
          <w:sz w:val="2"/>
          <w:szCs w:val="2"/>
        </w:rPr>
        <w:t>71F</w:t>
      </w:r>
      <w:r w:rsidR="00B406EA" w:rsidRPr="1E751BE8">
        <w:rPr>
          <w:rStyle w:val="FootnoteReference"/>
        </w:rPr>
        <w:footnoteReference w:id="72"/>
      </w:r>
      <w:r w:rsidR="00B406EA">
        <w:t xml:space="preserve"> </w:t>
      </w:r>
      <w:r>
        <w:rPr>
          <w:rFonts w:ascii="ZWAdobeF" w:hAnsi="ZWAdobeF" w:cs="ZWAdobeF"/>
          <w:sz w:val="2"/>
          <w:szCs w:val="2"/>
        </w:rPr>
        <w:t>72F</w:t>
      </w:r>
      <w:r w:rsidR="00B406EA" w:rsidRPr="1E751BE8">
        <w:rPr>
          <w:rStyle w:val="FootnoteReference"/>
        </w:rPr>
        <w:footnoteReference w:id="73"/>
      </w:r>
      <w:r w:rsidR="00B406EA">
        <w:t xml:space="preserve"> </w:t>
      </w:r>
      <w:r>
        <w:rPr>
          <w:rFonts w:ascii="ZWAdobeF" w:hAnsi="ZWAdobeF" w:cs="ZWAdobeF"/>
          <w:sz w:val="2"/>
          <w:szCs w:val="2"/>
        </w:rPr>
        <w:t>73F</w:t>
      </w:r>
      <w:r w:rsidR="00295E3B" w:rsidRPr="1E751BE8">
        <w:rPr>
          <w:rStyle w:val="FootnoteReference"/>
        </w:rPr>
        <w:footnoteReference w:id="74"/>
      </w:r>
      <w:r w:rsidR="6834A5D5">
        <w:t xml:space="preserve"> Together, they</w:t>
      </w:r>
      <w:r w:rsidR="6834A5D5" w:rsidRPr="00CC08C1">
        <w:t xml:space="preserve"> provide </w:t>
      </w:r>
      <w:r w:rsidR="6834A5D5">
        <w:t xml:space="preserve">a </w:t>
      </w:r>
      <w:r w:rsidR="6834A5D5" w:rsidRPr="00CC08C1">
        <w:t xml:space="preserve">thoughtful, </w:t>
      </w:r>
      <w:r w:rsidR="578CED08">
        <w:t xml:space="preserve">First </w:t>
      </w:r>
      <w:r w:rsidR="6834A5D5" w:rsidRPr="00CC08C1">
        <w:t>Nation</w:t>
      </w:r>
      <w:r w:rsidR="00295E3B" w:rsidRPr="00CC08C1">
        <w:noBreakHyphen/>
      </w:r>
      <w:r w:rsidR="6834A5D5" w:rsidRPr="00CC08C1">
        <w:t xml:space="preserve">led articulation of how First Nations understand their </w:t>
      </w:r>
      <w:r w:rsidR="6834A5D5">
        <w:t>obligations</w:t>
      </w:r>
      <w:r w:rsidR="6834A5D5" w:rsidRPr="00CC08C1">
        <w:t xml:space="preserve"> to water, Country and future generations. </w:t>
      </w:r>
      <w:r w:rsidR="6834A5D5">
        <w:t>The suite</w:t>
      </w:r>
      <w:r w:rsidR="6834A5D5" w:rsidRPr="00CC08C1">
        <w:t xml:space="preserve"> set</w:t>
      </w:r>
      <w:r w:rsidR="6834A5D5">
        <w:t>s</w:t>
      </w:r>
      <w:r w:rsidR="6834A5D5" w:rsidRPr="00CC08C1">
        <w:t xml:space="preserve"> out clear aspirations, perspectives and preferred directions for governments, grounded in long</w:t>
      </w:r>
      <w:r w:rsidR="00295E3B" w:rsidRPr="00CC08C1">
        <w:noBreakHyphen/>
      </w:r>
      <w:r w:rsidR="6834A5D5" w:rsidRPr="00CC08C1">
        <w:t xml:space="preserve">term custodianship and lived experience. </w:t>
      </w:r>
    </w:p>
    <w:p w14:paraId="570C3E8B" w14:textId="397FF651" w:rsidR="00295E3B" w:rsidRDefault="00382EE8" w:rsidP="00F246A4">
      <w:r>
        <w:rPr>
          <w:rFonts w:ascii="ZWAdobeF" w:hAnsi="ZWAdobeF" w:cs="ZWAdobeF"/>
          <w:sz w:val="2"/>
          <w:szCs w:val="2"/>
        </w:rPr>
        <w:t>1063B</w:t>
      </w:r>
      <w:r w:rsidR="00295E3B">
        <w:t>These documents are framed as direction</w:t>
      </w:r>
      <w:r w:rsidR="72FB4DC6">
        <w:t xml:space="preserve"> </w:t>
      </w:r>
      <w:r w:rsidR="00295E3B">
        <w:t xml:space="preserve">setting guidance on the values, governance characteristics and cultural responsibilities that First Nations consider essential for durable and legitimate water management. The Panel has considered this guidance </w:t>
      </w:r>
      <w:r w:rsidR="565888F8">
        <w:t>on</w:t>
      </w:r>
      <w:r w:rsidR="00295E3B">
        <w:t xml:space="preserve"> how First Nations water interests, including cultural water, can be progressed within the scope of this Review and aligned with contemporary governance and policy frameworks.</w:t>
      </w:r>
      <w:r w:rsidR="4AB28E73">
        <w:t xml:space="preserve"> </w:t>
      </w:r>
    </w:p>
    <w:p w14:paraId="2935F981" w14:textId="77777777" w:rsidR="00DD4584" w:rsidRDefault="00DD4584" w:rsidP="00EF451A">
      <w:pPr>
        <w:pStyle w:val="ReviewHeading3"/>
      </w:pPr>
      <w:r>
        <w:lastRenderedPageBreak/>
        <w:t>First Nations participation and cultural outcomes</w:t>
      </w:r>
    </w:p>
    <w:p w14:paraId="701E2C08" w14:textId="511BFB2E" w:rsidR="00726F37" w:rsidRDefault="00382EE8" w:rsidP="00EF451A">
      <w:r>
        <w:rPr>
          <w:rFonts w:ascii="ZWAdobeF" w:hAnsi="ZWAdobeF" w:cs="ZWAdobeF"/>
          <w:sz w:val="2"/>
          <w:szCs w:val="2"/>
        </w:rPr>
        <w:t>1064B</w:t>
      </w:r>
      <w:r w:rsidR="00726F37">
        <w:t>First Nations people have enduring cultural, spiritual and economic relationships with water and Country across the Snowy and Upper Murrumbidgee systems. These relationships include obligations to care for Country and maintain cultural practices. Current arrangements do not adequately reflect these roles or enable meaningful participation in system planning and delivery.</w:t>
      </w:r>
    </w:p>
    <w:p w14:paraId="51295162" w14:textId="59C0B63C" w:rsidR="00DD4584" w:rsidRDefault="00382EE8" w:rsidP="00EF451A">
      <w:r>
        <w:rPr>
          <w:rFonts w:ascii="ZWAdobeF" w:hAnsi="ZWAdobeF" w:cs="ZWAdobeF"/>
          <w:sz w:val="2"/>
          <w:szCs w:val="2"/>
        </w:rPr>
        <w:t>1065B</w:t>
      </w:r>
      <w:r w:rsidR="00726F37">
        <w:t xml:space="preserve">Strengthening First Nations participation is critical to achieving long-term environmental, cultural and community outcomes. </w:t>
      </w:r>
    </w:p>
    <w:p w14:paraId="0B68DD8C" w14:textId="47EC8F0F" w:rsidR="00D60CB3" w:rsidRDefault="009D6E82" w:rsidP="00EF451A">
      <w:pPr>
        <w:pStyle w:val="ReviewHeading3"/>
      </w:pPr>
      <w:r>
        <w:t xml:space="preserve">First Nations water </w:t>
      </w:r>
      <w:r w:rsidR="00677F92">
        <w:t>interests</w:t>
      </w:r>
    </w:p>
    <w:p w14:paraId="11F8843A" w14:textId="5E25587E" w:rsidR="006F00DF" w:rsidRDefault="00382EE8" w:rsidP="00EF451A">
      <w:r>
        <w:rPr>
          <w:rFonts w:ascii="ZWAdobeF" w:hAnsi="ZWAdobeF" w:cs="ZWAdobeF"/>
          <w:sz w:val="2"/>
          <w:szCs w:val="2"/>
        </w:rPr>
        <w:t>1066B</w:t>
      </w:r>
      <w:r w:rsidR="006F00DF" w:rsidRPr="006F00DF">
        <w:t>First Nations water interests extend beyond consumptive use to include cultural, environmental, spiritual and economic values associated with water and Country. These interests are not consistently recognised within existing system arrangements.</w:t>
      </w:r>
    </w:p>
    <w:p w14:paraId="14F3915B" w14:textId="1925E741" w:rsidR="00693363" w:rsidRDefault="00382EE8" w:rsidP="00EF451A">
      <w:r>
        <w:rPr>
          <w:rFonts w:ascii="ZWAdobeF" w:hAnsi="ZWAdobeF" w:cs="ZWAdobeF"/>
          <w:sz w:val="2"/>
          <w:szCs w:val="2"/>
        </w:rPr>
        <w:t>1067B</w:t>
      </w:r>
      <w:r w:rsidR="00693363">
        <w:t>The Panel has not identified any First Nations-held water entitlements in the Upper Murrumbidgee or Snowy River systems. This contrasts with emerging approaches in other parts of the Murray–Darling Basin, where First Nations groups have acquired, held or managed water entitlements for cultural purposes.</w:t>
      </w:r>
    </w:p>
    <w:p w14:paraId="334B5520" w14:textId="03D4E370" w:rsidR="00693363" w:rsidRPr="006F00DF" w:rsidRDefault="00382EE8" w:rsidP="00EF451A">
      <w:r>
        <w:rPr>
          <w:rFonts w:ascii="ZWAdobeF" w:hAnsi="ZWAdobeF" w:cs="ZWAdobeF"/>
          <w:sz w:val="2"/>
          <w:szCs w:val="2"/>
        </w:rPr>
        <w:t>1068B</w:t>
      </w:r>
      <w:r w:rsidR="00693363">
        <w:t xml:space="preserve">In the </w:t>
      </w:r>
      <w:r w:rsidR="00550575">
        <w:t>R</w:t>
      </w:r>
      <w:r w:rsidR="00693363">
        <w:t>egulated Murrumbidgee system, the Murrumbidgee Cultural Access Licence has enabled First Nations-led watering of culturally important wetlands and floodplain environments. The absence of equivalent arrangements in the Upper Murrumbidgee and Snowy systems limits the practical ability of First Nations to determine how water is used to meet cultural objectives, fulfil responsibilities to Country and realise broader economic opportunities.</w:t>
      </w:r>
    </w:p>
    <w:p w14:paraId="05F5522E" w14:textId="502057CB" w:rsidR="006F00DF" w:rsidRPr="006F00DF" w:rsidRDefault="00382EE8" w:rsidP="00EF451A">
      <w:r>
        <w:rPr>
          <w:rFonts w:ascii="ZWAdobeF" w:hAnsi="ZWAdobeF" w:cs="ZWAdobeF"/>
          <w:sz w:val="2"/>
          <w:szCs w:val="2"/>
        </w:rPr>
        <w:t>1069B</w:t>
      </w:r>
      <w:r w:rsidR="006F00DF" w:rsidRPr="006F00DF">
        <w:t>To support system outcomes:</w:t>
      </w:r>
    </w:p>
    <w:p w14:paraId="2F5E6F86" w14:textId="1FEC87BE" w:rsidR="006F00DF" w:rsidRPr="006F00DF" w:rsidRDefault="00382EE8" w:rsidP="00B11C71">
      <w:pPr>
        <w:pStyle w:val="ListParagraph"/>
        <w:numPr>
          <w:ilvl w:val="0"/>
          <w:numId w:val="150"/>
        </w:numPr>
        <w:spacing w:after="120" w:line="240" w:lineRule="auto"/>
      </w:pPr>
      <w:r>
        <w:rPr>
          <w:rFonts w:ascii="ZWAdobeF" w:hAnsi="ZWAdobeF" w:cs="ZWAdobeF"/>
          <w:sz w:val="2"/>
          <w:szCs w:val="2"/>
        </w:rPr>
        <w:t>310B</w:t>
      </w:r>
      <w:r w:rsidR="006F00DF" w:rsidRPr="006F00DF">
        <w:t>recognise First Nations water interests within system objectives, planning and delivery</w:t>
      </w:r>
    </w:p>
    <w:p w14:paraId="54E94617" w14:textId="58CF3336" w:rsidR="006F00DF" w:rsidRPr="006F00DF" w:rsidRDefault="00382EE8" w:rsidP="00B11C71">
      <w:pPr>
        <w:pStyle w:val="ListParagraph"/>
        <w:numPr>
          <w:ilvl w:val="0"/>
          <w:numId w:val="150"/>
        </w:numPr>
        <w:spacing w:after="120" w:line="240" w:lineRule="auto"/>
      </w:pPr>
      <w:r>
        <w:rPr>
          <w:rFonts w:ascii="ZWAdobeF" w:hAnsi="ZWAdobeF" w:cs="ZWAdobeF"/>
          <w:sz w:val="2"/>
          <w:szCs w:val="2"/>
        </w:rPr>
        <w:t>311B</w:t>
      </w:r>
      <w:r w:rsidR="006F00DF" w:rsidRPr="006F00DF">
        <w:t>enable structured participation in decisions affecting water management and river health</w:t>
      </w:r>
    </w:p>
    <w:p w14:paraId="1432B51A" w14:textId="73993D3D" w:rsidR="006F00DF" w:rsidRPr="006F00DF" w:rsidRDefault="00382EE8" w:rsidP="00B11C71">
      <w:pPr>
        <w:pStyle w:val="ListParagraph"/>
        <w:numPr>
          <w:ilvl w:val="0"/>
          <w:numId w:val="150"/>
        </w:numPr>
        <w:spacing w:after="120" w:line="240" w:lineRule="auto"/>
      </w:pPr>
      <w:r>
        <w:rPr>
          <w:rFonts w:ascii="ZWAdobeF" w:hAnsi="ZWAdobeF" w:cs="ZWAdobeF"/>
          <w:sz w:val="2"/>
          <w:szCs w:val="2"/>
        </w:rPr>
        <w:t>312B</w:t>
      </w:r>
      <w:r w:rsidR="006F00DF" w:rsidRPr="006F00DF">
        <w:t>support the inclusion of cultural values in monitoring and evaluation frameworks</w:t>
      </w:r>
      <w:r w:rsidR="008E5B49">
        <w:t>.</w:t>
      </w:r>
    </w:p>
    <w:p w14:paraId="05F428CA" w14:textId="1C18728E" w:rsidR="00B67129" w:rsidRDefault="00B67129" w:rsidP="00EF451A">
      <w:pPr>
        <w:pStyle w:val="ReviewHeading3"/>
      </w:pPr>
      <w:r>
        <w:t>Government policies and strategies</w:t>
      </w:r>
    </w:p>
    <w:p w14:paraId="548FD48C" w14:textId="3B602C88" w:rsidR="00247136" w:rsidRDefault="00382EE8" w:rsidP="00EF451A">
      <w:pPr>
        <w:rPr>
          <w:rFonts w:eastAsiaTheme="minorEastAsia"/>
        </w:rPr>
      </w:pPr>
      <w:r>
        <w:rPr>
          <w:rFonts w:ascii="ZWAdobeF" w:eastAsiaTheme="minorEastAsia" w:hAnsi="ZWAdobeF" w:cs="ZWAdobeF"/>
          <w:sz w:val="2"/>
          <w:szCs w:val="2"/>
        </w:rPr>
        <w:t>1070B</w:t>
      </w:r>
      <w:r w:rsidR="3FAE5A06" w:rsidRPr="6332CC80">
        <w:rPr>
          <w:rFonts w:eastAsiaTheme="minorEastAsia"/>
        </w:rPr>
        <w:t xml:space="preserve">The policy environment surrounding the Deed has evolved significantly since 2002. </w:t>
      </w:r>
      <w:r w:rsidR="00D839E4">
        <w:rPr>
          <w:rFonts w:eastAsiaTheme="minorEastAsia"/>
        </w:rPr>
        <w:t>Australian</w:t>
      </w:r>
      <w:r w:rsidR="00D839E4" w:rsidRPr="00D839E4">
        <w:rPr>
          <w:rFonts w:eastAsiaTheme="minorEastAsia"/>
        </w:rPr>
        <w:t xml:space="preserve"> and State governments have established a range of policies and commitments to strengthen First</w:t>
      </w:r>
      <w:r w:rsidR="005C124B">
        <w:rPr>
          <w:rFonts w:eastAsiaTheme="minorEastAsia"/>
        </w:rPr>
        <w:t xml:space="preserve"> </w:t>
      </w:r>
      <w:r w:rsidR="00D839E4" w:rsidRPr="00D839E4">
        <w:rPr>
          <w:rFonts w:eastAsiaTheme="minorEastAsia"/>
        </w:rPr>
        <w:t xml:space="preserve">Nations participation in water and environmental management. </w:t>
      </w:r>
    </w:p>
    <w:p w14:paraId="77416025" w14:textId="64A8D0D3" w:rsidR="00D839E4" w:rsidRPr="00D839E4" w:rsidRDefault="00382EE8" w:rsidP="00EF451A">
      <w:pPr>
        <w:rPr>
          <w:rFonts w:eastAsiaTheme="minorEastAsia"/>
        </w:rPr>
      </w:pPr>
      <w:r>
        <w:rPr>
          <w:rFonts w:ascii="ZWAdobeF" w:eastAsiaTheme="minorEastAsia" w:hAnsi="ZWAdobeF" w:cs="ZWAdobeF"/>
          <w:sz w:val="2"/>
          <w:szCs w:val="2"/>
        </w:rPr>
        <w:t>1071B</w:t>
      </w:r>
      <w:r w:rsidR="00247136" w:rsidRPr="6332CC80">
        <w:rPr>
          <w:rFonts w:eastAsiaTheme="minorEastAsia"/>
        </w:rPr>
        <w:t xml:space="preserve">At the national level, the Closing the Gap </w:t>
      </w:r>
      <w:r w:rsidR="00FF1298">
        <w:rPr>
          <w:rFonts w:eastAsiaTheme="minorEastAsia"/>
        </w:rPr>
        <w:t>agreement</w:t>
      </w:r>
      <w:r w:rsidR="00247136" w:rsidRPr="6332CC80">
        <w:rPr>
          <w:rFonts w:eastAsiaTheme="minorEastAsia"/>
        </w:rPr>
        <w:t xml:space="preserve"> and the draft National Water Agreement establish expectations for shared decision</w:t>
      </w:r>
      <w:r w:rsidR="00247136">
        <w:noBreakHyphen/>
      </w:r>
      <w:r w:rsidR="00247136" w:rsidRPr="6332CC80">
        <w:rPr>
          <w:rFonts w:eastAsiaTheme="minorEastAsia"/>
        </w:rPr>
        <w:t>making, stronger community-controlled roles and recognition of First Nations’ rights and interests in land and water</w:t>
      </w:r>
      <w:r w:rsidR="00247136">
        <w:rPr>
          <w:rFonts w:eastAsiaTheme="minorEastAsia"/>
        </w:rPr>
        <w:t xml:space="preserve">. </w:t>
      </w:r>
      <w:r w:rsidR="00D839E4" w:rsidRPr="00D839E4">
        <w:rPr>
          <w:rFonts w:eastAsiaTheme="minorEastAsia"/>
        </w:rPr>
        <w:t>These reforms establish a clear expectation that First Nations people are involved in decisions that affect their Country.</w:t>
      </w:r>
    </w:p>
    <w:p w14:paraId="5826E756" w14:textId="68A031F1" w:rsidR="007B5423" w:rsidRDefault="00382EE8" w:rsidP="00EF451A">
      <w:pPr>
        <w:rPr>
          <w:rFonts w:eastAsiaTheme="minorEastAsia"/>
        </w:rPr>
      </w:pPr>
      <w:r>
        <w:rPr>
          <w:rFonts w:ascii="ZWAdobeF" w:eastAsiaTheme="minorEastAsia" w:hAnsi="ZWAdobeF" w:cs="ZWAdobeF"/>
          <w:sz w:val="2"/>
          <w:szCs w:val="2"/>
        </w:rPr>
        <w:t>1072B</w:t>
      </w:r>
      <w:r w:rsidR="00560C56" w:rsidRPr="00560C56">
        <w:rPr>
          <w:rFonts w:eastAsiaTheme="minorEastAsia"/>
        </w:rPr>
        <w:t>Jurisdictional frameworks</w:t>
      </w:r>
      <w:r w:rsidR="007B5423">
        <w:rPr>
          <w:rFonts w:eastAsiaTheme="minorEastAsia"/>
        </w:rPr>
        <w:t xml:space="preserve"> signal a shift toward greater involvement of First Nations in decision-making and management of water resources:</w:t>
      </w:r>
    </w:p>
    <w:p w14:paraId="614A5163" w14:textId="70CFA2A9" w:rsidR="000B2E3C" w:rsidRPr="0041184C" w:rsidRDefault="00382EE8" w:rsidP="00B11C71">
      <w:pPr>
        <w:pStyle w:val="ListParagraph"/>
        <w:numPr>
          <w:ilvl w:val="0"/>
          <w:numId w:val="137"/>
        </w:numPr>
        <w:ind w:left="709"/>
        <w:rPr>
          <w:rFonts w:eastAsiaTheme="minorEastAsia"/>
        </w:rPr>
      </w:pPr>
      <w:r>
        <w:rPr>
          <w:rFonts w:ascii="ZWAdobeF" w:hAnsi="ZWAdobeF" w:cs="ZWAdobeF"/>
          <w:sz w:val="2"/>
          <w:szCs w:val="2"/>
        </w:rPr>
        <w:t>313B</w:t>
      </w:r>
      <w:hyperlink r:id="rId66" w:history="1">
        <w:r w:rsidR="007B5423" w:rsidRPr="002E50BC">
          <w:rPr>
            <w:rStyle w:val="Hyperlink"/>
            <w:rFonts w:eastAsiaTheme="minorEastAsia"/>
          </w:rPr>
          <w:t>Victoria’s Water is Life</w:t>
        </w:r>
      </w:hyperlink>
      <w:r w:rsidR="007B5423" w:rsidRPr="0041184C">
        <w:rPr>
          <w:rFonts w:eastAsiaTheme="minorEastAsia"/>
        </w:rPr>
        <w:t xml:space="preserve"> roadmap provides a practical model for implementation, including pathways for Traditional Owners to hold and manage water, lead seasonal watering decisions and participate in governance through funded arrangements. </w:t>
      </w:r>
    </w:p>
    <w:p w14:paraId="46552EE3" w14:textId="159784D5" w:rsidR="000B2E3C" w:rsidRPr="00867157" w:rsidRDefault="00382EE8" w:rsidP="00B11C71">
      <w:pPr>
        <w:pStyle w:val="ListParagraph"/>
        <w:numPr>
          <w:ilvl w:val="0"/>
          <w:numId w:val="137"/>
        </w:numPr>
        <w:rPr>
          <w:rFonts w:eastAsiaTheme="minorEastAsia"/>
        </w:rPr>
      </w:pPr>
      <w:r>
        <w:rPr>
          <w:rFonts w:ascii="ZWAdobeF" w:eastAsiaTheme="minorEastAsia" w:hAnsi="ZWAdobeF" w:cs="ZWAdobeF"/>
          <w:sz w:val="2"/>
          <w:szCs w:val="2"/>
        </w:rPr>
        <w:lastRenderedPageBreak/>
        <w:t>314B</w:t>
      </w:r>
      <w:r w:rsidR="007B5423" w:rsidRPr="00CC7A58">
        <w:rPr>
          <w:rFonts w:eastAsiaTheme="minorEastAsia"/>
        </w:rPr>
        <w:t xml:space="preserve">In New South Wales </w:t>
      </w:r>
      <w:hyperlink r:id="rId67" w:history="1">
        <w:r w:rsidR="007B5423" w:rsidRPr="00D42F23">
          <w:rPr>
            <w:rStyle w:val="Hyperlink"/>
            <w:rFonts w:eastAsiaTheme="minorEastAsia"/>
          </w:rPr>
          <w:t>the Aboriginal Water Strategy</w:t>
        </w:r>
      </w:hyperlink>
      <w:r w:rsidR="007B5423" w:rsidRPr="00CC7A58">
        <w:rPr>
          <w:rFonts w:eastAsiaTheme="minorEastAsia"/>
        </w:rPr>
        <w:t xml:space="preserve"> and </w:t>
      </w:r>
      <w:hyperlink r:id="rId68" w:history="1">
        <w:r w:rsidR="007B5423" w:rsidRPr="00FC5526">
          <w:rPr>
            <w:rStyle w:val="Hyperlink"/>
            <w:rFonts w:eastAsiaTheme="minorEastAsia"/>
          </w:rPr>
          <w:t>Regional Water Strategies</w:t>
        </w:r>
      </w:hyperlink>
      <w:r w:rsidR="007B5423" w:rsidRPr="00CC7A58">
        <w:rPr>
          <w:rFonts w:eastAsiaTheme="minorEastAsia"/>
        </w:rPr>
        <w:t xml:space="preserve"> focus on increasing Aboriginal access and ownership of water, embedding cultural knowledge, and strengthening participation in planning and governance. </w:t>
      </w:r>
    </w:p>
    <w:p w14:paraId="3F13715C" w14:textId="401C37DA" w:rsidR="00560C56" w:rsidRPr="0041184C" w:rsidRDefault="00382EE8" w:rsidP="00B11C71">
      <w:pPr>
        <w:pStyle w:val="ListParagraph"/>
        <w:numPr>
          <w:ilvl w:val="0"/>
          <w:numId w:val="137"/>
        </w:numPr>
        <w:rPr>
          <w:rFonts w:eastAsiaTheme="minorEastAsia"/>
        </w:rPr>
      </w:pPr>
      <w:r>
        <w:rPr>
          <w:rFonts w:ascii="ZWAdobeF" w:eastAsiaTheme="minorEastAsia" w:hAnsi="ZWAdobeF" w:cs="ZWAdobeF"/>
          <w:sz w:val="2"/>
          <w:szCs w:val="2"/>
        </w:rPr>
        <w:t>315B</w:t>
      </w:r>
      <w:r w:rsidR="007B5423" w:rsidRPr="0041184C">
        <w:rPr>
          <w:rFonts w:eastAsiaTheme="minorEastAsia"/>
        </w:rPr>
        <w:t xml:space="preserve">In the ACT </w:t>
      </w:r>
      <w:hyperlink r:id="rId69" w:history="1">
        <w:r w:rsidR="007B5423" w:rsidRPr="004C3ACD">
          <w:rPr>
            <w:rStyle w:val="Hyperlink"/>
            <w:rFonts w:eastAsiaTheme="minorEastAsia"/>
          </w:rPr>
          <w:t>the Water Strategy 2025–2045</w:t>
        </w:r>
      </w:hyperlink>
      <w:r w:rsidR="007B5423" w:rsidRPr="0041184C">
        <w:rPr>
          <w:rFonts w:eastAsiaTheme="minorEastAsia"/>
        </w:rPr>
        <w:t xml:space="preserve"> recognises cultural values, supports Aboriginal Waterway Assessments and cultural flows and commits to stronger partnerships with Traditional Custodians</w:t>
      </w:r>
      <w:r w:rsidR="000B2E3C" w:rsidRPr="0041184C">
        <w:rPr>
          <w:rFonts w:eastAsiaTheme="minorEastAsia"/>
        </w:rPr>
        <w:t>.</w:t>
      </w:r>
    </w:p>
    <w:p w14:paraId="114D8943" w14:textId="18D8615F" w:rsidR="003E241B" w:rsidRPr="006B5457" w:rsidRDefault="00382EE8" w:rsidP="00EF451A">
      <w:pPr>
        <w:rPr>
          <w:lang w:eastAsia="en-AU"/>
        </w:rPr>
      </w:pPr>
      <w:r>
        <w:rPr>
          <w:rFonts w:ascii="ZWAdobeF" w:hAnsi="ZWAdobeF" w:cs="ZWAdobeF"/>
          <w:sz w:val="2"/>
          <w:szCs w:val="2"/>
          <w:lang w:eastAsia="en-AU"/>
        </w:rPr>
        <w:t>1073B</w:t>
      </w:r>
      <w:r w:rsidR="000A1BDC">
        <w:rPr>
          <w:lang w:eastAsia="en-AU"/>
        </w:rPr>
        <w:t>W</w:t>
      </w:r>
      <w:r w:rsidR="003E241B" w:rsidRPr="006B5457">
        <w:rPr>
          <w:lang w:eastAsia="en-AU"/>
        </w:rPr>
        <w:t>ithin the Snowy and Upper Murrumbidgee systems the application of these policies has remained limited. Participation is largely consultation-based and does not provide First Nations with a defined or ongoing role in governance, planning or operational decision-making.</w:t>
      </w:r>
    </w:p>
    <w:p w14:paraId="669788BC" w14:textId="5E0C4C4F" w:rsidR="003E241B" w:rsidRPr="006B5457" w:rsidRDefault="00382EE8" w:rsidP="00EF451A">
      <w:pPr>
        <w:rPr>
          <w:lang w:eastAsia="en-AU"/>
        </w:rPr>
      </w:pPr>
      <w:r>
        <w:rPr>
          <w:rFonts w:ascii="ZWAdobeF" w:hAnsi="ZWAdobeF" w:cs="ZWAdobeF"/>
          <w:sz w:val="2"/>
          <w:szCs w:val="2"/>
          <w:lang w:eastAsia="en-AU"/>
        </w:rPr>
        <w:t>1074B</w:t>
      </w:r>
      <w:r w:rsidR="003E241B" w:rsidRPr="006B5457">
        <w:rPr>
          <w:lang w:eastAsia="en-AU"/>
        </w:rPr>
        <w:t xml:space="preserve">The </w:t>
      </w:r>
      <w:r w:rsidR="0001704A">
        <w:rPr>
          <w:lang w:eastAsia="en-AU"/>
        </w:rPr>
        <w:t>FNAG</w:t>
      </w:r>
      <w:r w:rsidR="003E241B" w:rsidRPr="006B5457">
        <w:rPr>
          <w:lang w:eastAsia="en-AU"/>
        </w:rPr>
        <w:t xml:space="preserve"> emphasised the need to move beyond consultation toward a model of custodianship, in which First Nations people are recognised as enduring partners in the stewardship of rivers and landscapes.</w:t>
      </w:r>
    </w:p>
    <w:p w14:paraId="76B3A828" w14:textId="24DD6F87" w:rsidR="004029C1" w:rsidRPr="007E05DD" w:rsidRDefault="00382EE8" w:rsidP="00EF451A">
      <w:r>
        <w:rPr>
          <w:rFonts w:ascii="ZWAdobeF" w:hAnsi="ZWAdobeF" w:cs="ZWAdobeF"/>
          <w:sz w:val="2"/>
          <w:szCs w:val="2"/>
        </w:rPr>
        <w:t>1075B</w:t>
      </w:r>
      <w:r w:rsidR="004029C1">
        <w:t xml:space="preserve">The Panel considers that </w:t>
      </w:r>
      <w:r w:rsidR="7CB127A8">
        <w:t xml:space="preserve">formalising </w:t>
      </w:r>
      <w:r w:rsidR="004029C1">
        <w:t xml:space="preserve">custodianship </w:t>
      </w:r>
      <w:r w:rsidR="7A34478F">
        <w:t xml:space="preserve">within future governance arrangements </w:t>
      </w:r>
      <w:r w:rsidR="00064668">
        <w:t>is</w:t>
      </w:r>
      <w:r w:rsidR="3C5B4D48">
        <w:t xml:space="preserve"> </w:t>
      </w:r>
      <w:r w:rsidR="004029C1">
        <w:t xml:space="preserve">particularly relevant to the Snowy and Upper Murrumbidgee systems because implementation of the Deed requires decisions that </w:t>
      </w:r>
      <w:r w:rsidR="47D83AAE">
        <w:t>a</w:t>
      </w:r>
      <w:r w:rsidR="0F67094C">
        <w:t>ffect</w:t>
      </w:r>
      <w:r w:rsidR="004029C1">
        <w:t xml:space="preserve"> </w:t>
      </w:r>
      <w:r w:rsidR="1A6C8D85">
        <w:t xml:space="preserve">multiple outcomes, including with </w:t>
      </w:r>
      <w:r w:rsidR="2871534C">
        <w:t xml:space="preserve">those </w:t>
      </w:r>
      <w:r w:rsidR="189851D4">
        <w:t xml:space="preserve">of </w:t>
      </w:r>
      <w:r w:rsidR="2871534C">
        <w:t xml:space="preserve">cultural </w:t>
      </w:r>
      <w:r w:rsidR="59461052">
        <w:t>importance</w:t>
      </w:r>
      <w:r w:rsidR="004029C1">
        <w:t xml:space="preserve">. </w:t>
      </w:r>
      <w:r w:rsidR="29E4C008">
        <w:t>First Nations Custodianship</w:t>
      </w:r>
      <w:r w:rsidR="6B633939">
        <w:t xml:space="preserve"> </w:t>
      </w:r>
      <w:r w:rsidR="056A4485">
        <w:t xml:space="preserve">on </w:t>
      </w:r>
      <w:r w:rsidR="6B633939">
        <w:t>matters of cultural importance</w:t>
      </w:r>
      <w:r w:rsidR="29E4C008">
        <w:t xml:space="preserve"> </w:t>
      </w:r>
      <w:r w:rsidR="7429E7EB">
        <w:t xml:space="preserve">requires appropriate governance structures that </w:t>
      </w:r>
      <w:r w:rsidR="004029C1">
        <w:t xml:space="preserve">operate </w:t>
      </w:r>
      <w:r w:rsidR="0CE77CA7">
        <w:t>as part of</w:t>
      </w:r>
      <w:r w:rsidR="004029C1">
        <w:t xml:space="preserve">, and not alongside, the broader governance arrangements outlined in </w:t>
      </w:r>
      <w:r w:rsidR="004029C1" w:rsidRPr="004C3ACD">
        <w:rPr>
          <w:b/>
          <w:bCs/>
        </w:rPr>
        <w:t>Chapter 5.</w:t>
      </w:r>
    </w:p>
    <w:p w14:paraId="65471066" w14:textId="02196FAA" w:rsidR="004029C1" w:rsidRPr="0029113D" w:rsidRDefault="00382EE8" w:rsidP="00EF451A">
      <w:r>
        <w:rPr>
          <w:rFonts w:ascii="ZWAdobeF" w:hAnsi="ZWAdobeF" w:cs="ZWAdobeF"/>
          <w:sz w:val="2"/>
          <w:szCs w:val="2"/>
        </w:rPr>
        <w:t>1076B</w:t>
      </w:r>
      <w:r w:rsidR="004029C1">
        <w:t>The following section outline</w:t>
      </w:r>
      <w:r w:rsidR="4022015D">
        <w:t>s</w:t>
      </w:r>
      <w:r w:rsidR="004029C1">
        <w:t xml:space="preserve"> the key features of </w:t>
      </w:r>
      <w:r w:rsidR="749EA7F7">
        <w:t xml:space="preserve">a </w:t>
      </w:r>
      <w:r w:rsidR="0A1D6149">
        <w:t>three-tiered C</w:t>
      </w:r>
      <w:r w:rsidR="004029C1">
        <w:t xml:space="preserve">ustodianship </w:t>
      </w:r>
      <w:r w:rsidR="7A5D696C">
        <w:t>framework</w:t>
      </w:r>
      <w:r w:rsidR="47E2A968">
        <w:t>,</w:t>
      </w:r>
      <w:r w:rsidR="004029C1">
        <w:t xml:space="preserve"> </w:t>
      </w:r>
      <w:r w:rsidR="47E2A968">
        <w:t>adapted from the FNAG Custodianship Papers,</w:t>
      </w:r>
      <w:r w:rsidR="7A5D696C">
        <w:t xml:space="preserve"> </w:t>
      </w:r>
      <w:r w:rsidR="004029C1">
        <w:t xml:space="preserve">and its relevance to future water governance arrangements in the Upper Murrumbidgee and Snowy </w:t>
      </w:r>
      <w:r w:rsidR="2373C70C">
        <w:t>r</w:t>
      </w:r>
      <w:r w:rsidR="004029C1">
        <w:t>iver systems.</w:t>
      </w:r>
    </w:p>
    <w:p w14:paraId="24D8B336" w14:textId="3A2239E7" w:rsidR="008073FD" w:rsidRDefault="00D7387D" w:rsidP="00EF451A">
      <w:pPr>
        <w:pStyle w:val="Sub-Heading"/>
      </w:pPr>
      <w:r>
        <w:t>Application of</w:t>
      </w:r>
      <w:r w:rsidR="004C31E4">
        <w:t xml:space="preserve"> the Custodianship framework</w:t>
      </w:r>
    </w:p>
    <w:p w14:paraId="01997096" w14:textId="1746618F" w:rsidR="00635D9F" w:rsidRPr="004D2920" w:rsidRDefault="00382EE8" w:rsidP="00EF451A">
      <w:pPr>
        <w:rPr>
          <w:rFonts w:eastAsiaTheme="minorEastAsia"/>
          <w:szCs w:val="22"/>
        </w:rPr>
      </w:pPr>
      <w:r>
        <w:rPr>
          <w:rFonts w:ascii="ZWAdobeF" w:eastAsiaTheme="minorEastAsia" w:hAnsi="ZWAdobeF" w:cs="ZWAdobeF"/>
          <w:sz w:val="2"/>
          <w:szCs w:val="2"/>
        </w:rPr>
        <w:t>1077B</w:t>
      </w:r>
      <w:r w:rsidR="6CA92B4B" w:rsidRPr="6332CC80">
        <w:rPr>
          <w:rFonts w:eastAsiaTheme="minorEastAsia"/>
          <w:szCs w:val="22"/>
        </w:rPr>
        <w:t>The Custodianship framework</w:t>
      </w:r>
      <w:r w:rsidR="48568C12" w:rsidRPr="6332CC80">
        <w:rPr>
          <w:rFonts w:eastAsiaTheme="minorEastAsia"/>
          <w:szCs w:val="22"/>
        </w:rPr>
        <w:t xml:space="preserve"> as detailed in the FNAG Custodianship Papers</w:t>
      </w:r>
      <w:r w:rsidR="6CA92B4B" w:rsidRPr="6332CC80">
        <w:rPr>
          <w:rFonts w:eastAsiaTheme="minorEastAsia"/>
          <w:szCs w:val="22"/>
        </w:rPr>
        <w:t xml:space="preserve"> comprises </w:t>
      </w:r>
      <w:r w:rsidR="6936FEF9" w:rsidRPr="6332CC80">
        <w:rPr>
          <w:rFonts w:eastAsiaTheme="minorEastAsia"/>
          <w:szCs w:val="22"/>
        </w:rPr>
        <w:t xml:space="preserve">three </w:t>
      </w:r>
      <w:r w:rsidR="4E1D100A" w:rsidRPr="6332CC80">
        <w:rPr>
          <w:rFonts w:eastAsiaTheme="minorEastAsia"/>
          <w:szCs w:val="22"/>
        </w:rPr>
        <w:t>forms of participation</w:t>
      </w:r>
      <w:r w:rsidR="42D010A9" w:rsidRPr="6332CC80">
        <w:rPr>
          <w:rFonts w:eastAsiaTheme="minorEastAsia"/>
          <w:szCs w:val="22"/>
        </w:rPr>
        <w:t>, differentiated depending on the cultural significance and i</w:t>
      </w:r>
      <w:r w:rsidR="1AA3EFFE" w:rsidRPr="6332CC80">
        <w:rPr>
          <w:rFonts w:eastAsiaTheme="minorEastAsia"/>
          <w:szCs w:val="22"/>
        </w:rPr>
        <w:t>nterests of all stakeholders</w:t>
      </w:r>
      <w:r w:rsidR="6CA92B4B" w:rsidRPr="6332CC80">
        <w:rPr>
          <w:rFonts w:eastAsiaTheme="minorEastAsia"/>
          <w:szCs w:val="22"/>
        </w:rPr>
        <w:t>:</w:t>
      </w:r>
      <w:r w:rsidR="3AF03D65" w:rsidRPr="6332CC80">
        <w:rPr>
          <w:rFonts w:eastAsiaTheme="minorEastAsia"/>
          <w:szCs w:val="22"/>
        </w:rPr>
        <w:t xml:space="preserve"> sole decision-making on matters of cultural authority; joint-decision making with Governments; and advisory.</w:t>
      </w:r>
    </w:p>
    <w:p w14:paraId="39797BD7" w14:textId="3A98E999" w:rsidR="00635D9F" w:rsidRPr="004D2920" w:rsidRDefault="00382EE8" w:rsidP="00EF451A">
      <w:pPr>
        <w:rPr>
          <w:rFonts w:eastAsiaTheme="minorEastAsia"/>
          <w:szCs w:val="22"/>
        </w:rPr>
      </w:pPr>
      <w:r>
        <w:rPr>
          <w:rFonts w:ascii="ZWAdobeF" w:eastAsiaTheme="minorEastAsia" w:hAnsi="ZWAdobeF" w:cs="ZWAdobeF"/>
          <w:sz w:val="2"/>
          <w:szCs w:val="2"/>
        </w:rPr>
        <w:t>1078B</w:t>
      </w:r>
      <w:r w:rsidR="3AF03D65" w:rsidRPr="6332CC80">
        <w:rPr>
          <w:rFonts w:eastAsiaTheme="minorEastAsia"/>
          <w:szCs w:val="22"/>
        </w:rPr>
        <w:t xml:space="preserve">In the context of the governance arrangements recommended in </w:t>
      </w:r>
      <w:r w:rsidR="3AF03D65" w:rsidRPr="00C865A5">
        <w:rPr>
          <w:rFonts w:eastAsiaTheme="minorEastAsia"/>
          <w:b/>
          <w:szCs w:val="22"/>
        </w:rPr>
        <w:t>Chapter 5</w:t>
      </w:r>
      <w:r w:rsidR="3AF03D65" w:rsidRPr="6332CC80">
        <w:rPr>
          <w:rFonts w:eastAsiaTheme="minorEastAsia"/>
          <w:szCs w:val="22"/>
        </w:rPr>
        <w:t xml:space="preserve">, </w:t>
      </w:r>
      <w:r w:rsidR="28982E51" w:rsidRPr="6332CC80">
        <w:rPr>
          <w:rFonts w:eastAsiaTheme="minorEastAsia"/>
          <w:szCs w:val="22"/>
        </w:rPr>
        <w:t xml:space="preserve">the </w:t>
      </w:r>
      <w:r w:rsidR="5F524A0E" w:rsidRPr="6332CC80">
        <w:rPr>
          <w:rFonts w:eastAsiaTheme="minorEastAsia"/>
          <w:szCs w:val="22"/>
        </w:rPr>
        <w:t xml:space="preserve">Panel considers that the </w:t>
      </w:r>
      <w:r w:rsidR="28982E51" w:rsidRPr="6332CC80">
        <w:rPr>
          <w:rFonts w:eastAsiaTheme="minorEastAsia"/>
          <w:szCs w:val="22"/>
        </w:rPr>
        <w:t xml:space="preserve">Custodianship framework could be applied as follows: </w:t>
      </w:r>
    </w:p>
    <w:p w14:paraId="72EE1538" w14:textId="6841AD0E" w:rsidR="00635D9F" w:rsidRPr="004D2920" w:rsidRDefault="00382EE8" w:rsidP="00B11C71">
      <w:pPr>
        <w:pStyle w:val="ListParagraph"/>
        <w:numPr>
          <w:ilvl w:val="0"/>
          <w:numId w:val="138"/>
        </w:numPr>
      </w:pPr>
      <w:r>
        <w:rPr>
          <w:rFonts w:ascii="ZWAdobeF" w:hAnsi="ZWAdobeF" w:cs="ZWAdobeF"/>
          <w:bCs/>
          <w:sz w:val="2"/>
          <w:szCs w:val="2"/>
        </w:rPr>
        <w:t>316B</w:t>
      </w:r>
      <w:r w:rsidR="1C725C4B" w:rsidRPr="6332CC80">
        <w:rPr>
          <w:b/>
          <w:bCs/>
        </w:rPr>
        <w:t xml:space="preserve">First Nations Authority </w:t>
      </w:r>
      <w:r w:rsidR="1C725C4B">
        <w:t xml:space="preserve">– </w:t>
      </w:r>
      <w:r w:rsidR="3A17D3BA">
        <w:t xml:space="preserve">A </w:t>
      </w:r>
      <w:r w:rsidR="4C8EE169">
        <w:t>peak body</w:t>
      </w:r>
      <w:r w:rsidR="3A17D3BA">
        <w:t xml:space="preserve"> for </w:t>
      </w:r>
      <w:r w:rsidR="1C725C4B">
        <w:t>First Nations</w:t>
      </w:r>
      <w:r w:rsidR="3EBB4826">
        <w:t xml:space="preserve"> </w:t>
      </w:r>
      <w:r w:rsidR="437175DC">
        <w:t>in the Upper Murrumbidgee and Snowy rivers</w:t>
      </w:r>
      <w:r w:rsidR="1C725C4B">
        <w:t xml:space="preserve"> that deliberate and make decisions on matters </w:t>
      </w:r>
      <w:r w:rsidR="1538B7EC">
        <w:t>of cultural importance. This A</w:t>
      </w:r>
      <w:r w:rsidR="77F6B39C">
        <w:t>uthority could develop strategic guidance to support First Nations in their respective Cultural Flow planning</w:t>
      </w:r>
      <w:r w:rsidR="58462106">
        <w:t xml:space="preserve">, </w:t>
      </w:r>
      <w:r w:rsidR="2104B441">
        <w:t>coordinate operational planning for Cultural Flows</w:t>
      </w:r>
      <w:r w:rsidR="00F46B87">
        <w:t>,</w:t>
      </w:r>
      <w:r w:rsidR="2104B441">
        <w:t xml:space="preserve"> </w:t>
      </w:r>
      <w:r w:rsidR="77F6B39C">
        <w:t xml:space="preserve">provide representation </w:t>
      </w:r>
      <w:r w:rsidR="5257DA63">
        <w:t xml:space="preserve">to </w:t>
      </w:r>
      <w:r w:rsidR="00B5776C">
        <w:t>g</w:t>
      </w:r>
      <w:r w:rsidR="5257DA63">
        <w:t xml:space="preserve">overnments on issues raised during the </w:t>
      </w:r>
      <w:r w:rsidR="00F46B87">
        <w:t>R</w:t>
      </w:r>
      <w:r w:rsidR="5257DA63">
        <w:t>eview</w:t>
      </w:r>
      <w:r w:rsidR="04DA1295">
        <w:t xml:space="preserve"> (for example river access</w:t>
      </w:r>
      <w:r w:rsidR="2BA749BF">
        <w:t>, legal recognition of rivers</w:t>
      </w:r>
      <w:r w:rsidR="04DA1295">
        <w:t>)</w:t>
      </w:r>
      <w:r w:rsidR="74FB49BF">
        <w:t xml:space="preserve"> and promote knowledge sharing</w:t>
      </w:r>
      <w:r w:rsidR="2CB62131">
        <w:t xml:space="preserve"> and capacity building</w:t>
      </w:r>
      <w:r w:rsidR="71867F2D">
        <w:t>.</w:t>
      </w:r>
      <w:r w:rsidR="1538B7EC">
        <w:t xml:space="preserve"> </w:t>
      </w:r>
    </w:p>
    <w:p w14:paraId="5A2B9B06" w14:textId="53F7E60F" w:rsidR="00635D9F" w:rsidRPr="004D2920" w:rsidRDefault="00382EE8" w:rsidP="00B11C71">
      <w:pPr>
        <w:pStyle w:val="ListParagraph"/>
        <w:numPr>
          <w:ilvl w:val="0"/>
          <w:numId w:val="138"/>
        </w:numPr>
      </w:pPr>
      <w:r>
        <w:rPr>
          <w:rFonts w:ascii="ZWAdobeF" w:hAnsi="ZWAdobeF" w:cs="ZWAdobeF"/>
          <w:bCs/>
          <w:sz w:val="2"/>
          <w:szCs w:val="2"/>
        </w:rPr>
        <w:t>317B</w:t>
      </w:r>
      <w:r w:rsidR="28982E51" w:rsidRPr="6332CC80">
        <w:rPr>
          <w:b/>
          <w:bCs/>
        </w:rPr>
        <w:t>Senior Officials</w:t>
      </w:r>
      <w:r w:rsidR="6CA92B4B" w:rsidRPr="6332CC80">
        <w:rPr>
          <w:b/>
          <w:bCs/>
        </w:rPr>
        <w:t xml:space="preserve"> Committee</w:t>
      </w:r>
      <w:r w:rsidR="6CA92B4B">
        <w:t xml:space="preserve"> – </w:t>
      </w:r>
      <w:r w:rsidR="45C4379C">
        <w:t>The Committee</w:t>
      </w:r>
      <w:r w:rsidR="00594F42">
        <w:t>,</w:t>
      </w:r>
      <w:r w:rsidR="00BC4B7A">
        <w:t xml:space="preserve"> compris</w:t>
      </w:r>
      <w:r w:rsidR="00594F42">
        <w:t>ing</w:t>
      </w:r>
      <w:r w:rsidR="00BC4B7A">
        <w:t xml:space="preserve"> officials from relevant government agencies</w:t>
      </w:r>
      <w:r w:rsidR="00594F42">
        <w:t>,</w:t>
      </w:r>
      <w:r w:rsidR="45C4379C">
        <w:t xml:space="preserve"> is the d</w:t>
      </w:r>
      <w:r w:rsidR="6CA92B4B">
        <w:t xml:space="preserve">ecision-making authority on implementation of the Deed (refer to </w:t>
      </w:r>
      <w:r w:rsidR="6CA92B4B" w:rsidRPr="00C865A5">
        <w:rPr>
          <w:b/>
        </w:rPr>
        <w:t>Chapter 5</w:t>
      </w:r>
      <w:r w:rsidR="6CA92B4B">
        <w:t>)</w:t>
      </w:r>
      <w:r w:rsidR="3CCF609C">
        <w:t xml:space="preserve">. The First Nations Authority may make representations to the </w:t>
      </w:r>
      <w:r w:rsidR="50574C14">
        <w:t>Committee</w:t>
      </w:r>
      <w:r w:rsidR="6A54AF8B">
        <w:t xml:space="preserve"> on matters </w:t>
      </w:r>
      <w:r w:rsidR="3AFD3599">
        <w:t xml:space="preserve">relevant to </w:t>
      </w:r>
      <w:r w:rsidR="6A54AF8B">
        <w:t>Cultural authorit</w:t>
      </w:r>
      <w:r w:rsidR="19F11284">
        <w:t>y</w:t>
      </w:r>
      <w:r w:rsidR="0DAD0CA1">
        <w:t>.</w:t>
      </w:r>
      <w:r w:rsidR="19F11284">
        <w:t xml:space="preserve"> </w:t>
      </w:r>
    </w:p>
    <w:p w14:paraId="57235655" w14:textId="5430173A" w:rsidR="00635D9F" w:rsidRPr="004D2920" w:rsidRDefault="00382EE8" w:rsidP="00B11C71">
      <w:pPr>
        <w:pStyle w:val="ListParagraph"/>
        <w:numPr>
          <w:ilvl w:val="0"/>
          <w:numId w:val="138"/>
        </w:numPr>
      </w:pPr>
      <w:r>
        <w:rPr>
          <w:rFonts w:ascii="ZWAdobeF" w:hAnsi="ZWAdobeF" w:cs="ZWAdobeF"/>
          <w:bCs/>
          <w:sz w:val="2"/>
          <w:szCs w:val="2"/>
        </w:rPr>
        <w:t>318B</w:t>
      </w:r>
      <w:r w:rsidR="00F80242" w:rsidRPr="004C3ACD">
        <w:rPr>
          <w:b/>
          <w:bCs/>
        </w:rPr>
        <w:t>Advisory groups</w:t>
      </w:r>
      <w:r w:rsidR="00F80242">
        <w:t xml:space="preserve"> – </w:t>
      </w:r>
      <w:r w:rsidR="66F772D0">
        <w:t>First Nations to</w:t>
      </w:r>
      <w:r w:rsidR="00064668">
        <w:t xml:space="preserve"> have greater</w:t>
      </w:r>
      <w:r w:rsidR="66F772D0">
        <w:t xml:space="preserve"> participat</w:t>
      </w:r>
      <w:r w:rsidR="00411999">
        <w:t>ion</w:t>
      </w:r>
      <w:r w:rsidR="66F772D0">
        <w:t xml:space="preserve"> </w:t>
      </w:r>
      <w:r w:rsidR="421AE7EF">
        <w:t xml:space="preserve">in </w:t>
      </w:r>
      <w:r w:rsidR="421AE7EF" w:rsidRPr="004C3ACD">
        <w:t>a</w:t>
      </w:r>
      <w:r w:rsidR="6D9D0E49" w:rsidRPr="004C3ACD">
        <w:t>dvisory groups</w:t>
      </w:r>
      <w:r w:rsidR="5AACD8D6" w:rsidRPr="6332CC80">
        <w:rPr>
          <w:b/>
          <w:bCs/>
        </w:rPr>
        <w:t xml:space="preserve"> </w:t>
      </w:r>
      <w:r w:rsidR="3A024A3A">
        <w:t>with</w:t>
      </w:r>
      <w:r w:rsidR="5AACD8D6">
        <w:t xml:space="preserve"> broader stakeholder involvement</w:t>
      </w:r>
      <w:r w:rsidR="4E1EDD14">
        <w:t>,</w:t>
      </w:r>
      <w:r w:rsidR="6D9D0E49">
        <w:t xml:space="preserve"> such as the Snowy Advisory </w:t>
      </w:r>
      <w:r w:rsidR="00053DD9">
        <w:t>Committee</w:t>
      </w:r>
      <w:r w:rsidR="6D9D0E49">
        <w:t xml:space="preserve"> </w:t>
      </w:r>
      <w:r w:rsidR="7B533ED5">
        <w:t>that</w:t>
      </w:r>
      <w:r w:rsidR="3C094F09">
        <w:t xml:space="preserve"> is</w:t>
      </w:r>
      <w:r w:rsidR="7B533ED5">
        <w:t xml:space="preserve"> </w:t>
      </w:r>
      <w:r w:rsidR="6D9D0E49">
        <w:t xml:space="preserve">responsible for </w:t>
      </w:r>
      <w:r w:rsidR="70D2E639">
        <w:lastRenderedPageBreak/>
        <w:t>program/project implementation</w:t>
      </w:r>
      <w:r w:rsidR="23E931E9">
        <w:t xml:space="preserve">, </w:t>
      </w:r>
      <w:r w:rsidR="6332CC80">
        <w:t>monitoring and review processes</w:t>
      </w:r>
      <w:r w:rsidR="102AE3B4">
        <w:t>.</w:t>
      </w:r>
      <w:r w:rsidR="6332CC80">
        <w:t xml:space="preserve"> This may include implementation of environmental flows or complementary catchment management activities. </w:t>
      </w:r>
    </w:p>
    <w:p w14:paraId="5A6DC3B2" w14:textId="62D9AF89" w:rsidR="00635D9F" w:rsidRDefault="00382EE8" w:rsidP="00EF451A">
      <w:r>
        <w:rPr>
          <w:rFonts w:ascii="ZWAdobeF" w:hAnsi="ZWAdobeF" w:cs="ZWAdobeF"/>
          <w:sz w:val="2"/>
          <w:szCs w:val="2"/>
        </w:rPr>
        <w:t>1079B</w:t>
      </w:r>
      <w:r w:rsidR="00635D9F">
        <w:t>The proposed custodianship framework does not replace broader stakeholder involvement. Rather, it envisages advisory mechanisms that continue to provide opportunities for community, environmental, industry and local government participation.</w:t>
      </w:r>
      <w:r w:rsidR="77585170">
        <w:t xml:space="preserve"> T</w:t>
      </w:r>
      <w:r w:rsidR="6332CC80">
        <w:t xml:space="preserve">ogether, these elements seek to establish </w:t>
      </w:r>
      <w:r w:rsidR="553648A1">
        <w:t>formal</w:t>
      </w:r>
      <w:r w:rsidR="6332CC80">
        <w:t xml:space="preserve"> governance </w:t>
      </w:r>
      <w:r w:rsidR="16CFAA92">
        <w:t xml:space="preserve">arrangements </w:t>
      </w:r>
      <w:r w:rsidR="6332CC80">
        <w:t xml:space="preserve">that better recognise First Nations custodial responsibilities while supporting collaborative planning, implementation and accountability across the Upper Murrumbidgee and Snowy </w:t>
      </w:r>
      <w:r w:rsidR="07C10C2C">
        <w:t>r</w:t>
      </w:r>
      <w:r w:rsidR="6332CC80">
        <w:t>iver systems.</w:t>
      </w:r>
    </w:p>
    <w:p w14:paraId="31F21748" w14:textId="01819264" w:rsidR="00997977" w:rsidRPr="00CC7A58" w:rsidRDefault="00382EE8" w:rsidP="00EF451A">
      <w:pPr>
        <w:rPr>
          <w:rFonts w:asciiTheme="majorHAnsi" w:eastAsia="Times New Roman" w:hAnsiTheme="majorHAnsi" w:cstheme="majorBidi"/>
          <w:i/>
          <w:iCs/>
          <w:color w:val="000099"/>
          <w:sz w:val="28"/>
          <w:szCs w:val="32"/>
          <w:lang w:eastAsia="en-AU"/>
        </w:rPr>
      </w:pPr>
      <w:r>
        <w:rPr>
          <w:rFonts w:ascii="ZWAdobeF" w:eastAsia="Times New Roman" w:hAnsi="ZWAdobeF" w:cs="ZWAdobeF"/>
          <w:iCs/>
          <w:sz w:val="2"/>
          <w:szCs w:val="2"/>
          <w:lang w:eastAsia="en-AU"/>
        </w:rPr>
        <w:t>1080B</w:t>
      </w:r>
      <w:r w:rsidR="00997977" w:rsidRPr="00CC7A58">
        <w:rPr>
          <w:rFonts w:asciiTheme="majorHAnsi" w:eastAsia="Times New Roman" w:hAnsiTheme="majorHAnsi" w:cstheme="majorBidi"/>
          <w:i/>
          <w:iCs/>
          <w:color w:val="000099"/>
          <w:sz w:val="28"/>
          <w:szCs w:val="32"/>
          <w:lang w:eastAsia="en-AU"/>
        </w:rPr>
        <w:t>Implications for system governance</w:t>
      </w:r>
    </w:p>
    <w:p w14:paraId="2F73FCE6" w14:textId="642F3142" w:rsidR="00997977" w:rsidRDefault="00382EE8" w:rsidP="00EF451A">
      <w:r>
        <w:rPr>
          <w:rFonts w:ascii="ZWAdobeF" w:hAnsi="ZWAdobeF" w:cs="ZWAdobeF"/>
          <w:sz w:val="2"/>
          <w:szCs w:val="2"/>
        </w:rPr>
        <w:t>1081B</w:t>
      </w:r>
      <w:r w:rsidR="00997977">
        <w:t>The transition to a custodianship model highlights a key gap between current arrangements and stated policy commitments. While governments have articulated objectives relating to First Nations participation, these are not yet reflected in the operation of the Snowy and Upper Murrumbidgee systems.</w:t>
      </w:r>
    </w:p>
    <w:p w14:paraId="0FB9D1EF" w14:textId="01C7AC72" w:rsidR="00997977" w:rsidRDefault="00382EE8" w:rsidP="00EF451A">
      <w:r>
        <w:rPr>
          <w:rFonts w:ascii="ZWAdobeF" w:hAnsi="ZWAdobeF" w:cs="ZWAdobeF"/>
          <w:sz w:val="2"/>
          <w:szCs w:val="2"/>
        </w:rPr>
        <w:t>1082B</w:t>
      </w:r>
      <w:r w:rsidR="00997977">
        <w:t>Addressing this gap will require coordinated action across jurisdictions and a clear commitment to embedding custodianship within governance, planning and delivery.</w:t>
      </w:r>
    </w:p>
    <w:p w14:paraId="66B77126" w14:textId="1BE3808F" w:rsidR="00997977" w:rsidRDefault="00382EE8" w:rsidP="00EF451A">
      <w:r>
        <w:rPr>
          <w:rFonts w:ascii="ZWAdobeF" w:hAnsi="ZWAdobeF" w:cs="ZWAdobeF"/>
          <w:sz w:val="2"/>
          <w:szCs w:val="2"/>
        </w:rPr>
        <w:t>1083B</w:t>
      </w:r>
      <w:r w:rsidR="00997977">
        <w:t>To support this:</w:t>
      </w:r>
    </w:p>
    <w:p w14:paraId="1768878D" w14:textId="2121771E" w:rsidR="00997977" w:rsidRDefault="00382EE8" w:rsidP="00EF451A">
      <w:pPr>
        <w:pStyle w:val="ListParagraph"/>
        <w:numPr>
          <w:ilvl w:val="0"/>
          <w:numId w:val="99"/>
        </w:numPr>
        <w:ind w:left="567"/>
      </w:pPr>
      <w:r>
        <w:rPr>
          <w:rFonts w:ascii="ZWAdobeF" w:hAnsi="ZWAdobeF" w:cs="ZWAdobeF"/>
          <w:sz w:val="2"/>
          <w:szCs w:val="2"/>
        </w:rPr>
        <w:t>319B</w:t>
      </w:r>
      <w:r w:rsidR="00997977">
        <w:t xml:space="preserve">align system governance arrangements with relevant </w:t>
      </w:r>
      <w:r w:rsidR="00216312">
        <w:t>Australian</w:t>
      </w:r>
      <w:r w:rsidR="00997977">
        <w:t xml:space="preserve"> and </w:t>
      </w:r>
      <w:r w:rsidR="00216312">
        <w:t>s</w:t>
      </w:r>
      <w:r w:rsidR="00997977">
        <w:t xml:space="preserve">tate </w:t>
      </w:r>
      <w:r w:rsidR="00216312">
        <w:t>government</w:t>
      </w:r>
      <w:r w:rsidR="00997977">
        <w:t xml:space="preserve"> policy commitments, including Closing the Gap priorities</w:t>
      </w:r>
    </w:p>
    <w:p w14:paraId="2024F9B3" w14:textId="2CD276BA" w:rsidR="00997977" w:rsidRDefault="00382EE8" w:rsidP="00EF451A">
      <w:pPr>
        <w:pStyle w:val="ListParagraph"/>
        <w:numPr>
          <w:ilvl w:val="0"/>
          <w:numId w:val="99"/>
        </w:numPr>
        <w:ind w:left="567"/>
      </w:pPr>
      <w:r>
        <w:rPr>
          <w:rFonts w:ascii="ZWAdobeF" w:hAnsi="ZWAdobeF" w:cs="ZWAdobeF"/>
          <w:sz w:val="2"/>
          <w:szCs w:val="2"/>
        </w:rPr>
        <w:t>320B</w:t>
      </w:r>
      <w:r w:rsidR="00997977">
        <w:t>apply the Custodian Framework (or equivalent approaches) to establish formal and ongoing roles for First Nations in governance</w:t>
      </w:r>
    </w:p>
    <w:p w14:paraId="458C1AD3" w14:textId="5C510FA8" w:rsidR="00997977" w:rsidRDefault="00382EE8" w:rsidP="00EF451A">
      <w:pPr>
        <w:pStyle w:val="ListParagraph"/>
        <w:numPr>
          <w:ilvl w:val="0"/>
          <w:numId w:val="99"/>
        </w:numPr>
        <w:ind w:left="567"/>
      </w:pPr>
      <w:r>
        <w:rPr>
          <w:rFonts w:ascii="ZWAdobeF" w:hAnsi="ZWAdobeF" w:cs="ZWAdobeF"/>
          <w:sz w:val="2"/>
          <w:szCs w:val="2"/>
        </w:rPr>
        <w:t>321B</w:t>
      </w:r>
      <w:r w:rsidR="00997977">
        <w:t>transition from consultation-based engagement to structured participation and shared decision-making</w:t>
      </w:r>
    </w:p>
    <w:p w14:paraId="125C0BD9" w14:textId="1C67FC91" w:rsidR="00997977" w:rsidRPr="004D2920" w:rsidRDefault="00382EE8" w:rsidP="00EF451A">
      <w:pPr>
        <w:pStyle w:val="ListParagraph"/>
        <w:numPr>
          <w:ilvl w:val="0"/>
          <w:numId w:val="99"/>
        </w:numPr>
        <w:ind w:left="567"/>
      </w:pPr>
      <w:r>
        <w:rPr>
          <w:rFonts w:ascii="ZWAdobeF" w:hAnsi="ZWAdobeF" w:cs="ZWAdobeF"/>
          <w:sz w:val="2"/>
          <w:szCs w:val="2"/>
        </w:rPr>
        <w:t>322B</w:t>
      </w:r>
      <w:r w:rsidR="00997977">
        <w:t>ensure consistent implementation across jurisdictions</w:t>
      </w:r>
      <w:r w:rsidR="00FD3ECC">
        <w:t>.</w:t>
      </w:r>
    </w:p>
    <w:p w14:paraId="645DC0EA" w14:textId="0FEA08B7" w:rsidR="00603E25" w:rsidRDefault="00603E25" w:rsidP="00EF451A">
      <w:pPr>
        <w:pStyle w:val="ReviewHeading3"/>
      </w:pPr>
      <w:r>
        <w:t>Cultural Water</w:t>
      </w:r>
    </w:p>
    <w:p w14:paraId="64FA1327" w14:textId="0C2B43D8" w:rsidR="00603E25" w:rsidRDefault="00603E25" w:rsidP="00EF451A">
      <w:pPr>
        <w:pStyle w:val="Sub-Heading"/>
      </w:pPr>
      <w:r>
        <w:t>Understanding cultural water</w:t>
      </w:r>
    </w:p>
    <w:p w14:paraId="7B1F0F2E" w14:textId="5DABA1B8" w:rsidR="00416DB4" w:rsidRDefault="00382EE8" w:rsidP="00EF451A">
      <w:r>
        <w:rPr>
          <w:rFonts w:ascii="ZWAdobeF" w:hAnsi="ZWAdobeF" w:cs="ZWAdobeF"/>
          <w:sz w:val="2"/>
          <w:szCs w:val="2"/>
        </w:rPr>
        <w:t>1084B</w:t>
      </w:r>
      <w:r w:rsidR="0D1FD766">
        <w:t xml:space="preserve">Advice provided by First Nations </w:t>
      </w:r>
      <w:r w:rsidR="00416DB4">
        <w:t>describe</w:t>
      </w:r>
      <w:r w:rsidR="00EA7CB2">
        <w:t>s</w:t>
      </w:r>
      <w:r w:rsidR="00416DB4">
        <w:t xml:space="preserve"> </w:t>
      </w:r>
      <w:r w:rsidR="11067817">
        <w:t>cultural water</w:t>
      </w:r>
      <w:r w:rsidR="00416DB4">
        <w:t xml:space="preserve"> as water used to fulfil cultural responsibilities, support cultural practice, enable access to Country and sustain cultural continuity. </w:t>
      </w:r>
      <w:r w:rsidR="00A27AF5">
        <w:t xml:space="preserve"> The technical and policy material provided for this Review and the advice from First Nations note that recognising cultural water alone is insufficient. Cultural water must be progressed as a distinct category, with authority resting with First Nations to determine its use and with risks managed through structured governance, supported planning and capacity building.</w:t>
      </w:r>
    </w:p>
    <w:p w14:paraId="73FF56FD" w14:textId="758D5116" w:rsidR="0075160D" w:rsidRDefault="00895175" w:rsidP="00EF451A">
      <w:pPr>
        <w:pStyle w:val="Sub-Heading"/>
      </w:pPr>
      <w:r>
        <w:t>Indicative pathway for progressing cultural water</w:t>
      </w:r>
    </w:p>
    <w:p w14:paraId="2875E870" w14:textId="0A684855" w:rsidR="00460989" w:rsidRPr="00745AB0" w:rsidRDefault="00382EE8" w:rsidP="00EF451A">
      <w:r>
        <w:rPr>
          <w:rFonts w:ascii="ZWAdobeF" w:hAnsi="ZWAdobeF" w:cs="ZWAdobeF"/>
          <w:sz w:val="2"/>
          <w:szCs w:val="2"/>
        </w:rPr>
        <w:t>1085B</w:t>
      </w:r>
      <w:r w:rsidR="06DE3559">
        <w:t xml:space="preserve">The Panel supports the recognition and progression of cultural water and accepts the core principles articulated in the Snowy River Report and FNAG Custodianship Papers. </w:t>
      </w:r>
    </w:p>
    <w:p w14:paraId="6EFC5564" w14:textId="4815E112" w:rsidR="00460989" w:rsidRPr="00745AB0" w:rsidRDefault="00382EE8" w:rsidP="00EF451A">
      <w:r>
        <w:rPr>
          <w:rFonts w:ascii="ZWAdobeF" w:hAnsi="ZWAdobeF" w:cs="ZWAdobeF"/>
          <w:sz w:val="2"/>
          <w:szCs w:val="2"/>
        </w:rPr>
        <w:t>1086B</w:t>
      </w:r>
      <w:r w:rsidR="00460989">
        <w:t>While specific mechanisms will vary across jurisdictions, a typical pathway involve</w:t>
      </w:r>
      <w:r w:rsidR="000072C9">
        <w:t>s</w:t>
      </w:r>
      <w:r w:rsidR="00460989">
        <w:t>:</w:t>
      </w:r>
    </w:p>
    <w:p w14:paraId="3345EEA3" w14:textId="693C4452" w:rsidR="00460989" w:rsidRPr="00745AB0" w:rsidRDefault="00382EE8" w:rsidP="00EF451A">
      <w:pPr>
        <w:pStyle w:val="ListParagraph"/>
        <w:numPr>
          <w:ilvl w:val="0"/>
          <w:numId w:val="99"/>
        </w:numPr>
        <w:ind w:left="567"/>
      </w:pPr>
      <w:r>
        <w:rPr>
          <w:rFonts w:ascii="ZWAdobeF" w:hAnsi="ZWAdobeF" w:cs="ZWAdobeF"/>
          <w:sz w:val="2"/>
          <w:szCs w:val="2"/>
        </w:rPr>
        <w:lastRenderedPageBreak/>
        <w:t>323B</w:t>
      </w:r>
      <w:r w:rsidR="00570FD6">
        <w:t>g</w:t>
      </w:r>
      <w:r w:rsidR="13913553">
        <w:t xml:space="preserve">overnments and First Nations identify pathways </w:t>
      </w:r>
      <w:r w:rsidR="3F68AB9D">
        <w:t>that provide legal authority to hold and manage water interests</w:t>
      </w:r>
      <w:r w:rsidR="3CA4EF91">
        <w:t xml:space="preserve"> (e.g. licences, allocations, program-based water recovery)</w:t>
      </w:r>
    </w:p>
    <w:p w14:paraId="5DE20873" w14:textId="00E84218" w:rsidR="00460989" w:rsidRPr="00745AB0" w:rsidRDefault="00382EE8" w:rsidP="00EF451A">
      <w:pPr>
        <w:pStyle w:val="ListParagraph"/>
        <w:numPr>
          <w:ilvl w:val="0"/>
          <w:numId w:val="99"/>
        </w:numPr>
        <w:ind w:left="567"/>
      </w:pPr>
      <w:r>
        <w:rPr>
          <w:rFonts w:ascii="ZWAdobeF" w:hAnsi="ZWAdobeF" w:cs="ZWAdobeF"/>
          <w:sz w:val="2"/>
          <w:szCs w:val="2"/>
        </w:rPr>
        <w:t>324B</w:t>
      </w:r>
      <w:r w:rsidR="56F24960">
        <w:t xml:space="preserve">First </w:t>
      </w:r>
      <w:r w:rsidR="4138520D">
        <w:t xml:space="preserve">Nations </w:t>
      </w:r>
      <w:r w:rsidR="73232570">
        <w:t>determine objectives, timing, location and use of cultural water, including where they complement environmental outcomes and/or encompass economic, social or livelihood outcomes</w:t>
      </w:r>
      <w:r w:rsidR="78682855">
        <w:t xml:space="preserve"> </w:t>
      </w:r>
    </w:p>
    <w:p w14:paraId="738573BE" w14:textId="4DFD13AA" w:rsidR="00460989" w:rsidRPr="00745AB0" w:rsidRDefault="00382EE8" w:rsidP="00EF451A">
      <w:pPr>
        <w:pStyle w:val="ListParagraph"/>
        <w:numPr>
          <w:ilvl w:val="0"/>
          <w:numId w:val="99"/>
        </w:numPr>
        <w:ind w:left="567"/>
      </w:pPr>
      <w:r>
        <w:rPr>
          <w:rFonts w:ascii="ZWAdobeF" w:hAnsi="ZWAdobeF" w:cs="ZWAdobeF"/>
          <w:sz w:val="2"/>
          <w:szCs w:val="2"/>
        </w:rPr>
        <w:t>325B</w:t>
      </w:r>
      <w:r w:rsidR="001D21E8">
        <w:t>t</w:t>
      </w:r>
      <w:r w:rsidR="78682855">
        <w:t>he First Nations Authority may have a role in providing strategic guidance</w:t>
      </w:r>
      <w:r w:rsidR="2A1FF728">
        <w:t xml:space="preserve">, </w:t>
      </w:r>
      <w:r w:rsidR="78682855">
        <w:t>coordination</w:t>
      </w:r>
      <w:r w:rsidR="6673CC40">
        <w:t xml:space="preserve"> and long-term capacity building/knowledge sharing</w:t>
      </w:r>
      <w:r w:rsidR="78682855">
        <w:t>.</w:t>
      </w:r>
      <w:r w:rsidR="00460989">
        <w:t xml:space="preserve"> </w:t>
      </w:r>
      <w:r w:rsidR="0C44D5A5">
        <w:t xml:space="preserve">A Cultural Flow Strategy (or similar) for the Upper Murrumbidgee and Snowy </w:t>
      </w:r>
      <w:r w:rsidR="000B3445">
        <w:t>r</w:t>
      </w:r>
      <w:r w:rsidR="0C44D5A5">
        <w:t>iver</w:t>
      </w:r>
      <w:r w:rsidR="000B3445">
        <w:t>s</w:t>
      </w:r>
      <w:r w:rsidR="0C44D5A5">
        <w:t xml:space="preserve"> may help guide Nations’ access to, and cultural use of water licences</w:t>
      </w:r>
    </w:p>
    <w:p w14:paraId="25C27A4D" w14:textId="6F59401A" w:rsidR="00460989" w:rsidRPr="00745AB0" w:rsidRDefault="00382EE8" w:rsidP="00EF451A">
      <w:pPr>
        <w:pStyle w:val="ListParagraph"/>
        <w:numPr>
          <w:ilvl w:val="0"/>
          <w:numId w:val="99"/>
        </w:numPr>
        <w:ind w:left="567"/>
      </w:pPr>
      <w:r>
        <w:rPr>
          <w:rFonts w:ascii="ZWAdobeF" w:hAnsi="ZWAdobeF" w:cs="ZWAdobeF"/>
          <w:sz w:val="2"/>
          <w:szCs w:val="2"/>
        </w:rPr>
        <w:t>326B</w:t>
      </w:r>
      <w:r w:rsidR="00E30BE6">
        <w:t>o</w:t>
      </w:r>
      <w:r w:rsidR="00460989">
        <w:t>perational arrangements are established to coordinate delivery alongside environmental and other water uses</w:t>
      </w:r>
    </w:p>
    <w:p w14:paraId="30DAADF2" w14:textId="6D8A57DA" w:rsidR="00460989" w:rsidRPr="00745AB0" w:rsidRDefault="00382EE8" w:rsidP="00EF451A">
      <w:pPr>
        <w:pStyle w:val="ListParagraph"/>
        <w:numPr>
          <w:ilvl w:val="0"/>
          <w:numId w:val="99"/>
        </w:numPr>
        <w:ind w:left="567"/>
      </w:pPr>
      <w:r>
        <w:rPr>
          <w:rFonts w:ascii="ZWAdobeF" w:hAnsi="ZWAdobeF" w:cs="ZWAdobeF"/>
          <w:sz w:val="2"/>
          <w:szCs w:val="2"/>
        </w:rPr>
        <w:t>327B</w:t>
      </w:r>
      <w:r w:rsidR="00E30BE6">
        <w:t>o</w:t>
      </w:r>
      <w:r w:rsidR="00460989">
        <w:t>utcomes are monitored and adapted over time based on cultural and ecological indicators</w:t>
      </w:r>
      <w:r w:rsidR="32D15B89">
        <w:t xml:space="preserve"> where relevant</w:t>
      </w:r>
      <w:r w:rsidR="14F84CDD">
        <w:t>.</w:t>
      </w:r>
    </w:p>
    <w:p w14:paraId="1230CCBB" w14:textId="28C8A59C" w:rsidR="00E208AC" w:rsidRDefault="00E208AC" w:rsidP="00EF451A">
      <w:pPr>
        <w:pStyle w:val="ReviewHeading3"/>
      </w:pPr>
      <w:r>
        <w:t>Supporting broader aspirations</w:t>
      </w:r>
    </w:p>
    <w:p w14:paraId="1D712A33" w14:textId="7E2BB34C" w:rsidR="00DB047F" w:rsidRPr="0029113D" w:rsidRDefault="00382EE8" w:rsidP="00EF451A">
      <w:r>
        <w:rPr>
          <w:rFonts w:ascii="ZWAdobeF" w:hAnsi="ZWAdobeF" w:cs="ZWAdobeF"/>
          <w:sz w:val="2"/>
          <w:szCs w:val="2"/>
        </w:rPr>
        <w:t>1087B</w:t>
      </w:r>
      <w:r w:rsidR="00DB047F">
        <w:t xml:space="preserve">First Nations advice to the Review also identified broader aspirations for the recognition of rights, authority and responsibilities in relation to water and Country. These aspirations are informed by </w:t>
      </w:r>
      <w:r w:rsidR="004D1F2B">
        <w:t xml:space="preserve">Closing the Gap commitments, </w:t>
      </w:r>
      <w:r w:rsidR="00DB047F">
        <w:t>Treaty processes in Victoria, emerging approaches in other Australian jurisdictions and international examples of rights-based recognition for rivers and living landscapes.</w:t>
      </w:r>
    </w:p>
    <w:p w14:paraId="1DEA2D95" w14:textId="195F7582" w:rsidR="00DB047F" w:rsidRPr="0029113D" w:rsidRDefault="00382EE8" w:rsidP="00EF451A">
      <w:r>
        <w:rPr>
          <w:rFonts w:ascii="ZWAdobeF" w:hAnsi="ZWAdobeF" w:cs="ZWAdobeF"/>
          <w:sz w:val="2"/>
          <w:szCs w:val="2"/>
        </w:rPr>
        <w:t>1088B</w:t>
      </w:r>
      <w:r w:rsidR="6FF6FBF7">
        <w:t>While s</w:t>
      </w:r>
      <w:r w:rsidR="00DB047F">
        <w:t xml:space="preserve">ome of these matters </w:t>
      </w:r>
      <w:r w:rsidR="306E3D18">
        <w:t>are</w:t>
      </w:r>
      <w:r w:rsidR="00DB047F">
        <w:t xml:space="preserve"> beyond the scope of the Review, the Panel considers that the </w:t>
      </w:r>
      <w:r w:rsidR="00503571">
        <w:t xml:space="preserve">proposed </w:t>
      </w:r>
      <w:r w:rsidR="00DB047F">
        <w:t xml:space="preserve">custodianship framework can provide an important foundation for progressing these aspirations. A recognised First Nations </w:t>
      </w:r>
      <w:r w:rsidR="41615BA9">
        <w:t>Authority</w:t>
      </w:r>
      <w:r w:rsidR="00DB047F">
        <w:t xml:space="preserve"> </w:t>
      </w:r>
      <w:r w:rsidR="6D46FD2A">
        <w:t>c</w:t>
      </w:r>
      <w:r w:rsidR="00DB047F">
        <w:t xml:space="preserve">ould </w:t>
      </w:r>
      <w:r w:rsidR="7F829A50">
        <w:t>provide the</w:t>
      </w:r>
      <w:r w:rsidR="00DB047F">
        <w:t xml:space="preserve"> forum through which Nations can engage with governments on longer-term reforms, including river rights, land and water access, cultural water ownership, Treaty-related matters and future authority over water resources.</w:t>
      </w:r>
    </w:p>
    <w:p w14:paraId="00BB3B24" w14:textId="6E3F9C63" w:rsidR="005D0532" w:rsidRDefault="00382EE8" w:rsidP="00EF451A">
      <w:r>
        <w:rPr>
          <w:rFonts w:ascii="ZWAdobeF" w:hAnsi="ZWAdobeF" w:cs="ZWAdobeF"/>
          <w:sz w:val="2"/>
          <w:szCs w:val="2"/>
        </w:rPr>
        <w:t>1089B</w:t>
      </w:r>
      <w:r w:rsidR="00DB047F">
        <w:t>While these matters are beyond the scope of the Review, acknowledg</w:t>
      </w:r>
      <w:r w:rsidR="5358B0A5">
        <w:t>ing</w:t>
      </w:r>
      <w:r w:rsidR="00DB047F">
        <w:t xml:space="preserve"> </w:t>
      </w:r>
      <w:r w:rsidR="00255743">
        <w:t>them</w:t>
      </w:r>
      <w:r w:rsidR="00DB047F">
        <w:t xml:space="preserve"> accurately reflect</w:t>
      </w:r>
      <w:r w:rsidR="00255743">
        <w:t>s</w:t>
      </w:r>
      <w:r w:rsidR="00DB047F">
        <w:t xml:space="preserve"> the advice received from </w:t>
      </w:r>
      <w:r w:rsidR="0A7D61F7">
        <w:t xml:space="preserve">First </w:t>
      </w:r>
      <w:r w:rsidR="00DB047F">
        <w:t xml:space="preserve">Nations through the Review process. The revised Deed therefore </w:t>
      </w:r>
      <w:r w:rsidR="00A26C4C">
        <w:t xml:space="preserve">should </w:t>
      </w:r>
      <w:r w:rsidR="00DB047F">
        <w:t xml:space="preserve">not be seen as the endpoint for First Nations water interests. Rather, it </w:t>
      </w:r>
      <w:r w:rsidR="17132DC7">
        <w:t>c</w:t>
      </w:r>
      <w:r w:rsidR="00DB047F">
        <w:t>ould establish practical arrangements that recognise custodianship now, while supporting Nations and governments to pursue broader reforms through the appropriate legal and policy pathways.</w:t>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3F6346" w14:paraId="79D7A966" w14:textId="77777777">
        <w:tc>
          <w:tcPr>
            <w:tcW w:w="9288" w:type="dxa"/>
            <w:shd w:val="clear" w:color="auto" w:fill="000099"/>
          </w:tcPr>
          <w:p w14:paraId="06C62074" w14:textId="68A071EE" w:rsidR="003F6346" w:rsidRPr="00A17844" w:rsidRDefault="00382EE8">
            <w:pPr>
              <w:pStyle w:val="RecsBox"/>
              <w:rPr>
                <w:b/>
                <w:bCs/>
              </w:rPr>
            </w:pPr>
            <w:r>
              <w:rPr>
                <w:rFonts w:ascii="ZWAdobeF" w:hAnsi="ZWAdobeF" w:cs="ZWAdobeF"/>
                <w:bCs/>
                <w:sz w:val="2"/>
                <w:szCs w:val="2"/>
              </w:rPr>
              <w:t>1591B</w:t>
            </w:r>
            <w:r w:rsidR="003F6346" w:rsidRPr="00A17844">
              <w:rPr>
                <w:b/>
                <w:bCs/>
              </w:rPr>
              <w:t>Recommendations</w:t>
            </w:r>
          </w:p>
        </w:tc>
      </w:tr>
      <w:tr w:rsidR="003F6346" w14:paraId="0418FDD0" w14:textId="77777777">
        <w:tc>
          <w:tcPr>
            <w:tcW w:w="9288" w:type="dxa"/>
          </w:tcPr>
          <w:p w14:paraId="7A23AEFC" w14:textId="73B457FD" w:rsidR="00CE6979" w:rsidRPr="00CE6979" w:rsidRDefault="00382EE8" w:rsidP="00CE6979">
            <w:pPr>
              <w:pStyle w:val="RecsBox"/>
              <w:rPr>
                <w:rFonts w:eastAsia="Aptos"/>
                <w:b/>
                <w:bCs/>
              </w:rPr>
            </w:pPr>
            <w:r>
              <w:rPr>
                <w:rFonts w:ascii="ZWAdobeF" w:eastAsia="Aptos" w:hAnsi="ZWAdobeF" w:cs="ZWAdobeF"/>
                <w:bCs/>
                <w:sz w:val="2"/>
                <w:szCs w:val="2"/>
              </w:rPr>
              <w:t>1592B</w:t>
            </w:r>
            <w:r w:rsidR="00CE6979" w:rsidRPr="00CE6979">
              <w:rPr>
                <w:rFonts w:eastAsia="Aptos"/>
                <w:b/>
                <w:bCs/>
              </w:rPr>
              <w:t>Recommendation 16 – First Nations custodianship framework </w:t>
            </w:r>
          </w:p>
          <w:p w14:paraId="45FCE764" w14:textId="44650D19" w:rsidR="00CE6979" w:rsidRDefault="00382EE8" w:rsidP="00CE6979">
            <w:pPr>
              <w:pStyle w:val="RecsBox"/>
              <w:rPr>
                <w:rFonts w:eastAsia="Aptos"/>
              </w:rPr>
            </w:pPr>
            <w:r>
              <w:rPr>
                <w:rFonts w:ascii="ZWAdobeF" w:eastAsia="Aptos" w:hAnsi="ZWAdobeF" w:cs="ZWAdobeF"/>
                <w:sz w:val="2"/>
                <w:szCs w:val="2"/>
              </w:rPr>
              <w:t>1593B</w:t>
            </w:r>
            <w:r w:rsidR="00CE6979" w:rsidRPr="00A64286">
              <w:rPr>
                <w:rFonts w:eastAsia="Aptos"/>
              </w:rPr>
              <w:t xml:space="preserve">Governments </w:t>
            </w:r>
            <w:r w:rsidR="00CE6979">
              <w:rPr>
                <w:rFonts w:eastAsia="Aptos"/>
              </w:rPr>
              <w:t xml:space="preserve">proactively </w:t>
            </w:r>
            <w:r w:rsidR="00CE6979" w:rsidRPr="00A64286">
              <w:rPr>
                <w:rFonts w:eastAsia="Aptos"/>
              </w:rPr>
              <w:t xml:space="preserve">work with all Nations of the Upper Murrumbidgee and Snowy River systems to establish a First Nations custodianship framework, described in </w:t>
            </w:r>
            <w:r w:rsidR="00CE6979">
              <w:rPr>
                <w:rFonts w:eastAsia="Aptos"/>
              </w:rPr>
              <w:t xml:space="preserve">Chapter </w:t>
            </w:r>
            <w:r w:rsidR="00CE6979" w:rsidRPr="00A64286">
              <w:rPr>
                <w:rFonts w:eastAsia="Aptos"/>
              </w:rPr>
              <w:t>6.1, that provides a structured pathway towards shared governance and decision-making on matters affecting cultural values, and to progress broader aspirations that may include river rights, cultural water ownership and access to river Country. </w:t>
            </w:r>
          </w:p>
          <w:p w14:paraId="40F4A2DE" w14:textId="41CBD988" w:rsidR="003F6346" w:rsidRPr="00CE6979" w:rsidRDefault="00382EE8" w:rsidP="00CE6979">
            <w:pPr>
              <w:pStyle w:val="RecsBox"/>
            </w:pPr>
            <w:r>
              <w:rPr>
                <w:rFonts w:ascii="ZWAdobeF" w:hAnsi="ZWAdobeF" w:cs="ZWAdobeF"/>
                <w:sz w:val="2"/>
                <w:szCs w:val="2"/>
              </w:rPr>
              <w:t>1594B</w:t>
            </w:r>
            <w:r w:rsidR="00CE6979" w:rsidRPr="00BE3B29">
              <w:t>Governments are to invest appropriately to support the implementation of this recommendation.</w:t>
            </w:r>
          </w:p>
        </w:tc>
      </w:tr>
      <w:tr w:rsidR="00CE6979" w14:paraId="330AB06B" w14:textId="77777777">
        <w:tc>
          <w:tcPr>
            <w:tcW w:w="9288" w:type="dxa"/>
          </w:tcPr>
          <w:p w14:paraId="0A835990" w14:textId="49118FF1" w:rsidR="0005689B" w:rsidRPr="0005689B" w:rsidRDefault="00382EE8" w:rsidP="0005689B">
            <w:pPr>
              <w:pStyle w:val="RecsBox"/>
              <w:rPr>
                <w:rFonts w:eastAsia="Aptos"/>
                <w:b/>
                <w:bCs/>
              </w:rPr>
            </w:pPr>
            <w:r>
              <w:rPr>
                <w:rFonts w:ascii="ZWAdobeF" w:eastAsia="Aptos" w:hAnsi="ZWAdobeF" w:cs="ZWAdobeF"/>
                <w:bCs/>
                <w:sz w:val="2"/>
                <w:szCs w:val="2"/>
              </w:rPr>
              <w:t>1595B</w:t>
            </w:r>
            <w:r w:rsidR="0005689B" w:rsidRPr="0005689B">
              <w:rPr>
                <w:rFonts w:eastAsia="Aptos"/>
                <w:b/>
                <w:bCs/>
              </w:rPr>
              <w:t xml:space="preserve">Recommendation 17 – Water entitlements for First Nations </w:t>
            </w:r>
          </w:p>
          <w:p w14:paraId="2E40F713" w14:textId="278F8C99" w:rsidR="0005689B" w:rsidRPr="00A64286" w:rsidRDefault="00382EE8" w:rsidP="0005689B">
            <w:pPr>
              <w:pStyle w:val="RecsBox"/>
              <w:rPr>
                <w:rFonts w:eastAsia="Aptos"/>
                <w:color w:val="000000" w:themeColor="text1"/>
              </w:rPr>
            </w:pPr>
            <w:r>
              <w:rPr>
                <w:rFonts w:ascii="ZWAdobeF" w:eastAsia="Aptos" w:hAnsi="ZWAdobeF" w:cs="ZWAdobeF"/>
                <w:sz w:val="2"/>
                <w:szCs w:val="2"/>
              </w:rPr>
              <w:t>1596B</w:t>
            </w:r>
            <w:r w:rsidR="0005689B" w:rsidRPr="760D2302">
              <w:rPr>
                <w:rFonts w:eastAsia="Aptos"/>
                <w:color w:val="000000" w:themeColor="text1"/>
              </w:rPr>
              <w:t>Governments proactively work with and support First Nations along the Upper Murrumbidgee and Snowy rivers</w:t>
            </w:r>
            <w:r w:rsidR="0005689B">
              <w:rPr>
                <w:rFonts w:eastAsia="Aptos"/>
                <w:color w:val="000000" w:themeColor="text1"/>
              </w:rPr>
              <w:t>, including through targeted and sustained investments to enable</w:t>
            </w:r>
            <w:r w:rsidR="0005689B" w:rsidRPr="760D2302">
              <w:rPr>
                <w:rFonts w:eastAsia="Aptos"/>
                <w:color w:val="000000" w:themeColor="text1"/>
              </w:rPr>
              <w:t xml:space="preserve"> access </w:t>
            </w:r>
            <w:r w:rsidR="0005689B">
              <w:rPr>
                <w:rFonts w:eastAsia="Aptos"/>
                <w:color w:val="000000" w:themeColor="text1"/>
              </w:rPr>
              <w:t xml:space="preserve">to </w:t>
            </w:r>
            <w:r w:rsidR="0005689B" w:rsidRPr="760D2302">
              <w:rPr>
                <w:rFonts w:eastAsia="Aptos"/>
                <w:color w:val="000000" w:themeColor="text1"/>
              </w:rPr>
              <w:t>water entitlements that may be progressed through a Nation</w:t>
            </w:r>
            <w:r w:rsidR="0005689B">
              <w:rPr>
                <w:rFonts w:eastAsia="Aptos"/>
                <w:color w:val="000000" w:themeColor="text1"/>
              </w:rPr>
              <w:t>-</w:t>
            </w:r>
            <w:r w:rsidR="0005689B" w:rsidRPr="760D2302">
              <w:rPr>
                <w:rFonts w:eastAsia="Aptos"/>
                <w:color w:val="000000" w:themeColor="text1"/>
              </w:rPr>
              <w:t>led program that: </w:t>
            </w:r>
          </w:p>
          <w:p w14:paraId="0D536966" w14:textId="6F017FC5" w:rsidR="0005689B" w:rsidRPr="00A64286" w:rsidRDefault="00382EE8" w:rsidP="00B11C71">
            <w:pPr>
              <w:pStyle w:val="RecsBox"/>
              <w:numPr>
                <w:ilvl w:val="0"/>
                <w:numId w:val="151"/>
              </w:numPr>
              <w:rPr>
                <w:rFonts w:eastAsia="Aptos"/>
                <w:color w:val="000000" w:themeColor="text1"/>
              </w:rPr>
            </w:pPr>
            <w:r>
              <w:rPr>
                <w:rFonts w:ascii="ZWAdobeF" w:eastAsia="Aptos" w:hAnsi="ZWAdobeF" w:cs="ZWAdobeF"/>
                <w:sz w:val="2"/>
                <w:szCs w:val="2"/>
              </w:rPr>
              <w:lastRenderedPageBreak/>
              <w:t>1597B</w:t>
            </w:r>
            <w:r w:rsidR="0005689B" w:rsidRPr="00A64286">
              <w:rPr>
                <w:rFonts w:eastAsia="Aptos"/>
                <w:color w:val="000000" w:themeColor="text1"/>
              </w:rPr>
              <w:t>identifies the mechanism for legal authority to hold and manage water interests  </w:t>
            </w:r>
          </w:p>
          <w:p w14:paraId="53FF2B32" w14:textId="6D5EF59D" w:rsidR="0005689B" w:rsidRPr="00A64286" w:rsidRDefault="00382EE8" w:rsidP="00B11C71">
            <w:pPr>
              <w:pStyle w:val="RecsBox"/>
              <w:numPr>
                <w:ilvl w:val="0"/>
                <w:numId w:val="151"/>
              </w:numPr>
              <w:rPr>
                <w:rFonts w:eastAsia="Aptos"/>
                <w:color w:val="000000" w:themeColor="text1"/>
              </w:rPr>
            </w:pPr>
            <w:r>
              <w:rPr>
                <w:rFonts w:ascii="ZWAdobeF" w:eastAsia="Aptos" w:hAnsi="ZWAdobeF" w:cs="ZWAdobeF"/>
                <w:sz w:val="2"/>
                <w:szCs w:val="2"/>
              </w:rPr>
              <w:t>1598B</w:t>
            </w:r>
            <w:r w:rsidR="0005689B" w:rsidRPr="00A64286">
              <w:rPr>
                <w:rFonts w:eastAsia="Aptos"/>
                <w:color w:val="000000" w:themeColor="text1"/>
              </w:rPr>
              <w:t>supports First Nations defining objectives, timing, location and use of cultural water  </w:t>
            </w:r>
          </w:p>
          <w:p w14:paraId="7F28FF64" w14:textId="0CCE9CB8" w:rsidR="0005689B" w:rsidRPr="00A64286" w:rsidRDefault="00382EE8" w:rsidP="00B11C71">
            <w:pPr>
              <w:pStyle w:val="RecsBox"/>
              <w:numPr>
                <w:ilvl w:val="0"/>
                <w:numId w:val="151"/>
              </w:numPr>
              <w:rPr>
                <w:rFonts w:eastAsia="Aptos"/>
                <w:color w:val="000000" w:themeColor="text1"/>
              </w:rPr>
            </w:pPr>
            <w:r>
              <w:rPr>
                <w:rFonts w:ascii="ZWAdobeF" w:eastAsia="Aptos" w:hAnsi="ZWAdobeF" w:cs="ZWAdobeF"/>
                <w:sz w:val="2"/>
                <w:szCs w:val="2"/>
              </w:rPr>
              <w:t>1599B</w:t>
            </w:r>
            <w:r w:rsidR="0005689B" w:rsidRPr="00A64286">
              <w:rPr>
                <w:rFonts w:eastAsia="Aptos"/>
                <w:color w:val="000000" w:themeColor="text1"/>
              </w:rPr>
              <w:t>develops strategic guidance, coordination and long-term capacity building/knowledge sharing prepared by the First Nations Authority </w:t>
            </w:r>
          </w:p>
          <w:p w14:paraId="62DAA48D" w14:textId="6B71EE44" w:rsidR="0005689B" w:rsidRPr="00A64286" w:rsidRDefault="00382EE8" w:rsidP="00B11C71">
            <w:pPr>
              <w:pStyle w:val="RecsBox"/>
              <w:numPr>
                <w:ilvl w:val="0"/>
                <w:numId w:val="151"/>
              </w:numPr>
              <w:rPr>
                <w:rFonts w:eastAsia="Aptos"/>
                <w:color w:val="000000" w:themeColor="text1"/>
              </w:rPr>
            </w:pPr>
            <w:r>
              <w:rPr>
                <w:rFonts w:ascii="ZWAdobeF" w:eastAsia="Aptos" w:hAnsi="ZWAdobeF" w:cs="ZWAdobeF"/>
                <w:sz w:val="2"/>
                <w:szCs w:val="2"/>
              </w:rPr>
              <w:t>1600B</w:t>
            </w:r>
            <w:r w:rsidR="0005689B" w:rsidRPr="00A64286">
              <w:rPr>
                <w:rFonts w:eastAsia="Aptos"/>
                <w:color w:val="000000" w:themeColor="text1"/>
              </w:rPr>
              <w:t>establishes operational arrangements for coordinating cultural water delivery alongside environmental and other water uses </w:t>
            </w:r>
          </w:p>
          <w:p w14:paraId="00C57AF5" w14:textId="79772922" w:rsidR="00CE6979" w:rsidRPr="0005689B" w:rsidRDefault="00382EE8" w:rsidP="00B11C71">
            <w:pPr>
              <w:pStyle w:val="RecsBox"/>
              <w:numPr>
                <w:ilvl w:val="0"/>
                <w:numId w:val="151"/>
              </w:numPr>
              <w:rPr>
                <w:rFonts w:eastAsia="Aptos"/>
                <w:color w:val="000000" w:themeColor="text1"/>
              </w:rPr>
            </w:pPr>
            <w:r>
              <w:rPr>
                <w:rFonts w:ascii="ZWAdobeF" w:eastAsia="Aptos" w:hAnsi="ZWAdobeF" w:cs="ZWAdobeF"/>
                <w:sz w:val="2"/>
                <w:szCs w:val="2"/>
              </w:rPr>
              <w:t>1601B</w:t>
            </w:r>
            <w:r w:rsidR="0005689B" w:rsidRPr="4D39A23B">
              <w:rPr>
                <w:rFonts w:eastAsia="Aptos"/>
                <w:color w:val="000000" w:themeColor="text1"/>
              </w:rPr>
              <w:t>establishes monitoring and reporting against cultural objectives. </w:t>
            </w:r>
          </w:p>
        </w:tc>
      </w:tr>
    </w:tbl>
    <w:p w14:paraId="315D6E1F" w14:textId="77777777" w:rsidR="00EF451A" w:rsidRDefault="00EF451A" w:rsidP="003F6346"/>
    <w:p w14:paraId="627FC2CD" w14:textId="5C7F3759" w:rsidR="005B03EA" w:rsidRDefault="005D0532" w:rsidP="00E82746">
      <w:pPr>
        <w:pStyle w:val="ReviewHeading2"/>
        <w:jc w:val="left"/>
      </w:pPr>
      <w:bookmarkStart w:id="89" w:name="_Toc233801492"/>
      <w:r>
        <w:t>6.2</w:t>
      </w:r>
      <w:r w:rsidR="00ED1CBC">
        <w:t xml:space="preserve"> </w:t>
      </w:r>
      <w:bookmarkStart w:id="90" w:name="_Toc233285613"/>
      <w:r w:rsidR="005B03EA">
        <w:t xml:space="preserve">Community </w:t>
      </w:r>
      <w:bookmarkEnd w:id="90"/>
      <w:r w:rsidR="013CBF84">
        <w:t>Stewardship</w:t>
      </w:r>
      <w:bookmarkEnd w:id="89"/>
    </w:p>
    <w:p w14:paraId="582067C9" w14:textId="6933A6BC" w:rsidR="00301243" w:rsidRDefault="009F0864" w:rsidP="00CD1CE4">
      <w:pPr>
        <w:pStyle w:val="ReviewHeading3"/>
      </w:pPr>
      <w:r>
        <w:rPr>
          <w:noProof/>
        </w:rPr>
        <mc:AlternateContent>
          <mc:Choice Requires="wps">
            <w:drawing>
              <wp:anchor distT="0" distB="0" distL="114300" distR="114300" simplePos="0" relativeHeight="251658262" behindDoc="0" locked="0" layoutInCell="1" allowOverlap="1" wp14:anchorId="02BB8077" wp14:editId="07E78306">
                <wp:simplePos x="0" y="0"/>
                <wp:positionH relativeFrom="column">
                  <wp:posOffset>27636</wp:posOffset>
                </wp:positionH>
                <wp:positionV relativeFrom="paragraph">
                  <wp:posOffset>475284</wp:posOffset>
                </wp:positionV>
                <wp:extent cx="5486400" cy="161925"/>
                <wp:effectExtent l="0" t="0" r="0" b="9525"/>
                <wp:wrapSquare wrapText="bothSides"/>
                <wp:docPr id="922722368" name="Text Box 1" descr="P1525TB23#y1"/>
                <wp:cNvGraphicFramePr/>
                <a:graphic xmlns:a="http://schemas.openxmlformats.org/drawingml/2006/main">
                  <a:graphicData uri="http://schemas.microsoft.com/office/word/2010/wordprocessingShape">
                    <wps:wsp>
                      <wps:cNvSpPr txBox="1"/>
                      <wps:spPr>
                        <a:xfrm>
                          <a:off x="0" y="0"/>
                          <a:ext cx="5486400" cy="161925"/>
                        </a:xfrm>
                        <a:prstGeom prst="rect">
                          <a:avLst/>
                        </a:prstGeom>
                        <a:solidFill>
                          <a:prstClr val="white"/>
                        </a:solidFill>
                        <a:ln>
                          <a:noFill/>
                        </a:ln>
                      </wps:spPr>
                      <wps:txbx>
                        <w:txbxContent>
                          <w:p w14:paraId="2EEB7E42" w14:textId="63A210C0" w:rsidR="00693AD7" w:rsidRPr="00693AD7" w:rsidRDefault="00693AD7" w:rsidP="00693AD7">
                            <w:pPr>
                              <w:pStyle w:val="Caption"/>
                              <w:shd w:val="clear" w:color="auto" w:fill="DAE9F7" w:themeFill="text2" w:themeFillTint="1A"/>
                              <w:rPr>
                                <w:rFonts w:asciiTheme="majorHAnsi" w:eastAsiaTheme="majorEastAsia" w:hAnsiTheme="majorHAnsi" w:cstheme="majorBidi"/>
                                <w:b/>
                                <w:bCs/>
                                <w:noProof/>
                                <w:color w:val="auto"/>
                                <w:sz w:val="44"/>
                                <w:szCs w:val="44"/>
                              </w:rPr>
                            </w:pPr>
                            <w:r w:rsidRPr="00693AD7">
                              <w:rPr>
                                <w:b/>
                                <w:bCs/>
                                <w:color w:val="auto"/>
                                <w:sz w:val="20"/>
                                <w:szCs w:val="20"/>
                              </w:rPr>
                              <w:t xml:space="preserve">Box </w:t>
                            </w:r>
                            <w:r w:rsidRPr="00693AD7">
                              <w:rPr>
                                <w:b/>
                                <w:bCs/>
                                <w:color w:val="auto"/>
                                <w:sz w:val="20"/>
                                <w:szCs w:val="20"/>
                              </w:rPr>
                              <w:fldChar w:fldCharType="begin"/>
                            </w:r>
                            <w:r w:rsidRPr="00693AD7">
                              <w:rPr>
                                <w:b/>
                                <w:bCs/>
                                <w:color w:val="auto"/>
                                <w:sz w:val="20"/>
                                <w:szCs w:val="20"/>
                              </w:rPr>
                              <w:instrText xml:space="preserve"> SEQ Box \* ARABIC </w:instrText>
                            </w:r>
                            <w:r w:rsidRPr="00693AD7">
                              <w:rPr>
                                <w:b/>
                                <w:bCs/>
                                <w:color w:val="auto"/>
                                <w:sz w:val="20"/>
                                <w:szCs w:val="20"/>
                              </w:rPr>
                              <w:fldChar w:fldCharType="separate"/>
                            </w:r>
                            <w:r w:rsidR="00DE5784">
                              <w:rPr>
                                <w:b/>
                                <w:bCs/>
                                <w:noProof/>
                                <w:color w:val="auto"/>
                                <w:sz w:val="20"/>
                                <w:szCs w:val="20"/>
                              </w:rPr>
                              <w:t>11</w:t>
                            </w:r>
                            <w:r w:rsidRPr="00693AD7">
                              <w:rPr>
                                <w:b/>
                                <w:bCs/>
                                <w:color w:val="auto"/>
                                <w:sz w:val="20"/>
                                <w:szCs w:val="20"/>
                              </w:rPr>
                              <w:fldChar w:fldCharType="end"/>
                            </w:r>
                            <w:r w:rsidRPr="00693AD7">
                              <w:rPr>
                                <w:b/>
                                <w:bCs/>
                                <w:color w:val="auto"/>
                                <w:sz w:val="20"/>
                                <w:szCs w:val="20"/>
                              </w:rPr>
                              <w:t xml:space="preserve">: Case Study: </w:t>
                            </w:r>
                            <w:r w:rsidRPr="00693AD7">
                              <w:rPr>
                                <w:b/>
                                <w:bCs/>
                                <w:color w:val="auto"/>
                                <w:sz w:val="20"/>
                                <w:szCs w:val="22"/>
                              </w:rPr>
                              <w:t>The Snowy River Campaign – Advocacy Driving Reform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B8077" id="_x0000_s1050" type="#_x0000_t202" alt="P1525TB23#y1" style="position:absolute;margin-left:2.2pt;margin-top:37.4pt;width:6in;height:12.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" stroked="f">
                <v:textbox inset="0,0,0,0">
                  <w:txbxContent>
                    <w:p w14:paraId="2EEB7E42" w14:textId="63A210C0" w:rsidR="00693AD7" w:rsidRPr="00693AD7" w:rsidRDefault="00693AD7" w:rsidP="00693AD7">
                      <w:pPr>
                        <w:pStyle w:val="Caption"/>
                        <w:shd w:val="clear" w:color="auto" w:fill="DAE9F7" w:themeFill="text2" w:themeFillTint="1A"/>
                        <w:rPr>
                          <w:rFonts w:asciiTheme="majorHAnsi" w:eastAsiaTheme="majorEastAsia" w:hAnsiTheme="majorHAnsi" w:cstheme="majorBidi"/>
                          <w:b/>
                          <w:bCs/>
                          <w:noProof/>
                          <w:color w:val="auto"/>
                          <w:sz w:val="44"/>
                          <w:szCs w:val="44"/>
                        </w:rPr>
                      </w:pPr>
                      <w:r w:rsidRPr="00693AD7">
                        <w:rPr>
                          <w:b/>
                          <w:bCs/>
                          <w:color w:val="auto"/>
                          <w:sz w:val="20"/>
                          <w:szCs w:val="20"/>
                        </w:rPr>
                        <w:t xml:space="preserve">Box </w:t>
                      </w:r>
                      <w:r w:rsidRPr="00693AD7">
                        <w:rPr>
                          <w:b/>
                          <w:bCs/>
                          <w:color w:val="auto"/>
                          <w:sz w:val="20"/>
                          <w:szCs w:val="20"/>
                        </w:rPr>
                        <w:fldChar w:fldCharType="begin"/>
                      </w:r>
                      <w:r w:rsidRPr="00693AD7">
                        <w:rPr>
                          <w:b/>
                          <w:bCs/>
                          <w:color w:val="auto"/>
                          <w:sz w:val="20"/>
                          <w:szCs w:val="20"/>
                        </w:rPr>
                        <w:instrText xml:space="preserve"> SEQ Box \* ARABIC </w:instrText>
                      </w:r>
                      <w:r w:rsidRPr="00693AD7">
                        <w:rPr>
                          <w:b/>
                          <w:bCs/>
                          <w:color w:val="auto"/>
                          <w:sz w:val="20"/>
                          <w:szCs w:val="20"/>
                        </w:rPr>
                        <w:fldChar w:fldCharType="separate"/>
                      </w:r>
                      <w:r w:rsidR="00DE5784">
                        <w:rPr>
                          <w:b/>
                          <w:bCs/>
                          <w:noProof/>
                          <w:color w:val="auto"/>
                          <w:sz w:val="20"/>
                          <w:szCs w:val="20"/>
                        </w:rPr>
                        <w:t>11</w:t>
                      </w:r>
                      <w:r w:rsidRPr="00693AD7">
                        <w:rPr>
                          <w:b/>
                          <w:bCs/>
                          <w:color w:val="auto"/>
                          <w:sz w:val="20"/>
                          <w:szCs w:val="20"/>
                        </w:rPr>
                        <w:fldChar w:fldCharType="end"/>
                      </w:r>
                      <w:r w:rsidRPr="00693AD7">
                        <w:rPr>
                          <w:b/>
                          <w:bCs/>
                          <w:color w:val="auto"/>
                          <w:sz w:val="20"/>
                          <w:szCs w:val="20"/>
                        </w:rPr>
                        <w:t xml:space="preserve">: Case Study: </w:t>
                      </w:r>
                      <w:r w:rsidRPr="00693AD7">
                        <w:rPr>
                          <w:b/>
                          <w:bCs/>
                          <w:color w:val="auto"/>
                          <w:sz w:val="20"/>
                          <w:szCs w:val="22"/>
                        </w:rPr>
                        <w:t>The Snowy River Campaign – Advocacy Driving Reform</w:t>
                      </w:r>
                    </w:p>
                  </w:txbxContent>
                </v:textbox>
                <w10:wrap type="square"/>
              </v:shape>
            </w:pict>
          </mc:Fallback>
        </mc:AlternateContent>
      </w:r>
      <w:r>
        <w:rPr>
          <w:noProof/>
        </w:rPr>
        <mc:AlternateContent>
          <mc:Choice Requires="wps">
            <w:drawing>
              <wp:anchor distT="45720" distB="45720" distL="114300" distR="114300" simplePos="0" relativeHeight="251658251" behindDoc="0" locked="0" layoutInCell="1" allowOverlap="1" wp14:anchorId="30A2E03F" wp14:editId="3767662B">
                <wp:simplePos x="0" y="0"/>
                <wp:positionH relativeFrom="margin">
                  <wp:posOffset>-74599</wp:posOffset>
                </wp:positionH>
                <wp:positionV relativeFrom="paragraph">
                  <wp:posOffset>407587</wp:posOffset>
                </wp:positionV>
                <wp:extent cx="6082030" cy="1687195"/>
                <wp:effectExtent l="38100" t="38100" r="90170" b="103505"/>
                <wp:wrapSquare wrapText="bothSides"/>
                <wp:docPr id="1442699091" name="Text Box 2" descr="P1525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687195"/>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55A32B28" w14:textId="77777777" w:rsidR="00697821" w:rsidRDefault="000D7901" w:rsidP="000D7901">
                            <w:pPr>
                              <w:rPr>
                                <w:b/>
                                <w:sz w:val="18"/>
                                <w:szCs w:val="20"/>
                                <w:highlight w:val="yellow"/>
                              </w:rPr>
                            </w:pPr>
                            <w:r w:rsidRPr="00F246A4">
                              <w:rPr>
                                <w:b/>
                                <w:sz w:val="18"/>
                                <w:szCs w:val="20"/>
                              </w:rPr>
                              <w:t xml:space="preserve"> </w:t>
                            </w:r>
                          </w:p>
                          <w:p w14:paraId="0321057A" w14:textId="77777777" w:rsidR="000D7901" w:rsidRPr="00F246A4" w:rsidRDefault="000D7901" w:rsidP="000D7901">
                            <w:pPr>
                              <w:rPr>
                                <w:sz w:val="18"/>
                                <w:szCs w:val="20"/>
                              </w:rPr>
                            </w:pPr>
                            <w:r w:rsidRPr="00F246A4">
                              <w:rPr>
                                <w:sz w:val="18"/>
                                <w:szCs w:val="20"/>
                              </w:rPr>
                              <w:t xml:space="preserve">The Snowy River campaign demonstrates the power of sustained community advocacy in driving environmental reform. </w:t>
                            </w:r>
                          </w:p>
                          <w:p w14:paraId="24DBC9BA" w14:textId="77777777" w:rsidR="000D7901" w:rsidRPr="00F246A4" w:rsidRDefault="000D7901" w:rsidP="000D7901">
                            <w:pPr>
                              <w:rPr>
                                <w:sz w:val="18"/>
                                <w:szCs w:val="20"/>
                              </w:rPr>
                            </w:pPr>
                            <w:r w:rsidRPr="00F246A4">
                              <w:rPr>
                                <w:sz w:val="18"/>
                                <w:szCs w:val="20"/>
                              </w:rPr>
                              <w:t xml:space="preserve">Advocacy by local communities led to the 1998 Snowy Water Inquiry and the 2000 intergovernmental agreement to return environmental flows, increasing releases from around 1% to up to 22% of natural flows. The subsequent 2002 Deed was one of Australia’s first legally binding environmental flow commitments. </w:t>
                            </w:r>
                          </w:p>
                          <w:p w14:paraId="04868792" w14:textId="1ED6A517" w:rsidR="000D7901" w:rsidRPr="00F246A4" w:rsidRDefault="000D7901" w:rsidP="000D7901">
                            <w:pPr>
                              <w:rPr>
                                <w:sz w:val="18"/>
                                <w:szCs w:val="20"/>
                              </w:rPr>
                            </w:pPr>
                            <w:r w:rsidRPr="00F246A4">
                              <w:rPr>
                                <w:sz w:val="18"/>
                                <w:szCs w:val="20"/>
                              </w:rPr>
                              <w:t>Although the Deed requires review, the experience highlights the ongoing role of community advocacy in shaping, maintaining accountability and supporting long-term reform.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2E03F" id="_x0000_s1051" type="#_x0000_t202" alt="P1525TB12#y1" style="position:absolute;margin-left:-5.85pt;margin-top:32.1pt;width:478.9pt;height:132.8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" fillcolor="#dceaf7 [351]" stroked="f">
                <v:shadow on="t" color="black" opacity="26214f" origin="-.5,-.5" offset=".74836mm,.74836mm"/>
                <v:textbox>
                  <w:txbxContent>
                    <w:p w14:paraId="55A32B28" w14:textId="77777777" w:rsidR="00697821" w:rsidRDefault="000D7901" w:rsidP="000D7901">
                      <w:pPr>
                        <w:rPr>
                          <w:b/>
                          <w:sz w:val="18"/>
                          <w:szCs w:val="20"/>
                          <w:highlight w:val="yellow"/>
                        </w:rPr>
                      </w:pPr>
                      <w:r w:rsidRPr="00F246A4">
                        <w:rPr>
                          <w:b/>
                          <w:sz w:val="18"/>
                          <w:szCs w:val="20"/>
                        </w:rPr>
                        <w:t xml:space="preserve"> </w:t>
                      </w:r>
                    </w:p>
                    <w:p w14:paraId="0321057A" w14:textId="77777777" w:rsidR="000D7901" w:rsidRPr="00F246A4" w:rsidRDefault="000D7901" w:rsidP="000D7901">
                      <w:pPr>
                        <w:rPr>
                          <w:sz w:val="18"/>
                          <w:szCs w:val="20"/>
                        </w:rPr>
                      </w:pPr>
                      <w:r w:rsidRPr="00F246A4">
                        <w:rPr>
                          <w:sz w:val="18"/>
                          <w:szCs w:val="20"/>
                        </w:rPr>
                        <w:t xml:space="preserve">The Snowy River campaign demonstrates the power of sustained community advocacy in driving environmental reform. </w:t>
                      </w:r>
                    </w:p>
                    <w:p w14:paraId="24DBC9BA" w14:textId="77777777" w:rsidR="000D7901" w:rsidRPr="00F246A4" w:rsidRDefault="000D7901" w:rsidP="000D7901">
                      <w:pPr>
                        <w:rPr>
                          <w:sz w:val="18"/>
                          <w:szCs w:val="20"/>
                        </w:rPr>
                      </w:pPr>
                      <w:r w:rsidRPr="00F246A4">
                        <w:rPr>
                          <w:sz w:val="18"/>
                          <w:szCs w:val="20"/>
                        </w:rPr>
                        <w:t xml:space="preserve">Advocacy by local communities led to the 1998 Snowy Water Inquiry and the 2000 intergovernmental agreement to return environmental flows, increasing releases from around 1% to up to 22% of natural flows. The subsequent 2002 Deed was one of Australia’s first legally binding environmental flow commitments. </w:t>
                      </w:r>
                    </w:p>
                    <w:p w14:paraId="04868792" w14:textId="1ED6A517" w:rsidR="000D7901" w:rsidRPr="00F246A4" w:rsidRDefault="000D7901" w:rsidP="000D7901">
                      <w:pPr>
                        <w:rPr>
                          <w:sz w:val="18"/>
                          <w:szCs w:val="20"/>
                        </w:rPr>
                      </w:pPr>
                      <w:r w:rsidRPr="00F246A4">
                        <w:rPr>
                          <w:sz w:val="18"/>
                          <w:szCs w:val="20"/>
                        </w:rPr>
                        <w:t>Although the Deed requires review, the experience highlights the ongoing role of community advocacy in shaping, maintaining accountability and supporting long-term reform.</w:t>
                      </w:r>
                    </w:p>
                  </w:txbxContent>
                </v:textbox>
                <w10:wrap type="square" anchorx="margin"/>
              </v:shape>
            </w:pict>
          </mc:Fallback>
        </mc:AlternateContent>
      </w:r>
      <w:r w:rsidR="00CD1CE4">
        <w:t>Role of community</w:t>
      </w:r>
    </w:p>
    <w:p w14:paraId="5AAEED03" w14:textId="6B6E170C" w:rsidR="00CD1CE4" w:rsidRDefault="00382EE8" w:rsidP="00CD1CE4">
      <w:r>
        <w:rPr>
          <w:rFonts w:ascii="ZWAdobeF" w:hAnsi="ZWAdobeF" w:cs="ZWAdobeF"/>
          <w:sz w:val="2"/>
          <w:szCs w:val="2"/>
        </w:rPr>
        <w:t>1090B</w:t>
      </w:r>
      <w:r w:rsidR="00CD1CE4" w:rsidRPr="00AA465F">
        <w:t xml:space="preserve">Local communities play a foundational role in the stewardship and management of river and catchment systems. Landholders, community groups, Traditional Owners and volunteers are often directly responsible for the delivery of on-ground works that underpin ecological outcomes. These activities include riparian restoration, erosion control, revegetation, weed management, habitat protection and the maintenance of river corridors. In </w:t>
      </w:r>
      <w:r w:rsidR="00840203">
        <w:t>systems</w:t>
      </w:r>
      <w:r w:rsidR="00840203" w:rsidRPr="00AA465F">
        <w:t xml:space="preserve"> </w:t>
      </w:r>
      <w:r w:rsidR="00CD1CE4" w:rsidRPr="00AA465F">
        <w:t xml:space="preserve">such as the Upper Murrumbidgee and Snowy </w:t>
      </w:r>
      <w:r w:rsidR="00840203">
        <w:t>r</w:t>
      </w:r>
      <w:r w:rsidR="00CD1CE4" w:rsidRPr="00AA465F">
        <w:t>iver</w:t>
      </w:r>
      <w:r w:rsidR="00840203">
        <w:t>s</w:t>
      </w:r>
      <w:r w:rsidR="00CD1CE4">
        <w:t xml:space="preserve">, </w:t>
      </w:r>
      <w:r w:rsidR="00CD1CE4" w:rsidRPr="00AA465F">
        <w:t>where land tenure is mixed and large areas are privately managed</w:t>
      </w:r>
      <w:r w:rsidR="00CD1CE4">
        <w:t xml:space="preserve">, </w:t>
      </w:r>
      <w:r w:rsidR="00CD1CE4" w:rsidRPr="00AA465F">
        <w:t>community-led action is essential to achieving landscape-scale outcomes.</w:t>
      </w:r>
    </w:p>
    <w:p w14:paraId="7E4F2030" w14:textId="08A98C0A" w:rsidR="00904BB2" w:rsidRPr="007A37AE" w:rsidRDefault="00382EE8" w:rsidP="000D57EB">
      <w:r>
        <w:rPr>
          <w:rFonts w:ascii="ZWAdobeF" w:hAnsi="ZWAdobeF" w:cs="ZWAdobeF"/>
          <w:sz w:val="2"/>
          <w:szCs w:val="2"/>
        </w:rPr>
        <w:t>1091B</w:t>
      </w:r>
      <w:r w:rsidR="00F23F23" w:rsidRPr="00F23F23">
        <w:t>Community involvement also contributes to knowledge generation, monitoring and adaptive management. Local participants bring detailed, place-based understanding of river systems which complements scientific data and supports more responsive and effective management decisions. Communities also play a coordination role, working across property boundaries and connecting landholders, government agencies and other stakeholders to deliver integrated, reach-scale interventions.</w:t>
      </w:r>
    </w:p>
    <w:p w14:paraId="600A212C" w14:textId="5A62C18A" w:rsidR="00243CC1" w:rsidRDefault="00243CC1" w:rsidP="00243CC1">
      <w:pPr>
        <w:pStyle w:val="ReviewHeading3"/>
      </w:pPr>
      <w:r>
        <w:t>C</w:t>
      </w:r>
      <w:r w:rsidR="00FF2643">
        <w:t>urrent capability and initiatives</w:t>
      </w:r>
    </w:p>
    <w:p w14:paraId="3C753839" w14:textId="09D9A6B8" w:rsidR="00842098" w:rsidRPr="00842098" w:rsidRDefault="00382EE8" w:rsidP="00842098">
      <w:r>
        <w:rPr>
          <w:rFonts w:ascii="ZWAdobeF" w:hAnsi="ZWAdobeF" w:cs="ZWAdobeF"/>
          <w:sz w:val="2"/>
          <w:szCs w:val="2"/>
        </w:rPr>
        <w:t>1092B</w:t>
      </w:r>
      <w:r w:rsidR="00912AD1" w:rsidRPr="00FC6EA7">
        <w:t>There is a high level of community capability and engagement across the Upper Murrumbidgee and Snowy systems</w:t>
      </w:r>
      <w:r w:rsidR="00912AD1">
        <w:t xml:space="preserve">. </w:t>
      </w:r>
      <w:r w:rsidR="00912AD1" w:rsidRPr="00CD055C">
        <w:t xml:space="preserve">Established networks, including </w:t>
      </w:r>
      <w:r w:rsidR="39B051F4">
        <w:t>L</w:t>
      </w:r>
      <w:r w:rsidR="40FC1DB6">
        <w:t>andcare</w:t>
      </w:r>
      <w:r w:rsidR="00912AD1" w:rsidRPr="00CD055C">
        <w:t xml:space="preserve"> groups, regional partnerships and community-led initiatives, underpin much of the on-ground delivery of river and catchment management.</w:t>
      </w:r>
      <w:r w:rsidR="004E322F">
        <w:t xml:space="preserve"> </w:t>
      </w:r>
      <w:r w:rsidR="00842098" w:rsidRPr="00842098">
        <w:t xml:space="preserve">These networks build on decades of investment in community-based natural resource management and provide established governance structures, technical capability and </w:t>
      </w:r>
      <w:r w:rsidR="00842098" w:rsidRPr="00842098">
        <w:lastRenderedPageBreak/>
        <w:t>strong local participation, reflecting the broader value of Landcare and community-based approaches in delivering environmental, social and economic outcomes.</w:t>
      </w:r>
      <w:r w:rsidR="00FE7691" w:rsidRPr="00FE7691">
        <w:rPr>
          <w:rStyle w:val="FootnoteReference"/>
        </w:rPr>
        <w:t xml:space="preserve"> </w:t>
      </w:r>
      <w:r>
        <w:rPr>
          <w:rFonts w:ascii="ZWAdobeF" w:hAnsi="ZWAdobeF" w:cs="ZWAdobeF"/>
          <w:sz w:val="2"/>
          <w:szCs w:val="2"/>
        </w:rPr>
        <w:t>74F</w:t>
      </w:r>
      <w:r w:rsidR="00FE7691">
        <w:rPr>
          <w:rStyle w:val="FootnoteReference"/>
        </w:rPr>
        <w:footnoteReference w:id="75"/>
      </w:r>
    </w:p>
    <w:p w14:paraId="0240AF53" w14:textId="088F9FED" w:rsidR="00912AD1" w:rsidRDefault="00382EE8" w:rsidP="00912AD1">
      <w:r>
        <w:rPr>
          <w:rFonts w:ascii="ZWAdobeF" w:hAnsi="ZWAdobeF" w:cs="ZWAdobeF"/>
          <w:sz w:val="2"/>
          <w:szCs w:val="2"/>
        </w:rPr>
        <w:t>1093B</w:t>
      </w:r>
      <w:r w:rsidR="00912AD1">
        <w:t>Initiatives</w:t>
      </w:r>
      <w:r w:rsidR="00912AD1" w:rsidRPr="00FC6EA7" w:rsidDel="007F2D96">
        <w:t xml:space="preserve"> </w:t>
      </w:r>
      <w:r w:rsidR="00912AD1" w:rsidRPr="00FC6EA7">
        <w:t xml:space="preserve">such as the </w:t>
      </w:r>
      <w:hyperlink r:id="rId70" w:history="1">
        <w:r w:rsidR="00912AD1" w:rsidRPr="001A6284">
          <w:rPr>
            <w:rStyle w:val="Hyperlink"/>
          </w:rPr>
          <w:t>Upper Murrumbidgee Demonstration Reach</w:t>
        </w:r>
      </w:hyperlink>
      <w:r w:rsidR="00912AD1" w:rsidRPr="00B47093">
        <w:t xml:space="preserve"> and </w:t>
      </w:r>
      <w:hyperlink r:id="rId71" w:history="1">
        <w:r w:rsidR="00912AD1" w:rsidRPr="005C51B7">
          <w:rPr>
            <w:rStyle w:val="Hyperlink"/>
          </w:rPr>
          <w:t>Rivers of Carbon</w:t>
        </w:r>
      </w:hyperlink>
      <w:r w:rsidR="00912AD1" w:rsidRPr="00B47093">
        <w:t xml:space="preserve"> illustrate t</w:t>
      </w:r>
      <w:r w:rsidR="00912AD1" w:rsidRPr="00FC6EA7">
        <w:t>he effectiveness of coordinated place-based approaches that combine scientific methods with local knowledge and community participation.</w:t>
      </w:r>
      <w:r w:rsidR="00912AD1">
        <w:t xml:space="preserve"> </w:t>
      </w:r>
      <w:r w:rsidR="00912AD1" w:rsidRPr="00C83FFB">
        <w:t>These initiatives are delivering tangible outcomes, including improved riparian condition, reduced sediment inputs and enhanced habitat connectivity while also increasing awareness of river health issues.</w:t>
      </w:r>
      <w:r w:rsidR="00912AD1">
        <w:t xml:space="preserve"> </w:t>
      </w:r>
      <w:r w:rsidR="00912AD1" w:rsidRPr="00FC6EA7">
        <w:t>They also demonstrate the value of collaboration with multiple stakeholders working together to address shared challenges and deliver integrated interventions.</w:t>
      </w:r>
    </w:p>
    <w:p w14:paraId="141CEE21" w14:textId="77777777" w:rsidR="00603003" w:rsidRDefault="00603003" w:rsidP="00CC7A58">
      <w:pPr>
        <w:pStyle w:val="ReviewHeading3"/>
      </w:pPr>
      <w:r>
        <w:t>Constraints and implications</w:t>
      </w:r>
    </w:p>
    <w:p w14:paraId="34E81206" w14:textId="0ACA28E5" w:rsidR="00603003" w:rsidRDefault="00382EE8" w:rsidP="00603003">
      <w:r>
        <w:rPr>
          <w:rFonts w:ascii="ZWAdobeF" w:hAnsi="ZWAdobeF" w:cs="ZWAdobeF"/>
          <w:sz w:val="2"/>
          <w:szCs w:val="2"/>
        </w:rPr>
        <w:t>1094B</w:t>
      </w:r>
      <w:r w:rsidR="00603003">
        <w:t>Community-led efforts are often constrained by systemic challenges:</w:t>
      </w:r>
    </w:p>
    <w:p w14:paraId="4679DA15" w14:textId="54CE561B" w:rsidR="00603003" w:rsidRDefault="00382EE8" w:rsidP="00115BD6">
      <w:pPr>
        <w:pStyle w:val="ListParagraph"/>
        <w:numPr>
          <w:ilvl w:val="0"/>
          <w:numId w:val="100"/>
        </w:numPr>
      </w:pPr>
      <w:r>
        <w:rPr>
          <w:rFonts w:ascii="ZWAdobeF" w:hAnsi="ZWAdobeF" w:cs="ZWAdobeF"/>
          <w:sz w:val="2"/>
          <w:szCs w:val="2"/>
        </w:rPr>
        <w:t>328B</w:t>
      </w:r>
      <w:r w:rsidR="00603003">
        <w:t>funding is typically short-term or program-based, limiting continuity and long-term planning</w:t>
      </w:r>
    </w:p>
    <w:p w14:paraId="4BB04360" w14:textId="288A182E" w:rsidR="00603003" w:rsidRDefault="00382EE8" w:rsidP="00115BD6">
      <w:pPr>
        <w:pStyle w:val="ListParagraph"/>
        <w:numPr>
          <w:ilvl w:val="0"/>
          <w:numId w:val="100"/>
        </w:numPr>
      </w:pPr>
      <w:r>
        <w:rPr>
          <w:rFonts w:ascii="ZWAdobeF" w:hAnsi="ZWAdobeF" w:cs="ZWAdobeF"/>
          <w:sz w:val="2"/>
          <w:szCs w:val="2"/>
        </w:rPr>
        <w:t>329B</w:t>
      </w:r>
      <w:r w:rsidR="00603003">
        <w:t>reliance on volunteer effort can constrain scalability and sustained delivery, particularly for more complex or ongoing interventions</w:t>
      </w:r>
    </w:p>
    <w:p w14:paraId="44159B5B" w14:textId="060FD5CF" w:rsidR="00603003" w:rsidRDefault="00382EE8" w:rsidP="00115BD6">
      <w:pPr>
        <w:pStyle w:val="ListParagraph"/>
        <w:numPr>
          <w:ilvl w:val="0"/>
          <w:numId w:val="100"/>
        </w:numPr>
      </w:pPr>
      <w:r>
        <w:rPr>
          <w:rFonts w:ascii="ZWAdobeF" w:hAnsi="ZWAdobeF" w:cs="ZWAdobeF"/>
          <w:sz w:val="2"/>
          <w:szCs w:val="2"/>
        </w:rPr>
        <w:t>330B</w:t>
      </w:r>
      <w:r w:rsidR="00603003">
        <w:t>fragmentation across programs, funding sources and jurisdictions reduces effectiveness, particularly for catchment-scale issues requiring coordinated action</w:t>
      </w:r>
      <w:r w:rsidR="00186C1F">
        <w:t>.</w:t>
      </w:r>
    </w:p>
    <w:p w14:paraId="73DD3CE5" w14:textId="79B73F99" w:rsidR="00603003" w:rsidRPr="00FC6EA7" w:rsidRDefault="00382EE8" w:rsidP="00603003">
      <w:r>
        <w:rPr>
          <w:rFonts w:ascii="ZWAdobeF" w:hAnsi="ZWAdobeF" w:cs="ZWAdobeF"/>
          <w:sz w:val="2"/>
          <w:szCs w:val="2"/>
        </w:rPr>
        <w:t>1095B</w:t>
      </w:r>
      <w:r w:rsidR="00603003">
        <w:t>These constraints highlight the need for more coordinated, long-term and system</w:t>
      </w:r>
      <w:r w:rsidR="000045E3">
        <w:t xml:space="preserve"> </w:t>
      </w:r>
      <w:r w:rsidR="00603003">
        <w:t>aligned support for community involvement including stronger integration with governance and funding arrangements.</w:t>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83604A" w14:paraId="3F3E6062" w14:textId="77777777">
        <w:tc>
          <w:tcPr>
            <w:tcW w:w="9288" w:type="dxa"/>
            <w:shd w:val="clear" w:color="auto" w:fill="000099"/>
          </w:tcPr>
          <w:p w14:paraId="611A0BAA" w14:textId="09255EEC" w:rsidR="0083604A" w:rsidRPr="00A17844" w:rsidRDefault="00382EE8">
            <w:pPr>
              <w:pStyle w:val="RecsBox"/>
              <w:rPr>
                <w:b/>
                <w:bCs/>
              </w:rPr>
            </w:pPr>
            <w:r>
              <w:rPr>
                <w:rFonts w:ascii="ZWAdobeF" w:hAnsi="ZWAdobeF" w:cs="ZWAdobeF"/>
                <w:bCs/>
                <w:sz w:val="2"/>
                <w:szCs w:val="2"/>
              </w:rPr>
              <w:t>1602B</w:t>
            </w:r>
            <w:r w:rsidR="0083604A" w:rsidRPr="00A17844">
              <w:rPr>
                <w:b/>
                <w:bCs/>
              </w:rPr>
              <w:t>Recommendations</w:t>
            </w:r>
          </w:p>
        </w:tc>
      </w:tr>
      <w:tr w:rsidR="0083604A" w14:paraId="10AC1882" w14:textId="77777777">
        <w:tc>
          <w:tcPr>
            <w:tcW w:w="9288" w:type="dxa"/>
          </w:tcPr>
          <w:p w14:paraId="7C1F2B88" w14:textId="52119F9E" w:rsidR="000A7251" w:rsidRPr="000A7251" w:rsidRDefault="00382EE8" w:rsidP="000A7251">
            <w:pPr>
              <w:pStyle w:val="RecsBox"/>
              <w:rPr>
                <w:rFonts w:eastAsia="Aptos"/>
                <w:b/>
                <w:bCs/>
              </w:rPr>
            </w:pPr>
            <w:r>
              <w:rPr>
                <w:rFonts w:ascii="ZWAdobeF" w:eastAsia="Aptos" w:hAnsi="ZWAdobeF" w:cs="ZWAdobeF"/>
                <w:bCs/>
                <w:sz w:val="2"/>
                <w:szCs w:val="2"/>
              </w:rPr>
              <w:t>1603B</w:t>
            </w:r>
            <w:r w:rsidR="000A7251" w:rsidRPr="000A7251">
              <w:rPr>
                <w:rFonts w:eastAsia="Aptos"/>
                <w:b/>
                <w:bCs/>
              </w:rPr>
              <w:t xml:space="preserve">Recommendation 20 – Supporting First Nations custodianship and community stewardship in catchment management activities </w:t>
            </w:r>
          </w:p>
          <w:p w14:paraId="782FA36A" w14:textId="014869DB" w:rsidR="000A7251" w:rsidRDefault="00382EE8" w:rsidP="000A7251">
            <w:pPr>
              <w:pStyle w:val="RecsBox"/>
              <w:rPr>
                <w:rFonts w:eastAsia="Aptos"/>
              </w:rPr>
            </w:pPr>
            <w:r>
              <w:rPr>
                <w:rFonts w:ascii="ZWAdobeF" w:eastAsia="Aptos" w:hAnsi="ZWAdobeF" w:cs="ZWAdobeF"/>
                <w:sz w:val="2"/>
                <w:szCs w:val="2"/>
              </w:rPr>
              <w:t>1604B</w:t>
            </w:r>
            <w:r w:rsidR="000A7251" w:rsidRPr="00A64286">
              <w:rPr>
                <w:rFonts w:eastAsia="Aptos"/>
              </w:rPr>
              <w:t>Governments embed First Nations and community in catchment management activities through enduring stewardship roles.</w:t>
            </w:r>
            <w:r w:rsidR="000A7251">
              <w:rPr>
                <w:rFonts w:eastAsia="Aptos"/>
              </w:rPr>
              <w:t xml:space="preserve"> </w:t>
            </w:r>
          </w:p>
          <w:p w14:paraId="569D0E8B" w14:textId="2F0C2DDE" w:rsidR="000A7251" w:rsidRPr="00A64286" w:rsidRDefault="00382EE8" w:rsidP="000A7251">
            <w:pPr>
              <w:pStyle w:val="RecsBox"/>
              <w:rPr>
                <w:rFonts w:eastAsia="Aptos"/>
              </w:rPr>
            </w:pPr>
            <w:r>
              <w:rPr>
                <w:rFonts w:ascii="ZWAdobeF" w:eastAsia="Aptos" w:hAnsi="ZWAdobeF" w:cs="ZWAdobeF"/>
                <w:sz w:val="2"/>
                <w:szCs w:val="2"/>
              </w:rPr>
              <w:t>1605B</w:t>
            </w:r>
            <w:r w:rsidR="000A7251" w:rsidRPr="00A64286">
              <w:rPr>
                <w:rFonts w:eastAsia="Aptos"/>
              </w:rPr>
              <w:t>This</w:t>
            </w:r>
            <w:r w:rsidR="000A7251">
              <w:rPr>
                <w:rFonts w:eastAsia="Aptos"/>
              </w:rPr>
              <w:t xml:space="preserve"> </w:t>
            </w:r>
            <w:r w:rsidR="000A7251" w:rsidRPr="00A64286">
              <w:rPr>
                <w:rFonts w:eastAsia="Aptos"/>
              </w:rPr>
              <w:t>include</w:t>
            </w:r>
            <w:r w:rsidR="000A7251">
              <w:rPr>
                <w:rFonts w:eastAsia="Aptos"/>
              </w:rPr>
              <w:t>s</w:t>
            </w:r>
            <w:r w:rsidR="000A7251" w:rsidRPr="00A64286">
              <w:rPr>
                <w:rFonts w:eastAsia="Aptos"/>
              </w:rPr>
              <w:t>:</w:t>
            </w:r>
          </w:p>
          <w:p w14:paraId="6243E035" w14:textId="2716C18E" w:rsidR="000A7251" w:rsidRPr="00A64286" w:rsidRDefault="00382EE8" w:rsidP="00B11C71">
            <w:pPr>
              <w:pStyle w:val="RecsBox"/>
              <w:numPr>
                <w:ilvl w:val="0"/>
                <w:numId w:val="153"/>
              </w:numPr>
              <w:rPr>
                <w:rFonts w:eastAsia="Aptos"/>
              </w:rPr>
            </w:pPr>
            <w:r>
              <w:rPr>
                <w:rFonts w:ascii="ZWAdobeF" w:eastAsia="Aptos" w:hAnsi="ZWAdobeF" w:cs="ZWAdobeF"/>
                <w:sz w:val="2"/>
                <w:szCs w:val="2"/>
              </w:rPr>
              <w:t>1606B</w:t>
            </w:r>
            <w:r w:rsidR="000A7251" w:rsidRPr="00A64286">
              <w:rPr>
                <w:rFonts w:eastAsia="Aptos"/>
              </w:rPr>
              <w:t>expanding participation in catchment management from the outset, including planning, delivery and monitoring, moving beyond consultation toward shared decision-making</w:t>
            </w:r>
          </w:p>
          <w:p w14:paraId="60FD38CE" w14:textId="2D015496" w:rsidR="000A7251" w:rsidRPr="00A64286" w:rsidRDefault="00382EE8" w:rsidP="00B11C71">
            <w:pPr>
              <w:pStyle w:val="RecsBox"/>
              <w:numPr>
                <w:ilvl w:val="0"/>
                <w:numId w:val="153"/>
              </w:numPr>
              <w:rPr>
                <w:rFonts w:eastAsia="Aptos"/>
              </w:rPr>
            </w:pPr>
            <w:r>
              <w:rPr>
                <w:rFonts w:ascii="ZWAdobeF" w:eastAsia="Aptos" w:hAnsi="ZWAdobeF" w:cs="ZWAdobeF"/>
                <w:sz w:val="2"/>
                <w:szCs w:val="2"/>
              </w:rPr>
              <w:t>1607B</w:t>
            </w:r>
            <w:r w:rsidR="000A7251" w:rsidRPr="558A61FA">
              <w:rPr>
                <w:rFonts w:eastAsia="Aptos"/>
              </w:rPr>
              <w:t>investing in ranger programs, on-</w:t>
            </w:r>
            <w:r w:rsidR="000A7251" w:rsidRPr="2C56D917">
              <w:rPr>
                <w:rFonts w:eastAsia="Aptos"/>
              </w:rPr>
              <w:t>Country</w:t>
            </w:r>
            <w:r w:rsidR="000A7251" w:rsidRPr="558A61FA">
              <w:rPr>
                <w:rFonts w:eastAsia="Aptos"/>
              </w:rPr>
              <w:t xml:space="preserve"> stewardship and workforce development to support long-term capability</w:t>
            </w:r>
          </w:p>
          <w:p w14:paraId="6D7911B9" w14:textId="42DCD5C2" w:rsidR="000A7251" w:rsidRPr="00A64286" w:rsidRDefault="00382EE8" w:rsidP="00B11C71">
            <w:pPr>
              <w:pStyle w:val="RecsBox"/>
              <w:numPr>
                <w:ilvl w:val="0"/>
                <w:numId w:val="153"/>
              </w:numPr>
              <w:rPr>
                <w:rFonts w:eastAsia="Aptos"/>
              </w:rPr>
            </w:pPr>
            <w:r>
              <w:rPr>
                <w:rFonts w:ascii="ZWAdobeF" w:eastAsia="Aptos" w:hAnsi="ZWAdobeF" w:cs="ZWAdobeF"/>
                <w:sz w:val="2"/>
                <w:szCs w:val="2"/>
              </w:rPr>
              <w:t>1608B</w:t>
            </w:r>
            <w:r w:rsidR="000A7251" w:rsidRPr="00A64286">
              <w:rPr>
                <w:rFonts w:eastAsia="Aptos"/>
              </w:rPr>
              <w:t>supporting the integration of cultural and local knowledge and indicators of river health in catchment activities and monitoring.</w:t>
            </w:r>
          </w:p>
          <w:p w14:paraId="61E105E5" w14:textId="7F33AA74" w:rsidR="0083604A" w:rsidRPr="00CE6979" w:rsidRDefault="0083604A">
            <w:pPr>
              <w:pStyle w:val="RecsBox"/>
            </w:pPr>
          </w:p>
        </w:tc>
      </w:tr>
    </w:tbl>
    <w:p w14:paraId="07183597" w14:textId="77777777" w:rsidR="0083604A" w:rsidRPr="00FC6EA7" w:rsidRDefault="0083604A" w:rsidP="00603003"/>
    <w:p w14:paraId="5398A9B0" w14:textId="77777777" w:rsidR="000A7251" w:rsidRDefault="000A7251">
      <w:pPr>
        <w:jc w:val="left"/>
        <w:rPr>
          <w:rFonts w:asciiTheme="majorHAnsi" w:eastAsiaTheme="majorEastAsia" w:hAnsiTheme="majorHAnsi" w:cstheme="majorBidi"/>
          <w:color w:val="000099"/>
          <w:sz w:val="40"/>
          <w:szCs w:val="40"/>
        </w:rPr>
      </w:pPr>
      <w:bookmarkStart w:id="91" w:name="_Toc233123424"/>
      <w:bookmarkStart w:id="92" w:name="_Toc233123425"/>
      <w:bookmarkStart w:id="93" w:name="_Toc233123426"/>
      <w:bookmarkStart w:id="94" w:name="_Toc233123427"/>
      <w:bookmarkStart w:id="95" w:name="_Toc233123428"/>
      <w:bookmarkStart w:id="96" w:name="_Toc233123429"/>
      <w:bookmarkStart w:id="97" w:name="_Toc233285614"/>
      <w:bookmarkStart w:id="98" w:name="_Toc233801493"/>
      <w:bookmarkEnd w:id="91"/>
      <w:bookmarkEnd w:id="92"/>
      <w:bookmarkEnd w:id="93"/>
      <w:bookmarkEnd w:id="94"/>
      <w:bookmarkEnd w:id="95"/>
      <w:bookmarkEnd w:id="96"/>
      <w:r>
        <w:br w:type="page"/>
      </w:r>
    </w:p>
    <w:p w14:paraId="64497779" w14:textId="6E86D00F" w:rsidR="005B03EA" w:rsidRDefault="00864646" w:rsidP="00864646">
      <w:pPr>
        <w:pStyle w:val="ReviewHeading2"/>
        <w:spacing w:before="0" w:after="0"/>
        <w:jc w:val="left"/>
      </w:pPr>
      <w:r>
        <w:lastRenderedPageBreak/>
        <w:t xml:space="preserve">6.3 </w:t>
      </w:r>
      <w:r w:rsidR="005B03EA">
        <w:t>Whole of System Planning</w:t>
      </w:r>
      <w:bookmarkEnd w:id="97"/>
      <w:bookmarkEnd w:id="98"/>
    </w:p>
    <w:p w14:paraId="55FD24B6" w14:textId="0CD0D735" w:rsidR="00F978FF" w:rsidRPr="00F978FF" w:rsidRDefault="00382EE8" w:rsidP="00EC5AE8">
      <w:r>
        <w:rPr>
          <w:rFonts w:ascii="ZWAdobeF" w:hAnsi="ZWAdobeF" w:cs="ZWAdobeF"/>
          <w:sz w:val="2"/>
          <w:szCs w:val="2"/>
        </w:rPr>
        <w:t>1096B</w:t>
      </w:r>
      <w:r w:rsidR="00F978FF" w:rsidRPr="00F978FF">
        <w:t xml:space="preserve">This </w:t>
      </w:r>
      <w:r w:rsidR="3DC8AFF6">
        <w:t>section</w:t>
      </w:r>
      <w:r w:rsidR="00F978FF" w:rsidRPr="00F978FF">
        <w:t xml:space="preserve"> sets out the Panel’s proposed direction for establishing a more integrated, whole</w:t>
      </w:r>
      <w:r w:rsidR="00F978FF">
        <w:noBreakHyphen/>
      </w:r>
      <w:r w:rsidR="00F978FF" w:rsidRPr="00F978FF">
        <w:t>of</w:t>
      </w:r>
      <w:r w:rsidR="00F978FF">
        <w:noBreakHyphen/>
      </w:r>
      <w:r w:rsidR="00F978FF" w:rsidRPr="00F978FF">
        <w:t xml:space="preserve">system approach to planning environmental water releases from the Snowy Scheme. The Panel finds that, while there are well-established and structured planning arrangements for environmental water, these do not operate within an integrated system-wide framework and are not sufficiently aligned with broader planning processes across water use, land use, infrastructure and regional development. </w:t>
      </w:r>
    </w:p>
    <w:p w14:paraId="33BC43C3" w14:textId="430E0B35" w:rsidR="00F978FF" w:rsidRPr="00CE6957" w:rsidRDefault="00382EE8" w:rsidP="00F978FF">
      <w:r>
        <w:rPr>
          <w:rFonts w:ascii="ZWAdobeF" w:hAnsi="ZWAdobeF" w:cs="ZWAdobeF"/>
          <w:sz w:val="2"/>
          <w:szCs w:val="2"/>
        </w:rPr>
        <w:t>1097B</w:t>
      </w:r>
      <w:r w:rsidR="00F978FF">
        <w:t xml:space="preserve">As outlined in the Background chapter of this </w:t>
      </w:r>
      <w:r w:rsidR="5A33EA0C">
        <w:t>Review</w:t>
      </w:r>
      <w:r w:rsidR="00F978FF">
        <w:t xml:space="preserve">, water for environmental, cultural and energy outcomes cannot be planned or managed in isolation from the wider system of competing and growing demands </w:t>
      </w:r>
      <w:r w:rsidR="00DB6C20">
        <w:t>for</w:t>
      </w:r>
      <w:r w:rsidR="00F978FF">
        <w:t xml:space="preserve"> the same resource. While this Review focuses on these outcomes, these objectives need to sit within a broader planning context that includes critical human water needs, population growth, industry and agriculture. This chapter elaborates on how the Panel considers that should occur. </w:t>
      </w:r>
    </w:p>
    <w:p w14:paraId="58806016" w14:textId="30E7AE14" w:rsidR="00F978FF" w:rsidRPr="00CE6957" w:rsidRDefault="00382EE8" w:rsidP="00F978FF">
      <w:r>
        <w:rPr>
          <w:rFonts w:ascii="ZWAdobeF" w:hAnsi="ZWAdobeF" w:cs="ZWAdobeF"/>
          <w:sz w:val="2"/>
          <w:szCs w:val="2"/>
        </w:rPr>
        <w:t>1098B</w:t>
      </w:r>
      <w:r w:rsidR="00F978FF">
        <w:t>The Panel notes that there are already well-established governance, advisory and planning arrangements governing environmental water releases from the Snowy Scheme. These include the WAMC as decision-maker, supported by advisory bodies such as the SAC, the</w:t>
      </w:r>
      <w:r w:rsidR="00F978FF" w:rsidDel="00BF668F">
        <w:t xml:space="preserve"> </w:t>
      </w:r>
      <w:r w:rsidR="00F978FF">
        <w:t>WCLC and the Safety Technical Advisory Group, as well as structured annual planning processes linked to the Snowy Water Licence and Annual Water Operations Plan.</w:t>
      </w:r>
    </w:p>
    <w:p w14:paraId="4FF31A70" w14:textId="78996C96" w:rsidR="00F978FF" w:rsidRPr="00CE6957" w:rsidRDefault="00382EE8" w:rsidP="00F978FF">
      <w:r>
        <w:rPr>
          <w:rFonts w:ascii="ZWAdobeF" w:hAnsi="ZWAdobeF" w:cs="ZWAdobeF"/>
          <w:sz w:val="2"/>
          <w:szCs w:val="2"/>
        </w:rPr>
        <w:t>1099B</w:t>
      </w:r>
      <w:r w:rsidR="00F978FF">
        <w:t xml:space="preserve">These arrangements provide a mature and structured foundation for environmental water planning and delivery. </w:t>
      </w:r>
      <w:r w:rsidR="287F5390">
        <w:t>Although t</w:t>
      </w:r>
      <w:r w:rsidR="00F978FF">
        <w:t xml:space="preserve">he Panel’s findings in this </w:t>
      </w:r>
      <w:r w:rsidR="00B8378F">
        <w:t>chapter do</w:t>
      </w:r>
      <w:r w:rsidR="24242FBC">
        <w:t xml:space="preserve"> </w:t>
      </w:r>
      <w:r w:rsidR="00F978FF">
        <w:t xml:space="preserve">not identify an absence of governance, </w:t>
      </w:r>
      <w:r w:rsidR="48A2C17D">
        <w:t xml:space="preserve">they note </w:t>
      </w:r>
      <w:r w:rsidR="00F978FF">
        <w:t xml:space="preserve">a lack of integration </w:t>
      </w:r>
      <w:r w:rsidR="40FDF8B5">
        <w:t>across</w:t>
      </w:r>
      <w:r w:rsidR="00F978FF">
        <w:t xml:space="preserve"> a whole-of-system planning framework.</w:t>
      </w:r>
    </w:p>
    <w:p w14:paraId="0C69FF44" w14:textId="347BE1DD" w:rsidR="00A46396" w:rsidRDefault="00301243" w:rsidP="00301243">
      <w:pPr>
        <w:pStyle w:val="ReviewHeading3"/>
      </w:pPr>
      <w:r>
        <w:t>Fragmentation of planning frameworks and absence of a regional approach</w:t>
      </w:r>
    </w:p>
    <w:p w14:paraId="32987888" w14:textId="49FC8C26" w:rsidR="0047471E" w:rsidRPr="0047471E" w:rsidRDefault="00382EE8" w:rsidP="0047471E">
      <w:r>
        <w:rPr>
          <w:rFonts w:ascii="ZWAdobeF" w:hAnsi="ZWAdobeF" w:cs="ZWAdobeF"/>
          <w:sz w:val="2"/>
          <w:szCs w:val="2"/>
        </w:rPr>
        <w:t>1100B</w:t>
      </w:r>
      <w:r w:rsidR="0047471E" w:rsidRPr="0047471E">
        <w:t>The planning environment for the Snowy and Upper Murrumbidgee system</w:t>
      </w:r>
      <w:r w:rsidR="0001583C">
        <w:t>s</w:t>
      </w:r>
      <w:r w:rsidR="0047471E" w:rsidRPr="0047471E">
        <w:t xml:space="preserve"> involves multiple overlapping frameworks operating across </w:t>
      </w:r>
      <w:r w:rsidR="0001583C">
        <w:t>Australian</w:t>
      </w:r>
      <w:r w:rsidR="0047471E" w:rsidRPr="0047471E">
        <w:t>, state and territory jurisdictions. These include national water policy settings (such as the Basin Plan</w:t>
      </w:r>
      <w:r w:rsidR="0047471E">
        <w:t xml:space="preserve">, the </w:t>
      </w:r>
      <w:r w:rsidR="0047471E" w:rsidRPr="0047471E">
        <w:t>National Water Initiative</w:t>
      </w:r>
      <w:r w:rsidR="0047471E">
        <w:t xml:space="preserve"> (NWI) and the draft National Water Agreement</w:t>
      </w:r>
      <w:r w:rsidR="0047471E" w:rsidRPr="0047471E">
        <w:t>), state water sharing arrangements, ACT planning frameworks and broader land use and development processes.</w:t>
      </w:r>
    </w:p>
    <w:p w14:paraId="1E54C65C" w14:textId="366E8BF8" w:rsidR="0047471E" w:rsidRPr="0047471E" w:rsidRDefault="00382EE8" w:rsidP="0047471E">
      <w:r>
        <w:rPr>
          <w:rFonts w:ascii="ZWAdobeF" w:hAnsi="ZWAdobeF" w:cs="ZWAdobeF"/>
          <w:sz w:val="2"/>
          <w:szCs w:val="2"/>
        </w:rPr>
        <w:t>1101B</w:t>
      </w:r>
      <w:r w:rsidR="0047471E" w:rsidRPr="0047471E">
        <w:t>While environmental water planning arrangements are well established, they are not consistently integrated with related planning domains including land use, infrastructure investment and regional development. As a result, water demand associated with urban growth is often addressed incrementally rather than through a coordinated, long-term strategy.</w:t>
      </w:r>
    </w:p>
    <w:p w14:paraId="376380EB" w14:textId="7DDD9DFB" w:rsidR="000053AA" w:rsidRPr="00BF68EC" w:rsidRDefault="00382EE8" w:rsidP="000053AA">
      <w:r>
        <w:rPr>
          <w:rFonts w:ascii="ZWAdobeF" w:hAnsi="ZWAdobeF" w:cs="ZWAdobeF"/>
          <w:sz w:val="2"/>
          <w:szCs w:val="2"/>
        </w:rPr>
        <w:t>1102B</w:t>
      </w:r>
      <w:r w:rsidR="0047471E" w:rsidRPr="0047471E">
        <w:t xml:space="preserve">This fragmentation creates a risk that water allocation decisions are made without full visibility of cumulative system impacts. </w:t>
      </w:r>
      <w:r w:rsidR="000053AA" w:rsidRPr="00BF68EC">
        <w:t>Under existing national water policy settings, including the N</w:t>
      </w:r>
      <w:r w:rsidR="000053AA">
        <w:t>WI</w:t>
      </w:r>
      <w:r w:rsidR="000053AA" w:rsidRPr="00BF68EC">
        <w:t xml:space="preserve">, critical human water needs and urban water supply are </w:t>
      </w:r>
      <w:r w:rsidR="000053AA">
        <w:t>prioritised</w:t>
      </w:r>
      <w:r w:rsidR="000053AA" w:rsidRPr="00BF68EC">
        <w:t xml:space="preserve"> in times of scarcity.</w:t>
      </w:r>
      <w:r>
        <w:rPr>
          <w:rFonts w:ascii="ZWAdobeF" w:hAnsi="ZWAdobeF" w:cs="ZWAdobeF"/>
          <w:sz w:val="2"/>
          <w:szCs w:val="2"/>
        </w:rPr>
        <w:t>75F</w:t>
      </w:r>
      <w:r w:rsidR="000053AA" w:rsidRPr="76FDF24C">
        <w:rPr>
          <w:rStyle w:val="FootnoteReference"/>
          <w:rFonts w:ascii="Calibri" w:eastAsia="Calibri" w:hAnsi="Calibri" w:cs="Calibri"/>
        </w:rPr>
        <w:footnoteReference w:id="76"/>
      </w:r>
      <w:r w:rsidR="000053AA" w:rsidRPr="00BF68EC">
        <w:t xml:space="preserve"> In the absence of </w:t>
      </w:r>
      <w:r w:rsidR="000053AA" w:rsidRPr="00BF68EC">
        <w:lastRenderedPageBreak/>
        <w:t>an integrated, forward-looking planning framework, new or growing urban water demands are likely to be met through reallocation of available water resources.</w:t>
      </w:r>
    </w:p>
    <w:p w14:paraId="0615C726" w14:textId="2C7F50BE" w:rsidR="0047471E" w:rsidRPr="0047471E" w:rsidRDefault="00382EE8" w:rsidP="0047471E">
      <w:r>
        <w:rPr>
          <w:rFonts w:ascii="ZWAdobeF" w:hAnsi="ZWAdobeF" w:cs="ZWAdobeF"/>
          <w:sz w:val="2"/>
          <w:szCs w:val="2"/>
        </w:rPr>
        <w:t>1103B</w:t>
      </w:r>
      <w:r w:rsidR="0047471E" w:rsidRPr="0047471E">
        <w:t>This creates a structural risk that environmental outcomes may be progressively eroded, even where formal objectives or flow targets remain unchanged.</w:t>
      </w:r>
    </w:p>
    <w:p w14:paraId="0C85B0F5" w14:textId="41FD4650" w:rsidR="0047471E" w:rsidRPr="0047471E" w:rsidRDefault="00382EE8" w:rsidP="0047471E">
      <w:r>
        <w:rPr>
          <w:rFonts w:ascii="ZWAdobeF" w:hAnsi="ZWAdobeF" w:cs="ZWAdobeF"/>
          <w:sz w:val="2"/>
          <w:szCs w:val="2"/>
        </w:rPr>
        <w:t>1104B</w:t>
      </w:r>
      <w:r w:rsidR="0047471E" w:rsidRPr="0047471E">
        <w:t>These challenges highlight the need for a more integrated, whole-of-system planning approach that aligns water, land use and infrastructure decisions and enables long-term system impacts to be assessed and managed collectively.</w:t>
      </w:r>
    </w:p>
    <w:p w14:paraId="11856D59" w14:textId="449368D5" w:rsidR="00442F0B" w:rsidRDefault="003C5C28" w:rsidP="003C5C28">
      <w:pPr>
        <w:pStyle w:val="ReviewHeading3"/>
      </w:pPr>
      <w:r>
        <w:t>Established environmental water governance and planning arrangements</w:t>
      </w:r>
    </w:p>
    <w:p w14:paraId="38FD50E8" w14:textId="0FD38E0D" w:rsidR="004117BB" w:rsidRDefault="00382EE8" w:rsidP="004117BB">
      <w:r>
        <w:rPr>
          <w:rFonts w:ascii="ZWAdobeF" w:hAnsi="ZWAdobeF" w:cs="ZWAdobeF"/>
          <w:sz w:val="2"/>
          <w:szCs w:val="2"/>
        </w:rPr>
        <w:t>1105B</w:t>
      </w:r>
      <w:r w:rsidR="004C3ACD">
        <w:t>The current e</w:t>
      </w:r>
      <w:r w:rsidR="004117BB">
        <w:t xml:space="preserve">stablished environmental water governance and planning arrangements are described in detail in </w:t>
      </w:r>
      <w:r w:rsidR="004117BB" w:rsidRPr="004C3ACD">
        <w:rPr>
          <w:b/>
          <w:bCs/>
        </w:rPr>
        <w:t>Chapter 3</w:t>
      </w:r>
      <w:r w:rsidR="004117BB">
        <w:t>. These arrangements provide the current institutional and regulatory framework for environmental water delivery including decision-making roles, planning processes and advisory structures.</w:t>
      </w:r>
    </w:p>
    <w:p w14:paraId="2E196340" w14:textId="614ADB7F" w:rsidR="00086F2A" w:rsidRDefault="00382EE8" w:rsidP="00CC7A58">
      <w:r>
        <w:rPr>
          <w:rFonts w:ascii="ZWAdobeF" w:hAnsi="ZWAdobeF" w:cs="ZWAdobeF"/>
          <w:sz w:val="2"/>
          <w:szCs w:val="2"/>
        </w:rPr>
        <w:t>1106B</w:t>
      </w:r>
      <w:r w:rsidR="004117BB">
        <w:t xml:space="preserve">As discussed in </w:t>
      </w:r>
      <w:r w:rsidR="004117BB" w:rsidRPr="004C3ACD">
        <w:rPr>
          <w:b/>
          <w:bCs/>
        </w:rPr>
        <w:t>Chapter 5</w:t>
      </w:r>
      <w:r w:rsidR="004117BB">
        <w:t>, while these arrangements provide a foundation for delivery, they do not fully support the integrated, adaptive and system-wide approach required to achieve the proposed objectives.</w:t>
      </w:r>
      <w:r w:rsidR="00691B69">
        <w:t xml:space="preserve"> </w:t>
      </w:r>
    </w:p>
    <w:p w14:paraId="3882EA27" w14:textId="0B633434" w:rsidR="00547F5B" w:rsidRPr="007A37AE" w:rsidRDefault="00547F5B" w:rsidP="001200FC">
      <w:pPr>
        <w:pStyle w:val="ReviewHeading3"/>
      </w:pPr>
      <w:r w:rsidRPr="007A37AE">
        <w:t xml:space="preserve">Growing pressures and competing </w:t>
      </w:r>
      <w:r w:rsidR="0098657F" w:rsidRPr="007A37AE">
        <w:t>demands</w:t>
      </w:r>
    </w:p>
    <w:p w14:paraId="6E939BAA" w14:textId="71DA5DBC" w:rsidR="002214A9" w:rsidRDefault="00382EE8" w:rsidP="002214A9">
      <w:r>
        <w:rPr>
          <w:rFonts w:ascii="ZWAdobeF" w:hAnsi="ZWAdobeF" w:cs="ZWAdobeF"/>
          <w:sz w:val="2"/>
          <w:szCs w:val="2"/>
        </w:rPr>
        <w:t>1107B</w:t>
      </w:r>
      <w:r w:rsidR="002214A9">
        <w:t>Stakeholders consistently highlighted the scale and uncertainty of future demand pressures driven by population growth, regional development and climate change. These pressures are expected to intensify over time increasing competition for available water resources across the system.</w:t>
      </w:r>
    </w:p>
    <w:p w14:paraId="2FC7AED0" w14:textId="4BB4CAF1" w:rsidR="002214A9" w:rsidRDefault="00382EE8" w:rsidP="002214A9">
      <w:r>
        <w:rPr>
          <w:rFonts w:ascii="ZWAdobeF" w:hAnsi="ZWAdobeF" w:cs="ZWAdobeF"/>
          <w:sz w:val="2"/>
          <w:szCs w:val="2"/>
        </w:rPr>
        <w:t>1108B</w:t>
      </w:r>
      <w:r w:rsidR="002214A9">
        <w:t>Submissions pointed particularly to growing urban demand associated with the ACT and surrounding region, as well as emerging industries such as hydrogen and critical minerals, as drivers of increased and uncertain future water demand. This reinforces the need for scenario-based and adaptive planning approaches.</w:t>
      </w:r>
    </w:p>
    <w:p w14:paraId="1A8A2454" w14:textId="52135BC7" w:rsidR="002214A9" w:rsidRDefault="00382EE8" w:rsidP="002214A9">
      <w:r>
        <w:rPr>
          <w:rFonts w:ascii="ZWAdobeF" w:hAnsi="ZWAdobeF" w:cs="ZWAdobeF"/>
          <w:sz w:val="2"/>
          <w:szCs w:val="2"/>
        </w:rPr>
        <w:t>1109B</w:t>
      </w:r>
      <w:r w:rsidR="002214A9">
        <w:t>Critical human water needs take precedence in times of scarcity. As demand pressures grow, this priority has increasing practical implications for how water is allocated across competing uses, particularly in the absence of coordinated, long-term planning.</w:t>
      </w:r>
    </w:p>
    <w:p w14:paraId="40A057EC" w14:textId="3FC3B569" w:rsidR="002214A9" w:rsidRDefault="00382EE8" w:rsidP="002214A9">
      <w:r>
        <w:rPr>
          <w:rFonts w:ascii="ZWAdobeF" w:hAnsi="ZWAdobeF" w:cs="ZWAdobeF"/>
          <w:sz w:val="2"/>
          <w:szCs w:val="2"/>
        </w:rPr>
        <w:t>1110B</w:t>
      </w:r>
      <w:r w:rsidR="002214A9">
        <w:t xml:space="preserve">Under existing national water policy settings, including the </w:t>
      </w:r>
      <w:r w:rsidR="00556262">
        <w:t>NWI</w:t>
      </w:r>
      <w:r w:rsidR="002214A9">
        <w:t>, risks associated with reductions in water availability are allocated between entitlement holders and governments depending on their cause. In practice, these settings mean that growing or new demands are likely to be met through reallocation of available water resources.</w:t>
      </w:r>
    </w:p>
    <w:p w14:paraId="6259D56B" w14:textId="700D0D4A" w:rsidR="002214A9" w:rsidRDefault="00382EE8" w:rsidP="002214A9">
      <w:r>
        <w:rPr>
          <w:rFonts w:ascii="ZWAdobeF" w:hAnsi="ZWAdobeF" w:cs="ZWAdobeF"/>
          <w:sz w:val="2"/>
          <w:szCs w:val="2"/>
        </w:rPr>
        <w:t>1111B</w:t>
      </w:r>
      <w:r w:rsidR="002214A9">
        <w:t>Without coordinated, system-wide planning, decision-making is likely to remain incremental and case-by-case with limited visibility of cumulative impacts. This creates a structural risk that pressures associated with population growth, development and climate change are not managed transparently or strategically.</w:t>
      </w:r>
    </w:p>
    <w:p w14:paraId="68252634" w14:textId="6D18EB70" w:rsidR="002214A9" w:rsidRDefault="00382EE8" w:rsidP="002214A9">
      <w:r>
        <w:rPr>
          <w:rFonts w:ascii="ZWAdobeF" w:hAnsi="ZWAdobeF" w:cs="ZWAdobeF"/>
          <w:sz w:val="2"/>
          <w:szCs w:val="2"/>
        </w:rPr>
        <w:t>1112B</w:t>
      </w:r>
      <w:r w:rsidR="002214A9">
        <w:t xml:space="preserve">Stronger cross-border coordination, particularly between the ACT and NSW, will be increasingly important in managing shared infrastructure, urban demand and regional growth. Incorporating </w:t>
      </w:r>
      <w:r w:rsidR="002214A9">
        <w:lastRenderedPageBreak/>
        <w:t>these considerations into planning frameworks would support a more coherent, whole-of-system approach.</w:t>
      </w:r>
    </w:p>
    <w:p w14:paraId="0EEC19E7" w14:textId="79B89A3F" w:rsidR="0098657F" w:rsidRDefault="0027734F" w:rsidP="0027734F">
      <w:pPr>
        <w:pStyle w:val="ReviewHeading3"/>
        <w:rPr>
          <w:rFonts w:eastAsia="Calibri"/>
        </w:rPr>
      </w:pPr>
      <w:r>
        <w:rPr>
          <w:rFonts w:eastAsia="Calibri"/>
        </w:rPr>
        <w:t xml:space="preserve">The limits of </w:t>
      </w:r>
      <w:r w:rsidR="00AC13DE">
        <w:rPr>
          <w:rFonts w:eastAsia="Calibri"/>
        </w:rPr>
        <w:t xml:space="preserve">jurisdictional </w:t>
      </w:r>
      <w:r>
        <w:rPr>
          <w:rFonts w:eastAsia="Calibri"/>
        </w:rPr>
        <w:t>planning arrangements</w:t>
      </w:r>
    </w:p>
    <w:p w14:paraId="1ECC0A02" w14:textId="0CCB44BE" w:rsidR="00091D2A" w:rsidRPr="00091D2A" w:rsidRDefault="00382EE8" w:rsidP="00091D2A">
      <w:r>
        <w:rPr>
          <w:rFonts w:ascii="ZWAdobeF" w:hAnsi="ZWAdobeF" w:cs="ZWAdobeF"/>
          <w:sz w:val="2"/>
          <w:szCs w:val="2"/>
        </w:rPr>
        <w:t>1113B</w:t>
      </w:r>
      <w:r w:rsidR="00091D2A" w:rsidRPr="00091D2A">
        <w:t>The Panel acknowledges that environmental water planning should retain its clear environmental focus. However, in practice, water planning cannot be separated from competing system demands including critical human water needs.</w:t>
      </w:r>
    </w:p>
    <w:p w14:paraId="14A8A294" w14:textId="4A71DA29" w:rsidR="00091D2A" w:rsidRPr="00091D2A" w:rsidRDefault="00382EE8" w:rsidP="00091D2A">
      <w:r>
        <w:rPr>
          <w:rFonts w:ascii="ZWAdobeF" w:hAnsi="ZWAdobeF" w:cs="ZWAdobeF"/>
          <w:sz w:val="2"/>
          <w:szCs w:val="2"/>
        </w:rPr>
        <w:t>1114B</w:t>
      </w:r>
      <w:r w:rsidR="00091D2A" w:rsidRPr="00091D2A">
        <w:t>While environmental water planning is supported by established governance and annual processes, these operate largely independently of broader system planning. This fragmentation persists across jurisdictions and policy domains and cultural water is not formally recognised under current arrangements.</w:t>
      </w:r>
    </w:p>
    <w:p w14:paraId="2471D5EB" w14:textId="109BF77B" w:rsidR="00091D2A" w:rsidRPr="00091D2A" w:rsidRDefault="00382EE8" w:rsidP="00091D2A">
      <w:r>
        <w:rPr>
          <w:rFonts w:ascii="ZWAdobeF" w:hAnsi="ZWAdobeF" w:cs="ZWAdobeF"/>
          <w:sz w:val="2"/>
          <w:szCs w:val="2"/>
        </w:rPr>
        <w:t>1115B</w:t>
      </w:r>
      <w:r w:rsidR="00091D2A" w:rsidRPr="00091D2A">
        <w:t>As water availability declines under a changing climate, trade-offs between environmental, cultural, consumptive and energy outcomes are likely to become more frequent and contested. The key gap lies at the interface between environmental water planning and broader system planning, including land use, infrastructure and energy.</w:t>
      </w:r>
    </w:p>
    <w:p w14:paraId="3E285D28" w14:textId="6E1E0468" w:rsidR="00091D2A" w:rsidRPr="00091D2A" w:rsidRDefault="00382EE8" w:rsidP="00091D2A">
      <w:r>
        <w:rPr>
          <w:rFonts w:ascii="ZWAdobeF" w:hAnsi="ZWAdobeF" w:cs="ZWAdobeF"/>
          <w:sz w:val="2"/>
          <w:szCs w:val="2"/>
        </w:rPr>
        <w:t>1116B</w:t>
      </w:r>
      <w:r w:rsidR="00091D2A" w:rsidRPr="00091D2A">
        <w:t>Without more integrated planning and coordinated decision-making, there is an increased risk that environmental and cultural outcomes are progressively deprioritised over time.</w:t>
      </w:r>
    </w:p>
    <w:p w14:paraId="7CB36BE6" w14:textId="045C8616" w:rsidR="0027734F" w:rsidRDefault="00CE2C08" w:rsidP="00CE2C08">
      <w:pPr>
        <w:pStyle w:val="ReviewHeading3"/>
        <w:rPr>
          <w:rFonts w:eastAsia="Calibri"/>
        </w:rPr>
      </w:pPr>
      <w:r>
        <w:rPr>
          <w:rFonts w:eastAsia="Calibri"/>
        </w:rPr>
        <w:t>The importance of a forward-looking, system-wide perspective and process</w:t>
      </w:r>
    </w:p>
    <w:p w14:paraId="592D1090" w14:textId="1CE3E6E8" w:rsidR="00E16AFF" w:rsidRPr="00866756" w:rsidRDefault="00382EE8" w:rsidP="00CC7A58">
      <w:pPr>
        <w:rPr>
          <w:rFonts w:eastAsia="Calibri" w:cs="Calibri"/>
        </w:rPr>
      </w:pPr>
      <w:r>
        <w:rPr>
          <w:rFonts w:ascii="ZWAdobeF" w:eastAsia="Calibri" w:hAnsi="ZWAdobeF" w:cs="ZWAdobeF"/>
          <w:sz w:val="2"/>
          <w:szCs w:val="2"/>
        </w:rPr>
        <w:t>1117B</w:t>
      </w:r>
      <w:r w:rsidR="00E16AFF" w:rsidRPr="1E751BE8">
        <w:rPr>
          <w:rFonts w:eastAsia="Calibri" w:cs="Calibri"/>
        </w:rPr>
        <w:t>The Review does not seek to resolve these trade</w:t>
      </w:r>
      <w:r w:rsidR="00E16AFF">
        <w:noBreakHyphen/>
      </w:r>
      <w:r w:rsidR="00E16AFF" w:rsidRPr="1E751BE8">
        <w:rPr>
          <w:rFonts w:eastAsia="Calibri" w:cs="Calibri"/>
        </w:rPr>
        <w:t>offs nor prescribe detailed planning outcomes for the system as a whole</w:t>
      </w:r>
      <w:r w:rsidR="001F1537">
        <w:rPr>
          <w:rFonts w:eastAsia="Calibri" w:cs="Calibri"/>
        </w:rPr>
        <w:t>;</w:t>
      </w:r>
      <w:r w:rsidR="00E16AFF" w:rsidRPr="1E751BE8">
        <w:rPr>
          <w:rFonts w:eastAsia="Calibri" w:cs="Calibri"/>
        </w:rPr>
        <w:t xml:space="preserve"> rather, it highlights the importance of explicitly acknowledging them. Decisions taken in relation to one objective, whether urban water supply, industrial development or infrastructure investment, will inevitably have consequential impacts for others. Where such decisions are made in isolation, cumulative effects can be significant, including ongoing adverse consequences for environmental condition and First Nations cultural values.</w:t>
      </w:r>
    </w:p>
    <w:p w14:paraId="30E14858" w14:textId="70E50453" w:rsidR="00E16AFF" w:rsidRPr="00866756" w:rsidRDefault="00382EE8" w:rsidP="00CC7A58">
      <w:pPr>
        <w:rPr>
          <w:rFonts w:eastAsia="Calibri" w:cs="Calibri"/>
        </w:rPr>
      </w:pPr>
      <w:r>
        <w:rPr>
          <w:rFonts w:ascii="ZWAdobeF" w:eastAsia="Calibri" w:hAnsi="ZWAdobeF" w:cs="ZWAdobeF"/>
          <w:sz w:val="2"/>
          <w:szCs w:val="2"/>
        </w:rPr>
        <w:t>1118B</w:t>
      </w:r>
      <w:r w:rsidR="00E16AFF" w:rsidRPr="1E751BE8">
        <w:rPr>
          <w:rFonts w:eastAsia="Calibri" w:cs="Calibri"/>
        </w:rPr>
        <w:t>Effective planning must move beyond short</w:t>
      </w:r>
      <w:r w:rsidR="00862026" w:rsidRPr="1E751BE8">
        <w:rPr>
          <w:rFonts w:eastAsia="Calibri" w:cs="Calibri"/>
        </w:rPr>
        <w:t>-</w:t>
      </w:r>
      <w:r w:rsidR="00E16AFF" w:rsidRPr="1E751BE8">
        <w:rPr>
          <w:rFonts w:eastAsia="Calibri" w:cs="Calibri"/>
        </w:rPr>
        <w:t xml:space="preserve">term or partially coordinated considerations. It must account for both a </w:t>
      </w:r>
      <w:r w:rsidR="00862026" w:rsidRPr="1E751BE8">
        <w:rPr>
          <w:rFonts w:eastAsia="Calibri" w:cs="Calibri"/>
        </w:rPr>
        <w:t>‘</w:t>
      </w:r>
      <w:r w:rsidR="00E16AFF" w:rsidRPr="1E751BE8">
        <w:rPr>
          <w:rFonts w:eastAsia="Calibri" w:cs="Calibri"/>
        </w:rPr>
        <w:t>planned future</w:t>
      </w:r>
      <w:r w:rsidR="00862026" w:rsidRPr="1E751BE8">
        <w:rPr>
          <w:rFonts w:eastAsia="Calibri" w:cs="Calibri"/>
        </w:rPr>
        <w:t>’,</w:t>
      </w:r>
      <w:r w:rsidR="00E16AFF" w:rsidRPr="1E751BE8">
        <w:rPr>
          <w:rFonts w:eastAsia="Calibri" w:cs="Calibri"/>
        </w:rPr>
        <w:t xml:space="preserve"> based on known growth trajectories and policy settings, and an </w:t>
      </w:r>
      <w:r w:rsidR="00AA7889" w:rsidRPr="1E751BE8">
        <w:rPr>
          <w:rFonts w:eastAsia="Calibri" w:cs="Calibri"/>
        </w:rPr>
        <w:t>‘</w:t>
      </w:r>
      <w:r w:rsidR="00E16AFF" w:rsidRPr="1E751BE8">
        <w:rPr>
          <w:rFonts w:eastAsia="Calibri" w:cs="Calibri"/>
        </w:rPr>
        <w:t>unplanned future</w:t>
      </w:r>
      <w:r w:rsidR="00AA7889" w:rsidRPr="1E751BE8">
        <w:rPr>
          <w:rFonts w:eastAsia="Calibri" w:cs="Calibri"/>
        </w:rPr>
        <w:t>’</w:t>
      </w:r>
      <w:r w:rsidR="00E16AFF" w:rsidRPr="1E751BE8">
        <w:rPr>
          <w:rFonts w:eastAsia="Calibri" w:cs="Calibri"/>
        </w:rPr>
        <w:t xml:space="preserve"> shaped by climate variability, uncertainty and changing demands over five, ten and more years. </w:t>
      </w:r>
    </w:p>
    <w:p w14:paraId="4DA11E40" w14:textId="47D9281F" w:rsidR="00E16AFF" w:rsidRPr="00866756" w:rsidRDefault="00382EE8" w:rsidP="00CC7A58">
      <w:pPr>
        <w:rPr>
          <w:rFonts w:eastAsia="Calibri" w:cs="Calibri"/>
          <w:szCs w:val="22"/>
        </w:rPr>
      </w:pPr>
      <w:r>
        <w:rPr>
          <w:rFonts w:ascii="ZWAdobeF" w:eastAsia="Calibri" w:hAnsi="ZWAdobeF" w:cs="ZWAdobeF"/>
          <w:sz w:val="2"/>
          <w:szCs w:val="2"/>
        </w:rPr>
        <w:t>1119B</w:t>
      </w:r>
      <w:r w:rsidR="00E16AFF" w:rsidRPr="00866756">
        <w:rPr>
          <w:rFonts w:eastAsia="Calibri" w:cs="Calibri"/>
          <w:szCs w:val="22"/>
        </w:rPr>
        <w:t>Without this perspective, system outcomes remain vulnerable to incremental, uncoordinated decisions.</w:t>
      </w:r>
    </w:p>
    <w:p w14:paraId="029E5CD2" w14:textId="3F326033" w:rsidR="00CE2C08" w:rsidRDefault="00E16AFF" w:rsidP="00E16AFF">
      <w:pPr>
        <w:pStyle w:val="ReviewHeading3"/>
        <w:rPr>
          <w:rFonts w:eastAsia="Calibri"/>
        </w:rPr>
      </w:pPr>
      <w:r>
        <w:rPr>
          <w:rFonts w:eastAsia="Calibri"/>
        </w:rPr>
        <w:t>The missing shared vision</w:t>
      </w:r>
    </w:p>
    <w:p w14:paraId="45118076" w14:textId="482ED61E" w:rsidR="00F46027" w:rsidRDefault="00382EE8" w:rsidP="00D71E7B">
      <w:r>
        <w:rPr>
          <w:rFonts w:ascii="ZWAdobeF" w:hAnsi="ZWAdobeF" w:cs="ZWAdobeF"/>
          <w:sz w:val="2"/>
          <w:szCs w:val="2"/>
        </w:rPr>
        <w:t>1120B</w:t>
      </w:r>
      <w:r w:rsidR="00F46027" w:rsidRPr="00E33A9F">
        <w:t>While elements of a shared vision exist across policy and planning frameworks, there is no consistently articulated and operationalised vision for what these landscapes and systems should look like over time</w:t>
      </w:r>
      <w:r w:rsidR="00F46027">
        <w:t xml:space="preserve">. </w:t>
      </w:r>
      <w:r w:rsidR="00F46027" w:rsidRPr="3FEDF213">
        <w:t xml:space="preserve"> Without alignment between objectives, planning frameworks and decision</w:t>
      </w:r>
      <w:r w:rsidR="00F46027" w:rsidRPr="00F46027">
        <w:noBreakHyphen/>
      </w:r>
      <w:r w:rsidR="00F46027" w:rsidRPr="3FEDF213">
        <w:t>making processes</w:t>
      </w:r>
      <w:r w:rsidR="00442064">
        <w:t xml:space="preserve"> and</w:t>
      </w:r>
      <w:r w:rsidR="00F46027" w:rsidRPr="3FEDF213">
        <w:t xml:space="preserve"> investment can be poorly targeted.</w:t>
      </w:r>
    </w:p>
    <w:p w14:paraId="4B7A131F" w14:textId="7B6AB857" w:rsidR="00F46027" w:rsidRDefault="00382EE8" w:rsidP="00D71E7B">
      <w:r>
        <w:rPr>
          <w:rFonts w:ascii="ZWAdobeF" w:hAnsi="ZWAdobeF" w:cs="ZWAdobeF"/>
          <w:sz w:val="2"/>
          <w:szCs w:val="2"/>
        </w:rPr>
        <w:t>1121B</w:t>
      </w:r>
      <w:r w:rsidR="00F46027" w:rsidRPr="3FEDF213">
        <w:t>A shared vision is essential to guide trade</w:t>
      </w:r>
      <w:r w:rsidR="00F46027" w:rsidRPr="00F46027">
        <w:noBreakHyphen/>
      </w:r>
      <w:r w:rsidR="00F46027" w:rsidRPr="3FEDF213">
        <w:t>offs, align decision</w:t>
      </w:r>
      <w:r w:rsidR="00F46027" w:rsidRPr="00F46027">
        <w:noBreakHyphen/>
      </w:r>
      <w:r w:rsidR="00F46027" w:rsidRPr="3FEDF213">
        <w:t>makers and provide clarity on how environmental, cultural, social and economic outcomes are expected to interact within the system.</w:t>
      </w:r>
    </w:p>
    <w:p w14:paraId="6B29D3C4" w14:textId="740601CF" w:rsidR="00E16AFF" w:rsidRDefault="00F46027" w:rsidP="00F46027">
      <w:pPr>
        <w:pStyle w:val="ReviewHeading3"/>
        <w:rPr>
          <w:rFonts w:eastAsia="Calibri"/>
        </w:rPr>
      </w:pPr>
      <w:r>
        <w:rPr>
          <w:rFonts w:eastAsia="Calibri"/>
        </w:rPr>
        <w:lastRenderedPageBreak/>
        <w:t>Consequences of inaction</w:t>
      </w:r>
    </w:p>
    <w:p w14:paraId="0D348A08" w14:textId="30991295" w:rsidR="00C11E14" w:rsidRDefault="00382EE8" w:rsidP="00D71E7B">
      <w:r>
        <w:rPr>
          <w:rFonts w:ascii="ZWAdobeF" w:hAnsi="ZWAdobeF" w:cs="ZWAdobeF"/>
          <w:sz w:val="2"/>
          <w:szCs w:val="2"/>
        </w:rPr>
        <w:t>1122B</w:t>
      </w:r>
      <w:r w:rsidR="00C11E14" w:rsidRPr="3FEDF213">
        <w:t>Stronger collaboration</w:t>
      </w:r>
      <w:r w:rsidR="00C11E14">
        <w:t xml:space="preserve">, </w:t>
      </w:r>
      <w:r w:rsidR="00C11E14" w:rsidRPr="3FEDF213">
        <w:t xml:space="preserve">particularly between the </w:t>
      </w:r>
      <w:r w:rsidR="00C11E14">
        <w:t>ACT</w:t>
      </w:r>
      <w:r w:rsidR="00C11E14" w:rsidRPr="3FEDF213">
        <w:t xml:space="preserve"> and </w:t>
      </w:r>
      <w:r w:rsidR="3FBA6BFD">
        <w:t>NSW</w:t>
      </w:r>
      <w:r w:rsidR="00C11E14">
        <w:t xml:space="preserve">, </w:t>
      </w:r>
      <w:r w:rsidR="00C11E14" w:rsidRPr="3FEDF213">
        <w:t xml:space="preserve">will be essential to ensure that critical human water needs are clearly identified, jointly planned and sustainably met over future review cycles, alongside strengthened environmental and cultural water planning. </w:t>
      </w:r>
    </w:p>
    <w:p w14:paraId="20EC610E" w14:textId="4DD99E41" w:rsidR="00C11E14" w:rsidRPr="00C11E14" w:rsidRDefault="00382EE8" w:rsidP="00D71E7B">
      <w:r>
        <w:rPr>
          <w:rFonts w:ascii="ZWAdobeF" w:hAnsi="ZWAdobeF" w:cs="ZWAdobeF"/>
          <w:sz w:val="2"/>
          <w:szCs w:val="2"/>
        </w:rPr>
        <w:t>1123B</w:t>
      </w:r>
      <w:r w:rsidR="00C11E14">
        <w:t>Failure to adopt a whole</w:t>
      </w:r>
      <w:r w:rsidR="00C11E14">
        <w:noBreakHyphen/>
        <w:t>of</w:t>
      </w:r>
      <w:r w:rsidR="00C11E14">
        <w:noBreakHyphen/>
        <w:t>system approach risks perpetuating existing imbalances. In particular, it may allow continued disproportionate influence over allocation decisions, undermine environmental recovery efforts and contribute to ongoing decline in environmental values and cultural outcomes across affected river systems. It may also lead to suboptimal or poorly targeted investment decisions, as infrastructure and service planning are not aligned with system-wide needs and long-term demand pressures</w:t>
      </w:r>
      <w:r w:rsidR="007D7760">
        <w:t>,</w:t>
      </w:r>
      <w:r w:rsidR="76C28620">
        <w:t xml:space="preserve"> and decisions are </w:t>
      </w:r>
      <w:r w:rsidR="46DBB9FF">
        <w:t>made</w:t>
      </w:r>
      <w:r w:rsidR="76C28620">
        <w:t xml:space="preserve"> in a crisis</w:t>
      </w:r>
      <w:r w:rsidR="010D7B62">
        <w:t>.</w:t>
      </w:r>
    </w:p>
    <w:p w14:paraId="7C3765CD" w14:textId="656F03D4" w:rsidR="00F46027" w:rsidRDefault="00C11E14" w:rsidP="00C11E14">
      <w:pPr>
        <w:pStyle w:val="ReviewHeading3"/>
        <w:rPr>
          <w:rFonts w:eastAsia="Calibri"/>
        </w:rPr>
      </w:pPr>
      <w:r>
        <w:rPr>
          <w:rFonts w:eastAsia="Calibri"/>
        </w:rPr>
        <w:t>Principles for whole-of-system planning</w:t>
      </w:r>
    </w:p>
    <w:p w14:paraId="4F8C7F2E" w14:textId="17C07873" w:rsidR="00D758E5" w:rsidRPr="00D71E7B" w:rsidRDefault="00382EE8" w:rsidP="00D758E5">
      <w:pPr>
        <w:spacing w:after="0" w:line="300" w:lineRule="auto"/>
        <w:rPr>
          <w:rFonts w:eastAsia="Calibri" w:cs="Calibri"/>
          <w:szCs w:val="22"/>
        </w:rPr>
      </w:pPr>
      <w:r>
        <w:rPr>
          <w:rFonts w:ascii="ZWAdobeF" w:eastAsia="Calibri" w:hAnsi="ZWAdobeF" w:cs="ZWAdobeF"/>
          <w:sz w:val="2"/>
          <w:szCs w:val="2"/>
        </w:rPr>
        <w:t>1124B</w:t>
      </w:r>
      <w:r w:rsidR="00D758E5" w:rsidRPr="00D71E7B">
        <w:rPr>
          <w:rFonts w:eastAsia="Calibri" w:cs="Calibri"/>
          <w:szCs w:val="22"/>
        </w:rPr>
        <w:t>Delivery of a reformed whole</w:t>
      </w:r>
      <w:r w:rsidR="004D1EDF">
        <w:rPr>
          <w:rFonts w:eastAsia="Calibri" w:cs="Calibri"/>
          <w:szCs w:val="22"/>
        </w:rPr>
        <w:t>-</w:t>
      </w:r>
      <w:r w:rsidR="00D758E5" w:rsidRPr="00D71E7B">
        <w:rPr>
          <w:rFonts w:eastAsia="Calibri" w:cs="Calibri"/>
          <w:szCs w:val="22"/>
        </w:rPr>
        <w:t>of</w:t>
      </w:r>
      <w:r w:rsidR="004D1EDF">
        <w:rPr>
          <w:rFonts w:eastAsia="Calibri" w:cs="Calibri"/>
          <w:szCs w:val="22"/>
        </w:rPr>
        <w:t>-</w:t>
      </w:r>
      <w:r w:rsidR="00D758E5" w:rsidRPr="00D71E7B">
        <w:rPr>
          <w:rFonts w:eastAsia="Calibri" w:cs="Calibri"/>
          <w:szCs w:val="22"/>
        </w:rPr>
        <w:t>system planning should be underpinned by the principles of:</w:t>
      </w:r>
    </w:p>
    <w:p w14:paraId="5BF7E525" w14:textId="33351DAE" w:rsidR="00D758E5" w:rsidRPr="00D71E7B" w:rsidRDefault="00382EE8" w:rsidP="002852C7">
      <w:pPr>
        <w:pStyle w:val="ListParagraph"/>
        <w:numPr>
          <w:ilvl w:val="0"/>
          <w:numId w:val="4"/>
        </w:numPr>
        <w:spacing w:after="0" w:line="300" w:lineRule="auto"/>
        <w:jc w:val="left"/>
        <w:rPr>
          <w:rFonts w:eastAsia="Calibri" w:cs="Calibri"/>
          <w:b/>
        </w:rPr>
      </w:pPr>
      <w:r>
        <w:rPr>
          <w:rFonts w:ascii="ZWAdobeF" w:eastAsia="Calibri" w:hAnsi="ZWAdobeF" w:cs="ZWAdobeF"/>
          <w:sz w:val="2"/>
          <w:szCs w:val="2"/>
        </w:rPr>
        <w:t>331B</w:t>
      </w:r>
      <w:r w:rsidR="00D758E5" w:rsidRPr="403AD177">
        <w:rPr>
          <w:rFonts w:eastAsia="Calibri" w:cs="Calibri"/>
          <w:b/>
        </w:rPr>
        <w:t xml:space="preserve">Integration, </w:t>
      </w:r>
      <w:r w:rsidR="00D758E5" w:rsidRPr="403AD177">
        <w:rPr>
          <w:rFonts w:eastAsia="Calibri" w:cs="Calibri"/>
        </w:rPr>
        <w:t>ensuring that planning is coordinated across sectors, jurisdictions and timeframes, and that interdependencies between water, land use, environment, infrastructure and community outcomes are explicitly recognised and managed</w:t>
      </w:r>
      <w:r w:rsidR="72B45CC1" w:rsidRPr="403AD177">
        <w:rPr>
          <w:rFonts w:eastAsia="Calibri" w:cs="Calibri"/>
        </w:rPr>
        <w:t>.</w:t>
      </w:r>
    </w:p>
    <w:p w14:paraId="501EA9B0" w14:textId="142A3B64" w:rsidR="00D758E5" w:rsidRPr="00D71E7B" w:rsidRDefault="00382EE8" w:rsidP="002852C7">
      <w:pPr>
        <w:pStyle w:val="ListParagraph"/>
        <w:numPr>
          <w:ilvl w:val="0"/>
          <w:numId w:val="4"/>
        </w:numPr>
        <w:spacing w:after="0" w:line="300" w:lineRule="auto"/>
        <w:jc w:val="left"/>
        <w:rPr>
          <w:rFonts w:eastAsia="Calibri" w:cs="Calibri"/>
        </w:rPr>
      </w:pPr>
      <w:r>
        <w:rPr>
          <w:rFonts w:ascii="ZWAdobeF" w:eastAsia="Calibri" w:hAnsi="ZWAdobeF" w:cs="ZWAdobeF"/>
          <w:sz w:val="2"/>
          <w:szCs w:val="2"/>
        </w:rPr>
        <w:t>332B</w:t>
      </w:r>
      <w:r w:rsidR="00D758E5" w:rsidRPr="60FD2C94">
        <w:rPr>
          <w:rFonts w:eastAsia="Calibri" w:cs="Calibri"/>
          <w:b/>
        </w:rPr>
        <w:t>Transparency</w:t>
      </w:r>
      <w:r w:rsidR="00D758E5" w:rsidRPr="60FD2C94">
        <w:rPr>
          <w:rFonts w:eastAsia="Calibri" w:cs="Calibri"/>
        </w:rPr>
        <w:t>, ensuring that decision</w:t>
      </w:r>
      <w:r w:rsidR="00D758E5" w:rsidRPr="00D71E7B">
        <w:noBreakHyphen/>
      </w:r>
      <w:r w:rsidR="00D758E5" w:rsidRPr="60FD2C94">
        <w:rPr>
          <w:rFonts w:eastAsia="Calibri" w:cs="Calibri"/>
        </w:rPr>
        <w:t>making processes, assumptions and trade</w:t>
      </w:r>
      <w:r w:rsidR="00D758E5" w:rsidRPr="00D71E7B">
        <w:noBreakHyphen/>
      </w:r>
      <w:r w:rsidR="00D758E5" w:rsidRPr="60FD2C94">
        <w:rPr>
          <w:rFonts w:eastAsia="Calibri" w:cs="Calibri"/>
        </w:rPr>
        <w:t>offs are clear, explicit and accessible</w:t>
      </w:r>
      <w:r w:rsidR="06903020" w:rsidRPr="60FD2C94">
        <w:rPr>
          <w:rFonts w:eastAsia="Calibri" w:cs="Calibri"/>
        </w:rPr>
        <w:t>.</w:t>
      </w:r>
    </w:p>
    <w:p w14:paraId="43609855" w14:textId="4FC6AEBC" w:rsidR="00D758E5" w:rsidRPr="00D71E7B" w:rsidRDefault="00382EE8" w:rsidP="002852C7">
      <w:pPr>
        <w:pStyle w:val="ListParagraph"/>
        <w:numPr>
          <w:ilvl w:val="0"/>
          <w:numId w:val="4"/>
        </w:numPr>
        <w:spacing w:after="0" w:line="300" w:lineRule="auto"/>
        <w:jc w:val="left"/>
        <w:rPr>
          <w:rFonts w:eastAsia="Calibri" w:cs="Calibri"/>
        </w:rPr>
      </w:pPr>
      <w:r>
        <w:rPr>
          <w:rFonts w:ascii="ZWAdobeF" w:eastAsia="Calibri" w:hAnsi="ZWAdobeF" w:cs="ZWAdobeF"/>
          <w:sz w:val="2"/>
          <w:szCs w:val="2"/>
        </w:rPr>
        <w:t>333B</w:t>
      </w:r>
      <w:r w:rsidR="00D758E5" w:rsidRPr="60FD2C94">
        <w:rPr>
          <w:rFonts w:eastAsia="Calibri" w:cs="Calibri"/>
          <w:b/>
        </w:rPr>
        <w:t>Flexibility and responsiveness</w:t>
      </w:r>
      <w:r w:rsidR="00D758E5" w:rsidRPr="60FD2C94">
        <w:rPr>
          <w:rFonts w:eastAsia="Calibri" w:cs="Calibri"/>
        </w:rPr>
        <w:t>, enabling adaptive management in the face of climate variability, uncertainty and changing demands</w:t>
      </w:r>
      <w:r w:rsidR="298EA40D" w:rsidRPr="60FD2C94">
        <w:rPr>
          <w:rFonts w:eastAsia="Calibri" w:cs="Calibri"/>
        </w:rPr>
        <w:t>.</w:t>
      </w:r>
    </w:p>
    <w:p w14:paraId="6BC0D516" w14:textId="581F9C94" w:rsidR="00D758E5" w:rsidRPr="00D71E7B" w:rsidRDefault="00382EE8" w:rsidP="002852C7">
      <w:pPr>
        <w:pStyle w:val="ListParagraph"/>
        <w:numPr>
          <w:ilvl w:val="0"/>
          <w:numId w:val="4"/>
        </w:numPr>
        <w:spacing w:after="0" w:line="300" w:lineRule="auto"/>
        <w:jc w:val="left"/>
        <w:rPr>
          <w:rFonts w:eastAsia="Calibri" w:cs="Calibri"/>
          <w:szCs w:val="22"/>
        </w:rPr>
      </w:pPr>
      <w:r>
        <w:rPr>
          <w:rFonts w:ascii="ZWAdobeF" w:eastAsia="Calibri" w:hAnsi="ZWAdobeF" w:cs="ZWAdobeF"/>
          <w:bCs/>
          <w:sz w:val="2"/>
          <w:szCs w:val="2"/>
        </w:rPr>
        <w:t>334B</w:t>
      </w:r>
      <w:r w:rsidR="00D758E5" w:rsidRPr="00D71E7B">
        <w:rPr>
          <w:rFonts w:eastAsia="Calibri" w:cs="Calibri"/>
          <w:b/>
          <w:bCs/>
          <w:szCs w:val="22"/>
        </w:rPr>
        <w:t>A robust trade</w:t>
      </w:r>
      <w:r w:rsidR="00D758E5" w:rsidRPr="00D71E7B">
        <w:noBreakHyphen/>
      </w:r>
      <w:r w:rsidR="00D758E5" w:rsidRPr="00D71E7B">
        <w:rPr>
          <w:rFonts w:eastAsia="Calibri" w:cs="Calibri"/>
          <w:b/>
          <w:bCs/>
          <w:szCs w:val="22"/>
        </w:rPr>
        <w:t>off framework</w:t>
      </w:r>
      <w:r w:rsidR="00D758E5" w:rsidRPr="00D71E7B">
        <w:rPr>
          <w:rFonts w:eastAsia="Calibri" w:cs="Calibri"/>
          <w:szCs w:val="22"/>
        </w:rPr>
        <w:t>, explicitly recognising and managing competing objectives across environmental, social, cultural and economic outcomes</w:t>
      </w:r>
      <w:r w:rsidR="004D1EDF">
        <w:rPr>
          <w:rFonts w:eastAsia="Calibri" w:cs="Calibri"/>
          <w:szCs w:val="22"/>
        </w:rPr>
        <w:t>.</w:t>
      </w:r>
    </w:p>
    <w:p w14:paraId="5A2FB9C6" w14:textId="77777777" w:rsidR="004D1EDF" w:rsidRPr="004D1EDF" w:rsidRDefault="004D1EDF" w:rsidP="004D1EDF">
      <w:pPr>
        <w:spacing w:after="0" w:line="300" w:lineRule="auto"/>
        <w:ind w:left="360"/>
        <w:jc w:val="left"/>
        <w:rPr>
          <w:rFonts w:eastAsia="Calibri" w:cs="Calibri"/>
          <w:szCs w:val="22"/>
        </w:rPr>
      </w:pPr>
    </w:p>
    <w:p w14:paraId="5FBB8F85" w14:textId="1F63F0F5" w:rsidR="00D758E5" w:rsidRDefault="00382EE8" w:rsidP="00D71E7B">
      <w:r>
        <w:rPr>
          <w:rFonts w:ascii="ZWAdobeF" w:hAnsi="ZWAdobeF" w:cs="ZWAdobeF"/>
          <w:sz w:val="2"/>
          <w:szCs w:val="2"/>
        </w:rPr>
        <w:t>1125B</w:t>
      </w:r>
      <w:r w:rsidR="0083299F">
        <w:t>T</w:t>
      </w:r>
      <w:r w:rsidR="00D758E5" w:rsidRPr="00322F44">
        <w:t>ogether, these principles provide the foundation for planning that can better align water for energy, environment and culture with the broader system in which it operates, and support more resilient and equitable outcomes over the long</w:t>
      </w:r>
      <w:r w:rsidR="00D71601">
        <w:t>-</w:t>
      </w:r>
      <w:r w:rsidR="00D758E5" w:rsidRPr="00322F44">
        <w:t>term.</w:t>
      </w:r>
    </w:p>
    <w:p w14:paraId="70E3DC78" w14:textId="40F35886" w:rsidR="00C11E14" w:rsidRDefault="00D758E5" w:rsidP="00D758E5">
      <w:pPr>
        <w:pStyle w:val="ReviewHeading3"/>
        <w:rPr>
          <w:rFonts w:eastAsia="Calibri"/>
        </w:rPr>
      </w:pPr>
      <w:r>
        <w:rPr>
          <w:rFonts w:eastAsia="Calibri"/>
        </w:rPr>
        <w:t>The principles in action</w:t>
      </w:r>
    </w:p>
    <w:p w14:paraId="7FB5FE4D" w14:textId="5F3C17A5" w:rsidR="00E51766" w:rsidRPr="00E51766" w:rsidRDefault="00382EE8" w:rsidP="00E51766">
      <w:r>
        <w:rPr>
          <w:rFonts w:ascii="ZWAdobeF" w:hAnsi="ZWAdobeF" w:cs="ZWAdobeF"/>
          <w:sz w:val="2"/>
          <w:szCs w:val="2"/>
        </w:rPr>
        <w:t>1126B</w:t>
      </w:r>
      <w:r w:rsidR="00E51766" w:rsidRPr="00E51766">
        <w:t xml:space="preserve">To be effective, the principles outlined above must be implemented through existing planning instruments, governance forums and operational processes. In the Upper Murrumbidgee and Snowy Montane systems this creates an opportunity to better align and use established arrangements, building on existing instruments within the strengthened governance framework outlined in </w:t>
      </w:r>
      <w:r w:rsidR="00E51766" w:rsidRPr="0061462C">
        <w:rPr>
          <w:b/>
        </w:rPr>
        <w:t>Chapter</w:t>
      </w:r>
      <w:r w:rsidR="000C31E7">
        <w:rPr>
          <w:b/>
        </w:rPr>
        <w:t> </w:t>
      </w:r>
      <w:r w:rsidR="00E51766" w:rsidRPr="0061462C">
        <w:rPr>
          <w:b/>
        </w:rPr>
        <w:t>5</w:t>
      </w:r>
      <w:r w:rsidR="00E51766" w:rsidRPr="00E51766">
        <w:t>.</w:t>
      </w:r>
    </w:p>
    <w:p w14:paraId="03E9C11E" w14:textId="1A3ADCFA" w:rsidR="00E51766" w:rsidRPr="00E51766" w:rsidRDefault="00382EE8" w:rsidP="00E51766">
      <w:r>
        <w:rPr>
          <w:rFonts w:ascii="ZWAdobeF" w:hAnsi="ZWAdobeF" w:cs="ZWAdobeF"/>
          <w:sz w:val="2"/>
          <w:szCs w:val="2"/>
        </w:rPr>
        <w:t>1127B</w:t>
      </w:r>
      <w:r w:rsidR="00E51766" w:rsidRPr="00E51766">
        <w:t xml:space="preserve">These arrangements would operate within the </w:t>
      </w:r>
      <w:r w:rsidR="00DA4F66">
        <w:t xml:space="preserve">strengthened </w:t>
      </w:r>
      <w:r w:rsidR="00E51766" w:rsidRPr="00E51766">
        <w:t>system-level governance framework which provides the coordination, decision-making authority and accountability required to support integrated planning across jurisdictions and sectors.</w:t>
      </w:r>
    </w:p>
    <w:p w14:paraId="39A25A2A" w14:textId="286DE019" w:rsidR="00E51766" w:rsidRPr="00E51766" w:rsidRDefault="00382EE8" w:rsidP="00E51766">
      <w:r>
        <w:rPr>
          <w:rFonts w:ascii="ZWAdobeF" w:hAnsi="ZWAdobeF" w:cs="ZWAdobeF"/>
          <w:sz w:val="2"/>
          <w:szCs w:val="2"/>
        </w:rPr>
        <w:t>1128B</w:t>
      </w:r>
      <w:r w:rsidR="00E51766" w:rsidRPr="00E51766">
        <w:t xml:space="preserve">Greater </w:t>
      </w:r>
      <w:r w:rsidR="00E51766" w:rsidRPr="00CC7A58">
        <w:rPr>
          <w:b/>
          <w:bCs/>
        </w:rPr>
        <w:t>integration</w:t>
      </w:r>
      <w:r w:rsidR="00E51766" w:rsidRPr="00E51766">
        <w:t xml:space="preserve"> can be achieved through more deliberate coordination across existing statutory plans and institutional frameworks, including the NSW Water Sharing Plan for the Murrumbidgee Regulated River Water Source, ACT water planning frameworks and Basin Plan mechanisms administered by the Murray–Darling Basin Authority (MDBA). Integration with Snowy Scheme operations can be supported through the Snowy Water Licence and associated intergovernmental </w:t>
      </w:r>
      <w:r w:rsidR="00E51766" w:rsidRPr="00E51766">
        <w:lastRenderedPageBreak/>
        <w:t>arrangements between the Australian, N</w:t>
      </w:r>
      <w:r w:rsidR="721B943D">
        <w:t>SW</w:t>
      </w:r>
      <w:r w:rsidR="00E51766" w:rsidRPr="00E51766">
        <w:t>, Victorian and ACT governments, supported by existing advisory and coordination processes.</w:t>
      </w:r>
    </w:p>
    <w:p w14:paraId="2469D4ED" w14:textId="330380B8" w:rsidR="00E51766" w:rsidRPr="00E51766" w:rsidRDefault="00382EE8" w:rsidP="00E51766">
      <w:r>
        <w:rPr>
          <w:rFonts w:ascii="ZWAdobeF" w:hAnsi="ZWAdobeF" w:cs="ZWAdobeF"/>
          <w:sz w:val="2"/>
          <w:szCs w:val="2"/>
        </w:rPr>
        <w:t>1129B</w:t>
      </w:r>
      <w:r w:rsidR="00E51766" w:rsidRPr="00E51766">
        <w:t xml:space="preserve">A key priority is ensuring these instruments operate from a shared evidence base, with consistent planning assumptions, timeframes and objectives. This includes strengthening how strategic objectives are translated into operational rules, including environmental flow settings under </w:t>
      </w:r>
      <w:r w:rsidR="009950CD">
        <w:t>w</w:t>
      </w:r>
      <w:r w:rsidR="00E51766" w:rsidRPr="00E51766">
        <w:t xml:space="preserve">ater </w:t>
      </w:r>
      <w:r w:rsidR="009950CD">
        <w:t>s</w:t>
      </w:r>
      <w:r w:rsidR="00E51766" w:rsidRPr="00E51766">
        <w:t xml:space="preserve">haring </w:t>
      </w:r>
      <w:r w:rsidR="009950CD">
        <w:t>p</w:t>
      </w:r>
      <w:r w:rsidR="00E51766" w:rsidRPr="00E51766">
        <w:t>lans and Snowy Scheme release decisions.</w:t>
      </w:r>
    </w:p>
    <w:p w14:paraId="0B1A4F82" w14:textId="61346B41" w:rsidR="00E51766" w:rsidRPr="00E51766" w:rsidRDefault="00382EE8" w:rsidP="00E51766">
      <w:r>
        <w:rPr>
          <w:rFonts w:ascii="ZWAdobeF" w:hAnsi="ZWAdobeF" w:cs="ZWAdobeF"/>
          <w:bCs/>
          <w:sz w:val="2"/>
          <w:szCs w:val="2"/>
        </w:rPr>
        <w:t>1130B</w:t>
      </w:r>
      <w:r w:rsidR="00E51766" w:rsidRPr="00CC7A58">
        <w:rPr>
          <w:b/>
          <w:bCs/>
        </w:rPr>
        <w:t>Transparency</w:t>
      </w:r>
      <w:r w:rsidR="00E51766" w:rsidRPr="00E51766">
        <w:t xml:space="preserve"> can be strengthened by building on existing reporting and consultation processes. Reporting by the MDBA, the Commonwealth Environmental Water Holder (CEWH) and state agencies such as NSW DCCEEW provides an established foundation. There is scope to more clearly articulate how key decisions are made, particularly where trade-offs are involved, including decisions relating to environmental flows, water allocation and Snowy Scheme operations. Publishing modelling assumptions, scenario analysis and option comparisons through existing processes would further strengthen transparency and confidence.</w:t>
      </w:r>
    </w:p>
    <w:p w14:paraId="0B68E5AD" w14:textId="42DE3217" w:rsidR="00E51766" w:rsidRPr="00E51766" w:rsidRDefault="00382EE8" w:rsidP="00E51766">
      <w:r>
        <w:rPr>
          <w:rFonts w:ascii="ZWAdobeF" w:hAnsi="ZWAdobeF" w:cs="ZWAdobeF"/>
          <w:bCs/>
          <w:sz w:val="2"/>
          <w:szCs w:val="2"/>
        </w:rPr>
        <w:t>1131B</w:t>
      </w:r>
      <w:r w:rsidR="00E51766" w:rsidRPr="00CC7A58">
        <w:rPr>
          <w:b/>
          <w:bCs/>
        </w:rPr>
        <w:t>Flexibility and responsiveness</w:t>
      </w:r>
      <w:r w:rsidR="00E51766" w:rsidRPr="00E51766">
        <w:t xml:space="preserve"> can be enhanced through more systematic application of adaptive management within existing frameworks. This includes more consistent use of plan</w:t>
      </w:r>
      <w:r w:rsidR="00133EF9">
        <w:t>ned</w:t>
      </w:r>
      <w:r w:rsidR="00E51766" w:rsidRPr="00E51766">
        <w:t xml:space="preserve"> review processes, defined operational triggers and environmental watering arrangements, as well as applying existing modelling platforms used by the MDBA and state agencies to scenario-based planning under a range of future conditions.</w:t>
      </w:r>
    </w:p>
    <w:p w14:paraId="020D260A" w14:textId="0FB8E2B7" w:rsidR="009F7A8A" w:rsidRPr="00C533F2" w:rsidRDefault="00382EE8" w:rsidP="009F7A8A">
      <w:r>
        <w:rPr>
          <w:rFonts w:ascii="ZWAdobeF" w:hAnsi="ZWAdobeF" w:cs="ZWAdobeF"/>
          <w:bCs/>
          <w:sz w:val="2"/>
          <w:szCs w:val="2"/>
        </w:rPr>
        <w:t>1132B</w:t>
      </w:r>
      <w:r w:rsidR="00E51766" w:rsidRPr="00CC7A58">
        <w:rPr>
          <w:b/>
          <w:bCs/>
        </w:rPr>
        <w:t>Trade-offs</w:t>
      </w:r>
      <w:r w:rsidR="00E51766" w:rsidRPr="00E51766">
        <w:t xml:space="preserve"> must be explicitly defined, assessed and managed through structured and transparent decision-making processes. While existing frameworks under the Basin Plan, </w:t>
      </w:r>
      <w:r w:rsidR="005E077D">
        <w:t>w</w:t>
      </w:r>
      <w:r w:rsidR="00E51766" w:rsidRPr="00E51766">
        <w:t xml:space="preserve">ater </w:t>
      </w:r>
      <w:r w:rsidR="005E077D">
        <w:t>s</w:t>
      </w:r>
      <w:r w:rsidR="00E51766" w:rsidRPr="00E51766">
        <w:t xml:space="preserve">haring </w:t>
      </w:r>
      <w:r w:rsidR="005E077D">
        <w:t>p</w:t>
      </w:r>
      <w:r w:rsidR="00E51766" w:rsidRPr="00E51766">
        <w:t xml:space="preserve">lans and environmental watering arrangements require consideration of environmental, social and economic outcomes, these processes can be strengthened through more consistent and structured approaches across agencies. </w:t>
      </w:r>
      <w:r w:rsidR="009F7A8A" w:rsidRPr="00C533F2">
        <w:t>Clearer articulation of objective hierarchies</w:t>
      </w:r>
      <w:r w:rsidR="009F7A8A">
        <w:t xml:space="preserve">, </w:t>
      </w:r>
      <w:r w:rsidR="009F7A8A" w:rsidRPr="00C533F2">
        <w:t>such as identifying priority environmental thresholds, essential human water needs and areas where flexibility exists</w:t>
      </w:r>
      <w:r w:rsidR="009F7A8A">
        <w:t>, should</w:t>
      </w:r>
      <w:r w:rsidR="009F7A8A" w:rsidRPr="00C533F2">
        <w:t xml:space="preserve"> be incorporated into plan reviews and operational guidance. This would provide clarity on how competing demands, including consumptive use, hydropower generation and environmental outcomes, are to be balanced during periods of water scarcity</w:t>
      </w:r>
      <w:r w:rsidR="009F7A8A">
        <w:t xml:space="preserve"> and in renewable energy droughts</w:t>
      </w:r>
      <w:r w:rsidR="009F7A8A" w:rsidRPr="00C533F2">
        <w:t>.</w:t>
      </w:r>
    </w:p>
    <w:p w14:paraId="77AF9367" w14:textId="51F3C427" w:rsidR="00E51766" w:rsidRPr="00E51766" w:rsidRDefault="00382EE8" w:rsidP="00E51766">
      <w:r>
        <w:rPr>
          <w:rFonts w:ascii="ZWAdobeF" w:hAnsi="ZWAdobeF" w:cs="ZWAdobeF"/>
          <w:sz w:val="2"/>
          <w:szCs w:val="2"/>
        </w:rPr>
        <w:t>1133B</w:t>
      </w:r>
      <w:r w:rsidR="00E51766" w:rsidRPr="00E51766">
        <w:t>Collectively, these elements demonstrate how a more integrated, transparent and adaptive planning approach can be achieved through stronger alignment and use of existing arrangements within a strengthened, system-wide governance framework.</w:t>
      </w:r>
    </w:p>
    <w:p w14:paraId="63748B01" w14:textId="04E940FB" w:rsidR="003C5C28" w:rsidRDefault="007F3556" w:rsidP="003A6991">
      <w:pPr>
        <w:pStyle w:val="ReviewHeading3"/>
      </w:pPr>
      <w:r>
        <w:t>What success looks like</w:t>
      </w:r>
    </w:p>
    <w:p w14:paraId="2BA26C90" w14:textId="313B7B3E" w:rsidR="00EF5FD7" w:rsidRPr="004955DF" w:rsidRDefault="00382EE8" w:rsidP="00D71E7B">
      <w:r>
        <w:rPr>
          <w:rFonts w:ascii="ZWAdobeF" w:hAnsi="ZWAdobeF" w:cs="ZWAdobeF"/>
          <w:sz w:val="2"/>
          <w:szCs w:val="2"/>
        </w:rPr>
        <w:t>1134B</w:t>
      </w:r>
      <w:r w:rsidR="00EF5FD7" w:rsidRPr="004955DF">
        <w:t>A more effective whole-of-system planning framework would be characterised by:</w:t>
      </w:r>
    </w:p>
    <w:p w14:paraId="112B9F71" w14:textId="5316EAD3" w:rsidR="00EF5FD7" w:rsidRPr="004955DF" w:rsidRDefault="00382EE8" w:rsidP="00115BD6">
      <w:pPr>
        <w:pStyle w:val="ListParagraph"/>
        <w:numPr>
          <w:ilvl w:val="0"/>
          <w:numId w:val="38"/>
        </w:numPr>
      </w:pPr>
      <w:r>
        <w:rPr>
          <w:rFonts w:ascii="ZWAdobeF" w:hAnsi="ZWAdobeF" w:cs="ZWAdobeF"/>
          <w:sz w:val="2"/>
          <w:szCs w:val="2"/>
        </w:rPr>
        <w:t>335B</w:t>
      </w:r>
      <w:r w:rsidR="00EF5FD7" w:rsidRPr="004955DF">
        <w:t>alignment between environmental water planning and broader land use, infrastructure and urban water planning processes</w:t>
      </w:r>
    </w:p>
    <w:p w14:paraId="51905E55" w14:textId="4C46CC42" w:rsidR="00EF5FD7" w:rsidRPr="004955DF" w:rsidRDefault="00382EE8" w:rsidP="00115BD6">
      <w:pPr>
        <w:pStyle w:val="ListParagraph"/>
        <w:numPr>
          <w:ilvl w:val="0"/>
          <w:numId w:val="38"/>
        </w:numPr>
      </w:pPr>
      <w:r>
        <w:rPr>
          <w:rFonts w:ascii="ZWAdobeF" w:hAnsi="ZWAdobeF" w:cs="ZWAdobeF"/>
          <w:sz w:val="2"/>
          <w:szCs w:val="2"/>
        </w:rPr>
        <w:t>336B</w:t>
      </w:r>
      <w:r w:rsidR="00EF5FD7" w:rsidRPr="004955DF">
        <w:t>a shared, cross-jurisdictional understanding of long-term system objectives and</w:t>
      </w:r>
      <w:r w:rsidR="004542AE">
        <w:t xml:space="preserve"> the</w:t>
      </w:r>
      <w:r w:rsidR="00EF5FD7" w:rsidRPr="004955DF">
        <w:t xml:space="preserve"> trade-offs</w:t>
      </w:r>
      <w:r w:rsidR="004542AE">
        <w:t xml:space="preserve"> required to achieve them</w:t>
      </w:r>
    </w:p>
    <w:p w14:paraId="2A7FCA22" w14:textId="0AD29911" w:rsidR="00EF5FD7" w:rsidRPr="004955DF" w:rsidRDefault="00382EE8" w:rsidP="00115BD6">
      <w:pPr>
        <w:pStyle w:val="ListParagraph"/>
        <w:numPr>
          <w:ilvl w:val="0"/>
          <w:numId w:val="38"/>
        </w:numPr>
      </w:pPr>
      <w:r>
        <w:rPr>
          <w:rFonts w:ascii="ZWAdobeF" w:hAnsi="ZWAdobeF" w:cs="ZWAdobeF"/>
          <w:sz w:val="2"/>
          <w:szCs w:val="2"/>
        </w:rPr>
        <w:t>337B</w:t>
      </w:r>
      <w:r w:rsidR="004542AE">
        <w:t xml:space="preserve">improved </w:t>
      </w:r>
      <w:r w:rsidR="00EF5FD7" w:rsidRPr="004955DF">
        <w:t>ability to assess and manage cumulative impacts of growth</w:t>
      </w:r>
      <w:r w:rsidR="004542AE">
        <w:t xml:space="preserve">, development and climate change </w:t>
      </w:r>
      <w:r w:rsidR="007525CE" w:rsidRPr="004955DF">
        <w:t>across</w:t>
      </w:r>
      <w:r w:rsidR="00EF5FD7" w:rsidRPr="004955DF">
        <w:t xml:space="preserve"> the system</w:t>
      </w:r>
    </w:p>
    <w:p w14:paraId="037A395F" w14:textId="50EF63C0" w:rsidR="00EF5FD7" w:rsidRPr="004955DF" w:rsidRDefault="00382EE8" w:rsidP="00115BD6">
      <w:pPr>
        <w:pStyle w:val="ListParagraph"/>
        <w:numPr>
          <w:ilvl w:val="0"/>
          <w:numId w:val="38"/>
        </w:numPr>
      </w:pPr>
      <w:r>
        <w:rPr>
          <w:rFonts w:ascii="ZWAdobeF" w:hAnsi="ZWAdobeF" w:cs="ZWAdobeF"/>
          <w:sz w:val="2"/>
          <w:szCs w:val="2"/>
        </w:rPr>
        <w:t>338B</w:t>
      </w:r>
      <w:r w:rsidR="00EF5FD7" w:rsidRPr="004955DF">
        <w:t xml:space="preserve">clearer and transparency </w:t>
      </w:r>
      <w:r w:rsidR="004542AE">
        <w:t>decision-making, including explicit</w:t>
      </w:r>
      <w:r w:rsidR="003B0C6B">
        <w:t xml:space="preserve"> articulation </w:t>
      </w:r>
      <w:r w:rsidR="00EF5FD7" w:rsidRPr="004955DF">
        <w:t>of how allocation decisions are made, particularly during periods of scarcity</w:t>
      </w:r>
    </w:p>
    <w:p w14:paraId="02F79BC6" w14:textId="64E8C58B" w:rsidR="00EF5FD7" w:rsidRPr="004955DF" w:rsidRDefault="00382EE8" w:rsidP="00115BD6">
      <w:pPr>
        <w:pStyle w:val="ListParagraph"/>
        <w:numPr>
          <w:ilvl w:val="0"/>
          <w:numId w:val="38"/>
        </w:numPr>
      </w:pPr>
      <w:r>
        <w:rPr>
          <w:rFonts w:ascii="ZWAdobeF" w:hAnsi="ZWAdobeF" w:cs="ZWAdobeF"/>
          <w:sz w:val="2"/>
          <w:szCs w:val="2"/>
        </w:rPr>
        <w:lastRenderedPageBreak/>
        <w:t>339B</w:t>
      </w:r>
      <w:r w:rsidR="00EF5FD7" w:rsidRPr="004955DF">
        <w:t xml:space="preserve">increased capacity to adapt environmental water delivery within-year in response to hydrological </w:t>
      </w:r>
      <w:r w:rsidR="1E39A552">
        <w:t xml:space="preserve">conditions </w:t>
      </w:r>
      <w:r w:rsidR="00EF5FD7" w:rsidRPr="004955DF">
        <w:t xml:space="preserve">and ecological </w:t>
      </w:r>
      <w:r w:rsidR="056AAF53">
        <w:t>cues</w:t>
      </w:r>
    </w:p>
    <w:p w14:paraId="701FBF7D" w14:textId="49A1F2B4" w:rsidR="00EF5FD7" w:rsidRPr="004955DF" w:rsidRDefault="00382EE8" w:rsidP="00115BD6">
      <w:pPr>
        <w:pStyle w:val="ListParagraph"/>
        <w:numPr>
          <w:ilvl w:val="0"/>
          <w:numId w:val="38"/>
        </w:numPr>
      </w:pPr>
      <w:r>
        <w:rPr>
          <w:rFonts w:ascii="ZWAdobeF" w:hAnsi="ZWAdobeF" w:cs="ZWAdobeF"/>
          <w:sz w:val="2"/>
          <w:szCs w:val="2"/>
        </w:rPr>
        <w:t>340B</w:t>
      </w:r>
      <w:r w:rsidR="00EF5FD7" w:rsidRPr="004955DF">
        <w:t>stronger coordination across jurisdictions and sectors,</w:t>
      </w:r>
      <w:r w:rsidR="00222B98">
        <w:t xml:space="preserve"> including between water, environment and energy systems,</w:t>
      </w:r>
      <w:r w:rsidR="00EF5FD7" w:rsidRPr="004955DF">
        <w:t xml:space="preserve"> enabling more consistent and forward-looking decision-making</w:t>
      </w:r>
      <w:r w:rsidR="003F4A9F">
        <w:t>.</w:t>
      </w:r>
    </w:p>
    <w:p w14:paraId="44FDE611" w14:textId="272E13FC" w:rsidR="007F3556" w:rsidRDefault="00EF5FD7" w:rsidP="00EF5FD7">
      <w:pPr>
        <w:pStyle w:val="ReviewHeading3"/>
      </w:pPr>
      <w:r>
        <w:t>Defining ‘adaptive’ management: tangible measures</w:t>
      </w:r>
    </w:p>
    <w:p w14:paraId="0D235C59" w14:textId="046FA1E1" w:rsidR="004C3BEB" w:rsidRPr="004C3BEB" w:rsidRDefault="00382EE8" w:rsidP="004C3BEB">
      <w:r>
        <w:rPr>
          <w:rFonts w:ascii="ZWAdobeF" w:hAnsi="ZWAdobeF" w:cs="ZWAdobeF"/>
          <w:sz w:val="2"/>
          <w:szCs w:val="2"/>
        </w:rPr>
        <w:t>1135B</w:t>
      </w:r>
      <w:r w:rsidR="004C3BEB" w:rsidRPr="004C3BEB">
        <w:t>Adaptive management in this context refers to the ability to adjust the timing, volume and pattern of environmental water delivery in response to changing system conditions, rather than relying on fixed rules or annual allocations.</w:t>
      </w:r>
    </w:p>
    <w:p w14:paraId="15BAC425" w14:textId="6DC39D1F" w:rsidR="00CF0C0E" w:rsidRDefault="00382EE8" w:rsidP="00CF0C0E">
      <w:r>
        <w:rPr>
          <w:rFonts w:ascii="ZWAdobeF" w:hAnsi="ZWAdobeF" w:cs="ZWAdobeF"/>
          <w:sz w:val="2"/>
          <w:szCs w:val="2"/>
        </w:rPr>
        <w:t>1136B</w:t>
      </w:r>
      <w:r w:rsidR="2CEE14AA" w:rsidRPr="00CF0C0E">
        <w:t xml:space="preserve">In practice, this can be enabled through a range of tangible mechanisms within existing frameworks. These include defining clear operational triggers, such as inflow conditions, ecological indicators or system stress events that allow water delivery to be varied within and between years. Existing planning instruments, including </w:t>
      </w:r>
      <w:r w:rsidR="00447833">
        <w:t>w</w:t>
      </w:r>
      <w:r w:rsidR="2CEE14AA" w:rsidRPr="00CF0C0E">
        <w:t xml:space="preserve">ater </w:t>
      </w:r>
      <w:r w:rsidR="00447833">
        <w:t>s</w:t>
      </w:r>
      <w:r w:rsidR="2CEE14AA" w:rsidRPr="00CF0C0E">
        <w:t xml:space="preserve">haring </w:t>
      </w:r>
      <w:r w:rsidR="00447833">
        <w:t>p</w:t>
      </w:r>
      <w:r w:rsidR="2CEE14AA" w:rsidRPr="00CF0C0E">
        <w:t>lans, environmental watering arrangements and Snowy Scheme operating frameworks provide the basis for implementing these adjustments without requiring new processes.</w:t>
      </w:r>
    </w:p>
    <w:p w14:paraId="1B3EE449" w14:textId="7FD371D9" w:rsidR="00BA38D3" w:rsidRPr="00BA38D3" w:rsidRDefault="00382EE8" w:rsidP="00BA38D3">
      <w:r>
        <w:rPr>
          <w:rFonts w:ascii="ZWAdobeF" w:hAnsi="ZWAdobeF" w:cs="ZWAdobeF"/>
          <w:sz w:val="2"/>
          <w:szCs w:val="2"/>
        </w:rPr>
        <w:t>1137B</w:t>
      </w:r>
      <w:r w:rsidR="00BA38D3" w:rsidRPr="00BA38D3">
        <w:t>Adaptive management also relies on consistent use of scenario-based modelling to test system performance under different hydrological and climate conditions and to inform decisions about release timing, volumes and trade-offs.</w:t>
      </w:r>
    </w:p>
    <w:p w14:paraId="0D37E25E" w14:textId="4407F1C9" w:rsidR="00BA38D3" w:rsidRPr="008013F1" w:rsidRDefault="00382EE8" w:rsidP="00BA38D3">
      <w:pPr>
        <w:rPr>
          <w:b/>
        </w:rPr>
      </w:pPr>
      <w:r>
        <w:rPr>
          <w:rFonts w:ascii="ZWAdobeF" w:hAnsi="ZWAdobeF" w:cs="ZWAdobeF"/>
          <w:sz w:val="2"/>
          <w:szCs w:val="2"/>
        </w:rPr>
        <w:t>1138B</w:t>
      </w:r>
      <w:r w:rsidR="00BA38D3" w:rsidRPr="00BA38D3">
        <w:t xml:space="preserve">Operationally, this requires closer coordination between environmental water managers, system operators and relevant agencies, supported by clear decision-making processes and oversight under the governance framework outlined in </w:t>
      </w:r>
      <w:r w:rsidR="00BA38D3" w:rsidRPr="008013F1">
        <w:rPr>
          <w:b/>
        </w:rPr>
        <w:t>Chapter 5</w:t>
      </w:r>
      <w:r w:rsidR="008013F1">
        <w:rPr>
          <w:b/>
          <w:bCs/>
        </w:rPr>
        <w:t>.</w:t>
      </w:r>
    </w:p>
    <w:p w14:paraId="6EB4E44B" w14:textId="49C9211B" w:rsidR="006E4767" w:rsidRPr="006E4767" w:rsidRDefault="00382EE8" w:rsidP="006E4767">
      <w:r>
        <w:rPr>
          <w:rFonts w:ascii="ZWAdobeF" w:hAnsi="ZWAdobeF" w:cs="ZWAdobeF"/>
          <w:sz w:val="2"/>
          <w:szCs w:val="2"/>
        </w:rPr>
        <w:t>1139B</w:t>
      </w:r>
      <w:r w:rsidR="006E4767" w:rsidRPr="006E4767">
        <w:t xml:space="preserve">The detailed design and implementation of adaptive management arrangements, including operational settings, performance measurement and decision-making processes are addressed in </w:t>
      </w:r>
      <w:r w:rsidR="006E4767" w:rsidRPr="00C865A5">
        <w:rPr>
          <w:b/>
        </w:rPr>
        <w:t>Chapters 4</w:t>
      </w:r>
      <w:r w:rsidR="006E4767" w:rsidRPr="006E4767">
        <w:t xml:space="preserve"> and </w:t>
      </w:r>
      <w:r w:rsidR="006E4767" w:rsidRPr="00C865A5">
        <w:rPr>
          <w:b/>
        </w:rPr>
        <w:t>5</w:t>
      </w:r>
      <w:r w:rsidR="006E4767" w:rsidRPr="006E4767">
        <w:t>.</w:t>
      </w:r>
    </w:p>
    <w:p w14:paraId="1D167FFA" w14:textId="2A6D9A67" w:rsidR="006E4767" w:rsidRPr="006E4767" w:rsidRDefault="00382EE8" w:rsidP="006E4767">
      <w:r>
        <w:rPr>
          <w:rFonts w:ascii="ZWAdobeF" w:hAnsi="ZWAdobeF" w:cs="ZWAdobeF"/>
          <w:sz w:val="2"/>
          <w:szCs w:val="2"/>
        </w:rPr>
        <w:t>1140B</w:t>
      </w:r>
      <w:r w:rsidR="006E4767" w:rsidRPr="00C865A5">
        <w:rPr>
          <w:b/>
        </w:rPr>
        <w:t>Chapter 4</w:t>
      </w:r>
      <w:r w:rsidR="006E4767" w:rsidRPr="006E4767">
        <w:t xml:space="preserve"> sets out the evidence base and modelling that underpin adaptive approaches to environmental water delivery, including the role of scenario analysis and system response under varying hydrological conditions.  </w:t>
      </w:r>
    </w:p>
    <w:p w14:paraId="2441B408" w14:textId="3512B9C5" w:rsidR="006E4767" w:rsidRPr="006E4767" w:rsidRDefault="00382EE8" w:rsidP="006E4767">
      <w:r>
        <w:rPr>
          <w:rFonts w:ascii="ZWAdobeF" w:hAnsi="ZWAdobeF" w:cs="ZWAdobeF"/>
          <w:sz w:val="2"/>
          <w:szCs w:val="2"/>
        </w:rPr>
        <w:t>1141B</w:t>
      </w:r>
      <w:r w:rsidR="006E4767" w:rsidRPr="00C865A5">
        <w:rPr>
          <w:b/>
        </w:rPr>
        <w:t>Chapter 5</w:t>
      </w:r>
      <w:r w:rsidR="006E4767" w:rsidRPr="006E4767">
        <w:t xml:space="preserve"> establishes the governance framework required to support adaptive management in practice, including structured decision-making, performance monitoring, and the explicit management of trade-offs between environmental, energy and other system objectives.</w:t>
      </w:r>
    </w:p>
    <w:p w14:paraId="45D1CE40" w14:textId="6A14A534" w:rsidR="006E4767" w:rsidRDefault="00382EE8" w:rsidP="006E4767">
      <w:r>
        <w:rPr>
          <w:rFonts w:ascii="ZWAdobeF" w:hAnsi="ZWAdobeF" w:cs="ZWAdobeF"/>
          <w:sz w:val="2"/>
          <w:szCs w:val="2"/>
        </w:rPr>
        <w:t>1142B</w:t>
      </w:r>
      <w:r w:rsidR="006E4767" w:rsidRPr="006E4767">
        <w:t>Within this context, adaptive management in the Snowy and Upper Murrumbidgee systems involves the ability to adjust the timing, volume and pattern of environmental water delivery in response to changing conditions, supported by clear operational triggers and coordination between environmental water managers and system operators.</w:t>
      </w:r>
    </w:p>
    <w:p w14:paraId="31AD9BAD" w14:textId="4B6B2FC6" w:rsidR="001834F7" w:rsidRPr="001834F7" w:rsidRDefault="00382EE8" w:rsidP="001834F7">
      <w:r>
        <w:rPr>
          <w:rFonts w:ascii="ZWAdobeF" w:hAnsi="ZWAdobeF" w:cs="ZWAdobeF"/>
          <w:sz w:val="2"/>
          <w:szCs w:val="2"/>
        </w:rPr>
        <w:t>1143B</w:t>
      </w:r>
      <w:r w:rsidR="001834F7" w:rsidRPr="001834F7">
        <w:t>In practice, this i</w:t>
      </w:r>
      <w:r w:rsidR="009B4085">
        <w:t>nvolves</w:t>
      </w:r>
      <w:r w:rsidR="001834F7" w:rsidRPr="001834F7">
        <w:t>:</w:t>
      </w:r>
    </w:p>
    <w:p w14:paraId="6C3A0786" w14:textId="04946173" w:rsidR="001834F7" w:rsidRPr="001834F7" w:rsidRDefault="00382EE8" w:rsidP="00115BD6">
      <w:pPr>
        <w:pStyle w:val="ListParagraph"/>
        <w:numPr>
          <w:ilvl w:val="0"/>
          <w:numId w:val="101"/>
        </w:numPr>
      </w:pPr>
      <w:r>
        <w:rPr>
          <w:rFonts w:ascii="ZWAdobeF" w:hAnsi="ZWAdobeF" w:cs="ZWAdobeF"/>
          <w:sz w:val="2"/>
          <w:szCs w:val="2"/>
        </w:rPr>
        <w:t>341B</w:t>
      </w:r>
      <w:r w:rsidR="001834F7" w:rsidRPr="001834F7">
        <w:t>adjusting environmental releases within and between years in response to inflow conditions and ecological need</w:t>
      </w:r>
      <w:r w:rsidR="001834F7">
        <w:t>s</w:t>
      </w:r>
    </w:p>
    <w:p w14:paraId="093F8B0E" w14:textId="5C8F67F7" w:rsidR="001834F7" w:rsidRPr="001834F7" w:rsidRDefault="00382EE8" w:rsidP="00115BD6">
      <w:pPr>
        <w:pStyle w:val="ListParagraph"/>
        <w:numPr>
          <w:ilvl w:val="0"/>
          <w:numId w:val="101"/>
        </w:numPr>
      </w:pPr>
      <w:r>
        <w:rPr>
          <w:rFonts w:ascii="ZWAdobeF" w:hAnsi="ZWAdobeF" w:cs="ZWAdobeF"/>
          <w:sz w:val="2"/>
          <w:szCs w:val="2"/>
        </w:rPr>
        <w:t>342B</w:t>
      </w:r>
      <w:r w:rsidR="001834F7" w:rsidRPr="001834F7">
        <w:t>aligning environmental objectives with Snowy Scheme operations</w:t>
      </w:r>
    </w:p>
    <w:p w14:paraId="04FCD197" w14:textId="7DAFCE6F" w:rsidR="001834F7" w:rsidRPr="001834F7" w:rsidRDefault="00382EE8" w:rsidP="00115BD6">
      <w:pPr>
        <w:pStyle w:val="ListParagraph"/>
        <w:numPr>
          <w:ilvl w:val="0"/>
          <w:numId w:val="101"/>
        </w:numPr>
      </w:pPr>
      <w:r>
        <w:rPr>
          <w:rFonts w:ascii="ZWAdobeF" w:hAnsi="ZWAdobeF" w:cs="ZWAdobeF"/>
          <w:sz w:val="2"/>
          <w:szCs w:val="2"/>
        </w:rPr>
        <w:lastRenderedPageBreak/>
        <w:t>343B</w:t>
      </w:r>
      <w:r w:rsidR="001834F7" w:rsidRPr="001834F7">
        <w:t>applying defined triggers and operational flexibility within agreed bounds</w:t>
      </w:r>
      <w:r w:rsidR="009B4085">
        <w:t>.</w:t>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0602DC" w14:paraId="312DD10D" w14:textId="77777777">
        <w:tc>
          <w:tcPr>
            <w:tcW w:w="9288" w:type="dxa"/>
            <w:shd w:val="clear" w:color="auto" w:fill="000099"/>
          </w:tcPr>
          <w:p w14:paraId="19B433A4" w14:textId="463BC2DF" w:rsidR="000602DC" w:rsidRPr="00A17844" w:rsidRDefault="00382EE8">
            <w:pPr>
              <w:pStyle w:val="RecsBox"/>
              <w:rPr>
                <w:b/>
                <w:bCs/>
              </w:rPr>
            </w:pPr>
            <w:r>
              <w:rPr>
                <w:rFonts w:ascii="ZWAdobeF" w:hAnsi="ZWAdobeF" w:cs="ZWAdobeF"/>
                <w:bCs/>
                <w:sz w:val="2"/>
                <w:szCs w:val="2"/>
              </w:rPr>
              <w:t>1609B</w:t>
            </w:r>
            <w:r w:rsidR="000602DC" w:rsidRPr="00A17844">
              <w:rPr>
                <w:b/>
                <w:bCs/>
              </w:rPr>
              <w:t>Recommendations</w:t>
            </w:r>
          </w:p>
        </w:tc>
      </w:tr>
      <w:tr w:rsidR="000602DC" w14:paraId="5682D0E3" w14:textId="77777777">
        <w:tc>
          <w:tcPr>
            <w:tcW w:w="9288" w:type="dxa"/>
          </w:tcPr>
          <w:p w14:paraId="0F883CD7" w14:textId="46084494" w:rsidR="008A7847" w:rsidRPr="008A7847" w:rsidRDefault="00382EE8" w:rsidP="008A7847">
            <w:pPr>
              <w:pStyle w:val="RecsBox"/>
              <w:rPr>
                <w:rFonts w:eastAsia="Aptos"/>
                <w:b/>
                <w:bCs/>
              </w:rPr>
            </w:pPr>
            <w:r>
              <w:rPr>
                <w:rFonts w:ascii="ZWAdobeF" w:eastAsia="Aptos" w:hAnsi="ZWAdobeF" w:cs="ZWAdobeF"/>
                <w:bCs/>
                <w:sz w:val="2"/>
                <w:szCs w:val="2"/>
              </w:rPr>
              <w:t>1610B</w:t>
            </w:r>
            <w:r w:rsidR="008A7847" w:rsidRPr="008A7847">
              <w:rPr>
                <w:rFonts w:eastAsia="Aptos"/>
                <w:b/>
                <w:bCs/>
              </w:rPr>
              <w:t xml:space="preserve">Recommendation 15 – ACT and NSW Regional Growth Strategy </w:t>
            </w:r>
          </w:p>
          <w:p w14:paraId="30C1B37B" w14:textId="109F302F" w:rsidR="008A7847" w:rsidRPr="00A64286" w:rsidRDefault="00382EE8" w:rsidP="008A7847">
            <w:pPr>
              <w:pStyle w:val="RecsBox"/>
              <w:rPr>
                <w:rFonts w:eastAsia="Aptos"/>
              </w:rPr>
            </w:pPr>
            <w:r>
              <w:rPr>
                <w:rFonts w:ascii="ZWAdobeF" w:eastAsia="Aptos" w:hAnsi="ZWAdobeF" w:cs="ZWAdobeF"/>
                <w:sz w:val="2"/>
                <w:szCs w:val="2"/>
              </w:rPr>
              <w:t>1611B</w:t>
            </w:r>
            <w:r w:rsidR="008A7847" w:rsidRPr="00A64286">
              <w:rPr>
                <w:rFonts w:eastAsia="Aptos"/>
              </w:rPr>
              <w:t xml:space="preserve">The ACT and NSW governments jointly </w:t>
            </w:r>
            <w:r w:rsidR="008A7847">
              <w:rPr>
                <w:rFonts w:eastAsia="Aptos"/>
              </w:rPr>
              <w:t xml:space="preserve">develop </w:t>
            </w:r>
            <w:r w:rsidR="008A7847" w:rsidRPr="00A64286">
              <w:rPr>
                <w:rFonts w:eastAsia="Aptos"/>
              </w:rPr>
              <w:t>a regional growth strategy to manage water resources in a way that meets Canberra and surrounding NSW region water needs including during dry and drought periods.</w:t>
            </w:r>
          </w:p>
          <w:p w14:paraId="6FFD5E43" w14:textId="4C130477" w:rsidR="008A7847" w:rsidRPr="00A64286" w:rsidRDefault="00382EE8" w:rsidP="008A7847">
            <w:pPr>
              <w:pStyle w:val="RecsBox"/>
              <w:rPr>
                <w:rFonts w:eastAsia="Aptos"/>
              </w:rPr>
            </w:pPr>
            <w:r>
              <w:rPr>
                <w:rFonts w:ascii="ZWAdobeF" w:eastAsia="Aptos" w:hAnsi="ZWAdobeF" w:cs="ZWAdobeF"/>
                <w:sz w:val="2"/>
                <w:szCs w:val="2"/>
              </w:rPr>
              <w:t>1612B</w:t>
            </w:r>
            <w:r w:rsidR="008A7847" w:rsidRPr="00A64286">
              <w:rPr>
                <w:rFonts w:eastAsia="Aptos"/>
              </w:rPr>
              <w:t>This strategy must:</w:t>
            </w:r>
          </w:p>
          <w:p w14:paraId="6616333D" w14:textId="16DA343F" w:rsidR="008A7847" w:rsidRPr="00A64286" w:rsidRDefault="00382EE8" w:rsidP="00B11C71">
            <w:pPr>
              <w:pStyle w:val="RecsBox"/>
              <w:numPr>
                <w:ilvl w:val="0"/>
                <w:numId w:val="152"/>
              </w:numPr>
              <w:rPr>
                <w:rFonts w:eastAsia="Aptos"/>
              </w:rPr>
            </w:pPr>
            <w:r>
              <w:rPr>
                <w:rFonts w:ascii="ZWAdobeF" w:eastAsia="Aptos" w:hAnsi="ZWAdobeF" w:cs="ZWAdobeF"/>
                <w:sz w:val="2"/>
                <w:szCs w:val="2"/>
              </w:rPr>
              <w:t>1613B</w:t>
            </w:r>
            <w:r w:rsidR="008A7847" w:rsidRPr="00A64286">
              <w:rPr>
                <w:rFonts w:eastAsia="Aptos"/>
              </w:rPr>
              <w:t>explicitly account for trade-offs between different water uses and be adaptive, enabling responses to changing climatic, environmental and operational conditions</w:t>
            </w:r>
          </w:p>
          <w:p w14:paraId="7CB89195" w14:textId="707014C8" w:rsidR="008A7847" w:rsidRPr="00A64286" w:rsidRDefault="00382EE8" w:rsidP="00B11C71">
            <w:pPr>
              <w:pStyle w:val="RecsBox"/>
              <w:numPr>
                <w:ilvl w:val="0"/>
                <w:numId w:val="152"/>
              </w:numPr>
              <w:rPr>
                <w:rFonts w:eastAsia="Aptos"/>
              </w:rPr>
            </w:pPr>
            <w:r>
              <w:rPr>
                <w:rFonts w:ascii="ZWAdobeF" w:eastAsia="Aptos" w:hAnsi="ZWAdobeF" w:cs="ZWAdobeF"/>
                <w:sz w:val="2"/>
                <w:szCs w:val="2"/>
              </w:rPr>
              <w:t>1614B</w:t>
            </w:r>
            <w:r w:rsidR="008A7847" w:rsidRPr="00A64286">
              <w:rPr>
                <w:rFonts w:eastAsia="Aptos"/>
              </w:rPr>
              <w:t>provide sufficient certainty for long-term planning outside of scheduled review points</w:t>
            </w:r>
          </w:p>
          <w:p w14:paraId="4FB60CF2" w14:textId="5390AE00" w:rsidR="008A7847" w:rsidRPr="00A64286" w:rsidRDefault="00382EE8" w:rsidP="00B11C71">
            <w:pPr>
              <w:pStyle w:val="RecsBox"/>
              <w:numPr>
                <w:ilvl w:val="0"/>
                <w:numId w:val="152"/>
              </w:numPr>
              <w:rPr>
                <w:rFonts w:eastAsia="Aptos"/>
              </w:rPr>
            </w:pPr>
            <w:r>
              <w:rPr>
                <w:rFonts w:ascii="ZWAdobeF" w:eastAsia="Aptos" w:hAnsi="ZWAdobeF" w:cs="ZWAdobeF"/>
                <w:sz w:val="2"/>
                <w:szCs w:val="2"/>
              </w:rPr>
              <w:t>1615B</w:t>
            </w:r>
            <w:r w:rsidR="008A7847" w:rsidRPr="6E62429A">
              <w:rPr>
                <w:rFonts w:eastAsia="Aptos"/>
              </w:rPr>
              <w:t xml:space="preserve">deliver on the environmentally sustainable level of take </w:t>
            </w:r>
          </w:p>
          <w:p w14:paraId="1683B9FD" w14:textId="3106239B" w:rsidR="000602DC" w:rsidRPr="00CE6979" w:rsidRDefault="00382EE8" w:rsidP="00B11C71">
            <w:pPr>
              <w:pStyle w:val="RecsBox"/>
              <w:numPr>
                <w:ilvl w:val="0"/>
                <w:numId w:val="152"/>
              </w:numPr>
            </w:pPr>
            <w:r>
              <w:rPr>
                <w:rFonts w:ascii="ZWAdobeF" w:eastAsia="Aptos" w:hAnsi="ZWAdobeF" w:cs="ZWAdobeF"/>
                <w:sz w:val="2"/>
                <w:szCs w:val="2"/>
              </w:rPr>
              <w:t>1616B</w:t>
            </w:r>
            <w:r w:rsidR="008A7847">
              <w:rPr>
                <w:rFonts w:eastAsia="Aptos"/>
              </w:rPr>
              <w:t>engage</w:t>
            </w:r>
            <w:r w:rsidR="008A7847" w:rsidRPr="6E62429A">
              <w:rPr>
                <w:rFonts w:eastAsia="Aptos"/>
              </w:rPr>
              <w:t xml:space="preserve"> the </w:t>
            </w:r>
            <w:r w:rsidR="008A7847">
              <w:rPr>
                <w:rFonts w:eastAsia="Aptos"/>
              </w:rPr>
              <w:t xml:space="preserve">NSW </w:t>
            </w:r>
            <w:r w:rsidR="008A7847" w:rsidRPr="6E62429A">
              <w:rPr>
                <w:rFonts w:eastAsia="Aptos"/>
              </w:rPr>
              <w:t xml:space="preserve">Cross Border Commissioner. </w:t>
            </w:r>
          </w:p>
        </w:tc>
      </w:tr>
    </w:tbl>
    <w:p w14:paraId="31F42EC9" w14:textId="77777777" w:rsidR="000602DC" w:rsidRPr="001834F7" w:rsidRDefault="000602DC" w:rsidP="000602DC"/>
    <w:p w14:paraId="141CA63B" w14:textId="3BE17E05" w:rsidR="00EF5FD7" w:rsidRDefault="00F61402" w:rsidP="00F61402">
      <w:pPr>
        <w:pStyle w:val="ReviewHeading2"/>
        <w:spacing w:before="0" w:after="0"/>
        <w:jc w:val="left"/>
      </w:pPr>
      <w:bookmarkStart w:id="99" w:name="_Toc233123431"/>
      <w:bookmarkStart w:id="100" w:name="_Toc233123432"/>
      <w:bookmarkStart w:id="101" w:name="_Toc233123433"/>
      <w:bookmarkStart w:id="102" w:name="_Toc233123434"/>
      <w:bookmarkStart w:id="103" w:name="_Toc233123435"/>
      <w:bookmarkStart w:id="104" w:name="_Toc233123436"/>
      <w:bookmarkStart w:id="105" w:name="_Toc233123437"/>
      <w:bookmarkStart w:id="106" w:name="_Toc233123438"/>
      <w:bookmarkStart w:id="107" w:name="_Toc233123439"/>
      <w:bookmarkStart w:id="108" w:name="_Toc233123440"/>
      <w:bookmarkStart w:id="109" w:name="_Toc233123441"/>
      <w:bookmarkStart w:id="110" w:name="_Toc233123442"/>
      <w:bookmarkStart w:id="111" w:name="_Toc233123443"/>
      <w:bookmarkStart w:id="112" w:name="_Toc233123444"/>
      <w:bookmarkStart w:id="113" w:name="_Toc233123445"/>
      <w:bookmarkStart w:id="114" w:name="_Toc233123446"/>
      <w:bookmarkStart w:id="115" w:name="_Toc233123447"/>
      <w:bookmarkStart w:id="116" w:name="_Toc233123448"/>
      <w:bookmarkStart w:id="117" w:name="_Toc233123449"/>
      <w:bookmarkStart w:id="118" w:name="_Toc233123450"/>
      <w:bookmarkStart w:id="119" w:name="_Toc233123451"/>
      <w:bookmarkStart w:id="120" w:name="_Toc233123452"/>
      <w:bookmarkStart w:id="121" w:name="_Toc233123453"/>
      <w:bookmarkStart w:id="122" w:name="_Toc233123454"/>
      <w:bookmarkStart w:id="123" w:name="_Toc233123455"/>
      <w:bookmarkStart w:id="124" w:name="_Toc233285615"/>
      <w:bookmarkStart w:id="125" w:name="_Toc233801494"/>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 xml:space="preserve">6.4 </w:t>
      </w:r>
      <w:r w:rsidR="61CF1789">
        <w:t>Linkages to operations in the National Electricity Market</w:t>
      </w:r>
      <w:bookmarkEnd w:id="124"/>
      <w:bookmarkEnd w:id="125"/>
    </w:p>
    <w:p w14:paraId="5F285742" w14:textId="27A64732" w:rsidR="00EF5FD7" w:rsidRDefault="00382EE8" w:rsidP="00EF5FD7">
      <w:r>
        <w:rPr>
          <w:rFonts w:ascii="ZWAdobeF" w:hAnsi="ZWAdobeF" w:cs="ZWAdobeF"/>
          <w:sz w:val="2"/>
          <w:szCs w:val="2"/>
        </w:rPr>
        <w:t>1144B</w:t>
      </w:r>
      <w:r w:rsidR="3D0E1D07">
        <w:t>Snowy Hydro is an active participant in the NEM and subject to the National Electric</w:t>
      </w:r>
      <w:r w:rsidR="7E20F7DA">
        <w:t>i</w:t>
      </w:r>
      <w:r w:rsidR="3D0E1D07">
        <w:t>ty Ru</w:t>
      </w:r>
      <w:r w:rsidR="1BD1F62B">
        <w:t xml:space="preserve">les </w:t>
      </w:r>
      <w:r w:rsidR="2A6CDE63">
        <w:t xml:space="preserve">with regulatory oversight by the Australian Energy Regulator </w:t>
      </w:r>
      <w:r w:rsidR="067B51AE">
        <w:t xml:space="preserve">(AER) </w:t>
      </w:r>
      <w:r w:rsidR="2A6CDE63">
        <w:t>and operated by the A</w:t>
      </w:r>
      <w:r w:rsidR="347EFD68">
        <w:t>ustralian Energy Market Operator (AEMO)</w:t>
      </w:r>
      <w:r w:rsidR="6D501C71">
        <w:t>.  It also participates in financial markets associated with the NEM and subject to general</w:t>
      </w:r>
      <w:r w:rsidR="727E43B2">
        <w:t xml:space="preserve"> competition regulation by the ACCC. It is important that the</w:t>
      </w:r>
      <w:r w:rsidR="0D59225A">
        <w:t xml:space="preserve"> linkages to these markets and the need for Snowy Hydro to comply are taken into account </w:t>
      </w:r>
      <w:r w:rsidR="6B5DD6E8">
        <w:t xml:space="preserve">in the </w:t>
      </w:r>
      <w:r w:rsidR="727E43B2">
        <w:t xml:space="preserve">development of detailed </w:t>
      </w:r>
      <w:r w:rsidR="20B96985">
        <w:t xml:space="preserve">operational processes.  </w:t>
      </w:r>
    </w:p>
    <w:p w14:paraId="71D014DA" w14:textId="32635450" w:rsidR="00EF5FD7" w:rsidRDefault="00382EE8" w:rsidP="00EF5FD7">
      <w:r>
        <w:rPr>
          <w:rFonts w:ascii="ZWAdobeF" w:hAnsi="ZWAdobeF" w:cs="ZWAdobeF"/>
          <w:sz w:val="2"/>
          <w:szCs w:val="2"/>
        </w:rPr>
        <w:t>1145B</w:t>
      </w:r>
      <w:r w:rsidR="20B96985">
        <w:t>AEMO operates forward planning systems including the medium</w:t>
      </w:r>
      <w:r w:rsidR="002F146C">
        <w:t>-</w:t>
      </w:r>
      <w:r w:rsidR="20B96985">
        <w:t xml:space="preserve">term </w:t>
      </w:r>
      <w:r w:rsidR="4701483B">
        <w:t xml:space="preserve">‘projected </w:t>
      </w:r>
      <w:r w:rsidR="20B96985">
        <w:t>assessment of system adequacy</w:t>
      </w:r>
      <w:r w:rsidR="4282DBE0">
        <w:t>’</w:t>
      </w:r>
      <w:r w:rsidR="20B96985">
        <w:t xml:space="preserve"> </w:t>
      </w:r>
      <w:r w:rsidR="16F6BF11">
        <w:t xml:space="preserve">which </w:t>
      </w:r>
      <w:r w:rsidR="20B96985">
        <w:t>cov</w:t>
      </w:r>
      <w:r w:rsidR="529B1A77">
        <w:t>er</w:t>
      </w:r>
      <w:r w:rsidR="54DDCBC3">
        <w:t xml:space="preserve">s the next </w:t>
      </w:r>
      <w:r w:rsidR="002F146C">
        <w:t>two</w:t>
      </w:r>
      <w:r w:rsidR="529B1A77">
        <w:t xml:space="preserve"> years</w:t>
      </w:r>
      <w:r w:rsidR="7BCF8C05">
        <w:t xml:space="preserve"> and is important in informing market participants of expected market conditions over that period and in </w:t>
      </w:r>
      <w:r w:rsidR="3BDA9C85">
        <w:t>forecasting reliability.</w:t>
      </w:r>
      <w:r w:rsidR="727E43B2">
        <w:t xml:space="preserve"> </w:t>
      </w:r>
      <w:r w:rsidR="09BA0900">
        <w:t>AEMO also undertakes a short</w:t>
      </w:r>
      <w:r w:rsidR="002F146C">
        <w:t>-</w:t>
      </w:r>
      <w:r w:rsidR="09BA0900">
        <w:t xml:space="preserve">term </w:t>
      </w:r>
      <w:r w:rsidR="034B48F1">
        <w:t>‘</w:t>
      </w:r>
      <w:r w:rsidR="3E83A026">
        <w:t xml:space="preserve">projected </w:t>
      </w:r>
      <w:r w:rsidR="0BDF5F6B">
        <w:t>a</w:t>
      </w:r>
      <w:r w:rsidR="09BA0900">
        <w:t xml:space="preserve">ssessment of </w:t>
      </w:r>
      <w:r w:rsidR="6FD6BD74">
        <w:t>s</w:t>
      </w:r>
      <w:r w:rsidR="09BA0900">
        <w:t>yst</w:t>
      </w:r>
      <w:r w:rsidR="155FD56B">
        <w:t>em adequacy</w:t>
      </w:r>
      <w:r w:rsidR="323B73E9">
        <w:t>’</w:t>
      </w:r>
      <w:r w:rsidR="09BA0900">
        <w:t xml:space="preserve"> </w:t>
      </w:r>
      <w:r w:rsidR="7775FD4D">
        <w:t>providing more detailed and updated information for the next two weeks and a pre-dispatch system projecting market conditi</w:t>
      </w:r>
      <w:r w:rsidR="13ED97DA">
        <w:t>o</w:t>
      </w:r>
      <w:r w:rsidR="7775FD4D">
        <w:t>ns and</w:t>
      </w:r>
      <w:r w:rsidR="1DCACDDF">
        <w:t xml:space="preserve"> prices over the next 24 hours.</w:t>
      </w:r>
      <w:r w:rsidR="1F050E8B">
        <w:t xml:space="preserve"> The proposed operating processes introduce more flexibility into Snowy Hydro’s operations</w:t>
      </w:r>
      <w:r w:rsidR="3B00818B">
        <w:t xml:space="preserve"> and potentially add to the </w:t>
      </w:r>
      <w:r w:rsidR="7156C9ED">
        <w:t xml:space="preserve">issues they </w:t>
      </w:r>
      <w:r w:rsidR="3B00818B">
        <w:t xml:space="preserve">need </w:t>
      </w:r>
      <w:r w:rsidR="7B27FC93">
        <w:t>to take into account when providing information to these processes.  The annual water plan will be a part of this and may need updat</w:t>
      </w:r>
      <w:r w:rsidR="421DCD56">
        <w:t>ing occasionally during the year.</w:t>
      </w:r>
      <w:r w:rsidR="3B00818B">
        <w:t xml:space="preserve"> </w:t>
      </w:r>
    </w:p>
    <w:p w14:paraId="7CB23866" w14:textId="359BBB0B" w:rsidR="69AF3736" w:rsidRDefault="00382EE8">
      <w:r>
        <w:rPr>
          <w:rFonts w:ascii="ZWAdobeF" w:hAnsi="ZWAdobeF" w:cs="ZWAdobeF"/>
          <w:sz w:val="2"/>
          <w:szCs w:val="2"/>
        </w:rPr>
        <w:t>1146B</w:t>
      </w:r>
      <w:r w:rsidR="69AF3736">
        <w:t>In operating the market AEMO will iden</w:t>
      </w:r>
      <w:r w:rsidR="5A7566DD">
        <w:t>tify issues from time to time and issue market notices</w:t>
      </w:r>
      <w:r w:rsidR="100329AC">
        <w:t>, notify lack of reserve levels</w:t>
      </w:r>
      <w:r w:rsidR="5A7566DD">
        <w:t xml:space="preserve"> and </w:t>
      </w:r>
      <w:r w:rsidR="624B86EC">
        <w:t xml:space="preserve">identify periods of supply scarcity.  AEMO can take action to intervene in the market when </w:t>
      </w:r>
      <w:r w:rsidR="002712D3">
        <w:t>necessary, including</w:t>
      </w:r>
      <w:r w:rsidR="624B86EC">
        <w:t xml:space="preserve"> through directions to participants. The </w:t>
      </w:r>
      <w:r w:rsidR="65CF98E8">
        <w:t xml:space="preserve">operating arrangements should </w:t>
      </w:r>
      <w:r w:rsidR="1967CEC4">
        <w:t>accommodate</w:t>
      </w:r>
      <w:r w:rsidR="65CF98E8">
        <w:t xml:space="preserve"> those NEM provisions.</w:t>
      </w:r>
    </w:p>
    <w:p w14:paraId="06412CDC" w14:textId="66B7D60E" w:rsidR="65CF98E8" w:rsidRDefault="00382EE8">
      <w:r>
        <w:rPr>
          <w:rFonts w:ascii="ZWAdobeF" w:hAnsi="ZWAdobeF" w:cs="ZWAdobeF"/>
          <w:sz w:val="2"/>
          <w:szCs w:val="2"/>
        </w:rPr>
        <w:t>1147B</w:t>
      </w:r>
      <w:r w:rsidR="65CF98E8">
        <w:t xml:space="preserve">The availability of the rich information and forward planning in the NEM </w:t>
      </w:r>
      <w:r w:rsidR="3806001F">
        <w:t xml:space="preserve">will be very useful in determining whether an </w:t>
      </w:r>
      <w:r w:rsidR="618FB444">
        <w:t>environmental</w:t>
      </w:r>
      <w:r w:rsidR="3806001F">
        <w:t xml:space="preserve"> water release </w:t>
      </w:r>
      <w:r w:rsidR="002712D3">
        <w:t>may be</w:t>
      </w:r>
      <w:r w:rsidR="69BC3B78">
        <w:t xml:space="preserve"> </w:t>
      </w:r>
      <w:r w:rsidR="370CBF97">
        <w:t>deferred</w:t>
      </w:r>
      <w:r w:rsidR="69BC3B78">
        <w:t xml:space="preserve"> </w:t>
      </w:r>
      <w:r w:rsidR="681AC998">
        <w:t>or not.</w:t>
      </w:r>
    </w:p>
    <w:p w14:paraId="65FEFE6A" w14:textId="5980D5AA" w:rsidR="005B03EA" w:rsidRDefault="0024717F" w:rsidP="00F246A4">
      <w:pPr>
        <w:pStyle w:val="ReviewHeading2"/>
        <w:spacing w:before="0" w:after="0"/>
        <w:jc w:val="left"/>
      </w:pPr>
      <w:bookmarkStart w:id="126" w:name="_Toc233285616"/>
      <w:bookmarkStart w:id="127" w:name="_Toc233801495"/>
      <w:r>
        <w:lastRenderedPageBreak/>
        <w:t xml:space="preserve">6.5 </w:t>
      </w:r>
      <w:r w:rsidR="00BE1595">
        <w:t xml:space="preserve">Catchment </w:t>
      </w:r>
      <w:r w:rsidR="00342789">
        <w:t>health and complementary water-land management</w:t>
      </w:r>
      <w:bookmarkEnd w:id="126"/>
      <w:bookmarkEnd w:id="127"/>
    </w:p>
    <w:p w14:paraId="4B72A79E" w14:textId="0BAF7F6B" w:rsidR="003B3AF0" w:rsidRDefault="00382EE8" w:rsidP="003B3AF0">
      <w:r>
        <w:rPr>
          <w:rFonts w:ascii="ZWAdobeF" w:hAnsi="ZWAdobeF" w:cs="ZWAdobeF"/>
          <w:sz w:val="2"/>
          <w:szCs w:val="2"/>
        </w:rPr>
        <w:t>1148B</w:t>
      </w:r>
      <w:r w:rsidR="003B3AF0">
        <w:t xml:space="preserve">Catchment condition is a critical determinant of river health outcomes in both the Upper Murrumbidgee and Snowy systems. Large parts of these catchments are in degraded condition, including sediment accumulation, bank instability, loss of riparian vegetation and habitat </w:t>
      </w:r>
      <w:r w:rsidR="009566FF">
        <w:t>degradation</w:t>
      </w:r>
      <w:r w:rsidR="003B3AF0">
        <w:t>, which limit the effectiveness of environmental water delivery.</w:t>
      </w:r>
    </w:p>
    <w:p w14:paraId="08952AF9" w14:textId="54563EAE" w:rsidR="003B3AF0" w:rsidRDefault="00382EE8" w:rsidP="003B3AF0">
      <w:r>
        <w:rPr>
          <w:rFonts w:ascii="ZWAdobeF" w:hAnsi="ZWAdobeF" w:cs="ZWAdobeF"/>
          <w:sz w:val="2"/>
          <w:szCs w:val="2"/>
        </w:rPr>
        <w:t>1149B</w:t>
      </w:r>
      <w:r w:rsidR="003B3AF0">
        <w:t xml:space="preserve">Improving environmental outcomes therefore depends not only on increasing flows but on complementary catchment-scale actions. As outlined in </w:t>
      </w:r>
      <w:r w:rsidR="003B3AF0" w:rsidRPr="00237A5B">
        <w:rPr>
          <w:b/>
        </w:rPr>
        <w:t>Chapter 4</w:t>
      </w:r>
      <w:r w:rsidR="003B3AF0">
        <w:t xml:space="preserve"> environmental water alone cannot restore ecological function where underlying catchment processes remain degraded. Targeted on-ground interventions, including riparian restoration, erosion control and habitat improvement are required to enable environmental water to achieve intended outcomes.</w:t>
      </w:r>
    </w:p>
    <w:p w14:paraId="5D9E4C60" w14:textId="2825FC8C" w:rsidR="003B3AF0" w:rsidRDefault="00382EE8" w:rsidP="003B3AF0">
      <w:r>
        <w:rPr>
          <w:rFonts w:ascii="ZWAdobeF" w:hAnsi="ZWAdobeF" w:cs="ZWAdobeF"/>
          <w:sz w:val="2"/>
          <w:szCs w:val="2"/>
        </w:rPr>
        <w:t>1150B</w:t>
      </w:r>
      <w:r w:rsidR="003B3AF0">
        <w:t>A range of programs already contribute to catchment management across jurisdictions, including activities delivered by ACT and NSW agencies, Local Land Services, Catchment Management Authorities and community-based organisations. These initiatives demonstrate capability and local knowledge but are not consistently aligned with environmental water delivery or system-wide priorities.</w:t>
      </w:r>
    </w:p>
    <w:p w14:paraId="58E3E505" w14:textId="0893C62A" w:rsidR="00936AF6" w:rsidRDefault="00382EE8" w:rsidP="009F60C9">
      <w:pPr>
        <w:rPr>
          <w:rFonts w:eastAsia="Segoe UI" w:cs="Calibri"/>
        </w:rPr>
      </w:pPr>
      <w:r>
        <w:rPr>
          <w:rFonts w:ascii="ZWAdobeF" w:hAnsi="ZWAdobeF" w:cs="ZWAdobeF"/>
          <w:sz w:val="2"/>
          <w:szCs w:val="2"/>
        </w:rPr>
        <w:t>1151B</w:t>
      </w:r>
      <w:r w:rsidR="003B3AF0">
        <w:t xml:space="preserve">A more coordinated and sustained approach is required to align environmental water delivery with catchment management actions. This includes strengthening cross-jurisdictional coordination, </w:t>
      </w:r>
      <w:r w:rsidR="00C56DCD" w:rsidRPr="00C56DCD">
        <w:t>improving coordination, aligning investment</w:t>
      </w:r>
      <w:r w:rsidR="003B3AF0">
        <w:t xml:space="preserve"> and supporting First Nations and community stewardship. The recommendations in this report provide a framework for better integrating these elements into a coherent, whole-of-system approach.</w:t>
      </w:r>
    </w:p>
    <w:p w14:paraId="3E9D59CC" w14:textId="3BCC1528" w:rsidR="001F5160" w:rsidRDefault="005814E0" w:rsidP="008E336F">
      <w:pPr>
        <w:pStyle w:val="ReviewHeading3"/>
      </w:pPr>
      <w:r>
        <w:t xml:space="preserve">Current </w:t>
      </w:r>
      <w:r w:rsidR="00373A6A">
        <w:t>catchment management arrangements</w:t>
      </w:r>
    </w:p>
    <w:p w14:paraId="400267CF" w14:textId="7D7AC82F" w:rsidR="00373A6A" w:rsidRDefault="00373A6A" w:rsidP="00373A6A">
      <w:pPr>
        <w:pStyle w:val="Sub-Heading"/>
        <w:rPr>
          <w:rFonts w:eastAsia="Segoe UI"/>
        </w:rPr>
      </w:pPr>
      <w:r>
        <w:rPr>
          <w:rFonts w:eastAsia="Segoe UI"/>
        </w:rPr>
        <w:t>Upper Murrumbidgee</w:t>
      </w:r>
    </w:p>
    <w:p w14:paraId="41D2344A" w14:textId="0AA21F34" w:rsidR="00121907" w:rsidRPr="00887735" w:rsidRDefault="00382EE8" w:rsidP="00121907">
      <w:r>
        <w:rPr>
          <w:rFonts w:ascii="ZWAdobeF" w:hAnsi="ZWAdobeF" w:cs="ZWAdobeF"/>
          <w:sz w:val="2"/>
          <w:szCs w:val="2"/>
        </w:rPr>
        <w:t>1152B</w:t>
      </w:r>
      <w:r w:rsidR="00121907" w:rsidRPr="00887735">
        <w:t xml:space="preserve">Catchment and river restoration initiatives in the Upper Murrumbidgee are </w:t>
      </w:r>
      <w:r w:rsidR="7A033E4A">
        <w:t xml:space="preserve">being </w:t>
      </w:r>
      <w:r w:rsidR="00121907" w:rsidRPr="00887735">
        <w:t>delivered by a range of agencies and organisations across the ACT and NSW, reflecting the cross-jurisdictional nature of the system. These activities involve collaboration between governments, community groups, research organisations and landholders.</w:t>
      </w:r>
    </w:p>
    <w:p w14:paraId="382CCC2E" w14:textId="3A02AEC7" w:rsidR="00121907" w:rsidRPr="00887735" w:rsidRDefault="00382EE8" w:rsidP="00121907">
      <w:r>
        <w:rPr>
          <w:rFonts w:ascii="ZWAdobeF" w:hAnsi="ZWAdobeF" w:cs="ZWAdobeF"/>
          <w:sz w:val="2"/>
          <w:szCs w:val="2"/>
        </w:rPr>
        <w:t>1153B</w:t>
      </w:r>
      <w:r w:rsidR="08298BCD">
        <w:t>The ACT Environment, Planning and Sustainable Development Directorate plays a central coordination role through the ACT and Region Catchment Management Coordination Group.</w:t>
      </w:r>
      <w:r w:rsidR="000471FB">
        <w:t xml:space="preserve"> </w:t>
      </w:r>
      <w:r w:rsidR="08298BCD">
        <w:t xml:space="preserve">This group supports alignment of catchment activities across jurisdictions and stakeholders and has developed the </w:t>
      </w:r>
      <w:hyperlink r:id="rId72" w:history="1">
        <w:r w:rsidR="08298BCD" w:rsidRPr="6332CC80">
          <w:rPr>
            <w:rStyle w:val="Hyperlink"/>
            <w:rFonts w:cs="Calibri"/>
          </w:rPr>
          <w:t>ACT and Regional Catchment Strategy 2016-2046,</w:t>
        </w:r>
      </w:hyperlink>
      <w:r w:rsidR="08298BCD">
        <w:t xml:space="preserve"> with annual reporting on progress.</w:t>
      </w:r>
      <w:r>
        <w:rPr>
          <w:rFonts w:ascii="ZWAdobeF" w:hAnsi="ZWAdobeF" w:cs="ZWAdobeF"/>
          <w:sz w:val="2"/>
          <w:szCs w:val="2"/>
        </w:rPr>
        <w:t>76F</w:t>
      </w:r>
      <w:r w:rsidR="00121907" w:rsidRPr="00887735">
        <w:rPr>
          <w:rStyle w:val="FootnoteReference"/>
          <w:rFonts w:cs="Calibri"/>
          <w:szCs w:val="22"/>
        </w:rPr>
        <w:footnoteReference w:id="77"/>
      </w:r>
      <w:r w:rsidR="08298BCD">
        <w:t xml:space="preserve"> In NSW, Local Land Services contributes </w:t>
      </w:r>
      <w:r w:rsidR="00440C0A">
        <w:t>through</w:t>
      </w:r>
      <w:r w:rsidR="08298BCD">
        <w:t xml:space="preserve"> on-ground restoration activities and landholder support.</w:t>
      </w:r>
    </w:p>
    <w:p w14:paraId="29A1DDA0" w14:textId="05DF9675" w:rsidR="00121907" w:rsidRPr="00887735" w:rsidRDefault="00382EE8" w:rsidP="00121907">
      <w:r>
        <w:rPr>
          <w:rFonts w:ascii="ZWAdobeF" w:hAnsi="ZWAdobeF" w:cs="ZWAdobeF"/>
          <w:sz w:val="2"/>
          <w:szCs w:val="2"/>
        </w:rPr>
        <w:t>1154B</w:t>
      </w:r>
      <w:r w:rsidR="00121907" w:rsidRPr="00887735">
        <w:t xml:space="preserve">Non-government organisations also play a significant role. Initiatives such as the </w:t>
      </w:r>
      <w:hyperlink r:id="rId73" w:history="1">
        <w:r w:rsidR="00121907" w:rsidRPr="1E751BE8">
          <w:rPr>
            <w:rStyle w:val="Hyperlink"/>
            <w:rFonts w:cs="Calibri"/>
          </w:rPr>
          <w:t>Upper Murrumbidgee Demonstration Reach</w:t>
        </w:r>
      </w:hyperlink>
      <w:r w:rsidR="00121907" w:rsidRPr="00887735">
        <w:t xml:space="preserve"> and programs delivered by the </w:t>
      </w:r>
      <w:hyperlink r:id="rId74" w:history="1">
        <w:r w:rsidR="00121907" w:rsidRPr="1E751BE8">
          <w:rPr>
            <w:rStyle w:val="Hyperlink"/>
            <w:rFonts w:cs="Calibri"/>
          </w:rPr>
          <w:t>Australian River Restoration Centre</w:t>
        </w:r>
      </w:hyperlink>
      <w:r w:rsidR="00121907" w:rsidRPr="00887735">
        <w:t xml:space="preserve"> </w:t>
      </w:r>
      <w:r w:rsidR="00440C0A">
        <w:t>demonstrate</w:t>
      </w:r>
      <w:r w:rsidR="00121907" w:rsidRPr="00887735">
        <w:t xml:space="preserve"> collaborative, place-based approaches to river restoration.</w:t>
      </w:r>
    </w:p>
    <w:p w14:paraId="41BFFF98" w14:textId="4040829D" w:rsidR="00121907" w:rsidRPr="00887735" w:rsidRDefault="00382EE8" w:rsidP="00121907">
      <w:r>
        <w:rPr>
          <w:rFonts w:ascii="ZWAdobeF" w:hAnsi="ZWAdobeF" w:cs="ZWAdobeF"/>
          <w:sz w:val="2"/>
          <w:szCs w:val="2"/>
        </w:rPr>
        <w:lastRenderedPageBreak/>
        <w:t>1155B</w:t>
      </w:r>
      <w:r w:rsidR="00440C0A" w:rsidRPr="00440C0A">
        <w:t>These programs demonstrate strong capability and local knowledge, but greater alignment, longer-term investment and improved coordination are needed to support catchment-scale outcomes.</w:t>
      </w:r>
      <w:r w:rsidR="00440C0A">
        <w:t xml:space="preserve"> </w:t>
      </w:r>
      <w:r w:rsidR="00121907" w:rsidRPr="00887735">
        <w:t xml:space="preserve">Existing programs demonstrate substantial capability, goodwill and local knowledge </w:t>
      </w:r>
      <w:r w:rsidR="00825BD6">
        <w:t>but</w:t>
      </w:r>
      <w:r w:rsidR="00121907" w:rsidRPr="00887735">
        <w:t xml:space="preserve"> sustained investment and stronger collaboration mechanisms are required to enable these efforts to be scaled and delivered more effectively.</w:t>
      </w:r>
    </w:p>
    <w:p w14:paraId="7DBD3418" w14:textId="195A822C" w:rsidR="00121907" w:rsidRPr="00887735" w:rsidRDefault="00382EE8" w:rsidP="00121907">
      <w:r>
        <w:rPr>
          <w:rFonts w:ascii="ZWAdobeF" w:hAnsi="ZWAdobeF" w:cs="ZWAdobeF"/>
          <w:sz w:val="2"/>
          <w:szCs w:val="2"/>
        </w:rPr>
        <w:t>1156B</w:t>
      </w:r>
      <w:r w:rsidR="00121907">
        <w:t xml:space="preserve">The </w:t>
      </w:r>
      <w:r w:rsidR="72277DC3">
        <w:t>Australian Government</w:t>
      </w:r>
      <w:r w:rsidR="00121907">
        <w:t xml:space="preserve"> funded </w:t>
      </w:r>
      <w:hyperlink r:id="rId75">
        <w:r w:rsidR="00121907" w:rsidRPr="009B4085">
          <w:rPr>
            <w:rStyle w:val="Hyperlink"/>
            <w:rFonts w:cs="Calibri"/>
          </w:rPr>
          <w:t>Restoring the</w:t>
        </w:r>
        <w:r w:rsidR="00DC5375">
          <w:rPr>
            <w:rStyle w:val="Hyperlink"/>
            <w:rFonts w:cs="Calibri"/>
          </w:rPr>
          <w:t xml:space="preserve"> </w:t>
        </w:r>
        <w:r w:rsidR="00121907" w:rsidRPr="009B4085">
          <w:rPr>
            <w:rStyle w:val="Hyperlink"/>
            <w:rFonts w:cs="Calibri"/>
          </w:rPr>
          <w:t>Upper Murrumbidgee River Program</w:t>
        </w:r>
      </w:hyperlink>
      <w:r w:rsidR="00121907" w:rsidRPr="009B4085">
        <w:t xml:space="preserve"> </w:t>
      </w:r>
      <w:r w:rsidR="46B44D16">
        <w:t>support</w:t>
      </w:r>
      <w:r w:rsidR="499CE6C8">
        <w:t>s</w:t>
      </w:r>
      <w:r w:rsidR="00121907">
        <w:t xml:space="preserve"> on-ground restoration, science, monitoring and community engagement across NSW and the ACT</w:t>
      </w:r>
      <w:r w:rsidR="04235528">
        <w:t xml:space="preserve">. </w:t>
      </w:r>
      <w:r w:rsidR="2BA47229">
        <w:t>W</w:t>
      </w:r>
      <w:r w:rsidR="00127EC0">
        <w:t>ith</w:t>
      </w:r>
      <w:r w:rsidR="71C80856">
        <w:t xml:space="preserve"> funding through to June 2029</w:t>
      </w:r>
      <w:r w:rsidR="09C698A7">
        <w:t xml:space="preserve"> this program provides a foundation for future investment. </w:t>
      </w:r>
      <w:r w:rsidR="71C80856">
        <w:t xml:space="preserve"> </w:t>
      </w:r>
      <w:r w:rsidR="00121907">
        <w:t xml:space="preserve"> </w:t>
      </w:r>
    </w:p>
    <w:p w14:paraId="5E8480AA" w14:textId="59186EAB" w:rsidR="00121907" w:rsidRDefault="00382EE8" w:rsidP="00121907">
      <w:r>
        <w:rPr>
          <w:rFonts w:ascii="ZWAdobeF" w:hAnsi="ZWAdobeF" w:cs="ZWAdobeF"/>
          <w:sz w:val="2"/>
          <w:szCs w:val="2"/>
        </w:rPr>
        <w:t>1157B</w:t>
      </w:r>
      <w:r w:rsidR="00121907">
        <w:t xml:space="preserve">Further information on Upper Murrumbidgee catchment activities is available in the </w:t>
      </w:r>
      <w:r w:rsidR="51B572CD">
        <w:t>Australian Government</w:t>
      </w:r>
      <w:r w:rsidR="1B124791">
        <w:t xml:space="preserve"> document</w:t>
      </w:r>
      <w:r w:rsidR="00121907">
        <w:t xml:space="preserve"> </w:t>
      </w:r>
      <w:hyperlink r:id="rId76">
        <w:r w:rsidR="00121907" w:rsidRPr="6332CC80">
          <w:rPr>
            <w:rStyle w:val="Hyperlink"/>
            <w:rFonts w:cs="Calibri"/>
          </w:rPr>
          <w:t>DCCEEW’s Improving the health of the Upper Murrumbidgee: Context and Background</w:t>
        </w:r>
      </w:hyperlink>
      <w:r w:rsidR="00121907">
        <w:t>.</w:t>
      </w:r>
    </w:p>
    <w:p w14:paraId="5B8FA540" w14:textId="388A779D" w:rsidR="00121907" w:rsidRDefault="00121907" w:rsidP="00121907">
      <w:pPr>
        <w:pStyle w:val="Sub-Heading"/>
      </w:pPr>
      <w:r>
        <w:t>Snowy River</w:t>
      </w:r>
    </w:p>
    <w:p w14:paraId="30A698AC" w14:textId="448FBB7C" w:rsidR="008F6DD4" w:rsidRPr="00887735" w:rsidRDefault="00382EE8" w:rsidP="009B4085">
      <w:r>
        <w:rPr>
          <w:rFonts w:ascii="ZWAdobeF" w:hAnsi="ZWAdobeF" w:cs="ZWAdobeF"/>
          <w:sz w:val="2"/>
          <w:szCs w:val="2"/>
        </w:rPr>
        <w:t>1158B</w:t>
      </w:r>
      <w:r w:rsidR="008F6DD4">
        <w:t xml:space="preserve">Catchment management in the Snowy River is delivered across jurisdictions. In Victoria management is delivered primarily through the </w:t>
      </w:r>
      <w:hyperlink r:id="rId77">
        <w:r w:rsidR="008F6DD4" w:rsidRPr="6332CC80">
          <w:rPr>
            <w:rStyle w:val="Hyperlink"/>
            <w:rFonts w:eastAsia="Calibri" w:cs="Calibri"/>
          </w:rPr>
          <w:t>East Gippsland Catchment Management Authority (CMA).</w:t>
        </w:r>
      </w:hyperlink>
      <w:r w:rsidR="008F6DD4">
        <w:t xml:space="preserve"> East Gippsland CMA is established under the </w:t>
      </w:r>
      <w:r w:rsidR="008F6DD4" w:rsidRPr="6332CC80">
        <w:rPr>
          <w:i/>
          <w:iCs/>
        </w:rPr>
        <w:t>Catchment and Land Protection Act 1994</w:t>
      </w:r>
      <w:r w:rsidR="008F6DD4">
        <w:t xml:space="preserve"> and </w:t>
      </w:r>
      <w:r w:rsidR="008F6DD4" w:rsidRPr="6332CC80">
        <w:rPr>
          <w:i/>
          <w:iCs/>
        </w:rPr>
        <w:t>Water Act 1989</w:t>
      </w:r>
      <w:r w:rsidR="008F6DD4">
        <w:t>. The CMA coordinates planning, investment and on-ground delivery of integrated land, water and biodiversity management.</w:t>
      </w:r>
    </w:p>
    <w:p w14:paraId="49FB5B73" w14:textId="7F4CE8E6" w:rsidR="008F6DD4" w:rsidRPr="00887735" w:rsidRDefault="00382EE8" w:rsidP="009B4085">
      <w:r>
        <w:rPr>
          <w:rFonts w:ascii="ZWAdobeF" w:hAnsi="ZWAdobeF" w:cs="ZWAdobeF"/>
          <w:sz w:val="2"/>
          <w:szCs w:val="2"/>
        </w:rPr>
        <w:t>1159B</w:t>
      </w:r>
      <w:r w:rsidR="008F6DD4">
        <w:t xml:space="preserve">In </w:t>
      </w:r>
      <w:r w:rsidR="5C9878F7">
        <w:t>NSW</w:t>
      </w:r>
      <w:r w:rsidR="008F6DD4">
        <w:t xml:space="preserve"> catchment management activities are primarily undertaken by NSW </w:t>
      </w:r>
      <w:r w:rsidR="564299A0" w:rsidRPr="6332CC80">
        <w:rPr>
          <w:rFonts w:eastAsia="Calibri" w:cs="Calibri"/>
        </w:rPr>
        <w:t>Local Land Services</w:t>
      </w:r>
      <w:r w:rsidR="4F369396">
        <w:t xml:space="preserve"> </w:t>
      </w:r>
      <w:r w:rsidR="008F6DD4">
        <w:t xml:space="preserve">which is established under the </w:t>
      </w:r>
      <w:r w:rsidR="008F6DD4" w:rsidRPr="6332CC80">
        <w:rPr>
          <w:i/>
          <w:iCs/>
        </w:rPr>
        <w:t>Local Land Services Act 2013</w:t>
      </w:r>
      <w:r w:rsidR="008F6DD4">
        <w:t xml:space="preserve">. </w:t>
      </w:r>
      <w:r w:rsidR="5EABB0B7">
        <w:t xml:space="preserve">Local Land Services </w:t>
      </w:r>
      <w:r w:rsidR="008F6DD4">
        <w:t>plays a key role in catchment management by coordinating regional programs that support sustainable land use, improve water and soil health and protect biodiversity in line with state priorities and local community needs.</w:t>
      </w:r>
    </w:p>
    <w:p w14:paraId="7940EF80" w14:textId="4FE42ADB" w:rsidR="008F6DD4" w:rsidRPr="00887735" w:rsidRDefault="00382EE8" w:rsidP="009B4085">
      <w:r>
        <w:rPr>
          <w:rFonts w:ascii="ZWAdobeF" w:hAnsi="ZWAdobeF" w:cs="ZWAdobeF"/>
          <w:sz w:val="2"/>
          <w:szCs w:val="2"/>
        </w:rPr>
        <w:t>1160B</w:t>
      </w:r>
      <w:r w:rsidR="008F6DD4" w:rsidRPr="00887735">
        <w:t>Non</w:t>
      </w:r>
      <w:r w:rsidR="008F6DD4" w:rsidRPr="00887735">
        <w:noBreakHyphen/>
        <w:t xml:space="preserve">government organisations also </w:t>
      </w:r>
      <w:r w:rsidR="2F37CA26">
        <w:t xml:space="preserve">contribute </w:t>
      </w:r>
      <w:r w:rsidR="00BA304D">
        <w:t xml:space="preserve">significantly </w:t>
      </w:r>
      <w:r w:rsidR="2F37CA26">
        <w:t>to</w:t>
      </w:r>
      <w:r w:rsidR="008F6DD4" w:rsidRPr="00887735">
        <w:t xml:space="preserve"> the Snowy River catchment. Community</w:t>
      </w:r>
      <w:r w:rsidR="008F6DD4" w:rsidRPr="00887735">
        <w:noBreakHyphen/>
        <w:t xml:space="preserve">led initiatives such as the </w:t>
      </w:r>
      <w:hyperlink r:id="rId78" w:history="1">
        <w:r w:rsidR="008F6DD4" w:rsidRPr="76FDF24C">
          <w:rPr>
            <w:rStyle w:val="Hyperlink"/>
            <w:rFonts w:eastAsia="Calibri" w:cs="Calibri"/>
          </w:rPr>
          <w:t>Snowy River Interstate Landcare Committee</w:t>
        </w:r>
      </w:hyperlink>
      <w:r w:rsidR="008F6DD4" w:rsidRPr="00887735">
        <w:t xml:space="preserve"> and the </w:t>
      </w:r>
      <w:hyperlink r:id="rId79" w:history="1">
        <w:r w:rsidR="008F6DD4" w:rsidRPr="76FDF24C">
          <w:rPr>
            <w:rStyle w:val="Hyperlink"/>
            <w:rFonts w:eastAsia="Calibri" w:cs="Calibri"/>
          </w:rPr>
          <w:t>Upper Snowy Landcare Network</w:t>
        </w:r>
      </w:hyperlink>
      <w:r w:rsidR="008F6DD4" w:rsidRPr="00887735">
        <w:t xml:space="preserve"> demonstrate collaborative, place</w:t>
      </w:r>
      <w:r w:rsidR="008F6DD4" w:rsidRPr="00887735">
        <w:noBreakHyphen/>
        <w:t>based approaches to improving river health, supporting sustainable land management and delivering on</w:t>
      </w:r>
      <w:r w:rsidR="008F6DD4" w:rsidRPr="00887735">
        <w:noBreakHyphen/>
        <w:t>ground restoration outcomes across the catchment.</w:t>
      </w:r>
    </w:p>
    <w:p w14:paraId="43F336FF" w14:textId="4D0951D9" w:rsidR="00121907" w:rsidRDefault="008D1082" w:rsidP="008F6DD4">
      <w:pPr>
        <w:pStyle w:val="ReviewHeading3"/>
      </w:pPr>
      <w:r>
        <w:t>Strengthening catchment management outcomes</w:t>
      </w:r>
    </w:p>
    <w:p w14:paraId="6E331EED" w14:textId="2E8C1A92" w:rsidR="008D1082" w:rsidRDefault="00382EE8" w:rsidP="008D1082">
      <w:r>
        <w:rPr>
          <w:rFonts w:ascii="ZWAdobeF" w:hAnsi="ZWAdobeF" w:cs="ZWAdobeF"/>
          <w:sz w:val="2"/>
          <w:szCs w:val="2"/>
        </w:rPr>
        <w:t>1161B</w:t>
      </w:r>
      <w:r w:rsidR="008D1082">
        <w:t>Addressing these challenges requires a more coordinated, sustained and system-wide approach to catchment management aligned with environmental water delivery.</w:t>
      </w:r>
    </w:p>
    <w:p w14:paraId="3A364DAE" w14:textId="4C748E83" w:rsidR="008D1082" w:rsidRDefault="00382EE8" w:rsidP="008D1082">
      <w:r>
        <w:rPr>
          <w:rFonts w:ascii="ZWAdobeF" w:hAnsi="ZWAdobeF" w:cs="ZWAdobeF"/>
          <w:sz w:val="2"/>
          <w:szCs w:val="2"/>
        </w:rPr>
        <w:t>1162B</w:t>
      </w:r>
      <w:r w:rsidR="008D1082">
        <w:t xml:space="preserve">A central priority is the establishment of a coordinated, cross-jurisdictional catchment program for the Upper Murrumbidgee, Snowy and associated montane systems. This program should build on existing initiatives while improving alignment, continuity and scale, recognising that ecological outcomes depend on both flow regimes and catchment condition. It should be jointly </w:t>
      </w:r>
      <w:r w:rsidR="00E1036C">
        <w:t>funded</w:t>
      </w:r>
      <w:r w:rsidR="008D1082">
        <w:t xml:space="preserve"> by governments, </w:t>
      </w:r>
      <w:r w:rsidR="00E1036C">
        <w:t>and where appropriate,</w:t>
      </w:r>
      <w:r w:rsidR="008D1082">
        <w:t xml:space="preserve"> Snowy Hydro, and </w:t>
      </w:r>
      <w:r w:rsidR="00E1036C">
        <w:t xml:space="preserve">be </w:t>
      </w:r>
      <w:r w:rsidR="008D1082">
        <w:t>designed to operate over the long</w:t>
      </w:r>
      <w:r w:rsidR="00693A7D">
        <w:t>-</w:t>
      </w:r>
      <w:r w:rsidR="008D1082">
        <w:t>term rather than through short-term or program-specific funding cycles.</w:t>
      </w:r>
    </w:p>
    <w:p w14:paraId="504ECF1F" w14:textId="193CCC41" w:rsidR="008D1082" w:rsidRDefault="00382EE8" w:rsidP="008D1082">
      <w:r>
        <w:rPr>
          <w:rFonts w:ascii="ZWAdobeF" w:hAnsi="ZWAdobeF" w:cs="ZWAdobeF"/>
          <w:sz w:val="2"/>
          <w:szCs w:val="2"/>
        </w:rPr>
        <w:t>1163B</w:t>
      </w:r>
      <w:r w:rsidR="008D1082">
        <w:t xml:space="preserve">The program should adopt a place-based approach enabling actions to be tailored to local conditions while contributing to system-wide objectives. Priority activities include riparian restoration and protection, erosion and sediment control, habitat improvement and protection of </w:t>
      </w:r>
      <w:r w:rsidR="008D1082">
        <w:lastRenderedPageBreak/>
        <w:t>key refuge areas. Strengthening community stewardship will be critical, including through support for locally led delivery for outcomes-based projects.</w:t>
      </w:r>
    </w:p>
    <w:p w14:paraId="7A6CB9F7" w14:textId="56691AFA" w:rsidR="008D1082" w:rsidRDefault="00382EE8" w:rsidP="008D1082">
      <w:r>
        <w:rPr>
          <w:rFonts w:ascii="ZWAdobeF" w:hAnsi="ZWAdobeF" w:cs="ZWAdobeF"/>
          <w:sz w:val="2"/>
          <w:szCs w:val="2"/>
        </w:rPr>
        <w:t>1164B</w:t>
      </w:r>
      <w:r w:rsidR="008D1082">
        <w:t>A strengthened role for First Nations in catchment management is essential. This includes enabling structured, long-term involvement in planning, delivery, monitoring and evaluation and supporting on-Country stewardship. Establishing or expanding First Nations ranger programs in the Upper Murrumbidgee would provide a practical mechanism to deliver integrated land and water management, drawing on both cultural knowledge and contemporary science. These programs support long-term capability, intergenerational knowledge transfer and the incorporation of cultural indicators alongside biophysical measures.</w:t>
      </w:r>
    </w:p>
    <w:p w14:paraId="3827338A" w14:textId="1A1C9ABE" w:rsidR="008D1082" w:rsidRDefault="00382EE8" w:rsidP="008D1082">
      <w:r>
        <w:rPr>
          <w:rFonts w:ascii="ZWAdobeF" w:hAnsi="ZWAdobeF" w:cs="ZWAdobeF"/>
          <w:sz w:val="2"/>
          <w:szCs w:val="2"/>
        </w:rPr>
        <w:t>1165B</w:t>
      </w:r>
      <w:r w:rsidR="008D1082">
        <w:t>Monitoring, evaluation and learning should be embedded as a core component of this approach. Catchment and environmental water management should operate within a structured adaptive management cycle, where actions are informed by evidence, outcomes are tracked over time, and management approaches are adjusted in response to changing conditions and new knowledge. Monitoring should focus on outcomes rather than activity, integrate land and water management and support both local decision-making and system-wide learning.</w:t>
      </w:r>
    </w:p>
    <w:p w14:paraId="72128CFC" w14:textId="53E883FE" w:rsidR="008D1082" w:rsidRDefault="00382EE8" w:rsidP="00CC7A58">
      <w:r>
        <w:rPr>
          <w:rFonts w:ascii="ZWAdobeF" w:hAnsi="ZWAdobeF" w:cs="ZWAdobeF"/>
          <w:sz w:val="2"/>
          <w:szCs w:val="2"/>
        </w:rPr>
        <w:t>1166B</w:t>
      </w:r>
      <w:r w:rsidR="008D1082">
        <w:t xml:space="preserve">This approach is intended to complement, not replace, the governance and adaptive management frameworks outlined in </w:t>
      </w:r>
      <w:r w:rsidR="008D1082" w:rsidRPr="00237A5B">
        <w:rPr>
          <w:b/>
        </w:rPr>
        <w:t>Chapters 4 and 5</w:t>
      </w:r>
      <w:r w:rsidR="008D1082">
        <w:t xml:space="preserve"> and</w:t>
      </w:r>
      <w:r w:rsidR="00944D0F" w:rsidRPr="00944D0F">
        <w:t xml:space="preserve"> provides a clear pathway for translating investment into more consistent and durable ecological and cultural outcomes across the system.</w:t>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6E473A" w14:paraId="538D50EC" w14:textId="77777777">
        <w:tc>
          <w:tcPr>
            <w:tcW w:w="9288" w:type="dxa"/>
            <w:shd w:val="clear" w:color="auto" w:fill="000099"/>
          </w:tcPr>
          <w:p w14:paraId="624A32D7" w14:textId="3047F757" w:rsidR="006E473A" w:rsidRPr="00A17844" w:rsidRDefault="00382EE8">
            <w:pPr>
              <w:pStyle w:val="RecsBox"/>
              <w:rPr>
                <w:b/>
                <w:bCs/>
              </w:rPr>
            </w:pPr>
            <w:r>
              <w:rPr>
                <w:rFonts w:ascii="ZWAdobeF" w:hAnsi="ZWAdobeF" w:cs="ZWAdobeF"/>
                <w:bCs/>
                <w:sz w:val="2"/>
                <w:szCs w:val="2"/>
              </w:rPr>
              <w:t>1617B</w:t>
            </w:r>
            <w:r w:rsidR="006E473A" w:rsidRPr="00A17844">
              <w:rPr>
                <w:b/>
                <w:bCs/>
              </w:rPr>
              <w:t>Recommendations</w:t>
            </w:r>
          </w:p>
        </w:tc>
      </w:tr>
      <w:tr w:rsidR="006E473A" w14:paraId="379541EB" w14:textId="77777777">
        <w:tc>
          <w:tcPr>
            <w:tcW w:w="9288" w:type="dxa"/>
          </w:tcPr>
          <w:p w14:paraId="0C9BE19D" w14:textId="439117B9" w:rsidR="00AB4143" w:rsidRPr="00AB4143" w:rsidRDefault="00382EE8" w:rsidP="00AB4143">
            <w:pPr>
              <w:pStyle w:val="RecsBox"/>
              <w:rPr>
                <w:rFonts w:eastAsia="Aptos"/>
                <w:b/>
                <w:bCs/>
              </w:rPr>
            </w:pPr>
            <w:r>
              <w:rPr>
                <w:rFonts w:ascii="ZWAdobeF" w:eastAsia="Aptos" w:hAnsi="ZWAdobeF" w:cs="ZWAdobeF"/>
                <w:bCs/>
                <w:sz w:val="2"/>
                <w:szCs w:val="2"/>
              </w:rPr>
              <w:t>1618B</w:t>
            </w:r>
            <w:r w:rsidR="00AB4143" w:rsidRPr="00AB4143">
              <w:rPr>
                <w:rFonts w:eastAsia="Aptos"/>
                <w:b/>
                <w:bCs/>
              </w:rPr>
              <w:t xml:space="preserve">Recommendation 18 – Integration of environmental water delivery and catchment management actions </w:t>
            </w:r>
          </w:p>
          <w:p w14:paraId="328B8C95" w14:textId="1AC99CCD" w:rsidR="00AB4143" w:rsidRPr="00A64286" w:rsidRDefault="00382EE8" w:rsidP="00AB4143">
            <w:pPr>
              <w:pStyle w:val="RecsBox"/>
              <w:rPr>
                <w:rFonts w:eastAsia="Aptos"/>
              </w:rPr>
            </w:pPr>
            <w:r>
              <w:rPr>
                <w:rFonts w:ascii="ZWAdobeF" w:eastAsia="Aptos" w:hAnsi="ZWAdobeF" w:cs="ZWAdobeF"/>
                <w:sz w:val="2"/>
                <w:szCs w:val="2"/>
              </w:rPr>
              <w:t>1619B</w:t>
            </w:r>
            <w:r w:rsidR="00AB4143" w:rsidRPr="00A64286">
              <w:rPr>
                <w:rFonts w:eastAsia="Aptos"/>
              </w:rPr>
              <w:t xml:space="preserve">Governments ensure that environmental water delivery and targeted catchment management actions are integrated through a coordinated, whole-of-system approach. This </w:t>
            </w:r>
            <w:r w:rsidR="00AB4143">
              <w:rPr>
                <w:rFonts w:eastAsia="Aptos"/>
              </w:rPr>
              <w:t xml:space="preserve">may </w:t>
            </w:r>
            <w:r w:rsidR="00AB4143" w:rsidRPr="00A64286">
              <w:rPr>
                <w:rFonts w:eastAsia="Aptos"/>
              </w:rPr>
              <w:t>include:</w:t>
            </w:r>
          </w:p>
          <w:p w14:paraId="2E9CFA4F" w14:textId="0BA6D86E" w:rsidR="00AB4143" w:rsidRPr="00A64286" w:rsidRDefault="00382EE8" w:rsidP="00B11C71">
            <w:pPr>
              <w:pStyle w:val="RecsBox"/>
              <w:numPr>
                <w:ilvl w:val="0"/>
                <w:numId w:val="154"/>
              </w:numPr>
              <w:rPr>
                <w:rFonts w:eastAsia="Aptos"/>
              </w:rPr>
            </w:pPr>
            <w:r>
              <w:rPr>
                <w:rFonts w:ascii="ZWAdobeF" w:eastAsia="Aptos" w:hAnsi="ZWAdobeF" w:cs="ZWAdobeF"/>
                <w:sz w:val="2"/>
                <w:szCs w:val="2"/>
              </w:rPr>
              <w:t>1620B</w:t>
            </w:r>
            <w:r w:rsidR="00AB4143" w:rsidRPr="00A64286">
              <w:rPr>
                <w:rFonts w:eastAsia="Aptos"/>
              </w:rPr>
              <w:t xml:space="preserve">delivering environmental releases with complementary on-ground interventions (such as riparian restoration, erosion control and habitat improvement) to </w:t>
            </w:r>
            <w:r w:rsidR="00AB4143">
              <w:rPr>
                <w:rFonts w:eastAsia="Aptos"/>
              </w:rPr>
              <w:t>deliver</w:t>
            </w:r>
            <w:r w:rsidR="00AB4143" w:rsidRPr="00A64286">
              <w:rPr>
                <w:rFonts w:eastAsia="Aptos"/>
              </w:rPr>
              <w:t xml:space="preserve"> ecological outcomes</w:t>
            </w:r>
          </w:p>
          <w:p w14:paraId="24CBC019" w14:textId="6C6C23D0" w:rsidR="006E473A" w:rsidRPr="008A7847" w:rsidRDefault="00382EE8" w:rsidP="00B11C71">
            <w:pPr>
              <w:pStyle w:val="RecsBox"/>
              <w:numPr>
                <w:ilvl w:val="0"/>
                <w:numId w:val="154"/>
              </w:numPr>
            </w:pPr>
            <w:r>
              <w:rPr>
                <w:rFonts w:ascii="ZWAdobeF" w:eastAsia="Aptos" w:hAnsi="ZWAdobeF" w:cs="ZWAdobeF"/>
                <w:sz w:val="2"/>
                <w:szCs w:val="2"/>
              </w:rPr>
              <w:t>1621B</w:t>
            </w:r>
            <w:r w:rsidR="00AB4143" w:rsidRPr="00A64286">
              <w:rPr>
                <w:rFonts w:eastAsia="Aptos"/>
              </w:rPr>
              <w:t>strengthening integration between land and water management across planning, delivery and monitoring processes.</w:t>
            </w:r>
          </w:p>
        </w:tc>
      </w:tr>
      <w:tr w:rsidR="005E4C4C" w14:paraId="7156ADD2" w14:textId="77777777">
        <w:tc>
          <w:tcPr>
            <w:tcW w:w="9288" w:type="dxa"/>
          </w:tcPr>
          <w:p w14:paraId="25574A4D" w14:textId="3A085330" w:rsidR="005E4C4C" w:rsidRPr="005E4C4C" w:rsidRDefault="00382EE8" w:rsidP="005E4C4C">
            <w:pPr>
              <w:pStyle w:val="RecsBox"/>
              <w:rPr>
                <w:rFonts w:eastAsia="Aptos"/>
                <w:b/>
                <w:bCs/>
              </w:rPr>
            </w:pPr>
            <w:r>
              <w:rPr>
                <w:rFonts w:ascii="ZWAdobeF" w:eastAsia="Aptos" w:hAnsi="ZWAdobeF" w:cs="ZWAdobeF"/>
                <w:bCs/>
                <w:sz w:val="2"/>
                <w:szCs w:val="2"/>
              </w:rPr>
              <w:t>1622B</w:t>
            </w:r>
            <w:r w:rsidR="005E4C4C" w:rsidRPr="005E4C4C">
              <w:rPr>
                <w:rFonts w:eastAsia="Aptos"/>
                <w:b/>
                <w:bCs/>
              </w:rPr>
              <w:t xml:space="preserve">Recommendation 19 – Whole-of-system catchment investment coordination and alignment </w:t>
            </w:r>
          </w:p>
          <w:p w14:paraId="072AB92D" w14:textId="36E2E8C3" w:rsidR="005E4C4C" w:rsidRPr="00A64286" w:rsidRDefault="00382EE8" w:rsidP="005E4C4C">
            <w:pPr>
              <w:pStyle w:val="RecsBox"/>
              <w:rPr>
                <w:rFonts w:eastAsia="Aptos"/>
              </w:rPr>
            </w:pPr>
            <w:r>
              <w:rPr>
                <w:rFonts w:ascii="ZWAdobeF" w:eastAsia="Aptos" w:hAnsi="ZWAdobeF" w:cs="ZWAdobeF"/>
                <w:sz w:val="2"/>
                <w:szCs w:val="2"/>
              </w:rPr>
              <w:t>1623B</w:t>
            </w:r>
            <w:r w:rsidR="005E4C4C" w:rsidRPr="7A3D008D">
              <w:rPr>
                <w:rFonts w:eastAsia="Aptos"/>
              </w:rPr>
              <w:t>Governments improve coordination and alignment across jurisdictions, agencies and programs to enable a more integrated, whole-of-system approach for catchments, under the oversight of the senior officials committee and coordinated by</w:t>
            </w:r>
            <w:r w:rsidR="005E4C4C">
              <w:rPr>
                <w:rFonts w:eastAsia="Aptos"/>
              </w:rPr>
              <w:t>, for example,</w:t>
            </w:r>
            <w:r w:rsidR="005E4C4C" w:rsidRPr="7A3D008D">
              <w:rPr>
                <w:rFonts w:eastAsia="Aptos"/>
              </w:rPr>
              <w:t xml:space="preserve"> the MDBA. This </w:t>
            </w:r>
            <w:r w:rsidR="005E4C4C">
              <w:rPr>
                <w:rFonts w:eastAsia="Aptos"/>
              </w:rPr>
              <w:t>may</w:t>
            </w:r>
            <w:r w:rsidR="005E4C4C" w:rsidRPr="7A3D008D">
              <w:rPr>
                <w:rFonts w:eastAsia="Aptos"/>
              </w:rPr>
              <w:t xml:space="preserve"> include:</w:t>
            </w:r>
          </w:p>
          <w:p w14:paraId="04231559" w14:textId="4CA37C43" w:rsidR="005E4C4C" w:rsidRPr="00A64286" w:rsidRDefault="00382EE8">
            <w:pPr>
              <w:pStyle w:val="RecsBox"/>
              <w:numPr>
                <w:ilvl w:val="0"/>
                <w:numId w:val="155"/>
              </w:numPr>
              <w:rPr>
                <w:rFonts w:eastAsia="Aptos"/>
              </w:rPr>
            </w:pPr>
            <w:r>
              <w:rPr>
                <w:rFonts w:ascii="ZWAdobeF" w:eastAsia="Aptos" w:hAnsi="ZWAdobeF" w:cs="ZWAdobeF"/>
                <w:sz w:val="2"/>
                <w:szCs w:val="2"/>
              </w:rPr>
              <w:t>1624B</w:t>
            </w:r>
            <w:r w:rsidR="005E4C4C" w:rsidRPr="00A64286">
              <w:rPr>
                <w:rFonts w:eastAsia="Aptos"/>
              </w:rPr>
              <w:t>establishing a coordinated, cross-jurisdictional approach to catchment investment that builds on existing arrangements and progressively strengthens delivery</w:t>
            </w:r>
          </w:p>
          <w:p w14:paraId="50F6AF01" w14:textId="23F016B2" w:rsidR="005E4C4C" w:rsidRPr="00A64286" w:rsidRDefault="00382EE8">
            <w:pPr>
              <w:pStyle w:val="RecsBox"/>
              <w:numPr>
                <w:ilvl w:val="0"/>
                <w:numId w:val="155"/>
              </w:numPr>
              <w:rPr>
                <w:rFonts w:eastAsia="Aptos"/>
              </w:rPr>
            </w:pPr>
            <w:r>
              <w:rPr>
                <w:rFonts w:ascii="ZWAdobeF" w:eastAsia="Aptos" w:hAnsi="ZWAdobeF" w:cs="ZWAdobeF"/>
                <w:sz w:val="2"/>
                <w:szCs w:val="2"/>
              </w:rPr>
              <w:t>1625B</w:t>
            </w:r>
            <w:r w:rsidR="005E4C4C" w:rsidRPr="00A64286">
              <w:rPr>
                <w:rFonts w:eastAsia="Aptos"/>
              </w:rPr>
              <w:t>providing sustained, long-term funding to support continuity of on-ground works, enable scaling of successful initiatives, and build regional capability</w:t>
            </w:r>
          </w:p>
          <w:p w14:paraId="1E45A84F" w14:textId="07535BA9" w:rsidR="005E4C4C" w:rsidRPr="005E4C4C" w:rsidRDefault="00382EE8">
            <w:pPr>
              <w:pStyle w:val="RecsBox"/>
              <w:numPr>
                <w:ilvl w:val="0"/>
                <w:numId w:val="155"/>
              </w:numPr>
              <w:rPr>
                <w:rFonts w:eastAsia="Aptos"/>
              </w:rPr>
            </w:pPr>
            <w:r>
              <w:rPr>
                <w:rFonts w:ascii="ZWAdobeF" w:eastAsia="Aptos" w:hAnsi="ZWAdobeF" w:cs="ZWAdobeF"/>
                <w:sz w:val="2"/>
                <w:szCs w:val="2"/>
              </w:rPr>
              <w:t>1626B</w:t>
            </w:r>
            <w:r w:rsidR="005E4C4C" w:rsidRPr="00A64286">
              <w:rPr>
                <w:rFonts w:eastAsia="Aptos"/>
              </w:rPr>
              <w:t>ensuring monitoring, evaluation and learning is embedded within a structured adaptive management framework to support continuous improvement in catchment and environmental flow outcomes.</w:t>
            </w:r>
          </w:p>
        </w:tc>
      </w:tr>
    </w:tbl>
    <w:p w14:paraId="65B227E5" w14:textId="77777777" w:rsidR="006E473A" w:rsidRDefault="006E473A" w:rsidP="00CC7A58"/>
    <w:p w14:paraId="5D77FD06" w14:textId="00FCD6B5" w:rsidR="00BE1595" w:rsidRDefault="00376660" w:rsidP="00E82746">
      <w:pPr>
        <w:pStyle w:val="ReviewHeading2"/>
        <w:ind w:left="567" w:hanging="567"/>
        <w:jc w:val="left"/>
      </w:pPr>
      <w:bookmarkStart w:id="128" w:name="_Toc233285617"/>
      <w:bookmarkStart w:id="129" w:name="_Toc233801496"/>
      <w:r>
        <w:lastRenderedPageBreak/>
        <w:t xml:space="preserve">6.6 </w:t>
      </w:r>
      <w:bookmarkStart w:id="130" w:name="_Toc233030995"/>
      <w:bookmarkStart w:id="131" w:name="_Toc233030996"/>
      <w:bookmarkEnd w:id="130"/>
      <w:bookmarkEnd w:id="131"/>
      <w:r w:rsidR="00944D0F">
        <w:t>Revised compensation arrangements</w:t>
      </w:r>
      <w:bookmarkEnd w:id="128"/>
      <w:bookmarkEnd w:id="129"/>
    </w:p>
    <w:p w14:paraId="3CA0BB18" w14:textId="54E59A0A" w:rsidR="00BB20EB" w:rsidRPr="00632349" w:rsidRDefault="00382EE8" w:rsidP="00BB20EB">
      <w:pPr>
        <w:rPr>
          <w:lang w:eastAsia="en-AU"/>
        </w:rPr>
      </w:pPr>
      <w:r>
        <w:rPr>
          <w:rFonts w:ascii="ZWAdobeF" w:hAnsi="ZWAdobeF" w:cs="ZWAdobeF"/>
          <w:sz w:val="2"/>
          <w:szCs w:val="2"/>
          <w:lang w:eastAsia="en-AU"/>
        </w:rPr>
        <w:t>1167B</w:t>
      </w:r>
      <w:r w:rsidR="00BB20EB" w:rsidRPr="00632349">
        <w:rPr>
          <w:lang w:eastAsia="en-AU"/>
        </w:rPr>
        <w:t>Under the current framework changes to the Snowy Water Licence may trigger compensation</w:t>
      </w:r>
      <w:r w:rsidR="00D52E40">
        <w:rPr>
          <w:lang w:eastAsia="en-AU"/>
        </w:rPr>
        <w:t>,</w:t>
      </w:r>
      <w:r w:rsidR="00767723">
        <w:rPr>
          <w:lang w:eastAsia="en-AU"/>
        </w:rPr>
        <w:t xml:space="preserve"> </w:t>
      </w:r>
      <w:r w:rsidR="00B65801">
        <w:rPr>
          <w:lang w:eastAsia="en-AU"/>
        </w:rPr>
        <w:t>payable by NSW to Snowy Hydro</w:t>
      </w:r>
      <w:r w:rsidR="00D52E40">
        <w:rPr>
          <w:lang w:eastAsia="en-AU"/>
        </w:rPr>
        <w:t xml:space="preserve">, </w:t>
      </w:r>
      <w:r w:rsidR="00767723">
        <w:rPr>
          <w:lang w:eastAsia="en-AU"/>
        </w:rPr>
        <w:t>under the Snowy Compensation Deed</w:t>
      </w:r>
      <w:r w:rsidR="00860628">
        <w:rPr>
          <w:lang w:eastAsia="en-AU"/>
        </w:rPr>
        <w:t>. Compensation</w:t>
      </w:r>
      <w:r w:rsidR="00767723">
        <w:rPr>
          <w:lang w:eastAsia="en-AU"/>
        </w:rPr>
        <w:t xml:space="preserve"> under this arrangement</w:t>
      </w:r>
      <w:r w:rsidR="00BB20EB" w:rsidRPr="00632349">
        <w:rPr>
          <w:lang w:eastAsia="en-AU"/>
        </w:rPr>
        <w:t xml:space="preserve">, </w:t>
      </w:r>
      <w:r w:rsidR="00860628">
        <w:rPr>
          <w:lang w:eastAsia="en-AU"/>
        </w:rPr>
        <w:t xml:space="preserve">in the form of </w:t>
      </w:r>
      <w:r w:rsidR="00BB20EB" w:rsidRPr="00632349">
        <w:rPr>
          <w:lang w:eastAsia="en-AU"/>
        </w:rPr>
        <w:t>financial liability</w:t>
      </w:r>
      <w:r w:rsidR="00860628">
        <w:rPr>
          <w:lang w:eastAsia="en-AU"/>
        </w:rPr>
        <w:t>,</w:t>
      </w:r>
      <w:r w:rsidR="00BB20EB" w:rsidRPr="00632349">
        <w:rPr>
          <w:lang w:eastAsia="en-AU"/>
        </w:rPr>
        <w:t xml:space="preserve"> creates a barrier to change </w:t>
      </w:r>
      <w:r w:rsidR="00FF559A">
        <w:rPr>
          <w:lang w:eastAsia="en-AU"/>
        </w:rPr>
        <w:t xml:space="preserve">which </w:t>
      </w:r>
      <w:r w:rsidR="00BB20EB" w:rsidRPr="00632349">
        <w:rPr>
          <w:lang w:eastAsia="en-AU"/>
        </w:rPr>
        <w:t xml:space="preserve">limits the system’s ability to adapt. </w:t>
      </w:r>
    </w:p>
    <w:p w14:paraId="7D365378" w14:textId="146DD734" w:rsidR="00BB20EB" w:rsidRPr="00BD42A7" w:rsidRDefault="00382EE8" w:rsidP="00BB20EB">
      <w:pPr>
        <w:rPr>
          <w:lang w:eastAsia="en-AU"/>
        </w:rPr>
      </w:pPr>
      <w:r>
        <w:rPr>
          <w:rFonts w:ascii="ZWAdobeF" w:hAnsi="ZWAdobeF" w:cs="ZWAdobeF"/>
          <w:sz w:val="2"/>
          <w:szCs w:val="2"/>
          <w:lang w:eastAsia="en-AU"/>
        </w:rPr>
        <w:t>1168B</w:t>
      </w:r>
      <w:r w:rsidR="00BB20EB" w:rsidRPr="00632349">
        <w:rPr>
          <w:lang w:eastAsia="en-AU"/>
        </w:rPr>
        <w:t xml:space="preserve">The Panel proposes </w:t>
      </w:r>
      <w:r w:rsidR="0FFACE82" w:rsidRPr="1E751BE8">
        <w:rPr>
          <w:lang w:eastAsia="en-AU"/>
        </w:rPr>
        <w:t>re</w:t>
      </w:r>
      <w:r w:rsidR="3CA55A8D" w:rsidRPr="1E751BE8">
        <w:rPr>
          <w:lang w:eastAsia="en-AU"/>
        </w:rPr>
        <w:t>ducing</w:t>
      </w:r>
      <w:r w:rsidR="7D9FA20D" w:rsidRPr="1E751BE8">
        <w:rPr>
          <w:lang w:eastAsia="en-AU"/>
        </w:rPr>
        <w:t xml:space="preserve"> </w:t>
      </w:r>
      <w:r w:rsidR="06896987" w:rsidRPr="1E751BE8">
        <w:rPr>
          <w:lang w:eastAsia="en-AU"/>
        </w:rPr>
        <w:t xml:space="preserve">the </w:t>
      </w:r>
      <w:r w:rsidR="7D9FA20D" w:rsidRPr="1E751BE8">
        <w:rPr>
          <w:lang w:eastAsia="en-AU"/>
        </w:rPr>
        <w:t>influence of the compensation trigger</w:t>
      </w:r>
      <w:r w:rsidR="00767723">
        <w:rPr>
          <w:lang w:eastAsia="en-AU"/>
        </w:rPr>
        <w:t xml:space="preserve"> that currently exists under the Snowy Compensation Deed</w:t>
      </w:r>
      <w:r w:rsidR="00BB20EB" w:rsidRPr="00632349">
        <w:rPr>
          <w:lang w:eastAsia="en-AU"/>
        </w:rPr>
        <w:t xml:space="preserve"> </w:t>
      </w:r>
      <w:r w:rsidR="7D9FA20D" w:rsidRPr="1E751BE8">
        <w:rPr>
          <w:lang w:eastAsia="en-AU"/>
        </w:rPr>
        <w:t>by establishing</w:t>
      </w:r>
      <w:r w:rsidR="0FFACE82" w:rsidRPr="1E751BE8">
        <w:rPr>
          <w:lang w:eastAsia="en-AU"/>
        </w:rPr>
        <w:t xml:space="preserve"> </w:t>
      </w:r>
      <w:r w:rsidR="00BB20EB" w:rsidRPr="00632349">
        <w:rPr>
          <w:lang w:eastAsia="en-AU"/>
        </w:rPr>
        <w:t>a rule-based framework that supports adaptive system operation.</w:t>
      </w:r>
      <w:r w:rsidR="00BB20EB">
        <w:rPr>
          <w:lang w:eastAsia="en-AU"/>
        </w:rPr>
        <w:t xml:space="preserve"> </w:t>
      </w:r>
      <w:r w:rsidR="00BB20EB" w:rsidRPr="00BD42A7">
        <w:rPr>
          <w:lang w:eastAsia="en-AU"/>
        </w:rPr>
        <w:t>This approach avoids reliance on case-by-case negotiation, providing a consistent basis for valuing system trade-offs over time.</w:t>
      </w:r>
    </w:p>
    <w:p w14:paraId="282D14F0" w14:textId="1BBBF334" w:rsidR="00BB20EB" w:rsidRPr="00632349" w:rsidRDefault="00382EE8" w:rsidP="00BB20EB">
      <w:pPr>
        <w:rPr>
          <w:lang w:eastAsia="en-AU"/>
        </w:rPr>
      </w:pPr>
      <w:r>
        <w:rPr>
          <w:rFonts w:ascii="ZWAdobeF" w:hAnsi="ZWAdobeF" w:cs="ZWAdobeF"/>
          <w:sz w:val="2"/>
          <w:szCs w:val="2"/>
          <w:lang w:eastAsia="en-AU"/>
        </w:rPr>
        <w:t>1169B</w:t>
      </w:r>
      <w:r w:rsidR="00BB20EB" w:rsidRPr="00632349">
        <w:rPr>
          <w:lang w:eastAsia="en-AU"/>
        </w:rPr>
        <w:t>This framework enables changes to be made in response to new information, changing conditions and agreed system objectives, without creating automatic financial consequences.</w:t>
      </w:r>
    </w:p>
    <w:p w14:paraId="62B930C8" w14:textId="7503540A" w:rsidR="00BB20EB" w:rsidRDefault="00382EE8" w:rsidP="00BB20EB">
      <w:pPr>
        <w:rPr>
          <w:lang w:eastAsia="en-AU"/>
        </w:rPr>
      </w:pPr>
      <w:r>
        <w:rPr>
          <w:rFonts w:ascii="ZWAdobeF" w:hAnsi="ZWAdobeF" w:cs="ZWAdobeF"/>
          <w:sz w:val="2"/>
          <w:szCs w:val="2"/>
          <w:lang w:eastAsia="en-AU"/>
        </w:rPr>
        <w:t>1170B</w:t>
      </w:r>
      <w:r w:rsidR="00BB20EB" w:rsidRPr="00632349">
        <w:rPr>
          <w:lang w:eastAsia="en-AU"/>
        </w:rPr>
        <w:t xml:space="preserve">This shifts the focus from negotiating compensation </w:t>
      </w:r>
      <w:r w:rsidR="009E1160">
        <w:rPr>
          <w:lang w:eastAsia="en-AU"/>
        </w:rPr>
        <w:t xml:space="preserve">between NSW and Snowy Hydro </w:t>
      </w:r>
      <w:r w:rsidR="00BB20EB" w:rsidRPr="00632349">
        <w:rPr>
          <w:lang w:eastAsia="en-AU"/>
        </w:rPr>
        <w:t>to managing system performance, supporting adaptive management and improving outcomes over time.</w:t>
      </w:r>
    </w:p>
    <w:p w14:paraId="341E0DF0" w14:textId="00855503" w:rsidR="00113792" w:rsidRDefault="00BB20EB" w:rsidP="00BB20EB">
      <w:pPr>
        <w:pStyle w:val="Sub-Heading"/>
      </w:pPr>
      <w:r>
        <w:t>Adaptive</w:t>
      </w:r>
      <w:r w:rsidR="00AC09C4">
        <w:t xml:space="preserve"> operation and risk management framework</w:t>
      </w:r>
    </w:p>
    <w:p w14:paraId="20D8823A" w14:textId="1E927E48" w:rsidR="00866404" w:rsidRPr="00CF02D0" w:rsidRDefault="00382EE8" w:rsidP="00866404">
      <w:pPr>
        <w:rPr>
          <w:lang w:eastAsia="en-AU"/>
        </w:rPr>
      </w:pPr>
      <w:r>
        <w:rPr>
          <w:rFonts w:ascii="ZWAdobeF" w:hAnsi="ZWAdobeF" w:cs="ZWAdobeF"/>
          <w:sz w:val="2"/>
          <w:szCs w:val="2"/>
          <w:lang w:eastAsia="en-AU"/>
        </w:rPr>
        <w:t>1171B</w:t>
      </w:r>
      <w:r w:rsidR="00866404" w:rsidRPr="00CF02D0">
        <w:rPr>
          <w:lang w:eastAsia="en-AU"/>
        </w:rPr>
        <w:t xml:space="preserve">The framework operates through </w:t>
      </w:r>
      <w:r w:rsidR="08F0903B" w:rsidRPr="1E751BE8">
        <w:rPr>
          <w:lang w:eastAsia="en-AU"/>
        </w:rPr>
        <w:t>four</w:t>
      </w:r>
      <w:r w:rsidR="00866404" w:rsidRPr="00CF02D0">
        <w:rPr>
          <w:lang w:eastAsia="en-AU"/>
        </w:rPr>
        <w:t xml:space="preserve"> simple rules:</w:t>
      </w:r>
    </w:p>
    <w:p w14:paraId="2D089CE6" w14:textId="2207C162" w:rsidR="00866404" w:rsidRPr="00866404" w:rsidRDefault="00382EE8" w:rsidP="00115BD6">
      <w:pPr>
        <w:pStyle w:val="ListParagraph"/>
        <w:numPr>
          <w:ilvl w:val="0"/>
          <w:numId w:val="60"/>
        </w:numPr>
        <w:rPr>
          <w:b/>
          <w:bCs/>
          <w:lang w:eastAsia="en-AU"/>
        </w:rPr>
      </w:pPr>
      <w:r>
        <w:rPr>
          <w:rFonts w:ascii="ZWAdobeF" w:hAnsi="ZWAdobeF" w:cs="ZWAdobeF"/>
          <w:bCs/>
          <w:sz w:val="2"/>
          <w:szCs w:val="2"/>
          <w:lang w:eastAsia="en-AU"/>
        </w:rPr>
        <w:t>344B</w:t>
      </w:r>
      <w:r w:rsidR="00866404" w:rsidRPr="00866404">
        <w:rPr>
          <w:b/>
          <w:bCs/>
          <w:lang w:eastAsia="en-AU"/>
        </w:rPr>
        <w:t>Agreed changes (no compensation)</w:t>
      </w:r>
    </w:p>
    <w:p w14:paraId="3E77F560" w14:textId="6CE4D68D" w:rsidR="00866404" w:rsidRPr="00BD42A7" w:rsidRDefault="00382EE8" w:rsidP="00866404">
      <w:pPr>
        <w:pStyle w:val="ListParagraph"/>
        <w:rPr>
          <w:lang w:eastAsia="en-AU"/>
        </w:rPr>
      </w:pPr>
      <w:r>
        <w:rPr>
          <w:rFonts w:ascii="ZWAdobeF" w:hAnsi="ZWAdobeF" w:cs="ZWAdobeF"/>
          <w:sz w:val="2"/>
          <w:szCs w:val="2"/>
          <w:lang w:eastAsia="en-AU"/>
        </w:rPr>
        <w:t>345B</w:t>
      </w:r>
      <w:r w:rsidR="00866404" w:rsidRPr="00BD42A7">
        <w:rPr>
          <w:lang w:eastAsia="en-AU"/>
        </w:rPr>
        <w:t>Changes agreed by governments through reform, periodic review, or adaptive management do not trigger compensation</w:t>
      </w:r>
      <w:r w:rsidR="009E1160">
        <w:rPr>
          <w:lang w:eastAsia="en-AU"/>
        </w:rPr>
        <w:t xml:space="preserve"> to Snowy Hydro</w:t>
      </w:r>
      <w:r w:rsidR="00866404" w:rsidRPr="00BD42A7">
        <w:rPr>
          <w:lang w:eastAsia="en-AU"/>
        </w:rPr>
        <w:t>.</w:t>
      </w:r>
    </w:p>
    <w:p w14:paraId="1B0D4B34" w14:textId="1EDF058E" w:rsidR="00866404" w:rsidRPr="00866404" w:rsidRDefault="00382EE8" w:rsidP="00115BD6">
      <w:pPr>
        <w:pStyle w:val="ListParagraph"/>
        <w:numPr>
          <w:ilvl w:val="0"/>
          <w:numId w:val="60"/>
        </w:numPr>
        <w:rPr>
          <w:b/>
          <w:bCs/>
          <w:lang w:eastAsia="en-AU"/>
        </w:rPr>
      </w:pPr>
      <w:r>
        <w:rPr>
          <w:rFonts w:ascii="ZWAdobeF" w:hAnsi="ZWAdobeF" w:cs="ZWAdobeF"/>
          <w:bCs/>
          <w:sz w:val="2"/>
          <w:szCs w:val="2"/>
          <w:lang w:eastAsia="en-AU"/>
        </w:rPr>
        <w:t>346B</w:t>
      </w:r>
      <w:r w:rsidR="00866404" w:rsidRPr="00866404">
        <w:rPr>
          <w:b/>
          <w:bCs/>
          <w:lang w:eastAsia="en-AU"/>
        </w:rPr>
        <w:t>Normal operation (within the envelope)</w:t>
      </w:r>
    </w:p>
    <w:p w14:paraId="680ACFDF" w14:textId="38A14BA0" w:rsidR="00866404" w:rsidRPr="00BD42A7" w:rsidRDefault="00382EE8" w:rsidP="00866404">
      <w:pPr>
        <w:pStyle w:val="ListParagraph"/>
        <w:rPr>
          <w:lang w:eastAsia="en-AU"/>
        </w:rPr>
      </w:pPr>
      <w:r>
        <w:rPr>
          <w:rFonts w:ascii="ZWAdobeF" w:hAnsi="ZWAdobeF" w:cs="ZWAdobeF"/>
          <w:sz w:val="2"/>
          <w:szCs w:val="2"/>
          <w:lang w:eastAsia="en-AU"/>
        </w:rPr>
        <w:t>347B</w:t>
      </w:r>
      <w:r w:rsidR="00866404" w:rsidRPr="00BD42A7">
        <w:rPr>
          <w:lang w:eastAsia="en-AU"/>
        </w:rPr>
        <w:t>Snowy Hydro operates within an agreed operating envelope delivering outcomes without compensation.</w:t>
      </w:r>
      <w:r w:rsidR="00866404">
        <w:rPr>
          <w:lang w:eastAsia="en-AU"/>
        </w:rPr>
        <w:t xml:space="preserve"> </w:t>
      </w:r>
      <w:r w:rsidR="00866404" w:rsidRPr="00BD42A7">
        <w:rPr>
          <w:lang w:eastAsia="en-AU"/>
        </w:rPr>
        <w:t>This includes adjusting operations over time in response to updated science, monitoring and system conditions.</w:t>
      </w:r>
    </w:p>
    <w:p w14:paraId="01D590E2" w14:textId="047C8906" w:rsidR="00866404" w:rsidRPr="00866404" w:rsidRDefault="00382EE8" w:rsidP="00115BD6">
      <w:pPr>
        <w:pStyle w:val="ListParagraph"/>
        <w:numPr>
          <w:ilvl w:val="0"/>
          <w:numId w:val="60"/>
        </w:numPr>
        <w:rPr>
          <w:b/>
          <w:bCs/>
          <w:lang w:eastAsia="en-AU"/>
        </w:rPr>
      </w:pPr>
      <w:r>
        <w:rPr>
          <w:rFonts w:ascii="ZWAdobeF" w:hAnsi="ZWAdobeF" w:cs="ZWAdobeF"/>
          <w:bCs/>
          <w:sz w:val="2"/>
          <w:szCs w:val="2"/>
          <w:lang w:eastAsia="en-AU"/>
        </w:rPr>
        <w:t>348B</w:t>
      </w:r>
      <w:r w:rsidR="00866404" w:rsidRPr="00866404">
        <w:rPr>
          <w:b/>
          <w:bCs/>
          <w:lang w:eastAsia="en-AU"/>
        </w:rPr>
        <w:t>Outside the envelope (defined consequences)</w:t>
      </w:r>
    </w:p>
    <w:p w14:paraId="7923CCAB" w14:textId="7A540624" w:rsidR="00866404" w:rsidRPr="00BD42A7" w:rsidRDefault="00382EE8" w:rsidP="00866404">
      <w:pPr>
        <w:pStyle w:val="ListParagraph"/>
        <w:rPr>
          <w:lang w:eastAsia="en-AU"/>
        </w:rPr>
      </w:pPr>
      <w:r>
        <w:rPr>
          <w:rFonts w:ascii="ZWAdobeF" w:hAnsi="ZWAdobeF" w:cs="ZWAdobeF"/>
          <w:sz w:val="2"/>
          <w:szCs w:val="2"/>
          <w:lang w:eastAsia="en-AU"/>
        </w:rPr>
        <w:t>349B</w:t>
      </w:r>
      <w:r w:rsidR="00866404" w:rsidRPr="00BD42A7">
        <w:rPr>
          <w:lang w:eastAsia="en-AU"/>
        </w:rPr>
        <w:t>Financial consequences apply only where outcomes fall outside the agreed envelope:</w:t>
      </w:r>
    </w:p>
    <w:p w14:paraId="6D6FC085" w14:textId="02546284" w:rsidR="00866404" w:rsidRPr="00CF02D0" w:rsidRDefault="00382EE8" w:rsidP="00115BD6">
      <w:pPr>
        <w:pStyle w:val="ListParagraph"/>
        <w:numPr>
          <w:ilvl w:val="0"/>
          <w:numId w:val="102"/>
        </w:numPr>
        <w:rPr>
          <w:lang w:eastAsia="en-AU"/>
        </w:rPr>
      </w:pPr>
      <w:r>
        <w:rPr>
          <w:rFonts w:ascii="ZWAdobeF" w:hAnsi="ZWAdobeF" w:cs="ZWAdobeF"/>
          <w:sz w:val="2"/>
          <w:szCs w:val="2"/>
          <w:lang w:eastAsia="en-AU"/>
        </w:rPr>
        <w:t>350B</w:t>
      </w:r>
      <w:r w:rsidR="00866404">
        <w:rPr>
          <w:lang w:eastAsia="en-AU"/>
        </w:rPr>
        <w:t>G</w:t>
      </w:r>
      <w:r w:rsidR="00866404" w:rsidRPr="00CF02D0">
        <w:rPr>
          <w:lang w:eastAsia="en-AU"/>
        </w:rPr>
        <w:t>overnment-directed actions → payment</w:t>
      </w:r>
    </w:p>
    <w:p w14:paraId="53BC3B42" w14:textId="6F0DDFEC" w:rsidR="1B3EF3C3" w:rsidRDefault="00382EE8" w:rsidP="00115BD6">
      <w:pPr>
        <w:pStyle w:val="ListParagraph"/>
        <w:numPr>
          <w:ilvl w:val="0"/>
          <w:numId w:val="102"/>
        </w:numPr>
        <w:rPr>
          <w:lang w:eastAsia="en-AU"/>
        </w:rPr>
      </w:pPr>
      <w:r>
        <w:rPr>
          <w:rFonts w:ascii="ZWAdobeF" w:hAnsi="ZWAdobeF" w:cs="ZWAdobeF"/>
          <w:sz w:val="2"/>
          <w:szCs w:val="2"/>
          <w:lang w:eastAsia="en-AU"/>
        </w:rPr>
        <w:t>351B</w:t>
      </w:r>
      <w:r w:rsidR="00866404">
        <w:rPr>
          <w:lang w:eastAsia="en-AU"/>
        </w:rPr>
        <w:t>O</w:t>
      </w:r>
      <w:r w:rsidR="00866404" w:rsidRPr="00CF02D0">
        <w:rPr>
          <w:lang w:eastAsia="en-AU"/>
        </w:rPr>
        <w:t xml:space="preserve">perational non-performance → </w:t>
      </w:r>
      <w:r w:rsidR="2614AC52" w:rsidRPr="01CD1B74">
        <w:rPr>
          <w:lang w:eastAsia="en-AU"/>
        </w:rPr>
        <w:t>penalty</w:t>
      </w:r>
      <w:r w:rsidR="77118ABB" w:rsidRPr="01CD1B74">
        <w:rPr>
          <w:lang w:eastAsia="en-AU"/>
        </w:rPr>
        <w:t>.</w:t>
      </w:r>
    </w:p>
    <w:p w14:paraId="65043737" w14:textId="1DDE2A6A" w:rsidR="0075175E" w:rsidRDefault="1B3EF3C3" w:rsidP="00115BD6">
      <w:pPr>
        <w:pStyle w:val="ListParagraph"/>
        <w:numPr>
          <w:ilvl w:val="0"/>
          <w:numId w:val="60"/>
        </w:numPr>
        <w:rPr>
          <w:b/>
          <w:bCs/>
          <w:lang w:eastAsia="en-AU"/>
        </w:rPr>
      </w:pPr>
      <w:r w:rsidRPr="00CC7A58">
        <w:rPr>
          <w:b/>
          <w:bCs/>
          <w:lang w:eastAsia="en-AU"/>
        </w:rPr>
        <w:t xml:space="preserve"> </w:t>
      </w:r>
      <w:r w:rsidR="00382EE8">
        <w:rPr>
          <w:rFonts w:ascii="ZWAdobeF" w:hAnsi="ZWAdobeF" w:cs="ZWAdobeF"/>
          <w:bCs/>
          <w:sz w:val="2"/>
          <w:szCs w:val="2"/>
          <w:lang w:eastAsia="en-AU"/>
        </w:rPr>
        <w:t>352B</w:t>
      </w:r>
      <w:r w:rsidR="0075175E">
        <w:rPr>
          <w:b/>
          <w:bCs/>
          <w:lang w:eastAsia="en-AU"/>
        </w:rPr>
        <w:t>Transparent valuation</w:t>
      </w:r>
    </w:p>
    <w:p w14:paraId="536C4B6B" w14:textId="136B7E6F" w:rsidR="1B3EF3C3" w:rsidRDefault="00382EE8" w:rsidP="15ABD9C9">
      <w:pPr>
        <w:pStyle w:val="ListParagraph"/>
        <w:rPr>
          <w:lang w:eastAsia="en-AU"/>
        </w:rPr>
      </w:pPr>
      <w:r>
        <w:rPr>
          <w:rFonts w:ascii="ZWAdobeF" w:hAnsi="ZWAdobeF" w:cs="ZWAdobeF"/>
          <w:sz w:val="2"/>
          <w:szCs w:val="2"/>
          <w:lang w:eastAsia="en-AU"/>
        </w:rPr>
        <w:t>353B</w:t>
      </w:r>
      <w:r w:rsidR="002C5FBD" w:rsidRPr="002C5FBD">
        <w:rPr>
          <w:lang w:eastAsia="en-AU"/>
        </w:rPr>
        <w:t>Any compensation payable is determined using a clear, formula-based approach that is publicly available, ensuring transparency, consistency and predictability</w:t>
      </w:r>
      <w:r w:rsidR="002C5FBD" w:rsidRPr="002C5FBD" w:rsidDel="00F44A04">
        <w:rPr>
          <w:lang w:eastAsia="en-AU"/>
        </w:rPr>
        <w:t>.</w:t>
      </w:r>
    </w:p>
    <w:p w14:paraId="6F5D1F05" w14:textId="587921BC" w:rsidR="00866404" w:rsidRDefault="00866404" w:rsidP="00866404">
      <w:pPr>
        <w:pStyle w:val="Sub-Heading"/>
      </w:pPr>
      <w:r>
        <w:t>Operating envelope and valuation of system variation</w:t>
      </w:r>
    </w:p>
    <w:p w14:paraId="367107DE" w14:textId="462EFB4C" w:rsidR="00D20541" w:rsidRPr="00685394" w:rsidRDefault="00382EE8" w:rsidP="00D20541">
      <w:pPr>
        <w:rPr>
          <w:lang w:eastAsia="en-AU"/>
        </w:rPr>
      </w:pPr>
      <w:r>
        <w:rPr>
          <w:rFonts w:ascii="ZWAdobeF" w:hAnsi="ZWAdobeF" w:cs="ZWAdobeF"/>
          <w:sz w:val="2"/>
          <w:szCs w:val="2"/>
          <w:lang w:eastAsia="en-AU"/>
        </w:rPr>
        <w:t>1172B</w:t>
      </w:r>
      <w:r w:rsidR="00D20541" w:rsidRPr="00685394">
        <w:rPr>
          <w:lang w:eastAsia="en-AU"/>
        </w:rPr>
        <w:t>The operating envelope defines the expected range of system operation within which Snowy Hydro delivers agreed outcomes without financial adjustment. It provides a structured basis for managing variation, enabling adaptive operation while maintaining clear rules and accountability.</w:t>
      </w:r>
    </w:p>
    <w:p w14:paraId="78DA8B68" w14:textId="058E7BC6" w:rsidR="00A47A7B" w:rsidRDefault="00382EE8" w:rsidP="00A47A7B">
      <w:pPr>
        <w:rPr>
          <w:lang w:eastAsia="en-AU"/>
        </w:rPr>
      </w:pPr>
      <w:r>
        <w:rPr>
          <w:rFonts w:ascii="ZWAdobeF" w:hAnsi="ZWAdobeF" w:cs="ZWAdobeF"/>
          <w:sz w:val="2"/>
          <w:szCs w:val="2"/>
          <w:lang w:eastAsia="en-AU"/>
        </w:rPr>
        <w:t>1173B</w:t>
      </w:r>
      <w:r w:rsidR="00A47A7B" w:rsidRPr="00F178FB">
        <w:rPr>
          <w:lang w:eastAsia="en-AU"/>
        </w:rPr>
        <w:t xml:space="preserve">The operating envelope is designed to evolve allowing system objectives and operating conditions to be updated </w:t>
      </w:r>
      <w:r w:rsidR="00932B67">
        <w:rPr>
          <w:lang w:eastAsia="en-AU"/>
        </w:rPr>
        <w:t>through periodic review and</w:t>
      </w:r>
      <w:r w:rsidR="00A47A7B" w:rsidRPr="00F178FB">
        <w:rPr>
          <w:lang w:eastAsia="en-AU"/>
        </w:rPr>
        <w:t xml:space="preserve"> in response to monitoring, science and changing conditions.</w:t>
      </w:r>
    </w:p>
    <w:p w14:paraId="2947B1CE" w14:textId="451D067B" w:rsidR="00D20541" w:rsidRPr="00685394" w:rsidRDefault="00382EE8" w:rsidP="00D20541">
      <w:pPr>
        <w:rPr>
          <w:lang w:eastAsia="en-AU"/>
        </w:rPr>
      </w:pPr>
      <w:r>
        <w:rPr>
          <w:rFonts w:ascii="ZWAdobeF" w:hAnsi="ZWAdobeF" w:cs="ZWAdobeF"/>
          <w:sz w:val="2"/>
          <w:szCs w:val="2"/>
          <w:lang w:eastAsia="en-AU"/>
        </w:rPr>
        <w:lastRenderedPageBreak/>
        <w:t>1174B</w:t>
      </w:r>
      <w:r w:rsidR="00D20541" w:rsidRPr="6332CC80">
        <w:rPr>
          <w:lang w:eastAsia="en-AU"/>
        </w:rPr>
        <w:t>The envelope</w:t>
      </w:r>
      <w:r w:rsidR="771FDB0D" w:rsidRPr="6332CC80">
        <w:rPr>
          <w:lang w:eastAsia="en-AU"/>
        </w:rPr>
        <w:t xml:space="preserve"> </w:t>
      </w:r>
      <w:r w:rsidR="00D20541" w:rsidRPr="6332CC80">
        <w:rPr>
          <w:lang w:eastAsia="en-AU"/>
        </w:rPr>
        <w:t xml:space="preserve">should be defined using measurable parameters, including flow delivery characteristics, operational flexibility and system performance indicators. These parameters should be informed by science, modelling and agreed objectives and </w:t>
      </w:r>
      <w:r w:rsidR="009371A6" w:rsidRPr="6332CC80">
        <w:rPr>
          <w:lang w:eastAsia="en-AU"/>
        </w:rPr>
        <w:t>be</w:t>
      </w:r>
      <w:r w:rsidR="00D20541" w:rsidRPr="6332CC80">
        <w:rPr>
          <w:lang w:eastAsia="en-AU"/>
        </w:rPr>
        <w:t xml:space="preserve"> updated through periodic review.</w:t>
      </w:r>
    </w:p>
    <w:p w14:paraId="3E7D03BA" w14:textId="367BC40D" w:rsidR="00D20541" w:rsidRPr="00685394" w:rsidRDefault="00382EE8" w:rsidP="00D20541">
      <w:pPr>
        <w:rPr>
          <w:lang w:eastAsia="en-AU"/>
        </w:rPr>
      </w:pPr>
      <w:r>
        <w:rPr>
          <w:rFonts w:ascii="ZWAdobeF" w:hAnsi="ZWAdobeF" w:cs="ZWAdobeF"/>
          <w:sz w:val="2"/>
          <w:szCs w:val="2"/>
          <w:lang w:eastAsia="en-AU"/>
        </w:rPr>
        <w:t>1175B</w:t>
      </w:r>
      <w:r w:rsidR="00D20541" w:rsidRPr="00685394">
        <w:rPr>
          <w:lang w:eastAsia="en-AU"/>
        </w:rPr>
        <w:t>Where outcomes fall outside the envelope a consistent and transparent approach is required to determine financial consequences.</w:t>
      </w:r>
    </w:p>
    <w:p w14:paraId="5D04D2E1" w14:textId="2F99B32E" w:rsidR="00D20541" w:rsidRPr="00685394" w:rsidRDefault="00382EE8" w:rsidP="00D20541">
      <w:pPr>
        <w:rPr>
          <w:lang w:eastAsia="en-AU"/>
        </w:rPr>
      </w:pPr>
      <w:r>
        <w:rPr>
          <w:rFonts w:ascii="ZWAdobeF" w:hAnsi="ZWAdobeF" w:cs="ZWAdobeF"/>
          <w:sz w:val="2"/>
          <w:szCs w:val="2"/>
          <w:lang w:eastAsia="en-AU"/>
        </w:rPr>
        <w:t>1176B</w:t>
      </w:r>
      <w:r w:rsidR="000D02F6" w:rsidRPr="00D550B9">
        <w:rPr>
          <w:lang w:eastAsia="en-AU"/>
        </w:rPr>
        <w:t>Professor Gordon Leslie</w:t>
      </w:r>
      <w:r w:rsidR="000D02F6">
        <w:rPr>
          <w:lang w:eastAsia="en-AU"/>
        </w:rPr>
        <w:t>’s</w:t>
      </w:r>
      <w:r w:rsidR="000D02F6" w:rsidRPr="00685394">
        <w:rPr>
          <w:lang w:eastAsia="en-AU"/>
        </w:rPr>
        <w:t xml:space="preserve"> </w:t>
      </w:r>
      <w:r w:rsidR="7C4704D1" w:rsidRPr="685750C4">
        <w:rPr>
          <w:lang w:eastAsia="en-AU"/>
        </w:rPr>
        <w:t>s</w:t>
      </w:r>
      <w:r w:rsidR="45402CB5" w:rsidRPr="685750C4">
        <w:rPr>
          <w:lang w:eastAsia="en-AU"/>
        </w:rPr>
        <w:t>ubmission</w:t>
      </w:r>
      <w:r w:rsidR="00D20541">
        <w:rPr>
          <w:lang w:eastAsia="en-AU"/>
        </w:rPr>
        <w:t xml:space="preserve"> </w:t>
      </w:r>
      <w:r w:rsidR="000D02F6">
        <w:rPr>
          <w:lang w:eastAsia="en-AU"/>
        </w:rPr>
        <w:t>(</w:t>
      </w:r>
      <w:r w:rsidR="00D20541" w:rsidRPr="00685394">
        <w:rPr>
          <w:lang w:eastAsia="en-AU"/>
        </w:rPr>
        <w:t>Submission</w:t>
      </w:r>
      <w:r w:rsidR="00D20541">
        <w:rPr>
          <w:lang w:eastAsia="en-AU"/>
        </w:rPr>
        <w:t xml:space="preserve"> 85</w:t>
      </w:r>
      <w:r w:rsidR="000D02F6">
        <w:rPr>
          <w:lang w:eastAsia="en-AU"/>
        </w:rPr>
        <w:t>)</w:t>
      </w:r>
      <w:r w:rsidR="00D20541" w:rsidRPr="00685394">
        <w:rPr>
          <w:lang w:eastAsia="en-AU"/>
        </w:rPr>
        <w:t xml:space="preserve"> </w:t>
      </w:r>
      <w:r w:rsidR="00D20541" w:rsidRPr="00D550B9">
        <w:rPr>
          <w:lang w:eastAsia="en-AU"/>
        </w:rPr>
        <w:t>highlight</w:t>
      </w:r>
      <w:r w:rsidR="00D20541">
        <w:rPr>
          <w:lang w:eastAsia="en-AU"/>
        </w:rPr>
        <w:t>ed</w:t>
      </w:r>
      <w:r w:rsidR="00D20541" w:rsidRPr="00D550B9">
        <w:rPr>
          <w:lang w:eastAsia="en-AU"/>
        </w:rPr>
        <w:t xml:space="preserve"> that the effects of water use can be estimated using forward-looking measures of the opportunity cost of foregone electricity generation, reflecting the value of water in the energy system at a given point in time</w:t>
      </w:r>
      <w:r w:rsidR="00D20541" w:rsidRPr="7DFD6B46">
        <w:rPr>
          <w:lang w:eastAsia="en-AU"/>
        </w:rPr>
        <w:t>.</w:t>
      </w:r>
    </w:p>
    <w:p w14:paraId="1D1AF98D" w14:textId="7023FC79" w:rsidR="00D20541" w:rsidRPr="00685394" w:rsidRDefault="00382EE8" w:rsidP="00D20541">
      <w:pPr>
        <w:rPr>
          <w:lang w:eastAsia="en-AU"/>
        </w:rPr>
      </w:pPr>
      <w:r>
        <w:rPr>
          <w:rFonts w:ascii="ZWAdobeF" w:hAnsi="ZWAdobeF" w:cs="ZWAdobeF"/>
          <w:sz w:val="2"/>
          <w:szCs w:val="2"/>
          <w:lang w:eastAsia="en-AU"/>
        </w:rPr>
        <w:t>1177B</w:t>
      </w:r>
      <w:r w:rsidR="00D20541" w:rsidRPr="00685394">
        <w:rPr>
          <w:lang w:eastAsia="en-AU"/>
        </w:rPr>
        <w:t>Approaches of this kind provide a practical basis for valuing system variation in a way that is:</w:t>
      </w:r>
    </w:p>
    <w:p w14:paraId="2EE45AB5" w14:textId="5F23814B" w:rsidR="00D20541" w:rsidRPr="00483563" w:rsidRDefault="00382EE8" w:rsidP="00115BD6">
      <w:pPr>
        <w:pStyle w:val="ListParagraph"/>
        <w:numPr>
          <w:ilvl w:val="0"/>
          <w:numId w:val="61"/>
        </w:numPr>
        <w:rPr>
          <w:lang w:eastAsia="en-AU"/>
        </w:rPr>
      </w:pPr>
      <w:r>
        <w:rPr>
          <w:rFonts w:ascii="ZWAdobeF" w:hAnsi="ZWAdobeF" w:cs="ZWAdobeF"/>
          <w:sz w:val="2"/>
          <w:szCs w:val="2"/>
          <w:lang w:eastAsia="en-AU"/>
        </w:rPr>
        <w:t>354B</w:t>
      </w:r>
      <w:r w:rsidR="00D20541" w:rsidRPr="00483563">
        <w:rPr>
          <w:lang w:eastAsia="en-AU"/>
        </w:rPr>
        <w:t>consistent over time</w:t>
      </w:r>
    </w:p>
    <w:p w14:paraId="0978AC59" w14:textId="5C666452" w:rsidR="00D20541" w:rsidRPr="00483563" w:rsidRDefault="00382EE8" w:rsidP="00115BD6">
      <w:pPr>
        <w:pStyle w:val="ListParagraph"/>
        <w:numPr>
          <w:ilvl w:val="0"/>
          <w:numId w:val="61"/>
        </w:numPr>
        <w:rPr>
          <w:lang w:eastAsia="en-AU"/>
        </w:rPr>
      </w:pPr>
      <w:r>
        <w:rPr>
          <w:rFonts w:ascii="ZWAdobeF" w:hAnsi="ZWAdobeF" w:cs="ZWAdobeF"/>
          <w:sz w:val="2"/>
          <w:szCs w:val="2"/>
          <w:lang w:eastAsia="en-AU"/>
        </w:rPr>
        <w:t>355B</w:t>
      </w:r>
      <w:r w:rsidR="00D20541" w:rsidRPr="00483563">
        <w:rPr>
          <w:lang w:eastAsia="en-AU"/>
        </w:rPr>
        <w:t>transparent and rule-based</w:t>
      </w:r>
    </w:p>
    <w:p w14:paraId="75787698" w14:textId="1F56B4E4" w:rsidR="00D20541" w:rsidRPr="00685394" w:rsidRDefault="00382EE8" w:rsidP="00115BD6">
      <w:pPr>
        <w:pStyle w:val="ListParagraph"/>
        <w:numPr>
          <w:ilvl w:val="0"/>
          <w:numId w:val="61"/>
        </w:numPr>
        <w:rPr>
          <w:lang w:eastAsia="en-AU"/>
        </w:rPr>
      </w:pPr>
      <w:r>
        <w:rPr>
          <w:rFonts w:ascii="ZWAdobeF" w:hAnsi="ZWAdobeF" w:cs="ZWAdobeF"/>
          <w:sz w:val="2"/>
          <w:szCs w:val="2"/>
          <w:lang w:eastAsia="en-AU"/>
        </w:rPr>
        <w:t>356B</w:t>
      </w:r>
      <w:r w:rsidR="00D20541" w:rsidRPr="00685394">
        <w:rPr>
          <w:lang w:eastAsia="en-AU"/>
        </w:rPr>
        <w:t>responsive to changing market and system conditions</w:t>
      </w:r>
      <w:r w:rsidR="008C45BB">
        <w:rPr>
          <w:lang w:eastAsia="en-AU"/>
        </w:rPr>
        <w:t>.</w:t>
      </w:r>
    </w:p>
    <w:p w14:paraId="296AA220" w14:textId="7866EB1D" w:rsidR="00D20541" w:rsidRDefault="00382EE8" w:rsidP="00D20541">
      <w:pPr>
        <w:rPr>
          <w:lang w:eastAsia="en-AU"/>
        </w:rPr>
      </w:pPr>
      <w:r>
        <w:rPr>
          <w:rFonts w:ascii="ZWAdobeF" w:hAnsi="ZWAdobeF" w:cs="ZWAdobeF"/>
          <w:sz w:val="2"/>
          <w:szCs w:val="2"/>
          <w:lang w:eastAsia="en-AU"/>
        </w:rPr>
        <w:t>1178B</w:t>
      </w:r>
      <w:r w:rsidR="00D20541" w:rsidRPr="00685394">
        <w:rPr>
          <w:lang w:eastAsia="en-AU"/>
        </w:rPr>
        <w:t>This allows financial consequences to be applied in a predictable manner, supporting adaptive management while avoiding case-by-case negotiation.</w:t>
      </w:r>
    </w:p>
    <w:p w14:paraId="7ADA77AB" w14:textId="0D25A63B" w:rsidR="00D20541" w:rsidRDefault="00382EE8" w:rsidP="00D20541">
      <w:pPr>
        <w:rPr>
          <w:lang w:eastAsia="en-AU"/>
        </w:rPr>
      </w:pPr>
      <w:r>
        <w:rPr>
          <w:rFonts w:ascii="ZWAdobeF" w:hAnsi="ZWAdobeF" w:cs="ZWAdobeF"/>
          <w:sz w:val="2"/>
          <w:szCs w:val="2"/>
          <w:lang w:eastAsia="en-AU"/>
        </w:rPr>
        <w:t>1179B</w:t>
      </w:r>
      <w:r w:rsidR="00D20541" w:rsidRPr="00061D79">
        <w:rPr>
          <w:lang w:eastAsia="en-AU"/>
        </w:rPr>
        <w:t>For example, valuation approaches may estimate the expected change in electricity generation associated with water releases, combined with forecast energy prices, to approximate the economic effect.</w:t>
      </w:r>
    </w:p>
    <w:p w14:paraId="2A2DD75B" w14:textId="2FDB5A58" w:rsidR="00D20541" w:rsidRPr="001D28AD" w:rsidRDefault="00382EE8" w:rsidP="00D20541">
      <w:pPr>
        <w:rPr>
          <w:lang w:eastAsia="en-AU"/>
        </w:rPr>
      </w:pPr>
      <w:r>
        <w:rPr>
          <w:rFonts w:ascii="ZWAdobeF" w:hAnsi="ZWAdobeF" w:cs="ZWAdobeF"/>
          <w:sz w:val="2"/>
          <w:szCs w:val="2"/>
          <w:lang w:eastAsia="en-AU"/>
        </w:rPr>
        <w:t>1180B</w:t>
      </w:r>
      <w:r w:rsidR="00D20541" w:rsidRPr="00156296">
        <w:rPr>
          <w:lang w:eastAsia="en-AU"/>
        </w:rPr>
        <w:t xml:space="preserve">Further detail on the design and implementation of the operating envelope, valuation methodology, trigger mechanisms and institutional roles is provided in </w:t>
      </w:r>
      <w:r w:rsidR="00D20541" w:rsidRPr="00693AD7">
        <w:rPr>
          <w:b/>
          <w:lang w:eastAsia="en-AU"/>
        </w:rPr>
        <w:t xml:space="preserve">Appendix </w:t>
      </w:r>
      <w:r w:rsidR="0016044E" w:rsidRPr="00693AD7">
        <w:rPr>
          <w:b/>
          <w:bCs/>
          <w:lang w:eastAsia="en-AU"/>
        </w:rPr>
        <w:t>C</w:t>
      </w:r>
      <w:r w:rsidR="00D20541" w:rsidRPr="00693AD7">
        <w:rPr>
          <w:lang w:eastAsia="en-AU"/>
        </w:rPr>
        <w:t>.</w:t>
      </w:r>
      <w:r w:rsidR="00D20541" w:rsidRPr="001D28AD">
        <w:rPr>
          <w:lang w:eastAsia="en-AU"/>
        </w:rPr>
        <w:t xml:space="preserve"> These elements will require further development by governments as part of implementation of the reformed framework, taking into account system objectives, market conditions and governance arrangements.</w:t>
      </w:r>
    </w:p>
    <w:p w14:paraId="148019F1" w14:textId="588E86EB" w:rsidR="00866404" w:rsidRDefault="00A050B5" w:rsidP="00A050B5">
      <w:pPr>
        <w:pStyle w:val="Sub-Heading"/>
      </w:pPr>
      <w:r>
        <w:t>Decision framework for adaptive operation</w:t>
      </w:r>
    </w:p>
    <w:p w14:paraId="6C47655A" w14:textId="5C9DE15B" w:rsidR="002D20C9" w:rsidRDefault="00382EE8" w:rsidP="002D20C9">
      <w:pPr>
        <w:rPr>
          <w:lang w:eastAsia="en-AU"/>
        </w:rPr>
      </w:pPr>
      <w:r>
        <w:rPr>
          <w:rFonts w:ascii="ZWAdobeF" w:hAnsi="ZWAdobeF" w:cs="ZWAdobeF"/>
          <w:sz w:val="2"/>
          <w:szCs w:val="2"/>
          <w:lang w:eastAsia="en-AU"/>
        </w:rPr>
        <w:t>1181B</w:t>
      </w:r>
      <w:r w:rsidR="001A16B6">
        <w:rPr>
          <w:lang w:eastAsia="en-AU"/>
        </w:rPr>
        <w:t xml:space="preserve">The </w:t>
      </w:r>
      <w:r w:rsidR="002C5DF4">
        <w:rPr>
          <w:lang w:eastAsia="en-AU"/>
        </w:rPr>
        <w:t>f</w:t>
      </w:r>
      <w:r w:rsidR="001A16B6">
        <w:rPr>
          <w:lang w:eastAsia="en-AU"/>
        </w:rPr>
        <w:t xml:space="preserve">inal </w:t>
      </w:r>
      <w:r w:rsidR="002C5DF4">
        <w:rPr>
          <w:lang w:eastAsia="en-AU"/>
        </w:rPr>
        <w:t>r</w:t>
      </w:r>
      <w:r w:rsidR="001A16B6">
        <w:rPr>
          <w:lang w:eastAsia="en-AU"/>
        </w:rPr>
        <w:t xml:space="preserve">eport will include a recommended decision framework for adaptive operation that will </w:t>
      </w:r>
      <w:r w:rsidR="002D20C9" w:rsidRPr="00842A2C">
        <w:rPr>
          <w:lang w:eastAsia="en-AU"/>
        </w:rPr>
        <w:t>support adaptive management by distinguishing between normal variation, agreed changes and material deviations.</w:t>
      </w:r>
    </w:p>
    <w:p w14:paraId="5E116792" w14:textId="2530EEC3" w:rsidR="0073063E" w:rsidRDefault="0073063E" w:rsidP="0073063E">
      <w:pPr>
        <w:pStyle w:val="Sub-Heading"/>
      </w:pPr>
      <w:r>
        <w:t>Implications</w:t>
      </w:r>
    </w:p>
    <w:p w14:paraId="2278AEBE" w14:textId="4D193F4A" w:rsidR="00536F81" w:rsidRPr="001E641B" w:rsidRDefault="00382EE8" w:rsidP="00536F81">
      <w:pPr>
        <w:rPr>
          <w:lang w:eastAsia="en-AU"/>
        </w:rPr>
      </w:pPr>
      <w:r>
        <w:rPr>
          <w:rFonts w:ascii="ZWAdobeF" w:hAnsi="ZWAdobeF" w:cs="ZWAdobeF"/>
          <w:sz w:val="2"/>
          <w:szCs w:val="2"/>
          <w:lang w:eastAsia="en-AU"/>
        </w:rPr>
        <w:t>1182B</w:t>
      </w:r>
      <w:r w:rsidR="00536F81" w:rsidRPr="001E641B">
        <w:rPr>
          <w:lang w:eastAsia="en-AU"/>
        </w:rPr>
        <w:t>Th</w:t>
      </w:r>
      <w:r w:rsidR="00B9246F">
        <w:rPr>
          <w:lang w:eastAsia="en-AU"/>
        </w:rPr>
        <w:t>e</w:t>
      </w:r>
      <w:r w:rsidR="00536F81" w:rsidRPr="001E641B">
        <w:rPr>
          <w:lang w:eastAsia="en-AU"/>
        </w:rPr>
        <w:t xml:space="preserve"> </w:t>
      </w:r>
      <w:r w:rsidR="00AE5BB0">
        <w:rPr>
          <w:lang w:eastAsia="en-AU"/>
        </w:rPr>
        <w:t>deci</w:t>
      </w:r>
      <w:r w:rsidR="00D81382">
        <w:rPr>
          <w:lang w:eastAsia="en-AU"/>
        </w:rPr>
        <w:t xml:space="preserve">sion </w:t>
      </w:r>
      <w:r w:rsidR="00536F81" w:rsidRPr="001E641B">
        <w:rPr>
          <w:lang w:eastAsia="en-AU"/>
        </w:rPr>
        <w:t>framework:</w:t>
      </w:r>
    </w:p>
    <w:p w14:paraId="0AD47E00" w14:textId="05313DB7" w:rsidR="00536F81" w:rsidRPr="001E641B" w:rsidRDefault="00382EE8" w:rsidP="00115BD6">
      <w:pPr>
        <w:pStyle w:val="ListParagraph"/>
        <w:numPr>
          <w:ilvl w:val="0"/>
          <w:numId w:val="62"/>
        </w:numPr>
        <w:rPr>
          <w:lang w:eastAsia="en-AU"/>
        </w:rPr>
      </w:pPr>
      <w:r>
        <w:rPr>
          <w:rFonts w:ascii="ZWAdobeF" w:hAnsi="ZWAdobeF" w:cs="ZWAdobeF"/>
          <w:sz w:val="2"/>
          <w:szCs w:val="2"/>
          <w:lang w:eastAsia="en-AU"/>
        </w:rPr>
        <w:t>357B</w:t>
      </w:r>
      <w:r w:rsidR="00536F81" w:rsidRPr="001E641B">
        <w:rPr>
          <w:lang w:eastAsia="en-AU"/>
        </w:rPr>
        <w:t>removes barriers to reform and updat</w:t>
      </w:r>
      <w:r w:rsidR="0074255A">
        <w:rPr>
          <w:lang w:eastAsia="en-AU"/>
        </w:rPr>
        <w:t>es</w:t>
      </w:r>
      <w:r w:rsidR="00536F81" w:rsidRPr="001E641B">
        <w:rPr>
          <w:lang w:eastAsia="en-AU"/>
        </w:rPr>
        <w:t xml:space="preserve"> licence settings</w:t>
      </w:r>
    </w:p>
    <w:p w14:paraId="14F28AB6" w14:textId="53C344BF" w:rsidR="00536F81" w:rsidRPr="001E641B" w:rsidRDefault="00382EE8" w:rsidP="00115BD6">
      <w:pPr>
        <w:pStyle w:val="ListParagraph"/>
        <w:numPr>
          <w:ilvl w:val="0"/>
          <w:numId w:val="62"/>
        </w:numPr>
        <w:rPr>
          <w:lang w:eastAsia="en-AU"/>
        </w:rPr>
      </w:pPr>
      <w:r>
        <w:rPr>
          <w:rFonts w:ascii="ZWAdobeF" w:hAnsi="ZWAdobeF" w:cs="ZWAdobeF"/>
          <w:sz w:val="2"/>
          <w:szCs w:val="2"/>
          <w:lang w:eastAsia="en-AU"/>
        </w:rPr>
        <w:t>358B</w:t>
      </w:r>
      <w:r w:rsidR="00536F81" w:rsidRPr="001E641B">
        <w:rPr>
          <w:lang w:eastAsia="en-AU"/>
        </w:rPr>
        <w:t>supports adaptive management and continuous improvement</w:t>
      </w:r>
    </w:p>
    <w:p w14:paraId="37C0313F" w14:textId="7C834A38" w:rsidR="00536F81" w:rsidRPr="001E641B" w:rsidRDefault="00382EE8" w:rsidP="00115BD6">
      <w:pPr>
        <w:pStyle w:val="ListParagraph"/>
        <w:numPr>
          <w:ilvl w:val="0"/>
          <w:numId w:val="62"/>
        </w:numPr>
        <w:rPr>
          <w:lang w:eastAsia="en-AU"/>
        </w:rPr>
      </w:pPr>
      <w:r>
        <w:rPr>
          <w:rFonts w:ascii="ZWAdobeF" w:hAnsi="ZWAdobeF" w:cs="ZWAdobeF"/>
          <w:sz w:val="2"/>
          <w:szCs w:val="2"/>
          <w:lang w:eastAsia="en-AU"/>
        </w:rPr>
        <w:t>359B</w:t>
      </w:r>
      <w:r w:rsidR="00536F81" w:rsidRPr="001E641B">
        <w:rPr>
          <w:lang w:eastAsia="en-AU"/>
        </w:rPr>
        <w:t>replaces ad hoc compensation</w:t>
      </w:r>
      <w:r w:rsidR="00332D90">
        <w:rPr>
          <w:lang w:eastAsia="en-AU"/>
        </w:rPr>
        <w:t xml:space="preserve"> under the Snowy Compensation Deed</w:t>
      </w:r>
      <w:r w:rsidR="00536F81" w:rsidRPr="001E641B">
        <w:rPr>
          <w:lang w:eastAsia="en-AU"/>
        </w:rPr>
        <w:t xml:space="preserve"> with clear, rules-based outcomes</w:t>
      </w:r>
    </w:p>
    <w:p w14:paraId="632E2283" w14:textId="3E6D2723" w:rsidR="00536F81" w:rsidRPr="001E641B" w:rsidRDefault="00382EE8" w:rsidP="00115BD6">
      <w:pPr>
        <w:pStyle w:val="ListParagraph"/>
        <w:numPr>
          <w:ilvl w:val="0"/>
          <w:numId w:val="62"/>
        </w:numPr>
        <w:rPr>
          <w:lang w:eastAsia="en-AU"/>
        </w:rPr>
      </w:pPr>
      <w:r>
        <w:rPr>
          <w:rFonts w:ascii="ZWAdobeF" w:hAnsi="ZWAdobeF" w:cs="ZWAdobeF"/>
          <w:sz w:val="2"/>
          <w:szCs w:val="2"/>
          <w:lang w:eastAsia="en-AU"/>
        </w:rPr>
        <w:t>360B</w:t>
      </w:r>
      <w:r w:rsidR="00536F81" w:rsidRPr="001E641B">
        <w:rPr>
          <w:lang w:eastAsia="en-AU"/>
        </w:rPr>
        <w:t>aligns incentives toward delivery of system-level outcomes</w:t>
      </w:r>
    </w:p>
    <w:p w14:paraId="7BEEF99E" w14:textId="4420EE92" w:rsidR="00536F81" w:rsidRDefault="00382EE8" w:rsidP="00115BD6">
      <w:pPr>
        <w:pStyle w:val="ListParagraph"/>
        <w:numPr>
          <w:ilvl w:val="0"/>
          <w:numId w:val="62"/>
        </w:numPr>
        <w:rPr>
          <w:lang w:eastAsia="en-AU"/>
        </w:rPr>
      </w:pPr>
      <w:r>
        <w:rPr>
          <w:rFonts w:ascii="ZWAdobeF" w:hAnsi="ZWAdobeF" w:cs="ZWAdobeF"/>
          <w:sz w:val="2"/>
          <w:szCs w:val="2"/>
          <w:lang w:eastAsia="en-AU"/>
        </w:rPr>
        <w:t>361B</w:t>
      </w:r>
      <w:r w:rsidR="00536F81" w:rsidRPr="001E641B">
        <w:rPr>
          <w:lang w:eastAsia="en-AU"/>
        </w:rPr>
        <w:t>provides transparent and predictable management of trade-offs</w:t>
      </w:r>
      <w:r w:rsidR="31A0B79A" w:rsidRPr="5583B0F2">
        <w:rPr>
          <w:lang w:eastAsia="en-AU"/>
        </w:rPr>
        <w:t>.</w:t>
      </w:r>
    </w:p>
    <w:p w14:paraId="19EB102C" w14:textId="79DD916D" w:rsidR="00536F81" w:rsidRPr="001A584B" w:rsidRDefault="00382EE8" w:rsidP="00536F81">
      <w:pPr>
        <w:rPr>
          <w:lang w:eastAsia="en-AU"/>
        </w:rPr>
      </w:pPr>
      <w:r>
        <w:rPr>
          <w:rFonts w:ascii="ZWAdobeF" w:hAnsi="ZWAdobeF" w:cs="ZWAdobeF"/>
          <w:sz w:val="2"/>
          <w:szCs w:val="2"/>
          <w:lang w:eastAsia="en-AU"/>
        </w:rPr>
        <w:t>1183B</w:t>
      </w:r>
      <w:r w:rsidR="00536F81" w:rsidRPr="001A584B">
        <w:rPr>
          <w:lang w:eastAsia="en-AU"/>
        </w:rPr>
        <w:t>Implementation of the framework requires:</w:t>
      </w:r>
    </w:p>
    <w:p w14:paraId="69D81F81" w14:textId="1F938838" w:rsidR="00536F81" w:rsidRPr="001A584B" w:rsidRDefault="00382EE8" w:rsidP="00115BD6">
      <w:pPr>
        <w:pStyle w:val="ListParagraph"/>
        <w:numPr>
          <w:ilvl w:val="0"/>
          <w:numId w:val="63"/>
        </w:numPr>
        <w:rPr>
          <w:lang w:eastAsia="en-AU"/>
        </w:rPr>
      </w:pPr>
      <w:r>
        <w:rPr>
          <w:rFonts w:ascii="ZWAdobeF" w:hAnsi="ZWAdobeF" w:cs="ZWAdobeF"/>
          <w:sz w:val="2"/>
          <w:szCs w:val="2"/>
          <w:lang w:eastAsia="en-AU"/>
        </w:rPr>
        <w:t>362B</w:t>
      </w:r>
      <w:r w:rsidR="00536F81" w:rsidRPr="001A584B">
        <w:rPr>
          <w:lang w:eastAsia="en-AU"/>
        </w:rPr>
        <w:t>definition of an operating envelope</w:t>
      </w:r>
    </w:p>
    <w:p w14:paraId="233D888F" w14:textId="3C298301" w:rsidR="00536F81" w:rsidRPr="001A584B" w:rsidRDefault="00382EE8" w:rsidP="00115BD6">
      <w:pPr>
        <w:pStyle w:val="ListParagraph"/>
        <w:numPr>
          <w:ilvl w:val="0"/>
          <w:numId w:val="63"/>
        </w:numPr>
        <w:rPr>
          <w:lang w:eastAsia="en-AU"/>
        </w:rPr>
      </w:pPr>
      <w:r>
        <w:rPr>
          <w:rFonts w:ascii="ZWAdobeF" w:hAnsi="ZWAdobeF" w:cs="ZWAdobeF"/>
          <w:sz w:val="2"/>
          <w:szCs w:val="2"/>
          <w:lang w:eastAsia="en-AU"/>
        </w:rPr>
        <w:t>363B</w:t>
      </w:r>
      <w:r w:rsidR="00536F81" w:rsidRPr="001A584B">
        <w:rPr>
          <w:lang w:eastAsia="en-AU"/>
        </w:rPr>
        <w:t>clear trigger and escalation rules</w:t>
      </w:r>
    </w:p>
    <w:p w14:paraId="0AAC909F" w14:textId="7424A060" w:rsidR="00536F81" w:rsidRPr="001A584B" w:rsidRDefault="00382EE8" w:rsidP="00115BD6">
      <w:pPr>
        <w:pStyle w:val="ListParagraph"/>
        <w:numPr>
          <w:ilvl w:val="0"/>
          <w:numId w:val="63"/>
        </w:numPr>
        <w:rPr>
          <w:lang w:eastAsia="en-AU"/>
        </w:rPr>
      </w:pPr>
      <w:r>
        <w:rPr>
          <w:rFonts w:ascii="ZWAdobeF" w:hAnsi="ZWAdobeF" w:cs="ZWAdobeF"/>
          <w:sz w:val="2"/>
          <w:szCs w:val="2"/>
          <w:lang w:eastAsia="en-AU"/>
        </w:rPr>
        <w:t>364B</w:t>
      </w:r>
      <w:r w:rsidR="00536F81" w:rsidRPr="001A584B">
        <w:rPr>
          <w:lang w:eastAsia="en-AU"/>
        </w:rPr>
        <w:t>a transparent valuation methodology</w:t>
      </w:r>
    </w:p>
    <w:p w14:paraId="1934DFDB" w14:textId="5D21C8E3" w:rsidR="00536F81" w:rsidRPr="001A584B" w:rsidRDefault="00382EE8" w:rsidP="00115BD6">
      <w:pPr>
        <w:pStyle w:val="ListParagraph"/>
        <w:numPr>
          <w:ilvl w:val="0"/>
          <w:numId w:val="63"/>
        </w:numPr>
        <w:rPr>
          <w:lang w:eastAsia="en-AU"/>
        </w:rPr>
      </w:pPr>
      <w:r>
        <w:rPr>
          <w:rFonts w:ascii="ZWAdobeF" w:hAnsi="ZWAdobeF" w:cs="ZWAdobeF"/>
          <w:sz w:val="2"/>
          <w:szCs w:val="2"/>
          <w:lang w:eastAsia="en-AU"/>
        </w:rPr>
        <w:lastRenderedPageBreak/>
        <w:t>365B</w:t>
      </w:r>
      <w:r w:rsidR="00536F81" w:rsidRPr="001A584B">
        <w:rPr>
          <w:lang w:eastAsia="en-AU"/>
        </w:rPr>
        <w:t>defined institutional roles and responsibilities</w:t>
      </w:r>
      <w:r w:rsidR="3A150B0A" w:rsidRPr="1AB5B100">
        <w:rPr>
          <w:lang w:eastAsia="en-AU"/>
        </w:rPr>
        <w:t>.</w:t>
      </w:r>
    </w:p>
    <w:p w14:paraId="1C7CA1F6" w14:textId="70A74C2A" w:rsidR="00536F81" w:rsidRPr="001A584B" w:rsidRDefault="00382EE8" w:rsidP="00536F81">
      <w:pPr>
        <w:rPr>
          <w:lang w:eastAsia="en-AU"/>
        </w:rPr>
      </w:pPr>
      <w:r>
        <w:rPr>
          <w:rFonts w:ascii="ZWAdobeF" w:hAnsi="ZWAdobeF" w:cs="ZWAdobeF"/>
          <w:sz w:val="2"/>
          <w:szCs w:val="2"/>
          <w:lang w:eastAsia="en-AU"/>
        </w:rPr>
        <w:t>1184B</w:t>
      </w:r>
      <w:r w:rsidR="00536F81" w:rsidRPr="001A584B">
        <w:rPr>
          <w:lang w:eastAsia="en-AU"/>
        </w:rPr>
        <w:t>These elements should be developed during implementation and reviewed periodically to support adaptive system management.</w:t>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0B4EA6" w14:paraId="410440CF" w14:textId="77777777">
        <w:tc>
          <w:tcPr>
            <w:tcW w:w="9288" w:type="dxa"/>
            <w:shd w:val="clear" w:color="auto" w:fill="000099"/>
          </w:tcPr>
          <w:p w14:paraId="380C0ABA" w14:textId="67598745" w:rsidR="000B4EA6" w:rsidRPr="00A17844" w:rsidRDefault="00382EE8">
            <w:pPr>
              <w:pStyle w:val="RecsBox"/>
              <w:rPr>
                <w:b/>
                <w:bCs/>
              </w:rPr>
            </w:pPr>
            <w:r>
              <w:rPr>
                <w:rFonts w:ascii="ZWAdobeF" w:hAnsi="ZWAdobeF" w:cs="ZWAdobeF"/>
                <w:bCs/>
                <w:sz w:val="2"/>
                <w:szCs w:val="2"/>
              </w:rPr>
              <w:t>1627B</w:t>
            </w:r>
            <w:r w:rsidR="000B4EA6" w:rsidRPr="00A17844">
              <w:rPr>
                <w:b/>
                <w:bCs/>
              </w:rPr>
              <w:t>Recommendations</w:t>
            </w:r>
          </w:p>
        </w:tc>
      </w:tr>
      <w:tr w:rsidR="000B4EA6" w14:paraId="2617C94C" w14:textId="77777777">
        <w:tc>
          <w:tcPr>
            <w:tcW w:w="9288" w:type="dxa"/>
          </w:tcPr>
          <w:p w14:paraId="25E7E89F" w14:textId="1630C09A" w:rsidR="009C37CC" w:rsidRPr="009C37CC" w:rsidRDefault="00382EE8" w:rsidP="009C37CC">
            <w:pPr>
              <w:pStyle w:val="RecsBox"/>
              <w:rPr>
                <w:rFonts w:eastAsia="Aptos"/>
                <w:b/>
                <w:bCs/>
              </w:rPr>
            </w:pPr>
            <w:r>
              <w:rPr>
                <w:rFonts w:ascii="ZWAdobeF" w:eastAsia="Aptos" w:hAnsi="ZWAdobeF" w:cs="ZWAdobeF"/>
                <w:bCs/>
                <w:sz w:val="2"/>
                <w:szCs w:val="2"/>
              </w:rPr>
              <w:t>1628B</w:t>
            </w:r>
            <w:r w:rsidR="009C37CC" w:rsidRPr="009C37CC">
              <w:rPr>
                <w:rFonts w:eastAsia="Aptos"/>
                <w:b/>
                <w:bCs/>
              </w:rPr>
              <w:t xml:space="preserve">Recommendation 24 – Establish a Rule-based Compensation Framework </w:t>
            </w:r>
          </w:p>
          <w:p w14:paraId="789C1C78" w14:textId="409B058D" w:rsidR="009C37CC" w:rsidRPr="00A64286" w:rsidRDefault="00382EE8" w:rsidP="009C37CC">
            <w:pPr>
              <w:pStyle w:val="RecsBox"/>
              <w:rPr>
                <w:rFonts w:eastAsia="Aptos"/>
              </w:rPr>
            </w:pPr>
            <w:r>
              <w:rPr>
                <w:rFonts w:ascii="ZWAdobeF" w:eastAsia="Aptos" w:hAnsi="ZWAdobeF" w:cs="ZWAdobeF"/>
                <w:sz w:val="2"/>
                <w:szCs w:val="2"/>
              </w:rPr>
              <w:t>1629B</w:t>
            </w:r>
            <w:r w:rsidR="009C37CC" w:rsidRPr="00A64286">
              <w:rPr>
                <w:rFonts w:eastAsia="Aptos"/>
              </w:rPr>
              <w:t>Governments establish a rule-based compensation framework that limits compensation to clearly defined circumstances and supports adaptive system management. Under this framework:</w:t>
            </w:r>
          </w:p>
          <w:p w14:paraId="17FD2D45" w14:textId="0E8C8A1C" w:rsidR="009C37CC" w:rsidRPr="00A64286" w:rsidRDefault="00382EE8">
            <w:pPr>
              <w:pStyle w:val="RecsBox"/>
              <w:numPr>
                <w:ilvl w:val="0"/>
                <w:numId w:val="156"/>
              </w:numPr>
              <w:rPr>
                <w:rFonts w:eastAsia="Aptos"/>
              </w:rPr>
            </w:pPr>
            <w:r>
              <w:rPr>
                <w:rFonts w:ascii="ZWAdobeF" w:eastAsia="Aptos" w:hAnsi="ZWAdobeF" w:cs="ZWAdobeF"/>
                <w:sz w:val="2"/>
                <w:szCs w:val="2"/>
              </w:rPr>
              <w:t>1630B</w:t>
            </w:r>
            <w:r w:rsidR="009C37CC" w:rsidRPr="00A64286">
              <w:rPr>
                <w:rFonts w:eastAsia="Aptos"/>
              </w:rPr>
              <w:t>no compensation applies to changes agreed through periodic reviews, audits or updates to objectives and operating arrangements</w:t>
            </w:r>
          </w:p>
          <w:p w14:paraId="66BE6557" w14:textId="5C67A0B1" w:rsidR="009C37CC" w:rsidRPr="00A64286" w:rsidRDefault="00382EE8">
            <w:pPr>
              <w:pStyle w:val="RecsBox"/>
              <w:numPr>
                <w:ilvl w:val="0"/>
                <w:numId w:val="156"/>
              </w:numPr>
              <w:rPr>
                <w:rFonts w:eastAsia="Aptos"/>
              </w:rPr>
            </w:pPr>
            <w:r>
              <w:rPr>
                <w:rFonts w:ascii="ZWAdobeF" w:eastAsia="Aptos" w:hAnsi="ZWAdobeF" w:cs="ZWAdobeF"/>
                <w:sz w:val="2"/>
                <w:szCs w:val="2"/>
              </w:rPr>
              <w:t>1631B</w:t>
            </w:r>
            <w:r w:rsidR="009C37CC" w:rsidRPr="00A64286">
              <w:rPr>
                <w:rFonts w:eastAsia="Aptos"/>
              </w:rPr>
              <w:t>compensation applies only where outcomes fall outside a defined operating envelope, with impacts assessed against agreed criteria</w:t>
            </w:r>
          </w:p>
          <w:p w14:paraId="31429A11" w14:textId="1ACA428B" w:rsidR="009C37CC" w:rsidRPr="00A64286" w:rsidRDefault="00382EE8">
            <w:pPr>
              <w:pStyle w:val="RecsBox"/>
              <w:numPr>
                <w:ilvl w:val="0"/>
                <w:numId w:val="156"/>
              </w:numPr>
              <w:rPr>
                <w:rFonts w:eastAsia="Aptos"/>
              </w:rPr>
            </w:pPr>
            <w:r>
              <w:rPr>
                <w:rFonts w:ascii="ZWAdobeF" w:eastAsia="Aptos" w:hAnsi="ZWAdobeF" w:cs="ZWAdobeF"/>
                <w:sz w:val="2"/>
                <w:szCs w:val="2"/>
              </w:rPr>
              <w:t>1632B</w:t>
            </w:r>
            <w:r w:rsidR="009C37CC" w:rsidRPr="00A64286">
              <w:rPr>
                <w:rFonts w:eastAsia="Aptos"/>
              </w:rPr>
              <w:t>the amount of any compensation is determined using a transparent, publicly available method or formula.</w:t>
            </w:r>
          </w:p>
          <w:p w14:paraId="631D4162" w14:textId="77777777" w:rsidR="009C37CC" w:rsidRPr="00A64286" w:rsidRDefault="009C37CC" w:rsidP="009C37CC">
            <w:pPr>
              <w:pStyle w:val="RecsBox"/>
              <w:rPr>
                <w:rFonts w:eastAsia="Aptos"/>
              </w:rPr>
            </w:pPr>
          </w:p>
          <w:p w14:paraId="74624A2E" w14:textId="1C022ECD" w:rsidR="009C37CC" w:rsidRPr="00A64286" w:rsidRDefault="00382EE8" w:rsidP="009C37CC">
            <w:pPr>
              <w:pStyle w:val="RecsBox"/>
              <w:rPr>
                <w:rFonts w:eastAsia="Aptos"/>
              </w:rPr>
            </w:pPr>
            <w:r>
              <w:rPr>
                <w:rFonts w:ascii="ZWAdobeF" w:eastAsia="Aptos" w:hAnsi="ZWAdobeF" w:cs="ZWAdobeF"/>
                <w:sz w:val="2"/>
                <w:szCs w:val="2"/>
              </w:rPr>
              <w:t>1633B</w:t>
            </w:r>
            <w:r w:rsidR="009C37CC" w:rsidRPr="00A64286">
              <w:rPr>
                <w:rFonts w:eastAsia="Aptos"/>
              </w:rPr>
              <w:t xml:space="preserve">The framework </w:t>
            </w:r>
            <w:r w:rsidR="009C37CC">
              <w:rPr>
                <w:rFonts w:eastAsia="Aptos"/>
              </w:rPr>
              <w:t xml:space="preserve">is to </w:t>
            </w:r>
            <w:r w:rsidR="009C37CC" w:rsidRPr="00A64286">
              <w:rPr>
                <w:rFonts w:eastAsia="Aptos"/>
              </w:rPr>
              <w:t>also include:</w:t>
            </w:r>
          </w:p>
          <w:p w14:paraId="79C4B108" w14:textId="0896CB4E" w:rsidR="009C37CC" w:rsidRPr="00A64286" w:rsidRDefault="00382EE8">
            <w:pPr>
              <w:pStyle w:val="RecsBox"/>
              <w:numPr>
                <w:ilvl w:val="0"/>
                <w:numId w:val="157"/>
              </w:numPr>
              <w:rPr>
                <w:rFonts w:eastAsia="Aptos"/>
              </w:rPr>
            </w:pPr>
            <w:r>
              <w:rPr>
                <w:rFonts w:ascii="ZWAdobeF" w:eastAsia="Aptos" w:hAnsi="ZWAdobeF" w:cs="ZWAdobeF"/>
                <w:sz w:val="2"/>
                <w:szCs w:val="2"/>
              </w:rPr>
              <w:t>1634B</w:t>
            </w:r>
            <w:r w:rsidR="009C37CC" w:rsidRPr="00A64286">
              <w:rPr>
                <w:rFonts w:eastAsia="Aptos"/>
              </w:rPr>
              <w:t>clear triggers and rules for when compensation applies</w:t>
            </w:r>
          </w:p>
          <w:p w14:paraId="3E3F8681" w14:textId="583F1F0B" w:rsidR="000B4EA6" w:rsidRPr="00AB4143" w:rsidRDefault="00382EE8">
            <w:pPr>
              <w:pStyle w:val="RecsBox"/>
              <w:numPr>
                <w:ilvl w:val="0"/>
                <w:numId w:val="157"/>
              </w:numPr>
            </w:pPr>
            <w:r>
              <w:rPr>
                <w:rFonts w:ascii="ZWAdobeF" w:eastAsia="Aptos" w:hAnsi="ZWAdobeF" w:cs="ZWAdobeF"/>
                <w:sz w:val="2"/>
                <w:szCs w:val="2"/>
              </w:rPr>
              <w:t>1635B</w:t>
            </w:r>
            <w:r w:rsidR="009C37CC" w:rsidRPr="00A64286">
              <w:rPr>
                <w:rFonts w:eastAsia="Aptos"/>
              </w:rPr>
              <w:t>compliance enforcement, including financial penalties for non-performance against agreed obligations.</w:t>
            </w:r>
          </w:p>
        </w:tc>
      </w:tr>
    </w:tbl>
    <w:p w14:paraId="2C29F4AA" w14:textId="77777777" w:rsidR="000B4EA6" w:rsidRPr="001A584B" w:rsidRDefault="000B4EA6" w:rsidP="00536F81">
      <w:pPr>
        <w:rPr>
          <w:lang w:eastAsia="en-AU"/>
        </w:rPr>
      </w:pPr>
    </w:p>
    <w:p w14:paraId="4F1F2781" w14:textId="5200B05D" w:rsidR="00D77304" w:rsidRDefault="004665B8" w:rsidP="00E82746">
      <w:pPr>
        <w:pStyle w:val="ReviewHeading2"/>
        <w:jc w:val="left"/>
      </w:pPr>
      <w:bookmarkStart w:id="132" w:name="_Toc233285618"/>
      <w:bookmarkStart w:id="133" w:name="_Toc233801497"/>
      <w:r>
        <w:t xml:space="preserve">6.7 </w:t>
      </w:r>
      <w:r w:rsidR="00D77304">
        <w:t>Conclusion</w:t>
      </w:r>
      <w:bookmarkEnd w:id="132"/>
      <w:bookmarkEnd w:id="133"/>
    </w:p>
    <w:p w14:paraId="3FFC98CB" w14:textId="23ED0E02" w:rsidR="004665B8" w:rsidRPr="004665B8" w:rsidRDefault="00382EE8" w:rsidP="00CC7A58">
      <w:pPr>
        <w:rPr>
          <w:lang w:eastAsia="en-AU"/>
        </w:rPr>
      </w:pPr>
      <w:r>
        <w:rPr>
          <w:rFonts w:ascii="ZWAdobeF" w:hAnsi="ZWAdobeF" w:cs="ZWAdobeF"/>
          <w:sz w:val="2"/>
          <w:szCs w:val="2"/>
          <w:lang w:eastAsia="en-AU"/>
        </w:rPr>
        <w:t>1185B</w:t>
      </w:r>
      <w:r w:rsidR="004665B8" w:rsidRPr="004665B8">
        <w:rPr>
          <w:lang w:eastAsia="en-AU"/>
        </w:rPr>
        <w:t xml:space="preserve">The elements set out in this chapter are not standalone reforms but </w:t>
      </w:r>
      <w:r w:rsidR="00000760">
        <w:rPr>
          <w:lang w:eastAsia="en-AU"/>
        </w:rPr>
        <w:t>are</w:t>
      </w:r>
      <w:r w:rsidR="004665B8" w:rsidRPr="004665B8">
        <w:rPr>
          <w:lang w:eastAsia="en-AU"/>
        </w:rPr>
        <w:t xml:space="preserve"> essential enabling conditions for the effective operation of the proposed framework. The </w:t>
      </w:r>
      <w:r w:rsidR="004665B8">
        <w:rPr>
          <w:lang w:eastAsia="en-AU"/>
        </w:rPr>
        <w:t>Panel</w:t>
      </w:r>
      <w:r w:rsidR="004665B8" w:rsidRPr="004665B8">
        <w:rPr>
          <w:lang w:eastAsia="en-AU"/>
        </w:rPr>
        <w:t xml:space="preserve"> has consistently identified that limitations in current arrangements arise not only from the design of environmental flow settings, but from fragmentation across planning, governance, risk allocation and system coordination. Addressing these constraints requires a shift to a genuinely whole</w:t>
      </w:r>
      <w:r w:rsidR="004665B8" w:rsidRPr="004665B8">
        <w:rPr>
          <w:lang w:eastAsia="en-AU"/>
        </w:rPr>
        <w:noBreakHyphen/>
        <w:t>of</w:t>
      </w:r>
      <w:r w:rsidR="004665B8" w:rsidRPr="004665B8">
        <w:rPr>
          <w:lang w:eastAsia="en-AU"/>
        </w:rPr>
        <w:noBreakHyphen/>
        <w:t>system approach, where water, energy, environmental and community considerations are managed in an integrated and transparent way. Without these enabling elements in place, the recommendations of this Review would be difficult to implement and unlikely to deliver enduring outcomes. Together, they provide the practical foundation required to support adaptive management, informed trade</w:t>
      </w:r>
      <w:r w:rsidR="004665B8" w:rsidRPr="004665B8">
        <w:rPr>
          <w:lang w:eastAsia="en-AU"/>
        </w:rPr>
        <w:noBreakHyphen/>
        <w:t>offs and improved system performance over time.</w:t>
      </w:r>
    </w:p>
    <w:p w14:paraId="5E274754" w14:textId="77777777" w:rsidR="00D77304" w:rsidRDefault="00D77304" w:rsidP="0073063E">
      <w:pPr>
        <w:pStyle w:val="Sub-Heading"/>
      </w:pPr>
    </w:p>
    <w:p w14:paraId="5968CEC2" w14:textId="25E1AFF0" w:rsidR="00113792" w:rsidRDefault="00113792" w:rsidP="0073063E">
      <w:pPr>
        <w:pStyle w:val="Sub-Heading"/>
        <w:rPr>
          <w:rFonts w:eastAsiaTheme="majorEastAsia"/>
          <w:sz w:val="40"/>
          <w:szCs w:val="40"/>
        </w:rPr>
      </w:pPr>
      <w:r>
        <w:br w:type="page"/>
      </w:r>
    </w:p>
    <w:p w14:paraId="7725F5D2" w14:textId="30B4D21A" w:rsidR="00113792" w:rsidRDefault="00382EE8" w:rsidP="00115BD6">
      <w:pPr>
        <w:pStyle w:val="ReviewHeading"/>
        <w:numPr>
          <w:ilvl w:val="0"/>
          <w:numId w:val="95"/>
        </w:numPr>
        <w:ind w:left="284"/>
      </w:pPr>
      <w:bookmarkStart w:id="134" w:name="_Toc233285619"/>
      <w:bookmarkStart w:id="135" w:name="_Toc233801498"/>
      <w:r>
        <w:rPr>
          <w:rFonts w:ascii="ZWAdobeF" w:hAnsi="ZWAdobeF" w:cs="ZWAdobeF"/>
          <w:b w:val="0"/>
          <w:color w:val="auto"/>
          <w:spacing w:val="0"/>
          <w:sz w:val="2"/>
          <w:szCs w:val="2"/>
        </w:rPr>
        <w:lastRenderedPageBreak/>
        <w:t>1666B</w:t>
      </w:r>
      <w:r w:rsidR="007D0656">
        <w:t>Funding and Investment Framework</w:t>
      </w:r>
      <w:bookmarkEnd w:id="134"/>
      <w:bookmarkEnd w:id="135"/>
    </w:p>
    <w:p w14:paraId="773230BE" w14:textId="77777777" w:rsidR="00913810" w:rsidRDefault="00913810" w:rsidP="00577D06"/>
    <w:p w14:paraId="77353E22" w14:textId="47234FAF" w:rsidR="00577D06" w:rsidRDefault="00382EE8" w:rsidP="00577D06">
      <w:pPr>
        <w:rPr>
          <w:lang w:eastAsia="en-AU"/>
        </w:rPr>
      </w:pPr>
      <w:r>
        <w:rPr>
          <w:rFonts w:ascii="ZWAdobeF" w:hAnsi="ZWAdobeF" w:cs="ZWAdobeF"/>
          <w:sz w:val="2"/>
          <w:szCs w:val="2"/>
          <w:lang w:eastAsia="en-AU"/>
        </w:rPr>
        <w:t>1186B</w:t>
      </w:r>
      <w:r w:rsidR="00577D06" w:rsidRPr="00890262">
        <w:rPr>
          <w:lang w:eastAsia="en-AU"/>
        </w:rPr>
        <w:t xml:space="preserve">Delivering the </w:t>
      </w:r>
      <w:r w:rsidR="118D6CF8" w:rsidRPr="022C6BE0">
        <w:rPr>
          <w:lang w:eastAsia="en-AU"/>
        </w:rPr>
        <w:t>reforms</w:t>
      </w:r>
      <w:r w:rsidR="00577D06" w:rsidRPr="00890262">
        <w:rPr>
          <w:lang w:eastAsia="en-AU"/>
        </w:rPr>
        <w:t xml:space="preserve"> </w:t>
      </w:r>
      <w:r w:rsidR="4484B61A" w:rsidRPr="022C6BE0">
        <w:rPr>
          <w:lang w:eastAsia="en-AU"/>
        </w:rPr>
        <w:t>recommended by</w:t>
      </w:r>
      <w:r w:rsidR="00577D06" w:rsidRPr="00890262">
        <w:rPr>
          <w:lang w:eastAsia="en-AU"/>
        </w:rPr>
        <w:t xml:space="preserve"> th</w:t>
      </w:r>
      <w:r w:rsidR="00DC6E5E">
        <w:rPr>
          <w:lang w:eastAsia="en-AU"/>
        </w:rPr>
        <w:t>e Panel</w:t>
      </w:r>
      <w:r w:rsidR="00577D06" w:rsidRPr="00890262">
        <w:rPr>
          <w:lang w:eastAsia="en-AU"/>
        </w:rPr>
        <w:t xml:space="preserve"> requires a coordinated, whole-of-system approach to funding and investment. </w:t>
      </w:r>
    </w:p>
    <w:p w14:paraId="785172D4" w14:textId="7352B62A" w:rsidR="00577D06" w:rsidRPr="00190715" w:rsidRDefault="00382EE8" w:rsidP="00577D06">
      <w:pPr>
        <w:rPr>
          <w:lang w:eastAsia="en-AU"/>
        </w:rPr>
      </w:pPr>
      <w:r>
        <w:rPr>
          <w:rFonts w:ascii="ZWAdobeF" w:hAnsi="ZWAdobeF" w:cs="ZWAdobeF"/>
          <w:sz w:val="2"/>
          <w:szCs w:val="2"/>
          <w:lang w:eastAsia="en-AU"/>
        </w:rPr>
        <w:t>1187B</w:t>
      </w:r>
      <w:r w:rsidR="00577D06" w:rsidRPr="6332CC80">
        <w:rPr>
          <w:lang w:eastAsia="en-AU"/>
        </w:rPr>
        <w:t xml:space="preserve">The proposed reforms extend beyond environmental water delivery to include catchment management, First Nations and community programs and the governance functions needed to support </w:t>
      </w:r>
      <w:r w:rsidR="12D989CE" w:rsidRPr="6332CC80">
        <w:rPr>
          <w:lang w:eastAsia="en-AU"/>
        </w:rPr>
        <w:t xml:space="preserve">coordination and implementation, </w:t>
      </w:r>
      <w:r w:rsidR="00577D06" w:rsidRPr="6332CC80">
        <w:rPr>
          <w:lang w:eastAsia="en-AU"/>
        </w:rPr>
        <w:t>accountability and adaptive management. These elements are interdependent and require sustained, long</w:t>
      </w:r>
      <w:r w:rsidR="00577D06">
        <w:noBreakHyphen/>
      </w:r>
      <w:r w:rsidR="00577D06" w:rsidRPr="6332CC80">
        <w:rPr>
          <w:lang w:eastAsia="en-AU"/>
        </w:rPr>
        <w:t>term investment.</w:t>
      </w:r>
    </w:p>
    <w:p w14:paraId="67AF33C9" w14:textId="64643504" w:rsidR="00577D06" w:rsidRPr="001E1E3A" w:rsidRDefault="00382EE8" w:rsidP="00577D06">
      <w:pPr>
        <w:rPr>
          <w:lang w:eastAsia="en-AU"/>
        </w:rPr>
      </w:pPr>
      <w:r>
        <w:rPr>
          <w:rFonts w:ascii="ZWAdobeF" w:hAnsi="ZWAdobeF" w:cs="ZWAdobeF"/>
          <w:sz w:val="2"/>
          <w:szCs w:val="2"/>
          <w:lang w:eastAsia="en-AU"/>
        </w:rPr>
        <w:t>1188B</w:t>
      </w:r>
      <w:r w:rsidR="5DC5FF95" w:rsidRPr="6332CC80">
        <w:rPr>
          <w:lang w:eastAsia="en-AU"/>
        </w:rPr>
        <w:t>In many cases,</w:t>
      </w:r>
      <w:r w:rsidR="00577D06" w:rsidRPr="6332CC80">
        <w:rPr>
          <w:lang w:eastAsia="en-AU"/>
        </w:rPr>
        <w:t xml:space="preserve"> current funding arrangements, characterised by </w:t>
      </w:r>
      <w:r w:rsidR="37A978EA" w:rsidRPr="6332CC80">
        <w:rPr>
          <w:lang w:eastAsia="en-AU"/>
        </w:rPr>
        <w:t>short-term</w:t>
      </w:r>
      <w:r w:rsidR="00577D06" w:rsidRPr="6332CC80">
        <w:rPr>
          <w:lang w:eastAsia="en-AU"/>
        </w:rPr>
        <w:t xml:space="preserve"> programs, fragmented investment and reliance on discretionary government funding, are not aligned with the timeframes required for ecological recovery and system improvement. A new funding and investment framework is required to provide </w:t>
      </w:r>
      <w:r w:rsidR="00AB6A3E" w:rsidRPr="6332CC80">
        <w:rPr>
          <w:lang w:eastAsia="en-AU"/>
        </w:rPr>
        <w:t>certainty and</w:t>
      </w:r>
      <w:r w:rsidR="00577D06" w:rsidRPr="6332CC80">
        <w:rPr>
          <w:lang w:eastAsia="en-AU"/>
        </w:rPr>
        <w:t xml:space="preserve"> durability, supported by clear roles for governments and Snowy Hydro and mechanisms that enable transparent allocation and long-term investment in system outcomes.</w:t>
      </w:r>
    </w:p>
    <w:p w14:paraId="32AE2E25" w14:textId="44F07014" w:rsidR="00577D06" w:rsidRDefault="00577D06" w:rsidP="00577D06">
      <w:pPr>
        <w:pStyle w:val="ReviewHeading2"/>
      </w:pPr>
      <w:bookmarkStart w:id="136" w:name="_Toc233285620"/>
      <w:bookmarkStart w:id="137" w:name="_Toc233801499"/>
      <w:r>
        <w:t>7.1 What requires funding</w:t>
      </w:r>
      <w:bookmarkEnd w:id="136"/>
      <w:bookmarkEnd w:id="137"/>
    </w:p>
    <w:p w14:paraId="165D8374" w14:textId="3BD13828" w:rsidR="0041273A" w:rsidRPr="00190715" w:rsidRDefault="00382EE8" w:rsidP="0041273A">
      <w:pPr>
        <w:rPr>
          <w:lang w:eastAsia="en-AU"/>
        </w:rPr>
      </w:pPr>
      <w:r>
        <w:rPr>
          <w:rFonts w:ascii="ZWAdobeF" w:hAnsi="ZWAdobeF" w:cs="ZWAdobeF"/>
          <w:sz w:val="2"/>
          <w:szCs w:val="2"/>
          <w:lang w:eastAsia="en-AU"/>
        </w:rPr>
        <w:t>1189B</w:t>
      </w:r>
      <w:r w:rsidR="0041273A" w:rsidRPr="00190715">
        <w:rPr>
          <w:lang w:eastAsia="en-AU"/>
        </w:rPr>
        <w:t>Improved outcomes depend on integrated investment across four key areas:</w:t>
      </w:r>
    </w:p>
    <w:p w14:paraId="1C88BE4D" w14:textId="068F2027" w:rsidR="0041273A" w:rsidRPr="00190715" w:rsidRDefault="00382EE8" w:rsidP="00115BD6">
      <w:pPr>
        <w:pStyle w:val="ListParagraph"/>
        <w:numPr>
          <w:ilvl w:val="0"/>
          <w:numId w:val="15"/>
        </w:numPr>
        <w:rPr>
          <w:lang w:eastAsia="en-AU"/>
        </w:rPr>
      </w:pPr>
      <w:r>
        <w:rPr>
          <w:rFonts w:ascii="ZWAdobeF" w:hAnsi="ZWAdobeF" w:cs="ZWAdobeF"/>
          <w:sz w:val="2"/>
          <w:szCs w:val="2"/>
          <w:lang w:eastAsia="en-AU"/>
        </w:rPr>
        <w:t>366B</w:t>
      </w:r>
      <w:r w:rsidR="008D2FA9" w:rsidRPr="47D67CFB">
        <w:rPr>
          <w:lang w:eastAsia="en-AU"/>
        </w:rPr>
        <w:t>e</w:t>
      </w:r>
      <w:r w:rsidR="0041273A" w:rsidRPr="47D67CFB">
        <w:rPr>
          <w:lang w:eastAsia="en-AU"/>
        </w:rPr>
        <w:t>nvironmental</w:t>
      </w:r>
      <w:r w:rsidR="0041273A" w:rsidRPr="00190715">
        <w:rPr>
          <w:lang w:eastAsia="en-AU"/>
        </w:rPr>
        <w:t xml:space="preserve"> water delivery and science: flow management, operations, modelling, ecological monitoring, </w:t>
      </w:r>
      <w:r w:rsidR="341602A1" w:rsidRPr="41622D4A">
        <w:rPr>
          <w:lang w:eastAsia="en-AU"/>
        </w:rPr>
        <w:t xml:space="preserve">reporting </w:t>
      </w:r>
      <w:r w:rsidR="0041273A" w:rsidRPr="41622D4A">
        <w:rPr>
          <w:lang w:eastAsia="en-AU"/>
        </w:rPr>
        <w:t>and</w:t>
      </w:r>
      <w:r w:rsidR="0041273A" w:rsidRPr="00190715">
        <w:rPr>
          <w:lang w:eastAsia="en-AU"/>
        </w:rPr>
        <w:t xml:space="preserve"> the scientific functions required to design, assess and adapt flow regimes over time</w:t>
      </w:r>
    </w:p>
    <w:p w14:paraId="44F95C8D" w14:textId="2C063E41" w:rsidR="0041273A" w:rsidRPr="00190715" w:rsidRDefault="00382EE8" w:rsidP="00115BD6">
      <w:pPr>
        <w:pStyle w:val="ListParagraph"/>
        <w:numPr>
          <w:ilvl w:val="0"/>
          <w:numId w:val="15"/>
        </w:numPr>
        <w:rPr>
          <w:lang w:eastAsia="en-AU"/>
        </w:rPr>
      </w:pPr>
      <w:r>
        <w:rPr>
          <w:rFonts w:ascii="ZWAdobeF" w:hAnsi="ZWAdobeF" w:cs="ZWAdobeF"/>
          <w:sz w:val="2"/>
          <w:szCs w:val="2"/>
          <w:lang w:eastAsia="en-AU"/>
        </w:rPr>
        <w:t>367B</w:t>
      </w:r>
      <w:r w:rsidR="008D2FA9" w:rsidRPr="47D67CFB">
        <w:rPr>
          <w:lang w:eastAsia="en-AU"/>
        </w:rPr>
        <w:t>c</w:t>
      </w:r>
      <w:r w:rsidR="0041273A" w:rsidRPr="47D67CFB">
        <w:rPr>
          <w:lang w:eastAsia="en-AU"/>
        </w:rPr>
        <w:t>atchment</w:t>
      </w:r>
      <w:r w:rsidR="0041273A" w:rsidRPr="00190715">
        <w:rPr>
          <w:lang w:eastAsia="en-AU"/>
        </w:rPr>
        <w:t xml:space="preserve"> management and complementary measures: restoration, erosion control, habitat improvement and stewardship programs</w:t>
      </w:r>
    </w:p>
    <w:p w14:paraId="2D605920" w14:textId="711E21DE" w:rsidR="0041273A" w:rsidRDefault="00382EE8" w:rsidP="00115BD6">
      <w:pPr>
        <w:pStyle w:val="ListParagraph"/>
        <w:numPr>
          <w:ilvl w:val="0"/>
          <w:numId w:val="15"/>
        </w:numPr>
        <w:rPr>
          <w:lang w:eastAsia="en-AU"/>
        </w:rPr>
      </w:pPr>
      <w:r>
        <w:rPr>
          <w:rFonts w:ascii="ZWAdobeF" w:hAnsi="ZWAdobeF" w:cs="ZWAdobeF"/>
          <w:sz w:val="2"/>
          <w:szCs w:val="2"/>
          <w:lang w:eastAsia="en-AU"/>
        </w:rPr>
        <w:t>368B</w:t>
      </w:r>
      <w:r w:rsidR="0041273A" w:rsidRPr="00190715">
        <w:rPr>
          <w:lang w:eastAsia="en-AU"/>
        </w:rPr>
        <w:t>First Nations and community programs: cultural water initiatives, participation and capacity building</w:t>
      </w:r>
    </w:p>
    <w:p w14:paraId="6447FA89" w14:textId="11BF409A" w:rsidR="0041273A" w:rsidRPr="003412DB" w:rsidRDefault="00382EE8" w:rsidP="00115BD6">
      <w:pPr>
        <w:pStyle w:val="ListParagraph"/>
        <w:numPr>
          <w:ilvl w:val="0"/>
          <w:numId w:val="15"/>
        </w:numPr>
        <w:rPr>
          <w:lang w:eastAsia="en-AU"/>
        </w:rPr>
      </w:pPr>
      <w:r>
        <w:rPr>
          <w:rFonts w:ascii="ZWAdobeF" w:hAnsi="ZWAdobeF" w:cs="ZWAdobeF"/>
          <w:sz w:val="2"/>
          <w:szCs w:val="2"/>
          <w:lang w:eastAsia="en-AU"/>
        </w:rPr>
        <w:t>369B</w:t>
      </w:r>
      <w:r w:rsidR="008D2FA9" w:rsidRPr="47D67CFB">
        <w:rPr>
          <w:lang w:eastAsia="en-AU"/>
        </w:rPr>
        <w:t>g</w:t>
      </w:r>
      <w:r w:rsidR="0041273A" w:rsidRPr="47D67CFB">
        <w:rPr>
          <w:lang w:eastAsia="en-AU"/>
        </w:rPr>
        <w:t>overnance</w:t>
      </w:r>
      <w:r w:rsidR="0041273A" w:rsidRPr="003412DB">
        <w:rPr>
          <w:lang w:eastAsia="en-AU"/>
        </w:rPr>
        <w:t xml:space="preserve"> and system functions: independent decision-making (including dispute resolution and trade-off assessment), compliance, monitoring, reporting and periodic review</w:t>
      </w:r>
      <w:r w:rsidR="0041273A">
        <w:rPr>
          <w:lang w:eastAsia="en-AU"/>
        </w:rPr>
        <w:t>.</w:t>
      </w:r>
    </w:p>
    <w:p w14:paraId="08BA1DCA" w14:textId="0D44A99D" w:rsidR="007308AC" w:rsidRDefault="007308AC" w:rsidP="00A70380">
      <w:pPr>
        <w:pStyle w:val="ReviewHeading2"/>
      </w:pPr>
      <w:bookmarkStart w:id="138" w:name="_Toc233285621"/>
      <w:bookmarkStart w:id="139" w:name="_Toc233801500"/>
      <w:r>
        <w:t>7</w:t>
      </w:r>
      <w:r w:rsidR="00A70380">
        <w:t>.2 Current funding context</w:t>
      </w:r>
      <w:bookmarkEnd w:id="138"/>
      <w:bookmarkEnd w:id="139"/>
    </w:p>
    <w:p w14:paraId="67157CFC" w14:textId="47A4A0F2" w:rsidR="007308AC" w:rsidRPr="00190715" w:rsidRDefault="00382EE8" w:rsidP="007308AC">
      <w:pPr>
        <w:rPr>
          <w:lang w:eastAsia="en-AU"/>
        </w:rPr>
      </w:pPr>
      <w:r>
        <w:rPr>
          <w:rFonts w:ascii="ZWAdobeF" w:hAnsi="ZWAdobeF" w:cs="ZWAdobeF"/>
          <w:sz w:val="2"/>
          <w:szCs w:val="2"/>
          <w:lang w:eastAsia="en-AU"/>
        </w:rPr>
        <w:t>1190B</w:t>
      </w:r>
      <w:r w:rsidR="007308AC" w:rsidRPr="00190715">
        <w:rPr>
          <w:lang w:eastAsia="en-AU"/>
        </w:rPr>
        <w:t>Recent Australian Government investment in the Upper Murrumbidgee has supported catchment works, monitoring and cross</w:t>
      </w:r>
      <w:r w:rsidR="007308AC">
        <w:noBreakHyphen/>
      </w:r>
      <w:r w:rsidR="007308AC" w:rsidRPr="00190715">
        <w:rPr>
          <w:lang w:eastAsia="en-AU"/>
        </w:rPr>
        <w:t xml:space="preserve">jurisdictional collaboration. </w:t>
      </w:r>
      <w:r w:rsidR="00AB0DEB">
        <w:rPr>
          <w:lang w:eastAsia="en-AU"/>
        </w:rPr>
        <w:t>T</w:t>
      </w:r>
      <w:r w:rsidR="007308AC" w:rsidRPr="00190715">
        <w:rPr>
          <w:lang w:eastAsia="en-AU"/>
        </w:rPr>
        <w:t>his funding</w:t>
      </w:r>
      <w:r w:rsidR="00AB0DEB">
        <w:rPr>
          <w:lang w:eastAsia="en-AU"/>
        </w:rPr>
        <w:t xml:space="preserve">, which </w:t>
      </w:r>
      <w:r w:rsidR="00AB0DEB" w:rsidRPr="603A3D36">
        <w:rPr>
          <w:lang w:eastAsia="en-AU"/>
        </w:rPr>
        <w:t>ex</w:t>
      </w:r>
      <w:r w:rsidR="00161FB2" w:rsidRPr="603A3D36">
        <w:rPr>
          <w:lang w:eastAsia="en-AU"/>
        </w:rPr>
        <w:t>pires</w:t>
      </w:r>
      <w:r w:rsidR="00161FB2">
        <w:rPr>
          <w:lang w:eastAsia="en-AU"/>
        </w:rPr>
        <w:t xml:space="preserve"> in 2029</w:t>
      </w:r>
      <w:r w:rsidR="00AB0DEB">
        <w:rPr>
          <w:lang w:eastAsia="en-AU"/>
        </w:rPr>
        <w:t>,</w:t>
      </w:r>
      <w:r w:rsidR="007308AC" w:rsidRPr="00190715">
        <w:rPr>
          <w:lang w:eastAsia="en-AU"/>
        </w:rPr>
        <w:t xml:space="preserve"> </w:t>
      </w:r>
      <w:r w:rsidR="00451992">
        <w:rPr>
          <w:lang w:eastAsia="en-AU"/>
        </w:rPr>
        <w:t xml:space="preserve">is </w:t>
      </w:r>
      <w:r w:rsidR="007308AC" w:rsidRPr="00190715">
        <w:rPr>
          <w:lang w:eastAsia="en-AU"/>
        </w:rPr>
        <w:t>program</w:t>
      </w:r>
      <w:r w:rsidR="007308AC">
        <w:noBreakHyphen/>
      </w:r>
      <w:r w:rsidR="007308AC" w:rsidRPr="00190715">
        <w:rPr>
          <w:lang w:eastAsia="en-AU"/>
        </w:rPr>
        <w:t>based rather than embedded in an enduring framework.</w:t>
      </w:r>
    </w:p>
    <w:p w14:paraId="0ACC2853" w14:textId="24F43511" w:rsidR="007308AC" w:rsidRPr="00003F1A" w:rsidRDefault="007308AC" w:rsidP="007308AC">
      <w:pPr>
        <w:rPr>
          <w:lang w:eastAsia="en-AU"/>
        </w:rPr>
      </w:pPr>
      <w:r w:rsidRPr="6332CC80">
        <w:rPr>
          <w:lang w:eastAsia="en-AU"/>
        </w:rPr>
        <w:t xml:space="preserve"> </w:t>
      </w:r>
      <w:r w:rsidR="00382EE8">
        <w:rPr>
          <w:rFonts w:ascii="ZWAdobeF" w:hAnsi="ZWAdobeF" w:cs="ZWAdobeF"/>
          <w:sz w:val="2"/>
          <w:szCs w:val="2"/>
          <w:lang w:eastAsia="en-AU"/>
        </w:rPr>
        <w:t>1191B</w:t>
      </w:r>
      <w:r w:rsidR="3E86B895" w:rsidRPr="6332CC80">
        <w:rPr>
          <w:lang w:eastAsia="en-AU"/>
        </w:rPr>
        <w:t xml:space="preserve">While </w:t>
      </w:r>
      <w:r w:rsidRPr="6332CC80">
        <w:rPr>
          <w:lang w:eastAsia="en-AU"/>
        </w:rPr>
        <w:t>Snowy Hydro has evolved from a publicly funded national infrastructure project to a commercial entity operating within a broader system of public value</w:t>
      </w:r>
      <w:r w:rsidR="429D1F58" w:rsidRPr="6332CC80">
        <w:rPr>
          <w:lang w:eastAsia="en-AU"/>
        </w:rPr>
        <w:t>,</w:t>
      </w:r>
      <w:r w:rsidRPr="6332CC80">
        <w:rPr>
          <w:lang w:eastAsia="en-AU"/>
        </w:rPr>
        <w:t xml:space="preserve"> funding arrangements that recognise both its use of public water resources and its contribution to system-wide outcomes</w:t>
      </w:r>
      <w:r w:rsidR="47966831" w:rsidRPr="6332CC80">
        <w:rPr>
          <w:lang w:eastAsia="en-AU"/>
        </w:rPr>
        <w:t xml:space="preserve"> need to be recognised</w:t>
      </w:r>
      <w:r w:rsidR="00B642E0">
        <w:rPr>
          <w:lang w:eastAsia="en-AU"/>
        </w:rPr>
        <w:t>.</w:t>
      </w:r>
    </w:p>
    <w:p w14:paraId="3D76ACB1" w14:textId="08BBBAA6" w:rsidR="007308AC" w:rsidRPr="00190715" w:rsidRDefault="00382EE8" w:rsidP="007308AC">
      <w:pPr>
        <w:rPr>
          <w:b/>
          <w:bCs/>
          <w:lang w:eastAsia="en-AU"/>
        </w:rPr>
      </w:pPr>
      <w:r>
        <w:rPr>
          <w:rFonts w:ascii="ZWAdobeF" w:hAnsi="ZWAdobeF" w:cs="ZWAdobeF"/>
          <w:sz w:val="2"/>
          <w:szCs w:val="2"/>
          <w:lang w:eastAsia="en-AU"/>
        </w:rPr>
        <w:lastRenderedPageBreak/>
        <w:t>1192B</w:t>
      </w:r>
      <w:r w:rsidR="007308AC" w:rsidRPr="00190715">
        <w:rPr>
          <w:lang w:eastAsia="en-AU"/>
        </w:rPr>
        <w:t xml:space="preserve">More broadly, current funding arrangements </w:t>
      </w:r>
      <w:r w:rsidR="5816EB12" w:rsidRPr="43D593C1">
        <w:rPr>
          <w:lang w:eastAsia="en-AU"/>
        </w:rPr>
        <w:t xml:space="preserve">for water </w:t>
      </w:r>
      <w:r w:rsidR="5816EB12" w:rsidRPr="336971FE">
        <w:rPr>
          <w:lang w:eastAsia="en-AU"/>
        </w:rPr>
        <w:t xml:space="preserve">management, monitoring and review </w:t>
      </w:r>
      <w:r w:rsidR="007308AC" w:rsidRPr="336971FE">
        <w:rPr>
          <w:lang w:eastAsia="en-AU"/>
        </w:rPr>
        <w:t>are</w:t>
      </w:r>
      <w:r w:rsidR="007308AC" w:rsidRPr="00190715">
        <w:rPr>
          <w:lang w:eastAsia="en-AU"/>
        </w:rPr>
        <w:t xml:space="preserve"> fragmented and subject to budget cycles, limiting long</w:t>
      </w:r>
      <w:r w:rsidR="007308AC">
        <w:noBreakHyphen/>
      </w:r>
      <w:r w:rsidR="007308AC" w:rsidRPr="00190715">
        <w:rPr>
          <w:lang w:eastAsia="en-AU"/>
        </w:rPr>
        <w:t>term planning and continuity of delivery. These challenges are compounded by the cross</w:t>
      </w:r>
      <w:r w:rsidR="007308AC">
        <w:noBreakHyphen/>
      </w:r>
      <w:r w:rsidR="007308AC" w:rsidRPr="00190715">
        <w:rPr>
          <w:lang w:eastAsia="en-AU"/>
        </w:rPr>
        <w:t>border nature of the system where funding, program design and delivery responsibilities are distributed across multiple jurisdictions without a consistent mechanism for coordination or alignment</w:t>
      </w:r>
      <w:r w:rsidR="08F88E7A" w:rsidRPr="210F092B">
        <w:rPr>
          <w:lang w:eastAsia="en-AU"/>
        </w:rPr>
        <w:t xml:space="preserve">, </w:t>
      </w:r>
      <w:r w:rsidR="08F88E7A" w:rsidRPr="6E2798D2">
        <w:rPr>
          <w:lang w:eastAsia="en-AU"/>
        </w:rPr>
        <w:t>resulting in little or no integration or consideration of the</w:t>
      </w:r>
      <w:r w:rsidR="501FADE3" w:rsidRPr="6E2798D2">
        <w:rPr>
          <w:lang w:eastAsia="en-AU"/>
        </w:rPr>
        <w:t xml:space="preserve"> system as a whole.</w:t>
      </w:r>
    </w:p>
    <w:p w14:paraId="0208B6EE" w14:textId="4DC48F56" w:rsidR="007308AC" w:rsidRPr="00190715" w:rsidRDefault="00382EE8" w:rsidP="007308AC">
      <w:pPr>
        <w:rPr>
          <w:lang w:eastAsia="en-AU"/>
        </w:rPr>
      </w:pPr>
      <w:r>
        <w:rPr>
          <w:rFonts w:ascii="ZWAdobeF" w:hAnsi="ZWAdobeF" w:cs="ZWAdobeF"/>
          <w:sz w:val="2"/>
          <w:szCs w:val="2"/>
          <w:lang w:eastAsia="en-AU"/>
        </w:rPr>
        <w:t>1193B</w:t>
      </w:r>
      <w:r w:rsidR="007308AC" w:rsidRPr="00190715">
        <w:rPr>
          <w:lang w:eastAsia="en-AU"/>
        </w:rPr>
        <w:t xml:space="preserve">As identified in the </w:t>
      </w:r>
      <w:r w:rsidR="00714547">
        <w:rPr>
          <w:lang w:eastAsia="en-AU"/>
        </w:rPr>
        <w:t>SAG report</w:t>
      </w:r>
      <w:r w:rsidR="00EC2805">
        <w:rPr>
          <w:lang w:eastAsia="en-AU"/>
        </w:rPr>
        <w:t>,</w:t>
      </w:r>
      <w:r w:rsidR="007308AC" w:rsidRPr="00190715">
        <w:rPr>
          <w:lang w:eastAsia="en-AU"/>
        </w:rPr>
        <w:t xml:space="preserve"> this has resulted in:</w:t>
      </w:r>
    </w:p>
    <w:p w14:paraId="0198C26B" w14:textId="2A139EEC" w:rsidR="00110F14" w:rsidRPr="00CC7A58" w:rsidRDefault="00382EE8" w:rsidP="00115BD6">
      <w:pPr>
        <w:pStyle w:val="ListParagraph"/>
        <w:numPr>
          <w:ilvl w:val="0"/>
          <w:numId w:val="16"/>
        </w:numPr>
        <w:spacing w:after="0" w:line="300" w:lineRule="atLeast"/>
        <w:jc w:val="left"/>
        <w:rPr>
          <w:rFonts w:eastAsia="Times New Roman" w:cs="Segoe UI"/>
          <w:kern w:val="0"/>
          <w:szCs w:val="22"/>
          <w:lang w:eastAsia="en-AU"/>
          <w14:ligatures w14:val="none"/>
        </w:rPr>
      </w:pPr>
      <w:r>
        <w:rPr>
          <w:rFonts w:ascii="ZWAdobeF" w:eastAsia="Times New Roman" w:hAnsi="ZWAdobeF" w:cs="ZWAdobeF"/>
          <w:kern w:val="0"/>
          <w:sz w:val="2"/>
          <w:szCs w:val="2"/>
          <w:lang w:eastAsia="en-AU"/>
          <w14:ligatures w14:val="none"/>
        </w:rPr>
        <w:t>370B</w:t>
      </w:r>
      <w:r w:rsidR="00110F14" w:rsidRPr="00CC7A58">
        <w:rPr>
          <w:rFonts w:eastAsia="Times New Roman" w:cs="Segoe UI"/>
          <w:kern w:val="0"/>
          <w:szCs w:val="22"/>
          <w:lang w:eastAsia="en-AU"/>
          <w14:ligatures w14:val="none"/>
        </w:rPr>
        <w:t>short-term funding cycles that do not align with the long-term timeframes required for ecological restoration, risking the loss of benefits once funding ceases</w:t>
      </w:r>
    </w:p>
    <w:p w14:paraId="4E72304A" w14:textId="13F7E73B" w:rsidR="0032595B" w:rsidRPr="00CC7A58" w:rsidRDefault="00382EE8" w:rsidP="00115BD6">
      <w:pPr>
        <w:pStyle w:val="ListParagraph"/>
        <w:numPr>
          <w:ilvl w:val="0"/>
          <w:numId w:val="16"/>
        </w:numPr>
        <w:spacing w:after="0" w:line="300" w:lineRule="atLeast"/>
        <w:jc w:val="left"/>
        <w:rPr>
          <w:rFonts w:eastAsia="Times New Roman" w:cs="Segoe UI"/>
          <w:kern w:val="0"/>
          <w:szCs w:val="22"/>
          <w:lang w:eastAsia="en-AU"/>
          <w14:ligatures w14:val="none"/>
        </w:rPr>
      </w:pPr>
      <w:r>
        <w:rPr>
          <w:rFonts w:ascii="ZWAdobeF" w:eastAsia="Times New Roman" w:hAnsi="ZWAdobeF" w:cs="ZWAdobeF"/>
          <w:kern w:val="0"/>
          <w:sz w:val="2"/>
          <w:szCs w:val="2"/>
          <w:lang w:eastAsia="en-AU"/>
          <w14:ligatures w14:val="none"/>
        </w:rPr>
        <w:t>371B</w:t>
      </w:r>
      <w:r w:rsidR="0032595B" w:rsidRPr="00CC7A58">
        <w:rPr>
          <w:rFonts w:eastAsia="Times New Roman" w:cs="Segoe UI"/>
          <w:kern w:val="0"/>
          <w:szCs w:val="22"/>
          <w:lang w:eastAsia="en-AU"/>
          <w14:ligatures w14:val="none"/>
        </w:rPr>
        <w:t>a lack of durable, cross-jurisdictional commitment, with existing funding mechanisms unable to sustain system-wide outcomes over time</w:t>
      </w:r>
      <w:r w:rsidR="00F3366C" w:rsidRPr="00CC7A58">
        <w:rPr>
          <w:rFonts w:eastAsia="Times New Roman" w:cs="Segoe UI"/>
          <w:kern w:val="0"/>
          <w:szCs w:val="22"/>
          <w:lang w:eastAsia="en-AU"/>
          <w14:ligatures w14:val="none"/>
        </w:rPr>
        <w:t>.</w:t>
      </w:r>
      <w:r>
        <w:rPr>
          <w:rFonts w:ascii="ZWAdobeF" w:eastAsia="Times New Roman" w:hAnsi="ZWAdobeF" w:cs="ZWAdobeF"/>
          <w:kern w:val="0"/>
          <w:sz w:val="2"/>
          <w:szCs w:val="2"/>
          <w:lang w:eastAsia="en-AU"/>
          <w14:ligatures w14:val="none"/>
        </w:rPr>
        <w:t>77F</w:t>
      </w:r>
      <w:r w:rsidR="00F3366C" w:rsidRPr="00CC7A58">
        <w:rPr>
          <w:rStyle w:val="FootnoteReference"/>
          <w:rFonts w:eastAsia="Times New Roman" w:cs="Segoe UI"/>
          <w:kern w:val="0"/>
          <w:szCs w:val="22"/>
          <w:lang w:eastAsia="en-AU"/>
          <w14:ligatures w14:val="none"/>
        </w:rPr>
        <w:footnoteReference w:id="78"/>
      </w:r>
    </w:p>
    <w:p w14:paraId="30C6D2B4" w14:textId="013803BB" w:rsidR="00AE39AA" w:rsidRDefault="00EA562D" w:rsidP="00A70380">
      <w:pPr>
        <w:pStyle w:val="ReviewHeading2"/>
      </w:pPr>
      <w:bookmarkStart w:id="140" w:name="_Toc233285622"/>
      <w:bookmarkStart w:id="141" w:name="_Toc233801501"/>
      <w:r>
        <w:t>7.3</w:t>
      </w:r>
      <w:r w:rsidR="00FA1D5B">
        <w:t xml:space="preserve"> </w:t>
      </w:r>
      <w:r>
        <w:t>Stakeholder perspectives</w:t>
      </w:r>
      <w:bookmarkEnd w:id="140"/>
      <w:bookmarkEnd w:id="141"/>
    </w:p>
    <w:p w14:paraId="7CEB01E7" w14:textId="31AAB30C" w:rsidR="00AE39AA" w:rsidRPr="00190715" w:rsidRDefault="00382EE8" w:rsidP="00AE39AA">
      <w:pPr>
        <w:rPr>
          <w:lang w:eastAsia="en-AU"/>
        </w:rPr>
      </w:pPr>
      <w:r>
        <w:rPr>
          <w:rFonts w:ascii="ZWAdobeF" w:hAnsi="ZWAdobeF" w:cs="ZWAdobeF"/>
          <w:sz w:val="2"/>
          <w:szCs w:val="2"/>
          <w:lang w:eastAsia="en-AU"/>
        </w:rPr>
        <w:t>1194B</w:t>
      </w:r>
      <w:r w:rsidR="00AE39AA" w:rsidRPr="00190715">
        <w:rPr>
          <w:lang w:eastAsia="en-AU"/>
        </w:rPr>
        <w:t>Stakeholder input consistently highlights that effective implementation depends on secure, long</w:t>
      </w:r>
      <w:r w:rsidR="00AE39AA" w:rsidRPr="00190715">
        <w:rPr>
          <w:lang w:eastAsia="en-AU"/>
        </w:rPr>
        <w:noBreakHyphen/>
        <w:t>term funding arrangements. Key themes include:</w:t>
      </w:r>
    </w:p>
    <w:p w14:paraId="5EB4E4F1" w14:textId="498FEE03" w:rsidR="00AE39AA" w:rsidRPr="00190715" w:rsidRDefault="00382EE8" w:rsidP="00115BD6">
      <w:pPr>
        <w:pStyle w:val="ListParagraph"/>
        <w:numPr>
          <w:ilvl w:val="0"/>
          <w:numId w:val="17"/>
        </w:numPr>
        <w:rPr>
          <w:lang w:eastAsia="en-AU"/>
        </w:rPr>
      </w:pPr>
      <w:r>
        <w:rPr>
          <w:rFonts w:ascii="ZWAdobeF" w:hAnsi="ZWAdobeF" w:cs="ZWAdobeF"/>
          <w:sz w:val="2"/>
          <w:szCs w:val="2"/>
          <w:lang w:eastAsia="en-AU"/>
        </w:rPr>
        <w:t>372B</w:t>
      </w:r>
      <w:r w:rsidR="00AE39AA" w:rsidRPr="00190715">
        <w:rPr>
          <w:lang w:eastAsia="en-AU"/>
        </w:rPr>
        <w:t>strong support for investment in catchment and complementary measures, alongside flows</w:t>
      </w:r>
    </w:p>
    <w:p w14:paraId="5CBFCC4A" w14:textId="04A859F6" w:rsidR="00AE39AA" w:rsidRPr="00190715" w:rsidRDefault="00382EE8" w:rsidP="00115BD6">
      <w:pPr>
        <w:pStyle w:val="ListParagraph"/>
        <w:numPr>
          <w:ilvl w:val="0"/>
          <w:numId w:val="17"/>
        </w:numPr>
        <w:rPr>
          <w:lang w:eastAsia="en-AU"/>
        </w:rPr>
      </w:pPr>
      <w:r>
        <w:rPr>
          <w:rFonts w:ascii="ZWAdobeF" w:hAnsi="ZWAdobeF" w:cs="ZWAdobeF"/>
          <w:sz w:val="2"/>
          <w:szCs w:val="2"/>
          <w:lang w:eastAsia="en-AU"/>
        </w:rPr>
        <w:t>373B</w:t>
      </w:r>
      <w:r w:rsidR="00AE39AA" w:rsidRPr="6332CC80">
        <w:rPr>
          <w:lang w:eastAsia="en-AU"/>
        </w:rPr>
        <w:t xml:space="preserve">concerns that </w:t>
      </w:r>
      <w:r w:rsidR="66B00BB4" w:rsidRPr="6332CC80">
        <w:rPr>
          <w:lang w:eastAsia="en-AU"/>
        </w:rPr>
        <w:t>short-term</w:t>
      </w:r>
      <w:r w:rsidR="00AE39AA" w:rsidRPr="6332CC80">
        <w:rPr>
          <w:lang w:eastAsia="en-AU"/>
        </w:rPr>
        <w:t xml:space="preserve"> funding cycles undermine </w:t>
      </w:r>
      <w:r w:rsidR="00D00CAF" w:rsidRPr="6332CC80">
        <w:rPr>
          <w:lang w:eastAsia="en-AU"/>
        </w:rPr>
        <w:t xml:space="preserve">achieving </w:t>
      </w:r>
      <w:r w:rsidR="00AE39AA" w:rsidRPr="6332CC80">
        <w:rPr>
          <w:lang w:eastAsia="en-AU"/>
        </w:rPr>
        <w:t>environmental outcomes</w:t>
      </w:r>
    </w:p>
    <w:p w14:paraId="450D0B73" w14:textId="1580AE38" w:rsidR="00AE39AA" w:rsidRPr="00190715" w:rsidRDefault="00382EE8" w:rsidP="00115BD6">
      <w:pPr>
        <w:pStyle w:val="ListParagraph"/>
        <w:numPr>
          <w:ilvl w:val="0"/>
          <w:numId w:val="17"/>
        </w:numPr>
        <w:rPr>
          <w:lang w:eastAsia="en-AU"/>
        </w:rPr>
      </w:pPr>
      <w:r>
        <w:rPr>
          <w:rFonts w:ascii="ZWAdobeF" w:hAnsi="ZWAdobeF" w:cs="ZWAdobeF"/>
          <w:sz w:val="2"/>
          <w:szCs w:val="2"/>
          <w:lang w:eastAsia="en-AU"/>
        </w:rPr>
        <w:t>374B</w:t>
      </w:r>
      <w:r w:rsidR="00AE39AA" w:rsidRPr="00190715">
        <w:rPr>
          <w:lang w:eastAsia="en-AU"/>
        </w:rPr>
        <w:t>expectation that costs should be shared across governments and system beneficiaries</w:t>
      </w:r>
    </w:p>
    <w:p w14:paraId="207D0914" w14:textId="30F72CDB" w:rsidR="00AE39AA" w:rsidRPr="00190715" w:rsidRDefault="00382EE8" w:rsidP="00115BD6">
      <w:pPr>
        <w:pStyle w:val="ListParagraph"/>
        <w:numPr>
          <w:ilvl w:val="0"/>
          <w:numId w:val="17"/>
        </w:numPr>
        <w:rPr>
          <w:lang w:eastAsia="en-AU"/>
        </w:rPr>
      </w:pPr>
      <w:r>
        <w:rPr>
          <w:rFonts w:ascii="ZWAdobeF" w:hAnsi="ZWAdobeF" w:cs="ZWAdobeF"/>
          <w:sz w:val="2"/>
          <w:szCs w:val="2"/>
          <w:lang w:eastAsia="en-AU"/>
        </w:rPr>
        <w:t>375B</w:t>
      </w:r>
      <w:r w:rsidR="00AE39AA" w:rsidRPr="00190715">
        <w:rPr>
          <w:lang w:eastAsia="en-AU"/>
        </w:rPr>
        <w:t>broad support for Snowy Hydro contributing to environmental and community outcomes, reflecting its use of public water resources</w:t>
      </w:r>
    </w:p>
    <w:p w14:paraId="4062F3A9" w14:textId="1EBF6E4C" w:rsidR="00AE39AA" w:rsidRPr="00190715" w:rsidRDefault="00382EE8" w:rsidP="00115BD6">
      <w:pPr>
        <w:pStyle w:val="ListParagraph"/>
        <w:numPr>
          <w:ilvl w:val="0"/>
          <w:numId w:val="17"/>
        </w:numPr>
        <w:rPr>
          <w:lang w:eastAsia="en-AU"/>
        </w:rPr>
      </w:pPr>
      <w:r>
        <w:rPr>
          <w:rFonts w:ascii="ZWAdobeF" w:hAnsi="ZWAdobeF" w:cs="ZWAdobeF"/>
          <w:sz w:val="2"/>
          <w:szCs w:val="2"/>
          <w:lang w:eastAsia="en-AU"/>
        </w:rPr>
        <w:t>376B</w:t>
      </w:r>
      <w:r w:rsidR="00AE39AA" w:rsidRPr="00190715">
        <w:rPr>
          <w:lang w:eastAsia="en-AU"/>
        </w:rPr>
        <w:t>calls for dedicated funding for First Nations and community programs</w:t>
      </w:r>
    </w:p>
    <w:p w14:paraId="77D216FC" w14:textId="0056D895" w:rsidR="00AE39AA" w:rsidRPr="00190715" w:rsidRDefault="00382EE8" w:rsidP="00115BD6">
      <w:pPr>
        <w:pStyle w:val="ListParagraph"/>
        <w:numPr>
          <w:ilvl w:val="0"/>
          <w:numId w:val="17"/>
        </w:numPr>
        <w:rPr>
          <w:lang w:eastAsia="en-AU"/>
        </w:rPr>
      </w:pPr>
      <w:r>
        <w:rPr>
          <w:rFonts w:ascii="ZWAdobeF" w:hAnsi="ZWAdobeF" w:cs="ZWAdobeF"/>
          <w:sz w:val="2"/>
          <w:szCs w:val="2"/>
          <w:lang w:eastAsia="en-AU"/>
        </w:rPr>
        <w:t>377B</w:t>
      </w:r>
      <w:r w:rsidR="79CE1AF2" w:rsidRPr="3186B5B3">
        <w:rPr>
          <w:lang w:eastAsia="en-AU"/>
        </w:rPr>
        <w:t>n</w:t>
      </w:r>
      <w:r w:rsidR="78F88EE2" w:rsidRPr="265D9F7D">
        <w:rPr>
          <w:lang w:eastAsia="en-AU"/>
        </w:rPr>
        <w:t>eed for coordination</w:t>
      </w:r>
      <w:r w:rsidR="78F88EE2" w:rsidRPr="6E8C34B9">
        <w:rPr>
          <w:lang w:eastAsia="en-AU"/>
        </w:rPr>
        <w:t xml:space="preserve"> of activities</w:t>
      </w:r>
      <w:r w:rsidR="006A7349">
        <w:rPr>
          <w:lang w:eastAsia="en-AU"/>
        </w:rPr>
        <w:t xml:space="preserve"> </w:t>
      </w:r>
      <w:r w:rsidR="4331853A" w:rsidRPr="265D9F7D">
        <w:rPr>
          <w:lang w:eastAsia="en-AU"/>
        </w:rPr>
        <w:t>across and within jurisdictions</w:t>
      </w:r>
      <w:r w:rsidR="00AE39AA" w:rsidRPr="00190715">
        <w:rPr>
          <w:lang w:eastAsia="en-AU"/>
        </w:rPr>
        <w:t>.</w:t>
      </w:r>
    </w:p>
    <w:p w14:paraId="11BC9D6A" w14:textId="57CC12CE" w:rsidR="006F3DBA" w:rsidRPr="00190715" w:rsidRDefault="009050C9" w:rsidP="009050C9">
      <w:pPr>
        <w:pStyle w:val="ReviewHeading2"/>
        <w:rPr>
          <w:lang w:eastAsia="en-AU"/>
        </w:rPr>
      </w:pPr>
      <w:bookmarkStart w:id="142" w:name="_Toc233285623"/>
      <w:bookmarkStart w:id="143" w:name="_Toc233801502"/>
      <w:r>
        <w:rPr>
          <w:rFonts w:eastAsia="Times New Roman"/>
          <w:lang w:eastAsia="en-AU"/>
        </w:rPr>
        <w:t>7.4</w:t>
      </w:r>
      <w:r w:rsidR="00FA1D5B">
        <w:rPr>
          <w:rFonts w:eastAsia="Times New Roman"/>
          <w:lang w:eastAsia="en-AU"/>
        </w:rPr>
        <w:t xml:space="preserve"> </w:t>
      </w:r>
      <w:r>
        <w:rPr>
          <w:rFonts w:eastAsia="Times New Roman"/>
          <w:lang w:eastAsia="en-AU"/>
        </w:rPr>
        <w:t>Funding challenges</w:t>
      </w:r>
      <w:bookmarkEnd w:id="142"/>
      <w:bookmarkEnd w:id="143"/>
    </w:p>
    <w:p w14:paraId="30AA7342" w14:textId="39DA21FE" w:rsidR="0000167D" w:rsidRPr="00190715" w:rsidRDefault="00382EE8" w:rsidP="006A7349">
      <w:pPr>
        <w:rPr>
          <w:lang w:eastAsia="en-AU"/>
        </w:rPr>
      </w:pPr>
      <w:r>
        <w:rPr>
          <w:rFonts w:ascii="ZWAdobeF" w:hAnsi="ZWAdobeF" w:cs="ZWAdobeF"/>
          <w:sz w:val="2"/>
          <w:szCs w:val="2"/>
          <w:lang w:eastAsia="en-AU"/>
        </w:rPr>
        <w:t>1195B</w:t>
      </w:r>
      <w:r w:rsidR="0000167D" w:rsidRPr="00190715">
        <w:rPr>
          <w:lang w:eastAsia="en-AU"/>
        </w:rPr>
        <w:t xml:space="preserve">The Panel </w:t>
      </w:r>
      <w:r w:rsidR="1CD83041" w:rsidRPr="535E840C">
        <w:rPr>
          <w:lang w:eastAsia="en-AU"/>
        </w:rPr>
        <w:t xml:space="preserve">agrees that the shortcomings </w:t>
      </w:r>
      <w:r w:rsidR="1CD83041" w:rsidRPr="17AC71FA">
        <w:rPr>
          <w:lang w:eastAsia="en-AU"/>
        </w:rPr>
        <w:t>id</w:t>
      </w:r>
      <w:r w:rsidR="0770E29E" w:rsidRPr="17AC71FA">
        <w:rPr>
          <w:lang w:eastAsia="en-AU"/>
        </w:rPr>
        <w:t>e</w:t>
      </w:r>
      <w:r w:rsidR="1CD83041" w:rsidRPr="17AC71FA">
        <w:rPr>
          <w:lang w:eastAsia="en-AU"/>
        </w:rPr>
        <w:t>ntified</w:t>
      </w:r>
      <w:r w:rsidR="1CD83041" w:rsidRPr="28937230">
        <w:rPr>
          <w:lang w:eastAsia="en-AU"/>
        </w:rPr>
        <w:t xml:space="preserve"> by </w:t>
      </w:r>
      <w:r w:rsidR="1C8D614F" w:rsidRPr="17AC71FA">
        <w:rPr>
          <w:lang w:eastAsia="en-AU"/>
        </w:rPr>
        <w:t>stakeholders</w:t>
      </w:r>
      <w:r w:rsidR="1CD83041" w:rsidRPr="28937230">
        <w:rPr>
          <w:lang w:eastAsia="en-AU"/>
        </w:rPr>
        <w:t xml:space="preserve"> need to be </w:t>
      </w:r>
      <w:r w:rsidR="6E54BB56" w:rsidRPr="18672A41">
        <w:rPr>
          <w:lang w:eastAsia="en-AU"/>
        </w:rPr>
        <w:t>taken</w:t>
      </w:r>
      <w:r w:rsidR="1CD83041" w:rsidRPr="28937230">
        <w:rPr>
          <w:lang w:eastAsia="en-AU"/>
        </w:rPr>
        <w:t xml:space="preserve"> into account in </w:t>
      </w:r>
      <w:r w:rsidR="1E1D62FF" w:rsidRPr="497D71BA">
        <w:rPr>
          <w:lang w:eastAsia="en-AU"/>
        </w:rPr>
        <w:t>developing</w:t>
      </w:r>
      <w:r w:rsidR="1CD83041" w:rsidRPr="28937230">
        <w:rPr>
          <w:lang w:eastAsia="en-AU"/>
        </w:rPr>
        <w:t xml:space="preserve"> </w:t>
      </w:r>
      <w:r w:rsidR="1CD83041" w:rsidRPr="57A9D6A1">
        <w:rPr>
          <w:lang w:eastAsia="en-AU"/>
        </w:rPr>
        <w:t xml:space="preserve">funding arrangements. </w:t>
      </w:r>
    </w:p>
    <w:p w14:paraId="5BD84D12" w14:textId="70EFC80A" w:rsidR="0000167D" w:rsidRPr="00FA7EF8" w:rsidRDefault="00382EE8" w:rsidP="0000167D">
      <w:pPr>
        <w:rPr>
          <w:lang w:eastAsia="en-AU"/>
        </w:rPr>
      </w:pPr>
      <w:r>
        <w:rPr>
          <w:rFonts w:ascii="ZWAdobeF" w:hAnsi="ZWAdobeF" w:cs="ZWAdobeF"/>
          <w:sz w:val="2"/>
          <w:szCs w:val="2"/>
          <w:lang w:eastAsia="en-AU"/>
        </w:rPr>
        <w:t>1196B</w:t>
      </w:r>
      <w:r w:rsidR="17484081" w:rsidRPr="078A0D1C">
        <w:rPr>
          <w:lang w:eastAsia="en-AU"/>
        </w:rPr>
        <w:t xml:space="preserve">While sustained funding is required over </w:t>
      </w:r>
      <w:r w:rsidR="025BFA88" w:rsidRPr="078A0D1C">
        <w:rPr>
          <w:lang w:eastAsia="en-AU"/>
        </w:rPr>
        <w:t xml:space="preserve">a </w:t>
      </w:r>
      <w:r w:rsidR="17484081" w:rsidRPr="078A0D1C">
        <w:rPr>
          <w:lang w:eastAsia="en-AU"/>
        </w:rPr>
        <w:t>long timeframe, the intensity of investment is expected to change over time</w:t>
      </w:r>
      <w:r w:rsidR="46943163" w:rsidRPr="078A0D1C">
        <w:rPr>
          <w:lang w:eastAsia="en-AU"/>
        </w:rPr>
        <w:t>.</w:t>
      </w:r>
      <w:r w:rsidR="17484081" w:rsidRPr="078A0D1C">
        <w:rPr>
          <w:lang w:eastAsia="en-AU"/>
        </w:rPr>
        <w:t xml:space="preserve"> </w:t>
      </w:r>
      <w:r w:rsidR="46943163" w:rsidRPr="078A0D1C">
        <w:rPr>
          <w:lang w:eastAsia="en-AU"/>
        </w:rPr>
        <w:t>H</w:t>
      </w:r>
      <w:r w:rsidR="17484081" w:rsidRPr="078A0D1C">
        <w:rPr>
          <w:lang w:eastAsia="en-AU"/>
        </w:rPr>
        <w:t>igher upfront investment in catchment repair and system restoration</w:t>
      </w:r>
      <w:r w:rsidR="3D903CA1" w:rsidRPr="078A0D1C">
        <w:rPr>
          <w:lang w:eastAsia="en-AU"/>
        </w:rPr>
        <w:t xml:space="preserve"> would </w:t>
      </w:r>
      <w:r w:rsidR="5E91488E" w:rsidRPr="078A0D1C">
        <w:rPr>
          <w:lang w:eastAsia="en-AU"/>
        </w:rPr>
        <w:t xml:space="preserve">likely </w:t>
      </w:r>
      <w:r w:rsidR="3D903CA1" w:rsidRPr="078A0D1C">
        <w:rPr>
          <w:lang w:eastAsia="en-AU"/>
        </w:rPr>
        <w:t xml:space="preserve">be </w:t>
      </w:r>
      <w:r w:rsidR="17484081" w:rsidRPr="078A0D1C">
        <w:rPr>
          <w:lang w:eastAsia="en-AU"/>
        </w:rPr>
        <w:t>followed by reduced but ongoing funding for maintenance, monitoring and adaptive management as system condition improves.</w:t>
      </w:r>
    </w:p>
    <w:p w14:paraId="3DC33C64" w14:textId="41247826" w:rsidR="0000167D" w:rsidRPr="00190715" w:rsidRDefault="00072C13" w:rsidP="0000167D">
      <w:pPr>
        <w:pStyle w:val="ReviewHeading2"/>
        <w:rPr>
          <w:rFonts w:eastAsia="Times New Roman"/>
          <w:lang w:eastAsia="en-AU"/>
        </w:rPr>
      </w:pPr>
      <w:bookmarkStart w:id="144" w:name="_Toc233285624"/>
      <w:bookmarkStart w:id="145" w:name="_Toc233801503"/>
      <w:r>
        <w:rPr>
          <w:rFonts w:eastAsia="Times New Roman"/>
          <w:lang w:eastAsia="en-AU"/>
        </w:rPr>
        <w:t>7.5 Principles for funding design</w:t>
      </w:r>
      <w:bookmarkEnd w:id="144"/>
      <w:bookmarkEnd w:id="145"/>
    </w:p>
    <w:p w14:paraId="734FA54E" w14:textId="706F17C5" w:rsidR="008F45A8" w:rsidRPr="00794999" w:rsidRDefault="00382EE8" w:rsidP="008F45A8">
      <w:pPr>
        <w:rPr>
          <w:lang w:eastAsia="en-AU"/>
        </w:rPr>
      </w:pPr>
      <w:r>
        <w:rPr>
          <w:rFonts w:ascii="ZWAdobeF" w:hAnsi="ZWAdobeF" w:cs="ZWAdobeF"/>
          <w:sz w:val="2"/>
          <w:szCs w:val="2"/>
          <w:lang w:eastAsia="en-AU"/>
        </w:rPr>
        <w:t>1197B</w:t>
      </w:r>
      <w:r w:rsidR="008F45A8" w:rsidRPr="00794999">
        <w:rPr>
          <w:lang w:eastAsia="en-AU"/>
        </w:rPr>
        <w:t>The funding framework should:</w:t>
      </w:r>
    </w:p>
    <w:p w14:paraId="51859360" w14:textId="742CA97D"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378B</w:t>
      </w:r>
      <w:r w:rsidR="008F45A8" w:rsidRPr="00794999">
        <w:rPr>
          <w:lang w:eastAsia="en-AU"/>
        </w:rPr>
        <w:t>provide long-term certainty and continuity of funding</w:t>
      </w:r>
    </w:p>
    <w:p w14:paraId="0C73B567" w14:textId="2C026D6D"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379B</w:t>
      </w:r>
      <w:r w:rsidR="008F45A8" w:rsidRPr="00794999">
        <w:rPr>
          <w:lang w:eastAsia="en-AU"/>
        </w:rPr>
        <w:t>align funding with system outcomes, impacts and responsibilities</w:t>
      </w:r>
    </w:p>
    <w:p w14:paraId="4E02D6A2" w14:textId="5276A0C4"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380B</w:t>
      </w:r>
      <w:r w:rsidR="008F45A8" w:rsidRPr="00794999">
        <w:rPr>
          <w:lang w:eastAsia="en-AU"/>
        </w:rPr>
        <w:t>support shared but proportionate contributions across governments</w:t>
      </w:r>
    </w:p>
    <w:p w14:paraId="5DF0D0C1" w14:textId="30629EE6"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lastRenderedPageBreak/>
        <w:t>381B</w:t>
      </w:r>
      <w:r w:rsidR="008F45A8" w:rsidRPr="00794999">
        <w:rPr>
          <w:lang w:eastAsia="en-AU"/>
        </w:rPr>
        <w:t xml:space="preserve">establish </w:t>
      </w:r>
      <w:r w:rsidR="008F45A8" w:rsidRPr="17CB4220">
        <w:rPr>
          <w:lang w:eastAsia="en-AU"/>
        </w:rPr>
        <w:t>a</w:t>
      </w:r>
      <w:r w:rsidR="6EC5D901" w:rsidRPr="17CB4220">
        <w:rPr>
          <w:lang w:eastAsia="en-AU"/>
        </w:rPr>
        <w:t>n</w:t>
      </w:r>
      <w:r w:rsidR="00D053BD">
        <w:rPr>
          <w:lang w:eastAsia="en-AU"/>
        </w:rPr>
        <w:t xml:space="preserve"> </w:t>
      </w:r>
      <w:r w:rsidR="008F45A8" w:rsidRPr="00794999">
        <w:rPr>
          <w:lang w:eastAsia="en-AU"/>
        </w:rPr>
        <w:t>appropriate contribution from Snowy Hydro</w:t>
      </w:r>
    </w:p>
    <w:p w14:paraId="7A855606" w14:textId="02C3E631"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382B</w:t>
      </w:r>
      <w:r w:rsidR="008F45A8" w:rsidRPr="6332CC80">
        <w:rPr>
          <w:lang w:eastAsia="en-AU"/>
        </w:rPr>
        <w:t>ensure funding allocation is transparent, well-governed and independently informed and directed to priority actions that deliver the greatest contribution to agreed</w:t>
      </w:r>
      <w:r w:rsidR="31A91728" w:rsidRPr="6332CC80">
        <w:rPr>
          <w:lang w:eastAsia="en-AU"/>
        </w:rPr>
        <w:t xml:space="preserve"> </w:t>
      </w:r>
      <w:r w:rsidR="488C3FBA" w:rsidRPr="6332CC80">
        <w:rPr>
          <w:lang w:eastAsia="en-AU"/>
        </w:rPr>
        <w:t xml:space="preserve">prioritised </w:t>
      </w:r>
      <w:r w:rsidR="008F45A8" w:rsidRPr="6332CC80">
        <w:rPr>
          <w:lang w:eastAsia="en-AU"/>
        </w:rPr>
        <w:t>system outcomes</w:t>
      </w:r>
      <w:r w:rsidR="6B7C4BB6" w:rsidRPr="6332CC80">
        <w:rPr>
          <w:lang w:eastAsia="en-AU"/>
        </w:rPr>
        <w:t xml:space="preserve">. Priorities should be based on scientific </w:t>
      </w:r>
      <w:r w:rsidR="78223C6B" w:rsidRPr="6332CC80">
        <w:rPr>
          <w:lang w:eastAsia="en-AU"/>
        </w:rPr>
        <w:t>evidence</w:t>
      </w:r>
      <w:r w:rsidR="6B7C4BB6" w:rsidRPr="6332CC80">
        <w:rPr>
          <w:lang w:eastAsia="en-AU"/>
        </w:rPr>
        <w:t xml:space="preserve"> and transparent criteria</w:t>
      </w:r>
      <w:r w:rsidR="5E39D5C2" w:rsidRPr="6332CC80">
        <w:rPr>
          <w:lang w:eastAsia="en-AU"/>
        </w:rPr>
        <w:t>. Input should</w:t>
      </w:r>
      <w:r w:rsidR="51E275AD" w:rsidRPr="6332CC80">
        <w:rPr>
          <w:lang w:eastAsia="en-AU"/>
        </w:rPr>
        <w:t xml:space="preserve"> also be sought from community stakeholders and First Nations</w:t>
      </w:r>
    </w:p>
    <w:p w14:paraId="4C4C976B" w14:textId="4335D1F1"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383B</w:t>
      </w:r>
      <w:r w:rsidR="008F45A8" w:rsidRPr="00794999">
        <w:rPr>
          <w:lang w:eastAsia="en-AU"/>
        </w:rPr>
        <w:t>support adaptive management by enabling funding to respond to new information and evolving system priorities</w:t>
      </w:r>
    </w:p>
    <w:p w14:paraId="3159B971" w14:textId="0F080F0B"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384B</w:t>
      </w:r>
      <w:r w:rsidR="008F45A8" w:rsidRPr="00794999">
        <w:rPr>
          <w:lang w:eastAsia="en-AU"/>
        </w:rPr>
        <w:t>recognise both public benefit and user-pays principles, while operating within established water entitlement frameworks</w:t>
      </w:r>
    </w:p>
    <w:p w14:paraId="5A2BE829" w14:textId="26FB3AB6"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385B</w:t>
      </w:r>
      <w:r w:rsidR="008F45A8" w:rsidRPr="00794999">
        <w:rPr>
          <w:lang w:eastAsia="en-AU"/>
        </w:rPr>
        <w:t>support First Nations participation, community involvement and long-term stewardship</w:t>
      </w:r>
    </w:p>
    <w:p w14:paraId="61764B01" w14:textId="791B4A38"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386B</w:t>
      </w:r>
      <w:r w:rsidR="008F45A8" w:rsidRPr="00794999">
        <w:rPr>
          <w:lang w:eastAsia="en-AU"/>
        </w:rPr>
        <w:t xml:space="preserve">support delivery of effective operational arrangements measured against </w:t>
      </w:r>
      <w:r w:rsidR="00791204">
        <w:rPr>
          <w:lang w:eastAsia="en-AU"/>
        </w:rPr>
        <w:t xml:space="preserve">environmental, cultural and social </w:t>
      </w:r>
      <w:r w:rsidR="008F45A8" w:rsidRPr="00794999">
        <w:rPr>
          <w:lang w:eastAsia="en-AU"/>
        </w:rPr>
        <w:t>outcomes rather than input-based or volumetric targets</w:t>
      </w:r>
    </w:p>
    <w:p w14:paraId="1228449A" w14:textId="4BF10A0C" w:rsidR="008F45A8" w:rsidRPr="00794999" w:rsidRDefault="00382EE8" w:rsidP="00115BD6">
      <w:pPr>
        <w:pStyle w:val="ListParagraph"/>
        <w:numPr>
          <w:ilvl w:val="0"/>
          <w:numId w:val="18"/>
        </w:numPr>
        <w:rPr>
          <w:lang w:eastAsia="en-AU"/>
        </w:rPr>
      </w:pPr>
      <w:r>
        <w:rPr>
          <w:rFonts w:ascii="ZWAdobeF" w:hAnsi="ZWAdobeF" w:cs="ZWAdobeF"/>
          <w:sz w:val="2"/>
          <w:szCs w:val="2"/>
          <w:lang w:eastAsia="en-AU"/>
        </w:rPr>
        <w:t>387B</w:t>
      </w:r>
      <w:r w:rsidR="008F45A8" w:rsidRPr="6332CC80">
        <w:rPr>
          <w:lang w:eastAsia="en-AU"/>
        </w:rPr>
        <w:t xml:space="preserve">ensure participation in the </w:t>
      </w:r>
      <w:r w:rsidR="009F16ED">
        <w:rPr>
          <w:lang w:eastAsia="en-AU"/>
        </w:rPr>
        <w:t>new Deed</w:t>
      </w:r>
      <w:r w:rsidR="008F45A8" w:rsidRPr="6332CC80">
        <w:rPr>
          <w:lang w:eastAsia="en-AU"/>
        </w:rPr>
        <w:t xml:space="preserve"> framework </w:t>
      </w:r>
      <w:r w:rsidR="002D7803" w:rsidRPr="6332CC80">
        <w:rPr>
          <w:lang w:eastAsia="en-AU"/>
        </w:rPr>
        <w:t xml:space="preserve">has </w:t>
      </w:r>
      <w:r w:rsidR="009C4960" w:rsidRPr="6332CC80">
        <w:rPr>
          <w:lang w:eastAsia="en-AU"/>
        </w:rPr>
        <w:t xml:space="preserve">agreed </w:t>
      </w:r>
      <w:r w:rsidR="008F45A8" w:rsidRPr="6332CC80">
        <w:rPr>
          <w:lang w:eastAsia="en-AU"/>
        </w:rPr>
        <w:t xml:space="preserve">financial </w:t>
      </w:r>
      <w:r w:rsidR="009C4960" w:rsidRPr="6332CC80">
        <w:rPr>
          <w:lang w:eastAsia="en-AU"/>
        </w:rPr>
        <w:t xml:space="preserve">and / </w:t>
      </w:r>
      <w:r w:rsidR="008F45A8" w:rsidRPr="6332CC80">
        <w:rPr>
          <w:lang w:eastAsia="en-AU"/>
        </w:rPr>
        <w:t>capped in-kind contribution</w:t>
      </w:r>
      <w:r w:rsidR="00E57164" w:rsidRPr="6332CC80">
        <w:rPr>
          <w:lang w:eastAsia="en-AU"/>
        </w:rPr>
        <w:t>s</w:t>
      </w:r>
      <w:r w:rsidR="00AC2FC8" w:rsidRPr="6332CC80">
        <w:rPr>
          <w:lang w:eastAsia="en-AU"/>
        </w:rPr>
        <w:t>.</w:t>
      </w:r>
    </w:p>
    <w:p w14:paraId="41388E7A" w14:textId="03DCE2AF" w:rsidR="0F33F8C3" w:rsidRDefault="00382EE8" w:rsidP="00115BD6">
      <w:pPr>
        <w:pStyle w:val="ListParagraph"/>
        <w:numPr>
          <w:ilvl w:val="0"/>
          <w:numId w:val="18"/>
        </w:numPr>
        <w:rPr>
          <w:lang w:eastAsia="en-AU"/>
        </w:rPr>
      </w:pPr>
      <w:r>
        <w:rPr>
          <w:rFonts w:ascii="ZWAdobeF" w:hAnsi="ZWAdobeF" w:cs="ZWAdobeF"/>
          <w:sz w:val="2"/>
          <w:szCs w:val="2"/>
          <w:lang w:eastAsia="en-AU"/>
        </w:rPr>
        <w:t>388B</w:t>
      </w:r>
      <w:r w:rsidR="0F33F8C3" w:rsidRPr="6332CC80">
        <w:rPr>
          <w:lang w:eastAsia="en-AU"/>
        </w:rPr>
        <w:t>be coordinated across jurisdictions</w:t>
      </w:r>
      <w:r w:rsidR="004066E2">
        <w:rPr>
          <w:lang w:eastAsia="en-AU"/>
        </w:rPr>
        <w:t>.</w:t>
      </w:r>
    </w:p>
    <w:p w14:paraId="17A9A638" w14:textId="581A4BDB" w:rsidR="008F45A8" w:rsidRPr="00794999" w:rsidRDefault="00382EE8" w:rsidP="008F45A8">
      <w:pPr>
        <w:rPr>
          <w:lang w:eastAsia="en-AU"/>
        </w:rPr>
      </w:pPr>
      <w:r>
        <w:rPr>
          <w:rFonts w:ascii="ZWAdobeF" w:hAnsi="ZWAdobeF" w:cs="ZWAdobeF"/>
          <w:sz w:val="2"/>
          <w:szCs w:val="2"/>
          <w:lang w:eastAsia="en-AU"/>
        </w:rPr>
        <w:t>1198B</w:t>
      </w:r>
      <w:r w:rsidR="008F45A8" w:rsidRPr="00794999">
        <w:rPr>
          <w:lang w:eastAsia="en-AU"/>
        </w:rPr>
        <w:t>In practice, this may result in funding being distributed unevenly across jurisdictions, reflecting differences in catchment condition, opportunity for improvement and the actions required to achieve system-wide objectives.</w:t>
      </w:r>
    </w:p>
    <w:p w14:paraId="625A66B8" w14:textId="5DCB376D" w:rsidR="008F45A8" w:rsidRDefault="00382EE8" w:rsidP="008F45A8">
      <w:pPr>
        <w:rPr>
          <w:lang w:eastAsia="en-AU"/>
        </w:rPr>
      </w:pPr>
      <w:r>
        <w:rPr>
          <w:rFonts w:ascii="ZWAdobeF" w:hAnsi="ZWAdobeF" w:cs="ZWAdobeF"/>
          <w:sz w:val="2"/>
          <w:szCs w:val="2"/>
          <w:lang w:eastAsia="en-AU"/>
        </w:rPr>
        <w:t>1199B</w:t>
      </w:r>
      <w:r w:rsidR="008F45A8" w:rsidRPr="00794999">
        <w:rPr>
          <w:lang w:eastAsia="en-AU"/>
        </w:rPr>
        <w:t>Funding responsibilities should therefore reflect a combination of system benefits, impacts and shared stewardship responsibilities.</w:t>
      </w:r>
    </w:p>
    <w:p w14:paraId="236735E4" w14:textId="1F5EEDA3" w:rsidR="009050C9" w:rsidRDefault="006C39C9" w:rsidP="006C39C9">
      <w:pPr>
        <w:pStyle w:val="ReviewHeading2"/>
        <w:rPr>
          <w:rFonts w:eastAsia="Times New Roman"/>
          <w:lang w:eastAsia="en-AU"/>
        </w:rPr>
      </w:pPr>
      <w:bookmarkStart w:id="146" w:name="_Toc233285625"/>
      <w:bookmarkStart w:id="147" w:name="_Toc233801504"/>
      <w:r>
        <w:rPr>
          <w:rFonts w:eastAsia="Times New Roman"/>
          <w:lang w:eastAsia="en-AU"/>
        </w:rPr>
        <w:t>7.6 Recommended funding approach</w:t>
      </w:r>
      <w:bookmarkEnd w:id="146"/>
      <w:bookmarkEnd w:id="147"/>
    </w:p>
    <w:p w14:paraId="521B5266" w14:textId="55BD64A7" w:rsidR="00FA1D5B" w:rsidRPr="00190715" w:rsidRDefault="00382EE8" w:rsidP="00FA1D5B">
      <w:pPr>
        <w:rPr>
          <w:lang w:eastAsia="en-AU"/>
        </w:rPr>
      </w:pPr>
      <w:r>
        <w:rPr>
          <w:rFonts w:ascii="ZWAdobeF" w:hAnsi="ZWAdobeF" w:cs="ZWAdobeF"/>
          <w:sz w:val="2"/>
          <w:szCs w:val="2"/>
          <w:lang w:eastAsia="en-AU"/>
        </w:rPr>
        <w:t>1200B</w:t>
      </w:r>
      <w:r w:rsidR="00FA1D5B" w:rsidRPr="00190715">
        <w:rPr>
          <w:lang w:eastAsia="en-AU"/>
        </w:rPr>
        <w:t xml:space="preserve">A hybrid funding model is </w:t>
      </w:r>
      <w:r w:rsidR="00FA1D5B">
        <w:rPr>
          <w:lang w:eastAsia="en-AU"/>
        </w:rPr>
        <w:t>proposed</w:t>
      </w:r>
      <w:r w:rsidR="00FA1D5B" w:rsidRPr="00190715">
        <w:rPr>
          <w:lang w:eastAsia="en-AU"/>
        </w:rPr>
        <w:t xml:space="preserve">, combining government contributions, a defined </w:t>
      </w:r>
      <w:r w:rsidR="00FA1D5B">
        <w:rPr>
          <w:lang w:eastAsia="en-AU"/>
        </w:rPr>
        <w:t>contributory</w:t>
      </w:r>
      <w:r w:rsidR="00FA1D5B" w:rsidRPr="00190715">
        <w:rPr>
          <w:lang w:eastAsia="en-AU"/>
        </w:rPr>
        <w:t xml:space="preserve"> role for Snowy Hydro and enduring funding </w:t>
      </w:r>
      <w:r w:rsidR="00FA1D5B">
        <w:rPr>
          <w:lang w:eastAsia="en-AU"/>
        </w:rPr>
        <w:t>arrangements</w:t>
      </w:r>
      <w:r w:rsidR="00FA1D5B" w:rsidRPr="00190715">
        <w:rPr>
          <w:lang w:eastAsia="en-AU"/>
        </w:rPr>
        <w:t>.</w:t>
      </w:r>
    </w:p>
    <w:p w14:paraId="75847B6D" w14:textId="57D9B339" w:rsidR="00FA1D5B" w:rsidRDefault="00382EE8" w:rsidP="00FA1D5B">
      <w:pPr>
        <w:rPr>
          <w:lang w:eastAsia="en-AU"/>
        </w:rPr>
      </w:pPr>
      <w:r>
        <w:rPr>
          <w:rFonts w:ascii="ZWAdobeF" w:hAnsi="ZWAdobeF" w:cs="ZWAdobeF"/>
          <w:sz w:val="2"/>
          <w:szCs w:val="2"/>
          <w:lang w:eastAsia="en-AU"/>
        </w:rPr>
        <w:t>1201B</w:t>
      </w:r>
      <w:r w:rsidR="31644BB7" w:rsidRPr="078A0D1C">
        <w:rPr>
          <w:lang w:eastAsia="en-AU"/>
        </w:rPr>
        <w:t xml:space="preserve">The effectiveness of this funding model will depend on how funds are raised </w:t>
      </w:r>
      <w:r w:rsidR="5473B0AB" w:rsidRPr="078A0D1C">
        <w:rPr>
          <w:lang w:eastAsia="en-AU"/>
        </w:rPr>
        <w:t xml:space="preserve">and </w:t>
      </w:r>
      <w:r w:rsidR="31644BB7" w:rsidRPr="078A0D1C">
        <w:rPr>
          <w:lang w:eastAsia="en-AU"/>
        </w:rPr>
        <w:t>how priorities are determined. Community and First Nations should inform investment priorities alongside scientific evidence, monitoring and evaluation</w:t>
      </w:r>
      <w:r w:rsidR="4A2AB4B6" w:rsidRPr="078A0D1C">
        <w:rPr>
          <w:lang w:eastAsia="en-AU"/>
        </w:rPr>
        <w:t xml:space="preserve"> information</w:t>
      </w:r>
      <w:r w:rsidR="31644BB7" w:rsidRPr="078A0D1C">
        <w:rPr>
          <w:lang w:eastAsia="en-AU"/>
        </w:rPr>
        <w:t>, to ensure funding decisions are evidence-based, transparent and locally informed.</w:t>
      </w:r>
      <w:r w:rsidR="3CC0FDB5" w:rsidRPr="078A0D1C">
        <w:rPr>
          <w:lang w:eastAsia="en-AU"/>
        </w:rPr>
        <w:t xml:space="preserve"> </w:t>
      </w:r>
      <w:r w:rsidR="7A5AFCCF" w:rsidRPr="078A0D1C">
        <w:rPr>
          <w:lang w:eastAsia="en-AU"/>
        </w:rPr>
        <w:t xml:space="preserve">Future </w:t>
      </w:r>
      <w:r w:rsidR="31644BB7" w:rsidRPr="078A0D1C">
        <w:rPr>
          <w:lang w:eastAsia="en-AU"/>
        </w:rPr>
        <w:t xml:space="preserve">funding approaches need to consider cost, equity, ecological effectiveness and financial risk. </w:t>
      </w:r>
    </w:p>
    <w:p w14:paraId="03372BC8" w14:textId="6C4CC2CA" w:rsidR="00FD627F" w:rsidRPr="00FD627F" w:rsidRDefault="00382EE8" w:rsidP="00FD627F">
      <w:pPr>
        <w:rPr>
          <w:lang w:eastAsia="en-AU"/>
        </w:rPr>
      </w:pPr>
      <w:r>
        <w:rPr>
          <w:rFonts w:ascii="ZWAdobeF" w:hAnsi="ZWAdobeF" w:cs="ZWAdobeF"/>
          <w:sz w:val="2"/>
          <w:szCs w:val="2"/>
          <w:lang w:eastAsia="en-AU"/>
        </w:rPr>
        <w:t>1202B</w:t>
      </w:r>
      <w:r w:rsidR="00FD627F" w:rsidRPr="00FD627F">
        <w:rPr>
          <w:lang w:eastAsia="en-AU"/>
        </w:rPr>
        <w:t>The Panel considers that a beneficiary</w:t>
      </w:r>
      <w:r w:rsidR="00A6583F">
        <w:rPr>
          <w:lang w:eastAsia="en-AU"/>
        </w:rPr>
        <w:t>-</w:t>
      </w:r>
      <w:r w:rsidR="00FD627F" w:rsidRPr="00FD627F">
        <w:rPr>
          <w:lang w:eastAsia="en-AU"/>
        </w:rPr>
        <w:t>pays approach provides the most appropriate basis for funding design, recognising that multiple parties derive value from the system and share an interest in improved outcomes.</w:t>
      </w:r>
    </w:p>
    <w:p w14:paraId="427B16A8" w14:textId="05530BA3" w:rsidR="006C39C9" w:rsidRDefault="00FA1D5B" w:rsidP="00FA1D5B">
      <w:pPr>
        <w:pStyle w:val="ReviewHeading3"/>
        <w:rPr>
          <w:rFonts w:eastAsia="Times New Roman"/>
          <w:lang w:eastAsia="en-AU"/>
        </w:rPr>
      </w:pPr>
      <w:r>
        <w:rPr>
          <w:rFonts w:eastAsia="Times New Roman"/>
          <w:lang w:eastAsia="en-AU"/>
        </w:rPr>
        <w:t>Indicative allocation of funding responsibilities</w:t>
      </w:r>
    </w:p>
    <w:p w14:paraId="3891EEE6" w14:textId="178BE13E" w:rsidR="00E06274" w:rsidRPr="00190715" w:rsidRDefault="00382EE8" w:rsidP="00115BD6">
      <w:pPr>
        <w:pStyle w:val="ListParagraph"/>
        <w:numPr>
          <w:ilvl w:val="0"/>
          <w:numId w:val="19"/>
        </w:numPr>
        <w:rPr>
          <w:lang w:eastAsia="en-AU"/>
        </w:rPr>
      </w:pPr>
      <w:r>
        <w:rPr>
          <w:rFonts w:ascii="ZWAdobeF" w:hAnsi="ZWAdobeF" w:cs="ZWAdobeF"/>
          <w:sz w:val="2"/>
          <w:szCs w:val="2"/>
          <w:lang w:eastAsia="en-AU"/>
        </w:rPr>
        <w:t>389B</w:t>
      </w:r>
      <w:r w:rsidR="00E06274" w:rsidRPr="00190715">
        <w:rPr>
          <w:lang w:eastAsia="en-AU"/>
        </w:rPr>
        <w:t>Governments: funding governance functions, coordination and co</w:t>
      </w:r>
      <w:r w:rsidR="00E06274">
        <w:noBreakHyphen/>
      </w:r>
      <w:r w:rsidR="00E06274" w:rsidRPr="00190715">
        <w:rPr>
          <w:lang w:eastAsia="en-AU"/>
        </w:rPr>
        <w:t>investment in public</w:t>
      </w:r>
      <w:r w:rsidR="0EA8167A" w:rsidRPr="2CE1959E">
        <w:rPr>
          <w:lang w:eastAsia="en-AU"/>
        </w:rPr>
        <w:t xml:space="preserve"> </w:t>
      </w:r>
      <w:r w:rsidR="00E06274" w:rsidRPr="00190715">
        <w:rPr>
          <w:lang w:eastAsia="en-AU"/>
        </w:rPr>
        <w:t>good outcomes</w:t>
      </w:r>
    </w:p>
    <w:p w14:paraId="5186B928" w14:textId="23809975" w:rsidR="00E06274" w:rsidRPr="00190715" w:rsidRDefault="00382EE8" w:rsidP="00115BD6">
      <w:pPr>
        <w:pStyle w:val="ListParagraph"/>
        <w:numPr>
          <w:ilvl w:val="0"/>
          <w:numId w:val="19"/>
        </w:numPr>
        <w:rPr>
          <w:lang w:eastAsia="en-AU"/>
        </w:rPr>
      </w:pPr>
      <w:r>
        <w:rPr>
          <w:rFonts w:ascii="ZWAdobeF" w:hAnsi="ZWAdobeF" w:cs="ZWAdobeF"/>
          <w:sz w:val="2"/>
          <w:szCs w:val="2"/>
          <w:lang w:eastAsia="en-AU"/>
        </w:rPr>
        <w:t>390B</w:t>
      </w:r>
      <w:r w:rsidR="00E06274" w:rsidRPr="6332CC80">
        <w:rPr>
          <w:lang w:eastAsia="en-AU"/>
        </w:rPr>
        <w:t>Snowy Hydro: financial contributions reflecting its role in system operations</w:t>
      </w:r>
      <w:r w:rsidR="721B0A7B" w:rsidRPr="6332CC80">
        <w:rPr>
          <w:lang w:eastAsia="en-AU"/>
        </w:rPr>
        <w:t>,</w:t>
      </w:r>
      <w:r w:rsidR="00E06274" w:rsidRPr="6332CC80">
        <w:rPr>
          <w:lang w:eastAsia="en-AU"/>
        </w:rPr>
        <w:t xml:space="preserve"> outcomes</w:t>
      </w:r>
      <w:r w:rsidR="58C5820B" w:rsidRPr="6332CC80">
        <w:rPr>
          <w:lang w:eastAsia="en-AU"/>
        </w:rPr>
        <w:t xml:space="preserve"> and impact</w:t>
      </w:r>
      <w:r w:rsidR="007A3542">
        <w:rPr>
          <w:lang w:eastAsia="en-AU"/>
        </w:rPr>
        <w:t>.</w:t>
      </w:r>
    </w:p>
    <w:p w14:paraId="3EF514F3" w14:textId="1A96BA95" w:rsidR="00E06274" w:rsidRDefault="00382EE8" w:rsidP="00E06274">
      <w:pPr>
        <w:rPr>
          <w:lang w:eastAsia="en-AU"/>
        </w:rPr>
      </w:pPr>
      <w:r>
        <w:rPr>
          <w:rFonts w:ascii="ZWAdobeF" w:hAnsi="ZWAdobeF" w:cs="ZWAdobeF"/>
          <w:sz w:val="2"/>
          <w:szCs w:val="2"/>
          <w:lang w:eastAsia="en-AU"/>
        </w:rPr>
        <w:lastRenderedPageBreak/>
        <w:t>1203B</w:t>
      </w:r>
      <w:r w:rsidR="00E06274" w:rsidRPr="0009545E">
        <w:rPr>
          <w:lang w:eastAsia="en-AU"/>
        </w:rPr>
        <w:t>These arrangements support clarity of roles and improve transparency in how funding is applied across the system. They would operate under intergovernmental oversight, with governance arrangements to ensure accountability and alignment with agreed objectives.</w:t>
      </w:r>
    </w:p>
    <w:p w14:paraId="7CB7E951" w14:textId="5C76A136" w:rsidR="00E06274" w:rsidRDefault="00E06274" w:rsidP="00E06274">
      <w:pPr>
        <w:pStyle w:val="ReviewHeading3"/>
        <w:rPr>
          <w:rFonts w:eastAsia="Times New Roman"/>
          <w:lang w:eastAsia="en-AU"/>
        </w:rPr>
      </w:pPr>
      <w:r>
        <w:rPr>
          <w:rFonts w:eastAsia="Times New Roman"/>
          <w:lang w:eastAsia="en-AU"/>
        </w:rPr>
        <w:t xml:space="preserve">Funding </w:t>
      </w:r>
      <w:r w:rsidR="00D544C1">
        <w:rPr>
          <w:rFonts w:eastAsia="Times New Roman"/>
          <w:lang w:eastAsia="en-AU"/>
        </w:rPr>
        <w:t>architecture</w:t>
      </w:r>
    </w:p>
    <w:p w14:paraId="30DE1533" w14:textId="159BF1C4" w:rsidR="00F84BE2" w:rsidRDefault="00382EE8" w:rsidP="00B86ED9">
      <w:pPr>
        <w:rPr>
          <w:lang w:eastAsia="en-AU"/>
        </w:rPr>
      </w:pPr>
      <w:r>
        <w:rPr>
          <w:rFonts w:ascii="ZWAdobeF" w:hAnsi="ZWAdobeF" w:cs="ZWAdobeF"/>
          <w:sz w:val="2"/>
          <w:szCs w:val="2"/>
          <w:lang w:eastAsia="en-AU"/>
        </w:rPr>
        <w:t>1204B</w:t>
      </w:r>
      <w:r w:rsidR="00F84BE2" w:rsidRPr="00414F95">
        <w:rPr>
          <w:lang w:eastAsia="en-AU"/>
        </w:rPr>
        <w:t>Funding arrangements should support both long-term investment and ongoing system delivery.</w:t>
      </w:r>
    </w:p>
    <w:p w14:paraId="67983BCD" w14:textId="5CCCC176" w:rsidR="0057574F" w:rsidRPr="005D4FC2" w:rsidRDefault="0057574F" w:rsidP="00B42AAB">
      <w:pPr>
        <w:pStyle w:val="Sub-Heading"/>
        <w:rPr>
          <w:szCs w:val="28"/>
        </w:rPr>
      </w:pPr>
      <w:r w:rsidRPr="005D4FC2">
        <w:rPr>
          <w:szCs w:val="28"/>
        </w:rPr>
        <w:t>Governance</w:t>
      </w:r>
    </w:p>
    <w:p w14:paraId="1EA6EAC4" w14:textId="25B115BE" w:rsidR="00B42AAB" w:rsidRDefault="00382EE8" w:rsidP="00B42AAB">
      <w:pPr>
        <w:rPr>
          <w:lang w:eastAsia="en-AU"/>
        </w:rPr>
      </w:pPr>
      <w:r>
        <w:rPr>
          <w:rFonts w:ascii="ZWAdobeF" w:hAnsi="ZWAdobeF" w:cs="ZWAdobeF"/>
          <w:sz w:val="2"/>
          <w:szCs w:val="2"/>
          <w:lang w:eastAsia="en-AU"/>
        </w:rPr>
        <w:t>1205B</w:t>
      </w:r>
      <w:r w:rsidR="00B42AAB" w:rsidRPr="00B35702">
        <w:rPr>
          <w:lang w:eastAsia="en-AU"/>
        </w:rPr>
        <w:t xml:space="preserve">Funding arrangements should operate under the </w:t>
      </w:r>
      <w:r w:rsidR="009F16ED">
        <w:rPr>
          <w:lang w:eastAsia="en-AU"/>
        </w:rPr>
        <w:t>new Deed</w:t>
      </w:r>
      <w:r w:rsidR="00B42AAB" w:rsidRPr="00B35702">
        <w:rPr>
          <w:lang w:eastAsia="en-AU"/>
        </w:rPr>
        <w:t xml:space="preserve"> governance framework with appropriate oversight</w:t>
      </w:r>
      <w:r w:rsidR="00B42AAB">
        <w:rPr>
          <w:lang w:eastAsia="en-AU"/>
        </w:rPr>
        <w:t xml:space="preserve"> by senior officials</w:t>
      </w:r>
      <w:r w:rsidR="00B42AAB" w:rsidRPr="00B35702">
        <w:rPr>
          <w:lang w:eastAsia="en-AU"/>
        </w:rPr>
        <w:t xml:space="preserve"> to ensure transparency, accountability and alignment with system objectives.</w:t>
      </w:r>
    </w:p>
    <w:p w14:paraId="04891595" w14:textId="7F0609C0" w:rsidR="00B42AAB" w:rsidRDefault="00382EE8" w:rsidP="00B42AAB">
      <w:pPr>
        <w:rPr>
          <w:lang w:eastAsia="en-AU"/>
        </w:rPr>
      </w:pPr>
      <w:r>
        <w:rPr>
          <w:rFonts w:ascii="ZWAdobeF" w:hAnsi="ZWAdobeF" w:cs="ZWAdobeF"/>
          <w:sz w:val="2"/>
          <w:szCs w:val="2"/>
          <w:lang w:eastAsia="en-AU"/>
        </w:rPr>
        <w:t>1206B</w:t>
      </w:r>
      <w:r w:rsidR="00474FE6">
        <w:rPr>
          <w:lang w:eastAsia="en-AU"/>
        </w:rPr>
        <w:t>Funds management</w:t>
      </w:r>
      <w:r w:rsidR="00B42AAB" w:rsidRPr="00A4178F">
        <w:rPr>
          <w:lang w:eastAsia="en-AU"/>
        </w:rPr>
        <w:t xml:space="preserve"> may be implemented through one or more funding mechanisms or accounts to </w:t>
      </w:r>
      <w:r w:rsidR="003546F8">
        <w:rPr>
          <w:lang w:eastAsia="en-AU"/>
        </w:rPr>
        <w:t xml:space="preserve">optimise program delivery. </w:t>
      </w:r>
    </w:p>
    <w:p w14:paraId="1A0DA755" w14:textId="06F4F921" w:rsidR="00B42AAB" w:rsidRPr="00A4178F" w:rsidRDefault="00382EE8" w:rsidP="00B42AAB">
      <w:pPr>
        <w:rPr>
          <w:lang w:eastAsia="en-AU"/>
        </w:rPr>
      </w:pPr>
      <w:r>
        <w:rPr>
          <w:rFonts w:ascii="ZWAdobeF" w:hAnsi="ZWAdobeF" w:cs="ZWAdobeF"/>
          <w:sz w:val="2"/>
          <w:szCs w:val="2"/>
          <w:lang w:eastAsia="en-AU"/>
        </w:rPr>
        <w:t>1207B</w:t>
      </w:r>
      <w:r w:rsidR="00B42AAB" w:rsidRPr="004F0D6F">
        <w:rPr>
          <w:lang w:eastAsia="en-AU"/>
        </w:rPr>
        <w:t xml:space="preserve">Funding decisions and allocation of resources would remain the responsibility of governments under </w:t>
      </w:r>
      <w:r w:rsidR="00A61F00">
        <w:rPr>
          <w:lang w:eastAsia="en-AU"/>
        </w:rPr>
        <w:t>the new Deed</w:t>
      </w:r>
      <w:r w:rsidR="00B42AAB" w:rsidRPr="004F0D6F">
        <w:rPr>
          <w:lang w:eastAsia="en-AU"/>
        </w:rPr>
        <w:t xml:space="preserve"> arrangements, supported by senior officials, with independent oversight provided through the governance framework.</w:t>
      </w:r>
    </w:p>
    <w:p w14:paraId="073F196F" w14:textId="1811E348" w:rsidR="0057574F" w:rsidRPr="005D4FC2" w:rsidRDefault="00B42AAB" w:rsidP="0063654F">
      <w:pPr>
        <w:pStyle w:val="Sub-Heading"/>
        <w:rPr>
          <w:szCs w:val="28"/>
        </w:rPr>
      </w:pPr>
      <w:r w:rsidRPr="005D4FC2">
        <w:rPr>
          <w:szCs w:val="28"/>
        </w:rPr>
        <w:t>Types of funding to be supported</w:t>
      </w:r>
    </w:p>
    <w:p w14:paraId="47B62F1A" w14:textId="29A3AB72" w:rsidR="0063654F" w:rsidRPr="00BA43C7" w:rsidRDefault="00382EE8" w:rsidP="0063654F">
      <w:pPr>
        <w:rPr>
          <w:lang w:eastAsia="en-AU"/>
        </w:rPr>
      </w:pPr>
      <w:r>
        <w:rPr>
          <w:rFonts w:ascii="ZWAdobeF" w:hAnsi="ZWAdobeF" w:cs="ZWAdobeF"/>
          <w:sz w:val="2"/>
          <w:szCs w:val="2"/>
          <w:lang w:eastAsia="en-AU"/>
        </w:rPr>
        <w:t>1208B</w:t>
      </w:r>
      <w:r w:rsidR="0063654F" w:rsidRPr="00BA43C7">
        <w:rPr>
          <w:lang w:eastAsia="en-AU"/>
        </w:rPr>
        <w:t xml:space="preserve">Funding arrangements </w:t>
      </w:r>
      <w:r w:rsidR="0063654F">
        <w:rPr>
          <w:lang w:eastAsia="en-AU"/>
        </w:rPr>
        <w:t>should</w:t>
      </w:r>
      <w:r w:rsidR="0063654F" w:rsidRPr="00BA43C7">
        <w:rPr>
          <w:lang w:eastAsia="en-AU"/>
        </w:rPr>
        <w:t xml:space="preserve"> support two </w:t>
      </w:r>
      <w:r w:rsidR="008D0702">
        <w:rPr>
          <w:lang w:eastAsia="en-AU"/>
        </w:rPr>
        <w:t>interdependent</w:t>
      </w:r>
      <w:r w:rsidR="008D0702" w:rsidRPr="00BA43C7">
        <w:rPr>
          <w:lang w:eastAsia="en-AU"/>
        </w:rPr>
        <w:t xml:space="preserve"> </w:t>
      </w:r>
      <w:r w:rsidR="0063654F" w:rsidRPr="00BA43C7">
        <w:rPr>
          <w:lang w:eastAsia="en-AU"/>
        </w:rPr>
        <w:t>categories of activity</w:t>
      </w:r>
      <w:r w:rsidR="007D1CAD">
        <w:rPr>
          <w:lang w:eastAsia="en-AU"/>
        </w:rPr>
        <w:t>—ongoing and long-term</w:t>
      </w:r>
      <w:r w:rsidR="0063654F">
        <w:rPr>
          <w:lang w:eastAsia="en-AU"/>
        </w:rPr>
        <w:t>.</w:t>
      </w:r>
      <w:r w:rsidR="0063654F" w:rsidRPr="00AD6A6C">
        <w:rPr>
          <w:lang w:eastAsia="en-AU"/>
        </w:rPr>
        <w:t xml:space="preserve"> Effective outcomes rely on ongoing system management supported by sustained investment in system condition and resilience.</w:t>
      </w:r>
    </w:p>
    <w:p w14:paraId="3339D402" w14:textId="602C96D7" w:rsidR="0063654F" w:rsidRPr="00BA43C7" w:rsidRDefault="00382EE8" w:rsidP="0063654F">
      <w:pPr>
        <w:rPr>
          <w:b/>
          <w:bCs/>
          <w:lang w:eastAsia="en-AU"/>
        </w:rPr>
      </w:pPr>
      <w:r>
        <w:rPr>
          <w:rFonts w:ascii="ZWAdobeF" w:hAnsi="ZWAdobeF" w:cs="ZWAdobeF"/>
          <w:bCs/>
          <w:sz w:val="2"/>
          <w:szCs w:val="2"/>
          <w:lang w:eastAsia="en-AU"/>
        </w:rPr>
        <w:t>1209B</w:t>
      </w:r>
      <w:r w:rsidR="0063654F" w:rsidRPr="00BA43C7">
        <w:rPr>
          <w:b/>
          <w:bCs/>
          <w:lang w:eastAsia="en-AU"/>
        </w:rPr>
        <w:t>Ongoing system functions (operational funding)</w:t>
      </w:r>
    </w:p>
    <w:p w14:paraId="4C872937" w14:textId="0C84DD5B" w:rsidR="0063654F" w:rsidRPr="00AD6A6C" w:rsidRDefault="00382EE8" w:rsidP="0063654F">
      <w:pPr>
        <w:rPr>
          <w:lang w:eastAsia="en-AU"/>
        </w:rPr>
      </w:pPr>
      <w:r>
        <w:rPr>
          <w:rFonts w:ascii="ZWAdobeF" w:hAnsi="ZWAdobeF" w:cs="ZWAdobeF"/>
          <w:sz w:val="2"/>
          <w:szCs w:val="2"/>
          <w:lang w:eastAsia="en-AU"/>
        </w:rPr>
        <w:t>1210B</w:t>
      </w:r>
      <w:r w:rsidR="0063654F" w:rsidRPr="00AD6A6C">
        <w:rPr>
          <w:lang w:eastAsia="en-AU"/>
        </w:rPr>
        <w:t>These include the core activities required to operate and manage the system on an ongoing basis, such as governance and coordination, environmental water planning and delivery, system operations and modelling, monitoring and reporting and compliance and assurance. These functions require stable, predictable funding to ensure continuity and accountability.</w:t>
      </w:r>
    </w:p>
    <w:p w14:paraId="784510AC" w14:textId="4BE0DCD6" w:rsidR="0063654F" w:rsidRPr="00BA43C7" w:rsidRDefault="00382EE8" w:rsidP="0063654F">
      <w:pPr>
        <w:rPr>
          <w:b/>
          <w:bCs/>
          <w:lang w:eastAsia="en-AU"/>
        </w:rPr>
      </w:pPr>
      <w:r>
        <w:rPr>
          <w:rFonts w:ascii="ZWAdobeF" w:hAnsi="ZWAdobeF" w:cs="ZWAdobeF"/>
          <w:bCs/>
          <w:sz w:val="2"/>
          <w:szCs w:val="2"/>
          <w:lang w:eastAsia="en-AU"/>
        </w:rPr>
        <w:t>1211B</w:t>
      </w:r>
      <w:r w:rsidR="0063654F" w:rsidRPr="00BA43C7">
        <w:rPr>
          <w:b/>
          <w:bCs/>
          <w:lang w:eastAsia="en-AU"/>
        </w:rPr>
        <w:t>Long-term investment and system improvement</w:t>
      </w:r>
    </w:p>
    <w:p w14:paraId="0C9D93B1" w14:textId="1D150EAE" w:rsidR="0063654F" w:rsidRDefault="00382EE8" w:rsidP="0063654F">
      <w:pPr>
        <w:rPr>
          <w:lang w:eastAsia="en-AU"/>
        </w:rPr>
      </w:pPr>
      <w:r>
        <w:rPr>
          <w:rFonts w:ascii="ZWAdobeF" w:hAnsi="ZWAdobeF" w:cs="ZWAdobeF"/>
          <w:sz w:val="2"/>
          <w:szCs w:val="2"/>
          <w:lang w:eastAsia="en-AU"/>
        </w:rPr>
        <w:t>1212B</w:t>
      </w:r>
      <w:r w:rsidR="0063654F" w:rsidRPr="00AD6A6C">
        <w:rPr>
          <w:lang w:eastAsia="en-AU"/>
        </w:rPr>
        <w:t>These include activities that improve system condition and outcomes over time, such as catchment restoration and complementary measures, environmental outcomes beyond flow delivery, First</w:t>
      </w:r>
      <w:r w:rsidR="0063654F">
        <w:rPr>
          <w:lang w:eastAsia="en-AU"/>
        </w:rPr>
        <w:t> </w:t>
      </w:r>
      <w:r w:rsidR="0063654F" w:rsidRPr="00AD6A6C">
        <w:rPr>
          <w:lang w:eastAsia="en-AU"/>
        </w:rPr>
        <w:t>Nations and community programs, scientific capability and adaptive management. These require flexible, longer-term investment directed to priority outcomes and adjusted as system needs evolve.</w:t>
      </w:r>
    </w:p>
    <w:p w14:paraId="7F1901A2" w14:textId="144F123F" w:rsidR="00ED0993" w:rsidRDefault="00ED0993" w:rsidP="00ED0993">
      <w:pPr>
        <w:pStyle w:val="ReviewHeading3"/>
        <w:rPr>
          <w:lang w:eastAsia="en-AU"/>
        </w:rPr>
      </w:pPr>
      <w:r>
        <w:rPr>
          <w:lang w:eastAsia="en-AU"/>
        </w:rPr>
        <w:t>Government contributions</w:t>
      </w:r>
    </w:p>
    <w:p w14:paraId="4DFA4ADC" w14:textId="18BCC66D" w:rsidR="00F82BB4" w:rsidRPr="00DD6DE4" w:rsidRDefault="00382EE8" w:rsidP="00F82BB4">
      <w:pPr>
        <w:rPr>
          <w:rFonts w:eastAsia="Times New Roman" w:cs="Calibri"/>
          <w:kern w:val="0"/>
          <w:lang w:eastAsia="en-AU"/>
          <w14:ligatures w14:val="none"/>
        </w:rPr>
      </w:pPr>
      <w:r>
        <w:rPr>
          <w:rFonts w:ascii="ZWAdobeF" w:eastAsia="Times New Roman" w:hAnsi="ZWAdobeF" w:cs="ZWAdobeF"/>
          <w:kern w:val="0"/>
          <w:sz w:val="2"/>
          <w:szCs w:val="2"/>
          <w:lang w:eastAsia="en-AU"/>
          <w14:ligatures w14:val="none"/>
        </w:rPr>
        <w:t>1213B</w:t>
      </w:r>
      <w:r w:rsidR="00F82BB4" w:rsidRPr="61BF5BB4">
        <w:rPr>
          <w:rFonts w:eastAsia="Times New Roman" w:cs="Calibri"/>
          <w:kern w:val="0"/>
          <w:lang w:eastAsia="en-AU"/>
          <w14:ligatures w14:val="none"/>
        </w:rPr>
        <w:t xml:space="preserve">The </w:t>
      </w:r>
      <w:r w:rsidR="5420AACD" w:rsidRPr="17C7D915" w:rsidDel="00F82BB4">
        <w:rPr>
          <w:rFonts w:eastAsia="Times New Roman" w:cs="Calibri"/>
          <w:lang w:eastAsia="en-AU"/>
        </w:rPr>
        <w:t>Australian</w:t>
      </w:r>
      <w:r w:rsidR="5420AACD" w:rsidRPr="61BF5BB4">
        <w:rPr>
          <w:rFonts w:eastAsia="Times New Roman" w:cs="Calibri"/>
          <w:lang w:eastAsia="en-AU"/>
        </w:rPr>
        <w:t>, NSW</w:t>
      </w:r>
      <w:r w:rsidR="00F82BB4" w:rsidRPr="61BF5BB4">
        <w:rPr>
          <w:rFonts w:eastAsia="Times New Roman" w:cs="Calibri"/>
          <w:kern w:val="0"/>
          <w:lang w:eastAsia="en-AU"/>
          <w14:ligatures w14:val="none"/>
        </w:rPr>
        <w:t xml:space="preserve">, Victoria and ACT </w:t>
      </w:r>
      <w:r w:rsidR="00DE32ED">
        <w:rPr>
          <w:rFonts w:eastAsia="Times New Roman" w:cs="Calibri"/>
          <w:kern w:val="0"/>
          <w:lang w:eastAsia="en-AU"/>
          <w14:ligatures w14:val="none"/>
        </w:rPr>
        <w:t xml:space="preserve">governments </w:t>
      </w:r>
      <w:r w:rsidR="00F82BB4" w:rsidRPr="61BF5BB4">
        <w:rPr>
          <w:rFonts w:eastAsia="Times New Roman" w:cs="Calibri"/>
          <w:kern w:val="0"/>
          <w:lang w:eastAsia="en-AU"/>
          <w14:ligatures w14:val="none"/>
        </w:rPr>
        <w:t>should:</w:t>
      </w:r>
    </w:p>
    <w:p w14:paraId="1616B796" w14:textId="24061768" w:rsidR="00F82BB4" w:rsidRPr="00DD6DE4" w:rsidRDefault="00382EE8" w:rsidP="00115BD6">
      <w:pPr>
        <w:pStyle w:val="ListParagraph"/>
        <w:numPr>
          <w:ilvl w:val="0"/>
          <w:numId w:val="20"/>
        </w:numPr>
        <w:rPr>
          <w:rFonts w:eastAsia="Times New Roman" w:cs="Calibri"/>
          <w:kern w:val="0"/>
          <w:szCs w:val="22"/>
          <w:lang w:eastAsia="en-AU"/>
          <w14:ligatures w14:val="none"/>
        </w:rPr>
      </w:pPr>
      <w:r>
        <w:rPr>
          <w:rFonts w:ascii="ZWAdobeF" w:eastAsia="Times New Roman" w:hAnsi="ZWAdobeF" w:cs="ZWAdobeF"/>
          <w:kern w:val="0"/>
          <w:sz w:val="2"/>
          <w:szCs w:val="2"/>
          <w:lang w:eastAsia="en-AU"/>
          <w14:ligatures w14:val="none"/>
        </w:rPr>
        <w:t>391B</w:t>
      </w:r>
      <w:r w:rsidR="00F82BB4" w:rsidRPr="00DD6DE4">
        <w:rPr>
          <w:rFonts w:eastAsia="Times New Roman" w:cs="Calibri"/>
          <w:kern w:val="0"/>
          <w:szCs w:val="22"/>
          <w:lang w:eastAsia="en-AU"/>
          <w14:ligatures w14:val="none"/>
        </w:rPr>
        <w:t>jointly fund core governance functions and coordination</w:t>
      </w:r>
    </w:p>
    <w:p w14:paraId="008DAAEC" w14:textId="27CDFA3F" w:rsidR="00F82BB4" w:rsidRPr="00DD6DE4" w:rsidRDefault="00382EE8" w:rsidP="00115BD6">
      <w:pPr>
        <w:pStyle w:val="ListParagraph"/>
        <w:numPr>
          <w:ilvl w:val="0"/>
          <w:numId w:val="20"/>
        </w:numPr>
        <w:rPr>
          <w:rFonts w:eastAsia="Times New Roman" w:cs="Calibri"/>
          <w:kern w:val="0"/>
          <w:szCs w:val="22"/>
          <w:lang w:eastAsia="en-AU"/>
          <w14:ligatures w14:val="none"/>
        </w:rPr>
      </w:pPr>
      <w:r>
        <w:rPr>
          <w:rFonts w:ascii="ZWAdobeF" w:eastAsia="Times New Roman" w:hAnsi="ZWAdobeF" w:cs="ZWAdobeF"/>
          <w:kern w:val="0"/>
          <w:sz w:val="2"/>
          <w:szCs w:val="2"/>
          <w:lang w:eastAsia="en-AU"/>
          <w14:ligatures w14:val="none"/>
        </w:rPr>
        <w:t>392B</w:t>
      </w:r>
      <w:r w:rsidR="004706CC">
        <w:rPr>
          <w:rFonts w:eastAsia="Times New Roman" w:cs="Calibri"/>
          <w:kern w:val="0"/>
          <w:szCs w:val="22"/>
          <w:lang w:eastAsia="en-AU"/>
          <w14:ligatures w14:val="none"/>
        </w:rPr>
        <w:t xml:space="preserve">proportionately </w:t>
      </w:r>
      <w:r w:rsidR="00F82BB4" w:rsidRPr="00DD6DE4">
        <w:rPr>
          <w:rFonts w:eastAsia="Times New Roman" w:cs="Calibri"/>
          <w:kern w:val="0"/>
          <w:szCs w:val="22"/>
          <w:lang w:eastAsia="en-AU"/>
          <w14:ligatures w14:val="none"/>
        </w:rPr>
        <w:t>invest in catchment, environmental and community programs.</w:t>
      </w:r>
    </w:p>
    <w:p w14:paraId="55E2C067" w14:textId="596F8F01" w:rsidR="00F82BB4" w:rsidRPr="00DD6DE4" w:rsidRDefault="00382EE8" w:rsidP="000F051D">
      <w:pPr>
        <w:rPr>
          <w:rFonts w:eastAsia="Times New Roman" w:cs="Calibri"/>
          <w:kern w:val="0"/>
          <w:szCs w:val="22"/>
          <w:lang w:eastAsia="en-AU"/>
          <w14:ligatures w14:val="none"/>
        </w:rPr>
      </w:pPr>
      <w:r>
        <w:rPr>
          <w:rFonts w:ascii="ZWAdobeF" w:eastAsia="Times New Roman" w:hAnsi="ZWAdobeF" w:cs="ZWAdobeF"/>
          <w:kern w:val="0"/>
          <w:sz w:val="2"/>
          <w:szCs w:val="2"/>
          <w:lang w:eastAsia="en-AU"/>
          <w14:ligatures w14:val="none"/>
        </w:rPr>
        <w:t>1214B</w:t>
      </w:r>
      <w:r w:rsidR="00F82BB4" w:rsidRPr="00DD6DE4">
        <w:rPr>
          <w:rFonts w:eastAsia="Times New Roman" w:cs="Calibri"/>
          <w:kern w:val="0"/>
          <w:szCs w:val="22"/>
          <w:lang w:eastAsia="en-AU"/>
          <w14:ligatures w14:val="none"/>
        </w:rPr>
        <w:t>This reflects shared stewardship of water resources and shared system benefits.</w:t>
      </w:r>
    </w:p>
    <w:p w14:paraId="76FC10BF" w14:textId="2508B0B3" w:rsidR="00F82BB4" w:rsidRPr="00DD6DE4" w:rsidRDefault="00382EE8" w:rsidP="00F82BB4">
      <w:pPr>
        <w:rPr>
          <w:rFonts w:eastAsia="Times New Roman" w:cs="Calibri"/>
          <w:kern w:val="0"/>
          <w:szCs w:val="22"/>
          <w:lang w:eastAsia="en-AU"/>
          <w14:ligatures w14:val="none"/>
        </w:rPr>
      </w:pPr>
      <w:r>
        <w:rPr>
          <w:rFonts w:ascii="ZWAdobeF" w:eastAsia="Times New Roman" w:hAnsi="ZWAdobeF" w:cs="ZWAdobeF"/>
          <w:kern w:val="0"/>
          <w:sz w:val="2"/>
          <w:szCs w:val="2"/>
          <w:lang w:eastAsia="en-AU"/>
          <w14:ligatures w14:val="none"/>
        </w:rPr>
        <w:lastRenderedPageBreak/>
        <w:t>1215B</w:t>
      </w:r>
      <w:r w:rsidR="00F82BB4" w:rsidRPr="00DD6DE4">
        <w:rPr>
          <w:rFonts w:eastAsia="Times New Roman" w:cs="Calibri"/>
          <w:kern w:val="0"/>
          <w:szCs w:val="22"/>
          <w:lang w:eastAsia="en-AU"/>
          <w14:ligatures w14:val="none"/>
        </w:rPr>
        <w:t>Contributions from jurisdictions should reflect their role within the system and may take different forms, including financial contributions, provision of water or entitlements and targeted investment in catchment and system functions. Contributions are forward-looking and based on current and future system roles rather than historical funding arrangements.</w:t>
      </w:r>
    </w:p>
    <w:p w14:paraId="7BA2774E" w14:textId="3169059A" w:rsidR="00F82BB4" w:rsidRPr="00DD6DE4" w:rsidRDefault="00382EE8" w:rsidP="00F82BB4">
      <w:pPr>
        <w:rPr>
          <w:rFonts w:eastAsia="Times New Roman" w:cs="Calibri"/>
          <w:b/>
          <w:kern w:val="0"/>
          <w:szCs w:val="22"/>
          <w:lang w:eastAsia="en-AU"/>
          <w14:ligatures w14:val="none"/>
        </w:rPr>
      </w:pPr>
      <w:r>
        <w:rPr>
          <w:rFonts w:ascii="ZWAdobeF" w:eastAsia="Times New Roman" w:hAnsi="ZWAdobeF" w:cs="ZWAdobeF"/>
          <w:kern w:val="0"/>
          <w:sz w:val="2"/>
          <w:szCs w:val="2"/>
          <w:lang w:eastAsia="en-AU"/>
          <w14:ligatures w14:val="none"/>
        </w:rPr>
        <w:t>1216B</w:t>
      </w:r>
      <w:r w:rsidR="00F82BB4" w:rsidRPr="00DD6DE4">
        <w:rPr>
          <w:rFonts w:eastAsia="Times New Roman" w:cs="Calibri"/>
          <w:b/>
          <w:kern w:val="0"/>
          <w:szCs w:val="22"/>
          <w:lang w:eastAsia="en-AU"/>
          <w14:ligatures w14:val="none"/>
        </w:rPr>
        <w:t>Example: Funding additional flows</w:t>
      </w:r>
    </w:p>
    <w:p w14:paraId="22C7E565" w14:textId="4D6EDEE0" w:rsidR="00F82BB4" w:rsidRPr="00DD6DE4" w:rsidRDefault="00382EE8" w:rsidP="00F82BB4">
      <w:pPr>
        <w:rPr>
          <w:rFonts w:eastAsia="Times New Roman" w:cs="Calibri"/>
          <w:kern w:val="0"/>
          <w:szCs w:val="22"/>
          <w:lang w:eastAsia="en-AU"/>
          <w14:ligatures w14:val="none"/>
        </w:rPr>
      </w:pPr>
      <w:r>
        <w:rPr>
          <w:rFonts w:ascii="ZWAdobeF" w:eastAsia="Times New Roman" w:hAnsi="ZWAdobeF" w:cs="ZWAdobeF"/>
          <w:kern w:val="0"/>
          <w:sz w:val="2"/>
          <w:szCs w:val="2"/>
          <w:lang w:eastAsia="en-AU"/>
          <w14:ligatures w14:val="none"/>
        </w:rPr>
        <w:t>1217B</w:t>
      </w:r>
      <w:r w:rsidR="00F82BB4" w:rsidRPr="00DD6DE4">
        <w:rPr>
          <w:rFonts w:eastAsia="Times New Roman" w:cs="Calibri"/>
          <w:kern w:val="0"/>
          <w:szCs w:val="22"/>
          <w:lang w:eastAsia="en-AU"/>
          <w14:ligatures w14:val="none"/>
        </w:rPr>
        <w:t>Within a shared funding framework jurisdictional contributions may be structured in different forms, including direct financial contributions or targeted investments aligned to system priorities.</w:t>
      </w:r>
    </w:p>
    <w:p w14:paraId="591C530F" w14:textId="5C874BAC" w:rsidR="00F82BB4" w:rsidRPr="00DD6DE4" w:rsidRDefault="00382EE8" w:rsidP="00F82BB4">
      <w:pPr>
        <w:rPr>
          <w:rFonts w:eastAsia="Times New Roman" w:cs="Calibri"/>
          <w:kern w:val="0"/>
          <w:szCs w:val="22"/>
          <w:lang w:eastAsia="en-AU"/>
          <w14:ligatures w14:val="none"/>
        </w:rPr>
      </w:pPr>
      <w:r>
        <w:rPr>
          <w:rFonts w:ascii="ZWAdobeF" w:eastAsia="Times New Roman" w:hAnsi="ZWAdobeF" w:cs="ZWAdobeF"/>
          <w:kern w:val="0"/>
          <w:sz w:val="2"/>
          <w:szCs w:val="2"/>
          <w:lang w:eastAsia="en-AU"/>
          <w14:ligatures w14:val="none"/>
        </w:rPr>
        <w:t>1218B</w:t>
      </w:r>
      <w:r w:rsidR="00F82BB4" w:rsidRPr="00DD6DE4">
        <w:rPr>
          <w:rFonts w:eastAsia="Times New Roman" w:cs="Calibri"/>
          <w:kern w:val="0"/>
          <w:szCs w:val="22"/>
          <w:lang w:eastAsia="en-AU"/>
          <w14:ligatures w14:val="none"/>
        </w:rPr>
        <w:t>For example, the ACT’s participation in an intergovernmental funding arrangement could include responsibility for supporting additional environmental flows in the Murrumbidgee River. This would reflect the ACT’s position within the catchment and provide a direct contribution to downstream system outcomes.</w:t>
      </w:r>
    </w:p>
    <w:p w14:paraId="7F57744E" w14:textId="1F88C200" w:rsidR="00F82BB4" w:rsidRPr="00DD6DE4" w:rsidRDefault="00382EE8" w:rsidP="00F82BB4">
      <w:pPr>
        <w:rPr>
          <w:rFonts w:eastAsia="Times New Roman" w:cs="Calibri"/>
          <w:kern w:val="0"/>
          <w:lang w:eastAsia="en-AU"/>
          <w14:ligatures w14:val="none"/>
        </w:rPr>
      </w:pPr>
      <w:r>
        <w:rPr>
          <w:rFonts w:ascii="ZWAdobeF" w:eastAsia="Times New Roman" w:hAnsi="ZWAdobeF" w:cs="ZWAdobeF"/>
          <w:kern w:val="0"/>
          <w:sz w:val="2"/>
          <w:szCs w:val="2"/>
          <w:lang w:eastAsia="en-AU"/>
          <w14:ligatures w14:val="none"/>
        </w:rPr>
        <w:t>1219B</w:t>
      </w:r>
      <w:r w:rsidR="00F82BB4" w:rsidRPr="079DEDAE">
        <w:rPr>
          <w:rFonts w:eastAsia="Times New Roman" w:cs="Calibri"/>
          <w:kern w:val="0"/>
          <w:lang w:eastAsia="en-AU"/>
          <w14:ligatures w14:val="none"/>
        </w:rPr>
        <w:t>Such arrangements are consistent with an outcome</w:t>
      </w:r>
      <w:r w:rsidR="00F82BB4" w:rsidRPr="00DD6DE4">
        <w:rPr>
          <w:rFonts w:eastAsia="Times New Roman" w:cs="Calibri"/>
          <w:kern w:val="0"/>
          <w:szCs w:val="22"/>
          <w:lang w:eastAsia="en-AU"/>
          <w14:ligatures w14:val="none"/>
        </w:rPr>
        <w:noBreakHyphen/>
      </w:r>
      <w:r w:rsidR="00F82BB4" w:rsidRPr="079DEDAE">
        <w:rPr>
          <w:rFonts w:eastAsia="Times New Roman" w:cs="Calibri"/>
          <w:kern w:val="0"/>
          <w:lang w:eastAsia="en-AU"/>
          <w14:ligatures w14:val="none"/>
        </w:rPr>
        <w:t>based approach to funding allocation in which contributions are aligned to system needs and benefits rather than applied uniformly across jurisdictions.</w:t>
      </w:r>
    </w:p>
    <w:p w14:paraId="0B6DEE0A" w14:textId="0564CDAB" w:rsidR="00624D85" w:rsidRDefault="00012517" w:rsidP="00012517">
      <w:pPr>
        <w:pStyle w:val="ReviewHeading3"/>
        <w:rPr>
          <w:lang w:eastAsia="en-AU"/>
        </w:rPr>
      </w:pPr>
      <w:r>
        <w:rPr>
          <w:lang w:eastAsia="en-AU"/>
        </w:rPr>
        <w:t>Snowy Hydro contribution and water-use pricing</w:t>
      </w:r>
    </w:p>
    <w:p w14:paraId="7B2A27DA" w14:textId="1909943E" w:rsidR="006C5284" w:rsidRPr="00B805C7" w:rsidRDefault="00382EE8" w:rsidP="006C5284">
      <w:pPr>
        <w:rPr>
          <w:lang w:eastAsia="en-AU"/>
        </w:rPr>
      </w:pPr>
      <w:r>
        <w:rPr>
          <w:rFonts w:ascii="ZWAdobeF" w:hAnsi="ZWAdobeF" w:cs="ZWAdobeF"/>
          <w:sz w:val="2"/>
          <w:szCs w:val="2"/>
          <w:lang w:eastAsia="en-AU"/>
        </w:rPr>
        <w:t>1220B</w:t>
      </w:r>
      <w:r w:rsidR="00430E0C">
        <w:rPr>
          <w:lang w:eastAsia="en-AU"/>
        </w:rPr>
        <w:t xml:space="preserve">Snowy Hydro should contribute to environmental costs associated with its operations. </w:t>
      </w:r>
      <w:r w:rsidR="006C5284" w:rsidRPr="00B805C7">
        <w:rPr>
          <w:lang w:eastAsia="en-AU"/>
        </w:rPr>
        <w:t xml:space="preserve">Contributions from Snowy Hydro are expected to be implemented through a combination of licence obligations, </w:t>
      </w:r>
      <w:r w:rsidR="003C3495">
        <w:rPr>
          <w:lang w:eastAsia="en-AU"/>
        </w:rPr>
        <w:t xml:space="preserve">new Deed </w:t>
      </w:r>
      <w:r w:rsidR="006C5284" w:rsidRPr="00B805C7">
        <w:rPr>
          <w:lang w:eastAsia="en-AU"/>
        </w:rPr>
        <w:t>settings and, where required, supporting regulatory or contractual mechanisms rather than through direct statutory prescription.</w:t>
      </w:r>
    </w:p>
    <w:p w14:paraId="1B47C17F" w14:textId="7B20166F" w:rsidR="006C5284" w:rsidRDefault="00382EE8" w:rsidP="006C5284">
      <w:pPr>
        <w:rPr>
          <w:lang w:eastAsia="en-AU"/>
        </w:rPr>
      </w:pPr>
      <w:r>
        <w:rPr>
          <w:rFonts w:ascii="ZWAdobeF" w:hAnsi="ZWAdobeF" w:cs="ZWAdobeF"/>
          <w:sz w:val="2"/>
          <w:szCs w:val="2"/>
          <w:lang w:eastAsia="en-AU"/>
        </w:rPr>
        <w:t>1221B</w:t>
      </w:r>
      <w:r w:rsidR="006C5284" w:rsidRPr="009C0FD3">
        <w:rPr>
          <w:lang w:eastAsia="en-AU"/>
        </w:rPr>
        <w:t>This model distinguishes between two distinct types of contribution:</w:t>
      </w:r>
    </w:p>
    <w:p w14:paraId="0817E048" w14:textId="6BEF9FF3" w:rsidR="00D37510" w:rsidRDefault="00D37510" w:rsidP="00115BD6">
      <w:pPr>
        <w:pStyle w:val="Sub-Heading"/>
        <w:numPr>
          <w:ilvl w:val="1"/>
          <w:numId w:val="21"/>
        </w:numPr>
        <w:ind w:left="426"/>
      </w:pPr>
      <w:r>
        <w:t>Annual water-use and system contribution (</w:t>
      </w:r>
      <w:r w:rsidR="13B260E8">
        <w:t>Snowy Hydro</w:t>
      </w:r>
      <w:r>
        <w:t xml:space="preserve"> </w:t>
      </w:r>
      <w:r w:rsidR="67972B21">
        <w:t>b</w:t>
      </w:r>
      <w:r>
        <w:t>ase contribution)</w:t>
      </w:r>
    </w:p>
    <w:p w14:paraId="27DEB1A2" w14:textId="5D2F5015" w:rsidR="00183060" w:rsidRPr="0097624C" w:rsidRDefault="00382EE8" w:rsidP="00183060">
      <w:pPr>
        <w:rPr>
          <w:lang w:eastAsia="en-AU"/>
        </w:rPr>
      </w:pPr>
      <w:r>
        <w:rPr>
          <w:rFonts w:ascii="ZWAdobeF" w:hAnsi="ZWAdobeF" w:cs="ZWAdobeF"/>
          <w:sz w:val="2"/>
          <w:szCs w:val="2"/>
          <w:lang w:eastAsia="en-AU"/>
        </w:rPr>
        <w:t>1222B</w:t>
      </w:r>
      <w:r w:rsidR="00183060" w:rsidRPr="0097624C">
        <w:rPr>
          <w:lang w:eastAsia="en-AU"/>
        </w:rPr>
        <w:t>Snowy Hydro should make an annual payment, reflecting:</w:t>
      </w:r>
    </w:p>
    <w:p w14:paraId="25515A96" w14:textId="50A4CBE7" w:rsidR="00183060" w:rsidRPr="0097624C" w:rsidRDefault="00382EE8" w:rsidP="00115BD6">
      <w:pPr>
        <w:pStyle w:val="ListParagraph"/>
        <w:numPr>
          <w:ilvl w:val="0"/>
          <w:numId w:val="22"/>
        </w:numPr>
        <w:rPr>
          <w:lang w:eastAsia="en-AU"/>
        </w:rPr>
      </w:pPr>
      <w:r>
        <w:rPr>
          <w:rFonts w:ascii="ZWAdobeF" w:hAnsi="ZWAdobeF" w:cs="ZWAdobeF"/>
          <w:sz w:val="2"/>
          <w:szCs w:val="2"/>
          <w:lang w:eastAsia="en-AU"/>
        </w:rPr>
        <w:t>393B</w:t>
      </w:r>
      <w:r w:rsidR="40C2B30C" w:rsidRPr="078A0D1C">
        <w:rPr>
          <w:lang w:eastAsia="en-AU"/>
        </w:rPr>
        <w:t>its access to and use of water resources</w:t>
      </w:r>
    </w:p>
    <w:p w14:paraId="3D0CF1F4" w14:textId="4CAE2A97" w:rsidR="00183060" w:rsidRPr="0097624C" w:rsidRDefault="00382EE8" w:rsidP="00115BD6">
      <w:pPr>
        <w:pStyle w:val="ListParagraph"/>
        <w:numPr>
          <w:ilvl w:val="0"/>
          <w:numId w:val="22"/>
        </w:numPr>
        <w:rPr>
          <w:lang w:eastAsia="en-AU"/>
        </w:rPr>
      </w:pPr>
      <w:r>
        <w:rPr>
          <w:rFonts w:ascii="ZWAdobeF" w:hAnsi="ZWAdobeF" w:cs="ZWAdobeF"/>
          <w:sz w:val="2"/>
          <w:szCs w:val="2"/>
          <w:lang w:eastAsia="en-AU"/>
        </w:rPr>
        <w:t>394B</w:t>
      </w:r>
      <w:r w:rsidR="00183060" w:rsidRPr="0097624C">
        <w:rPr>
          <w:lang w:eastAsia="en-AU"/>
        </w:rPr>
        <w:t>the costs of system</w:t>
      </w:r>
      <w:r w:rsidR="00183060" w:rsidRPr="0097624C">
        <w:rPr>
          <w:lang w:eastAsia="en-AU"/>
        </w:rPr>
        <w:noBreakHyphen/>
        <w:t>level functions required to manage those resources.</w:t>
      </w:r>
    </w:p>
    <w:p w14:paraId="34AADFBA" w14:textId="55F5AB01" w:rsidR="00183060" w:rsidRPr="008B3349" w:rsidRDefault="00382EE8" w:rsidP="00183060">
      <w:pPr>
        <w:rPr>
          <w:lang w:eastAsia="en-AU"/>
        </w:rPr>
      </w:pPr>
      <w:r>
        <w:rPr>
          <w:rFonts w:ascii="ZWAdobeF" w:hAnsi="ZWAdobeF" w:cs="ZWAdobeF"/>
          <w:sz w:val="2"/>
          <w:szCs w:val="2"/>
          <w:lang w:eastAsia="en-AU"/>
        </w:rPr>
        <w:t>1223B</w:t>
      </w:r>
      <w:r w:rsidR="00183060" w:rsidRPr="008B3349">
        <w:rPr>
          <w:lang w:eastAsia="en-AU"/>
        </w:rPr>
        <w:t>These contributions are not intended to represent payment for ownership of water resources</w:t>
      </w:r>
      <w:r w:rsidR="00A60CAD">
        <w:rPr>
          <w:lang w:eastAsia="en-AU"/>
        </w:rPr>
        <w:t xml:space="preserve"> (Snowy Hydro does not own the water)</w:t>
      </w:r>
      <w:r w:rsidR="00183060" w:rsidRPr="008B3349">
        <w:rPr>
          <w:lang w:eastAsia="en-AU"/>
        </w:rPr>
        <w:t>, but rather to support the management, monitoring and improvement of system outcomes.</w:t>
      </w:r>
    </w:p>
    <w:p w14:paraId="1A55C45B" w14:textId="2B0E12D8" w:rsidR="00183060" w:rsidRDefault="00382EE8" w:rsidP="00183060">
      <w:pPr>
        <w:rPr>
          <w:lang w:eastAsia="en-AU"/>
        </w:rPr>
      </w:pPr>
      <w:r>
        <w:rPr>
          <w:rFonts w:ascii="ZWAdobeF" w:hAnsi="ZWAdobeF" w:cs="ZWAdobeF"/>
          <w:sz w:val="2"/>
          <w:szCs w:val="2"/>
          <w:lang w:eastAsia="en-AU"/>
        </w:rPr>
        <w:t>1224B</w:t>
      </w:r>
      <w:r w:rsidR="00183060" w:rsidRPr="0095473F">
        <w:rPr>
          <w:lang w:eastAsia="en-AU"/>
        </w:rPr>
        <w:t>These funds should be directed into a jointly governed intergovernmental funding mechanism or account, enabling coordinated contributions from governments and Snowy Hydro and supporting the delivery of shared system functions</w:t>
      </w:r>
      <w:r w:rsidR="00183060">
        <w:rPr>
          <w:lang w:eastAsia="en-AU"/>
        </w:rPr>
        <w:t>:</w:t>
      </w:r>
    </w:p>
    <w:p w14:paraId="675A8C1B" w14:textId="0D2A4E64" w:rsidR="00183060" w:rsidRPr="0095473F" w:rsidRDefault="00382EE8" w:rsidP="00115BD6">
      <w:pPr>
        <w:pStyle w:val="ListParagraph"/>
        <w:numPr>
          <w:ilvl w:val="0"/>
          <w:numId w:val="23"/>
        </w:numPr>
        <w:rPr>
          <w:lang w:eastAsia="en-AU"/>
        </w:rPr>
      </w:pPr>
      <w:r>
        <w:rPr>
          <w:rFonts w:ascii="ZWAdobeF" w:hAnsi="ZWAdobeF" w:cs="ZWAdobeF"/>
          <w:sz w:val="2"/>
          <w:szCs w:val="2"/>
          <w:lang w:eastAsia="en-AU"/>
        </w:rPr>
        <w:t>395B</w:t>
      </w:r>
      <w:r w:rsidR="00183060" w:rsidRPr="0095473F">
        <w:rPr>
          <w:lang w:eastAsia="en-AU"/>
        </w:rPr>
        <w:t>system management and coordination</w:t>
      </w:r>
    </w:p>
    <w:p w14:paraId="17BDD8BA" w14:textId="5636BE2B" w:rsidR="00183060" w:rsidRPr="0097624C" w:rsidRDefault="00382EE8" w:rsidP="00115BD6">
      <w:pPr>
        <w:pStyle w:val="ListParagraph"/>
        <w:numPr>
          <w:ilvl w:val="0"/>
          <w:numId w:val="23"/>
        </w:numPr>
        <w:rPr>
          <w:lang w:eastAsia="en-AU"/>
        </w:rPr>
      </w:pPr>
      <w:r>
        <w:rPr>
          <w:rFonts w:ascii="ZWAdobeF" w:hAnsi="ZWAdobeF" w:cs="ZWAdobeF"/>
          <w:sz w:val="2"/>
          <w:szCs w:val="2"/>
          <w:lang w:eastAsia="en-AU"/>
        </w:rPr>
        <w:t>396B</w:t>
      </w:r>
      <w:r w:rsidR="00183060" w:rsidRPr="0097624C">
        <w:rPr>
          <w:lang w:eastAsia="en-AU"/>
        </w:rPr>
        <w:t xml:space="preserve">compliance and regulatory </w:t>
      </w:r>
      <w:r w:rsidR="00183060" w:rsidRPr="3CDD06DC">
        <w:rPr>
          <w:lang w:eastAsia="en-AU"/>
        </w:rPr>
        <w:t>oversigh</w:t>
      </w:r>
      <w:r w:rsidR="00133B54" w:rsidRPr="3CDD06DC">
        <w:rPr>
          <w:lang w:eastAsia="en-AU"/>
        </w:rPr>
        <w:t>t</w:t>
      </w:r>
    </w:p>
    <w:p w14:paraId="69302724" w14:textId="0A2C07DF" w:rsidR="00183060" w:rsidRPr="0097624C" w:rsidRDefault="00382EE8" w:rsidP="00115BD6">
      <w:pPr>
        <w:pStyle w:val="ListParagraph"/>
        <w:numPr>
          <w:ilvl w:val="0"/>
          <w:numId w:val="23"/>
        </w:numPr>
        <w:rPr>
          <w:lang w:eastAsia="en-AU"/>
        </w:rPr>
      </w:pPr>
      <w:r>
        <w:rPr>
          <w:rFonts w:ascii="ZWAdobeF" w:hAnsi="ZWAdobeF" w:cs="ZWAdobeF"/>
          <w:sz w:val="2"/>
          <w:szCs w:val="2"/>
          <w:lang w:eastAsia="en-AU"/>
        </w:rPr>
        <w:t>397B</w:t>
      </w:r>
      <w:r w:rsidR="00183060" w:rsidRPr="0097624C">
        <w:rPr>
          <w:lang w:eastAsia="en-AU"/>
        </w:rPr>
        <w:t>monitoring, modelling and water management activities.</w:t>
      </w:r>
    </w:p>
    <w:p w14:paraId="775A8C88" w14:textId="5ECD6F19" w:rsidR="00183060" w:rsidRDefault="00382EE8" w:rsidP="00183060">
      <w:pPr>
        <w:rPr>
          <w:lang w:eastAsia="en-AU"/>
        </w:rPr>
      </w:pPr>
      <w:r>
        <w:rPr>
          <w:rFonts w:ascii="ZWAdobeF" w:hAnsi="ZWAdobeF" w:cs="ZWAdobeF"/>
          <w:sz w:val="2"/>
          <w:szCs w:val="2"/>
          <w:lang w:eastAsia="en-AU"/>
        </w:rPr>
        <w:t>1225B</w:t>
      </w:r>
      <w:r w:rsidR="00183060" w:rsidRPr="6332CC80">
        <w:rPr>
          <w:lang w:eastAsia="en-AU"/>
        </w:rPr>
        <w:t xml:space="preserve">The level of this contribution should be independently determined, including through application of pricing principles by the NSW </w:t>
      </w:r>
      <w:r w:rsidR="5EF31FAE" w:rsidRPr="6332CC80">
        <w:rPr>
          <w:lang w:eastAsia="en-AU"/>
        </w:rPr>
        <w:t>I</w:t>
      </w:r>
      <w:r w:rsidR="00183060" w:rsidRPr="6332CC80">
        <w:rPr>
          <w:lang w:eastAsia="en-AU"/>
        </w:rPr>
        <w:t>ndependent Pricing and Regulatory Tribunal (IPART) or an equivalent body, to ensure transparency, consistency and objectivity in the calculation.</w:t>
      </w:r>
    </w:p>
    <w:p w14:paraId="14D37576" w14:textId="430DC6D0" w:rsidR="0054274D" w:rsidRDefault="000A7361" w:rsidP="00115BD6">
      <w:pPr>
        <w:pStyle w:val="Sub-Heading"/>
        <w:numPr>
          <w:ilvl w:val="1"/>
          <w:numId w:val="21"/>
        </w:numPr>
        <w:ind w:left="426"/>
      </w:pPr>
      <w:r>
        <w:lastRenderedPageBreak/>
        <w:t>Variable s</w:t>
      </w:r>
      <w:r w:rsidR="007B23D0">
        <w:t xml:space="preserve">ystem contribution </w:t>
      </w:r>
    </w:p>
    <w:p w14:paraId="5F942D3F" w14:textId="6222741D" w:rsidR="00A0456A" w:rsidRPr="0097624C" w:rsidRDefault="00382EE8" w:rsidP="00A0456A">
      <w:pPr>
        <w:rPr>
          <w:lang w:eastAsia="en-AU"/>
        </w:rPr>
      </w:pPr>
      <w:r>
        <w:rPr>
          <w:rFonts w:ascii="ZWAdobeF" w:hAnsi="ZWAdobeF" w:cs="ZWAdobeF"/>
          <w:sz w:val="2"/>
          <w:szCs w:val="2"/>
          <w:lang w:eastAsia="en-AU"/>
        </w:rPr>
        <w:t>1226B</w:t>
      </w:r>
      <w:r w:rsidR="00B43427" w:rsidRPr="00B15E61">
        <w:rPr>
          <w:szCs w:val="22"/>
          <w:lang w:eastAsia="en-AU"/>
        </w:rPr>
        <w:t>This contribution varies to reflect the scale and nature of system effects associated with Scheme operations, including their interaction with environmental water delivery and broader system performance.</w:t>
      </w:r>
      <w:r w:rsidR="00B43427">
        <w:rPr>
          <w:szCs w:val="22"/>
          <w:lang w:eastAsia="en-AU"/>
        </w:rPr>
        <w:t xml:space="preserve"> </w:t>
      </w:r>
      <w:r w:rsidR="00A0456A" w:rsidRPr="0097624C">
        <w:rPr>
          <w:lang w:eastAsia="en-AU"/>
        </w:rPr>
        <w:t xml:space="preserve">These funds should be directed to an enduring </w:t>
      </w:r>
      <w:r w:rsidR="00A0456A">
        <w:rPr>
          <w:lang w:eastAsia="en-AU"/>
        </w:rPr>
        <w:t xml:space="preserve">fund </w:t>
      </w:r>
      <w:r w:rsidR="00A0456A" w:rsidRPr="0097624C">
        <w:rPr>
          <w:lang w:eastAsia="en-AU"/>
        </w:rPr>
        <w:t>and applied to:</w:t>
      </w:r>
    </w:p>
    <w:p w14:paraId="447D6BDD" w14:textId="444D3CCE" w:rsidR="00A0456A" w:rsidRPr="0097624C" w:rsidRDefault="00382EE8" w:rsidP="00115BD6">
      <w:pPr>
        <w:pStyle w:val="ListParagraph"/>
        <w:numPr>
          <w:ilvl w:val="0"/>
          <w:numId w:val="24"/>
        </w:numPr>
        <w:rPr>
          <w:lang w:eastAsia="en-AU"/>
        </w:rPr>
      </w:pPr>
      <w:r>
        <w:rPr>
          <w:rFonts w:ascii="ZWAdobeF" w:hAnsi="ZWAdobeF" w:cs="ZWAdobeF"/>
          <w:sz w:val="2"/>
          <w:szCs w:val="2"/>
          <w:lang w:eastAsia="en-AU"/>
        </w:rPr>
        <w:t>398B</w:t>
      </w:r>
      <w:r w:rsidR="00A0456A" w:rsidRPr="0097624C">
        <w:rPr>
          <w:lang w:eastAsia="en-AU"/>
        </w:rPr>
        <w:t>funding complementary measures and catchment works</w:t>
      </w:r>
    </w:p>
    <w:p w14:paraId="1A9FD6FA" w14:textId="3DCB88D6" w:rsidR="00A0456A" w:rsidRPr="0097624C" w:rsidRDefault="00382EE8" w:rsidP="00115BD6">
      <w:pPr>
        <w:pStyle w:val="ListParagraph"/>
        <w:numPr>
          <w:ilvl w:val="0"/>
          <w:numId w:val="24"/>
        </w:numPr>
        <w:rPr>
          <w:lang w:eastAsia="en-AU"/>
        </w:rPr>
      </w:pPr>
      <w:r>
        <w:rPr>
          <w:rFonts w:ascii="ZWAdobeF" w:hAnsi="ZWAdobeF" w:cs="ZWAdobeF"/>
          <w:sz w:val="2"/>
          <w:szCs w:val="2"/>
          <w:lang w:eastAsia="en-AU"/>
        </w:rPr>
        <w:t>399B</w:t>
      </w:r>
      <w:r w:rsidR="00A0456A" w:rsidRPr="0097624C">
        <w:rPr>
          <w:lang w:eastAsia="en-AU"/>
        </w:rPr>
        <w:t>supporting environmental water outcomes, including where additional water or offset actions are required to achieve agreed system objectives.</w:t>
      </w:r>
    </w:p>
    <w:p w14:paraId="037A4139" w14:textId="6C922613" w:rsidR="00A0456A" w:rsidRPr="00D91E6F" w:rsidRDefault="00382EE8" w:rsidP="00A0456A">
      <w:pPr>
        <w:rPr>
          <w:szCs w:val="22"/>
          <w:lang w:eastAsia="en-AU"/>
        </w:rPr>
      </w:pPr>
      <w:r>
        <w:rPr>
          <w:rFonts w:ascii="ZWAdobeF" w:hAnsi="ZWAdobeF" w:cs="ZWAdobeF"/>
          <w:sz w:val="2"/>
          <w:szCs w:val="2"/>
          <w:lang w:eastAsia="en-AU"/>
        </w:rPr>
        <w:t>1227B</w:t>
      </w:r>
      <w:r w:rsidR="00A0456A" w:rsidRPr="00D91E6F">
        <w:rPr>
          <w:szCs w:val="22"/>
          <w:lang w:eastAsia="en-AU"/>
        </w:rPr>
        <w:t xml:space="preserve">These arrangements </w:t>
      </w:r>
      <w:r w:rsidR="00783329">
        <w:rPr>
          <w:szCs w:val="22"/>
          <w:lang w:eastAsia="en-AU"/>
        </w:rPr>
        <w:t xml:space="preserve">would </w:t>
      </w:r>
      <w:r w:rsidR="00A0456A" w:rsidRPr="00D91E6F">
        <w:rPr>
          <w:szCs w:val="22"/>
          <w:lang w:eastAsia="en-AU"/>
        </w:rPr>
        <w:t>operate at a system level and are not intended to attribute impacts to specific downstream users or activities. Existing water entitlement frameworks are not altered by these funding arrangements.</w:t>
      </w:r>
    </w:p>
    <w:p w14:paraId="76D85476" w14:textId="3E71D0EA" w:rsidR="00183060" w:rsidRDefault="00A0456A" w:rsidP="00786220">
      <w:pPr>
        <w:pStyle w:val="Sub-Heading"/>
      </w:pPr>
      <w:r>
        <w:t>Incentive</w:t>
      </w:r>
      <w:r w:rsidR="00FC4447">
        <w:t>-based design</w:t>
      </w:r>
    </w:p>
    <w:p w14:paraId="50843051" w14:textId="5AAAFBFE" w:rsidR="000A7361" w:rsidRDefault="00382EE8" w:rsidP="00CC7A58">
      <w:r>
        <w:rPr>
          <w:rFonts w:ascii="ZWAdobeF" w:hAnsi="ZWAdobeF" w:cs="ZWAdobeF"/>
          <w:sz w:val="2"/>
          <w:szCs w:val="2"/>
        </w:rPr>
        <w:t>1228B</w:t>
      </w:r>
      <w:r w:rsidR="000A7361" w:rsidRPr="000A7361">
        <w:t>This structure does not assign responsibility for environmental impacts to a single party. Rather, it recognises that system outcomes are shaped by multiple factors and that contributions can appropriately vary to reflect the role, benefits and system effects associated with different participants.</w:t>
      </w:r>
    </w:p>
    <w:p w14:paraId="5DEDD3C6" w14:textId="4B4CC193" w:rsidR="00A85843" w:rsidRPr="0097624C" w:rsidRDefault="00382EE8" w:rsidP="00A85843">
      <w:pPr>
        <w:rPr>
          <w:lang w:eastAsia="en-AU"/>
        </w:rPr>
      </w:pPr>
      <w:r>
        <w:rPr>
          <w:rFonts w:ascii="ZWAdobeF" w:hAnsi="ZWAdobeF" w:cs="ZWAdobeF"/>
          <w:sz w:val="2"/>
          <w:szCs w:val="2"/>
          <w:lang w:eastAsia="en-AU"/>
        </w:rPr>
        <w:t>1229B</w:t>
      </w:r>
      <w:r w:rsidR="00A85843" w:rsidRPr="0097624C">
        <w:rPr>
          <w:lang w:eastAsia="en-AU"/>
        </w:rPr>
        <w:t xml:space="preserve">The </w:t>
      </w:r>
      <w:r w:rsidR="002460F1">
        <w:rPr>
          <w:lang w:eastAsia="en-AU"/>
        </w:rPr>
        <w:t>variable</w:t>
      </w:r>
      <w:r w:rsidR="00A85843" w:rsidRPr="0097624C">
        <w:rPr>
          <w:lang w:eastAsia="en-AU"/>
        </w:rPr>
        <w:t xml:space="preserve"> contribution should also be designed to provide a clear incentive for improved system performance over time.</w:t>
      </w:r>
    </w:p>
    <w:p w14:paraId="07E2443A" w14:textId="52636CAB" w:rsidR="00A85843" w:rsidRPr="0097624C" w:rsidRDefault="00382EE8" w:rsidP="00A85843">
      <w:pPr>
        <w:rPr>
          <w:lang w:eastAsia="en-AU"/>
        </w:rPr>
      </w:pPr>
      <w:r>
        <w:rPr>
          <w:rFonts w:ascii="ZWAdobeF" w:hAnsi="ZWAdobeF" w:cs="ZWAdobeF"/>
          <w:sz w:val="2"/>
          <w:szCs w:val="2"/>
          <w:lang w:eastAsia="en-AU"/>
        </w:rPr>
        <w:t>1230B</w:t>
      </w:r>
      <w:r w:rsidR="00A85843" w:rsidRPr="0097624C">
        <w:rPr>
          <w:lang w:eastAsia="en-AU"/>
        </w:rPr>
        <w:t>In particular:</w:t>
      </w:r>
    </w:p>
    <w:p w14:paraId="0E600AC3" w14:textId="3E2FFF56" w:rsidR="00A85843" w:rsidRPr="00841A1E" w:rsidRDefault="00382EE8" w:rsidP="00115BD6">
      <w:pPr>
        <w:pStyle w:val="ListParagraph"/>
        <w:numPr>
          <w:ilvl w:val="0"/>
          <w:numId w:val="25"/>
        </w:numPr>
        <w:rPr>
          <w:lang w:eastAsia="en-AU"/>
        </w:rPr>
      </w:pPr>
      <w:r>
        <w:rPr>
          <w:rFonts w:ascii="ZWAdobeF" w:hAnsi="ZWAdobeF" w:cs="ZWAdobeF"/>
          <w:sz w:val="2"/>
          <w:szCs w:val="2"/>
          <w:lang w:eastAsia="en-AU"/>
        </w:rPr>
        <w:t>400B</w:t>
      </w:r>
      <w:r w:rsidR="00A85843" w:rsidRPr="0097624C">
        <w:rPr>
          <w:lang w:eastAsia="en-AU"/>
        </w:rPr>
        <w:t xml:space="preserve">the level of contribution </w:t>
      </w:r>
      <w:r w:rsidR="00A85843" w:rsidRPr="00841A1E">
        <w:rPr>
          <w:lang w:eastAsia="en-AU"/>
        </w:rPr>
        <w:t xml:space="preserve">would be expected to reduce over time as system performance improves and legacy impacts are addressed, including </w:t>
      </w:r>
      <w:r w:rsidR="00712CCA">
        <w:rPr>
          <w:lang w:eastAsia="en-AU"/>
        </w:rPr>
        <w:t>reduction</w:t>
      </w:r>
      <w:r w:rsidR="00A85843" w:rsidRPr="00841A1E">
        <w:rPr>
          <w:lang w:eastAsia="en-AU"/>
        </w:rPr>
        <w:t xml:space="preserve"> where improved performance </w:t>
      </w:r>
      <w:r w:rsidR="007D745B">
        <w:rPr>
          <w:lang w:eastAsia="en-AU"/>
        </w:rPr>
        <w:t xml:space="preserve">is demonstrated </w:t>
      </w:r>
      <w:r w:rsidR="00A85843" w:rsidRPr="00841A1E">
        <w:rPr>
          <w:lang w:eastAsia="en-AU"/>
        </w:rPr>
        <w:t>against agreed system o</w:t>
      </w:r>
      <w:r w:rsidR="00E5681D">
        <w:rPr>
          <w:lang w:eastAsia="en-AU"/>
        </w:rPr>
        <w:t>ut</w:t>
      </w:r>
      <w:r w:rsidR="00405EAC">
        <w:rPr>
          <w:lang w:eastAsia="en-AU"/>
        </w:rPr>
        <w:t>c</w:t>
      </w:r>
      <w:r w:rsidR="00E5681D">
        <w:rPr>
          <w:lang w:eastAsia="en-AU"/>
        </w:rPr>
        <w:t>omes</w:t>
      </w:r>
    </w:p>
    <w:p w14:paraId="15899C55" w14:textId="26023821" w:rsidR="00A85843" w:rsidRPr="0097624C" w:rsidRDefault="00382EE8" w:rsidP="00115BD6">
      <w:pPr>
        <w:pStyle w:val="ListParagraph"/>
        <w:numPr>
          <w:ilvl w:val="0"/>
          <w:numId w:val="25"/>
        </w:numPr>
        <w:rPr>
          <w:lang w:eastAsia="en-AU"/>
        </w:rPr>
      </w:pPr>
      <w:r>
        <w:rPr>
          <w:rFonts w:ascii="ZWAdobeF" w:hAnsi="ZWAdobeF" w:cs="ZWAdobeF"/>
          <w:sz w:val="2"/>
          <w:szCs w:val="2"/>
          <w:lang w:eastAsia="en-AU"/>
        </w:rPr>
        <w:t>401B</w:t>
      </w:r>
      <w:r w:rsidR="00A85843" w:rsidRPr="0097624C">
        <w:rPr>
          <w:lang w:eastAsia="en-AU"/>
        </w:rPr>
        <w:t>adjustments should be informed by independent monitoring, audits and periodic reviews of system outcomes</w:t>
      </w:r>
    </w:p>
    <w:p w14:paraId="5B3F12EA" w14:textId="40555DF4" w:rsidR="00A85843" w:rsidRPr="0097624C" w:rsidRDefault="00382EE8" w:rsidP="00115BD6">
      <w:pPr>
        <w:pStyle w:val="ListParagraph"/>
        <w:numPr>
          <w:ilvl w:val="0"/>
          <w:numId w:val="25"/>
        </w:numPr>
        <w:rPr>
          <w:lang w:eastAsia="en-AU"/>
        </w:rPr>
      </w:pPr>
      <w:r>
        <w:rPr>
          <w:rFonts w:ascii="ZWAdobeF" w:hAnsi="ZWAdobeF" w:cs="ZWAdobeF"/>
          <w:sz w:val="2"/>
          <w:szCs w:val="2"/>
          <w:lang w:eastAsia="en-AU"/>
        </w:rPr>
        <w:t>402B</w:t>
      </w:r>
      <w:r w:rsidR="00A85843" w:rsidRPr="0097624C">
        <w:rPr>
          <w:lang w:eastAsia="en-AU"/>
        </w:rPr>
        <w:t>the framework should ensure that improved operational performance and reduced impacts are reflected in lower ongoing financial liability.</w:t>
      </w:r>
    </w:p>
    <w:p w14:paraId="3900E72A" w14:textId="367C7D2B" w:rsidR="00A85843" w:rsidRDefault="007F759D" w:rsidP="007F759D">
      <w:pPr>
        <w:pStyle w:val="Sub-Heading"/>
      </w:pPr>
      <w:r>
        <w:t>Overall approach</w:t>
      </w:r>
    </w:p>
    <w:p w14:paraId="02796A39" w14:textId="49F46862" w:rsidR="006254A0" w:rsidRPr="0097624C" w:rsidRDefault="00382EE8" w:rsidP="006254A0">
      <w:pPr>
        <w:rPr>
          <w:lang w:eastAsia="en-AU"/>
        </w:rPr>
      </w:pPr>
      <w:r>
        <w:rPr>
          <w:rFonts w:ascii="ZWAdobeF" w:hAnsi="ZWAdobeF" w:cs="ZWAdobeF"/>
          <w:sz w:val="2"/>
          <w:szCs w:val="2"/>
          <w:lang w:eastAsia="en-AU"/>
        </w:rPr>
        <w:t>1231B</w:t>
      </w:r>
      <w:r w:rsidR="009F3AF0">
        <w:rPr>
          <w:lang w:eastAsia="en-AU"/>
        </w:rPr>
        <w:t>T</w:t>
      </w:r>
      <w:r w:rsidR="006254A0" w:rsidRPr="0097624C">
        <w:rPr>
          <w:lang w:eastAsia="en-AU"/>
        </w:rPr>
        <w:t>ogether, these mechanisms:</w:t>
      </w:r>
    </w:p>
    <w:p w14:paraId="4402D7D6" w14:textId="0C0C2BAE" w:rsidR="006254A0" w:rsidRPr="0097624C" w:rsidRDefault="00382EE8" w:rsidP="00115BD6">
      <w:pPr>
        <w:pStyle w:val="ListParagraph"/>
        <w:numPr>
          <w:ilvl w:val="0"/>
          <w:numId w:val="26"/>
        </w:numPr>
        <w:rPr>
          <w:lang w:eastAsia="en-AU"/>
        </w:rPr>
      </w:pPr>
      <w:r>
        <w:rPr>
          <w:rFonts w:ascii="ZWAdobeF" w:hAnsi="ZWAdobeF" w:cs="ZWAdobeF"/>
          <w:sz w:val="2"/>
          <w:szCs w:val="2"/>
          <w:lang w:eastAsia="en-AU"/>
        </w:rPr>
        <w:t>403B</w:t>
      </w:r>
      <w:r w:rsidR="006254A0" w:rsidRPr="0097624C">
        <w:rPr>
          <w:lang w:eastAsia="en-AU"/>
        </w:rPr>
        <w:t>introduce clear, transparent and independently determined financial contributions</w:t>
      </w:r>
    </w:p>
    <w:p w14:paraId="3C1EF39E" w14:textId="43C58856" w:rsidR="006254A0" w:rsidRPr="0097624C" w:rsidRDefault="00382EE8" w:rsidP="00115BD6">
      <w:pPr>
        <w:pStyle w:val="ListParagraph"/>
        <w:numPr>
          <w:ilvl w:val="0"/>
          <w:numId w:val="26"/>
        </w:numPr>
        <w:rPr>
          <w:lang w:eastAsia="en-AU"/>
        </w:rPr>
      </w:pPr>
      <w:r>
        <w:rPr>
          <w:rFonts w:ascii="ZWAdobeF" w:hAnsi="ZWAdobeF" w:cs="ZWAdobeF"/>
          <w:sz w:val="2"/>
          <w:szCs w:val="2"/>
          <w:lang w:eastAsia="en-AU"/>
        </w:rPr>
        <w:t>404B</w:t>
      </w:r>
      <w:r w:rsidR="006254A0" w:rsidRPr="0097624C">
        <w:rPr>
          <w:lang w:eastAsia="en-AU"/>
        </w:rPr>
        <w:t>ensure that Snowy Hydro contributes both to system management costs and the mitigation of its impacts</w:t>
      </w:r>
    </w:p>
    <w:p w14:paraId="0A74B883" w14:textId="01480A73" w:rsidR="006254A0" w:rsidRPr="00190715" w:rsidRDefault="00382EE8" w:rsidP="00115BD6">
      <w:pPr>
        <w:pStyle w:val="ListParagraph"/>
        <w:numPr>
          <w:ilvl w:val="0"/>
          <w:numId w:val="26"/>
        </w:numPr>
        <w:rPr>
          <w:lang w:eastAsia="en-AU"/>
        </w:rPr>
      </w:pPr>
      <w:r>
        <w:rPr>
          <w:rFonts w:ascii="ZWAdobeF" w:hAnsi="ZWAdobeF" w:cs="ZWAdobeF"/>
          <w:sz w:val="2"/>
          <w:szCs w:val="2"/>
          <w:lang w:eastAsia="en-AU"/>
        </w:rPr>
        <w:t>405B</w:t>
      </w:r>
      <w:r w:rsidR="006254A0" w:rsidRPr="0097624C">
        <w:rPr>
          <w:lang w:eastAsia="en-AU"/>
        </w:rPr>
        <w:t>establish a framework that supports long</w:t>
      </w:r>
      <w:r w:rsidR="006254A0" w:rsidRPr="0097624C">
        <w:rPr>
          <w:lang w:eastAsia="en-AU"/>
        </w:rPr>
        <w:noBreakHyphen/>
        <w:t>term system outcomes, accountability and continuous improvement.</w:t>
      </w:r>
    </w:p>
    <w:p w14:paraId="3AD73156" w14:textId="0932EA02" w:rsidR="006254A0" w:rsidRDefault="00382EE8" w:rsidP="006254A0">
      <w:pPr>
        <w:rPr>
          <w:lang w:eastAsia="en-AU"/>
        </w:rPr>
      </w:pPr>
      <w:r>
        <w:rPr>
          <w:rFonts w:ascii="ZWAdobeF" w:hAnsi="ZWAdobeF" w:cs="ZWAdobeF"/>
          <w:sz w:val="2"/>
          <w:szCs w:val="2"/>
          <w:lang w:eastAsia="en-AU"/>
        </w:rPr>
        <w:t>1232B</w:t>
      </w:r>
      <w:r w:rsidR="006254A0" w:rsidRPr="00190715">
        <w:rPr>
          <w:lang w:eastAsia="en-AU"/>
        </w:rPr>
        <w:t xml:space="preserve">The detailed design of both mechanisms </w:t>
      </w:r>
      <w:r w:rsidR="00894069">
        <w:rPr>
          <w:lang w:eastAsia="en-AU"/>
        </w:rPr>
        <w:t>requires</w:t>
      </w:r>
      <w:r w:rsidR="006254A0" w:rsidRPr="00190715">
        <w:rPr>
          <w:lang w:eastAsia="en-AU"/>
        </w:rPr>
        <w:t xml:space="preserve"> further legal, regulatory and economic analysis, including consideration of Snowy Water Licence settings and shareholder arrangements.</w:t>
      </w:r>
    </w:p>
    <w:p w14:paraId="2193262C" w14:textId="1CF82675" w:rsidR="006254A0" w:rsidRDefault="006254A0" w:rsidP="006254A0">
      <w:pPr>
        <w:pStyle w:val="ReviewHeading3"/>
        <w:rPr>
          <w:rFonts w:eastAsia="Times New Roman"/>
          <w:lang w:eastAsia="en-AU"/>
        </w:rPr>
      </w:pPr>
      <w:r>
        <w:rPr>
          <w:rFonts w:eastAsia="Times New Roman"/>
          <w:lang w:eastAsia="en-AU"/>
        </w:rPr>
        <w:t>Enduring funding arrangements</w:t>
      </w:r>
    </w:p>
    <w:p w14:paraId="51002B7F" w14:textId="2E2CD6A3" w:rsidR="00273B60" w:rsidRDefault="00382EE8" w:rsidP="00273B60">
      <w:pPr>
        <w:rPr>
          <w:lang w:eastAsia="en-AU"/>
        </w:rPr>
      </w:pPr>
      <w:r>
        <w:rPr>
          <w:rFonts w:ascii="ZWAdobeF" w:hAnsi="ZWAdobeF" w:cs="ZWAdobeF"/>
          <w:sz w:val="2"/>
          <w:szCs w:val="2"/>
          <w:lang w:eastAsia="en-AU"/>
        </w:rPr>
        <w:t>1233B</w:t>
      </w:r>
      <w:r w:rsidR="00273B60" w:rsidRPr="00AC5EF8">
        <w:rPr>
          <w:lang w:eastAsia="en-AU"/>
        </w:rPr>
        <w:t>To support long</w:t>
      </w:r>
      <w:r w:rsidR="00273B60" w:rsidRPr="00AC5EF8">
        <w:rPr>
          <w:lang w:eastAsia="en-AU"/>
        </w:rPr>
        <w:noBreakHyphen/>
        <w:t>term stability and system</w:t>
      </w:r>
      <w:r w:rsidR="00273B60" w:rsidRPr="00AC5EF8">
        <w:rPr>
          <w:lang w:eastAsia="en-AU"/>
        </w:rPr>
        <w:noBreakHyphen/>
        <w:t>wide investment funding should be administered through an enduring fund, established as a central component of the governance framework.</w:t>
      </w:r>
    </w:p>
    <w:p w14:paraId="0E918420" w14:textId="20DBDFFE" w:rsidR="00273B60" w:rsidRPr="00C92F02" w:rsidRDefault="00382EE8" w:rsidP="00273B60">
      <w:pPr>
        <w:rPr>
          <w:lang w:eastAsia="en-AU"/>
        </w:rPr>
      </w:pPr>
      <w:r>
        <w:rPr>
          <w:rFonts w:ascii="ZWAdobeF" w:hAnsi="ZWAdobeF" w:cs="ZWAdobeF"/>
          <w:sz w:val="2"/>
          <w:szCs w:val="2"/>
          <w:lang w:eastAsia="en-AU"/>
        </w:rPr>
        <w:lastRenderedPageBreak/>
        <w:t>1234B</w:t>
      </w:r>
      <w:r w:rsidR="00273B60" w:rsidRPr="00C92F02">
        <w:rPr>
          <w:lang w:eastAsia="en-AU"/>
        </w:rPr>
        <w:t>The establishment and operation of funding arrangements may be supported through intergovernmental agreement or administrative mechanisms, with legislative change only required where existing powers are insufficient.</w:t>
      </w:r>
    </w:p>
    <w:p w14:paraId="7F86830F" w14:textId="7542DB16" w:rsidR="00273B60" w:rsidRPr="00AC5EF8" w:rsidRDefault="00382EE8" w:rsidP="00273B60">
      <w:pPr>
        <w:rPr>
          <w:lang w:eastAsia="en-AU"/>
        </w:rPr>
      </w:pPr>
      <w:r>
        <w:rPr>
          <w:rFonts w:ascii="ZWAdobeF" w:hAnsi="ZWAdobeF" w:cs="ZWAdobeF"/>
          <w:sz w:val="2"/>
          <w:szCs w:val="2"/>
          <w:lang w:eastAsia="en-AU"/>
        </w:rPr>
        <w:t>1235B</w:t>
      </w:r>
      <w:r w:rsidR="00273B60" w:rsidRPr="00AC5EF8">
        <w:rPr>
          <w:lang w:eastAsia="en-AU"/>
        </w:rPr>
        <w:t>The purpose of the fund is to:</w:t>
      </w:r>
    </w:p>
    <w:p w14:paraId="665EC292" w14:textId="115B43C0" w:rsidR="00273B60" w:rsidRPr="00AC5EF8" w:rsidRDefault="00382EE8" w:rsidP="00115BD6">
      <w:pPr>
        <w:pStyle w:val="ListParagraph"/>
        <w:numPr>
          <w:ilvl w:val="0"/>
          <w:numId w:val="27"/>
        </w:numPr>
        <w:rPr>
          <w:lang w:eastAsia="en-AU"/>
        </w:rPr>
      </w:pPr>
      <w:r>
        <w:rPr>
          <w:rFonts w:ascii="ZWAdobeF" w:hAnsi="ZWAdobeF" w:cs="ZWAdobeF"/>
          <w:sz w:val="2"/>
          <w:szCs w:val="2"/>
          <w:lang w:eastAsia="en-AU"/>
        </w:rPr>
        <w:t>406B</w:t>
      </w:r>
      <w:r w:rsidR="00273B60" w:rsidRPr="00AC5EF8">
        <w:rPr>
          <w:lang w:eastAsia="en-AU"/>
        </w:rPr>
        <w:t>pool contributions from governments and Snowy Hydro</w:t>
      </w:r>
    </w:p>
    <w:p w14:paraId="5C5B3913" w14:textId="1AFDB025" w:rsidR="00273B60" w:rsidRPr="00AC5EF8" w:rsidRDefault="00382EE8" w:rsidP="00115BD6">
      <w:pPr>
        <w:pStyle w:val="ListParagraph"/>
        <w:numPr>
          <w:ilvl w:val="0"/>
          <w:numId w:val="27"/>
        </w:numPr>
        <w:rPr>
          <w:lang w:eastAsia="en-AU"/>
        </w:rPr>
      </w:pPr>
      <w:r>
        <w:rPr>
          <w:rFonts w:ascii="ZWAdobeF" w:hAnsi="ZWAdobeF" w:cs="ZWAdobeF"/>
          <w:sz w:val="2"/>
          <w:szCs w:val="2"/>
          <w:lang w:eastAsia="en-AU"/>
        </w:rPr>
        <w:t>407B</w:t>
      </w:r>
      <w:r w:rsidR="00273B60" w:rsidRPr="00AC5EF8">
        <w:rPr>
          <w:lang w:eastAsia="en-AU"/>
        </w:rPr>
        <w:t>enable coordinated, cross</w:t>
      </w:r>
      <w:r w:rsidR="00273B60" w:rsidRPr="00AC5EF8">
        <w:rPr>
          <w:lang w:eastAsia="en-AU"/>
        </w:rPr>
        <w:noBreakHyphen/>
        <w:t>jurisdictional investment</w:t>
      </w:r>
    </w:p>
    <w:p w14:paraId="32A9662B" w14:textId="5391C9F5" w:rsidR="00273B60" w:rsidRDefault="00382EE8" w:rsidP="00115BD6">
      <w:pPr>
        <w:pStyle w:val="ListParagraph"/>
        <w:numPr>
          <w:ilvl w:val="0"/>
          <w:numId w:val="27"/>
        </w:numPr>
        <w:rPr>
          <w:lang w:eastAsia="en-AU"/>
        </w:rPr>
      </w:pPr>
      <w:r>
        <w:rPr>
          <w:rFonts w:ascii="ZWAdobeF" w:hAnsi="ZWAdobeF" w:cs="ZWAdobeF"/>
          <w:sz w:val="2"/>
          <w:szCs w:val="2"/>
          <w:lang w:eastAsia="en-AU"/>
        </w:rPr>
        <w:t>408B</w:t>
      </w:r>
      <w:r w:rsidR="00273B60" w:rsidRPr="00AC5EF8">
        <w:rPr>
          <w:lang w:eastAsia="en-AU"/>
        </w:rPr>
        <w:t>ensure funding is directed toward agreed system</w:t>
      </w:r>
      <w:r w:rsidR="00273B60" w:rsidRPr="00AC5EF8">
        <w:rPr>
          <w:lang w:eastAsia="en-AU"/>
        </w:rPr>
        <w:noBreakHyphen/>
        <w:t>level outcomes over appropriate ecological timeframes.</w:t>
      </w:r>
    </w:p>
    <w:p w14:paraId="0C828F99" w14:textId="21709A2F" w:rsidR="00E35122" w:rsidRDefault="001B42EB" w:rsidP="00E35122">
      <w:pPr>
        <w:pStyle w:val="ReviewHeading2"/>
        <w:rPr>
          <w:rFonts w:eastAsia="Times New Roman"/>
          <w:lang w:eastAsia="en-AU"/>
        </w:rPr>
      </w:pPr>
      <w:bookmarkStart w:id="148" w:name="_Toc233285626"/>
      <w:bookmarkStart w:id="149" w:name="_Toc233801505"/>
      <w:r w:rsidRPr="6332CC80">
        <w:rPr>
          <w:rFonts w:eastAsia="Times New Roman"/>
          <w:lang w:eastAsia="en-AU"/>
        </w:rPr>
        <w:t xml:space="preserve">7.7 Transitional </w:t>
      </w:r>
      <w:r w:rsidR="00773D6A">
        <w:rPr>
          <w:rFonts w:eastAsia="Times New Roman"/>
          <w:lang w:eastAsia="en-AU"/>
        </w:rPr>
        <w:t xml:space="preserve">funding </w:t>
      </w:r>
      <w:r w:rsidRPr="6332CC80">
        <w:rPr>
          <w:rFonts w:eastAsia="Times New Roman"/>
          <w:lang w:eastAsia="en-AU"/>
        </w:rPr>
        <w:t>arrangements</w:t>
      </w:r>
      <w:bookmarkEnd w:id="148"/>
      <w:bookmarkEnd w:id="149"/>
    </w:p>
    <w:p w14:paraId="1360FA41" w14:textId="4E3EA020" w:rsidR="008126D1" w:rsidRDefault="00382EE8" w:rsidP="008126D1">
      <w:pPr>
        <w:rPr>
          <w:lang w:eastAsia="en-AU"/>
        </w:rPr>
      </w:pPr>
      <w:r>
        <w:rPr>
          <w:rFonts w:ascii="ZWAdobeF" w:hAnsi="ZWAdobeF" w:cs="ZWAdobeF"/>
          <w:sz w:val="2"/>
          <w:szCs w:val="2"/>
          <w:lang w:eastAsia="en-AU"/>
        </w:rPr>
        <w:t>1236B</w:t>
      </w:r>
      <w:r w:rsidR="008126D1" w:rsidRPr="00190715">
        <w:rPr>
          <w:lang w:eastAsia="en-AU"/>
        </w:rPr>
        <w:t>T</w:t>
      </w:r>
      <w:r w:rsidR="008126D1" w:rsidRPr="00220517">
        <w:rPr>
          <w:lang w:eastAsia="en-AU"/>
        </w:rPr>
        <w:t xml:space="preserve">ransition to the new funding and investment framework </w:t>
      </w:r>
      <w:r w:rsidR="008126D1">
        <w:rPr>
          <w:lang w:eastAsia="en-AU"/>
        </w:rPr>
        <w:t>should</w:t>
      </w:r>
      <w:r w:rsidR="00FC61C5">
        <w:rPr>
          <w:lang w:eastAsia="en-AU"/>
        </w:rPr>
        <w:t xml:space="preserve"> </w:t>
      </w:r>
      <w:r w:rsidR="008126D1" w:rsidRPr="00220517">
        <w:rPr>
          <w:lang w:eastAsia="en-AU"/>
        </w:rPr>
        <w:t>reflect legal, financial and operational constraints, as well as the time required to establish new governance, funding and planning arrangements across jurisdictions.</w:t>
      </w:r>
    </w:p>
    <w:p w14:paraId="1D4ED40C" w14:textId="7B7EE5B1" w:rsidR="008126D1" w:rsidRDefault="00382EE8" w:rsidP="008126D1">
      <w:pPr>
        <w:rPr>
          <w:lang w:eastAsia="en-AU"/>
        </w:rPr>
      </w:pPr>
      <w:r>
        <w:rPr>
          <w:rFonts w:ascii="ZWAdobeF" w:hAnsi="ZWAdobeF" w:cs="ZWAdobeF"/>
          <w:sz w:val="2"/>
          <w:szCs w:val="2"/>
          <w:lang w:eastAsia="en-AU"/>
        </w:rPr>
        <w:t>1237B</w:t>
      </w:r>
      <w:r w:rsidR="008126D1" w:rsidRPr="00510B80">
        <w:rPr>
          <w:lang w:eastAsia="en-AU"/>
        </w:rPr>
        <w:t>This transition is based on a proportional and outcome-based approach to funding, rather than equal contributions across jurisdictions.</w:t>
      </w:r>
    </w:p>
    <w:p w14:paraId="75B7C6E9" w14:textId="0B2A8E0D" w:rsidR="008126D1" w:rsidRPr="002F1CFF" w:rsidRDefault="008126D1" w:rsidP="008126D1">
      <w:pPr>
        <w:pStyle w:val="Sub-Heading"/>
      </w:pPr>
      <w:r w:rsidRPr="002F1CFF">
        <w:t>Maintaining momentum through existing Australian Government investment</w:t>
      </w:r>
    </w:p>
    <w:p w14:paraId="72D84CC1" w14:textId="4B9A5A16" w:rsidR="00626AE4" w:rsidRPr="00220517" w:rsidRDefault="00382EE8" w:rsidP="00626AE4">
      <w:pPr>
        <w:rPr>
          <w:lang w:eastAsia="en-AU"/>
        </w:rPr>
      </w:pPr>
      <w:r>
        <w:rPr>
          <w:rFonts w:ascii="ZWAdobeF" w:hAnsi="ZWAdobeF" w:cs="ZWAdobeF"/>
          <w:sz w:val="2"/>
          <w:szCs w:val="2"/>
          <w:lang w:eastAsia="en-AU"/>
        </w:rPr>
        <w:t>1238B</w:t>
      </w:r>
      <w:r w:rsidR="00626AE4" w:rsidRPr="00220517">
        <w:rPr>
          <w:lang w:eastAsia="en-AU"/>
        </w:rPr>
        <w:t>The Panel recognises the importance of maintaining continuity of on</w:t>
      </w:r>
      <w:r w:rsidR="00626AE4" w:rsidRPr="00220517">
        <w:rPr>
          <w:lang w:eastAsia="en-AU"/>
        </w:rPr>
        <w:noBreakHyphen/>
        <w:t>ground works, scientific investment and monitoring activities during the transition period.</w:t>
      </w:r>
    </w:p>
    <w:p w14:paraId="413D2954" w14:textId="25ABD1BF" w:rsidR="00626AE4" w:rsidRPr="00220517" w:rsidRDefault="00382EE8" w:rsidP="00626AE4">
      <w:pPr>
        <w:rPr>
          <w:lang w:eastAsia="en-AU"/>
        </w:rPr>
      </w:pPr>
      <w:r>
        <w:rPr>
          <w:rFonts w:ascii="ZWAdobeF" w:hAnsi="ZWAdobeF" w:cs="ZWAdobeF"/>
          <w:sz w:val="2"/>
          <w:szCs w:val="2"/>
          <w:lang w:eastAsia="en-AU"/>
        </w:rPr>
        <w:t>1239B</w:t>
      </w:r>
      <w:r w:rsidR="00626AE4" w:rsidRPr="00220517">
        <w:rPr>
          <w:lang w:eastAsia="en-AU"/>
        </w:rPr>
        <w:t>To support this, the Australian Government’s Restoring the Upper Murrumbidgee River Program should be extended for a further five years, providing:</w:t>
      </w:r>
    </w:p>
    <w:p w14:paraId="62675FB1" w14:textId="395FA78E" w:rsidR="00626AE4" w:rsidRPr="00220517" w:rsidRDefault="00382EE8" w:rsidP="00115BD6">
      <w:pPr>
        <w:pStyle w:val="ListParagraph"/>
        <w:numPr>
          <w:ilvl w:val="0"/>
          <w:numId w:val="28"/>
        </w:numPr>
        <w:rPr>
          <w:lang w:eastAsia="en-AU"/>
        </w:rPr>
      </w:pPr>
      <w:r>
        <w:rPr>
          <w:rFonts w:ascii="ZWAdobeF" w:hAnsi="ZWAdobeF" w:cs="ZWAdobeF"/>
          <w:sz w:val="2"/>
          <w:szCs w:val="2"/>
          <w:lang w:eastAsia="en-AU"/>
        </w:rPr>
        <w:t>409B</w:t>
      </w:r>
      <w:r w:rsidR="00626AE4" w:rsidRPr="00220517">
        <w:rPr>
          <w:lang w:eastAsia="en-AU"/>
        </w:rPr>
        <w:t>continued investment in catchment restoration and complementary measures</w:t>
      </w:r>
    </w:p>
    <w:p w14:paraId="32CF03E2" w14:textId="5D2A432B" w:rsidR="00626AE4" w:rsidRPr="00220517" w:rsidRDefault="00382EE8" w:rsidP="00115BD6">
      <w:pPr>
        <w:pStyle w:val="ListParagraph"/>
        <w:numPr>
          <w:ilvl w:val="0"/>
          <w:numId w:val="28"/>
        </w:numPr>
        <w:rPr>
          <w:lang w:eastAsia="en-AU"/>
        </w:rPr>
      </w:pPr>
      <w:r>
        <w:rPr>
          <w:rFonts w:ascii="ZWAdobeF" w:hAnsi="ZWAdobeF" w:cs="ZWAdobeF"/>
          <w:sz w:val="2"/>
          <w:szCs w:val="2"/>
          <w:lang w:eastAsia="en-AU"/>
        </w:rPr>
        <w:t>410B</w:t>
      </w:r>
      <w:r w:rsidR="00626AE4" w:rsidRPr="00220517">
        <w:rPr>
          <w:lang w:eastAsia="en-AU"/>
        </w:rPr>
        <w:t>sustained support for scientific research, monitoring and evaluation</w:t>
      </w:r>
    </w:p>
    <w:p w14:paraId="4AD4D53C" w14:textId="48E6E69F" w:rsidR="00626AE4" w:rsidRPr="00220517" w:rsidRDefault="00382EE8" w:rsidP="00115BD6">
      <w:pPr>
        <w:pStyle w:val="ListParagraph"/>
        <w:numPr>
          <w:ilvl w:val="0"/>
          <w:numId w:val="28"/>
        </w:numPr>
        <w:rPr>
          <w:lang w:eastAsia="en-AU"/>
        </w:rPr>
      </w:pPr>
      <w:r>
        <w:rPr>
          <w:rFonts w:ascii="ZWAdobeF" w:hAnsi="ZWAdobeF" w:cs="ZWAdobeF"/>
          <w:sz w:val="2"/>
          <w:szCs w:val="2"/>
          <w:lang w:eastAsia="en-AU"/>
        </w:rPr>
        <w:t>411B</w:t>
      </w:r>
      <w:r w:rsidR="00626AE4" w:rsidRPr="00220517">
        <w:rPr>
          <w:lang w:eastAsia="en-AU"/>
        </w:rPr>
        <w:t>an ongoing platform for cross</w:t>
      </w:r>
      <w:r w:rsidR="00626AE4" w:rsidRPr="00220517">
        <w:rPr>
          <w:lang w:eastAsia="en-AU"/>
        </w:rPr>
        <w:noBreakHyphen/>
        <w:t>jurisdictional collaboration.</w:t>
      </w:r>
    </w:p>
    <w:p w14:paraId="7D9CB3E9" w14:textId="0AE68772" w:rsidR="00626AE4" w:rsidRDefault="00382EE8" w:rsidP="00626AE4">
      <w:pPr>
        <w:rPr>
          <w:lang w:eastAsia="en-AU"/>
        </w:rPr>
      </w:pPr>
      <w:r>
        <w:rPr>
          <w:rFonts w:ascii="ZWAdobeF" w:hAnsi="ZWAdobeF" w:cs="ZWAdobeF"/>
          <w:sz w:val="2"/>
          <w:szCs w:val="2"/>
          <w:lang w:eastAsia="en-AU"/>
        </w:rPr>
        <w:t>1240B</w:t>
      </w:r>
      <w:r w:rsidR="00626AE4" w:rsidRPr="00220517">
        <w:rPr>
          <w:lang w:eastAsia="en-AU"/>
        </w:rPr>
        <w:t xml:space="preserve">This extension would ensure that progress </w:t>
      </w:r>
      <w:r w:rsidR="00E70028">
        <w:rPr>
          <w:lang w:eastAsia="en-AU"/>
        </w:rPr>
        <w:t xml:space="preserve">in enhancing </w:t>
      </w:r>
      <w:r w:rsidR="00B75980">
        <w:rPr>
          <w:lang w:eastAsia="en-AU"/>
        </w:rPr>
        <w:t>condition in</w:t>
      </w:r>
      <w:r w:rsidR="00626AE4">
        <w:rPr>
          <w:lang w:eastAsia="en-AU"/>
        </w:rPr>
        <w:t xml:space="preserve"> the Upper Murrumbidgee River</w:t>
      </w:r>
      <w:r w:rsidR="00626AE4" w:rsidRPr="00220517">
        <w:rPr>
          <w:lang w:eastAsia="en-AU"/>
        </w:rPr>
        <w:t xml:space="preserve"> </w:t>
      </w:r>
      <w:r w:rsidR="00B75980">
        <w:rPr>
          <w:lang w:eastAsia="en-AU"/>
        </w:rPr>
        <w:t xml:space="preserve">is not disrupted </w:t>
      </w:r>
      <w:r w:rsidR="00626AE4" w:rsidRPr="00220517">
        <w:rPr>
          <w:lang w:eastAsia="en-AU"/>
        </w:rPr>
        <w:t xml:space="preserve">while new governance and </w:t>
      </w:r>
      <w:r w:rsidR="002F6A20">
        <w:rPr>
          <w:lang w:eastAsia="en-AU"/>
        </w:rPr>
        <w:t xml:space="preserve">joint </w:t>
      </w:r>
      <w:r w:rsidR="00626AE4" w:rsidRPr="00220517">
        <w:rPr>
          <w:lang w:eastAsia="en-AU"/>
        </w:rPr>
        <w:t xml:space="preserve">funding mechanism are </w:t>
      </w:r>
      <w:r w:rsidR="00724AD8" w:rsidRPr="00220517">
        <w:rPr>
          <w:lang w:eastAsia="en-AU"/>
        </w:rPr>
        <w:t>established</w:t>
      </w:r>
      <w:r w:rsidR="00626AE4" w:rsidRPr="00220517">
        <w:rPr>
          <w:lang w:eastAsia="en-AU"/>
        </w:rPr>
        <w:t>.</w:t>
      </w:r>
    </w:p>
    <w:p w14:paraId="57C0B7B4" w14:textId="6086B2E6" w:rsidR="00D1605A" w:rsidRPr="002F1CFF" w:rsidRDefault="00D1605A" w:rsidP="00D1605A">
      <w:pPr>
        <w:pStyle w:val="Sub-Heading"/>
      </w:pPr>
      <w:r w:rsidRPr="002F1CFF">
        <w:t>Phased introduction of joint government funding</w:t>
      </w:r>
    </w:p>
    <w:p w14:paraId="28EDDAFC" w14:textId="485BF583" w:rsidR="00DD6947" w:rsidRDefault="00382EE8" w:rsidP="00DD6947">
      <w:pPr>
        <w:rPr>
          <w:lang w:eastAsia="en-AU"/>
        </w:rPr>
      </w:pPr>
      <w:r>
        <w:rPr>
          <w:rFonts w:ascii="ZWAdobeF" w:hAnsi="ZWAdobeF" w:cs="ZWAdobeF"/>
          <w:sz w:val="2"/>
          <w:szCs w:val="2"/>
          <w:lang w:eastAsia="en-AU"/>
        </w:rPr>
        <w:t>1241B</w:t>
      </w:r>
      <w:r w:rsidR="00DD6947" w:rsidRPr="00220517">
        <w:rPr>
          <w:lang w:eastAsia="en-AU"/>
        </w:rPr>
        <w:t xml:space="preserve">During the initial transition period responsibility for funding should </w:t>
      </w:r>
      <w:r w:rsidR="00DD6947" w:rsidRPr="00651B1B">
        <w:rPr>
          <w:lang w:eastAsia="en-AU"/>
        </w:rPr>
        <w:t xml:space="preserve">shift from predominantly </w:t>
      </w:r>
      <w:r w:rsidR="00DD6947">
        <w:rPr>
          <w:lang w:eastAsia="en-AU"/>
        </w:rPr>
        <w:t>Australian Government</w:t>
      </w:r>
      <w:r w:rsidR="00DD6947" w:rsidRPr="00651B1B">
        <w:rPr>
          <w:lang w:eastAsia="en-AU"/>
        </w:rPr>
        <w:t xml:space="preserve">-led investment to a shared funding model, with </w:t>
      </w:r>
      <w:r w:rsidR="694852BB" w:rsidRPr="1E751BE8">
        <w:rPr>
          <w:lang w:eastAsia="en-AU"/>
        </w:rPr>
        <w:t xml:space="preserve">proportionately </w:t>
      </w:r>
      <w:r w:rsidR="00DD6947" w:rsidRPr="00651B1B">
        <w:rPr>
          <w:lang w:eastAsia="en-AU"/>
        </w:rPr>
        <w:t xml:space="preserve">increasing contributions from </w:t>
      </w:r>
      <w:r w:rsidR="2B2B68EC" w:rsidRPr="1E751BE8">
        <w:rPr>
          <w:lang w:eastAsia="en-AU"/>
        </w:rPr>
        <w:t>NSW</w:t>
      </w:r>
      <w:r w:rsidR="00DD6947" w:rsidRPr="00651B1B">
        <w:rPr>
          <w:lang w:eastAsia="en-AU"/>
        </w:rPr>
        <w:t>, Victoria and the ACT</w:t>
      </w:r>
      <w:r w:rsidR="00DD6947" w:rsidRPr="00220517">
        <w:rPr>
          <w:lang w:eastAsia="en-AU"/>
        </w:rPr>
        <w:t>.</w:t>
      </w:r>
      <w:r w:rsidR="00DD6947">
        <w:rPr>
          <w:lang w:eastAsia="en-AU"/>
        </w:rPr>
        <w:t xml:space="preserve"> </w:t>
      </w:r>
      <w:r w:rsidR="1C890DB8" w:rsidRPr="1E751BE8">
        <w:rPr>
          <w:lang w:eastAsia="en-AU"/>
        </w:rPr>
        <w:t>As</w:t>
      </w:r>
      <w:r w:rsidR="00DD6947">
        <w:rPr>
          <w:lang w:eastAsia="en-AU"/>
        </w:rPr>
        <w:t xml:space="preserve"> the </w:t>
      </w:r>
      <w:r w:rsidR="00C43ED7">
        <w:rPr>
          <w:lang w:eastAsia="en-AU"/>
        </w:rPr>
        <w:t>D</w:t>
      </w:r>
      <w:r w:rsidR="00DD6947">
        <w:rPr>
          <w:lang w:eastAsia="en-AU"/>
        </w:rPr>
        <w:t>eed</w:t>
      </w:r>
      <w:r w:rsidR="00FF65B0">
        <w:rPr>
          <w:lang w:eastAsia="en-AU"/>
        </w:rPr>
        <w:t xml:space="preserve"> is implemented</w:t>
      </w:r>
      <w:r w:rsidR="51B849E4" w:rsidRPr="1E751BE8">
        <w:rPr>
          <w:lang w:eastAsia="en-AU"/>
        </w:rPr>
        <w:t>, inclusive of new environmental and cul</w:t>
      </w:r>
      <w:r w:rsidR="45DC76EE" w:rsidRPr="1E751BE8">
        <w:rPr>
          <w:lang w:eastAsia="en-AU"/>
        </w:rPr>
        <w:t>tu</w:t>
      </w:r>
      <w:r w:rsidR="51B849E4" w:rsidRPr="1E751BE8">
        <w:rPr>
          <w:lang w:eastAsia="en-AU"/>
        </w:rPr>
        <w:t>ral</w:t>
      </w:r>
      <w:r w:rsidR="00DD6947">
        <w:rPr>
          <w:lang w:eastAsia="en-AU"/>
        </w:rPr>
        <w:t xml:space="preserve"> outcomes </w:t>
      </w:r>
      <w:r w:rsidR="00FF65B0">
        <w:rPr>
          <w:lang w:eastAsia="en-AU"/>
        </w:rPr>
        <w:t xml:space="preserve">being </w:t>
      </w:r>
      <w:r w:rsidR="00DD6947">
        <w:rPr>
          <w:lang w:eastAsia="en-AU"/>
        </w:rPr>
        <w:t>met, c</w:t>
      </w:r>
      <w:r w:rsidR="00DD6947" w:rsidRPr="00714D38">
        <w:rPr>
          <w:lang w:eastAsia="en-AU"/>
        </w:rPr>
        <w:t xml:space="preserve">ontributions </w:t>
      </w:r>
      <w:r w:rsidR="79E54103" w:rsidRPr="1E751BE8">
        <w:rPr>
          <w:lang w:eastAsia="en-AU"/>
        </w:rPr>
        <w:t>are</w:t>
      </w:r>
      <w:r w:rsidR="00DD6947" w:rsidRPr="00714D38">
        <w:rPr>
          <w:lang w:eastAsia="en-AU"/>
        </w:rPr>
        <w:t xml:space="preserve"> expected to reduce as system performance improves and legacy constraints are </w:t>
      </w:r>
      <w:r w:rsidR="5D5A7C43" w:rsidRPr="1E751BE8">
        <w:rPr>
          <w:lang w:eastAsia="en-AU"/>
        </w:rPr>
        <w:t>resolved</w:t>
      </w:r>
      <w:r w:rsidR="00DD6947" w:rsidRPr="00714D38">
        <w:rPr>
          <w:lang w:eastAsia="en-AU"/>
        </w:rPr>
        <w:t>.</w:t>
      </w:r>
    </w:p>
    <w:p w14:paraId="6181E604" w14:textId="67B5E696" w:rsidR="00DD6947" w:rsidRPr="00220517" w:rsidRDefault="00382EE8" w:rsidP="00DD6947">
      <w:pPr>
        <w:rPr>
          <w:lang w:eastAsia="en-AU"/>
        </w:rPr>
      </w:pPr>
      <w:r>
        <w:rPr>
          <w:rFonts w:ascii="ZWAdobeF" w:hAnsi="ZWAdobeF" w:cs="ZWAdobeF"/>
          <w:sz w:val="2"/>
          <w:szCs w:val="2"/>
          <w:lang w:eastAsia="en-AU"/>
        </w:rPr>
        <w:t>1242B</w:t>
      </w:r>
      <w:r w:rsidR="00DD6947" w:rsidRPr="00220517">
        <w:rPr>
          <w:lang w:eastAsia="en-AU"/>
        </w:rPr>
        <w:t>This should involve:</w:t>
      </w:r>
    </w:p>
    <w:p w14:paraId="4F62123A" w14:textId="6E4BA997" w:rsidR="00DD6947" w:rsidRPr="00220517" w:rsidRDefault="00382EE8" w:rsidP="00115BD6">
      <w:pPr>
        <w:pStyle w:val="ListParagraph"/>
        <w:numPr>
          <w:ilvl w:val="0"/>
          <w:numId w:val="29"/>
        </w:numPr>
        <w:rPr>
          <w:lang w:eastAsia="en-AU"/>
        </w:rPr>
      </w:pPr>
      <w:r>
        <w:rPr>
          <w:rFonts w:ascii="ZWAdobeF" w:hAnsi="ZWAdobeF" w:cs="ZWAdobeF"/>
          <w:sz w:val="2"/>
          <w:szCs w:val="2"/>
          <w:lang w:eastAsia="en-AU"/>
        </w:rPr>
        <w:t>412B</w:t>
      </w:r>
      <w:r w:rsidR="00DD6947" w:rsidRPr="00220517">
        <w:rPr>
          <w:lang w:eastAsia="en-AU"/>
        </w:rPr>
        <w:t>development of agreed system priorities and investment frameworks across jurisdictions</w:t>
      </w:r>
    </w:p>
    <w:p w14:paraId="00620EB2" w14:textId="5823BE62" w:rsidR="00DD6947" w:rsidRPr="00220517" w:rsidRDefault="00382EE8" w:rsidP="00115BD6">
      <w:pPr>
        <w:pStyle w:val="ListParagraph"/>
        <w:numPr>
          <w:ilvl w:val="0"/>
          <w:numId w:val="29"/>
        </w:numPr>
        <w:rPr>
          <w:lang w:eastAsia="en-AU"/>
        </w:rPr>
      </w:pPr>
      <w:r>
        <w:rPr>
          <w:rFonts w:ascii="ZWAdobeF" w:hAnsi="ZWAdobeF" w:cs="ZWAdobeF"/>
          <w:sz w:val="2"/>
          <w:szCs w:val="2"/>
          <w:lang w:eastAsia="en-AU"/>
        </w:rPr>
        <w:t>413B</w:t>
      </w:r>
      <w:r w:rsidR="00DD6947" w:rsidRPr="00220517">
        <w:rPr>
          <w:lang w:eastAsia="en-AU"/>
        </w:rPr>
        <w:t>alignment of funding cycles and contributions</w:t>
      </w:r>
    </w:p>
    <w:p w14:paraId="4CDA6B0D" w14:textId="1268C394" w:rsidR="00DD6947" w:rsidRDefault="00382EE8" w:rsidP="00115BD6">
      <w:pPr>
        <w:pStyle w:val="ListParagraph"/>
        <w:numPr>
          <w:ilvl w:val="0"/>
          <w:numId w:val="29"/>
        </w:numPr>
        <w:rPr>
          <w:lang w:eastAsia="en-AU"/>
        </w:rPr>
      </w:pPr>
      <w:r>
        <w:rPr>
          <w:rFonts w:ascii="ZWAdobeF" w:hAnsi="ZWAdobeF" w:cs="ZWAdobeF"/>
          <w:sz w:val="2"/>
          <w:szCs w:val="2"/>
          <w:lang w:eastAsia="en-AU"/>
        </w:rPr>
        <w:t>414B</w:t>
      </w:r>
      <w:r w:rsidR="00DD6947" w:rsidRPr="00220517">
        <w:rPr>
          <w:lang w:eastAsia="en-AU"/>
        </w:rPr>
        <w:t xml:space="preserve">progressive introduction of joint contributions from the </w:t>
      </w:r>
      <w:r w:rsidR="00DD6947">
        <w:rPr>
          <w:lang w:eastAsia="en-AU"/>
        </w:rPr>
        <w:t>Australian</w:t>
      </w:r>
      <w:r w:rsidR="00DD6947" w:rsidRPr="00220517">
        <w:rPr>
          <w:lang w:eastAsia="en-AU"/>
        </w:rPr>
        <w:t xml:space="preserve">, </w:t>
      </w:r>
      <w:r w:rsidR="5E1A20E6" w:rsidRPr="1E751BE8">
        <w:rPr>
          <w:lang w:eastAsia="en-AU"/>
        </w:rPr>
        <w:t>NSW</w:t>
      </w:r>
      <w:r w:rsidR="00DD6947" w:rsidRPr="00220517">
        <w:rPr>
          <w:lang w:eastAsia="en-AU"/>
        </w:rPr>
        <w:t>, Victoria</w:t>
      </w:r>
      <w:r w:rsidR="00D65BD0">
        <w:rPr>
          <w:lang w:eastAsia="en-AU"/>
        </w:rPr>
        <w:t>n</w:t>
      </w:r>
      <w:r w:rsidR="00DD6947" w:rsidRPr="00220517">
        <w:rPr>
          <w:lang w:eastAsia="en-AU"/>
        </w:rPr>
        <w:t xml:space="preserve"> and ACT</w:t>
      </w:r>
      <w:r w:rsidR="00D65BD0">
        <w:rPr>
          <w:lang w:eastAsia="en-AU"/>
        </w:rPr>
        <w:t xml:space="preserve"> governments</w:t>
      </w:r>
      <w:r w:rsidR="00DD6947" w:rsidRPr="00220517">
        <w:rPr>
          <w:lang w:eastAsia="en-AU"/>
        </w:rPr>
        <w:t xml:space="preserve"> consistent with the principles set out in this </w:t>
      </w:r>
      <w:r w:rsidR="00A83713">
        <w:rPr>
          <w:lang w:eastAsia="en-AU"/>
        </w:rPr>
        <w:t>c</w:t>
      </w:r>
      <w:r w:rsidR="00DD6947" w:rsidRPr="00220517">
        <w:rPr>
          <w:lang w:eastAsia="en-AU"/>
        </w:rPr>
        <w:t>hapter.</w:t>
      </w:r>
      <w:r w:rsidR="00DD6947">
        <w:rPr>
          <w:lang w:eastAsia="en-AU"/>
        </w:rPr>
        <w:t xml:space="preserve"> </w:t>
      </w:r>
    </w:p>
    <w:p w14:paraId="0EBAB9B6" w14:textId="3244BF39" w:rsidR="00DD6947" w:rsidRDefault="00382EE8" w:rsidP="00DD6947">
      <w:pPr>
        <w:rPr>
          <w:lang w:eastAsia="en-AU"/>
        </w:rPr>
      </w:pPr>
      <w:r>
        <w:rPr>
          <w:rFonts w:ascii="ZWAdobeF" w:hAnsi="ZWAdobeF" w:cs="ZWAdobeF"/>
          <w:sz w:val="2"/>
          <w:szCs w:val="2"/>
          <w:lang w:eastAsia="en-AU"/>
        </w:rPr>
        <w:lastRenderedPageBreak/>
        <w:t>1243B</w:t>
      </w:r>
      <w:r w:rsidR="00DD6947" w:rsidRPr="00DD1D6F">
        <w:rPr>
          <w:lang w:eastAsia="en-AU"/>
        </w:rPr>
        <w:t>Contributions from jurisdictions are not expected to be equal and should reflect differences in system benefits, impacts, existing investments and responsibilities across the catchment.</w:t>
      </w:r>
      <w:r w:rsidR="00DD6947">
        <w:rPr>
          <w:lang w:eastAsia="en-AU"/>
        </w:rPr>
        <w:t xml:space="preserve"> For example, Victoria’s responsibilities are for the Snowy River, not the Upper Murrumbidgee</w:t>
      </w:r>
      <w:r w:rsidR="006E2546">
        <w:rPr>
          <w:lang w:eastAsia="en-AU"/>
        </w:rPr>
        <w:t>,</w:t>
      </w:r>
      <w:r w:rsidR="00DD6947">
        <w:rPr>
          <w:lang w:eastAsia="en-AU"/>
        </w:rPr>
        <w:t xml:space="preserve"> and the East Gippsland CMA has done an effective job improv</w:t>
      </w:r>
      <w:r w:rsidR="00DB3EF5">
        <w:rPr>
          <w:lang w:eastAsia="en-AU"/>
        </w:rPr>
        <w:t>ing</w:t>
      </w:r>
      <w:r w:rsidR="00DD6947">
        <w:rPr>
          <w:lang w:eastAsia="en-AU"/>
        </w:rPr>
        <w:t xml:space="preserve"> river outcomes through their past investments.</w:t>
      </w:r>
    </w:p>
    <w:p w14:paraId="5A8D065B" w14:textId="0BD2D512" w:rsidR="00DD6947" w:rsidRPr="00220517" w:rsidRDefault="00382EE8" w:rsidP="00DD6947">
      <w:pPr>
        <w:rPr>
          <w:lang w:eastAsia="en-AU"/>
        </w:rPr>
      </w:pPr>
      <w:r>
        <w:rPr>
          <w:rFonts w:ascii="ZWAdobeF" w:hAnsi="ZWAdobeF" w:cs="ZWAdobeF"/>
          <w:sz w:val="2"/>
          <w:szCs w:val="2"/>
          <w:lang w:eastAsia="en-AU"/>
        </w:rPr>
        <w:t>1244B</w:t>
      </w:r>
      <w:r w:rsidR="00DD6947" w:rsidRPr="00220517">
        <w:rPr>
          <w:lang w:eastAsia="en-AU"/>
        </w:rPr>
        <w:t xml:space="preserve">This approach recognises that jurisdictions </w:t>
      </w:r>
      <w:r w:rsidR="00DD6947">
        <w:rPr>
          <w:lang w:eastAsia="en-AU"/>
        </w:rPr>
        <w:t>may require</w:t>
      </w:r>
      <w:r w:rsidR="00DD6947" w:rsidRPr="00220517">
        <w:rPr>
          <w:lang w:eastAsia="en-AU"/>
        </w:rPr>
        <w:t xml:space="preserve"> time to establish coordinated funding arrangements and budget processes, while ensuring a clear pathway to shared ownership and stewardship of the system.</w:t>
      </w:r>
    </w:p>
    <w:p w14:paraId="0CFC46A8" w14:textId="0F8D2659" w:rsidR="00D1605A" w:rsidRDefault="00724AD8" w:rsidP="00724AD8">
      <w:pPr>
        <w:pStyle w:val="Sub-Heading"/>
      </w:pPr>
      <w:r>
        <w:t>Front-loaded Snowy Hydro contribution with declining liability</w:t>
      </w:r>
    </w:p>
    <w:p w14:paraId="3B8CB4F5" w14:textId="2326352D" w:rsidR="002303C4" w:rsidRPr="004C0C38" w:rsidRDefault="00382EE8" w:rsidP="002303C4">
      <w:pPr>
        <w:rPr>
          <w:lang w:eastAsia="en-AU"/>
        </w:rPr>
      </w:pPr>
      <w:r>
        <w:rPr>
          <w:rFonts w:ascii="ZWAdobeF" w:hAnsi="ZWAdobeF" w:cs="ZWAdobeF"/>
          <w:sz w:val="2"/>
          <w:szCs w:val="2"/>
          <w:lang w:eastAsia="en-AU"/>
        </w:rPr>
        <w:t>1245B</w:t>
      </w:r>
      <w:r w:rsidR="002303C4" w:rsidRPr="004C0C38">
        <w:rPr>
          <w:lang w:eastAsia="en-AU"/>
        </w:rPr>
        <w:t>This approach reflects the need for higher initial investment to address legacy system impacts and constraints, followed by reduced contributions as system condition improves.</w:t>
      </w:r>
    </w:p>
    <w:p w14:paraId="45565ADE" w14:textId="378C79B7" w:rsidR="002303C4" w:rsidRPr="00220517" w:rsidRDefault="00382EE8" w:rsidP="002303C4">
      <w:pPr>
        <w:rPr>
          <w:lang w:eastAsia="en-AU"/>
        </w:rPr>
      </w:pPr>
      <w:r>
        <w:rPr>
          <w:rFonts w:ascii="ZWAdobeF" w:hAnsi="ZWAdobeF" w:cs="ZWAdobeF"/>
          <w:sz w:val="2"/>
          <w:szCs w:val="2"/>
          <w:lang w:eastAsia="en-AU"/>
        </w:rPr>
        <w:t>1246B</w:t>
      </w:r>
      <w:r w:rsidR="002303C4" w:rsidRPr="00220517">
        <w:rPr>
          <w:lang w:eastAsia="en-AU"/>
        </w:rPr>
        <w:t>The transition framework should also incorporate a front</w:t>
      </w:r>
      <w:r w:rsidR="002303C4" w:rsidRPr="00220517">
        <w:rPr>
          <w:lang w:eastAsia="en-AU"/>
        </w:rPr>
        <w:noBreakHyphen/>
        <w:t>loaded contribution from Snowy Hydro, reflecting:</w:t>
      </w:r>
    </w:p>
    <w:p w14:paraId="1CE8C028" w14:textId="4C74CA94" w:rsidR="002303C4" w:rsidRPr="00220517" w:rsidRDefault="00382EE8" w:rsidP="00115BD6">
      <w:pPr>
        <w:pStyle w:val="ListParagraph"/>
        <w:numPr>
          <w:ilvl w:val="0"/>
          <w:numId w:val="30"/>
        </w:numPr>
        <w:rPr>
          <w:lang w:eastAsia="en-AU"/>
        </w:rPr>
      </w:pPr>
      <w:r>
        <w:rPr>
          <w:rFonts w:ascii="ZWAdobeF" w:hAnsi="ZWAdobeF" w:cs="ZWAdobeF"/>
          <w:sz w:val="2"/>
          <w:szCs w:val="2"/>
          <w:lang w:eastAsia="en-AU"/>
        </w:rPr>
        <w:t>415B</w:t>
      </w:r>
      <w:r w:rsidR="002303C4" w:rsidRPr="00220517">
        <w:rPr>
          <w:lang w:eastAsia="en-AU"/>
        </w:rPr>
        <w:t>the current level of system impacts</w:t>
      </w:r>
    </w:p>
    <w:p w14:paraId="28207947" w14:textId="617E7C56" w:rsidR="002303C4" w:rsidRPr="00220517" w:rsidRDefault="00382EE8" w:rsidP="00115BD6">
      <w:pPr>
        <w:pStyle w:val="ListParagraph"/>
        <w:numPr>
          <w:ilvl w:val="0"/>
          <w:numId w:val="30"/>
        </w:numPr>
        <w:rPr>
          <w:lang w:eastAsia="en-AU"/>
        </w:rPr>
      </w:pPr>
      <w:r>
        <w:rPr>
          <w:rFonts w:ascii="ZWAdobeF" w:hAnsi="ZWAdobeF" w:cs="ZWAdobeF"/>
          <w:sz w:val="2"/>
          <w:szCs w:val="2"/>
          <w:lang w:eastAsia="en-AU"/>
        </w:rPr>
        <w:t>416B</w:t>
      </w:r>
      <w:r w:rsidR="002303C4" w:rsidRPr="00220517">
        <w:rPr>
          <w:lang w:eastAsia="en-AU"/>
        </w:rPr>
        <w:t>the need to fund early investment in system repair, offsets and complementary measures.</w:t>
      </w:r>
    </w:p>
    <w:p w14:paraId="2DA5A9D7" w14:textId="3AC98EF7" w:rsidR="002303C4" w:rsidRPr="00220517" w:rsidRDefault="00382EE8" w:rsidP="002303C4">
      <w:pPr>
        <w:rPr>
          <w:lang w:eastAsia="en-AU"/>
        </w:rPr>
      </w:pPr>
      <w:r>
        <w:rPr>
          <w:rFonts w:ascii="ZWAdobeF" w:hAnsi="ZWAdobeF" w:cs="ZWAdobeF"/>
          <w:sz w:val="2"/>
          <w:szCs w:val="2"/>
          <w:lang w:eastAsia="en-AU"/>
        </w:rPr>
        <w:t>1247B</w:t>
      </w:r>
      <w:r w:rsidR="002303C4" w:rsidRPr="00220517">
        <w:rPr>
          <w:lang w:eastAsia="en-AU"/>
        </w:rPr>
        <w:t>Under this approach:</w:t>
      </w:r>
    </w:p>
    <w:p w14:paraId="4771694F" w14:textId="641CAA99" w:rsidR="002303C4" w:rsidRPr="00220517" w:rsidRDefault="00382EE8" w:rsidP="00115BD6">
      <w:pPr>
        <w:pStyle w:val="ListParagraph"/>
        <w:numPr>
          <w:ilvl w:val="0"/>
          <w:numId w:val="31"/>
        </w:numPr>
        <w:rPr>
          <w:lang w:eastAsia="en-AU"/>
        </w:rPr>
      </w:pPr>
      <w:r>
        <w:rPr>
          <w:rFonts w:ascii="ZWAdobeF" w:hAnsi="ZWAdobeF" w:cs="ZWAdobeF"/>
          <w:sz w:val="2"/>
          <w:szCs w:val="2"/>
          <w:lang w:eastAsia="en-AU"/>
        </w:rPr>
        <w:t>417B</w:t>
      </w:r>
      <w:r w:rsidR="002303C4" w:rsidRPr="6332CC80">
        <w:rPr>
          <w:lang w:eastAsia="en-AU"/>
        </w:rPr>
        <w:t xml:space="preserve">initial contributions, including the </w:t>
      </w:r>
      <w:r w:rsidR="0032055E">
        <w:rPr>
          <w:lang w:eastAsia="en-AU"/>
        </w:rPr>
        <w:t>beneficiary</w:t>
      </w:r>
      <w:r w:rsidR="002303C4">
        <w:noBreakHyphen/>
      </w:r>
      <w:r w:rsidR="002303C4" w:rsidRPr="6332CC80">
        <w:rPr>
          <w:lang w:eastAsia="en-AU"/>
        </w:rPr>
        <w:t>pays component</w:t>
      </w:r>
      <w:r w:rsidR="0032055E">
        <w:rPr>
          <w:lang w:eastAsia="en-AU"/>
        </w:rPr>
        <w:t xml:space="preserve"> (variable system contribution)</w:t>
      </w:r>
      <w:r w:rsidR="002303C4" w:rsidRPr="6332CC80">
        <w:rPr>
          <w:lang w:eastAsia="en-AU"/>
        </w:rPr>
        <w:t>, would be set at a higher level during the early phase of the framework</w:t>
      </w:r>
    </w:p>
    <w:p w14:paraId="64E1D69F" w14:textId="73AD8D8F" w:rsidR="002303C4" w:rsidRPr="00220517" w:rsidRDefault="00382EE8" w:rsidP="00115BD6">
      <w:pPr>
        <w:pStyle w:val="ListParagraph"/>
        <w:numPr>
          <w:ilvl w:val="0"/>
          <w:numId w:val="31"/>
        </w:numPr>
        <w:rPr>
          <w:lang w:eastAsia="en-AU"/>
        </w:rPr>
      </w:pPr>
      <w:r>
        <w:rPr>
          <w:rFonts w:ascii="ZWAdobeF" w:hAnsi="ZWAdobeF" w:cs="ZWAdobeF"/>
          <w:sz w:val="2"/>
          <w:szCs w:val="2"/>
          <w:lang w:eastAsia="en-AU"/>
        </w:rPr>
        <w:t>418B</w:t>
      </w:r>
      <w:r w:rsidR="002303C4" w:rsidRPr="00220517">
        <w:rPr>
          <w:lang w:eastAsia="en-AU"/>
        </w:rPr>
        <w:t>these funds would support priority actions to address legacy impacts, downstream effects and system constraints</w:t>
      </w:r>
    </w:p>
    <w:p w14:paraId="46F38EE4" w14:textId="47F095BF" w:rsidR="002303C4" w:rsidRPr="004130F5" w:rsidRDefault="00382EE8" w:rsidP="00115BD6">
      <w:pPr>
        <w:pStyle w:val="ListParagraph"/>
        <w:numPr>
          <w:ilvl w:val="0"/>
          <w:numId w:val="31"/>
        </w:numPr>
        <w:rPr>
          <w:lang w:eastAsia="en-AU"/>
        </w:rPr>
      </w:pPr>
      <w:r>
        <w:rPr>
          <w:rFonts w:ascii="ZWAdobeF" w:hAnsi="ZWAdobeF" w:cs="ZWAdobeF"/>
          <w:sz w:val="2"/>
          <w:szCs w:val="2"/>
          <w:lang w:eastAsia="en-AU"/>
        </w:rPr>
        <w:t>419B</w:t>
      </w:r>
      <w:r w:rsidR="002303C4" w:rsidRPr="00220517">
        <w:rPr>
          <w:lang w:eastAsia="en-AU"/>
        </w:rPr>
        <w:t xml:space="preserve">contributions </w:t>
      </w:r>
      <w:r w:rsidR="002303C4" w:rsidRPr="004130F5">
        <w:rPr>
          <w:lang w:eastAsia="en-AU"/>
        </w:rPr>
        <w:t>would be expected to reduce</w:t>
      </w:r>
      <w:r w:rsidR="002303C4">
        <w:rPr>
          <w:lang w:eastAsia="en-AU"/>
        </w:rPr>
        <w:t xml:space="preserve"> </w:t>
      </w:r>
      <w:r w:rsidR="002303C4" w:rsidRPr="004130F5">
        <w:rPr>
          <w:lang w:eastAsia="en-AU"/>
        </w:rPr>
        <w:t xml:space="preserve">where Snowy Hydro demonstrates improved performance against agreed system </w:t>
      </w:r>
      <w:r w:rsidR="008D0EDD">
        <w:rPr>
          <w:lang w:eastAsia="en-AU"/>
        </w:rPr>
        <w:t>outcomes</w:t>
      </w:r>
      <w:r w:rsidR="002303C4" w:rsidRPr="004130F5">
        <w:rPr>
          <w:lang w:eastAsia="en-AU"/>
        </w:rPr>
        <w:t>.</w:t>
      </w:r>
    </w:p>
    <w:p w14:paraId="6ED78D4A" w14:textId="303DA506" w:rsidR="002303C4" w:rsidRPr="00220517" w:rsidRDefault="00382EE8" w:rsidP="002303C4">
      <w:pPr>
        <w:rPr>
          <w:lang w:eastAsia="en-AU"/>
        </w:rPr>
      </w:pPr>
      <w:r>
        <w:rPr>
          <w:rFonts w:ascii="ZWAdobeF" w:hAnsi="ZWAdobeF" w:cs="ZWAdobeF"/>
          <w:sz w:val="2"/>
          <w:szCs w:val="2"/>
          <w:lang w:eastAsia="en-AU"/>
        </w:rPr>
        <w:t>1248B</w:t>
      </w:r>
      <w:r w:rsidR="002303C4" w:rsidRPr="00220517">
        <w:rPr>
          <w:lang w:eastAsia="en-AU"/>
        </w:rPr>
        <w:t>Reductions in financial liability should be:</w:t>
      </w:r>
    </w:p>
    <w:p w14:paraId="5E54351C" w14:textId="31A208F0" w:rsidR="002303C4" w:rsidRPr="00220517" w:rsidRDefault="00382EE8" w:rsidP="00115BD6">
      <w:pPr>
        <w:pStyle w:val="ListParagraph"/>
        <w:numPr>
          <w:ilvl w:val="0"/>
          <w:numId w:val="32"/>
        </w:numPr>
        <w:rPr>
          <w:lang w:eastAsia="en-AU"/>
        </w:rPr>
      </w:pPr>
      <w:r>
        <w:rPr>
          <w:rFonts w:ascii="ZWAdobeF" w:hAnsi="ZWAdobeF" w:cs="ZWAdobeF"/>
          <w:sz w:val="2"/>
          <w:szCs w:val="2"/>
          <w:lang w:eastAsia="en-AU"/>
        </w:rPr>
        <w:t>420B</w:t>
      </w:r>
      <w:r w:rsidR="002303C4" w:rsidRPr="00220517">
        <w:rPr>
          <w:lang w:eastAsia="en-AU"/>
        </w:rPr>
        <w:t>linked to measurable improvements in environmental and system outcomes</w:t>
      </w:r>
    </w:p>
    <w:p w14:paraId="5F865C4B" w14:textId="3284F46F" w:rsidR="002303C4" w:rsidRPr="00220517" w:rsidRDefault="00382EE8" w:rsidP="00115BD6">
      <w:pPr>
        <w:pStyle w:val="ListParagraph"/>
        <w:numPr>
          <w:ilvl w:val="0"/>
          <w:numId w:val="32"/>
        </w:numPr>
        <w:rPr>
          <w:lang w:eastAsia="en-AU"/>
        </w:rPr>
      </w:pPr>
      <w:r>
        <w:rPr>
          <w:rFonts w:ascii="ZWAdobeF" w:hAnsi="ZWAdobeF" w:cs="ZWAdobeF"/>
          <w:sz w:val="2"/>
          <w:szCs w:val="2"/>
          <w:lang w:eastAsia="en-AU"/>
        </w:rPr>
        <w:t>421B</w:t>
      </w:r>
      <w:r w:rsidR="002303C4" w:rsidRPr="00220517">
        <w:rPr>
          <w:lang w:eastAsia="en-AU"/>
        </w:rPr>
        <w:t>informed by independent monitoring, evaluation and reporting</w:t>
      </w:r>
    </w:p>
    <w:p w14:paraId="408FA361" w14:textId="30907FD6" w:rsidR="002303C4" w:rsidRPr="00220517" w:rsidRDefault="00382EE8" w:rsidP="00115BD6">
      <w:pPr>
        <w:pStyle w:val="ListParagraph"/>
        <w:numPr>
          <w:ilvl w:val="0"/>
          <w:numId w:val="32"/>
        </w:numPr>
        <w:rPr>
          <w:lang w:eastAsia="en-AU"/>
        </w:rPr>
      </w:pPr>
      <w:r>
        <w:rPr>
          <w:rFonts w:ascii="ZWAdobeF" w:hAnsi="ZWAdobeF" w:cs="ZWAdobeF"/>
          <w:sz w:val="2"/>
          <w:szCs w:val="2"/>
          <w:lang w:eastAsia="en-AU"/>
        </w:rPr>
        <w:t>422B</w:t>
      </w:r>
      <w:r w:rsidR="002303C4" w:rsidRPr="00220517">
        <w:rPr>
          <w:lang w:eastAsia="en-AU"/>
        </w:rPr>
        <w:t xml:space="preserve">supported by </w:t>
      </w:r>
      <w:r w:rsidR="00092F40">
        <w:rPr>
          <w:lang w:eastAsia="en-AU"/>
        </w:rPr>
        <w:t xml:space="preserve">the </w:t>
      </w:r>
      <w:r w:rsidR="002303C4" w:rsidRPr="00220517">
        <w:rPr>
          <w:lang w:eastAsia="en-AU"/>
        </w:rPr>
        <w:t xml:space="preserve">periodic audits and reviews </w:t>
      </w:r>
      <w:r w:rsidR="00F521F0">
        <w:rPr>
          <w:lang w:eastAsia="en-AU"/>
        </w:rPr>
        <w:t xml:space="preserve">recommended </w:t>
      </w:r>
      <w:r w:rsidR="002303C4" w:rsidRPr="00220517">
        <w:rPr>
          <w:lang w:eastAsia="en-AU"/>
        </w:rPr>
        <w:t>under the governance framework.</w:t>
      </w:r>
    </w:p>
    <w:p w14:paraId="5E3FFE06" w14:textId="58182000" w:rsidR="002303C4" w:rsidRDefault="00382EE8" w:rsidP="002303C4">
      <w:pPr>
        <w:rPr>
          <w:lang w:eastAsia="en-AU"/>
        </w:rPr>
      </w:pPr>
      <w:r>
        <w:rPr>
          <w:rFonts w:ascii="ZWAdobeF" w:hAnsi="ZWAdobeF" w:cs="ZWAdobeF"/>
          <w:sz w:val="2"/>
          <w:szCs w:val="2"/>
          <w:lang w:eastAsia="en-AU"/>
        </w:rPr>
        <w:t>1249B</w:t>
      </w:r>
      <w:r w:rsidR="002303C4" w:rsidRPr="00220517">
        <w:rPr>
          <w:lang w:eastAsia="en-AU"/>
        </w:rPr>
        <w:t>This creates a clear incentive structure, encouraging Snowy Hydro to align operations with system objectives while ensuring that early investment is sufficient to support meaningful system improvement.</w:t>
      </w:r>
    </w:p>
    <w:p w14:paraId="194637D1" w14:textId="1F32B7EE" w:rsidR="002303C4" w:rsidRDefault="002303C4" w:rsidP="002303C4">
      <w:pPr>
        <w:pStyle w:val="Sub-Heading"/>
      </w:pPr>
      <w:r>
        <w:t>Leveraging existing Snowy Hydro community investment programs</w:t>
      </w:r>
    </w:p>
    <w:p w14:paraId="40C881A9" w14:textId="125B6AAD" w:rsidR="006E0E71" w:rsidRPr="00703454" w:rsidRDefault="00382EE8" w:rsidP="006E0E71">
      <w:pPr>
        <w:rPr>
          <w:lang w:eastAsia="en-AU"/>
        </w:rPr>
      </w:pPr>
      <w:r>
        <w:rPr>
          <w:rFonts w:ascii="ZWAdobeF" w:hAnsi="ZWAdobeF" w:cs="ZWAdobeF"/>
          <w:sz w:val="2"/>
          <w:szCs w:val="2"/>
          <w:lang w:eastAsia="en-AU"/>
        </w:rPr>
        <w:t>1250B</w:t>
      </w:r>
      <w:r w:rsidR="006E0E71" w:rsidRPr="00703454">
        <w:rPr>
          <w:lang w:eastAsia="en-AU"/>
        </w:rPr>
        <w:t>The Panel also recognises that Snowy Hydro currently delivers a range of community grants, sponsorship and regional support programs in areas associated with its operations.</w:t>
      </w:r>
    </w:p>
    <w:p w14:paraId="4352B3BD" w14:textId="1234E5AA" w:rsidR="006E0E71" w:rsidRPr="00190715" w:rsidRDefault="00382EE8" w:rsidP="006E0E71">
      <w:pPr>
        <w:rPr>
          <w:lang w:eastAsia="en-AU"/>
        </w:rPr>
      </w:pPr>
      <w:r>
        <w:rPr>
          <w:rFonts w:ascii="ZWAdobeF" w:hAnsi="ZWAdobeF" w:cs="ZWAdobeF"/>
          <w:sz w:val="2"/>
          <w:szCs w:val="2"/>
          <w:lang w:eastAsia="en-AU"/>
        </w:rPr>
        <w:t>1251B</w:t>
      </w:r>
      <w:r w:rsidR="006E0E71" w:rsidRPr="00703454">
        <w:rPr>
          <w:lang w:eastAsia="en-AU"/>
        </w:rPr>
        <w:t>As part of the transition to the new funding framework,</w:t>
      </w:r>
      <w:r w:rsidR="00C70BD3">
        <w:rPr>
          <w:lang w:eastAsia="en-AU"/>
        </w:rPr>
        <w:t xml:space="preserve"> there is an opportunity </w:t>
      </w:r>
      <w:r w:rsidR="00DD437C">
        <w:rPr>
          <w:lang w:eastAsia="en-AU"/>
        </w:rPr>
        <w:t xml:space="preserve">for governments to better </w:t>
      </w:r>
      <w:r w:rsidR="00CB23FB">
        <w:rPr>
          <w:lang w:eastAsia="en-AU"/>
        </w:rPr>
        <w:t>coordinate exist</w:t>
      </w:r>
      <w:r w:rsidR="002B5C38">
        <w:rPr>
          <w:lang w:eastAsia="en-AU"/>
        </w:rPr>
        <w:t>ing investment programs and align them with system priorities</w:t>
      </w:r>
      <w:r w:rsidR="009F77F9">
        <w:rPr>
          <w:lang w:eastAsia="en-AU"/>
        </w:rPr>
        <w:t xml:space="preserve">, including in the </w:t>
      </w:r>
      <w:r w:rsidR="00EC2805" w:rsidRPr="00703454">
        <w:rPr>
          <w:lang w:eastAsia="en-AU"/>
        </w:rPr>
        <w:t>Upper</w:t>
      </w:r>
      <w:r w:rsidR="006E0E71" w:rsidRPr="00703454">
        <w:rPr>
          <w:lang w:eastAsia="en-AU"/>
        </w:rPr>
        <w:t xml:space="preserve"> Murrumbidgee</w:t>
      </w:r>
      <w:r w:rsidR="009F77F9">
        <w:rPr>
          <w:lang w:eastAsia="en-AU"/>
        </w:rPr>
        <w:t xml:space="preserve">. This would help ensure that local communities </w:t>
      </w:r>
      <w:r w:rsidR="0096495B">
        <w:rPr>
          <w:lang w:eastAsia="en-AU"/>
        </w:rPr>
        <w:t xml:space="preserve">within the system benefit more consistently </w:t>
      </w:r>
      <w:r w:rsidR="00A232A1">
        <w:rPr>
          <w:lang w:eastAsia="en-AU"/>
        </w:rPr>
        <w:t xml:space="preserve">from </w:t>
      </w:r>
      <w:r w:rsidR="00EC2805" w:rsidRPr="00703454">
        <w:rPr>
          <w:lang w:eastAsia="en-AU"/>
        </w:rPr>
        <w:t>existing</w:t>
      </w:r>
      <w:r w:rsidR="006E0E71" w:rsidRPr="00703454">
        <w:rPr>
          <w:lang w:eastAsia="en-AU"/>
        </w:rPr>
        <w:t xml:space="preserve"> investment mechanisms.</w:t>
      </w:r>
    </w:p>
    <w:p w14:paraId="0F50490B" w14:textId="5B276AB1" w:rsidR="006E0E71" w:rsidRPr="00703454" w:rsidRDefault="00382EE8" w:rsidP="006E0E71">
      <w:pPr>
        <w:rPr>
          <w:lang w:eastAsia="en-AU"/>
        </w:rPr>
      </w:pPr>
      <w:r>
        <w:rPr>
          <w:rFonts w:ascii="ZWAdobeF" w:hAnsi="ZWAdobeF" w:cs="ZWAdobeF"/>
          <w:sz w:val="2"/>
          <w:szCs w:val="2"/>
          <w:lang w:eastAsia="en-AU"/>
        </w:rPr>
        <w:lastRenderedPageBreak/>
        <w:t>1252B</w:t>
      </w:r>
      <w:r w:rsidR="00A232A1">
        <w:rPr>
          <w:lang w:eastAsia="en-AU"/>
        </w:rPr>
        <w:t>Improved coordination and alignment</w:t>
      </w:r>
      <w:r w:rsidR="00E34AD3">
        <w:rPr>
          <w:lang w:eastAsia="en-AU"/>
        </w:rPr>
        <w:t xml:space="preserve"> would</w:t>
      </w:r>
      <w:r w:rsidR="006E0E71" w:rsidRPr="00703454">
        <w:rPr>
          <w:lang w:eastAsia="en-AU"/>
        </w:rPr>
        <w:t>:</w:t>
      </w:r>
    </w:p>
    <w:p w14:paraId="160EDCE7" w14:textId="4D589A61" w:rsidR="006E0E71" w:rsidRPr="00703454" w:rsidRDefault="00382EE8" w:rsidP="00115BD6">
      <w:pPr>
        <w:pStyle w:val="ListParagraph"/>
        <w:numPr>
          <w:ilvl w:val="0"/>
          <w:numId w:val="33"/>
        </w:numPr>
        <w:rPr>
          <w:lang w:eastAsia="en-AU"/>
        </w:rPr>
      </w:pPr>
      <w:r>
        <w:rPr>
          <w:rFonts w:ascii="ZWAdobeF" w:hAnsi="ZWAdobeF" w:cs="ZWAdobeF"/>
          <w:sz w:val="2"/>
          <w:szCs w:val="2"/>
          <w:lang w:eastAsia="en-AU"/>
        </w:rPr>
        <w:t>423B</w:t>
      </w:r>
      <w:r w:rsidR="006E0E71" w:rsidRPr="00703454">
        <w:rPr>
          <w:lang w:eastAsia="en-AU"/>
        </w:rPr>
        <w:t>provide early, visible community benefits during the transition period</w:t>
      </w:r>
    </w:p>
    <w:p w14:paraId="533D3C58" w14:textId="02FA09DA" w:rsidR="006E0E71" w:rsidRPr="00703454" w:rsidRDefault="00382EE8" w:rsidP="00115BD6">
      <w:pPr>
        <w:pStyle w:val="ListParagraph"/>
        <w:numPr>
          <w:ilvl w:val="0"/>
          <w:numId w:val="33"/>
        </w:numPr>
        <w:rPr>
          <w:lang w:eastAsia="en-AU"/>
        </w:rPr>
      </w:pPr>
      <w:r>
        <w:rPr>
          <w:rFonts w:ascii="ZWAdobeF" w:hAnsi="ZWAdobeF" w:cs="ZWAdobeF"/>
          <w:sz w:val="2"/>
          <w:szCs w:val="2"/>
          <w:lang w:eastAsia="en-AU"/>
        </w:rPr>
        <w:t>424B</w:t>
      </w:r>
      <w:r w:rsidR="006E0E71" w:rsidRPr="00703454">
        <w:rPr>
          <w:lang w:eastAsia="en-AU"/>
        </w:rPr>
        <w:t>support local stewardship, participation and capacity building</w:t>
      </w:r>
    </w:p>
    <w:p w14:paraId="6F40DF2C" w14:textId="00BD8DEA" w:rsidR="006E0E71" w:rsidRDefault="00382EE8" w:rsidP="00115BD6">
      <w:pPr>
        <w:pStyle w:val="ListParagraph"/>
        <w:numPr>
          <w:ilvl w:val="0"/>
          <w:numId w:val="33"/>
        </w:numPr>
        <w:rPr>
          <w:lang w:eastAsia="en-AU"/>
        </w:rPr>
      </w:pPr>
      <w:r>
        <w:rPr>
          <w:rFonts w:ascii="ZWAdobeF" w:hAnsi="ZWAdobeF" w:cs="ZWAdobeF"/>
          <w:sz w:val="2"/>
          <w:szCs w:val="2"/>
          <w:lang w:eastAsia="en-AU"/>
        </w:rPr>
        <w:t>425B</w:t>
      </w:r>
      <w:r w:rsidR="006E0E71" w:rsidRPr="00703454">
        <w:rPr>
          <w:lang w:eastAsia="en-AU"/>
        </w:rPr>
        <w:t>complement broader funding arrangements by delivering targeted, place</w:t>
      </w:r>
      <w:r w:rsidR="006E0E71" w:rsidRPr="00703454">
        <w:rPr>
          <w:lang w:eastAsia="en-AU"/>
        </w:rPr>
        <w:noBreakHyphen/>
        <w:t>based investment aligned with system priorities.</w:t>
      </w:r>
    </w:p>
    <w:p w14:paraId="5DC203A5" w14:textId="1A45BF03" w:rsidR="00113CAB" w:rsidRPr="00190715" w:rsidRDefault="00382EE8" w:rsidP="00CC7A58">
      <w:pPr>
        <w:rPr>
          <w:lang w:eastAsia="en-AU"/>
        </w:rPr>
      </w:pPr>
      <w:r>
        <w:rPr>
          <w:rFonts w:ascii="ZWAdobeF" w:hAnsi="ZWAdobeF" w:cs="ZWAdobeF"/>
          <w:sz w:val="2"/>
          <w:szCs w:val="2"/>
          <w:lang w:eastAsia="en-AU"/>
        </w:rPr>
        <w:t>1253B</w:t>
      </w:r>
      <w:r w:rsidR="00113CAB">
        <w:rPr>
          <w:lang w:eastAsia="en-AU"/>
        </w:rPr>
        <w:t>Snowy Hydro’s programs could, over time, be considered as part of this broader approach</w:t>
      </w:r>
      <w:r w:rsidR="00CE4405">
        <w:rPr>
          <w:lang w:eastAsia="en-AU"/>
        </w:rPr>
        <w:t>, including closer alignment with local community priorities and system-level outcomes.</w:t>
      </w:r>
    </w:p>
    <w:p w14:paraId="7668F3CE" w14:textId="2B709D0D" w:rsidR="006E0E71" w:rsidRPr="00703454" w:rsidRDefault="00382EE8" w:rsidP="006E0E71">
      <w:pPr>
        <w:rPr>
          <w:lang w:eastAsia="en-AU"/>
        </w:rPr>
      </w:pPr>
      <w:r>
        <w:rPr>
          <w:rFonts w:ascii="ZWAdobeF" w:hAnsi="ZWAdobeF" w:cs="ZWAdobeF"/>
          <w:sz w:val="2"/>
          <w:szCs w:val="2"/>
          <w:lang w:eastAsia="en-AU"/>
        </w:rPr>
        <w:t>1254B</w:t>
      </w:r>
      <w:r w:rsidR="001D02AD">
        <w:rPr>
          <w:lang w:eastAsia="en-AU"/>
        </w:rPr>
        <w:t>T</w:t>
      </w:r>
      <w:r w:rsidR="006E0E71" w:rsidRPr="00703454">
        <w:rPr>
          <w:lang w:eastAsia="en-AU"/>
        </w:rPr>
        <w:t>here should be clear alignment between these programs and the broader funding framework, including the prioritisation processes, governance arrangements and system</w:t>
      </w:r>
      <w:r w:rsidR="006E0E71" w:rsidRPr="00703454">
        <w:rPr>
          <w:lang w:eastAsia="en-AU"/>
        </w:rPr>
        <w:noBreakHyphen/>
        <w:t>level outcomes</w:t>
      </w:r>
      <w:r w:rsidR="006E0E71" w:rsidRPr="00190715">
        <w:rPr>
          <w:lang w:eastAsia="en-AU"/>
        </w:rPr>
        <w:t>.</w:t>
      </w:r>
    </w:p>
    <w:p w14:paraId="2589ADE8" w14:textId="4E81D2FD" w:rsidR="00DA6248" w:rsidRDefault="00DA6248" w:rsidP="00DA6248">
      <w:pPr>
        <w:pStyle w:val="Sub-Heading"/>
      </w:pPr>
      <w:r>
        <w:t>Sequencing and coordination</w:t>
      </w:r>
    </w:p>
    <w:p w14:paraId="39598C98" w14:textId="0400BD73" w:rsidR="008270D0" w:rsidRPr="00220517" w:rsidRDefault="00382EE8" w:rsidP="008270D0">
      <w:pPr>
        <w:rPr>
          <w:lang w:eastAsia="en-AU"/>
        </w:rPr>
      </w:pPr>
      <w:r>
        <w:rPr>
          <w:rFonts w:ascii="ZWAdobeF" w:hAnsi="ZWAdobeF" w:cs="ZWAdobeF"/>
          <w:sz w:val="2"/>
          <w:szCs w:val="2"/>
          <w:lang w:eastAsia="en-AU"/>
        </w:rPr>
        <w:t>1255B</w:t>
      </w:r>
      <w:r w:rsidR="008270D0" w:rsidRPr="00220517">
        <w:rPr>
          <w:lang w:eastAsia="en-AU"/>
        </w:rPr>
        <w:t>The transition should be carefully sequenced to ensure that:</w:t>
      </w:r>
    </w:p>
    <w:p w14:paraId="5971B008" w14:textId="0C7873D7" w:rsidR="008270D0" w:rsidRPr="00220517" w:rsidRDefault="00382EE8" w:rsidP="00115BD6">
      <w:pPr>
        <w:pStyle w:val="ListParagraph"/>
        <w:numPr>
          <w:ilvl w:val="0"/>
          <w:numId w:val="34"/>
        </w:numPr>
        <w:rPr>
          <w:lang w:eastAsia="en-AU"/>
        </w:rPr>
      </w:pPr>
      <w:r>
        <w:rPr>
          <w:rFonts w:ascii="ZWAdobeF" w:hAnsi="ZWAdobeF" w:cs="ZWAdobeF"/>
          <w:sz w:val="2"/>
          <w:szCs w:val="2"/>
          <w:lang w:eastAsia="en-AU"/>
        </w:rPr>
        <w:t>426B</w:t>
      </w:r>
      <w:r w:rsidR="008270D0" w:rsidRPr="00220517">
        <w:rPr>
          <w:lang w:eastAsia="en-AU"/>
        </w:rPr>
        <w:t>the enduring fund mechanism is operational prior to full implementation of new funding flows</w:t>
      </w:r>
    </w:p>
    <w:p w14:paraId="797B141F" w14:textId="59A79127" w:rsidR="008270D0" w:rsidRDefault="00382EE8" w:rsidP="00115BD6">
      <w:pPr>
        <w:pStyle w:val="ListParagraph"/>
        <w:numPr>
          <w:ilvl w:val="0"/>
          <w:numId w:val="34"/>
        </w:numPr>
        <w:rPr>
          <w:lang w:eastAsia="en-AU"/>
        </w:rPr>
      </w:pPr>
      <w:r>
        <w:rPr>
          <w:rFonts w:ascii="ZWAdobeF" w:hAnsi="ZWAdobeF" w:cs="ZWAdobeF"/>
          <w:sz w:val="2"/>
          <w:szCs w:val="2"/>
          <w:lang w:eastAsia="en-AU"/>
        </w:rPr>
        <w:t>427B</w:t>
      </w:r>
      <w:r w:rsidR="008270D0" w:rsidRPr="00220517">
        <w:rPr>
          <w:lang w:eastAsia="en-AU"/>
        </w:rPr>
        <w:t>funding, planning and monitoring functions are aligned at a system level</w:t>
      </w:r>
    </w:p>
    <w:p w14:paraId="01BFD4B7" w14:textId="3008B8D5" w:rsidR="008270D0" w:rsidRPr="00190715" w:rsidRDefault="00382EE8" w:rsidP="00115BD6">
      <w:pPr>
        <w:pStyle w:val="ListParagraph"/>
        <w:numPr>
          <w:ilvl w:val="0"/>
          <w:numId w:val="34"/>
        </w:numPr>
        <w:rPr>
          <w:lang w:eastAsia="en-AU"/>
        </w:rPr>
      </w:pPr>
      <w:r>
        <w:rPr>
          <w:rFonts w:ascii="ZWAdobeF" w:hAnsi="ZWAdobeF" w:cs="ZWAdobeF"/>
          <w:sz w:val="2"/>
          <w:szCs w:val="2"/>
          <w:lang w:eastAsia="en-AU"/>
        </w:rPr>
        <w:t>428B</w:t>
      </w:r>
      <w:r w:rsidR="008270D0" w:rsidRPr="000C277D">
        <w:rPr>
          <w:lang w:eastAsia="en-AU"/>
        </w:rPr>
        <w:t>that funding decisions are made within established governance and accountability frameworks rather than transitional arrangements.</w:t>
      </w:r>
    </w:p>
    <w:p w14:paraId="157DE257" w14:textId="3746BE8B" w:rsidR="008270D0" w:rsidRDefault="00382EE8" w:rsidP="008270D0">
      <w:pPr>
        <w:rPr>
          <w:lang w:eastAsia="en-AU"/>
        </w:rPr>
      </w:pPr>
      <w:r>
        <w:rPr>
          <w:rFonts w:ascii="ZWAdobeF" w:hAnsi="ZWAdobeF" w:cs="ZWAdobeF"/>
          <w:sz w:val="2"/>
          <w:szCs w:val="2"/>
          <w:lang w:eastAsia="en-AU"/>
        </w:rPr>
        <w:t>1256B</w:t>
      </w:r>
      <w:r w:rsidR="008270D0" w:rsidRPr="00220517">
        <w:rPr>
          <w:lang w:eastAsia="en-AU"/>
        </w:rPr>
        <w:t>This sequencing will enable funding decisions to be made within a coherent governance and accountability framework, rather than through fragmented or transitional arrangements.</w:t>
      </w:r>
    </w:p>
    <w:p w14:paraId="16444128" w14:textId="588F0FB5" w:rsidR="008270D0" w:rsidRDefault="008270D0" w:rsidP="008270D0">
      <w:pPr>
        <w:pStyle w:val="Sub-Heading"/>
      </w:pPr>
      <w:r>
        <w:t>Outcome of transition</w:t>
      </w:r>
    </w:p>
    <w:p w14:paraId="7B9F899D" w14:textId="6F916118" w:rsidR="00A55F00" w:rsidRPr="00220517" w:rsidRDefault="00382EE8" w:rsidP="00A55F00">
      <w:pPr>
        <w:rPr>
          <w:lang w:eastAsia="en-AU"/>
        </w:rPr>
      </w:pPr>
      <w:r>
        <w:rPr>
          <w:rFonts w:ascii="ZWAdobeF" w:hAnsi="ZWAdobeF" w:cs="ZWAdobeF"/>
          <w:sz w:val="2"/>
          <w:szCs w:val="2"/>
          <w:lang w:eastAsia="en-AU"/>
        </w:rPr>
        <w:t>1257B</w:t>
      </w:r>
      <w:r w:rsidR="00A55F00" w:rsidRPr="3DFB78C4">
        <w:rPr>
          <w:lang w:eastAsia="en-AU"/>
        </w:rPr>
        <w:t>These</w:t>
      </w:r>
      <w:r w:rsidR="00A55F00" w:rsidRPr="00220517">
        <w:rPr>
          <w:lang w:eastAsia="en-AU"/>
        </w:rPr>
        <w:t xml:space="preserve"> transitional arrangements provide a pathway from the current system</w:t>
      </w:r>
      <w:r w:rsidR="00A55F00">
        <w:rPr>
          <w:lang w:eastAsia="en-AU"/>
        </w:rPr>
        <w:t xml:space="preserve">, </w:t>
      </w:r>
      <w:r w:rsidR="00A55F00" w:rsidRPr="00220517">
        <w:rPr>
          <w:lang w:eastAsia="en-AU"/>
        </w:rPr>
        <w:t>characterised by fragmented, short</w:t>
      </w:r>
      <w:r w:rsidR="00A55F00">
        <w:noBreakHyphen/>
      </w:r>
      <w:r w:rsidR="00A55F00" w:rsidRPr="00220517">
        <w:rPr>
          <w:lang w:eastAsia="en-AU"/>
        </w:rPr>
        <w:t>term and compensation</w:t>
      </w:r>
      <w:r w:rsidR="00A55F00">
        <w:noBreakHyphen/>
      </w:r>
      <w:r w:rsidR="00A55F00" w:rsidRPr="00220517">
        <w:rPr>
          <w:lang w:eastAsia="en-AU"/>
        </w:rPr>
        <w:t>based funding</w:t>
      </w:r>
      <w:r w:rsidR="00A55F00">
        <w:rPr>
          <w:lang w:eastAsia="en-AU"/>
        </w:rPr>
        <w:t xml:space="preserve">, </w:t>
      </w:r>
      <w:r w:rsidR="00A55F00" w:rsidRPr="00220517">
        <w:rPr>
          <w:lang w:eastAsia="en-AU"/>
        </w:rPr>
        <w:t>to a model defined by:</w:t>
      </w:r>
    </w:p>
    <w:p w14:paraId="326F4412" w14:textId="30595EAA" w:rsidR="00A55F00" w:rsidRPr="00220517" w:rsidRDefault="00382EE8" w:rsidP="00115BD6">
      <w:pPr>
        <w:pStyle w:val="ListParagraph"/>
        <w:numPr>
          <w:ilvl w:val="0"/>
          <w:numId w:val="35"/>
        </w:numPr>
        <w:rPr>
          <w:lang w:eastAsia="en-AU"/>
        </w:rPr>
      </w:pPr>
      <w:r>
        <w:rPr>
          <w:rFonts w:ascii="ZWAdobeF" w:hAnsi="ZWAdobeF" w:cs="ZWAdobeF"/>
          <w:sz w:val="2"/>
          <w:szCs w:val="2"/>
          <w:lang w:eastAsia="en-AU"/>
        </w:rPr>
        <w:t>429B</w:t>
      </w:r>
      <w:r w:rsidR="00A55F00" w:rsidRPr="00220517">
        <w:rPr>
          <w:lang w:eastAsia="en-AU"/>
        </w:rPr>
        <w:t>coordinated, long</w:t>
      </w:r>
      <w:r w:rsidR="00A55F00" w:rsidRPr="00220517">
        <w:rPr>
          <w:lang w:eastAsia="en-AU"/>
        </w:rPr>
        <w:noBreakHyphen/>
        <w:t>term and cross</w:t>
      </w:r>
      <w:r w:rsidR="00A55F00" w:rsidRPr="00220517">
        <w:rPr>
          <w:lang w:eastAsia="en-AU"/>
        </w:rPr>
        <w:noBreakHyphen/>
        <w:t>jurisdictional investment</w:t>
      </w:r>
    </w:p>
    <w:p w14:paraId="71934013" w14:textId="25A1196E" w:rsidR="00A55F00" w:rsidRDefault="00382EE8" w:rsidP="00115BD6">
      <w:pPr>
        <w:pStyle w:val="ListParagraph"/>
        <w:numPr>
          <w:ilvl w:val="0"/>
          <w:numId w:val="35"/>
        </w:numPr>
        <w:rPr>
          <w:lang w:eastAsia="en-AU"/>
        </w:rPr>
      </w:pPr>
      <w:r>
        <w:rPr>
          <w:rFonts w:ascii="ZWAdobeF" w:hAnsi="ZWAdobeF" w:cs="ZWAdobeF"/>
          <w:sz w:val="2"/>
          <w:szCs w:val="2"/>
          <w:lang w:eastAsia="en-AU"/>
        </w:rPr>
        <w:t>430B</w:t>
      </w:r>
      <w:r w:rsidR="00A55F00" w:rsidRPr="00220517">
        <w:rPr>
          <w:lang w:eastAsia="en-AU"/>
        </w:rPr>
        <w:t>transparent and principles</w:t>
      </w:r>
      <w:r w:rsidR="00A55F00" w:rsidRPr="00220517">
        <w:rPr>
          <w:lang w:eastAsia="en-AU"/>
        </w:rPr>
        <w:noBreakHyphen/>
        <w:t>based contributions, including from Snowy Hydro</w:t>
      </w:r>
    </w:p>
    <w:p w14:paraId="390E1B6E" w14:textId="2BCE550A" w:rsidR="00A55F00" w:rsidRPr="00220517" w:rsidRDefault="00382EE8" w:rsidP="00115BD6">
      <w:pPr>
        <w:pStyle w:val="ListParagraph"/>
        <w:numPr>
          <w:ilvl w:val="0"/>
          <w:numId w:val="35"/>
        </w:numPr>
        <w:rPr>
          <w:lang w:eastAsia="en-AU"/>
        </w:rPr>
      </w:pPr>
      <w:r>
        <w:rPr>
          <w:rFonts w:ascii="ZWAdobeF" w:hAnsi="ZWAdobeF" w:cs="ZWAdobeF"/>
          <w:sz w:val="2"/>
          <w:szCs w:val="2"/>
          <w:lang w:eastAsia="en-AU"/>
        </w:rPr>
        <w:t>431B</w:t>
      </w:r>
      <w:r w:rsidR="00A55F00" w:rsidRPr="005015EF">
        <w:rPr>
          <w:lang w:eastAsia="en-AU"/>
        </w:rPr>
        <w:t>contributions structured on a proportional basis reflecting system roles, impacts and benefits</w:t>
      </w:r>
    </w:p>
    <w:p w14:paraId="6D3F0E9E" w14:textId="46F478E2" w:rsidR="00A55F00" w:rsidRPr="005015EF" w:rsidRDefault="00382EE8" w:rsidP="00115BD6">
      <w:pPr>
        <w:pStyle w:val="ListParagraph"/>
        <w:numPr>
          <w:ilvl w:val="0"/>
          <w:numId w:val="35"/>
        </w:numPr>
        <w:rPr>
          <w:lang w:eastAsia="en-AU"/>
        </w:rPr>
      </w:pPr>
      <w:r>
        <w:rPr>
          <w:rFonts w:ascii="ZWAdobeF" w:hAnsi="ZWAdobeF" w:cs="ZWAdobeF"/>
          <w:sz w:val="2"/>
          <w:szCs w:val="2"/>
          <w:lang w:eastAsia="en-AU"/>
        </w:rPr>
        <w:t>432B</w:t>
      </w:r>
      <w:r w:rsidR="00A55F00" w:rsidRPr="00220517">
        <w:rPr>
          <w:lang w:eastAsia="en-AU"/>
        </w:rPr>
        <w:t>clear alignment between funding, governance and system</w:t>
      </w:r>
      <w:r w:rsidR="00A55F00" w:rsidRPr="00220517">
        <w:rPr>
          <w:lang w:eastAsia="en-AU"/>
        </w:rPr>
        <w:noBreakHyphen/>
        <w:t>level outcomes</w:t>
      </w:r>
      <w:r w:rsidR="00A55F00">
        <w:rPr>
          <w:lang w:eastAsia="en-AU"/>
        </w:rPr>
        <w:t>.</w:t>
      </w:r>
    </w:p>
    <w:p w14:paraId="2F1C5B59" w14:textId="7F7858D2" w:rsidR="00A55F00" w:rsidRPr="005D2CB2" w:rsidRDefault="00382EE8" w:rsidP="00A55F00">
      <w:pPr>
        <w:rPr>
          <w:lang w:eastAsia="en-AU"/>
        </w:rPr>
      </w:pPr>
      <w:r>
        <w:rPr>
          <w:rFonts w:ascii="ZWAdobeF" w:hAnsi="ZWAdobeF" w:cs="ZWAdobeF"/>
          <w:sz w:val="2"/>
          <w:szCs w:val="2"/>
          <w:lang w:eastAsia="en-AU"/>
        </w:rPr>
        <w:t>1258B</w:t>
      </w:r>
      <w:r w:rsidR="00A55F00" w:rsidRPr="005D2CB2">
        <w:rPr>
          <w:lang w:eastAsia="en-AU"/>
        </w:rPr>
        <w:t>This staged approach ensures that reform is both implementable and aligned with long</w:t>
      </w:r>
      <w:r w:rsidR="00A55F00" w:rsidRPr="005D2CB2">
        <w:rPr>
          <w:lang w:eastAsia="en-AU"/>
        </w:rPr>
        <w:noBreakHyphen/>
        <w:t>term system objectives.</w:t>
      </w:r>
    </w:p>
    <w:p w14:paraId="42CAA970" w14:textId="779607B5" w:rsidR="008270D0" w:rsidRDefault="000E64A7" w:rsidP="000E64A7">
      <w:pPr>
        <w:pStyle w:val="ReviewHeading3"/>
        <w:rPr>
          <w:rFonts w:eastAsia="Times New Roman"/>
        </w:rPr>
      </w:pPr>
      <w:r>
        <w:rPr>
          <w:rFonts w:eastAsia="Times New Roman"/>
        </w:rPr>
        <w:t>Proposed funding transition</w:t>
      </w:r>
    </w:p>
    <w:p w14:paraId="0BAE10AA" w14:textId="1231117B" w:rsidR="00A752F3" w:rsidRPr="00190715" w:rsidRDefault="00382EE8" w:rsidP="00A752F3">
      <w:pPr>
        <w:rPr>
          <w:lang w:eastAsia="en-AU"/>
        </w:rPr>
      </w:pPr>
      <w:r>
        <w:rPr>
          <w:rFonts w:ascii="ZWAdobeF" w:hAnsi="ZWAdobeF" w:cs="ZWAdobeF"/>
          <w:sz w:val="2"/>
          <w:szCs w:val="2"/>
          <w:lang w:eastAsia="en-AU"/>
        </w:rPr>
        <w:t>1259B</w:t>
      </w:r>
      <w:r w:rsidR="00A752F3" w:rsidRPr="001A45FA">
        <w:rPr>
          <w:lang w:eastAsia="en-AU"/>
        </w:rPr>
        <w:t>The Panel proposes a staged transition to a new funding and investment framework that reflects the establishment of governance arrangements, the introduction of joint funding, and the progression toward a stable, long-term model.</w:t>
      </w:r>
      <w:r w:rsidR="00A752F3" w:rsidRPr="00190715">
        <w:rPr>
          <w:lang w:eastAsia="en-AU"/>
        </w:rPr>
        <w:t xml:space="preserve"> The transition pathway is indicative and may require adjustment in response to operational, institutional and funding constraints as arrangements are implemented.</w:t>
      </w:r>
    </w:p>
    <w:p w14:paraId="2FC1FF7C" w14:textId="39F1F42C" w:rsidR="00A752F3" w:rsidRPr="001A45FA" w:rsidRDefault="00382EE8" w:rsidP="00A752F3">
      <w:pPr>
        <w:rPr>
          <w:lang w:eastAsia="en-AU"/>
        </w:rPr>
      </w:pPr>
      <w:r>
        <w:rPr>
          <w:rFonts w:ascii="ZWAdobeF" w:hAnsi="ZWAdobeF" w:cs="ZWAdobeF"/>
          <w:sz w:val="2"/>
          <w:szCs w:val="2"/>
          <w:lang w:eastAsia="en-AU"/>
        </w:rPr>
        <w:t>1260B</w:t>
      </w:r>
      <w:r w:rsidR="00A752F3" w:rsidRPr="001A45FA">
        <w:rPr>
          <w:lang w:eastAsia="en-AU"/>
        </w:rPr>
        <w:t>This transition is designed to:</w:t>
      </w:r>
    </w:p>
    <w:p w14:paraId="4072F497" w14:textId="0E0D93F6" w:rsidR="00A752F3" w:rsidRPr="001A45FA" w:rsidRDefault="00382EE8" w:rsidP="00115BD6">
      <w:pPr>
        <w:pStyle w:val="ListParagraph"/>
        <w:numPr>
          <w:ilvl w:val="0"/>
          <w:numId w:val="36"/>
        </w:numPr>
        <w:rPr>
          <w:lang w:eastAsia="en-AU"/>
        </w:rPr>
      </w:pPr>
      <w:r>
        <w:rPr>
          <w:rFonts w:ascii="ZWAdobeF" w:hAnsi="ZWAdobeF" w:cs="ZWAdobeF"/>
          <w:sz w:val="2"/>
          <w:szCs w:val="2"/>
          <w:lang w:eastAsia="en-AU"/>
        </w:rPr>
        <w:t>433B</w:t>
      </w:r>
      <w:r w:rsidR="00A752F3" w:rsidRPr="001A45FA">
        <w:rPr>
          <w:lang w:eastAsia="en-AU"/>
        </w:rPr>
        <w:t>maintain continuity of investment during the establishment phase</w:t>
      </w:r>
    </w:p>
    <w:p w14:paraId="151E15B5" w14:textId="3C907CB9" w:rsidR="00A752F3" w:rsidRPr="001A45FA" w:rsidRDefault="00382EE8" w:rsidP="00115BD6">
      <w:pPr>
        <w:pStyle w:val="ListParagraph"/>
        <w:numPr>
          <w:ilvl w:val="0"/>
          <w:numId w:val="36"/>
        </w:numPr>
        <w:rPr>
          <w:lang w:eastAsia="en-AU"/>
        </w:rPr>
      </w:pPr>
      <w:r>
        <w:rPr>
          <w:rFonts w:ascii="ZWAdobeF" w:hAnsi="ZWAdobeF" w:cs="ZWAdobeF"/>
          <w:sz w:val="2"/>
          <w:szCs w:val="2"/>
          <w:lang w:eastAsia="en-AU"/>
        </w:rPr>
        <w:t>434B</w:t>
      </w:r>
      <w:r w:rsidR="00A752F3" w:rsidRPr="001A45FA">
        <w:rPr>
          <w:lang w:eastAsia="en-AU"/>
        </w:rPr>
        <w:t>progressively introduce shared funding responsibility across governments</w:t>
      </w:r>
    </w:p>
    <w:p w14:paraId="3E3373DB" w14:textId="49D647E2" w:rsidR="00A752F3" w:rsidRPr="001A45FA" w:rsidRDefault="00382EE8" w:rsidP="00115BD6">
      <w:pPr>
        <w:pStyle w:val="ListParagraph"/>
        <w:numPr>
          <w:ilvl w:val="0"/>
          <w:numId w:val="36"/>
        </w:numPr>
        <w:rPr>
          <w:lang w:eastAsia="en-AU"/>
        </w:rPr>
      </w:pPr>
      <w:r>
        <w:rPr>
          <w:rFonts w:ascii="ZWAdobeF" w:hAnsi="ZWAdobeF" w:cs="ZWAdobeF"/>
          <w:sz w:val="2"/>
          <w:szCs w:val="2"/>
          <w:lang w:eastAsia="en-AU"/>
        </w:rPr>
        <w:lastRenderedPageBreak/>
        <w:t>435B</w:t>
      </w:r>
      <w:r w:rsidR="00A752F3" w:rsidRPr="001A45FA">
        <w:rPr>
          <w:lang w:eastAsia="en-AU"/>
        </w:rPr>
        <w:t>align contributions with system-level outcomes and impacts over time, including through a declining impact-based contribution from Snowy Hydro.</w:t>
      </w:r>
    </w:p>
    <w:p w14:paraId="56F06DC0" w14:textId="05B347CD" w:rsidR="00A752F3" w:rsidRPr="001A45FA" w:rsidRDefault="00382EE8" w:rsidP="00A752F3">
      <w:pPr>
        <w:rPr>
          <w:lang w:eastAsia="en-AU"/>
        </w:rPr>
      </w:pPr>
      <w:r>
        <w:rPr>
          <w:rFonts w:ascii="ZWAdobeF" w:hAnsi="ZWAdobeF" w:cs="ZWAdobeF"/>
          <w:sz w:val="2"/>
          <w:szCs w:val="2"/>
          <w:lang w:eastAsia="en-AU"/>
        </w:rPr>
        <w:t>1261B</w:t>
      </w:r>
      <w:r w:rsidR="00A752F3" w:rsidRPr="6332CC80">
        <w:rPr>
          <w:lang w:eastAsia="en-AU"/>
        </w:rPr>
        <w:t>Importantly, governments should give preference to an all</w:t>
      </w:r>
      <w:r w:rsidR="14F1C17A" w:rsidRPr="6332CC80">
        <w:rPr>
          <w:lang w:eastAsia="en-AU"/>
        </w:rPr>
        <w:t>-</w:t>
      </w:r>
      <w:r w:rsidR="00A752F3" w:rsidRPr="6332CC80">
        <w:rPr>
          <w:lang w:eastAsia="en-AU"/>
        </w:rPr>
        <w:t xml:space="preserve">jurisdictions funding arrangement, involving the Australian, </w:t>
      </w:r>
      <w:r w:rsidR="083AD690" w:rsidRPr="6332CC80">
        <w:rPr>
          <w:lang w:eastAsia="en-AU"/>
        </w:rPr>
        <w:t>NSW,</w:t>
      </w:r>
      <w:r w:rsidR="00A752F3" w:rsidRPr="6332CC80">
        <w:rPr>
          <w:lang w:eastAsia="en-AU"/>
        </w:rPr>
        <w:t xml:space="preserve"> Victoria</w:t>
      </w:r>
      <w:r w:rsidR="437C414F" w:rsidRPr="6332CC80">
        <w:rPr>
          <w:lang w:eastAsia="en-AU"/>
        </w:rPr>
        <w:t>n</w:t>
      </w:r>
      <w:r w:rsidR="00A752F3" w:rsidRPr="6332CC80">
        <w:rPr>
          <w:lang w:eastAsia="en-AU"/>
        </w:rPr>
        <w:t xml:space="preserve"> and the ACT</w:t>
      </w:r>
      <w:r w:rsidR="5A628BCE" w:rsidRPr="6332CC80">
        <w:rPr>
          <w:lang w:eastAsia="en-AU"/>
        </w:rPr>
        <w:t xml:space="preserve"> governments</w:t>
      </w:r>
      <w:r w:rsidR="00A752F3" w:rsidRPr="6332CC80">
        <w:rPr>
          <w:lang w:eastAsia="en-AU"/>
        </w:rPr>
        <w:t>. Funding commitments should be formalised through intergovernmental agreement and associated instruments, with clear obligations.</w:t>
      </w:r>
    </w:p>
    <w:p w14:paraId="60AF4CBE" w14:textId="556B0533" w:rsidR="00A752F3" w:rsidRPr="001A45FA" w:rsidRDefault="00382EE8" w:rsidP="00A752F3">
      <w:pPr>
        <w:rPr>
          <w:lang w:eastAsia="en-AU"/>
        </w:rPr>
      </w:pPr>
      <w:r>
        <w:rPr>
          <w:rFonts w:ascii="ZWAdobeF" w:hAnsi="ZWAdobeF" w:cs="ZWAdobeF"/>
          <w:sz w:val="2"/>
          <w:szCs w:val="2"/>
          <w:lang w:eastAsia="en-AU"/>
        </w:rPr>
        <w:t>1262B</w:t>
      </w:r>
      <w:r w:rsidR="00A752F3" w:rsidRPr="001A45FA">
        <w:rPr>
          <w:lang w:eastAsia="en-AU"/>
        </w:rPr>
        <w:t>This approach would:</w:t>
      </w:r>
    </w:p>
    <w:p w14:paraId="402007BD" w14:textId="30B97284" w:rsidR="00A752F3" w:rsidRPr="001A45FA" w:rsidRDefault="00382EE8" w:rsidP="00115BD6">
      <w:pPr>
        <w:pStyle w:val="ListParagraph"/>
        <w:numPr>
          <w:ilvl w:val="0"/>
          <w:numId w:val="37"/>
        </w:numPr>
        <w:rPr>
          <w:lang w:eastAsia="en-AU"/>
        </w:rPr>
      </w:pPr>
      <w:r>
        <w:rPr>
          <w:rFonts w:ascii="ZWAdobeF" w:hAnsi="ZWAdobeF" w:cs="ZWAdobeF"/>
          <w:sz w:val="2"/>
          <w:szCs w:val="2"/>
          <w:lang w:eastAsia="en-AU"/>
        </w:rPr>
        <w:t>436B</w:t>
      </w:r>
      <w:r w:rsidR="00A752F3" w:rsidRPr="001A45FA">
        <w:rPr>
          <w:lang w:eastAsia="en-AU"/>
        </w:rPr>
        <w:t>support coordinated, system-wide investment across connected river systems</w:t>
      </w:r>
    </w:p>
    <w:p w14:paraId="27D5BB06" w14:textId="67793A2B" w:rsidR="00A752F3" w:rsidRPr="001A45FA" w:rsidRDefault="00382EE8" w:rsidP="00115BD6">
      <w:pPr>
        <w:pStyle w:val="ListParagraph"/>
        <w:numPr>
          <w:ilvl w:val="0"/>
          <w:numId w:val="37"/>
        </w:numPr>
        <w:rPr>
          <w:lang w:eastAsia="en-AU"/>
        </w:rPr>
      </w:pPr>
      <w:r>
        <w:rPr>
          <w:rFonts w:ascii="ZWAdobeF" w:hAnsi="ZWAdobeF" w:cs="ZWAdobeF"/>
          <w:sz w:val="2"/>
          <w:szCs w:val="2"/>
          <w:lang w:eastAsia="en-AU"/>
        </w:rPr>
        <w:t>437B</w:t>
      </w:r>
      <w:r w:rsidR="00A752F3" w:rsidRPr="001A45FA">
        <w:rPr>
          <w:lang w:eastAsia="en-AU"/>
        </w:rPr>
        <w:t>ensure that both the Upper Murrumbidgee and the Snowy River systems benefit from a consistent funding framework</w:t>
      </w:r>
    </w:p>
    <w:p w14:paraId="4D749518" w14:textId="2A99C076" w:rsidR="00A752F3" w:rsidRPr="001A45FA" w:rsidRDefault="00382EE8" w:rsidP="00115BD6">
      <w:pPr>
        <w:pStyle w:val="ListParagraph"/>
        <w:numPr>
          <w:ilvl w:val="0"/>
          <w:numId w:val="37"/>
        </w:numPr>
        <w:rPr>
          <w:lang w:eastAsia="en-AU"/>
        </w:rPr>
      </w:pPr>
      <w:r>
        <w:rPr>
          <w:rFonts w:ascii="ZWAdobeF" w:hAnsi="ZWAdobeF" w:cs="ZWAdobeF"/>
          <w:sz w:val="2"/>
          <w:szCs w:val="2"/>
          <w:lang w:eastAsia="en-AU"/>
        </w:rPr>
        <w:t>438B</w:t>
      </w:r>
      <w:r w:rsidR="00A752F3" w:rsidRPr="001A45FA">
        <w:rPr>
          <w:lang w:eastAsia="en-AU"/>
        </w:rPr>
        <w:t xml:space="preserve">strengthen shared stewardship and accountability across jurisdictional boundaries, consistent with the governance framework outlined in </w:t>
      </w:r>
      <w:r w:rsidR="00B0470F" w:rsidRPr="004E0734">
        <w:rPr>
          <w:b/>
          <w:lang w:eastAsia="en-AU"/>
        </w:rPr>
        <w:t>C</w:t>
      </w:r>
      <w:r w:rsidR="00A752F3" w:rsidRPr="004E0734">
        <w:rPr>
          <w:b/>
          <w:lang w:eastAsia="en-AU"/>
        </w:rPr>
        <w:t>hapter 5.</w:t>
      </w:r>
    </w:p>
    <w:p w14:paraId="0C88913D" w14:textId="739808E2" w:rsidR="00A752F3" w:rsidRPr="001A45FA" w:rsidRDefault="00382EE8" w:rsidP="00A752F3">
      <w:pPr>
        <w:rPr>
          <w:lang w:eastAsia="en-AU"/>
        </w:rPr>
      </w:pPr>
      <w:r>
        <w:rPr>
          <w:rFonts w:ascii="ZWAdobeF" w:hAnsi="ZWAdobeF" w:cs="ZWAdobeF"/>
          <w:sz w:val="2"/>
          <w:szCs w:val="2"/>
          <w:lang w:eastAsia="en-AU"/>
        </w:rPr>
        <w:t>1263B</w:t>
      </w:r>
      <w:r w:rsidR="00D144FF" w:rsidRPr="6332CC80">
        <w:rPr>
          <w:lang w:eastAsia="en-AU"/>
        </w:rPr>
        <w:t>A</w:t>
      </w:r>
      <w:r w:rsidR="00A752F3" w:rsidRPr="6332CC80">
        <w:rPr>
          <w:lang w:eastAsia="en-AU"/>
        </w:rPr>
        <w:t>n all</w:t>
      </w:r>
      <w:r w:rsidR="00A752F3">
        <w:noBreakHyphen/>
      </w:r>
      <w:r w:rsidR="00A752F3" w:rsidRPr="6332CC80">
        <w:rPr>
          <w:lang w:eastAsia="en-AU"/>
        </w:rPr>
        <w:t>jurisdiction</w:t>
      </w:r>
      <w:r w:rsidR="0C0207B3" w:rsidRPr="6332CC80">
        <w:rPr>
          <w:lang w:eastAsia="en-AU"/>
        </w:rPr>
        <w:t xml:space="preserve">al </w:t>
      </w:r>
      <w:r w:rsidR="00A752F3" w:rsidRPr="6332CC80">
        <w:rPr>
          <w:lang w:eastAsia="en-AU"/>
        </w:rPr>
        <w:t>model provides the strongest basis for delivering integrated environmental, cultural and community outcomes at a system scale.</w:t>
      </w:r>
    </w:p>
    <w:p w14:paraId="49318A39" w14:textId="64718F6C" w:rsidR="00A74E03" w:rsidRPr="00A74E03" w:rsidRDefault="00382EE8" w:rsidP="00786220">
      <w:pPr>
        <w:pStyle w:val="Caption"/>
        <w:keepNext/>
        <w:rPr>
          <w:b/>
          <w:bCs/>
          <w:color w:val="auto"/>
          <w:sz w:val="20"/>
          <w:szCs w:val="20"/>
        </w:rPr>
      </w:pPr>
      <w:r>
        <w:rPr>
          <w:rFonts w:ascii="ZWAdobeF" w:hAnsi="ZWAdobeF" w:cs="ZWAdobeF"/>
          <w:bCs/>
          <w:i w:val="0"/>
          <w:color w:val="auto"/>
          <w:sz w:val="2"/>
          <w:szCs w:val="2"/>
        </w:rPr>
        <w:t>9B</w:t>
      </w:r>
      <w:r w:rsidR="00A74E03" w:rsidRPr="00A74E03">
        <w:rPr>
          <w:b/>
          <w:bCs/>
          <w:color w:val="auto"/>
          <w:sz w:val="20"/>
          <w:szCs w:val="20"/>
        </w:rPr>
        <w:t xml:space="preserve">Table </w:t>
      </w:r>
      <w:r w:rsidR="00A74E03" w:rsidRPr="00A74E03">
        <w:rPr>
          <w:b/>
          <w:bCs/>
          <w:color w:val="auto"/>
          <w:sz w:val="20"/>
          <w:szCs w:val="20"/>
        </w:rPr>
        <w:fldChar w:fldCharType="begin"/>
      </w:r>
      <w:r w:rsidR="00A74E03" w:rsidRPr="00A74E03">
        <w:rPr>
          <w:b/>
          <w:bCs/>
          <w:color w:val="auto"/>
          <w:sz w:val="20"/>
          <w:szCs w:val="20"/>
        </w:rPr>
        <w:instrText xml:space="preserve"> SEQ Table \* ARABIC </w:instrText>
      </w:r>
      <w:r w:rsidR="00A74E03" w:rsidRPr="00A74E03">
        <w:rPr>
          <w:b/>
          <w:bCs/>
          <w:color w:val="auto"/>
          <w:sz w:val="20"/>
          <w:szCs w:val="20"/>
        </w:rPr>
        <w:fldChar w:fldCharType="separate"/>
      </w:r>
      <w:r w:rsidR="0005178F">
        <w:rPr>
          <w:b/>
          <w:bCs/>
          <w:noProof/>
          <w:color w:val="auto"/>
          <w:sz w:val="20"/>
          <w:szCs w:val="20"/>
        </w:rPr>
        <w:t>4</w:t>
      </w:r>
      <w:r w:rsidR="00A74E03" w:rsidRPr="00A74E03">
        <w:rPr>
          <w:b/>
          <w:bCs/>
          <w:color w:val="auto"/>
          <w:sz w:val="20"/>
          <w:szCs w:val="20"/>
        </w:rPr>
        <w:fldChar w:fldCharType="end"/>
      </w:r>
      <w:r w:rsidR="00A74E03" w:rsidRPr="00A74E03">
        <w:rPr>
          <w:b/>
          <w:bCs/>
          <w:color w:val="auto"/>
          <w:sz w:val="20"/>
          <w:szCs w:val="20"/>
        </w:rPr>
        <w:t>: Stages of Proposed Transition</w:t>
      </w:r>
    </w:p>
    <w:tbl>
      <w:tblPr>
        <w:tblStyle w:val="PlainTable1"/>
        <w:tblW w:w="9351" w:type="dxa"/>
        <w:tblLook w:val="04A0" w:firstRow="1" w:lastRow="0" w:firstColumn="1" w:lastColumn="0" w:noHBand="0" w:noVBand="1"/>
      </w:tblPr>
      <w:tblGrid>
        <w:gridCol w:w="1555"/>
        <w:gridCol w:w="997"/>
        <w:gridCol w:w="2127"/>
        <w:gridCol w:w="2120"/>
        <w:gridCol w:w="2552"/>
      </w:tblGrid>
      <w:tr w:rsidR="00450240" w:rsidRPr="00F246A4" w14:paraId="73A9FC09" w14:textId="77777777" w:rsidTr="00F24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217BDB88" w14:textId="77777777" w:rsidR="00450240" w:rsidRPr="00F246A4" w:rsidRDefault="00450240">
            <w:pPr>
              <w:jc w:val="center"/>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Stage</w:t>
            </w:r>
          </w:p>
        </w:tc>
        <w:tc>
          <w:tcPr>
            <w:tcW w:w="997" w:type="dxa"/>
            <w:hideMark/>
          </w:tcPr>
          <w:p w14:paraId="27A1BEDC" w14:textId="77777777" w:rsidR="00450240" w:rsidRPr="00F246A4" w:rsidRDefault="00450240">
            <w:pPr>
              <w:jc w:val="center"/>
              <w:cnfStyle w:val="100000000000" w:firstRow="1"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Timing</w:t>
            </w:r>
          </w:p>
        </w:tc>
        <w:tc>
          <w:tcPr>
            <w:tcW w:w="2127" w:type="dxa"/>
            <w:hideMark/>
          </w:tcPr>
          <w:p w14:paraId="0323B838" w14:textId="77777777" w:rsidR="00450240" w:rsidRPr="00F246A4" w:rsidRDefault="00450240">
            <w:pPr>
              <w:jc w:val="center"/>
              <w:cnfStyle w:val="100000000000" w:firstRow="1"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Key characteristics</w:t>
            </w:r>
          </w:p>
        </w:tc>
        <w:tc>
          <w:tcPr>
            <w:tcW w:w="2120" w:type="dxa"/>
            <w:hideMark/>
          </w:tcPr>
          <w:p w14:paraId="0C5EFBF6" w14:textId="77777777" w:rsidR="00450240" w:rsidRPr="00F246A4" w:rsidRDefault="00450240">
            <w:pPr>
              <w:jc w:val="center"/>
              <w:cnfStyle w:val="100000000000" w:firstRow="1"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Government role</w:t>
            </w:r>
          </w:p>
        </w:tc>
        <w:tc>
          <w:tcPr>
            <w:tcW w:w="2552" w:type="dxa"/>
            <w:hideMark/>
          </w:tcPr>
          <w:p w14:paraId="32F4C803" w14:textId="77777777" w:rsidR="00450240" w:rsidRPr="00F246A4" w:rsidRDefault="00450240">
            <w:pPr>
              <w:jc w:val="center"/>
              <w:cnfStyle w:val="100000000000" w:firstRow="1"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Snowy Hydro Limited role</w:t>
            </w:r>
          </w:p>
        </w:tc>
      </w:tr>
      <w:tr w:rsidR="00450240" w:rsidRPr="00F246A4" w14:paraId="7FC13E30" w14:textId="77777777" w:rsidTr="00F24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B36D7DF" w14:textId="77777777" w:rsidR="00450240" w:rsidRPr="00F246A4" w:rsidRDefault="00450240">
            <w:pPr>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1. Stabilisation</w:t>
            </w:r>
          </w:p>
        </w:tc>
        <w:tc>
          <w:tcPr>
            <w:tcW w:w="997" w:type="dxa"/>
            <w:hideMark/>
          </w:tcPr>
          <w:p w14:paraId="62046C23" w14:textId="2FB007C3" w:rsidR="00450240" w:rsidRPr="00F246A4" w:rsidRDefault="00450240">
            <w:pPr>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Years 0–</w:t>
            </w:r>
            <w:r w:rsidR="00722D55" w:rsidRPr="00F246A4">
              <w:rPr>
                <w:rFonts w:eastAsia="Times New Roman" w:cs="Calibri"/>
                <w:kern w:val="0"/>
                <w:sz w:val="18"/>
                <w:szCs w:val="18"/>
                <w:lang w:eastAsia="en-AU"/>
                <w14:ligatures w14:val="none"/>
              </w:rPr>
              <w:t>2</w:t>
            </w:r>
          </w:p>
        </w:tc>
        <w:tc>
          <w:tcPr>
            <w:tcW w:w="2127" w:type="dxa"/>
            <w:hideMark/>
          </w:tcPr>
          <w:p w14:paraId="5EB56AA8" w14:textId="77777777" w:rsidR="00450240" w:rsidRPr="00F246A4" w:rsidRDefault="00450240" w:rsidP="00450240">
            <w:pPr>
              <w:jc w:val="left"/>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Australian Government-led funding while governance and funding mechanisms are established</w:t>
            </w:r>
          </w:p>
        </w:tc>
        <w:tc>
          <w:tcPr>
            <w:tcW w:w="2120" w:type="dxa"/>
            <w:hideMark/>
          </w:tcPr>
          <w:p w14:paraId="70C9971B" w14:textId="77777777" w:rsidR="00450240" w:rsidRPr="00F246A4" w:rsidRDefault="00450240" w:rsidP="00450240">
            <w:pPr>
              <w:jc w:val="left"/>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Australian Government provides the majority of funding to maintain system functions and continuity of investment</w:t>
            </w:r>
          </w:p>
        </w:tc>
        <w:tc>
          <w:tcPr>
            <w:tcW w:w="2552" w:type="dxa"/>
            <w:hideMark/>
          </w:tcPr>
          <w:p w14:paraId="00B6CC1E" w14:textId="77777777" w:rsidR="00450240" w:rsidRPr="00F246A4" w:rsidRDefault="00450240" w:rsidP="00450240">
            <w:pPr>
              <w:jc w:val="left"/>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Provides base contribution and a higher, front-loaded impact payment to support early system repair and offsets</w:t>
            </w:r>
          </w:p>
        </w:tc>
      </w:tr>
      <w:tr w:rsidR="00450240" w:rsidRPr="00F246A4" w14:paraId="10811D16" w14:textId="77777777" w:rsidTr="00F246A4">
        <w:tc>
          <w:tcPr>
            <w:cnfStyle w:val="001000000000" w:firstRow="0" w:lastRow="0" w:firstColumn="1" w:lastColumn="0" w:oddVBand="0" w:evenVBand="0" w:oddHBand="0" w:evenHBand="0" w:firstRowFirstColumn="0" w:firstRowLastColumn="0" w:lastRowFirstColumn="0" w:lastRowLastColumn="0"/>
            <w:tcW w:w="1555" w:type="dxa"/>
            <w:hideMark/>
          </w:tcPr>
          <w:p w14:paraId="337BA67C" w14:textId="77777777" w:rsidR="00450240" w:rsidRPr="00F246A4" w:rsidRDefault="00450240" w:rsidP="003A53D0">
            <w:pPr>
              <w:jc w:val="left"/>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2. Transition</w:t>
            </w:r>
          </w:p>
        </w:tc>
        <w:tc>
          <w:tcPr>
            <w:tcW w:w="997" w:type="dxa"/>
            <w:hideMark/>
          </w:tcPr>
          <w:p w14:paraId="29AEA968" w14:textId="5693185B" w:rsidR="00450240" w:rsidRPr="00F246A4" w:rsidRDefault="00450240">
            <w:pPr>
              <w:cnfStyle w:val="000000000000" w:firstRow="0"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 xml:space="preserve">Years </w:t>
            </w:r>
            <w:r w:rsidR="00722D55" w:rsidRPr="00F246A4">
              <w:rPr>
                <w:rFonts w:eastAsia="Times New Roman" w:cs="Calibri"/>
                <w:kern w:val="0"/>
                <w:sz w:val="18"/>
                <w:szCs w:val="18"/>
                <w:lang w:eastAsia="en-AU"/>
                <w14:ligatures w14:val="none"/>
              </w:rPr>
              <w:t>2</w:t>
            </w:r>
            <w:r w:rsidRPr="00F246A4">
              <w:rPr>
                <w:rFonts w:eastAsia="Times New Roman" w:cs="Calibri"/>
                <w:kern w:val="0"/>
                <w:sz w:val="18"/>
                <w:szCs w:val="18"/>
                <w:lang w:eastAsia="en-AU"/>
                <w14:ligatures w14:val="none"/>
              </w:rPr>
              <w:t>–</w:t>
            </w:r>
            <w:r w:rsidR="00722D55" w:rsidRPr="00F246A4">
              <w:rPr>
                <w:rFonts w:eastAsia="Times New Roman" w:cs="Calibri"/>
                <w:kern w:val="0"/>
                <w:sz w:val="18"/>
                <w:szCs w:val="18"/>
                <w:lang w:eastAsia="en-AU"/>
                <w14:ligatures w14:val="none"/>
              </w:rPr>
              <w:t>5</w:t>
            </w:r>
          </w:p>
        </w:tc>
        <w:tc>
          <w:tcPr>
            <w:tcW w:w="2127" w:type="dxa"/>
            <w:hideMark/>
          </w:tcPr>
          <w:p w14:paraId="2CA5C3C3" w14:textId="77777777" w:rsidR="00450240" w:rsidRPr="00F246A4" w:rsidRDefault="00450240" w:rsidP="00450240">
            <w:pPr>
              <w:jc w:val="left"/>
              <w:cnfStyle w:val="000000000000" w:firstRow="0"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Joint funding commences; responsibility progressively shared</w:t>
            </w:r>
          </w:p>
        </w:tc>
        <w:tc>
          <w:tcPr>
            <w:tcW w:w="2120" w:type="dxa"/>
            <w:hideMark/>
          </w:tcPr>
          <w:p w14:paraId="6E53E688" w14:textId="1DA408A7" w:rsidR="00450240" w:rsidRPr="00F246A4" w:rsidRDefault="00450240" w:rsidP="00450240">
            <w:pPr>
              <w:jc w:val="left"/>
              <w:cnfStyle w:val="000000000000" w:firstRow="0"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 xml:space="preserve">NSW, Victoria and ACT begin contributing; </w:t>
            </w:r>
            <w:r w:rsidR="00D06B22" w:rsidRPr="00F246A4">
              <w:rPr>
                <w:rFonts w:eastAsia="Times New Roman" w:cs="Calibri"/>
                <w:kern w:val="0"/>
                <w:sz w:val="18"/>
                <w:szCs w:val="18"/>
                <w:lang w:eastAsia="en-AU"/>
                <w14:ligatures w14:val="none"/>
              </w:rPr>
              <w:t>Australian Government</w:t>
            </w:r>
            <w:r w:rsidRPr="00F246A4">
              <w:rPr>
                <w:rFonts w:eastAsia="Times New Roman" w:cs="Calibri"/>
                <w:kern w:val="0"/>
                <w:sz w:val="18"/>
                <w:szCs w:val="18"/>
                <w:lang w:eastAsia="en-AU"/>
                <w14:ligatures w14:val="none"/>
              </w:rPr>
              <w:t xml:space="preserve"> contribution tapers as shared funding increases</w:t>
            </w:r>
          </w:p>
        </w:tc>
        <w:tc>
          <w:tcPr>
            <w:tcW w:w="2552" w:type="dxa"/>
            <w:hideMark/>
          </w:tcPr>
          <w:p w14:paraId="23BFCF51" w14:textId="77777777" w:rsidR="00450240" w:rsidRPr="00F246A4" w:rsidRDefault="00450240" w:rsidP="00450240">
            <w:pPr>
              <w:jc w:val="left"/>
              <w:cnfStyle w:val="000000000000" w:firstRow="0" w:lastRow="0" w:firstColumn="0" w:lastColumn="0" w:oddVBand="0" w:evenVBand="0" w:oddHBand="0"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Impact-based contribution declines progressively as system performance improves; base contribution remains stable</w:t>
            </w:r>
          </w:p>
        </w:tc>
      </w:tr>
      <w:tr w:rsidR="00450240" w:rsidRPr="00F246A4" w14:paraId="6E3BD77E" w14:textId="77777777" w:rsidTr="00F24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4445937C" w14:textId="77777777" w:rsidR="00450240" w:rsidRPr="00F246A4" w:rsidRDefault="00450240" w:rsidP="003A53D0">
            <w:pPr>
              <w:jc w:val="left"/>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3. Mature model</w:t>
            </w:r>
          </w:p>
        </w:tc>
        <w:tc>
          <w:tcPr>
            <w:tcW w:w="997" w:type="dxa"/>
            <w:hideMark/>
          </w:tcPr>
          <w:p w14:paraId="3C37C241" w14:textId="641A4F58" w:rsidR="00450240" w:rsidRPr="00F246A4" w:rsidRDefault="00450240">
            <w:pPr>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 xml:space="preserve">Years </w:t>
            </w:r>
            <w:r w:rsidR="00722D55" w:rsidRPr="00F246A4">
              <w:rPr>
                <w:rFonts w:eastAsia="Times New Roman" w:cs="Calibri"/>
                <w:kern w:val="0"/>
                <w:sz w:val="18"/>
                <w:szCs w:val="18"/>
                <w:lang w:eastAsia="en-AU"/>
                <w14:ligatures w14:val="none"/>
              </w:rPr>
              <w:t>5</w:t>
            </w:r>
            <w:r w:rsidRPr="00F246A4">
              <w:rPr>
                <w:rFonts w:eastAsia="Times New Roman" w:cs="Calibri"/>
                <w:kern w:val="0"/>
                <w:sz w:val="18"/>
                <w:szCs w:val="18"/>
                <w:lang w:eastAsia="en-AU"/>
                <w14:ligatures w14:val="none"/>
              </w:rPr>
              <w:t>+</w:t>
            </w:r>
          </w:p>
        </w:tc>
        <w:tc>
          <w:tcPr>
            <w:tcW w:w="2127" w:type="dxa"/>
            <w:hideMark/>
          </w:tcPr>
          <w:p w14:paraId="42241905" w14:textId="77777777" w:rsidR="00450240" w:rsidRPr="00F246A4" w:rsidRDefault="00450240" w:rsidP="00450240">
            <w:pPr>
              <w:jc w:val="left"/>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Stable, coordinated funding model aligned to system-level priorities</w:t>
            </w:r>
          </w:p>
        </w:tc>
        <w:tc>
          <w:tcPr>
            <w:tcW w:w="2120" w:type="dxa"/>
            <w:hideMark/>
          </w:tcPr>
          <w:p w14:paraId="7DE0B3BF" w14:textId="77777777" w:rsidR="00450240" w:rsidRPr="00F246A4" w:rsidRDefault="00450240" w:rsidP="00450240">
            <w:pPr>
              <w:jc w:val="left"/>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Governments contribute on a shared basis reflecting joint stewardship</w:t>
            </w:r>
          </w:p>
        </w:tc>
        <w:tc>
          <w:tcPr>
            <w:tcW w:w="2552" w:type="dxa"/>
            <w:hideMark/>
          </w:tcPr>
          <w:p w14:paraId="305CABE9" w14:textId="77777777" w:rsidR="00450240" w:rsidRPr="00F246A4" w:rsidRDefault="00450240" w:rsidP="00450240">
            <w:pPr>
              <w:jc w:val="left"/>
              <w:cnfStyle w:val="000000100000" w:firstRow="0" w:lastRow="0" w:firstColumn="0" w:lastColumn="0" w:oddVBand="0" w:evenVBand="0" w:oddHBand="1" w:evenHBand="0" w:firstRowFirstColumn="0" w:firstRowLastColumn="0" w:lastRowFirstColumn="0" w:lastRowLastColumn="0"/>
              <w:rPr>
                <w:rFonts w:eastAsia="Times New Roman" w:cs="Calibri"/>
                <w:kern w:val="0"/>
                <w:sz w:val="18"/>
                <w:szCs w:val="18"/>
                <w:lang w:eastAsia="en-AU"/>
                <w14:ligatures w14:val="none"/>
              </w:rPr>
            </w:pPr>
            <w:r w:rsidRPr="00F246A4">
              <w:rPr>
                <w:rFonts w:eastAsia="Times New Roman" w:cs="Calibri"/>
                <w:kern w:val="0"/>
                <w:sz w:val="18"/>
                <w:szCs w:val="18"/>
                <w:lang w:eastAsia="en-AU"/>
                <w14:ligatures w14:val="none"/>
              </w:rPr>
              <w:t>Contribution stabilises at a base level only, with impact payments reduced or no longer required</w:t>
            </w:r>
          </w:p>
        </w:tc>
      </w:tr>
    </w:tbl>
    <w:p w14:paraId="3258AFD5" w14:textId="3F20F3F6" w:rsidR="00DA6248" w:rsidRDefault="00114627" w:rsidP="00114627">
      <w:pPr>
        <w:pStyle w:val="ReviewHeading2"/>
        <w:rPr>
          <w:rFonts w:eastAsia="Times New Roman"/>
        </w:rPr>
      </w:pPr>
      <w:bookmarkStart w:id="150" w:name="_Toc233285627"/>
      <w:bookmarkStart w:id="151" w:name="_Toc233801506"/>
      <w:r>
        <w:rPr>
          <w:rFonts w:eastAsia="Times New Roman"/>
        </w:rPr>
        <w:t xml:space="preserve">7.8 </w:t>
      </w:r>
      <w:r w:rsidR="000F3966">
        <w:rPr>
          <w:rFonts w:eastAsia="Times New Roman"/>
        </w:rPr>
        <w:t>Panel</w:t>
      </w:r>
      <w:r>
        <w:rPr>
          <w:rFonts w:eastAsia="Times New Roman"/>
        </w:rPr>
        <w:t xml:space="preserve"> conclusions on funding</w:t>
      </w:r>
      <w:bookmarkEnd w:id="150"/>
      <w:bookmarkEnd w:id="151"/>
    </w:p>
    <w:p w14:paraId="7C9CE6B4" w14:textId="0AF7EDFC" w:rsidR="00B51B37" w:rsidRPr="00B51B37" w:rsidRDefault="00382EE8" w:rsidP="00B51B37">
      <w:pPr>
        <w:rPr>
          <w:lang w:eastAsia="en-AU"/>
        </w:rPr>
      </w:pPr>
      <w:r>
        <w:rPr>
          <w:rFonts w:ascii="ZWAdobeF" w:hAnsi="ZWAdobeF" w:cs="ZWAdobeF"/>
          <w:sz w:val="2"/>
          <w:szCs w:val="2"/>
          <w:lang w:eastAsia="en-AU"/>
        </w:rPr>
        <w:t>1264B</w:t>
      </w:r>
      <w:r w:rsidR="00B51B37" w:rsidRPr="00B51B37">
        <w:rPr>
          <w:lang w:eastAsia="en-AU"/>
        </w:rPr>
        <w:t>Overall, the proposed framework establishes a coordinated, system-wide approach to funding, aligned with governance and system outcomes. It supports shared but differentiated contributions, strengthens accountability and provides a flexible platform for long-term, adaptive investment.</w:t>
      </w:r>
    </w:p>
    <w:p w14:paraId="17A34732" w14:textId="6DEF06D4" w:rsidR="001E4ADB" w:rsidRDefault="001E4ADB">
      <w:pPr>
        <w:jc w:val="left"/>
        <w:rPr>
          <w:lang w:eastAsia="en-AU"/>
        </w:rPr>
      </w:pPr>
      <w:r>
        <w:rPr>
          <w:lang w:eastAsia="en-AU"/>
        </w:rPr>
        <w:br w:type="page"/>
      </w:r>
    </w:p>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288"/>
      </w:tblGrid>
      <w:tr w:rsidR="00183139" w14:paraId="7CB20689" w14:textId="77777777">
        <w:tc>
          <w:tcPr>
            <w:tcW w:w="9288" w:type="dxa"/>
            <w:shd w:val="clear" w:color="auto" w:fill="000099"/>
          </w:tcPr>
          <w:p w14:paraId="10C8A6C1" w14:textId="4B8D68BD" w:rsidR="00183139" w:rsidRPr="00A17844" w:rsidRDefault="00382EE8">
            <w:pPr>
              <w:pStyle w:val="RecsBox"/>
              <w:rPr>
                <w:b/>
                <w:bCs/>
              </w:rPr>
            </w:pPr>
            <w:r>
              <w:rPr>
                <w:rFonts w:ascii="ZWAdobeF" w:hAnsi="ZWAdobeF" w:cs="ZWAdobeF"/>
                <w:bCs/>
                <w:sz w:val="2"/>
                <w:szCs w:val="2"/>
              </w:rPr>
              <w:lastRenderedPageBreak/>
              <w:t>1636B</w:t>
            </w:r>
            <w:r w:rsidR="00183139" w:rsidRPr="00A17844">
              <w:rPr>
                <w:b/>
                <w:bCs/>
              </w:rPr>
              <w:t>Recommendations</w:t>
            </w:r>
          </w:p>
        </w:tc>
      </w:tr>
      <w:tr w:rsidR="00183139" w14:paraId="475A0285" w14:textId="77777777">
        <w:tc>
          <w:tcPr>
            <w:tcW w:w="9288" w:type="dxa"/>
          </w:tcPr>
          <w:p w14:paraId="6C25C04A" w14:textId="162604A8" w:rsidR="00445733" w:rsidRPr="00445733" w:rsidRDefault="00382EE8" w:rsidP="00445733">
            <w:pPr>
              <w:pStyle w:val="RecsBox"/>
              <w:rPr>
                <w:rFonts w:eastAsia="Aptos"/>
                <w:b/>
                <w:bCs/>
              </w:rPr>
            </w:pPr>
            <w:r>
              <w:rPr>
                <w:rFonts w:ascii="ZWAdobeF" w:eastAsia="Aptos" w:hAnsi="ZWAdobeF" w:cs="ZWAdobeF"/>
                <w:bCs/>
                <w:sz w:val="2"/>
                <w:szCs w:val="2"/>
              </w:rPr>
              <w:t>1637B</w:t>
            </w:r>
            <w:r w:rsidR="00445733" w:rsidRPr="00445733">
              <w:rPr>
                <w:rFonts w:eastAsia="Aptos"/>
                <w:b/>
                <w:bCs/>
              </w:rPr>
              <w:t xml:space="preserve">Recommendation 21 – Shared government funding </w:t>
            </w:r>
          </w:p>
          <w:p w14:paraId="0D36E8FC" w14:textId="28F33ADD" w:rsidR="00445733" w:rsidRPr="00A64286" w:rsidRDefault="00382EE8" w:rsidP="00445733">
            <w:pPr>
              <w:pStyle w:val="RecsBox"/>
              <w:rPr>
                <w:rFonts w:eastAsia="Aptos"/>
              </w:rPr>
            </w:pPr>
            <w:r>
              <w:rPr>
                <w:rFonts w:ascii="ZWAdobeF" w:eastAsia="Aptos" w:hAnsi="ZWAdobeF" w:cs="ZWAdobeF"/>
                <w:sz w:val="2"/>
                <w:szCs w:val="2"/>
              </w:rPr>
              <w:t>1638B</w:t>
            </w:r>
            <w:r w:rsidR="00445733" w:rsidRPr="627E6BE6">
              <w:rPr>
                <w:rFonts w:eastAsia="Aptos"/>
              </w:rPr>
              <w:t xml:space="preserve">The Australian, NSW, Victorian and </w:t>
            </w:r>
            <w:r w:rsidR="00445733" w:rsidRPr="45BA697D">
              <w:rPr>
                <w:rFonts w:eastAsia="Aptos"/>
              </w:rPr>
              <w:t>ACT</w:t>
            </w:r>
            <w:r w:rsidR="00445733" w:rsidRPr="627E6BE6">
              <w:rPr>
                <w:rFonts w:eastAsia="Aptos"/>
              </w:rPr>
              <w:t xml:space="preserve"> governments establish a shared funding model, including coordinated contributions to support system-level functions, planning and investment across the catchments.</w:t>
            </w:r>
          </w:p>
          <w:p w14:paraId="7A2F2955" w14:textId="5968EA59" w:rsidR="00445733" w:rsidRPr="00A64286" w:rsidRDefault="00382EE8" w:rsidP="00445733">
            <w:pPr>
              <w:pStyle w:val="RecsBox"/>
              <w:rPr>
                <w:rFonts w:eastAsia="Aptos"/>
              </w:rPr>
            </w:pPr>
            <w:r>
              <w:rPr>
                <w:rFonts w:ascii="ZWAdobeF" w:eastAsia="Aptos" w:hAnsi="ZWAdobeF" w:cs="ZWAdobeF"/>
                <w:sz w:val="2"/>
                <w:szCs w:val="2"/>
              </w:rPr>
              <w:t>1639B</w:t>
            </w:r>
            <w:r w:rsidR="00445733" w:rsidRPr="5C4DA2DC">
              <w:rPr>
                <w:rFonts w:eastAsia="Aptos"/>
              </w:rPr>
              <w:t xml:space="preserve">These contributions </w:t>
            </w:r>
            <w:r w:rsidR="00445733">
              <w:rPr>
                <w:rFonts w:eastAsia="Aptos"/>
              </w:rPr>
              <w:t xml:space="preserve">are to </w:t>
            </w:r>
            <w:r w:rsidR="00445733" w:rsidRPr="5C4DA2DC">
              <w:rPr>
                <w:rFonts w:eastAsia="Aptos"/>
              </w:rPr>
              <w:t>reflect system roles and responsibilities and may take different forms, including financial contributions, provision of water or entitlements, and targeted investment in catchment and system functions.</w:t>
            </w:r>
            <w:r w:rsidR="00445733" w:rsidRPr="7F54185C">
              <w:rPr>
                <w:rFonts w:eastAsia="Aptos"/>
              </w:rPr>
              <w:t xml:space="preserve"> </w:t>
            </w:r>
            <w:r w:rsidR="00445733" w:rsidRPr="5C4DA2DC">
              <w:rPr>
                <w:rFonts w:eastAsia="Aptos"/>
              </w:rPr>
              <w:t>Governments should establish enduring funding arrangements to:</w:t>
            </w:r>
          </w:p>
          <w:p w14:paraId="7E51A2D4" w14:textId="7226E696" w:rsidR="00445733" w:rsidRPr="00A64286" w:rsidRDefault="00382EE8">
            <w:pPr>
              <w:pStyle w:val="RecsBox"/>
              <w:numPr>
                <w:ilvl w:val="0"/>
                <w:numId w:val="158"/>
              </w:numPr>
              <w:rPr>
                <w:rFonts w:eastAsia="Aptos"/>
              </w:rPr>
            </w:pPr>
            <w:r>
              <w:rPr>
                <w:rFonts w:ascii="ZWAdobeF" w:eastAsia="Aptos" w:hAnsi="ZWAdobeF" w:cs="ZWAdobeF"/>
                <w:sz w:val="2"/>
                <w:szCs w:val="2"/>
              </w:rPr>
              <w:t>1640B</w:t>
            </w:r>
            <w:r w:rsidR="00445733" w:rsidRPr="00A64286">
              <w:rPr>
                <w:rFonts w:eastAsia="Aptos"/>
              </w:rPr>
              <w:t>support coordinated, cross-jurisdictional investment</w:t>
            </w:r>
          </w:p>
          <w:p w14:paraId="1CE09016" w14:textId="25315F6F" w:rsidR="00445733" w:rsidRPr="00A64286" w:rsidRDefault="00382EE8">
            <w:pPr>
              <w:pStyle w:val="RecsBox"/>
              <w:numPr>
                <w:ilvl w:val="0"/>
                <w:numId w:val="158"/>
              </w:numPr>
              <w:rPr>
                <w:rFonts w:eastAsia="Aptos"/>
              </w:rPr>
            </w:pPr>
            <w:r>
              <w:rPr>
                <w:rFonts w:ascii="ZWAdobeF" w:eastAsia="Aptos" w:hAnsi="ZWAdobeF" w:cs="ZWAdobeF"/>
                <w:sz w:val="2"/>
                <w:szCs w:val="2"/>
              </w:rPr>
              <w:t>1641B</w:t>
            </w:r>
            <w:r w:rsidR="00445733" w:rsidRPr="00A64286">
              <w:rPr>
                <w:rFonts w:eastAsia="Aptos"/>
              </w:rPr>
              <w:t>allocate funding based on agreed system-level priorities.</w:t>
            </w:r>
          </w:p>
          <w:p w14:paraId="3B6AE3B9" w14:textId="77777777" w:rsidR="002955E1" w:rsidRDefault="002955E1" w:rsidP="00445733">
            <w:pPr>
              <w:pStyle w:val="RecsBox"/>
              <w:rPr>
                <w:rFonts w:eastAsia="Aptos"/>
              </w:rPr>
            </w:pPr>
          </w:p>
          <w:p w14:paraId="36F939CD" w14:textId="59FEF607" w:rsidR="00445733" w:rsidRDefault="00382EE8" w:rsidP="00445733">
            <w:pPr>
              <w:pStyle w:val="RecsBox"/>
              <w:rPr>
                <w:rFonts w:eastAsia="Aptos"/>
              </w:rPr>
            </w:pPr>
            <w:r>
              <w:rPr>
                <w:rFonts w:ascii="ZWAdobeF" w:eastAsia="Aptos" w:hAnsi="ZWAdobeF" w:cs="ZWAdobeF"/>
                <w:sz w:val="2"/>
                <w:szCs w:val="2"/>
              </w:rPr>
              <w:t>1642B</w:t>
            </w:r>
            <w:r w:rsidR="00445733" w:rsidRPr="00A64286">
              <w:rPr>
                <w:rFonts w:eastAsia="Aptos"/>
              </w:rPr>
              <w:t xml:space="preserve">Funding </w:t>
            </w:r>
            <w:r w:rsidR="00445733">
              <w:rPr>
                <w:rFonts w:eastAsia="Aptos"/>
              </w:rPr>
              <w:t xml:space="preserve">is to </w:t>
            </w:r>
            <w:r w:rsidR="00445733" w:rsidRPr="00A64286">
              <w:rPr>
                <w:rFonts w:eastAsia="Aptos"/>
              </w:rPr>
              <w:t>be allocated based on:</w:t>
            </w:r>
          </w:p>
          <w:p w14:paraId="122B38A1" w14:textId="253AC0B0" w:rsidR="00445733" w:rsidRPr="00BE3B29" w:rsidRDefault="00382EE8">
            <w:pPr>
              <w:pStyle w:val="RecsBox"/>
              <w:numPr>
                <w:ilvl w:val="0"/>
                <w:numId w:val="159"/>
              </w:numPr>
              <w:rPr>
                <w:rFonts w:eastAsia="Aptos"/>
              </w:rPr>
            </w:pPr>
            <w:r>
              <w:rPr>
                <w:rFonts w:ascii="ZWAdobeF" w:eastAsia="Aptos" w:hAnsi="ZWAdobeF" w:cs="ZWAdobeF"/>
                <w:sz w:val="2"/>
                <w:szCs w:val="2"/>
              </w:rPr>
              <w:t>1643B</w:t>
            </w:r>
            <w:r w:rsidR="00445733" w:rsidRPr="00BE3B29">
              <w:rPr>
                <w:rFonts w:eastAsia="Aptos"/>
              </w:rPr>
              <w:t>scientific evidence and monitoring</w:t>
            </w:r>
          </w:p>
          <w:p w14:paraId="1F283316" w14:textId="389AC9C1" w:rsidR="00445733" w:rsidRPr="00BE3B29" w:rsidRDefault="00382EE8">
            <w:pPr>
              <w:pStyle w:val="RecsBox"/>
              <w:numPr>
                <w:ilvl w:val="0"/>
                <w:numId w:val="159"/>
              </w:numPr>
              <w:rPr>
                <w:rFonts w:eastAsia="Aptos"/>
              </w:rPr>
            </w:pPr>
            <w:r>
              <w:rPr>
                <w:rFonts w:ascii="ZWAdobeF" w:eastAsia="Aptos" w:hAnsi="ZWAdobeF" w:cs="ZWAdobeF"/>
                <w:sz w:val="2"/>
                <w:szCs w:val="2"/>
              </w:rPr>
              <w:t>1644B</w:t>
            </w:r>
            <w:r w:rsidR="00445733" w:rsidRPr="00BE3B29">
              <w:rPr>
                <w:rFonts w:eastAsia="Aptos"/>
              </w:rPr>
              <w:t>agreed system-level priorities</w:t>
            </w:r>
          </w:p>
          <w:p w14:paraId="643C881D" w14:textId="330742CF" w:rsidR="00445733" w:rsidRPr="00BE3B29" w:rsidRDefault="00382EE8">
            <w:pPr>
              <w:pStyle w:val="RecsBox"/>
              <w:numPr>
                <w:ilvl w:val="0"/>
                <w:numId w:val="159"/>
              </w:numPr>
              <w:rPr>
                <w:rFonts w:eastAsia="Aptos"/>
              </w:rPr>
            </w:pPr>
            <w:r>
              <w:rPr>
                <w:rFonts w:ascii="ZWAdobeF" w:eastAsia="Aptos" w:hAnsi="ZWAdobeF" w:cs="ZWAdobeF"/>
                <w:sz w:val="2"/>
                <w:szCs w:val="2"/>
              </w:rPr>
              <w:t>1645B</w:t>
            </w:r>
            <w:r w:rsidR="00445733" w:rsidRPr="00BE3B29">
              <w:rPr>
                <w:rFonts w:eastAsia="Aptos"/>
              </w:rPr>
              <w:t>input from community and First Nations</w:t>
            </w:r>
            <w:r w:rsidR="00445733">
              <w:rPr>
                <w:rFonts w:eastAsia="Aptos"/>
              </w:rPr>
              <w:t>.</w:t>
            </w:r>
          </w:p>
          <w:p w14:paraId="32677E03" w14:textId="765842CA" w:rsidR="00183139" w:rsidRPr="009C37CC" w:rsidRDefault="00382EE8" w:rsidP="00445733">
            <w:pPr>
              <w:pStyle w:val="RecsBox"/>
            </w:pPr>
            <w:r>
              <w:rPr>
                <w:rFonts w:ascii="ZWAdobeF" w:hAnsi="ZWAdobeF" w:cs="ZWAdobeF"/>
                <w:sz w:val="2"/>
                <w:szCs w:val="2"/>
              </w:rPr>
              <w:t>1646B</w:t>
            </w:r>
            <w:r w:rsidR="00445733" w:rsidRPr="00BE3B29">
              <w:t>The arrangement is to be transitional and staged, including interim measures to extend the Australian Government investments to ensure continuity (including the Restoring the Upper Murrumbidgee River Program and drought response).</w:t>
            </w:r>
          </w:p>
        </w:tc>
      </w:tr>
      <w:tr w:rsidR="00445733" w14:paraId="5B4E208E" w14:textId="77777777" w:rsidTr="004F7F24">
        <w:trPr>
          <w:trHeight w:val="1265"/>
        </w:trPr>
        <w:tc>
          <w:tcPr>
            <w:tcW w:w="9288" w:type="dxa"/>
          </w:tcPr>
          <w:p w14:paraId="391640D6" w14:textId="34212369" w:rsidR="004F7F24" w:rsidRPr="004F7F24" w:rsidRDefault="00382EE8" w:rsidP="004F7F24">
            <w:pPr>
              <w:pStyle w:val="RecsBox"/>
              <w:rPr>
                <w:rFonts w:eastAsia="Aptos"/>
                <w:b/>
                <w:bCs/>
              </w:rPr>
            </w:pPr>
            <w:r>
              <w:rPr>
                <w:rFonts w:ascii="ZWAdobeF" w:eastAsia="Aptos" w:hAnsi="ZWAdobeF" w:cs="ZWAdobeF"/>
                <w:bCs/>
                <w:sz w:val="2"/>
                <w:szCs w:val="2"/>
              </w:rPr>
              <w:t>1647B</w:t>
            </w:r>
            <w:r w:rsidR="004F7F24" w:rsidRPr="004F7F24">
              <w:rPr>
                <w:rFonts w:eastAsia="Aptos"/>
                <w:b/>
                <w:bCs/>
              </w:rPr>
              <w:t>Recommendation 22 – Snowy Hydro funding</w:t>
            </w:r>
          </w:p>
          <w:p w14:paraId="240C1071" w14:textId="4DD30985" w:rsidR="004F7F24" w:rsidRPr="00A64286" w:rsidRDefault="00382EE8" w:rsidP="004F7F24">
            <w:pPr>
              <w:pStyle w:val="RecsBox"/>
              <w:rPr>
                <w:rFonts w:eastAsia="Aptos"/>
              </w:rPr>
            </w:pPr>
            <w:r>
              <w:rPr>
                <w:rFonts w:ascii="ZWAdobeF" w:eastAsia="Aptos" w:hAnsi="ZWAdobeF" w:cs="ZWAdobeF"/>
                <w:sz w:val="2"/>
                <w:szCs w:val="2"/>
              </w:rPr>
              <w:t>1648B</w:t>
            </w:r>
            <w:r w:rsidR="004F7F24" w:rsidRPr="00A64286">
              <w:rPr>
                <w:rFonts w:eastAsia="Aptos"/>
              </w:rPr>
              <w:t>Consistent with the beneficiary</w:t>
            </w:r>
            <w:r w:rsidR="004F7F24">
              <w:rPr>
                <w:rFonts w:eastAsia="Aptos"/>
              </w:rPr>
              <w:t>-</w:t>
            </w:r>
            <w:r w:rsidR="004F7F24" w:rsidRPr="00A64286">
              <w:rPr>
                <w:rFonts w:eastAsia="Aptos"/>
              </w:rPr>
              <w:t xml:space="preserve">pays principle, Snowy Hydro make an ongoing financial contribution to support environmental and system outcomes under the renewed </w:t>
            </w:r>
            <w:r w:rsidR="004F7F24">
              <w:rPr>
                <w:rFonts w:eastAsia="Aptos"/>
              </w:rPr>
              <w:t xml:space="preserve">Deed </w:t>
            </w:r>
            <w:r w:rsidR="004F7F24" w:rsidRPr="00A64286">
              <w:rPr>
                <w:rFonts w:eastAsia="Aptos"/>
              </w:rPr>
              <w:t>arrangement.</w:t>
            </w:r>
          </w:p>
          <w:p w14:paraId="03FF4B44" w14:textId="4546F287" w:rsidR="004F7F24" w:rsidRPr="00A64286" w:rsidRDefault="00382EE8" w:rsidP="004F7F24">
            <w:pPr>
              <w:pStyle w:val="RecsBox"/>
              <w:rPr>
                <w:rFonts w:eastAsia="Aptos"/>
              </w:rPr>
            </w:pPr>
            <w:r>
              <w:rPr>
                <w:rFonts w:ascii="ZWAdobeF" w:eastAsia="Aptos" w:hAnsi="ZWAdobeF" w:cs="ZWAdobeF"/>
                <w:sz w:val="2"/>
                <w:szCs w:val="2"/>
              </w:rPr>
              <w:t>1649B</w:t>
            </w:r>
            <w:r w:rsidR="004F7F24" w:rsidRPr="00A64286">
              <w:rPr>
                <w:rFonts w:eastAsia="Aptos"/>
              </w:rPr>
              <w:t>This contribution:</w:t>
            </w:r>
          </w:p>
          <w:p w14:paraId="73F71F48" w14:textId="4DB8CABF" w:rsidR="004F7F24" w:rsidRPr="00A64286" w:rsidRDefault="00382EE8">
            <w:pPr>
              <w:pStyle w:val="RecsBox"/>
              <w:numPr>
                <w:ilvl w:val="0"/>
                <w:numId w:val="160"/>
              </w:numPr>
              <w:rPr>
                <w:rFonts w:eastAsia="Aptos"/>
              </w:rPr>
            </w:pPr>
            <w:r>
              <w:rPr>
                <w:rFonts w:ascii="ZWAdobeF" w:eastAsia="Aptos" w:hAnsi="ZWAdobeF" w:cs="ZWAdobeF"/>
                <w:sz w:val="2"/>
                <w:szCs w:val="2"/>
              </w:rPr>
              <w:t>1650B</w:t>
            </w:r>
            <w:r w:rsidR="004F7F24" w:rsidRPr="00A64286">
              <w:rPr>
                <w:rFonts w:eastAsia="Aptos"/>
              </w:rPr>
              <w:t>reflect</w:t>
            </w:r>
            <w:r w:rsidR="004F7F24">
              <w:rPr>
                <w:rFonts w:eastAsia="Aptos"/>
              </w:rPr>
              <w:t>s</w:t>
            </w:r>
            <w:r w:rsidR="004F7F24" w:rsidRPr="00A64286">
              <w:rPr>
                <w:rFonts w:eastAsia="Aptos"/>
              </w:rPr>
              <w:t xml:space="preserve"> its role in operating and influencing outcomes across the system</w:t>
            </w:r>
          </w:p>
          <w:p w14:paraId="6A77F41B" w14:textId="123D1E1C" w:rsidR="004F7F24" w:rsidRPr="00A64286" w:rsidRDefault="00382EE8">
            <w:pPr>
              <w:pStyle w:val="RecsBox"/>
              <w:numPr>
                <w:ilvl w:val="0"/>
                <w:numId w:val="160"/>
              </w:numPr>
              <w:rPr>
                <w:rFonts w:eastAsia="Aptos"/>
              </w:rPr>
            </w:pPr>
            <w:r>
              <w:rPr>
                <w:rFonts w:ascii="ZWAdobeF" w:eastAsia="Aptos" w:hAnsi="ZWAdobeF" w:cs="ZWAdobeF"/>
                <w:sz w:val="2"/>
                <w:szCs w:val="2"/>
              </w:rPr>
              <w:t>1651B</w:t>
            </w:r>
            <w:r w:rsidR="004F7F24" w:rsidRPr="00A64286">
              <w:rPr>
                <w:rFonts w:eastAsia="Aptos"/>
              </w:rPr>
              <w:t>contribute to the costs of environmental, catchment and system functions, coordinated by governments</w:t>
            </w:r>
          </w:p>
          <w:p w14:paraId="16DC9FD4" w14:textId="779E62B1" w:rsidR="004F7F24" w:rsidRPr="00A64286" w:rsidRDefault="00382EE8">
            <w:pPr>
              <w:pStyle w:val="RecsBox"/>
              <w:numPr>
                <w:ilvl w:val="0"/>
                <w:numId w:val="160"/>
              </w:numPr>
              <w:rPr>
                <w:rFonts w:eastAsia="Aptos"/>
              </w:rPr>
            </w:pPr>
            <w:r>
              <w:rPr>
                <w:rFonts w:ascii="ZWAdobeF" w:eastAsia="Aptos" w:hAnsi="ZWAdobeF" w:cs="ZWAdobeF"/>
                <w:sz w:val="2"/>
                <w:szCs w:val="2"/>
              </w:rPr>
              <w:t>1652B</w:t>
            </w:r>
            <w:r w:rsidR="004F7F24" w:rsidRPr="00A64286">
              <w:rPr>
                <w:rFonts w:eastAsia="Aptos"/>
              </w:rPr>
              <w:t>provide certainty over time</w:t>
            </w:r>
          </w:p>
          <w:p w14:paraId="28EC50B3" w14:textId="17858079" w:rsidR="004F7F24" w:rsidRPr="00A64286" w:rsidRDefault="00382EE8">
            <w:pPr>
              <w:pStyle w:val="RecsBox"/>
              <w:numPr>
                <w:ilvl w:val="0"/>
                <w:numId w:val="160"/>
              </w:numPr>
              <w:rPr>
                <w:rFonts w:eastAsia="Aptos"/>
              </w:rPr>
            </w:pPr>
            <w:r>
              <w:rPr>
                <w:rFonts w:ascii="ZWAdobeF" w:eastAsia="Aptos" w:hAnsi="ZWAdobeF" w:cs="ZWAdobeF"/>
                <w:sz w:val="2"/>
                <w:szCs w:val="2"/>
              </w:rPr>
              <w:t>1653B</w:t>
            </w:r>
            <w:r w:rsidR="004F7F24" w:rsidRPr="00A64286">
              <w:rPr>
                <w:rFonts w:eastAsia="Aptos"/>
              </w:rPr>
              <w:t>include a base contribution and where appropriate, an additional contribution linked to system-level effects of operations.</w:t>
            </w:r>
          </w:p>
          <w:p w14:paraId="083E5BA3" w14:textId="36ACA011" w:rsidR="00445733" w:rsidRPr="004F7F24" w:rsidRDefault="00382EE8" w:rsidP="00445733">
            <w:pPr>
              <w:pStyle w:val="RecsBox"/>
              <w:rPr>
                <w:rFonts w:eastAsia="Aptos"/>
              </w:rPr>
            </w:pPr>
            <w:r>
              <w:rPr>
                <w:rFonts w:ascii="ZWAdobeF" w:eastAsia="Aptos" w:hAnsi="ZWAdobeF" w:cs="ZWAdobeF"/>
                <w:sz w:val="2"/>
                <w:szCs w:val="2"/>
              </w:rPr>
              <w:t>1654B</w:t>
            </w:r>
            <w:r w:rsidR="004F7F24" w:rsidRPr="00A64286">
              <w:rPr>
                <w:rFonts w:eastAsia="Aptos"/>
              </w:rPr>
              <w:t xml:space="preserve">The level and structure of these contributions </w:t>
            </w:r>
            <w:r w:rsidR="004F7F24">
              <w:rPr>
                <w:rFonts w:eastAsia="Aptos"/>
              </w:rPr>
              <w:t xml:space="preserve">are to be </w:t>
            </w:r>
            <w:r w:rsidR="004F7F24" w:rsidRPr="00A64286">
              <w:rPr>
                <w:rFonts w:eastAsia="Aptos"/>
              </w:rPr>
              <w:t>determined through an independent pricing or regulatory process (such as IPART), to ensure transparency, consistency and objectivity.</w:t>
            </w:r>
          </w:p>
        </w:tc>
      </w:tr>
    </w:tbl>
    <w:p w14:paraId="56E97995" w14:textId="77777777" w:rsidR="00AE2B6C" w:rsidRDefault="00AE2B6C">
      <w:pPr>
        <w:jc w:val="left"/>
        <w:rPr>
          <w:lang w:eastAsia="en-AU"/>
        </w:rPr>
      </w:pPr>
      <w:r>
        <w:rPr>
          <w:lang w:eastAsia="en-AU"/>
        </w:rPr>
        <w:br w:type="page"/>
      </w:r>
    </w:p>
    <w:p w14:paraId="71593B0D" w14:textId="33BEB82F" w:rsidR="007D0656" w:rsidRDefault="00382EE8" w:rsidP="00115BD6">
      <w:pPr>
        <w:pStyle w:val="ReviewHeading"/>
        <w:numPr>
          <w:ilvl w:val="0"/>
          <w:numId w:val="95"/>
        </w:numPr>
        <w:ind w:left="284"/>
      </w:pPr>
      <w:bookmarkStart w:id="152" w:name="_Toc233123470"/>
      <w:bookmarkStart w:id="153" w:name="_Toc233123471"/>
      <w:bookmarkStart w:id="154" w:name="_Toc233123472"/>
      <w:bookmarkStart w:id="155" w:name="_Toc233123473"/>
      <w:bookmarkStart w:id="156" w:name="_Toc233123474"/>
      <w:bookmarkStart w:id="157" w:name="_Toc233123475"/>
      <w:bookmarkStart w:id="158" w:name="_Toc233123476"/>
      <w:bookmarkStart w:id="159" w:name="_Toc233123477"/>
      <w:bookmarkStart w:id="160" w:name="_Toc233285628"/>
      <w:bookmarkStart w:id="161" w:name="_Toc233801507"/>
      <w:bookmarkEnd w:id="152"/>
      <w:bookmarkEnd w:id="153"/>
      <w:bookmarkEnd w:id="154"/>
      <w:bookmarkEnd w:id="155"/>
      <w:bookmarkEnd w:id="156"/>
      <w:bookmarkEnd w:id="157"/>
      <w:bookmarkEnd w:id="158"/>
      <w:bookmarkEnd w:id="159"/>
      <w:r>
        <w:rPr>
          <w:rFonts w:ascii="ZWAdobeF" w:hAnsi="ZWAdobeF" w:cs="ZWAdobeF"/>
          <w:b w:val="0"/>
          <w:color w:val="auto"/>
          <w:spacing w:val="0"/>
          <w:sz w:val="2"/>
          <w:szCs w:val="2"/>
        </w:rPr>
        <w:lastRenderedPageBreak/>
        <w:t>1667B</w:t>
      </w:r>
      <w:r w:rsidR="00C17E13">
        <w:t>Implementation Roadmap</w:t>
      </w:r>
      <w:bookmarkEnd w:id="160"/>
      <w:bookmarkEnd w:id="161"/>
    </w:p>
    <w:p w14:paraId="46FCD674" w14:textId="77777777" w:rsidR="004625B1" w:rsidRDefault="004625B1" w:rsidP="005A21D7"/>
    <w:p w14:paraId="206FD9CA" w14:textId="394C0092" w:rsidR="005A21D7" w:rsidRPr="005A21D7" w:rsidRDefault="00382EE8" w:rsidP="005A21D7">
      <w:r>
        <w:rPr>
          <w:rFonts w:ascii="ZWAdobeF" w:hAnsi="ZWAdobeF" w:cs="ZWAdobeF"/>
          <w:sz w:val="2"/>
          <w:szCs w:val="2"/>
        </w:rPr>
        <w:t>1265B</w:t>
      </w:r>
      <w:r w:rsidR="005A21D7">
        <w:t>This chapter outlines a staged implement</w:t>
      </w:r>
      <w:r w:rsidR="0701D956">
        <w:t>ation</w:t>
      </w:r>
      <w:r w:rsidR="005A21D7">
        <w:t xml:space="preserve"> pathway for transitioning from current arrangements to a coordinated, adaptive system for managing the Snowy Scheme. It sets out the sequencing of key decisions, institutional changes and operational reforms required to give effect to the Panel’s recommendations. </w:t>
      </w:r>
    </w:p>
    <w:p w14:paraId="7E02EA8D" w14:textId="2930341D" w:rsidR="005A21D7" w:rsidRPr="005A21D7" w:rsidRDefault="00382EE8" w:rsidP="005A21D7">
      <w:pPr>
        <w:rPr>
          <w:color w:val="0F4761" w:themeColor="accent1" w:themeShade="BF"/>
        </w:rPr>
      </w:pPr>
      <w:r>
        <w:rPr>
          <w:rFonts w:ascii="ZWAdobeF" w:hAnsi="ZWAdobeF" w:cs="ZWAdobeF"/>
          <w:sz w:val="2"/>
          <w:szCs w:val="2"/>
        </w:rPr>
        <w:t>1266B</w:t>
      </w:r>
      <w:r w:rsidR="005A21D7" w:rsidRPr="005A21D7">
        <w:t xml:space="preserve">The approach recognises the need to maintain system stability while enabling early action, and reflects the legal, technical and intergovernmental constraints that shape how reform can be delivered in practice. </w:t>
      </w:r>
      <w:r w:rsidR="3B3A2E44">
        <w:t>The</w:t>
      </w:r>
      <w:r w:rsidR="005A21D7" w:rsidRPr="005A21D7">
        <w:t xml:space="preserve"> roadmap provides a structured basis for governments to progress reform in a phased manner while ensuring full implementation over time.</w:t>
      </w:r>
    </w:p>
    <w:p w14:paraId="6244786D" w14:textId="0D4FDF03" w:rsidR="005A21D7" w:rsidRDefault="005A21D7" w:rsidP="005A21D7">
      <w:pPr>
        <w:pStyle w:val="ReviewHeading2"/>
      </w:pPr>
      <w:bookmarkStart w:id="162" w:name="_Toc233285629"/>
      <w:bookmarkStart w:id="163" w:name="_Toc233801508"/>
      <w:r>
        <w:t xml:space="preserve">8.1 Implementation </w:t>
      </w:r>
      <w:bookmarkStart w:id="164" w:name="_Int_QZRDnWgM"/>
      <w:r>
        <w:t>at a glance</w:t>
      </w:r>
      <w:bookmarkEnd w:id="162"/>
      <w:bookmarkEnd w:id="163"/>
      <w:bookmarkEnd w:id="164"/>
    </w:p>
    <w:p w14:paraId="3600F257" w14:textId="16788919" w:rsidR="00E15366" w:rsidRPr="00424AA6" w:rsidRDefault="00382EE8" w:rsidP="00E15366">
      <w:r>
        <w:rPr>
          <w:rFonts w:ascii="ZWAdobeF" w:hAnsi="ZWAdobeF" w:cs="ZWAdobeF"/>
          <w:sz w:val="2"/>
          <w:szCs w:val="2"/>
        </w:rPr>
        <w:t>1267B</w:t>
      </w:r>
      <w:r w:rsidR="00E15366" w:rsidRPr="00424AA6">
        <w:t>Implementation of the Panel’s recommendations will proceed in three phases:</w:t>
      </w:r>
    </w:p>
    <w:p w14:paraId="5D5DD310" w14:textId="56CD2104" w:rsidR="00E15366" w:rsidRPr="007640C2" w:rsidRDefault="00382EE8" w:rsidP="00115BD6">
      <w:pPr>
        <w:pStyle w:val="ListParagraph"/>
        <w:numPr>
          <w:ilvl w:val="0"/>
          <w:numId w:val="40"/>
        </w:numPr>
      </w:pPr>
      <w:r>
        <w:rPr>
          <w:rFonts w:ascii="ZWAdobeF" w:hAnsi="ZWAdobeF" w:cs="ZWAdobeF"/>
          <w:bCs/>
          <w:sz w:val="2"/>
          <w:szCs w:val="2"/>
        </w:rPr>
        <w:t>439B</w:t>
      </w:r>
      <w:r w:rsidR="00E15366" w:rsidRPr="6332CC80">
        <w:rPr>
          <w:b/>
          <w:bCs/>
        </w:rPr>
        <w:t>Phase 1 (0–2 years):</w:t>
      </w:r>
      <w:r w:rsidR="00E15366">
        <w:t xml:space="preserve"> Establish the</w:t>
      </w:r>
      <w:r w:rsidR="00CE5EF8">
        <w:t xml:space="preserve"> new Deed</w:t>
      </w:r>
      <w:r w:rsidR="00E15366">
        <w:t>, governance arrangements and funding architecture, while maintaining continuity of existing programs and initiating early actions</w:t>
      </w:r>
      <w:r w:rsidR="00126A70">
        <w:t>, including increasing the release of water from Tan</w:t>
      </w:r>
      <w:r w:rsidR="009406FE">
        <w:t>t</w:t>
      </w:r>
      <w:r w:rsidR="00126A70">
        <w:t xml:space="preserve">angara Dam </w:t>
      </w:r>
      <w:r w:rsidR="009406FE" w:rsidRPr="00A64286">
        <w:rPr>
          <w:rFonts w:eastAsiaTheme="minorEastAsia"/>
          <w:szCs w:val="22"/>
          <w:lang w:val="en-US"/>
        </w:rPr>
        <w:t>to an average annual target of 23% (68 GL equivalent) of average annua</w:t>
      </w:r>
      <w:r w:rsidR="009406FE" w:rsidRPr="00A64286">
        <w:rPr>
          <w:rFonts w:eastAsia="Aptos" w:cs="Aptos"/>
          <w:szCs w:val="22"/>
          <w:lang w:val="en-US"/>
        </w:rPr>
        <w:t>l inflow</w:t>
      </w:r>
      <w:r w:rsidR="00E15366">
        <w:t>.</w:t>
      </w:r>
    </w:p>
    <w:p w14:paraId="7376F662" w14:textId="421911D0" w:rsidR="00E15366" w:rsidRPr="007640C2" w:rsidRDefault="00382EE8" w:rsidP="00115BD6">
      <w:pPr>
        <w:pStyle w:val="ListParagraph"/>
        <w:numPr>
          <w:ilvl w:val="0"/>
          <w:numId w:val="40"/>
        </w:numPr>
      </w:pPr>
      <w:r>
        <w:rPr>
          <w:rFonts w:ascii="ZWAdobeF" w:hAnsi="ZWAdobeF" w:cs="ZWAdobeF"/>
          <w:bCs/>
          <w:sz w:val="2"/>
          <w:szCs w:val="2"/>
        </w:rPr>
        <w:t>440B</w:t>
      </w:r>
      <w:r w:rsidR="00E15366" w:rsidRPr="00E15366">
        <w:rPr>
          <w:b/>
          <w:bCs/>
        </w:rPr>
        <w:t>Phase 2 (2–5 years):</w:t>
      </w:r>
      <w:r w:rsidR="00E15366" w:rsidRPr="007640C2">
        <w:t xml:space="preserve"> Embed reforms through Snowy Water Licence amendments, operational funding arrangements, and implementation of the planning framework.</w:t>
      </w:r>
    </w:p>
    <w:p w14:paraId="35D70B2F" w14:textId="72B5C37A" w:rsidR="00E15366" w:rsidRPr="007640C2" w:rsidRDefault="00382EE8" w:rsidP="00115BD6">
      <w:pPr>
        <w:pStyle w:val="ListParagraph"/>
        <w:numPr>
          <w:ilvl w:val="0"/>
          <w:numId w:val="40"/>
        </w:numPr>
      </w:pPr>
      <w:r>
        <w:rPr>
          <w:rFonts w:ascii="ZWAdobeF" w:hAnsi="ZWAdobeF" w:cs="ZWAdobeF"/>
          <w:bCs/>
          <w:sz w:val="2"/>
          <w:szCs w:val="2"/>
        </w:rPr>
        <w:t>441B</w:t>
      </w:r>
      <w:r w:rsidR="00E15366" w:rsidRPr="00E15366">
        <w:rPr>
          <w:b/>
          <w:bCs/>
        </w:rPr>
        <w:t>Phase 3 (5+ years):</w:t>
      </w:r>
      <w:r w:rsidR="00E15366" w:rsidRPr="007640C2">
        <w:t xml:space="preserve"> Consolidate and operate a mature, adaptive system.</w:t>
      </w:r>
    </w:p>
    <w:p w14:paraId="15D4CE09" w14:textId="115E88E0" w:rsidR="00E15366" w:rsidRPr="00424AA6" w:rsidRDefault="00382EE8" w:rsidP="00E15366">
      <w:r>
        <w:rPr>
          <w:rFonts w:ascii="ZWAdobeF" w:hAnsi="ZWAdobeF" w:cs="ZWAdobeF"/>
          <w:sz w:val="2"/>
          <w:szCs w:val="2"/>
        </w:rPr>
        <w:t>1268B</w:t>
      </w:r>
      <w:r w:rsidR="00620FC0">
        <w:t>A</w:t>
      </w:r>
      <w:r w:rsidR="00E15366">
        <w:t xml:space="preserve">ction within the first 12 months is critical to initiate intergovernmental processes, stabilise funding, </w:t>
      </w:r>
      <w:r w:rsidR="00460783">
        <w:t>agree on a</w:t>
      </w:r>
      <w:r w:rsidR="002B0B51">
        <w:t xml:space="preserve"> new</w:t>
      </w:r>
      <w:r w:rsidR="00620990">
        <w:t xml:space="preserve"> environmental flow</w:t>
      </w:r>
      <w:r w:rsidR="002B0B51">
        <w:t xml:space="preserve"> program</w:t>
      </w:r>
      <w:r w:rsidR="00620990">
        <w:t xml:space="preserve"> </w:t>
      </w:r>
      <w:r w:rsidR="002B0B51">
        <w:t>delivered</w:t>
      </w:r>
      <w:r w:rsidR="00620990">
        <w:t xml:space="preserve"> through </w:t>
      </w:r>
      <w:r w:rsidR="007C6AAB">
        <w:t>both planned and adaptive environmental water</w:t>
      </w:r>
      <w:r w:rsidR="002C54EB">
        <w:t xml:space="preserve"> (</w:t>
      </w:r>
      <w:r w:rsidR="002C54EB" w:rsidRPr="00262AF4">
        <w:rPr>
          <w:b/>
          <w:bCs/>
        </w:rPr>
        <w:t>Chapter 4</w:t>
      </w:r>
      <w:r w:rsidR="002C54EB">
        <w:t>)</w:t>
      </w:r>
      <w:r w:rsidR="007C6AAB">
        <w:t xml:space="preserve">, </w:t>
      </w:r>
      <w:r w:rsidR="00620990">
        <w:t xml:space="preserve">commence </w:t>
      </w:r>
      <w:r w:rsidR="002623A9">
        <w:t>Flow</w:t>
      </w:r>
      <w:r w:rsidR="00D63266">
        <w:t>-</w:t>
      </w:r>
      <w:r w:rsidR="002623A9">
        <w:t>MER</w:t>
      </w:r>
      <w:r w:rsidR="00D63266">
        <w:t xml:space="preserve"> monitoring</w:t>
      </w:r>
      <w:r w:rsidR="00F92089">
        <w:t>,</w:t>
      </w:r>
      <w:r w:rsidR="002623A9">
        <w:t xml:space="preserve"> </w:t>
      </w:r>
      <w:r w:rsidR="00E15366">
        <w:t>and begin technical design work</w:t>
      </w:r>
      <w:r w:rsidR="006905C7">
        <w:t>.</w:t>
      </w:r>
      <w:r w:rsidR="00E15366">
        <w:t xml:space="preserve"> Implementation should be guided by a consistent set of principles (</w:t>
      </w:r>
      <w:r w:rsidR="00E15366" w:rsidRPr="00286AA1">
        <w:rPr>
          <w:b/>
        </w:rPr>
        <w:t xml:space="preserve">see Box </w:t>
      </w:r>
      <w:r w:rsidR="00286AA1" w:rsidRPr="00286AA1">
        <w:rPr>
          <w:b/>
          <w:bCs/>
        </w:rPr>
        <w:t>12</w:t>
      </w:r>
      <w:r w:rsidR="00E15366">
        <w:t xml:space="preserve">) to support coordinated intergovernmental decision-making. </w:t>
      </w:r>
    </w:p>
    <w:p w14:paraId="1486DC24" w14:textId="7F7A4964" w:rsidR="00705AAA" w:rsidRPr="00591B06" w:rsidRDefault="00382EE8" w:rsidP="007910C5">
      <w:r>
        <w:rPr>
          <w:rFonts w:ascii="ZWAdobeF" w:hAnsi="ZWAdobeF" w:cs="ZWAdobeF"/>
          <w:sz w:val="2"/>
          <w:szCs w:val="2"/>
        </w:rPr>
        <w:t>1269B</w:t>
      </w:r>
      <w:r w:rsidR="00705AAA" w:rsidRPr="00591B06">
        <w:t>The implementation pathway distinguishes between policy agreement, legal effect and operational delivery, recognising that these elements progress at different speeds but must remain aligned over time.</w:t>
      </w:r>
    </w:p>
    <w:p w14:paraId="12B3F11C" w14:textId="24AA24A3" w:rsidR="00F74D0D" w:rsidRDefault="00024ED0" w:rsidP="007910C5">
      <w:pPr>
        <w:pStyle w:val="ReviewHeading2"/>
      </w:pPr>
      <w:bookmarkStart w:id="165" w:name="_Toc233285630"/>
      <w:bookmarkStart w:id="166" w:name="_Toc233801509"/>
      <w:r>
        <w:rPr>
          <w:noProof/>
        </w:rPr>
        <w:lastRenderedPageBreak/>
        <mc:AlternateContent>
          <mc:Choice Requires="wps">
            <w:drawing>
              <wp:anchor distT="45720" distB="45720" distL="114300" distR="114300" simplePos="0" relativeHeight="251658263" behindDoc="0" locked="0" layoutInCell="1" allowOverlap="1" wp14:anchorId="5DED9688" wp14:editId="579A29B0">
                <wp:simplePos x="0" y="0"/>
                <wp:positionH relativeFrom="margin">
                  <wp:posOffset>-90805</wp:posOffset>
                </wp:positionH>
                <wp:positionV relativeFrom="paragraph">
                  <wp:posOffset>38100</wp:posOffset>
                </wp:positionV>
                <wp:extent cx="6082030" cy="4509770"/>
                <wp:effectExtent l="38100" t="38100" r="90170" b="100330"/>
                <wp:wrapSquare wrapText="bothSides"/>
                <wp:docPr id="305581707" name="Text Box 2" descr="P1980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4509770"/>
                        </a:xfrm>
                        <a:prstGeom prst="rect">
                          <a:avLst/>
                        </a:prstGeom>
                        <a:solidFill>
                          <a:schemeClr val="tx2">
                            <a:lumMod val="10000"/>
                            <a:lumOff val="90000"/>
                          </a:schemeClr>
                        </a:solidFill>
                        <a:ln w="9525">
                          <a:noFill/>
                          <a:miter lim="800000"/>
                          <a:headEnd/>
                          <a:tailEnd/>
                        </a:ln>
                        <a:effectLst>
                          <a:outerShdw blurRad="50800" dist="38100" dir="2700000" algn="tl" rotWithShape="0">
                            <a:prstClr val="black">
                              <a:alpha val="40000"/>
                            </a:prstClr>
                          </a:outerShdw>
                        </a:effectLst>
                      </wps:spPr>
                      <wps:txbx>
                        <w:txbxContent>
                          <w:p w14:paraId="73E2F572" w14:textId="4B0FACD9" w:rsidR="00DE5784" w:rsidRDefault="00DE5784" w:rsidP="00D44F0D">
                            <w:pPr>
                              <w:rPr>
                                <w:b/>
                                <w:sz w:val="20"/>
                                <w:szCs w:val="22"/>
                              </w:rPr>
                            </w:pPr>
                          </w:p>
                          <w:p w14:paraId="3E97C142" w14:textId="710F5647" w:rsidR="00D44F0D" w:rsidRPr="00DE5784" w:rsidRDefault="00D44F0D" w:rsidP="00D44F0D">
                            <w:pPr>
                              <w:rPr>
                                <w:b/>
                                <w:bCs/>
                                <w:sz w:val="18"/>
                                <w:szCs w:val="20"/>
                              </w:rPr>
                            </w:pPr>
                            <w:r w:rsidRPr="00DE5784">
                              <w:rPr>
                                <w:b/>
                                <w:bCs/>
                                <w:sz w:val="18"/>
                                <w:szCs w:val="20"/>
                              </w:rPr>
                              <w:t xml:space="preserve">1. Immediate commencement is required </w:t>
                            </w:r>
                          </w:p>
                          <w:p w14:paraId="5EDDD053" w14:textId="77777777" w:rsidR="00D44F0D" w:rsidRPr="00DE5784" w:rsidRDefault="00D44F0D" w:rsidP="00D44F0D">
                            <w:pPr>
                              <w:rPr>
                                <w:sz w:val="18"/>
                                <w:szCs w:val="20"/>
                              </w:rPr>
                            </w:pPr>
                            <w:r w:rsidRPr="00DE5784">
                              <w:rPr>
                                <w:sz w:val="18"/>
                                <w:szCs w:val="20"/>
                              </w:rPr>
                              <w:t>Implementation should proceed as a deliberate transition to a more effective and sustainable system.</w:t>
                            </w:r>
                          </w:p>
                          <w:p w14:paraId="7E8DE7B3" w14:textId="462E46A9" w:rsidR="00D44F0D" w:rsidRPr="00DE5784" w:rsidRDefault="00D44F0D" w:rsidP="00D44F0D">
                            <w:pPr>
                              <w:rPr>
                                <w:b/>
                                <w:bCs/>
                                <w:sz w:val="18"/>
                                <w:szCs w:val="20"/>
                              </w:rPr>
                            </w:pPr>
                            <w:r w:rsidRPr="00DE5784">
                              <w:rPr>
                                <w:b/>
                                <w:bCs/>
                                <w:sz w:val="18"/>
                                <w:szCs w:val="20"/>
                              </w:rPr>
                              <w:t>2. Build on existing frameworks</w:t>
                            </w:r>
                          </w:p>
                          <w:p w14:paraId="24FEBF48" w14:textId="77777777" w:rsidR="00D44F0D" w:rsidRPr="00DE5784" w:rsidRDefault="00D44F0D" w:rsidP="00D44F0D">
                            <w:pPr>
                              <w:rPr>
                                <w:sz w:val="18"/>
                                <w:szCs w:val="20"/>
                              </w:rPr>
                            </w:pPr>
                            <w:r w:rsidRPr="00DE5784">
                              <w:rPr>
                                <w:sz w:val="18"/>
                                <w:szCs w:val="20"/>
                              </w:rPr>
                              <w:t>Reforms should use and adapt existing institutions, legislation and agreements wherever possible, avoiding unnecessary complexity or duplication.</w:t>
                            </w:r>
                          </w:p>
                          <w:p w14:paraId="5BFCED5E" w14:textId="5C36639A" w:rsidR="00D44F0D" w:rsidRPr="00DE5784" w:rsidRDefault="00D44F0D" w:rsidP="00D44F0D">
                            <w:pPr>
                              <w:rPr>
                                <w:b/>
                                <w:bCs/>
                                <w:sz w:val="18"/>
                                <w:szCs w:val="20"/>
                              </w:rPr>
                            </w:pPr>
                            <w:r w:rsidRPr="00DE5784">
                              <w:rPr>
                                <w:b/>
                                <w:bCs/>
                                <w:sz w:val="18"/>
                                <w:szCs w:val="20"/>
                              </w:rPr>
                              <w:t>3. Sequence reform to manage risk</w:t>
                            </w:r>
                          </w:p>
                          <w:p w14:paraId="112B228B" w14:textId="77777777" w:rsidR="00D44F0D" w:rsidRPr="00DE5784" w:rsidRDefault="00D44F0D" w:rsidP="00D44F0D">
                            <w:pPr>
                              <w:rPr>
                                <w:sz w:val="18"/>
                                <w:szCs w:val="20"/>
                              </w:rPr>
                            </w:pPr>
                            <w:r w:rsidRPr="00DE5784">
                              <w:rPr>
                                <w:sz w:val="18"/>
                                <w:szCs w:val="20"/>
                              </w:rPr>
                              <w:t>Implementation should be staged, with early actions establishing core elements and more complex changes introduced progressively. Snowy 2.0 is a major project which brings additional capability that is critical to the NEM and important in the delivery of the Panel’s recommendations.  The sequencing of reform should be coordinated with the completion and commissioning of this project.</w:t>
                            </w:r>
                          </w:p>
                          <w:p w14:paraId="3ED8D77B" w14:textId="07ABC806" w:rsidR="00D44F0D" w:rsidRPr="00DE5784" w:rsidRDefault="00D44F0D" w:rsidP="00D44F0D">
                            <w:pPr>
                              <w:rPr>
                                <w:b/>
                                <w:bCs/>
                                <w:sz w:val="18"/>
                                <w:szCs w:val="20"/>
                              </w:rPr>
                            </w:pPr>
                            <w:r w:rsidRPr="00DE5784">
                              <w:rPr>
                                <w:b/>
                                <w:bCs/>
                                <w:sz w:val="18"/>
                                <w:szCs w:val="20"/>
                              </w:rPr>
                              <w:t>4. Maintain system stability during transition</w:t>
                            </w:r>
                          </w:p>
                          <w:p w14:paraId="1FCF713D" w14:textId="77777777" w:rsidR="00D44F0D" w:rsidRPr="00DE5784" w:rsidRDefault="00D44F0D" w:rsidP="00D44F0D">
                            <w:pPr>
                              <w:rPr>
                                <w:sz w:val="18"/>
                                <w:szCs w:val="20"/>
                              </w:rPr>
                            </w:pPr>
                            <w:r w:rsidRPr="00DE5784">
                              <w:rPr>
                                <w:sz w:val="18"/>
                                <w:szCs w:val="20"/>
                              </w:rPr>
                              <w:t>Changes must ensure continuity of water delivery, environmental outcomes and energy system performance.</w:t>
                            </w:r>
                          </w:p>
                          <w:p w14:paraId="7437E5AF" w14:textId="6FAFCA25" w:rsidR="00D44F0D" w:rsidRPr="00DE5784" w:rsidRDefault="00D44F0D" w:rsidP="00D44F0D">
                            <w:pPr>
                              <w:rPr>
                                <w:b/>
                                <w:bCs/>
                                <w:sz w:val="18"/>
                                <w:szCs w:val="20"/>
                              </w:rPr>
                            </w:pPr>
                            <w:r w:rsidRPr="00DE5784">
                              <w:rPr>
                                <w:b/>
                                <w:bCs/>
                                <w:sz w:val="18"/>
                                <w:szCs w:val="20"/>
                              </w:rPr>
                              <w:t>5. Align actions with jurisdictional responsibilities</w:t>
                            </w:r>
                          </w:p>
                          <w:p w14:paraId="1F735114" w14:textId="77777777" w:rsidR="00D44F0D" w:rsidRPr="00DE5784" w:rsidRDefault="00D44F0D" w:rsidP="00D44F0D">
                            <w:pPr>
                              <w:rPr>
                                <w:sz w:val="18"/>
                                <w:szCs w:val="20"/>
                              </w:rPr>
                            </w:pPr>
                            <w:r w:rsidRPr="00DE5784">
                              <w:rPr>
                                <w:sz w:val="18"/>
                                <w:szCs w:val="20"/>
                              </w:rPr>
                              <w:t>Actions should be undertaken at the appropriate level, enabling early progress without requiring all elements to be agreed simultaneously.</w:t>
                            </w:r>
                          </w:p>
                          <w:p w14:paraId="25FA3253" w14:textId="58A77E9D" w:rsidR="00D44F0D" w:rsidRPr="00DE5784" w:rsidRDefault="00D44F0D" w:rsidP="00D44F0D">
                            <w:pPr>
                              <w:rPr>
                                <w:b/>
                                <w:bCs/>
                                <w:sz w:val="18"/>
                                <w:szCs w:val="20"/>
                              </w:rPr>
                            </w:pPr>
                            <w:r w:rsidRPr="00DE5784">
                              <w:rPr>
                                <w:b/>
                                <w:bCs/>
                                <w:sz w:val="18"/>
                                <w:szCs w:val="20"/>
                              </w:rPr>
                              <w:t>6. Enable adaptive implementation</w:t>
                            </w:r>
                          </w:p>
                          <w:p w14:paraId="7813E9D1" w14:textId="0A696DA0" w:rsidR="00D44F0D" w:rsidRPr="00DE5784" w:rsidRDefault="00D44F0D" w:rsidP="00D44F0D">
                            <w:pPr>
                              <w:rPr>
                                <w:sz w:val="18"/>
                                <w:szCs w:val="20"/>
                              </w:rPr>
                            </w:pPr>
                            <w:r w:rsidRPr="00DE5784">
                              <w:rPr>
                                <w:sz w:val="18"/>
                                <w:szCs w:val="20"/>
                              </w:rPr>
                              <w:t>Implementation should adjust over time in response to improved information, system performance and changing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D9688" id="_x0000_s1052" type="#_x0000_t202" alt="P1980TB24#y1" style="position:absolute;left:0;text-align:left;margin-left:-7.15pt;margin-top:3pt;width:478.9pt;height:355.1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" fillcolor="#dceaf7 [351]" stroked="f">
                <v:shadow on="t" color="black" opacity="26214f" origin="-.5,-.5" offset=".74836mm,.74836mm"/>
                <v:textbox>
                  <w:txbxContent>
                    <w:p w14:paraId="73E2F572" w14:textId="4B0FACD9" w:rsidR="00DE5784" w:rsidRDefault="00DE5784" w:rsidP="00D44F0D">
                      <w:pPr>
                        <w:rPr>
                          <w:b/>
                          <w:sz w:val="20"/>
                          <w:szCs w:val="22"/>
                        </w:rPr>
                      </w:pPr>
                    </w:p>
                    <w:p w14:paraId="3E97C142" w14:textId="710F5647" w:rsidR="00D44F0D" w:rsidRPr="00DE5784" w:rsidRDefault="00D44F0D" w:rsidP="00D44F0D">
                      <w:pPr>
                        <w:rPr>
                          <w:b/>
                          <w:bCs/>
                          <w:sz w:val="18"/>
                          <w:szCs w:val="20"/>
                        </w:rPr>
                      </w:pPr>
                      <w:r w:rsidRPr="00DE5784">
                        <w:rPr>
                          <w:b/>
                          <w:bCs/>
                          <w:sz w:val="18"/>
                          <w:szCs w:val="20"/>
                        </w:rPr>
                        <w:t xml:space="preserve">1. Immediate commencement is required </w:t>
                      </w:r>
                    </w:p>
                    <w:p w14:paraId="5EDDD053" w14:textId="77777777" w:rsidR="00D44F0D" w:rsidRPr="00DE5784" w:rsidRDefault="00D44F0D" w:rsidP="00D44F0D">
                      <w:pPr>
                        <w:rPr>
                          <w:sz w:val="18"/>
                          <w:szCs w:val="20"/>
                        </w:rPr>
                      </w:pPr>
                      <w:r w:rsidRPr="00DE5784">
                        <w:rPr>
                          <w:sz w:val="18"/>
                          <w:szCs w:val="20"/>
                        </w:rPr>
                        <w:t>Implementation should proceed as a deliberate transition to a more effective and sustainable system.</w:t>
                      </w:r>
                    </w:p>
                    <w:p w14:paraId="7E8DE7B3" w14:textId="462E46A9" w:rsidR="00D44F0D" w:rsidRPr="00DE5784" w:rsidRDefault="00D44F0D" w:rsidP="00D44F0D">
                      <w:pPr>
                        <w:rPr>
                          <w:b/>
                          <w:bCs/>
                          <w:sz w:val="18"/>
                          <w:szCs w:val="20"/>
                        </w:rPr>
                      </w:pPr>
                      <w:r w:rsidRPr="00DE5784">
                        <w:rPr>
                          <w:b/>
                          <w:bCs/>
                          <w:sz w:val="18"/>
                          <w:szCs w:val="20"/>
                        </w:rPr>
                        <w:t>2. Build on existing frameworks</w:t>
                      </w:r>
                    </w:p>
                    <w:p w14:paraId="24FEBF48" w14:textId="77777777" w:rsidR="00D44F0D" w:rsidRPr="00DE5784" w:rsidRDefault="00D44F0D" w:rsidP="00D44F0D">
                      <w:pPr>
                        <w:rPr>
                          <w:sz w:val="18"/>
                          <w:szCs w:val="20"/>
                        </w:rPr>
                      </w:pPr>
                      <w:r w:rsidRPr="00DE5784">
                        <w:rPr>
                          <w:sz w:val="18"/>
                          <w:szCs w:val="20"/>
                        </w:rPr>
                        <w:t>Reforms should use and adapt existing institutions, legislation and agreements wherever possible, avoiding unnecessary complexity or duplication.</w:t>
                      </w:r>
                    </w:p>
                    <w:p w14:paraId="5BFCED5E" w14:textId="5C36639A" w:rsidR="00D44F0D" w:rsidRPr="00DE5784" w:rsidRDefault="00D44F0D" w:rsidP="00D44F0D">
                      <w:pPr>
                        <w:rPr>
                          <w:b/>
                          <w:bCs/>
                          <w:sz w:val="18"/>
                          <w:szCs w:val="20"/>
                        </w:rPr>
                      </w:pPr>
                      <w:r w:rsidRPr="00DE5784">
                        <w:rPr>
                          <w:b/>
                          <w:bCs/>
                          <w:sz w:val="18"/>
                          <w:szCs w:val="20"/>
                        </w:rPr>
                        <w:t>3. Sequence reform to manage risk</w:t>
                      </w:r>
                    </w:p>
                    <w:p w14:paraId="112B228B" w14:textId="77777777" w:rsidR="00D44F0D" w:rsidRPr="00DE5784" w:rsidRDefault="00D44F0D" w:rsidP="00D44F0D">
                      <w:pPr>
                        <w:rPr>
                          <w:sz w:val="18"/>
                          <w:szCs w:val="20"/>
                        </w:rPr>
                      </w:pPr>
                      <w:r w:rsidRPr="00DE5784">
                        <w:rPr>
                          <w:sz w:val="18"/>
                          <w:szCs w:val="20"/>
                        </w:rPr>
                        <w:t>Implementation should be staged, with early actions establishing core elements and more complex changes introduced progressively. Snowy 2.0 is a major project which brings additional capability that is critical to the NEM and important in the delivery of the Panel’s recommendations.  The sequencing of reform should be coordinated with the completion and commissioning of this project.</w:t>
                      </w:r>
                    </w:p>
                    <w:p w14:paraId="3ED8D77B" w14:textId="07ABC806" w:rsidR="00D44F0D" w:rsidRPr="00DE5784" w:rsidRDefault="00D44F0D" w:rsidP="00D44F0D">
                      <w:pPr>
                        <w:rPr>
                          <w:b/>
                          <w:bCs/>
                          <w:sz w:val="18"/>
                          <w:szCs w:val="20"/>
                        </w:rPr>
                      </w:pPr>
                      <w:r w:rsidRPr="00DE5784">
                        <w:rPr>
                          <w:b/>
                          <w:bCs/>
                          <w:sz w:val="18"/>
                          <w:szCs w:val="20"/>
                        </w:rPr>
                        <w:t>4. Maintain system stability during transition</w:t>
                      </w:r>
                    </w:p>
                    <w:p w14:paraId="1FCF713D" w14:textId="77777777" w:rsidR="00D44F0D" w:rsidRPr="00DE5784" w:rsidRDefault="00D44F0D" w:rsidP="00D44F0D">
                      <w:pPr>
                        <w:rPr>
                          <w:sz w:val="18"/>
                          <w:szCs w:val="20"/>
                        </w:rPr>
                      </w:pPr>
                      <w:r w:rsidRPr="00DE5784">
                        <w:rPr>
                          <w:sz w:val="18"/>
                          <w:szCs w:val="20"/>
                        </w:rPr>
                        <w:t>Changes must ensure continuity of water delivery, environmental outcomes and energy system performance.</w:t>
                      </w:r>
                    </w:p>
                    <w:p w14:paraId="7437E5AF" w14:textId="6FAFCA25" w:rsidR="00D44F0D" w:rsidRPr="00DE5784" w:rsidRDefault="00D44F0D" w:rsidP="00D44F0D">
                      <w:pPr>
                        <w:rPr>
                          <w:b/>
                          <w:bCs/>
                          <w:sz w:val="18"/>
                          <w:szCs w:val="20"/>
                        </w:rPr>
                      </w:pPr>
                      <w:r w:rsidRPr="00DE5784">
                        <w:rPr>
                          <w:b/>
                          <w:bCs/>
                          <w:sz w:val="18"/>
                          <w:szCs w:val="20"/>
                        </w:rPr>
                        <w:t>5. Align actions with jurisdictional responsibilities</w:t>
                      </w:r>
                    </w:p>
                    <w:p w14:paraId="1F735114" w14:textId="77777777" w:rsidR="00D44F0D" w:rsidRPr="00DE5784" w:rsidRDefault="00D44F0D" w:rsidP="00D44F0D">
                      <w:pPr>
                        <w:rPr>
                          <w:sz w:val="18"/>
                          <w:szCs w:val="20"/>
                        </w:rPr>
                      </w:pPr>
                      <w:r w:rsidRPr="00DE5784">
                        <w:rPr>
                          <w:sz w:val="18"/>
                          <w:szCs w:val="20"/>
                        </w:rPr>
                        <w:t>Actions should be undertaken at the appropriate level, enabling early progress without requiring all elements to be agreed simultaneously.</w:t>
                      </w:r>
                    </w:p>
                    <w:p w14:paraId="25FA3253" w14:textId="58A77E9D" w:rsidR="00D44F0D" w:rsidRPr="00DE5784" w:rsidRDefault="00D44F0D" w:rsidP="00D44F0D">
                      <w:pPr>
                        <w:rPr>
                          <w:b/>
                          <w:bCs/>
                          <w:sz w:val="18"/>
                          <w:szCs w:val="20"/>
                        </w:rPr>
                      </w:pPr>
                      <w:r w:rsidRPr="00DE5784">
                        <w:rPr>
                          <w:b/>
                          <w:bCs/>
                          <w:sz w:val="18"/>
                          <w:szCs w:val="20"/>
                        </w:rPr>
                        <w:t>6. Enable adaptive implementation</w:t>
                      </w:r>
                    </w:p>
                    <w:p w14:paraId="7813E9D1" w14:textId="0A696DA0" w:rsidR="00D44F0D" w:rsidRPr="00DE5784" w:rsidRDefault="00D44F0D" w:rsidP="00D44F0D">
                      <w:pPr>
                        <w:rPr>
                          <w:sz w:val="18"/>
                          <w:szCs w:val="20"/>
                        </w:rPr>
                      </w:pPr>
                      <w:r w:rsidRPr="00DE5784">
                        <w:rPr>
                          <w:sz w:val="18"/>
                          <w:szCs w:val="20"/>
                        </w:rPr>
                        <w:t>Implementation should adjust over time in response to improved information, system performance and changing conditions.</w:t>
                      </w:r>
                    </w:p>
                  </w:txbxContent>
                </v:textbox>
                <w10:wrap type="square" anchorx="margin"/>
              </v:shape>
            </w:pict>
          </mc:Fallback>
        </mc:AlternateContent>
      </w:r>
      <w:r>
        <w:rPr>
          <w:noProof/>
        </w:rPr>
        <mc:AlternateContent>
          <mc:Choice Requires="wps">
            <w:drawing>
              <wp:anchor distT="0" distB="0" distL="114300" distR="114300" simplePos="0" relativeHeight="251658264" behindDoc="0" locked="0" layoutInCell="1" allowOverlap="1" wp14:anchorId="29661DB1" wp14:editId="799450F2">
                <wp:simplePos x="0" y="0"/>
                <wp:positionH relativeFrom="margin">
                  <wp:posOffset>6350</wp:posOffset>
                </wp:positionH>
                <wp:positionV relativeFrom="paragraph">
                  <wp:posOffset>127000</wp:posOffset>
                </wp:positionV>
                <wp:extent cx="5819775" cy="158750"/>
                <wp:effectExtent l="0" t="0" r="9525" b="0"/>
                <wp:wrapSquare wrapText="bothSides"/>
                <wp:docPr id="980794026" name="Text Box 1" descr="P1980TB25#y1"/>
                <wp:cNvGraphicFramePr/>
                <a:graphic xmlns:a="http://schemas.openxmlformats.org/drawingml/2006/main">
                  <a:graphicData uri="http://schemas.microsoft.com/office/word/2010/wordprocessingShape">
                    <wps:wsp>
                      <wps:cNvSpPr txBox="1"/>
                      <wps:spPr>
                        <a:xfrm>
                          <a:off x="0" y="0"/>
                          <a:ext cx="5819775" cy="158750"/>
                        </a:xfrm>
                        <a:prstGeom prst="rect">
                          <a:avLst/>
                        </a:prstGeom>
                        <a:solidFill>
                          <a:prstClr val="white"/>
                        </a:solidFill>
                        <a:ln>
                          <a:noFill/>
                        </a:ln>
                      </wps:spPr>
                      <wps:txbx>
                        <w:txbxContent>
                          <w:p w14:paraId="2400321C" w14:textId="34885B36" w:rsidR="00DE5784" w:rsidRPr="00DE5784" w:rsidRDefault="00DE5784" w:rsidP="00DE5784">
                            <w:pPr>
                              <w:pStyle w:val="Caption"/>
                              <w:shd w:val="clear" w:color="auto" w:fill="DAE9F7" w:themeFill="text2" w:themeFillTint="1A"/>
                              <w:rPr>
                                <w:b/>
                                <w:bCs/>
                                <w:noProof/>
                                <w:color w:val="auto"/>
                                <w:sz w:val="24"/>
                                <w:szCs w:val="20"/>
                              </w:rPr>
                            </w:pPr>
                            <w:r w:rsidRPr="00DE5784">
                              <w:rPr>
                                <w:b/>
                                <w:bCs/>
                                <w:color w:val="auto"/>
                                <w:sz w:val="20"/>
                                <w:szCs w:val="20"/>
                              </w:rPr>
                              <w:t xml:space="preserve">Box </w:t>
                            </w:r>
                            <w:r w:rsidRPr="00DE5784">
                              <w:rPr>
                                <w:b/>
                                <w:bCs/>
                                <w:color w:val="auto"/>
                                <w:sz w:val="20"/>
                                <w:szCs w:val="20"/>
                              </w:rPr>
                              <w:fldChar w:fldCharType="begin"/>
                            </w:r>
                            <w:r w:rsidRPr="00DE5784">
                              <w:rPr>
                                <w:b/>
                                <w:bCs/>
                                <w:color w:val="auto"/>
                                <w:sz w:val="20"/>
                                <w:szCs w:val="20"/>
                              </w:rPr>
                              <w:instrText xml:space="preserve"> SEQ Box \* ARABIC </w:instrText>
                            </w:r>
                            <w:r w:rsidRPr="00DE5784">
                              <w:rPr>
                                <w:b/>
                                <w:bCs/>
                                <w:color w:val="auto"/>
                                <w:sz w:val="20"/>
                                <w:szCs w:val="20"/>
                              </w:rPr>
                              <w:fldChar w:fldCharType="separate"/>
                            </w:r>
                            <w:r w:rsidR="0005178F">
                              <w:rPr>
                                <w:b/>
                                <w:bCs/>
                                <w:noProof/>
                                <w:color w:val="auto"/>
                                <w:sz w:val="20"/>
                                <w:szCs w:val="20"/>
                              </w:rPr>
                              <w:t>12</w:t>
                            </w:r>
                            <w:r w:rsidRPr="00DE5784">
                              <w:rPr>
                                <w:b/>
                                <w:bCs/>
                                <w:color w:val="auto"/>
                                <w:sz w:val="20"/>
                                <w:szCs w:val="20"/>
                              </w:rPr>
                              <w:fldChar w:fldCharType="end"/>
                            </w:r>
                            <w:r w:rsidRPr="00DE5784">
                              <w:rPr>
                                <w:b/>
                                <w:bCs/>
                                <w:color w:val="auto"/>
                                <w:sz w:val="20"/>
                                <w:szCs w:val="20"/>
                              </w:rPr>
                              <w:t>: Implementation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61DB1" id="_x0000_s1053" type="#_x0000_t202" alt="P1980TB25#y1" style="position:absolute;left:0;text-align:left;margin-left:.5pt;margin-top:10pt;width:458.25pt;height:12.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" stroked="f">
                <v:textbox inset="0,0,0,0">
                  <w:txbxContent>
                    <w:p w14:paraId="2400321C" w14:textId="34885B36" w:rsidR="00DE5784" w:rsidRPr="00DE5784" w:rsidRDefault="00DE5784" w:rsidP="00DE5784">
                      <w:pPr>
                        <w:pStyle w:val="Caption"/>
                        <w:shd w:val="clear" w:color="auto" w:fill="DAE9F7" w:themeFill="text2" w:themeFillTint="1A"/>
                        <w:rPr>
                          <w:b/>
                          <w:bCs/>
                          <w:noProof/>
                          <w:color w:val="auto"/>
                          <w:sz w:val="24"/>
                          <w:szCs w:val="20"/>
                        </w:rPr>
                      </w:pPr>
                      <w:r w:rsidRPr="00DE5784">
                        <w:rPr>
                          <w:b/>
                          <w:bCs/>
                          <w:color w:val="auto"/>
                          <w:sz w:val="20"/>
                          <w:szCs w:val="20"/>
                        </w:rPr>
                        <w:t xml:space="preserve">Box </w:t>
                      </w:r>
                      <w:r w:rsidRPr="00DE5784">
                        <w:rPr>
                          <w:b/>
                          <w:bCs/>
                          <w:color w:val="auto"/>
                          <w:sz w:val="20"/>
                          <w:szCs w:val="20"/>
                        </w:rPr>
                        <w:fldChar w:fldCharType="begin"/>
                      </w:r>
                      <w:r w:rsidRPr="00DE5784">
                        <w:rPr>
                          <w:b/>
                          <w:bCs/>
                          <w:color w:val="auto"/>
                          <w:sz w:val="20"/>
                          <w:szCs w:val="20"/>
                        </w:rPr>
                        <w:instrText xml:space="preserve"> SEQ Box \* ARABIC </w:instrText>
                      </w:r>
                      <w:r w:rsidRPr="00DE5784">
                        <w:rPr>
                          <w:b/>
                          <w:bCs/>
                          <w:color w:val="auto"/>
                          <w:sz w:val="20"/>
                          <w:szCs w:val="20"/>
                        </w:rPr>
                        <w:fldChar w:fldCharType="separate"/>
                      </w:r>
                      <w:r w:rsidR="0005178F">
                        <w:rPr>
                          <w:b/>
                          <w:bCs/>
                          <w:noProof/>
                          <w:color w:val="auto"/>
                          <w:sz w:val="20"/>
                          <w:szCs w:val="20"/>
                        </w:rPr>
                        <w:t>12</w:t>
                      </w:r>
                      <w:r w:rsidRPr="00DE5784">
                        <w:rPr>
                          <w:b/>
                          <w:bCs/>
                          <w:color w:val="auto"/>
                          <w:sz w:val="20"/>
                          <w:szCs w:val="20"/>
                        </w:rPr>
                        <w:fldChar w:fldCharType="end"/>
                      </w:r>
                      <w:r w:rsidRPr="00DE5784">
                        <w:rPr>
                          <w:b/>
                          <w:bCs/>
                          <w:color w:val="auto"/>
                          <w:sz w:val="20"/>
                          <w:szCs w:val="20"/>
                        </w:rPr>
                        <w:t>: Implementation Principles</w:t>
                      </w:r>
                    </w:p>
                  </w:txbxContent>
                </v:textbox>
                <w10:wrap type="square" anchorx="margin"/>
              </v:shape>
            </w:pict>
          </mc:Fallback>
        </mc:AlternateContent>
      </w:r>
      <w:r w:rsidR="00B96315">
        <w:t>8.2 Implementation phases</w:t>
      </w:r>
      <w:bookmarkEnd w:id="165"/>
      <w:bookmarkEnd w:id="166"/>
    </w:p>
    <w:p w14:paraId="4F80C06B" w14:textId="77973933" w:rsidR="003C7FCD" w:rsidRPr="00F01578" w:rsidRDefault="00382EE8" w:rsidP="003C7FCD">
      <w:pPr>
        <w:rPr>
          <w:lang w:eastAsia="en-AU"/>
        </w:rPr>
      </w:pPr>
      <w:r>
        <w:rPr>
          <w:rFonts w:ascii="ZWAdobeF" w:hAnsi="ZWAdobeF" w:cs="ZWAdobeF"/>
          <w:sz w:val="2"/>
          <w:szCs w:val="2"/>
          <w:lang w:eastAsia="en-AU"/>
        </w:rPr>
        <w:t>1270B</w:t>
      </w:r>
      <w:r w:rsidR="003C7FCD" w:rsidRPr="6332CC80">
        <w:rPr>
          <w:lang w:eastAsia="en-AU"/>
        </w:rPr>
        <w:t>Implementation proceeds through three staged but overlapping phases. While broadly sequential, elements may progress in parallel where supported by existing legal and institutional frameworks. In particular:</w:t>
      </w:r>
    </w:p>
    <w:p w14:paraId="196297EC" w14:textId="03A1F741" w:rsidR="003C7FCD" w:rsidRPr="00F01578" w:rsidRDefault="00382EE8" w:rsidP="00115BD6">
      <w:pPr>
        <w:pStyle w:val="ListParagraph"/>
        <w:numPr>
          <w:ilvl w:val="0"/>
          <w:numId w:val="41"/>
        </w:numPr>
        <w:rPr>
          <w:lang w:eastAsia="en-AU"/>
        </w:rPr>
      </w:pPr>
      <w:r>
        <w:rPr>
          <w:rFonts w:ascii="ZWAdobeF" w:hAnsi="ZWAdobeF" w:cs="ZWAdobeF"/>
          <w:sz w:val="2"/>
          <w:szCs w:val="2"/>
          <w:lang w:eastAsia="en-AU"/>
        </w:rPr>
        <w:t>442B</w:t>
      </w:r>
      <w:r w:rsidR="003C7FCD" w:rsidRPr="6332CC80">
        <w:rPr>
          <w:lang w:eastAsia="en-AU"/>
        </w:rPr>
        <w:t>Phase 1 focuses on in-principle agreement and early actions</w:t>
      </w:r>
    </w:p>
    <w:p w14:paraId="766B0469" w14:textId="37E9139B" w:rsidR="003C7FCD" w:rsidRPr="00F01578" w:rsidRDefault="00382EE8" w:rsidP="00115BD6">
      <w:pPr>
        <w:pStyle w:val="ListParagraph"/>
        <w:numPr>
          <w:ilvl w:val="0"/>
          <w:numId w:val="41"/>
        </w:numPr>
        <w:rPr>
          <w:lang w:eastAsia="en-AU"/>
        </w:rPr>
      </w:pPr>
      <w:r>
        <w:rPr>
          <w:rFonts w:ascii="ZWAdobeF" w:hAnsi="ZWAdobeF" w:cs="ZWAdobeF"/>
          <w:sz w:val="2"/>
          <w:szCs w:val="2"/>
          <w:lang w:eastAsia="en-AU"/>
        </w:rPr>
        <w:t>443B</w:t>
      </w:r>
      <w:r w:rsidR="003C7FCD" w:rsidRPr="00F01578">
        <w:rPr>
          <w:lang w:eastAsia="en-AU"/>
        </w:rPr>
        <w:t>Phase 2 establishes binding arrangements and enforcement mechanisms</w:t>
      </w:r>
    </w:p>
    <w:p w14:paraId="02951B85" w14:textId="623C21C9" w:rsidR="003C7FCD" w:rsidRPr="00F01578" w:rsidRDefault="00382EE8" w:rsidP="00115BD6">
      <w:pPr>
        <w:pStyle w:val="ListParagraph"/>
        <w:numPr>
          <w:ilvl w:val="0"/>
          <w:numId w:val="41"/>
        </w:numPr>
        <w:rPr>
          <w:lang w:eastAsia="en-AU"/>
        </w:rPr>
      </w:pPr>
      <w:r>
        <w:rPr>
          <w:rFonts w:ascii="ZWAdobeF" w:hAnsi="ZWAdobeF" w:cs="ZWAdobeF"/>
          <w:sz w:val="2"/>
          <w:szCs w:val="2"/>
          <w:lang w:eastAsia="en-AU"/>
        </w:rPr>
        <w:t>444B</w:t>
      </w:r>
      <w:r w:rsidR="003C7FCD" w:rsidRPr="00F01578">
        <w:rPr>
          <w:lang w:eastAsia="en-AU"/>
        </w:rPr>
        <w:t>Phase 3 supports ongoing system operation and refinement</w:t>
      </w:r>
      <w:r w:rsidR="6EFF6EDE" w:rsidRPr="1E751BE8">
        <w:rPr>
          <w:lang w:eastAsia="en-AU"/>
        </w:rPr>
        <w:t>.</w:t>
      </w:r>
    </w:p>
    <w:p w14:paraId="027B34EB" w14:textId="77777777" w:rsidR="00BE224C" w:rsidRDefault="00BE224C" w:rsidP="00BE224C">
      <w:pPr>
        <w:pStyle w:val="Sub-Heading"/>
      </w:pPr>
      <w:r w:rsidRPr="00BE224C">
        <w:t xml:space="preserve">Phase 1: Establishment (0–2 years) </w:t>
      </w:r>
    </w:p>
    <w:p w14:paraId="2779053E" w14:textId="23F3FCF6" w:rsidR="00225690" w:rsidRDefault="00382EE8" w:rsidP="00225690">
      <w:pPr>
        <w:rPr>
          <w:b/>
          <w:bCs/>
          <w:lang w:eastAsia="en-AU"/>
        </w:rPr>
      </w:pPr>
      <w:r>
        <w:rPr>
          <w:rFonts w:ascii="ZWAdobeF" w:hAnsi="ZWAdobeF" w:cs="ZWAdobeF"/>
          <w:sz w:val="2"/>
          <w:szCs w:val="2"/>
          <w:lang w:eastAsia="en-AU"/>
        </w:rPr>
        <w:t>1271B</w:t>
      </w:r>
      <w:r w:rsidR="00225690" w:rsidRPr="00427F79">
        <w:rPr>
          <w:lang w:eastAsia="en-AU"/>
        </w:rPr>
        <w:t>Phase 1 focuses on establishing the institutional, legal and funding foundations for reform while ensuring continuity of existing programs and initiating priority actions</w:t>
      </w:r>
      <w:r w:rsidR="00225690">
        <w:rPr>
          <w:lang w:eastAsia="en-AU"/>
        </w:rPr>
        <w:t xml:space="preserve">. </w:t>
      </w:r>
      <w:r w:rsidR="00225690" w:rsidRPr="0072493D">
        <w:rPr>
          <w:lang w:eastAsia="en-AU"/>
        </w:rPr>
        <w:t xml:space="preserve">Key outcomes of Phase </w:t>
      </w:r>
      <w:r w:rsidR="00225690">
        <w:rPr>
          <w:lang w:eastAsia="en-AU"/>
        </w:rPr>
        <w:t>1</w:t>
      </w:r>
      <w:r w:rsidR="00225690" w:rsidRPr="0072493D">
        <w:rPr>
          <w:lang w:eastAsia="en-AU"/>
        </w:rPr>
        <w:t xml:space="preserve"> </w:t>
      </w:r>
      <w:r w:rsidR="00225690">
        <w:rPr>
          <w:lang w:eastAsia="en-AU"/>
        </w:rPr>
        <w:t xml:space="preserve">are at </w:t>
      </w:r>
      <w:r w:rsidR="00225690" w:rsidRPr="00DE5784">
        <w:rPr>
          <w:b/>
          <w:bCs/>
          <w:lang w:eastAsia="en-AU"/>
        </w:rPr>
        <w:t>Table</w:t>
      </w:r>
      <w:r w:rsidR="00DE5784" w:rsidRPr="00DE5784">
        <w:rPr>
          <w:b/>
          <w:bCs/>
          <w:lang w:eastAsia="en-AU"/>
        </w:rPr>
        <w:t xml:space="preserve"> 5.</w:t>
      </w:r>
    </w:p>
    <w:p w14:paraId="68CAEBD8" w14:textId="2F8F3514" w:rsidR="00225690" w:rsidRDefault="00382EE8" w:rsidP="00225690">
      <w:pPr>
        <w:rPr>
          <w:lang w:eastAsia="en-AU"/>
        </w:rPr>
      </w:pPr>
      <w:r>
        <w:rPr>
          <w:rFonts w:ascii="ZWAdobeF" w:hAnsi="ZWAdobeF" w:cs="ZWAdobeF"/>
          <w:sz w:val="2"/>
          <w:szCs w:val="2"/>
          <w:lang w:eastAsia="en-AU"/>
        </w:rPr>
        <w:t>1272B</w:t>
      </w:r>
      <w:r w:rsidR="00225690" w:rsidRPr="00F01578">
        <w:rPr>
          <w:lang w:eastAsia="en-AU"/>
        </w:rPr>
        <w:t>Importantly, Phase 1 includes both foundational institutional changes and early delivery actions</w:t>
      </w:r>
      <w:r w:rsidR="00BA4ED4">
        <w:rPr>
          <w:lang w:eastAsia="en-AU"/>
        </w:rPr>
        <w:t xml:space="preserve"> (</w:t>
      </w:r>
      <w:r w:rsidR="00BA4ED4">
        <w:t xml:space="preserve">including increasing the release of water from Tantangara Dam </w:t>
      </w:r>
      <w:r w:rsidR="00BA4ED4" w:rsidRPr="00A64286">
        <w:rPr>
          <w:rFonts w:eastAsiaTheme="minorEastAsia"/>
          <w:szCs w:val="22"/>
          <w:lang w:val="en-US"/>
        </w:rPr>
        <w:t>to an average annual target of 23% (68 GL equivalent) of average annua</w:t>
      </w:r>
      <w:r w:rsidR="00BA4ED4" w:rsidRPr="00A64286">
        <w:rPr>
          <w:rFonts w:eastAsia="Aptos" w:cs="Aptos"/>
          <w:szCs w:val="22"/>
          <w:lang w:val="en-US"/>
        </w:rPr>
        <w:t>l inflow</w:t>
      </w:r>
      <w:r w:rsidR="00BA4ED4">
        <w:rPr>
          <w:rFonts w:eastAsia="Aptos" w:cs="Aptos"/>
          <w:szCs w:val="22"/>
          <w:lang w:val="en-US"/>
        </w:rPr>
        <w:t>)</w:t>
      </w:r>
      <w:r w:rsidR="00225690" w:rsidRPr="00F01578">
        <w:rPr>
          <w:lang w:eastAsia="en-AU"/>
        </w:rPr>
        <w:t xml:space="preserve">, ensuring that environmental improvements (including </w:t>
      </w:r>
      <w:r w:rsidR="002A2315">
        <w:rPr>
          <w:lang w:eastAsia="en-AU"/>
        </w:rPr>
        <w:t xml:space="preserve">Flow </w:t>
      </w:r>
      <w:r w:rsidR="00565CBE">
        <w:rPr>
          <w:lang w:eastAsia="en-AU"/>
        </w:rPr>
        <w:t>MER</w:t>
      </w:r>
      <w:r w:rsidR="00225690" w:rsidRPr="00F01578">
        <w:rPr>
          <w:lang w:eastAsia="en-AU"/>
        </w:rPr>
        <w:t>) can commence without waiting for full implementation of the framework.</w:t>
      </w:r>
    </w:p>
    <w:p w14:paraId="537809B4" w14:textId="2B4274FF" w:rsidR="00DE5784" w:rsidRPr="00DE5784" w:rsidRDefault="00382EE8" w:rsidP="00DE5784">
      <w:pPr>
        <w:pStyle w:val="Caption"/>
        <w:keepNext/>
        <w:rPr>
          <w:b/>
          <w:bCs/>
          <w:color w:val="auto"/>
          <w:sz w:val="20"/>
          <w:szCs w:val="20"/>
        </w:rPr>
      </w:pPr>
      <w:r>
        <w:rPr>
          <w:rFonts w:ascii="ZWAdobeF" w:hAnsi="ZWAdobeF" w:cs="ZWAdobeF"/>
          <w:bCs/>
          <w:i w:val="0"/>
          <w:color w:val="auto"/>
          <w:sz w:val="2"/>
          <w:szCs w:val="2"/>
        </w:rPr>
        <w:lastRenderedPageBreak/>
        <w:t>10B</w:t>
      </w:r>
      <w:r w:rsidR="00DE5784" w:rsidRPr="00DE5784">
        <w:rPr>
          <w:b/>
          <w:bCs/>
          <w:color w:val="auto"/>
          <w:sz w:val="20"/>
          <w:szCs w:val="20"/>
        </w:rPr>
        <w:t xml:space="preserve">Table </w:t>
      </w:r>
      <w:r w:rsidR="00DE5784" w:rsidRPr="00DE5784">
        <w:rPr>
          <w:b/>
          <w:bCs/>
          <w:color w:val="auto"/>
          <w:sz w:val="20"/>
          <w:szCs w:val="20"/>
        </w:rPr>
        <w:fldChar w:fldCharType="begin"/>
      </w:r>
      <w:r w:rsidR="00DE5784" w:rsidRPr="00DE5784">
        <w:rPr>
          <w:b/>
          <w:bCs/>
          <w:color w:val="auto"/>
          <w:sz w:val="20"/>
          <w:szCs w:val="20"/>
        </w:rPr>
        <w:instrText xml:space="preserve"> SEQ Table \* ARABIC </w:instrText>
      </w:r>
      <w:r w:rsidR="00DE5784" w:rsidRPr="00DE5784">
        <w:rPr>
          <w:b/>
          <w:bCs/>
          <w:color w:val="auto"/>
          <w:sz w:val="20"/>
          <w:szCs w:val="20"/>
        </w:rPr>
        <w:fldChar w:fldCharType="separate"/>
      </w:r>
      <w:r w:rsidR="0005178F">
        <w:rPr>
          <w:b/>
          <w:bCs/>
          <w:noProof/>
          <w:color w:val="auto"/>
          <w:sz w:val="20"/>
          <w:szCs w:val="20"/>
        </w:rPr>
        <w:t>5</w:t>
      </w:r>
      <w:r w:rsidR="00DE5784" w:rsidRPr="00DE5784">
        <w:rPr>
          <w:b/>
          <w:bCs/>
          <w:color w:val="auto"/>
          <w:sz w:val="20"/>
          <w:szCs w:val="20"/>
        </w:rPr>
        <w:fldChar w:fldCharType="end"/>
      </w:r>
      <w:r w:rsidR="00DE5784" w:rsidRPr="00DE5784">
        <w:rPr>
          <w:b/>
          <w:bCs/>
          <w:color w:val="auto"/>
          <w:sz w:val="20"/>
          <w:szCs w:val="20"/>
        </w:rPr>
        <w:t>: Summary of Actions in Phase 1</w:t>
      </w:r>
    </w:p>
    <w:tbl>
      <w:tblPr>
        <w:tblStyle w:val="PlainTable1"/>
        <w:tblW w:w="0" w:type="auto"/>
        <w:tblLook w:val="04A0" w:firstRow="1" w:lastRow="0" w:firstColumn="1" w:lastColumn="0" w:noHBand="0" w:noVBand="1"/>
      </w:tblPr>
      <w:tblGrid>
        <w:gridCol w:w="2110"/>
        <w:gridCol w:w="7178"/>
      </w:tblGrid>
      <w:tr w:rsidR="00E5182E" w:rsidRPr="00D44F0D" w14:paraId="5DE19739" w14:textId="77777777" w:rsidTr="00D44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200384ED" w14:textId="77777777" w:rsidR="00E5182E" w:rsidRPr="00D44F0D" w:rsidRDefault="00E5182E">
            <w:pPr>
              <w:spacing w:line="300" w:lineRule="auto"/>
              <w:rPr>
                <w:rFonts w:eastAsia="Calibri" w:cs="Calibri"/>
                <w:b w:val="0"/>
                <w:sz w:val="20"/>
                <w:szCs w:val="20"/>
              </w:rPr>
            </w:pPr>
            <w:r w:rsidRPr="00D44F0D">
              <w:rPr>
                <w:rFonts w:eastAsia="Calibri" w:cs="Calibri"/>
                <w:sz w:val="20"/>
                <w:szCs w:val="20"/>
              </w:rPr>
              <w:t>Outcome</w:t>
            </w:r>
          </w:p>
        </w:tc>
        <w:tc>
          <w:tcPr>
            <w:tcW w:w="7233" w:type="dxa"/>
          </w:tcPr>
          <w:p w14:paraId="420F3E9B" w14:textId="77777777" w:rsidR="00E5182E" w:rsidRPr="00D44F0D" w:rsidRDefault="00E5182E">
            <w:pPr>
              <w:spacing w:line="300" w:lineRule="auto"/>
              <w:cnfStyle w:val="100000000000" w:firstRow="1" w:lastRow="0" w:firstColumn="0" w:lastColumn="0" w:oddVBand="0" w:evenVBand="0" w:oddHBand="0" w:evenHBand="0" w:firstRowFirstColumn="0" w:firstRowLastColumn="0" w:lastRowFirstColumn="0" w:lastRowLastColumn="0"/>
              <w:rPr>
                <w:rFonts w:eastAsia="Calibri" w:cs="Calibri"/>
                <w:b w:val="0"/>
                <w:sz w:val="20"/>
                <w:szCs w:val="20"/>
              </w:rPr>
            </w:pPr>
            <w:r w:rsidRPr="00D44F0D">
              <w:rPr>
                <w:rFonts w:eastAsia="Calibri" w:cs="Calibri"/>
                <w:sz w:val="20"/>
                <w:szCs w:val="20"/>
              </w:rPr>
              <w:t>Key Actions</w:t>
            </w:r>
          </w:p>
        </w:tc>
      </w:tr>
      <w:tr w:rsidR="00E5182E" w:rsidRPr="00D44F0D" w14:paraId="65808405" w14:textId="77777777" w:rsidTr="00D4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32735A85" w14:textId="03C2EE7B" w:rsidR="00E5182E" w:rsidRPr="00DE5784" w:rsidRDefault="00E5182E" w:rsidP="00E5182E">
            <w:pPr>
              <w:spacing w:line="300" w:lineRule="auto"/>
              <w:jc w:val="left"/>
              <w:rPr>
                <w:rFonts w:eastAsia="Calibri" w:cs="Calibri"/>
                <w:b w:val="0"/>
                <w:sz w:val="18"/>
                <w:szCs w:val="18"/>
              </w:rPr>
            </w:pPr>
            <w:r w:rsidRPr="00DE5784">
              <w:rPr>
                <w:rFonts w:eastAsia="Calibri" w:cs="Calibri"/>
                <w:sz w:val="18"/>
                <w:szCs w:val="18"/>
              </w:rPr>
              <w:t xml:space="preserve">Outcome 1: Establish a New </w:t>
            </w:r>
            <w:r w:rsidR="00CE5EF8" w:rsidRPr="00DE5784">
              <w:rPr>
                <w:rFonts w:eastAsia="Calibri" w:cs="Calibri"/>
                <w:sz w:val="18"/>
                <w:szCs w:val="18"/>
              </w:rPr>
              <w:t>Deed</w:t>
            </w:r>
          </w:p>
          <w:p w14:paraId="0E6480FA" w14:textId="77777777" w:rsidR="00E5182E" w:rsidRPr="00DE5784" w:rsidRDefault="00E5182E" w:rsidP="00E5182E">
            <w:pPr>
              <w:spacing w:line="300" w:lineRule="auto"/>
              <w:jc w:val="left"/>
              <w:rPr>
                <w:rFonts w:eastAsia="Calibri" w:cs="Calibri"/>
                <w:b w:val="0"/>
                <w:sz w:val="18"/>
                <w:szCs w:val="18"/>
              </w:rPr>
            </w:pPr>
          </w:p>
        </w:tc>
        <w:tc>
          <w:tcPr>
            <w:tcW w:w="7233" w:type="dxa"/>
          </w:tcPr>
          <w:p w14:paraId="40B4B66F" w14:textId="41F49722" w:rsidR="00E5182E" w:rsidRPr="00DE5784" w:rsidRDefault="00E5182E"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 xml:space="preserve">Agree to replace the existing Deed with a new </w:t>
            </w:r>
            <w:r w:rsidR="00CE5EF8" w:rsidRPr="00DE5784">
              <w:rPr>
                <w:rFonts w:eastAsia="Calibri" w:cs="Calibri"/>
                <w:sz w:val="18"/>
                <w:szCs w:val="18"/>
              </w:rPr>
              <w:t xml:space="preserve">Deed </w:t>
            </w:r>
            <w:r w:rsidRPr="00DE5784">
              <w:rPr>
                <w:rFonts w:eastAsia="Calibri" w:cs="Calibri"/>
                <w:sz w:val="18"/>
                <w:szCs w:val="18"/>
              </w:rPr>
              <w:t xml:space="preserve">between the </w:t>
            </w:r>
            <w:r w:rsidR="37971E9B" w:rsidRPr="00DE5784">
              <w:rPr>
                <w:rFonts w:eastAsia="Calibri" w:cs="Calibri"/>
                <w:sz w:val="18"/>
                <w:szCs w:val="18"/>
              </w:rPr>
              <w:t>Australian</w:t>
            </w:r>
            <w:r w:rsidR="0DBB6461" w:rsidRPr="00DE5784">
              <w:rPr>
                <w:rFonts w:eastAsia="Calibri" w:cs="Calibri"/>
                <w:sz w:val="18"/>
                <w:szCs w:val="18"/>
              </w:rPr>
              <w:t xml:space="preserve">, </w:t>
            </w:r>
            <w:r w:rsidR="0F3A2073" w:rsidRPr="00DE5784">
              <w:rPr>
                <w:rFonts w:eastAsia="Calibri" w:cs="Calibri"/>
                <w:sz w:val="18"/>
                <w:szCs w:val="18"/>
              </w:rPr>
              <w:t>NSW</w:t>
            </w:r>
            <w:r w:rsidRPr="00DE5784">
              <w:rPr>
                <w:rFonts w:eastAsia="Calibri" w:cs="Calibri"/>
                <w:sz w:val="18"/>
                <w:szCs w:val="18"/>
              </w:rPr>
              <w:t>, Victoria</w:t>
            </w:r>
            <w:r w:rsidR="00D06618" w:rsidRPr="00DE5784">
              <w:rPr>
                <w:rFonts w:eastAsia="Calibri" w:cs="Calibri"/>
                <w:sz w:val="18"/>
                <w:szCs w:val="18"/>
              </w:rPr>
              <w:t>n</w:t>
            </w:r>
            <w:r w:rsidRPr="00DE5784">
              <w:rPr>
                <w:rFonts w:eastAsia="Calibri" w:cs="Calibri"/>
                <w:sz w:val="18"/>
                <w:szCs w:val="18"/>
              </w:rPr>
              <w:t xml:space="preserve"> and ACT </w:t>
            </w:r>
            <w:r w:rsidR="00D06618" w:rsidRPr="00DE5784">
              <w:rPr>
                <w:rFonts w:eastAsia="Calibri" w:cs="Calibri"/>
                <w:sz w:val="18"/>
                <w:szCs w:val="18"/>
              </w:rPr>
              <w:t>governments</w:t>
            </w:r>
            <w:r w:rsidRPr="00DE5784">
              <w:rPr>
                <w:rFonts w:eastAsia="Calibri" w:cs="Calibri"/>
                <w:sz w:val="18"/>
                <w:szCs w:val="18"/>
              </w:rPr>
              <w:t xml:space="preserve"> – </w:t>
            </w:r>
            <w:r w:rsidRPr="00DE5784">
              <w:rPr>
                <w:rFonts w:eastAsia="Calibri" w:cs="Calibri"/>
                <w:b/>
                <w:bCs/>
                <w:sz w:val="18"/>
                <w:szCs w:val="18"/>
              </w:rPr>
              <w:t xml:space="preserve">Chapter </w:t>
            </w:r>
            <w:r w:rsidR="00104AB8" w:rsidRPr="00DE5784">
              <w:rPr>
                <w:rFonts w:eastAsia="Calibri" w:cs="Calibri"/>
                <w:b/>
                <w:sz w:val="18"/>
                <w:szCs w:val="18"/>
              </w:rPr>
              <w:t>5</w:t>
            </w:r>
          </w:p>
          <w:p w14:paraId="6FC7A254" w14:textId="6E50BE7E" w:rsidR="00E5182E" w:rsidRPr="00DE5784" w:rsidRDefault="00E5182E"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 xml:space="preserve">Endorse system-level objectives to guide decision-making – </w:t>
            </w:r>
            <w:r w:rsidRPr="00DE5784">
              <w:rPr>
                <w:rFonts w:eastAsia="Calibri" w:cs="Calibri"/>
                <w:i/>
                <w:sz w:val="18"/>
                <w:szCs w:val="18"/>
              </w:rPr>
              <w:t xml:space="preserve">Chapter </w:t>
            </w:r>
            <w:r w:rsidR="00104AB8" w:rsidRPr="00DE5784">
              <w:rPr>
                <w:rFonts w:eastAsia="Calibri" w:cs="Calibri"/>
                <w:b/>
                <w:i/>
                <w:sz w:val="18"/>
                <w:szCs w:val="18"/>
              </w:rPr>
              <w:t>5</w:t>
            </w:r>
          </w:p>
          <w:p w14:paraId="58AB60D5" w14:textId="2AA8C7AF" w:rsidR="00E5182E" w:rsidRPr="00DE5784" w:rsidRDefault="00E5182E"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 xml:space="preserve">Establish governance arrangements </w:t>
            </w:r>
            <w:r w:rsidRPr="00DE5784">
              <w:rPr>
                <w:rFonts w:eastAsia="Calibri" w:cs="Calibri"/>
                <w:b/>
                <w:bCs/>
                <w:sz w:val="18"/>
                <w:szCs w:val="18"/>
              </w:rPr>
              <w:t>(</w:t>
            </w:r>
            <w:r w:rsidRPr="00DE5784">
              <w:rPr>
                <w:rFonts w:eastAsia="Calibri" w:cs="Calibri"/>
                <w:b/>
                <w:bCs/>
                <w:iCs/>
                <w:sz w:val="18"/>
                <w:szCs w:val="18"/>
              </w:rPr>
              <w:t xml:space="preserve">Chapter </w:t>
            </w:r>
            <w:r w:rsidR="00104AB8" w:rsidRPr="00DE5784">
              <w:rPr>
                <w:rFonts w:eastAsia="Calibri" w:cs="Calibri"/>
                <w:b/>
                <w:bCs/>
                <w:iCs/>
                <w:sz w:val="18"/>
                <w:szCs w:val="18"/>
              </w:rPr>
              <w:t>5</w:t>
            </w:r>
            <w:r w:rsidRPr="00DE5784">
              <w:rPr>
                <w:rFonts w:eastAsia="Calibri" w:cs="Calibri"/>
                <w:b/>
                <w:iCs/>
                <w:sz w:val="18"/>
                <w:szCs w:val="18"/>
              </w:rPr>
              <w:t>)</w:t>
            </w:r>
            <w:r w:rsidRPr="00DE5784">
              <w:rPr>
                <w:rFonts w:eastAsia="Calibri" w:cs="Calibri"/>
                <w:sz w:val="18"/>
                <w:szCs w:val="18"/>
              </w:rPr>
              <w:t xml:space="preserve"> including: </w:t>
            </w:r>
          </w:p>
          <w:p w14:paraId="41AEB002" w14:textId="6C3E40A2" w:rsidR="00E5182E" w:rsidRPr="00DE5784" w:rsidRDefault="00382EE8" w:rsidP="00115BD6">
            <w:pPr>
              <w:pStyle w:val="ListParagraph"/>
              <w:numPr>
                <w:ilvl w:val="0"/>
                <w:numId w:val="98"/>
              </w:numPr>
              <w:spacing w:line="276" w:lineRule="auto"/>
              <w:ind w:hanging="255"/>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rFonts w:ascii="ZWAdobeF" w:eastAsia="Calibri" w:hAnsi="ZWAdobeF" w:cs="ZWAdobeF"/>
                <w:sz w:val="2"/>
                <w:szCs w:val="2"/>
              </w:rPr>
              <w:t>445B</w:t>
            </w:r>
            <w:r w:rsidR="00E5182E" w:rsidRPr="00DE5784">
              <w:rPr>
                <w:rFonts w:eastAsia="Calibri" w:cs="Calibri"/>
                <w:sz w:val="18"/>
                <w:szCs w:val="18"/>
              </w:rPr>
              <w:t>decision-making processes</w:t>
            </w:r>
          </w:p>
          <w:p w14:paraId="65A31464" w14:textId="35B14203" w:rsidR="00E5182E" w:rsidRPr="00DE5784" w:rsidRDefault="00382EE8" w:rsidP="00115BD6">
            <w:pPr>
              <w:pStyle w:val="ListParagraph"/>
              <w:numPr>
                <w:ilvl w:val="0"/>
                <w:numId w:val="98"/>
              </w:numPr>
              <w:spacing w:line="276" w:lineRule="auto"/>
              <w:ind w:hanging="255"/>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rFonts w:ascii="ZWAdobeF" w:eastAsia="Calibri" w:hAnsi="ZWAdobeF" w:cs="ZWAdobeF"/>
                <w:sz w:val="2"/>
                <w:szCs w:val="2"/>
              </w:rPr>
              <w:t>446B</w:t>
            </w:r>
            <w:r w:rsidR="00E5182E" w:rsidRPr="00DE5784">
              <w:rPr>
                <w:rFonts w:eastAsia="Calibri" w:cs="Calibri"/>
                <w:sz w:val="18"/>
                <w:szCs w:val="18"/>
              </w:rPr>
              <w:t>independent oversight</w:t>
            </w:r>
          </w:p>
          <w:p w14:paraId="37BF52E5" w14:textId="2F0A3573" w:rsidR="00E5182E" w:rsidRPr="00DE5784" w:rsidRDefault="00382EE8" w:rsidP="00115BD6">
            <w:pPr>
              <w:pStyle w:val="ListParagraph"/>
              <w:numPr>
                <w:ilvl w:val="0"/>
                <w:numId w:val="98"/>
              </w:numPr>
              <w:spacing w:line="276" w:lineRule="auto"/>
              <w:ind w:hanging="255"/>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rFonts w:ascii="ZWAdobeF" w:eastAsia="Calibri" w:hAnsi="ZWAdobeF" w:cs="ZWAdobeF"/>
                <w:sz w:val="2"/>
                <w:szCs w:val="2"/>
              </w:rPr>
              <w:t>447B</w:t>
            </w:r>
            <w:r w:rsidR="44F3D2ED" w:rsidRPr="00DE5784">
              <w:rPr>
                <w:rFonts w:eastAsia="Calibri" w:cs="Calibri"/>
                <w:sz w:val="18"/>
                <w:szCs w:val="18"/>
              </w:rPr>
              <w:t>intergovernmental committee</w:t>
            </w:r>
            <w:r w:rsidR="7BABC754" w:rsidRPr="00DE5784">
              <w:rPr>
                <w:rFonts w:eastAsia="Calibri" w:cs="Calibri"/>
                <w:sz w:val="18"/>
                <w:szCs w:val="18"/>
              </w:rPr>
              <w:t xml:space="preserve"> </w:t>
            </w:r>
            <w:r w:rsidR="44F3D2ED" w:rsidRPr="00DE5784">
              <w:rPr>
                <w:rFonts w:eastAsia="Calibri" w:cs="Calibri"/>
                <w:sz w:val="18"/>
                <w:szCs w:val="18"/>
              </w:rPr>
              <w:t>service delivery partner and</w:t>
            </w:r>
          </w:p>
          <w:p w14:paraId="41DBDE8D" w14:textId="24781D56" w:rsidR="00E5182E" w:rsidRPr="00DE5784" w:rsidRDefault="00382EE8" w:rsidP="00115BD6">
            <w:pPr>
              <w:pStyle w:val="ListParagraph"/>
              <w:numPr>
                <w:ilvl w:val="0"/>
                <w:numId w:val="98"/>
              </w:numPr>
              <w:spacing w:line="276" w:lineRule="auto"/>
              <w:ind w:hanging="255"/>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rFonts w:ascii="ZWAdobeF" w:eastAsia="Calibri" w:hAnsi="ZWAdobeF" w:cs="ZWAdobeF"/>
                <w:sz w:val="2"/>
                <w:szCs w:val="2"/>
              </w:rPr>
              <w:t>448B</w:t>
            </w:r>
            <w:r w:rsidR="00E5182E" w:rsidRPr="00DE5784">
              <w:rPr>
                <w:rFonts w:eastAsia="Calibri" w:cs="Calibri"/>
                <w:sz w:val="18"/>
                <w:szCs w:val="18"/>
              </w:rPr>
              <w:t>advisory groups.</w:t>
            </w:r>
          </w:p>
          <w:p w14:paraId="2B7089F5" w14:textId="2B9EF5B2" w:rsidR="00DB21A1" w:rsidRPr="00DE5784" w:rsidRDefault="001A4E01"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Agree</w:t>
            </w:r>
            <w:r w:rsidR="002B0B51" w:rsidRPr="00DE5784">
              <w:rPr>
                <w:sz w:val="18"/>
                <w:szCs w:val="18"/>
              </w:rPr>
              <w:t xml:space="preserve"> on a new environmental flow program delivered through both planned and adaptive environmental water</w:t>
            </w:r>
            <w:r w:rsidR="00732259" w:rsidRPr="00DE5784">
              <w:rPr>
                <w:sz w:val="18"/>
                <w:szCs w:val="18"/>
              </w:rPr>
              <w:t xml:space="preserve"> -</w:t>
            </w:r>
            <w:r w:rsidR="002B0B51" w:rsidRPr="00DE5784">
              <w:rPr>
                <w:sz w:val="18"/>
                <w:szCs w:val="18"/>
              </w:rPr>
              <w:t xml:space="preserve"> </w:t>
            </w:r>
            <w:r w:rsidR="002B0B51" w:rsidRPr="00DE5784">
              <w:rPr>
                <w:b/>
                <w:bCs/>
                <w:sz w:val="18"/>
                <w:szCs w:val="18"/>
              </w:rPr>
              <w:t>Chapter 4</w:t>
            </w:r>
            <w:r w:rsidRPr="00DE5784">
              <w:rPr>
                <w:rFonts w:eastAsia="Calibri" w:cs="Calibri"/>
                <w:sz w:val="18"/>
                <w:szCs w:val="18"/>
              </w:rPr>
              <w:t>.</w:t>
            </w:r>
          </w:p>
          <w:p w14:paraId="2DE2C0F5" w14:textId="484C2BB0" w:rsidR="00E5182E" w:rsidRPr="00DE5784" w:rsidRDefault="00E5182E"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 xml:space="preserve">Establish processes for independent decision-making on trade-offs - </w:t>
            </w:r>
            <w:r w:rsidRPr="00DE5784">
              <w:rPr>
                <w:rFonts w:eastAsia="Calibri" w:cs="Calibri"/>
                <w:b/>
                <w:bCs/>
                <w:iCs/>
                <w:sz w:val="18"/>
                <w:szCs w:val="18"/>
              </w:rPr>
              <w:t xml:space="preserve">Chapter </w:t>
            </w:r>
            <w:r w:rsidR="00104AB8" w:rsidRPr="00DE5784">
              <w:rPr>
                <w:rFonts w:eastAsia="Calibri" w:cs="Calibri"/>
                <w:b/>
                <w:bCs/>
                <w:iCs/>
                <w:sz w:val="18"/>
                <w:szCs w:val="18"/>
              </w:rPr>
              <w:t>5</w:t>
            </w:r>
          </w:p>
          <w:p w14:paraId="6F1147ED" w14:textId="4AC1EE7A" w:rsidR="00E5182E" w:rsidRPr="00DE5784" w:rsidRDefault="4B9D0627"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 xml:space="preserve">Design the enduring funding framework, including contribution arrangements - </w:t>
            </w:r>
            <w:r w:rsidRPr="00DE5784">
              <w:rPr>
                <w:rFonts w:eastAsia="Calibri" w:cs="Calibri"/>
                <w:b/>
                <w:sz w:val="18"/>
                <w:szCs w:val="18"/>
              </w:rPr>
              <w:t>Chapter</w:t>
            </w:r>
            <w:r w:rsidRPr="00DE5784">
              <w:rPr>
                <w:rFonts w:eastAsia="Calibri" w:cs="Calibri"/>
                <w:b/>
                <w:bCs/>
                <w:iCs/>
                <w:sz w:val="18"/>
                <w:szCs w:val="18"/>
              </w:rPr>
              <w:t xml:space="preserve"> </w:t>
            </w:r>
            <w:r w:rsidR="00104AB8" w:rsidRPr="00DE5784">
              <w:rPr>
                <w:rFonts w:eastAsia="Calibri" w:cs="Calibri"/>
                <w:b/>
                <w:iCs/>
                <w:sz w:val="18"/>
                <w:szCs w:val="18"/>
              </w:rPr>
              <w:t>7</w:t>
            </w:r>
          </w:p>
          <w:p w14:paraId="05012F89" w14:textId="76DA017C" w:rsidR="00E5182E" w:rsidRPr="00DE5784" w:rsidRDefault="00104AB8"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I</w:t>
            </w:r>
            <w:r w:rsidR="72B194B9" w:rsidRPr="00DE5784">
              <w:rPr>
                <w:rFonts w:eastAsia="Calibri" w:cs="Calibri"/>
                <w:sz w:val="18"/>
                <w:szCs w:val="18"/>
              </w:rPr>
              <w:t>ncreas</w:t>
            </w:r>
            <w:r w:rsidRPr="00DE5784">
              <w:rPr>
                <w:rFonts w:eastAsia="Calibri" w:cs="Calibri"/>
                <w:sz w:val="18"/>
                <w:szCs w:val="18"/>
              </w:rPr>
              <w:t>e</w:t>
            </w:r>
            <w:r w:rsidR="4B9D0627" w:rsidRPr="00DE5784">
              <w:rPr>
                <w:rFonts w:eastAsia="Calibri" w:cs="Calibri"/>
                <w:sz w:val="18"/>
                <w:szCs w:val="18"/>
              </w:rPr>
              <w:t xml:space="preserve"> First Nations participation, including early resourcing to support engagement, advisory input and involvement in planning, monitoring and decision-making - </w:t>
            </w:r>
            <w:r w:rsidR="4B9D0627" w:rsidRPr="00DE5784">
              <w:rPr>
                <w:rFonts w:eastAsia="Calibri" w:cs="Calibri"/>
                <w:b/>
                <w:sz w:val="18"/>
                <w:szCs w:val="18"/>
              </w:rPr>
              <w:t>Chapter</w:t>
            </w:r>
            <w:r w:rsidR="4B9D0627" w:rsidRPr="00DE5784">
              <w:rPr>
                <w:rFonts w:eastAsia="Calibri" w:cs="Calibri"/>
                <w:b/>
                <w:bCs/>
                <w:iCs/>
                <w:sz w:val="18"/>
                <w:szCs w:val="18"/>
              </w:rPr>
              <w:t xml:space="preserve"> </w:t>
            </w:r>
            <w:r w:rsidRPr="00DE5784">
              <w:rPr>
                <w:rFonts w:eastAsia="Calibri" w:cs="Calibri"/>
                <w:b/>
                <w:iCs/>
                <w:sz w:val="18"/>
                <w:szCs w:val="18"/>
              </w:rPr>
              <w:t>6</w:t>
            </w:r>
          </w:p>
          <w:p w14:paraId="1989458E" w14:textId="632306CC" w:rsidR="00E5182E" w:rsidRPr="00DE5784" w:rsidRDefault="00BF7061" w:rsidP="00115BD6">
            <w:pPr>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DE5784">
              <w:rPr>
                <w:rFonts w:eastAsia="Calibri" w:cs="Calibri"/>
                <w:sz w:val="18"/>
                <w:szCs w:val="18"/>
              </w:rPr>
              <w:t>Australian</w:t>
            </w:r>
            <w:r w:rsidR="3A20CD3A" w:rsidRPr="00DE5784">
              <w:rPr>
                <w:rFonts w:eastAsia="Calibri" w:cs="Calibri"/>
                <w:sz w:val="18"/>
                <w:szCs w:val="18"/>
              </w:rPr>
              <w:t xml:space="preserve"> </w:t>
            </w:r>
            <w:r w:rsidR="008940BF" w:rsidRPr="00DE5784">
              <w:rPr>
                <w:rFonts w:eastAsia="Calibri" w:cs="Calibri"/>
                <w:sz w:val="18"/>
                <w:szCs w:val="18"/>
              </w:rPr>
              <w:t>Government</w:t>
            </w:r>
            <w:r w:rsidR="3A20CD3A" w:rsidRPr="00DE5784">
              <w:rPr>
                <w:rFonts w:eastAsia="Calibri" w:cs="Calibri"/>
                <w:sz w:val="18"/>
                <w:szCs w:val="18"/>
              </w:rPr>
              <w:t xml:space="preserve"> develop</w:t>
            </w:r>
            <w:r w:rsidRPr="00DE5784">
              <w:rPr>
                <w:rFonts w:eastAsia="Calibri" w:cs="Calibri"/>
                <w:sz w:val="18"/>
                <w:szCs w:val="18"/>
              </w:rPr>
              <w:t>s</w:t>
            </w:r>
            <w:r w:rsidR="3A20CD3A" w:rsidRPr="00DE5784" w:rsidDel="00210061">
              <w:rPr>
                <w:rFonts w:eastAsia="Calibri" w:cs="Calibri"/>
                <w:sz w:val="18"/>
                <w:szCs w:val="18"/>
              </w:rPr>
              <w:t xml:space="preserve"> </w:t>
            </w:r>
            <w:r w:rsidR="4B9D0627" w:rsidRPr="00DE5784">
              <w:rPr>
                <w:rFonts w:eastAsia="Calibri" w:cs="Calibri"/>
                <w:sz w:val="18"/>
                <w:szCs w:val="18"/>
              </w:rPr>
              <w:t>a new Statement of Expectations for Snowy Hydro</w:t>
            </w:r>
            <w:r w:rsidR="00104AB8" w:rsidRPr="00DE5784">
              <w:rPr>
                <w:rFonts w:eastAsia="Calibri" w:cs="Calibri"/>
                <w:sz w:val="18"/>
                <w:szCs w:val="18"/>
              </w:rPr>
              <w:t>.</w:t>
            </w:r>
          </w:p>
          <w:p w14:paraId="423E2790" w14:textId="77777777" w:rsidR="00E5182E" w:rsidRPr="00DE5784" w:rsidRDefault="00E5182E" w:rsidP="00E5182E">
            <w:pPr>
              <w:spacing w:line="360" w:lineRule="auto"/>
              <w:jc w:val="left"/>
              <w:cnfStyle w:val="000000100000" w:firstRow="0" w:lastRow="0" w:firstColumn="0" w:lastColumn="0" w:oddVBand="0" w:evenVBand="0" w:oddHBand="1" w:evenHBand="0" w:firstRowFirstColumn="0" w:firstRowLastColumn="0" w:lastRowFirstColumn="0" w:lastRowLastColumn="0"/>
              <w:rPr>
                <w:rFonts w:eastAsia="Calibri" w:cs="Calibri"/>
                <w:b/>
                <w:sz w:val="18"/>
                <w:szCs w:val="18"/>
              </w:rPr>
            </w:pPr>
          </w:p>
        </w:tc>
      </w:tr>
      <w:tr w:rsidR="00E5182E" w:rsidRPr="00D44F0D" w14:paraId="77A0C035" w14:textId="77777777" w:rsidTr="00D44F0D">
        <w:tc>
          <w:tcPr>
            <w:cnfStyle w:val="001000000000" w:firstRow="0" w:lastRow="0" w:firstColumn="1" w:lastColumn="0" w:oddVBand="0" w:evenVBand="0" w:oddHBand="0" w:evenHBand="0" w:firstRowFirstColumn="0" w:firstRowLastColumn="0" w:lastRowFirstColumn="0" w:lastRowLastColumn="0"/>
            <w:tcW w:w="2118" w:type="dxa"/>
          </w:tcPr>
          <w:p w14:paraId="0E55A350" w14:textId="77777777" w:rsidR="00E5182E" w:rsidRPr="00DE5784" w:rsidRDefault="00E5182E" w:rsidP="00E5182E">
            <w:pPr>
              <w:spacing w:line="300" w:lineRule="auto"/>
              <w:jc w:val="left"/>
              <w:rPr>
                <w:rFonts w:eastAsia="Calibri" w:cs="Calibri"/>
                <w:b w:val="0"/>
                <w:sz w:val="18"/>
                <w:szCs w:val="18"/>
              </w:rPr>
            </w:pPr>
            <w:r w:rsidRPr="00DE5784">
              <w:rPr>
                <w:rFonts w:eastAsia="Calibri" w:cs="Calibri"/>
                <w:sz w:val="18"/>
                <w:szCs w:val="18"/>
              </w:rPr>
              <w:t>Outcome 2: Continuity and enhancement </w:t>
            </w:r>
            <w:r w:rsidRPr="00DE5784">
              <w:rPr>
                <w:rFonts w:ascii="Arial" w:eastAsia="Calibri" w:hAnsi="Arial" w:cs="Arial"/>
                <w:sz w:val="18"/>
                <w:szCs w:val="18"/>
              </w:rPr>
              <w:t>​</w:t>
            </w:r>
          </w:p>
          <w:p w14:paraId="0666F255" w14:textId="77777777" w:rsidR="00E5182E" w:rsidRPr="00DE5784" w:rsidRDefault="00E5182E" w:rsidP="00E5182E">
            <w:pPr>
              <w:spacing w:line="300" w:lineRule="auto"/>
              <w:jc w:val="left"/>
              <w:rPr>
                <w:rFonts w:eastAsia="Calibri" w:cs="Calibri"/>
                <w:b w:val="0"/>
                <w:sz w:val="18"/>
                <w:szCs w:val="18"/>
              </w:rPr>
            </w:pPr>
          </w:p>
        </w:tc>
        <w:tc>
          <w:tcPr>
            <w:tcW w:w="7233" w:type="dxa"/>
          </w:tcPr>
          <w:p w14:paraId="366B582F" w14:textId="73DDF11F" w:rsidR="00E5182E" w:rsidRPr="00DE5784" w:rsidRDefault="00382EE8" w:rsidP="00115BD6">
            <w:pPr>
              <w:pStyle w:val="ListParagraph"/>
              <w:numPr>
                <w:ilvl w:val="0"/>
                <w:numId w:val="42"/>
              </w:num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449B</w:t>
            </w:r>
            <w:r w:rsidR="00E5182E" w:rsidRPr="00DE5784">
              <w:rPr>
                <w:rFonts w:eastAsia="Calibri" w:cs="Calibri"/>
                <w:sz w:val="18"/>
                <w:szCs w:val="18"/>
              </w:rPr>
              <w:t>Stabilise and continue existing funding, ensuring no disruption to catchment management, monitoring or First Nations initiatives including for:</w:t>
            </w:r>
          </w:p>
          <w:p w14:paraId="4F22CA7B" w14:textId="60067C5D" w:rsidR="00E5182E" w:rsidRPr="00DE5784" w:rsidRDefault="00382EE8" w:rsidP="00115BD6">
            <w:pPr>
              <w:pStyle w:val="ListParagraph"/>
              <w:numPr>
                <w:ilvl w:val="1"/>
                <w:numId w:val="42"/>
              </w:num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450B</w:t>
            </w:r>
            <w:r w:rsidR="00E5182E" w:rsidRPr="00DE5784">
              <w:rPr>
                <w:rFonts w:eastAsia="Calibri" w:cs="Calibri"/>
                <w:sz w:val="18"/>
                <w:szCs w:val="18"/>
              </w:rPr>
              <w:t>the Drought Operating Framework</w:t>
            </w:r>
          </w:p>
          <w:p w14:paraId="04BEAE7F" w14:textId="2FF83498" w:rsidR="00E5182E" w:rsidRPr="00DE5784" w:rsidRDefault="00382EE8" w:rsidP="00115BD6">
            <w:pPr>
              <w:pStyle w:val="ListParagraph"/>
              <w:numPr>
                <w:ilvl w:val="1"/>
                <w:numId w:val="42"/>
              </w:num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451B</w:t>
            </w:r>
            <w:r w:rsidR="00E5182E" w:rsidRPr="00DE5784">
              <w:rPr>
                <w:rFonts w:eastAsia="Calibri" w:cs="Calibri"/>
                <w:sz w:val="18"/>
                <w:szCs w:val="18"/>
              </w:rPr>
              <w:t>the ‘Restoring the Health of the Upper Murrumbidgee Program</w:t>
            </w:r>
            <w:r w:rsidR="00E5182E" w:rsidRPr="00DE5784">
              <w:rPr>
                <w:rFonts w:eastAsia="Calibri" w:cs="Calibri"/>
                <w:i/>
                <w:sz w:val="18"/>
                <w:szCs w:val="18"/>
              </w:rPr>
              <w:t>’</w:t>
            </w:r>
            <w:r w:rsidR="00E5182E" w:rsidRPr="00DE5784">
              <w:rPr>
                <w:rFonts w:eastAsia="Calibri" w:cs="Calibri"/>
                <w:sz w:val="18"/>
                <w:szCs w:val="18"/>
              </w:rPr>
              <w:t xml:space="preserve"> </w:t>
            </w:r>
          </w:p>
          <w:p w14:paraId="22390180" w14:textId="6FE7F03D" w:rsidR="00E5182E" w:rsidRPr="00DE5784" w:rsidRDefault="00382EE8" w:rsidP="00115BD6">
            <w:pPr>
              <w:pStyle w:val="ListParagraph"/>
              <w:numPr>
                <w:ilvl w:val="0"/>
                <w:numId w:val="42"/>
              </w:num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452B</w:t>
            </w:r>
            <w:r w:rsidR="00E5182E" w:rsidRPr="00DE5784">
              <w:rPr>
                <w:rFonts w:eastAsia="Calibri" w:cs="Calibri"/>
                <w:sz w:val="18"/>
                <w:szCs w:val="18"/>
              </w:rPr>
              <w:t xml:space="preserve">Provide immediate transitional funding to support actions in ‘Outcome 1’ (above) ahead of the new agreement </w:t>
            </w:r>
          </w:p>
          <w:p w14:paraId="4DAD0356" w14:textId="28EEE585" w:rsidR="00D00AE5" w:rsidRPr="00DE5784" w:rsidRDefault="00382EE8" w:rsidP="00115BD6">
            <w:pPr>
              <w:pStyle w:val="ListParagraph"/>
              <w:numPr>
                <w:ilvl w:val="0"/>
                <w:numId w:val="42"/>
              </w:num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453B</w:t>
            </w:r>
            <w:r w:rsidR="00D00AE5" w:rsidRPr="00DE5784">
              <w:rPr>
                <w:rFonts w:eastAsia="Calibri" w:cs="Calibri"/>
                <w:sz w:val="18"/>
                <w:szCs w:val="18"/>
              </w:rPr>
              <w:t>Fund and commence deliver of the Flow MER in the Upper Murrumbidgee</w:t>
            </w:r>
          </w:p>
          <w:p w14:paraId="7FFB4A49" w14:textId="3BB4FA30" w:rsidR="00E5182E" w:rsidRPr="00DE5784" w:rsidRDefault="00382EE8" w:rsidP="00115BD6">
            <w:pPr>
              <w:pStyle w:val="ListParagraph"/>
              <w:numPr>
                <w:ilvl w:val="0"/>
                <w:numId w:val="42"/>
              </w:num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454B</w:t>
            </w:r>
            <w:r w:rsidR="00E5182E" w:rsidRPr="00DE5784">
              <w:rPr>
                <w:rFonts w:eastAsia="Calibri" w:cs="Calibri"/>
                <w:sz w:val="18"/>
                <w:szCs w:val="18"/>
              </w:rPr>
              <w:t xml:space="preserve">Commission priority technical and feasibility work ensuring this does not delay or compromise the commencement of Option 5, including: </w:t>
            </w:r>
          </w:p>
          <w:p w14:paraId="665DDAF6" w14:textId="42EDE69D" w:rsidR="00E5182E" w:rsidRPr="00DE5784" w:rsidRDefault="00382EE8" w:rsidP="00115BD6">
            <w:pPr>
              <w:pStyle w:val="ListParagraph"/>
              <w:numPr>
                <w:ilvl w:val="0"/>
                <w:numId w:val="98"/>
              </w:numPr>
              <w:spacing w:line="276" w:lineRule="auto"/>
              <w:ind w:hanging="255"/>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455B</w:t>
            </w:r>
            <w:r w:rsidR="00E5182E" w:rsidRPr="00DE5784">
              <w:rPr>
                <w:rFonts w:eastAsia="Calibri" w:cs="Calibri"/>
                <w:sz w:val="18"/>
                <w:szCs w:val="18"/>
              </w:rPr>
              <w:t>Tantangara Dam outlet</w:t>
            </w:r>
          </w:p>
          <w:p w14:paraId="39A606BB" w14:textId="1506DA35" w:rsidR="00E5182E" w:rsidRPr="00DE5784" w:rsidRDefault="00382EE8" w:rsidP="00115BD6">
            <w:pPr>
              <w:pStyle w:val="ListParagraph"/>
              <w:numPr>
                <w:ilvl w:val="0"/>
                <w:numId w:val="98"/>
              </w:numPr>
              <w:spacing w:line="276" w:lineRule="auto"/>
              <w:ind w:hanging="255"/>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456B</w:t>
            </w:r>
            <w:r w:rsidR="004F5719" w:rsidRPr="00DE5784">
              <w:rPr>
                <w:rFonts w:eastAsia="Calibri" w:cs="Calibri"/>
                <w:sz w:val="18"/>
                <w:szCs w:val="18"/>
              </w:rPr>
              <w:t>a</w:t>
            </w:r>
            <w:r w:rsidR="00E5182E" w:rsidRPr="00DE5784">
              <w:rPr>
                <w:rFonts w:eastAsia="Calibri" w:cs="Calibri"/>
                <w:sz w:val="18"/>
                <w:szCs w:val="18"/>
              </w:rPr>
              <w:t>utomation and operational constraints</w:t>
            </w:r>
          </w:p>
          <w:p w14:paraId="315CF4F9" w14:textId="1EE6BDAA" w:rsidR="00E5182E" w:rsidRPr="00DE5784" w:rsidRDefault="00382EE8" w:rsidP="00115BD6">
            <w:pPr>
              <w:pStyle w:val="ListParagraph"/>
              <w:numPr>
                <w:ilvl w:val="0"/>
                <w:numId w:val="98"/>
              </w:numPr>
              <w:spacing w:line="276" w:lineRule="auto"/>
              <w:ind w:hanging="255"/>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457B</w:t>
            </w:r>
            <w:r w:rsidR="00E5182E" w:rsidRPr="00DE5784">
              <w:rPr>
                <w:rFonts w:eastAsia="Calibri" w:cs="Calibri"/>
                <w:sz w:val="18"/>
                <w:szCs w:val="18"/>
              </w:rPr>
              <w:t>hydrological and ecological assessments</w:t>
            </w:r>
          </w:p>
          <w:p w14:paraId="562EC168" w14:textId="5B4FC934" w:rsidR="00E5182E" w:rsidRPr="00DE5784" w:rsidRDefault="00382EE8" w:rsidP="00115BD6">
            <w:pPr>
              <w:pStyle w:val="ListParagraph"/>
              <w:numPr>
                <w:ilvl w:val="0"/>
                <w:numId w:val="98"/>
              </w:numPr>
              <w:spacing w:line="276" w:lineRule="auto"/>
              <w:ind w:hanging="255"/>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Pr>
                <w:rFonts w:ascii="ZWAdobeF" w:eastAsia="Calibri" w:hAnsi="ZWAdobeF" w:cs="ZWAdobeF"/>
                <w:sz w:val="2"/>
                <w:szCs w:val="2"/>
              </w:rPr>
              <w:t>458B</w:t>
            </w:r>
            <w:r w:rsidR="00E5182E" w:rsidRPr="00DE5784">
              <w:rPr>
                <w:rFonts w:eastAsia="Calibri" w:cs="Calibri"/>
                <w:sz w:val="18"/>
                <w:szCs w:val="18"/>
              </w:rPr>
              <w:t>development of environmental water requirements for the Snowy River</w:t>
            </w:r>
            <w:r w:rsidR="1C990163" w:rsidRPr="00DE5784">
              <w:rPr>
                <w:rFonts w:eastAsia="Calibri" w:cs="Calibri"/>
                <w:sz w:val="18"/>
                <w:szCs w:val="18"/>
              </w:rPr>
              <w:t>.</w:t>
            </w:r>
          </w:p>
          <w:p w14:paraId="5E477D5A" w14:textId="1934BCAA" w:rsidR="00E5182E" w:rsidRPr="00DE5784" w:rsidRDefault="00E5182E" w:rsidP="00E5182E">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i/>
                <w:sz w:val="18"/>
                <w:szCs w:val="18"/>
              </w:rPr>
            </w:pPr>
            <w:r w:rsidRPr="00DE5784">
              <w:rPr>
                <w:rFonts w:eastAsia="Calibri" w:cs="Calibri"/>
                <w:i/>
                <w:sz w:val="18"/>
                <w:szCs w:val="18"/>
              </w:rPr>
              <w:t>Early monitoring and technical work will inform the initial development of the whole-of-system planning framework which will be progressively formalised in Phase 2.</w:t>
            </w:r>
          </w:p>
        </w:tc>
      </w:tr>
      <w:tr w:rsidR="00E5182E" w:rsidRPr="00D44F0D" w14:paraId="2990B30C" w14:textId="77777777" w:rsidTr="00D44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6CFA9B46" w14:textId="77777777" w:rsidR="00E5182E" w:rsidRPr="00DE5784" w:rsidRDefault="00E5182E" w:rsidP="00E5182E">
            <w:pPr>
              <w:spacing w:line="300" w:lineRule="auto"/>
              <w:jc w:val="left"/>
              <w:rPr>
                <w:rFonts w:eastAsia="Calibri" w:cs="Calibri"/>
                <w:b w:val="0"/>
                <w:sz w:val="18"/>
                <w:szCs w:val="18"/>
              </w:rPr>
            </w:pPr>
            <w:r w:rsidRPr="00DE5784">
              <w:rPr>
                <w:rFonts w:eastAsia="Calibri" w:cs="Calibri"/>
                <w:sz w:val="18"/>
                <w:szCs w:val="18"/>
              </w:rPr>
              <w:t>Outcome 3: Realignment of the Snowy Licence </w:t>
            </w:r>
            <w:r w:rsidRPr="00DE5784">
              <w:rPr>
                <w:rFonts w:ascii="Arial" w:eastAsia="Calibri" w:hAnsi="Arial" w:cs="Arial"/>
                <w:sz w:val="18"/>
                <w:szCs w:val="18"/>
              </w:rPr>
              <w:t>​</w:t>
            </w:r>
          </w:p>
        </w:tc>
        <w:tc>
          <w:tcPr>
            <w:tcW w:w="7233" w:type="dxa"/>
          </w:tcPr>
          <w:p w14:paraId="6523CD87" w14:textId="52DF4B12" w:rsidR="00E5182E" w:rsidRPr="00DE5784" w:rsidRDefault="00382EE8" w:rsidP="00115BD6">
            <w:pPr>
              <w:pStyle w:val="ListParagraph"/>
              <w:numPr>
                <w:ilvl w:val="0"/>
                <w:numId w:val="42"/>
              </w:num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Pr>
                <w:rFonts w:ascii="ZWAdobeF" w:eastAsia="Calibri" w:hAnsi="ZWAdobeF" w:cs="ZWAdobeF"/>
                <w:sz w:val="2"/>
                <w:szCs w:val="2"/>
              </w:rPr>
              <w:t>459B</w:t>
            </w:r>
            <w:r w:rsidR="0F56CA4A" w:rsidRPr="00DE5784">
              <w:rPr>
                <w:rFonts w:eastAsia="Calibri" w:cs="Calibri"/>
                <w:sz w:val="18"/>
                <w:szCs w:val="18"/>
              </w:rPr>
              <w:t>Amend</w:t>
            </w:r>
            <w:r w:rsidR="4B9D0627" w:rsidRPr="00DE5784">
              <w:rPr>
                <w:rFonts w:eastAsia="Calibri" w:cs="Calibri"/>
                <w:sz w:val="18"/>
                <w:szCs w:val="18"/>
              </w:rPr>
              <w:t xml:space="preserve"> Snowy Water Licence, including updated flow regimes, adaptive management provisions and enhanced reporting requirements. </w:t>
            </w:r>
          </w:p>
        </w:tc>
      </w:tr>
    </w:tbl>
    <w:p w14:paraId="6FF309C0" w14:textId="77777777" w:rsidR="00C57FF7" w:rsidRDefault="00C57FF7" w:rsidP="00C57FF7"/>
    <w:p w14:paraId="2CE8E46A" w14:textId="17AA9EC4" w:rsidR="00C57FF7" w:rsidRPr="00E02B82" w:rsidRDefault="00C57FF7" w:rsidP="00C57FF7">
      <w:pPr>
        <w:pStyle w:val="Sub-Heading"/>
      </w:pPr>
      <w:r w:rsidRPr="00E02B82">
        <w:t>Phase 2: Transition (2–5 years)</w:t>
      </w:r>
    </w:p>
    <w:p w14:paraId="38D80F3C" w14:textId="3B1C9725" w:rsidR="00385CDC" w:rsidRDefault="00382EE8" w:rsidP="00385CDC">
      <w:pPr>
        <w:rPr>
          <w:b/>
          <w:bCs/>
          <w:lang w:eastAsia="en-AU"/>
        </w:rPr>
      </w:pPr>
      <w:r>
        <w:rPr>
          <w:rFonts w:ascii="ZWAdobeF" w:hAnsi="ZWAdobeF" w:cs="ZWAdobeF"/>
          <w:sz w:val="2"/>
          <w:szCs w:val="2"/>
          <w:lang w:eastAsia="en-AU"/>
        </w:rPr>
        <w:t>1273B</w:t>
      </w:r>
      <w:r w:rsidR="00385CDC" w:rsidRPr="00E162D2">
        <w:rPr>
          <w:lang w:eastAsia="en-AU"/>
        </w:rPr>
        <w:t xml:space="preserve">Phase 2 focuses on translating the agreed framework into operational and </w:t>
      </w:r>
      <w:r w:rsidR="002609EB">
        <w:rPr>
          <w:lang w:eastAsia="en-AU"/>
        </w:rPr>
        <w:t>compliance</w:t>
      </w:r>
      <w:r w:rsidR="002609EB" w:rsidRPr="00E162D2">
        <w:rPr>
          <w:lang w:eastAsia="en-AU"/>
        </w:rPr>
        <w:t xml:space="preserve"> </w:t>
      </w:r>
      <w:r w:rsidR="00385CDC" w:rsidRPr="00E162D2">
        <w:rPr>
          <w:lang w:eastAsia="en-AU"/>
        </w:rPr>
        <w:t>arrangements.</w:t>
      </w:r>
      <w:r w:rsidR="00385CDC">
        <w:rPr>
          <w:lang w:eastAsia="en-AU"/>
        </w:rPr>
        <w:t xml:space="preserve"> </w:t>
      </w:r>
      <w:r w:rsidR="00385CDC" w:rsidRPr="00E162D2">
        <w:rPr>
          <w:lang w:eastAsia="en-AU"/>
        </w:rPr>
        <w:t>By the end of this phase governance, funding, planning and regulatory systems should be functioning cohesively.</w:t>
      </w:r>
      <w:r w:rsidR="00385CDC">
        <w:rPr>
          <w:lang w:eastAsia="en-AU"/>
        </w:rPr>
        <w:t xml:space="preserve"> </w:t>
      </w:r>
      <w:r w:rsidR="00385CDC" w:rsidRPr="0072493D">
        <w:rPr>
          <w:lang w:eastAsia="en-AU"/>
        </w:rPr>
        <w:t xml:space="preserve">Key outcomes of Phase 2 </w:t>
      </w:r>
      <w:r w:rsidR="00385CDC">
        <w:rPr>
          <w:lang w:eastAsia="en-AU"/>
        </w:rPr>
        <w:t xml:space="preserve">are at </w:t>
      </w:r>
      <w:r w:rsidR="00385CDC" w:rsidRPr="00786220">
        <w:rPr>
          <w:b/>
          <w:lang w:eastAsia="en-AU"/>
        </w:rPr>
        <w:t xml:space="preserve">Table </w:t>
      </w:r>
      <w:r w:rsidR="00786220" w:rsidRPr="00786220">
        <w:rPr>
          <w:b/>
          <w:bCs/>
          <w:lang w:eastAsia="en-AU"/>
        </w:rPr>
        <w:t>6</w:t>
      </w:r>
      <w:r w:rsidR="00786220">
        <w:rPr>
          <w:lang w:eastAsia="en-AU"/>
        </w:rPr>
        <w:t>.</w:t>
      </w:r>
    </w:p>
    <w:p w14:paraId="53CD356E" w14:textId="6B29BBF5" w:rsidR="00385CDC" w:rsidRDefault="00382EE8" w:rsidP="00385CDC">
      <w:pPr>
        <w:rPr>
          <w:rFonts w:eastAsia="Calibri"/>
        </w:rPr>
      </w:pPr>
      <w:r>
        <w:rPr>
          <w:rFonts w:ascii="ZWAdobeF" w:eastAsia="Calibri" w:hAnsi="ZWAdobeF" w:cs="ZWAdobeF"/>
          <w:sz w:val="2"/>
          <w:szCs w:val="2"/>
        </w:rPr>
        <w:t>1274B</w:t>
      </w:r>
      <w:r w:rsidR="00385CDC" w:rsidRPr="08100C7B">
        <w:rPr>
          <w:rFonts w:eastAsia="Calibri"/>
        </w:rPr>
        <w:t xml:space="preserve">During this phase, policy settings agreed through the </w:t>
      </w:r>
      <w:r w:rsidR="00CE5EF8">
        <w:rPr>
          <w:rFonts w:eastAsia="Calibri"/>
        </w:rPr>
        <w:t>new Deed</w:t>
      </w:r>
      <w:r w:rsidR="00573834">
        <w:rPr>
          <w:rFonts w:eastAsia="Calibri"/>
        </w:rPr>
        <w:t xml:space="preserve"> </w:t>
      </w:r>
      <w:r w:rsidR="00A622D6">
        <w:rPr>
          <w:rFonts w:eastAsia="Calibri"/>
        </w:rPr>
        <w:t xml:space="preserve">and other arrangements </w:t>
      </w:r>
      <w:r w:rsidR="00385CDC" w:rsidRPr="08100C7B">
        <w:rPr>
          <w:rFonts w:eastAsia="Calibri"/>
        </w:rPr>
        <w:t>are translated into legally enforceable obligations through amendments to the Snowy Water Licence.</w:t>
      </w:r>
    </w:p>
    <w:p w14:paraId="2E8A6DE7" w14:textId="77777777" w:rsidR="006D5D8D" w:rsidRDefault="006D5D8D" w:rsidP="00385CDC">
      <w:pPr>
        <w:rPr>
          <w:rFonts w:eastAsia="Calibri"/>
        </w:rPr>
      </w:pPr>
    </w:p>
    <w:p w14:paraId="06AF6116" w14:textId="420594C9" w:rsidR="006D5D8D" w:rsidRPr="006D5D8D" w:rsidRDefault="00382EE8" w:rsidP="006D5D8D">
      <w:pPr>
        <w:pStyle w:val="Caption"/>
        <w:keepNext/>
        <w:rPr>
          <w:b/>
          <w:bCs/>
          <w:color w:val="auto"/>
          <w:sz w:val="20"/>
          <w:szCs w:val="20"/>
        </w:rPr>
      </w:pPr>
      <w:r>
        <w:rPr>
          <w:rFonts w:ascii="ZWAdobeF" w:hAnsi="ZWAdobeF" w:cs="ZWAdobeF"/>
          <w:bCs/>
          <w:i w:val="0"/>
          <w:color w:val="auto"/>
          <w:sz w:val="2"/>
          <w:szCs w:val="2"/>
        </w:rPr>
        <w:lastRenderedPageBreak/>
        <w:t>11B</w:t>
      </w:r>
      <w:r w:rsidR="006D5D8D" w:rsidRPr="006D5D8D">
        <w:rPr>
          <w:b/>
          <w:bCs/>
          <w:color w:val="auto"/>
          <w:sz w:val="20"/>
          <w:szCs w:val="20"/>
        </w:rPr>
        <w:t xml:space="preserve">Table </w:t>
      </w:r>
      <w:r w:rsidR="006D5D8D" w:rsidRPr="006D5D8D">
        <w:rPr>
          <w:b/>
          <w:bCs/>
          <w:color w:val="auto"/>
          <w:sz w:val="20"/>
          <w:szCs w:val="20"/>
        </w:rPr>
        <w:fldChar w:fldCharType="begin"/>
      </w:r>
      <w:r w:rsidR="006D5D8D" w:rsidRPr="006D5D8D">
        <w:rPr>
          <w:b/>
          <w:bCs/>
          <w:color w:val="auto"/>
          <w:sz w:val="20"/>
          <w:szCs w:val="20"/>
        </w:rPr>
        <w:instrText xml:space="preserve"> SEQ Table \* ARABIC </w:instrText>
      </w:r>
      <w:r w:rsidR="006D5D8D" w:rsidRPr="006D5D8D">
        <w:rPr>
          <w:b/>
          <w:bCs/>
          <w:color w:val="auto"/>
          <w:sz w:val="20"/>
          <w:szCs w:val="20"/>
        </w:rPr>
        <w:fldChar w:fldCharType="separate"/>
      </w:r>
      <w:r w:rsidR="0005178F">
        <w:rPr>
          <w:b/>
          <w:bCs/>
          <w:noProof/>
          <w:color w:val="auto"/>
          <w:sz w:val="20"/>
          <w:szCs w:val="20"/>
        </w:rPr>
        <w:t>6</w:t>
      </w:r>
      <w:r w:rsidR="006D5D8D" w:rsidRPr="006D5D8D">
        <w:rPr>
          <w:b/>
          <w:bCs/>
          <w:color w:val="auto"/>
          <w:sz w:val="20"/>
          <w:szCs w:val="20"/>
        </w:rPr>
        <w:fldChar w:fldCharType="end"/>
      </w:r>
      <w:r w:rsidR="006D5D8D" w:rsidRPr="006D5D8D">
        <w:rPr>
          <w:b/>
          <w:bCs/>
          <w:color w:val="auto"/>
          <w:sz w:val="20"/>
          <w:szCs w:val="20"/>
        </w:rPr>
        <w:t>: Summary of Actions in Phase 2</w:t>
      </w:r>
    </w:p>
    <w:tbl>
      <w:tblPr>
        <w:tblStyle w:val="PlainTable1"/>
        <w:tblW w:w="0" w:type="auto"/>
        <w:tblLook w:val="04A0" w:firstRow="1" w:lastRow="0" w:firstColumn="1" w:lastColumn="0" w:noHBand="0" w:noVBand="1"/>
      </w:tblPr>
      <w:tblGrid>
        <w:gridCol w:w="2102"/>
        <w:gridCol w:w="7186"/>
      </w:tblGrid>
      <w:tr w:rsidR="003E5DEF" w:rsidRPr="00F246A4" w14:paraId="391CF797" w14:textId="77777777" w:rsidTr="00941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Pr>
          <w:p w14:paraId="2814EF8C" w14:textId="77777777" w:rsidR="003E5DEF" w:rsidRPr="00DE5784" w:rsidRDefault="003E5DEF" w:rsidP="003E5DEF">
            <w:pPr>
              <w:spacing w:before="100" w:beforeAutospacing="1" w:after="100" w:afterAutospacing="1" w:line="300" w:lineRule="atLeast"/>
              <w:jc w:val="left"/>
              <w:outlineLvl w:val="1"/>
              <w:rPr>
                <w:rFonts w:eastAsia="Times New Roman" w:cs="Calibri"/>
                <w:sz w:val="20"/>
                <w:szCs w:val="20"/>
                <w:lang w:eastAsia="en-AU"/>
              </w:rPr>
            </w:pPr>
            <w:r w:rsidRPr="00DE5784">
              <w:rPr>
                <w:rFonts w:eastAsia="Calibri" w:cs="Calibri"/>
                <w:sz w:val="20"/>
                <w:szCs w:val="20"/>
              </w:rPr>
              <w:t>Outcome</w:t>
            </w:r>
          </w:p>
        </w:tc>
        <w:tc>
          <w:tcPr>
            <w:tcW w:w="7242" w:type="dxa"/>
          </w:tcPr>
          <w:p w14:paraId="4636A321" w14:textId="77777777" w:rsidR="003E5DEF" w:rsidRPr="00DE5784" w:rsidRDefault="003E5DEF">
            <w:pPr>
              <w:spacing w:before="100" w:beforeAutospacing="1" w:after="100" w:afterAutospacing="1" w:line="300" w:lineRule="atLeast"/>
              <w:outlineLvl w:val="1"/>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DE5784">
              <w:rPr>
                <w:rFonts w:eastAsia="Calibri" w:cs="Calibri"/>
                <w:sz w:val="20"/>
                <w:szCs w:val="20"/>
              </w:rPr>
              <w:t>Key Actions</w:t>
            </w:r>
          </w:p>
        </w:tc>
      </w:tr>
      <w:tr w:rsidR="003E5DEF" w:rsidRPr="00F246A4" w14:paraId="1BF2D7A7" w14:textId="77777777" w:rsidTr="00941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Pr>
          <w:p w14:paraId="27532417" w14:textId="70E74876" w:rsidR="003E5DEF" w:rsidRPr="00F246A4" w:rsidRDefault="003E5DEF" w:rsidP="003E5DEF">
            <w:pPr>
              <w:spacing w:before="100" w:beforeAutospacing="1" w:after="100" w:afterAutospacing="1" w:line="300" w:lineRule="atLeast"/>
              <w:jc w:val="left"/>
              <w:outlineLvl w:val="1"/>
              <w:rPr>
                <w:rFonts w:eastAsia="Times New Roman" w:cs="Calibri"/>
                <w:sz w:val="18"/>
                <w:szCs w:val="18"/>
                <w:lang w:eastAsia="en-AU"/>
              </w:rPr>
            </w:pPr>
            <w:r w:rsidRPr="00F246A4">
              <w:rPr>
                <w:rFonts w:eastAsia="Times New Roman" w:cs="Calibri"/>
                <w:sz w:val="18"/>
                <w:szCs w:val="18"/>
                <w:lang w:eastAsia="en-AU"/>
              </w:rPr>
              <w:t xml:space="preserve">Outcome 1: Embed the </w:t>
            </w:r>
            <w:r w:rsidR="00CE5EF8" w:rsidRPr="00F246A4">
              <w:rPr>
                <w:rFonts w:eastAsia="Times New Roman" w:cs="Calibri"/>
                <w:sz w:val="18"/>
                <w:szCs w:val="18"/>
                <w:lang w:eastAsia="en-AU"/>
              </w:rPr>
              <w:t xml:space="preserve">new Deed </w:t>
            </w:r>
            <w:r w:rsidRPr="00F246A4">
              <w:rPr>
                <w:rFonts w:eastAsia="Times New Roman" w:cs="Calibri"/>
                <w:sz w:val="18"/>
                <w:szCs w:val="18"/>
                <w:lang w:eastAsia="en-AU"/>
              </w:rPr>
              <w:t>framework and governance arrangements</w:t>
            </w:r>
          </w:p>
          <w:p w14:paraId="3B9C3DBA" w14:textId="77777777" w:rsidR="003E5DEF" w:rsidRPr="00F246A4" w:rsidRDefault="003E5DEF" w:rsidP="003E5DEF">
            <w:pPr>
              <w:spacing w:before="100" w:beforeAutospacing="1" w:after="100" w:afterAutospacing="1" w:line="300" w:lineRule="atLeast"/>
              <w:jc w:val="left"/>
              <w:outlineLvl w:val="1"/>
              <w:rPr>
                <w:rFonts w:eastAsia="Times New Roman" w:cs="Calibri"/>
                <w:sz w:val="18"/>
                <w:szCs w:val="18"/>
                <w:lang w:eastAsia="en-AU"/>
              </w:rPr>
            </w:pPr>
          </w:p>
        </w:tc>
        <w:tc>
          <w:tcPr>
            <w:tcW w:w="7242" w:type="dxa"/>
          </w:tcPr>
          <w:p w14:paraId="73F8EB53" w14:textId="1D041E28" w:rsidR="003E5DEF" w:rsidRPr="00F246A4" w:rsidRDefault="00382EE8" w:rsidP="00115BD6">
            <w:pPr>
              <w:pStyle w:val="ListParagraph"/>
              <w:numPr>
                <w:ilvl w:val="0"/>
                <w:numId w:val="43"/>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Pr>
                <w:rFonts w:ascii="ZWAdobeF" w:eastAsia="Times New Roman" w:hAnsi="ZWAdobeF" w:cs="ZWAdobeF"/>
                <w:sz w:val="2"/>
                <w:szCs w:val="2"/>
                <w:lang w:eastAsia="en-AU"/>
              </w:rPr>
              <w:t>460B</w:t>
            </w:r>
            <w:r w:rsidR="003E5DEF" w:rsidRPr="00F246A4">
              <w:rPr>
                <w:rFonts w:eastAsia="Times New Roman" w:cs="Calibri"/>
                <w:sz w:val="18"/>
                <w:szCs w:val="18"/>
                <w:lang w:eastAsia="en-AU"/>
              </w:rPr>
              <w:t>Finalise and implement the</w:t>
            </w:r>
            <w:r w:rsidR="00CE5EF8" w:rsidRPr="00F246A4">
              <w:rPr>
                <w:rFonts w:eastAsia="Times New Roman" w:cs="Calibri"/>
                <w:sz w:val="18"/>
                <w:szCs w:val="18"/>
                <w:lang w:eastAsia="en-AU"/>
              </w:rPr>
              <w:t xml:space="preserve"> new Deed</w:t>
            </w:r>
            <w:r w:rsidR="003E5DEF" w:rsidRPr="00F246A4">
              <w:rPr>
                <w:rFonts w:eastAsia="Times New Roman" w:cs="Calibri"/>
                <w:sz w:val="18"/>
                <w:szCs w:val="18"/>
                <w:lang w:eastAsia="en-AU"/>
              </w:rPr>
              <w:t xml:space="preserve"> embedding agreed objectives, governance structures and funding commitments - </w:t>
            </w:r>
            <w:r w:rsidR="003E5DEF" w:rsidRPr="00F246A4">
              <w:rPr>
                <w:rFonts w:eastAsia="Calibri" w:cs="Calibri"/>
                <w:b/>
                <w:sz w:val="18"/>
                <w:szCs w:val="18"/>
              </w:rPr>
              <w:t>Chapter</w:t>
            </w:r>
            <w:r w:rsidR="003E5DEF" w:rsidRPr="00F246A4">
              <w:rPr>
                <w:rFonts w:eastAsia="Calibri" w:cs="Calibri"/>
                <w:sz w:val="18"/>
                <w:szCs w:val="18"/>
              </w:rPr>
              <w:t xml:space="preserve"> </w:t>
            </w:r>
            <w:r w:rsidR="006D3FFF" w:rsidRPr="00F246A4">
              <w:rPr>
                <w:rFonts w:eastAsia="Calibri" w:cs="Calibri"/>
                <w:b/>
                <w:sz w:val="18"/>
                <w:szCs w:val="18"/>
              </w:rPr>
              <w:t>5</w:t>
            </w:r>
            <w:r w:rsidR="649B4EF1" w:rsidRPr="00F246A4">
              <w:rPr>
                <w:rFonts w:eastAsia="Calibri" w:cs="Calibri"/>
                <w:b/>
                <w:i/>
                <w:sz w:val="18"/>
                <w:szCs w:val="18"/>
              </w:rPr>
              <w:t>.</w:t>
            </w:r>
          </w:p>
          <w:p w14:paraId="2F68B86E" w14:textId="7BE20647" w:rsidR="003E5DEF" w:rsidRPr="00F246A4" w:rsidRDefault="003E5DEF" w:rsidP="00115BD6">
            <w:pPr>
              <w:numPr>
                <w:ilvl w:val="0"/>
                <w:numId w:val="43"/>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 xml:space="preserve">Operationalise governance and decision-making arrangements, including structured advisory input and independent oversight - </w:t>
            </w:r>
            <w:r w:rsidRPr="00F246A4">
              <w:rPr>
                <w:rFonts w:eastAsia="Calibri" w:cs="Calibri"/>
                <w:b/>
                <w:sz w:val="18"/>
                <w:szCs w:val="18"/>
              </w:rPr>
              <w:t xml:space="preserve">Chapter </w:t>
            </w:r>
            <w:r w:rsidR="006D3FFF" w:rsidRPr="00F246A4">
              <w:rPr>
                <w:rFonts w:eastAsia="Calibri" w:cs="Calibri"/>
                <w:b/>
                <w:sz w:val="18"/>
                <w:szCs w:val="18"/>
              </w:rPr>
              <w:t>5</w:t>
            </w:r>
            <w:r w:rsidR="11F932BE" w:rsidRPr="00F246A4">
              <w:rPr>
                <w:rFonts w:eastAsia="Calibri" w:cs="Calibri"/>
                <w:b/>
                <w:i/>
                <w:sz w:val="18"/>
                <w:szCs w:val="18"/>
              </w:rPr>
              <w:t>.</w:t>
            </w:r>
          </w:p>
          <w:p w14:paraId="5F780F61" w14:textId="194722E6" w:rsidR="003E5DEF" w:rsidRPr="00F246A4" w:rsidRDefault="003E5DEF" w:rsidP="00115BD6">
            <w:pPr>
              <w:numPr>
                <w:ilvl w:val="0"/>
                <w:numId w:val="43"/>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Fully implement the whole-of-system planning framework, including coordinated planning, advisory processes and decision</w:t>
            </w:r>
            <w:r w:rsidR="00A072DA" w:rsidRPr="00F246A4">
              <w:rPr>
                <w:rFonts w:eastAsia="Times New Roman" w:cs="Calibri"/>
                <w:sz w:val="18"/>
                <w:szCs w:val="18"/>
                <w:lang w:eastAsia="en-AU"/>
              </w:rPr>
              <w:t xml:space="preserve"> </w:t>
            </w:r>
            <w:r w:rsidRPr="00F246A4">
              <w:rPr>
                <w:rFonts w:eastAsia="Times New Roman" w:cs="Calibri"/>
                <w:sz w:val="18"/>
                <w:szCs w:val="18"/>
                <w:lang w:eastAsia="en-AU"/>
              </w:rPr>
              <w:t>support systems.</w:t>
            </w:r>
          </w:p>
        </w:tc>
      </w:tr>
      <w:tr w:rsidR="003E5DEF" w:rsidRPr="00F246A4" w14:paraId="3EF720D5" w14:textId="77777777" w:rsidTr="0094174A">
        <w:tc>
          <w:tcPr>
            <w:cnfStyle w:val="001000000000" w:firstRow="0" w:lastRow="0" w:firstColumn="1" w:lastColumn="0" w:oddVBand="0" w:evenVBand="0" w:oddHBand="0" w:evenHBand="0" w:firstRowFirstColumn="0" w:firstRowLastColumn="0" w:lastRowFirstColumn="0" w:lastRowLastColumn="0"/>
            <w:tcW w:w="2109" w:type="dxa"/>
          </w:tcPr>
          <w:p w14:paraId="4E47EC39" w14:textId="77777777" w:rsidR="003E5DEF" w:rsidRPr="00F246A4" w:rsidRDefault="003E5DEF" w:rsidP="003E5DEF">
            <w:pPr>
              <w:spacing w:before="100" w:beforeAutospacing="1" w:after="100" w:afterAutospacing="1" w:line="300" w:lineRule="atLeast"/>
              <w:jc w:val="left"/>
              <w:outlineLvl w:val="1"/>
              <w:rPr>
                <w:rFonts w:eastAsia="Times New Roman" w:cs="Calibri"/>
                <w:sz w:val="18"/>
                <w:szCs w:val="18"/>
                <w:lang w:eastAsia="en-AU"/>
              </w:rPr>
            </w:pPr>
            <w:r w:rsidRPr="00F246A4">
              <w:rPr>
                <w:rFonts w:eastAsia="Times New Roman" w:cs="Calibri"/>
                <w:sz w:val="18"/>
                <w:szCs w:val="18"/>
                <w:lang w:eastAsia="en-AU"/>
              </w:rPr>
              <w:t>Outcome 2: Operationalise funding, monitoring and adaptive management</w:t>
            </w:r>
          </w:p>
          <w:p w14:paraId="383E1648" w14:textId="77777777" w:rsidR="003E5DEF" w:rsidRPr="00F246A4" w:rsidRDefault="003E5DEF" w:rsidP="003E5DEF">
            <w:pPr>
              <w:spacing w:before="100" w:beforeAutospacing="1" w:after="100" w:afterAutospacing="1" w:line="300" w:lineRule="atLeast"/>
              <w:jc w:val="left"/>
              <w:outlineLvl w:val="1"/>
              <w:rPr>
                <w:rFonts w:eastAsia="Times New Roman" w:cs="Calibri"/>
                <w:sz w:val="18"/>
                <w:szCs w:val="18"/>
                <w:lang w:eastAsia="en-AU"/>
              </w:rPr>
            </w:pPr>
          </w:p>
        </w:tc>
        <w:tc>
          <w:tcPr>
            <w:tcW w:w="7242" w:type="dxa"/>
          </w:tcPr>
          <w:p w14:paraId="40E99E40" w14:textId="38ACA14C" w:rsidR="003E5DEF" w:rsidRPr="00F246A4" w:rsidRDefault="003E5DEF" w:rsidP="00115BD6">
            <w:pPr>
              <w:numPr>
                <w:ilvl w:val="0"/>
                <w:numId w:val="43"/>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Calibri" w:cs="Calibri"/>
                <w:sz w:val="18"/>
                <w:szCs w:val="18"/>
                <w:lang w:eastAsia="en-AU"/>
              </w:rPr>
            </w:pPr>
            <w:r w:rsidRPr="00F246A4">
              <w:rPr>
                <w:rFonts w:eastAsia="Calibri" w:cs="Calibri"/>
                <w:sz w:val="18"/>
                <w:szCs w:val="18"/>
              </w:rPr>
              <w:t xml:space="preserve">Establish and implement the enduring funding framework, transitioning from transitional funding arrangements in Phase 1 to full contributions from governments and Snowy Hydro- </w:t>
            </w:r>
            <w:r w:rsidRPr="00F246A4">
              <w:rPr>
                <w:rFonts w:eastAsia="Calibri" w:cs="Calibri"/>
                <w:b/>
                <w:sz w:val="18"/>
                <w:szCs w:val="18"/>
              </w:rPr>
              <w:t xml:space="preserve">Chapter </w:t>
            </w:r>
            <w:r w:rsidR="006D3FFF" w:rsidRPr="00F246A4">
              <w:rPr>
                <w:rFonts w:eastAsia="Calibri" w:cs="Calibri"/>
                <w:b/>
                <w:sz w:val="18"/>
                <w:szCs w:val="18"/>
              </w:rPr>
              <w:t>7</w:t>
            </w:r>
            <w:r w:rsidR="6F8720E2" w:rsidRPr="00F246A4">
              <w:rPr>
                <w:rFonts w:eastAsia="Calibri" w:cs="Calibri"/>
                <w:b/>
                <w:sz w:val="18"/>
                <w:szCs w:val="18"/>
              </w:rPr>
              <w:t>.</w:t>
            </w:r>
          </w:p>
          <w:p w14:paraId="5D68CBC6" w14:textId="3303435D" w:rsidR="003E5DEF" w:rsidRPr="00F246A4" w:rsidRDefault="003E5DEF" w:rsidP="00115BD6">
            <w:pPr>
              <w:numPr>
                <w:ilvl w:val="0"/>
                <w:numId w:val="43"/>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 xml:space="preserve">Implement integrated monitoring, evaluation and reporting systems aligned to system objectives and performance indicators </w:t>
            </w:r>
          </w:p>
          <w:p w14:paraId="185E528F" w14:textId="3A4E9B8F" w:rsidR="003E5DEF" w:rsidRPr="00F246A4" w:rsidRDefault="003E5DEF" w:rsidP="00115BD6">
            <w:pPr>
              <w:numPr>
                <w:ilvl w:val="0"/>
                <w:numId w:val="43"/>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Embed adaptive management processes, enabling periodic adjustment of flow regimes based on monitoring outcomes, climatic variability and system performance</w:t>
            </w:r>
            <w:r w:rsidR="006D3FFF" w:rsidRPr="00F246A4">
              <w:rPr>
                <w:rFonts w:eastAsia="Times New Roman" w:cs="Calibri"/>
                <w:sz w:val="18"/>
                <w:szCs w:val="18"/>
                <w:lang w:eastAsia="en-AU"/>
              </w:rPr>
              <w:t>.</w:t>
            </w:r>
            <w:r w:rsidRPr="00F246A4">
              <w:rPr>
                <w:rFonts w:eastAsia="Times New Roman" w:cs="Calibri"/>
                <w:sz w:val="18"/>
                <w:szCs w:val="18"/>
                <w:lang w:eastAsia="en-AU"/>
              </w:rPr>
              <w:t xml:space="preserve"> </w:t>
            </w:r>
          </w:p>
          <w:p w14:paraId="7B35186E" w14:textId="24299A9C" w:rsidR="003E5DEF" w:rsidRPr="00F246A4" w:rsidRDefault="003E5DEF" w:rsidP="00115BD6">
            <w:pPr>
              <w:numPr>
                <w:ilvl w:val="0"/>
                <w:numId w:val="43"/>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Progress targeted legislative and regulatory changes where required to support governance, compliance and funding functions.</w:t>
            </w:r>
          </w:p>
        </w:tc>
      </w:tr>
      <w:tr w:rsidR="003E5DEF" w:rsidRPr="00F246A4" w14:paraId="60A38165" w14:textId="77777777" w:rsidTr="006D5D8D">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2109" w:type="dxa"/>
          </w:tcPr>
          <w:p w14:paraId="61D1ABEE" w14:textId="135C4A47" w:rsidR="003E5DEF" w:rsidRPr="00F246A4" w:rsidRDefault="003E5DEF" w:rsidP="003E5DEF">
            <w:pPr>
              <w:spacing w:before="100" w:beforeAutospacing="1" w:after="100" w:afterAutospacing="1" w:line="300" w:lineRule="atLeast"/>
              <w:jc w:val="left"/>
              <w:outlineLvl w:val="1"/>
              <w:rPr>
                <w:rFonts w:eastAsia="Times New Roman" w:cs="Calibri"/>
                <w:sz w:val="18"/>
                <w:szCs w:val="18"/>
                <w:lang w:eastAsia="en-AU"/>
              </w:rPr>
            </w:pPr>
            <w:r w:rsidRPr="00F246A4">
              <w:rPr>
                <w:rFonts w:eastAsia="Times New Roman" w:cs="Calibri"/>
                <w:sz w:val="18"/>
                <w:szCs w:val="18"/>
                <w:lang w:eastAsia="en-AU"/>
              </w:rPr>
              <w:t>Outcome 3: Implement and operationalise the reformed Snowy Water Licence</w:t>
            </w:r>
          </w:p>
        </w:tc>
        <w:tc>
          <w:tcPr>
            <w:tcW w:w="7242" w:type="dxa"/>
          </w:tcPr>
          <w:p w14:paraId="43BDA5FF" w14:textId="12C5782B" w:rsidR="003E5DEF" w:rsidRPr="00F246A4" w:rsidRDefault="003E5DEF" w:rsidP="00115BD6">
            <w:pPr>
              <w:numPr>
                <w:ilvl w:val="0"/>
                <w:numId w:val="43"/>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Amend and give effect to the redesigned Snowy Water Licence, including revised flow regimes, planning framework linkages and adaptive management provisions</w:t>
            </w:r>
          </w:p>
          <w:p w14:paraId="5D960DFD" w14:textId="77777777" w:rsidR="003E5DEF" w:rsidRPr="00F246A4" w:rsidRDefault="003E5DEF" w:rsidP="00115BD6">
            <w:pPr>
              <w:numPr>
                <w:ilvl w:val="0"/>
                <w:numId w:val="43"/>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Operationalise environmental water delivery through the planning framework and licence settings, enabling flexible and system-responsive implementation over time.</w:t>
            </w:r>
          </w:p>
        </w:tc>
      </w:tr>
    </w:tbl>
    <w:p w14:paraId="72F7542C" w14:textId="24A9490B" w:rsidR="00C026A6" w:rsidRPr="00792E45" w:rsidRDefault="00C026A6" w:rsidP="00C026A6">
      <w:pPr>
        <w:pStyle w:val="Sub-Heading"/>
      </w:pPr>
      <w:r w:rsidRPr="00792E45">
        <w:t>Phase 3: Consolidation (5+ years)</w:t>
      </w:r>
    </w:p>
    <w:p w14:paraId="40B83BFE" w14:textId="62BD8E2C" w:rsidR="0078660E" w:rsidRPr="00786220" w:rsidRDefault="00382EE8" w:rsidP="0078660E">
      <w:pPr>
        <w:rPr>
          <w:b/>
          <w:lang w:eastAsia="en-AU"/>
        </w:rPr>
      </w:pPr>
      <w:r>
        <w:rPr>
          <w:rFonts w:ascii="ZWAdobeF" w:hAnsi="ZWAdobeF" w:cs="ZWAdobeF"/>
          <w:sz w:val="2"/>
          <w:szCs w:val="2"/>
          <w:lang w:eastAsia="en-AU"/>
        </w:rPr>
        <w:t>1275B</w:t>
      </w:r>
      <w:r w:rsidR="0078660E" w:rsidRPr="004C44F2">
        <w:rPr>
          <w:lang w:eastAsia="en-AU"/>
        </w:rPr>
        <w:t>Phase 3 focuses on long-term system operation and continuous improvement.</w:t>
      </w:r>
      <w:r w:rsidR="0078660E">
        <w:rPr>
          <w:lang w:eastAsia="en-AU"/>
        </w:rPr>
        <w:t xml:space="preserve"> </w:t>
      </w:r>
      <w:r w:rsidR="0078660E" w:rsidRPr="00EE3D97">
        <w:rPr>
          <w:lang w:eastAsia="en-AU"/>
        </w:rPr>
        <w:t>The emphasis is on maintaining system performance, refining settings over time and ensuring the framework remains effective, accountable and responsive to changing conditions.</w:t>
      </w:r>
      <w:r w:rsidR="0078660E">
        <w:rPr>
          <w:lang w:eastAsia="en-AU"/>
        </w:rPr>
        <w:t xml:space="preserve"> </w:t>
      </w:r>
      <w:r w:rsidR="0078660E" w:rsidRPr="00477278">
        <w:rPr>
          <w:lang w:eastAsia="en-AU"/>
        </w:rPr>
        <w:t xml:space="preserve">Key outcomes of Phase 3 </w:t>
      </w:r>
      <w:r w:rsidR="0078660E">
        <w:rPr>
          <w:lang w:eastAsia="en-AU"/>
        </w:rPr>
        <w:t xml:space="preserve">are at </w:t>
      </w:r>
      <w:r w:rsidR="0078660E" w:rsidRPr="00786220">
        <w:rPr>
          <w:b/>
          <w:lang w:eastAsia="en-AU"/>
        </w:rPr>
        <w:t>Table</w:t>
      </w:r>
      <w:r w:rsidR="0044065E">
        <w:rPr>
          <w:b/>
          <w:lang w:eastAsia="en-AU"/>
        </w:rPr>
        <w:t> </w:t>
      </w:r>
      <w:r w:rsidR="00786220" w:rsidRPr="00786220">
        <w:rPr>
          <w:b/>
          <w:bCs/>
          <w:lang w:eastAsia="en-AU"/>
        </w:rPr>
        <w:t>7.</w:t>
      </w:r>
    </w:p>
    <w:p w14:paraId="288D8FA7" w14:textId="1D2D024A" w:rsidR="00526E8A" w:rsidRPr="00477278" w:rsidRDefault="00382EE8" w:rsidP="0078660E">
      <w:pPr>
        <w:rPr>
          <w:lang w:eastAsia="en-AU"/>
        </w:rPr>
      </w:pPr>
      <w:r>
        <w:rPr>
          <w:rFonts w:ascii="ZWAdobeF" w:hAnsi="ZWAdobeF" w:cs="ZWAdobeF"/>
          <w:sz w:val="2"/>
          <w:szCs w:val="2"/>
          <w:lang w:eastAsia="en-AU"/>
        </w:rPr>
        <w:t>1276B</w:t>
      </w:r>
      <w:r w:rsidR="0078660E" w:rsidRPr="00EE3D97">
        <w:rPr>
          <w:lang w:eastAsia="en-AU"/>
        </w:rPr>
        <w:t>Through these processes the system evolves over time in response to changing environmental conditions, improved information and operational experience, ensuring it continues to deliver balanced, transparent and effective outcomes.</w:t>
      </w:r>
    </w:p>
    <w:p w14:paraId="32C72BF9" w14:textId="4534FF25" w:rsidR="006D5D8D" w:rsidRPr="006D5D8D" w:rsidRDefault="00382EE8" w:rsidP="006D5D8D">
      <w:pPr>
        <w:pStyle w:val="Caption"/>
        <w:keepNext/>
        <w:rPr>
          <w:b/>
          <w:bCs/>
          <w:color w:val="auto"/>
          <w:sz w:val="20"/>
          <w:szCs w:val="20"/>
        </w:rPr>
      </w:pPr>
      <w:r>
        <w:rPr>
          <w:rFonts w:ascii="ZWAdobeF" w:hAnsi="ZWAdobeF" w:cs="ZWAdobeF"/>
          <w:bCs/>
          <w:i w:val="0"/>
          <w:color w:val="auto"/>
          <w:sz w:val="2"/>
          <w:szCs w:val="2"/>
        </w:rPr>
        <w:t>12B</w:t>
      </w:r>
      <w:r w:rsidR="006D5D8D" w:rsidRPr="006D5D8D">
        <w:rPr>
          <w:b/>
          <w:bCs/>
          <w:color w:val="auto"/>
          <w:sz w:val="20"/>
          <w:szCs w:val="20"/>
        </w:rPr>
        <w:t xml:space="preserve">Table </w:t>
      </w:r>
      <w:r w:rsidR="006D5D8D" w:rsidRPr="006D5D8D">
        <w:rPr>
          <w:b/>
          <w:bCs/>
          <w:color w:val="auto"/>
          <w:sz w:val="20"/>
          <w:szCs w:val="20"/>
        </w:rPr>
        <w:fldChar w:fldCharType="begin"/>
      </w:r>
      <w:r w:rsidR="006D5D8D" w:rsidRPr="006D5D8D">
        <w:rPr>
          <w:b/>
          <w:bCs/>
          <w:color w:val="auto"/>
          <w:sz w:val="20"/>
          <w:szCs w:val="20"/>
        </w:rPr>
        <w:instrText xml:space="preserve"> SEQ Table \* ARABIC </w:instrText>
      </w:r>
      <w:r w:rsidR="006D5D8D" w:rsidRPr="006D5D8D">
        <w:rPr>
          <w:b/>
          <w:bCs/>
          <w:color w:val="auto"/>
          <w:sz w:val="20"/>
          <w:szCs w:val="20"/>
        </w:rPr>
        <w:fldChar w:fldCharType="separate"/>
      </w:r>
      <w:r w:rsidR="0005178F">
        <w:rPr>
          <w:b/>
          <w:bCs/>
          <w:noProof/>
          <w:color w:val="auto"/>
          <w:sz w:val="20"/>
          <w:szCs w:val="20"/>
        </w:rPr>
        <w:t>7</w:t>
      </w:r>
      <w:r w:rsidR="006D5D8D" w:rsidRPr="006D5D8D">
        <w:rPr>
          <w:b/>
          <w:bCs/>
          <w:color w:val="auto"/>
          <w:sz w:val="20"/>
          <w:szCs w:val="20"/>
        </w:rPr>
        <w:fldChar w:fldCharType="end"/>
      </w:r>
      <w:r w:rsidR="006D5D8D" w:rsidRPr="006D5D8D">
        <w:rPr>
          <w:b/>
          <w:bCs/>
          <w:color w:val="auto"/>
          <w:sz w:val="20"/>
          <w:szCs w:val="20"/>
        </w:rPr>
        <w:t>: Summary of Actions in Phase 3</w:t>
      </w:r>
    </w:p>
    <w:tbl>
      <w:tblPr>
        <w:tblStyle w:val="PlainTable1"/>
        <w:tblW w:w="0" w:type="auto"/>
        <w:tblLook w:val="04A0" w:firstRow="1" w:lastRow="0" w:firstColumn="1" w:lastColumn="0" w:noHBand="0" w:noVBand="1"/>
      </w:tblPr>
      <w:tblGrid>
        <w:gridCol w:w="2232"/>
        <w:gridCol w:w="7056"/>
      </w:tblGrid>
      <w:tr w:rsidR="00283556" w:rsidRPr="00F246A4" w14:paraId="4EDD08CE" w14:textId="77777777" w:rsidTr="008C3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2" w:type="dxa"/>
          </w:tcPr>
          <w:p w14:paraId="3A509971" w14:textId="77777777" w:rsidR="00283556" w:rsidRPr="006D5D8D" w:rsidRDefault="00283556" w:rsidP="00283556">
            <w:pPr>
              <w:spacing w:before="100" w:beforeAutospacing="1" w:after="100" w:afterAutospacing="1" w:line="300" w:lineRule="atLeast"/>
              <w:jc w:val="left"/>
              <w:outlineLvl w:val="1"/>
              <w:rPr>
                <w:rFonts w:eastAsia="Times New Roman" w:cs="Calibri"/>
                <w:sz w:val="20"/>
                <w:szCs w:val="20"/>
                <w:lang w:eastAsia="en-AU"/>
              </w:rPr>
            </w:pPr>
            <w:r w:rsidRPr="006D5D8D">
              <w:rPr>
                <w:rFonts w:eastAsia="Calibri" w:cs="Calibri"/>
                <w:sz w:val="20"/>
                <w:szCs w:val="20"/>
              </w:rPr>
              <w:t>Outcome</w:t>
            </w:r>
          </w:p>
        </w:tc>
        <w:tc>
          <w:tcPr>
            <w:tcW w:w="7109" w:type="dxa"/>
          </w:tcPr>
          <w:p w14:paraId="411B496F" w14:textId="77777777" w:rsidR="00283556" w:rsidRPr="006D5D8D" w:rsidRDefault="00283556">
            <w:pPr>
              <w:spacing w:before="100" w:beforeAutospacing="1" w:after="100" w:afterAutospacing="1" w:line="300" w:lineRule="atLeast"/>
              <w:outlineLvl w:val="1"/>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en-AU"/>
              </w:rPr>
            </w:pPr>
            <w:r w:rsidRPr="006D5D8D">
              <w:rPr>
                <w:rFonts w:eastAsia="Calibri" w:cs="Calibri"/>
                <w:sz w:val="20"/>
                <w:szCs w:val="20"/>
              </w:rPr>
              <w:t>Key Actions</w:t>
            </w:r>
          </w:p>
        </w:tc>
      </w:tr>
      <w:tr w:rsidR="00283556" w:rsidRPr="00F246A4" w14:paraId="3C8FF7A0" w14:textId="77777777" w:rsidTr="008C3C37">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2242" w:type="dxa"/>
          </w:tcPr>
          <w:p w14:paraId="10A7ACBE" w14:textId="569A3AB1" w:rsidR="00283556" w:rsidRPr="00F246A4" w:rsidRDefault="00283556" w:rsidP="00283556">
            <w:pPr>
              <w:spacing w:before="100" w:beforeAutospacing="1" w:after="100" w:afterAutospacing="1" w:line="300" w:lineRule="atLeast"/>
              <w:jc w:val="left"/>
              <w:outlineLvl w:val="1"/>
              <w:rPr>
                <w:rFonts w:eastAsia="Times New Roman" w:cs="Calibri"/>
                <w:sz w:val="18"/>
                <w:szCs w:val="18"/>
                <w:lang w:eastAsia="en-AU"/>
              </w:rPr>
            </w:pPr>
            <w:r w:rsidRPr="00F246A4">
              <w:rPr>
                <w:rFonts w:eastAsia="Times New Roman" w:cs="Calibri"/>
                <w:sz w:val="18"/>
                <w:szCs w:val="18"/>
                <w:lang w:eastAsia="en-AU"/>
              </w:rPr>
              <w:t xml:space="preserve">Outcome 1: Embedded </w:t>
            </w:r>
            <w:r w:rsidR="00DE67C3" w:rsidRPr="00F246A4">
              <w:rPr>
                <w:rFonts w:eastAsia="Times New Roman" w:cs="Calibri"/>
                <w:sz w:val="18"/>
                <w:szCs w:val="18"/>
                <w:lang w:eastAsia="en-AU"/>
              </w:rPr>
              <w:t xml:space="preserve">Deed </w:t>
            </w:r>
            <w:r w:rsidRPr="00F246A4">
              <w:rPr>
                <w:rFonts w:eastAsia="Times New Roman" w:cs="Calibri"/>
                <w:sz w:val="18"/>
                <w:szCs w:val="18"/>
                <w:lang w:eastAsia="en-AU"/>
              </w:rPr>
              <w:t>and governance framework</w:t>
            </w:r>
          </w:p>
        </w:tc>
        <w:tc>
          <w:tcPr>
            <w:tcW w:w="7109" w:type="dxa"/>
          </w:tcPr>
          <w:p w14:paraId="0B9AA9B4" w14:textId="6CC463C9" w:rsidR="00283556" w:rsidRPr="00F246A4" w:rsidRDefault="00382EE8" w:rsidP="00115BD6">
            <w:pPr>
              <w:pStyle w:val="ListParagraph"/>
              <w:numPr>
                <w:ilvl w:val="0"/>
                <w:numId w:val="44"/>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Pr>
                <w:rFonts w:ascii="ZWAdobeF" w:eastAsia="Times New Roman" w:hAnsi="ZWAdobeF" w:cs="ZWAdobeF"/>
                <w:sz w:val="2"/>
                <w:szCs w:val="2"/>
                <w:lang w:eastAsia="en-AU"/>
              </w:rPr>
              <w:t>461B</w:t>
            </w:r>
            <w:r w:rsidR="00283556" w:rsidRPr="00F246A4">
              <w:rPr>
                <w:rFonts w:eastAsia="Times New Roman" w:cs="Calibri"/>
                <w:sz w:val="18"/>
                <w:szCs w:val="18"/>
                <w:lang w:eastAsia="en-AU"/>
              </w:rPr>
              <w:t>Full operation of the</w:t>
            </w:r>
            <w:r w:rsidR="00CE5EF8" w:rsidRPr="00F246A4">
              <w:rPr>
                <w:rFonts w:eastAsia="Times New Roman" w:cs="Calibri"/>
                <w:sz w:val="18"/>
                <w:szCs w:val="18"/>
                <w:lang w:eastAsia="en-AU"/>
              </w:rPr>
              <w:t xml:space="preserve"> new Deed</w:t>
            </w:r>
            <w:r w:rsidR="00283556" w:rsidRPr="00F246A4">
              <w:rPr>
                <w:rFonts w:eastAsia="Times New Roman" w:cs="Calibri"/>
                <w:sz w:val="18"/>
                <w:szCs w:val="18"/>
                <w:lang w:eastAsia="en-AU"/>
              </w:rPr>
              <w:t xml:space="preserve"> with governance, planning and decision-making processes embedded across jurisdictions</w:t>
            </w:r>
          </w:p>
          <w:p w14:paraId="476D061A" w14:textId="58B682CA" w:rsidR="00283556" w:rsidRPr="00F246A4" w:rsidRDefault="00382EE8" w:rsidP="00115BD6">
            <w:pPr>
              <w:pStyle w:val="ListParagraph"/>
              <w:numPr>
                <w:ilvl w:val="0"/>
                <w:numId w:val="44"/>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Pr>
                <w:rFonts w:ascii="ZWAdobeF" w:eastAsia="Times New Roman" w:hAnsi="ZWAdobeF" w:cs="ZWAdobeF"/>
                <w:sz w:val="2"/>
                <w:szCs w:val="2"/>
                <w:lang w:eastAsia="en-AU"/>
              </w:rPr>
              <w:t>462B</w:t>
            </w:r>
            <w:r w:rsidR="00283556" w:rsidRPr="00F246A4">
              <w:rPr>
                <w:rFonts w:eastAsia="Times New Roman" w:cs="Calibri"/>
                <w:sz w:val="18"/>
                <w:szCs w:val="18"/>
                <w:lang w:eastAsia="en-AU"/>
              </w:rPr>
              <w:t>Continued operation of coordinated planning and advisory arrangements, supporting transparent and evidence-based decision-making.</w:t>
            </w:r>
          </w:p>
        </w:tc>
      </w:tr>
      <w:tr w:rsidR="00283556" w:rsidRPr="00F246A4" w14:paraId="6EBC8314" w14:textId="77777777" w:rsidTr="008C3C37">
        <w:tc>
          <w:tcPr>
            <w:cnfStyle w:val="001000000000" w:firstRow="0" w:lastRow="0" w:firstColumn="1" w:lastColumn="0" w:oddVBand="0" w:evenVBand="0" w:oddHBand="0" w:evenHBand="0" w:firstRowFirstColumn="0" w:firstRowLastColumn="0" w:lastRowFirstColumn="0" w:lastRowLastColumn="0"/>
            <w:tcW w:w="2242" w:type="dxa"/>
          </w:tcPr>
          <w:p w14:paraId="7A1B8957" w14:textId="77777777" w:rsidR="00283556" w:rsidRPr="00F246A4" w:rsidRDefault="00283556" w:rsidP="00283556">
            <w:pPr>
              <w:spacing w:before="100" w:beforeAutospacing="1" w:after="100" w:afterAutospacing="1" w:line="300" w:lineRule="atLeast"/>
              <w:jc w:val="left"/>
              <w:outlineLvl w:val="1"/>
              <w:rPr>
                <w:rFonts w:eastAsia="Times New Roman" w:cs="Calibri"/>
                <w:sz w:val="18"/>
                <w:szCs w:val="18"/>
                <w:lang w:eastAsia="en-AU"/>
              </w:rPr>
            </w:pPr>
            <w:r w:rsidRPr="00F246A4">
              <w:rPr>
                <w:rFonts w:eastAsia="Times New Roman" w:cs="Calibri"/>
                <w:sz w:val="18"/>
                <w:szCs w:val="18"/>
                <w:lang w:eastAsia="en-AU"/>
              </w:rPr>
              <w:lastRenderedPageBreak/>
              <w:t>Outcome 2: Stable funding, monitoring and adaptive management</w:t>
            </w:r>
          </w:p>
          <w:p w14:paraId="0D70D51B" w14:textId="77777777" w:rsidR="00283556" w:rsidRPr="00F246A4" w:rsidRDefault="00283556" w:rsidP="00283556">
            <w:pPr>
              <w:spacing w:before="100" w:beforeAutospacing="1" w:after="100" w:afterAutospacing="1" w:line="300" w:lineRule="atLeast"/>
              <w:jc w:val="left"/>
              <w:outlineLvl w:val="1"/>
              <w:rPr>
                <w:rFonts w:eastAsia="Times New Roman" w:cs="Calibri"/>
                <w:sz w:val="18"/>
                <w:szCs w:val="18"/>
                <w:lang w:eastAsia="en-AU"/>
              </w:rPr>
            </w:pPr>
          </w:p>
        </w:tc>
        <w:tc>
          <w:tcPr>
            <w:tcW w:w="7109" w:type="dxa"/>
          </w:tcPr>
          <w:p w14:paraId="3CAC2215" w14:textId="2E317912" w:rsidR="00283556" w:rsidRPr="00F246A4" w:rsidRDefault="00283556" w:rsidP="00115BD6">
            <w:pPr>
              <w:numPr>
                <w:ilvl w:val="0"/>
                <w:numId w:val="44"/>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Stabilisation of the funding framework, reflecting long-term cost allocation principles and system responsibilities</w:t>
            </w:r>
          </w:p>
          <w:p w14:paraId="32A45F17" w14:textId="3AFE6B6D" w:rsidR="00283556" w:rsidRPr="00F246A4" w:rsidRDefault="00283556" w:rsidP="00115BD6">
            <w:pPr>
              <w:numPr>
                <w:ilvl w:val="0"/>
                <w:numId w:val="44"/>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Ongoing operation of integrated monitoring, evaluation and reporting systems aligned with system objectives</w:t>
            </w:r>
          </w:p>
          <w:p w14:paraId="66E0B890" w14:textId="4D6BFDCD" w:rsidR="00283556" w:rsidRPr="00F246A4" w:rsidRDefault="00283556" w:rsidP="00115BD6">
            <w:pPr>
              <w:numPr>
                <w:ilvl w:val="0"/>
                <w:numId w:val="44"/>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Continued application of adaptive management, with decisions informed by monitoring outcomes, scientific knowledge and operational experience</w:t>
            </w:r>
          </w:p>
          <w:p w14:paraId="561569E4" w14:textId="77777777" w:rsidR="00283556" w:rsidRPr="00F246A4" w:rsidRDefault="00283556" w:rsidP="00115BD6">
            <w:pPr>
              <w:numPr>
                <w:ilvl w:val="0"/>
                <w:numId w:val="44"/>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 xml:space="preserve">Regular audit and review processes, including: </w:t>
            </w:r>
          </w:p>
          <w:p w14:paraId="0E8C3A28" w14:textId="5D02A32F" w:rsidR="00283556" w:rsidRPr="00F246A4" w:rsidRDefault="00283556" w:rsidP="00115BD6">
            <w:pPr>
              <w:numPr>
                <w:ilvl w:val="1"/>
                <w:numId w:val="44"/>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periodic independent audit (every five years)</w:t>
            </w:r>
          </w:p>
          <w:p w14:paraId="349FBA58" w14:textId="42F48D12" w:rsidR="00283556" w:rsidRPr="00F246A4" w:rsidRDefault="00283556" w:rsidP="00115BD6">
            <w:pPr>
              <w:numPr>
                <w:ilvl w:val="1"/>
                <w:numId w:val="44"/>
              </w:numPr>
              <w:spacing w:before="100" w:beforeAutospacing="1" w:after="100" w:afterAutospacing="1" w:line="300" w:lineRule="atLeast"/>
              <w:jc w:val="left"/>
              <w:outlineLvl w:val="1"/>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longer-term system review (every ten years)</w:t>
            </w:r>
            <w:r w:rsidR="009753E1" w:rsidRPr="00F246A4">
              <w:rPr>
                <w:rFonts w:eastAsia="Times New Roman" w:cs="Calibri"/>
                <w:sz w:val="18"/>
                <w:szCs w:val="18"/>
                <w:lang w:eastAsia="en-AU"/>
              </w:rPr>
              <w:t>.</w:t>
            </w:r>
          </w:p>
        </w:tc>
      </w:tr>
      <w:tr w:rsidR="00283556" w:rsidRPr="00F246A4" w14:paraId="0643F885" w14:textId="77777777" w:rsidTr="008C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2" w:type="dxa"/>
          </w:tcPr>
          <w:p w14:paraId="50FD908C" w14:textId="77777777" w:rsidR="00283556" w:rsidRPr="00F246A4" w:rsidRDefault="00283556" w:rsidP="00283556">
            <w:pPr>
              <w:spacing w:before="100" w:beforeAutospacing="1" w:after="100" w:afterAutospacing="1" w:line="300" w:lineRule="atLeast"/>
              <w:jc w:val="left"/>
              <w:outlineLvl w:val="1"/>
              <w:rPr>
                <w:rFonts w:eastAsia="Times New Roman" w:cs="Calibri"/>
                <w:sz w:val="18"/>
                <w:szCs w:val="18"/>
                <w:lang w:eastAsia="en-AU"/>
              </w:rPr>
            </w:pPr>
            <w:r w:rsidRPr="00F246A4">
              <w:rPr>
                <w:rFonts w:eastAsia="Times New Roman" w:cs="Calibri"/>
                <w:sz w:val="18"/>
                <w:szCs w:val="18"/>
                <w:lang w:eastAsia="en-AU"/>
              </w:rPr>
              <w:t>Outcome 3: Ongoing optimisation of the Snowy Water Licence and system settings</w:t>
            </w:r>
          </w:p>
          <w:p w14:paraId="2A9F357C" w14:textId="77777777" w:rsidR="00283556" w:rsidRPr="00F246A4" w:rsidRDefault="00283556" w:rsidP="00283556">
            <w:pPr>
              <w:spacing w:before="100" w:beforeAutospacing="1" w:after="100" w:afterAutospacing="1" w:line="300" w:lineRule="atLeast"/>
              <w:jc w:val="left"/>
              <w:outlineLvl w:val="1"/>
              <w:rPr>
                <w:rFonts w:eastAsia="Times New Roman" w:cs="Calibri"/>
                <w:sz w:val="18"/>
                <w:szCs w:val="18"/>
                <w:lang w:eastAsia="en-AU"/>
              </w:rPr>
            </w:pPr>
          </w:p>
        </w:tc>
        <w:tc>
          <w:tcPr>
            <w:tcW w:w="7109" w:type="dxa"/>
          </w:tcPr>
          <w:p w14:paraId="38D39BBB" w14:textId="62C1D216" w:rsidR="00283556" w:rsidRPr="00F246A4" w:rsidRDefault="00283556" w:rsidP="00115BD6">
            <w:pPr>
              <w:numPr>
                <w:ilvl w:val="0"/>
                <w:numId w:val="44"/>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Continued refinement of the Snowy Water Licence, including flow regimes and adaptive management provisions in line with system performance and emerging evidence</w:t>
            </w:r>
          </w:p>
          <w:p w14:paraId="290A2BED" w14:textId="77777777" w:rsidR="00283556" w:rsidRPr="00F246A4" w:rsidRDefault="00283556" w:rsidP="00115BD6">
            <w:pPr>
              <w:numPr>
                <w:ilvl w:val="0"/>
                <w:numId w:val="44"/>
              </w:numPr>
              <w:spacing w:before="100" w:beforeAutospacing="1" w:after="100" w:afterAutospacing="1" w:line="300" w:lineRule="atLeast"/>
              <w:jc w:val="left"/>
              <w:outlineLvl w:val="1"/>
              <w:cnfStyle w:val="000000100000" w:firstRow="0" w:lastRow="0" w:firstColumn="0" w:lastColumn="0" w:oddVBand="0" w:evenVBand="0" w:oddHBand="1" w:evenHBand="0" w:firstRowFirstColumn="0" w:firstRowLastColumn="0" w:lastRowFirstColumn="0" w:lastRowLastColumn="0"/>
              <w:rPr>
                <w:rFonts w:eastAsia="Times New Roman" w:cs="Calibri"/>
                <w:sz w:val="18"/>
                <w:szCs w:val="18"/>
                <w:lang w:eastAsia="en-AU"/>
              </w:rPr>
            </w:pPr>
            <w:r w:rsidRPr="00F246A4">
              <w:rPr>
                <w:rFonts w:eastAsia="Times New Roman" w:cs="Calibri"/>
                <w:sz w:val="18"/>
                <w:szCs w:val="18"/>
                <w:lang w:eastAsia="en-AU"/>
              </w:rPr>
              <w:t>Progressive optimisation of system settings, including planning frameworks, operational rules and investment priorities.</w:t>
            </w:r>
          </w:p>
        </w:tc>
      </w:tr>
    </w:tbl>
    <w:p w14:paraId="6973E7AB" w14:textId="7D440B69" w:rsidR="00283556" w:rsidRPr="005A21D7" w:rsidRDefault="00283556" w:rsidP="00283556">
      <w:pPr>
        <w:pStyle w:val="ReviewHeading2"/>
      </w:pPr>
      <w:bookmarkStart w:id="167" w:name="_Toc233285631"/>
      <w:bookmarkStart w:id="168" w:name="_Toc233801510"/>
      <w:r>
        <w:t>8.</w:t>
      </w:r>
      <w:r w:rsidR="001A4F6D">
        <w:t>4</w:t>
      </w:r>
      <w:r>
        <w:t xml:space="preserve"> </w:t>
      </w:r>
      <w:r w:rsidR="00AF2133">
        <w:t>Role of the NSW Snowy Water Licence</w:t>
      </w:r>
      <w:bookmarkEnd w:id="167"/>
      <w:bookmarkEnd w:id="168"/>
      <w:r w:rsidR="00AF2133">
        <w:t xml:space="preserve"> </w:t>
      </w:r>
    </w:p>
    <w:p w14:paraId="298D4308" w14:textId="17C0C0F0" w:rsidR="00CF2F4E" w:rsidRPr="00051450" w:rsidRDefault="00382EE8" w:rsidP="00CF2F4E">
      <w:r>
        <w:rPr>
          <w:rFonts w:ascii="ZWAdobeF" w:hAnsi="ZWAdobeF" w:cs="ZWAdobeF"/>
          <w:sz w:val="2"/>
          <w:szCs w:val="2"/>
        </w:rPr>
        <w:t>1277B</w:t>
      </w:r>
      <w:r w:rsidR="00CF2F4E" w:rsidRPr="327920F6">
        <w:t>The Snowy Water Licence will remain the primary legal and operational instrument through which environmental flow obligations, system rules and compliance requirements are implemented.</w:t>
      </w:r>
    </w:p>
    <w:p w14:paraId="2B514900" w14:textId="3E608450" w:rsidR="00CF2F4E" w:rsidRPr="00051450" w:rsidRDefault="00382EE8" w:rsidP="00CF2F4E">
      <w:r>
        <w:rPr>
          <w:rFonts w:ascii="ZWAdobeF" w:hAnsi="ZWAdobeF" w:cs="ZWAdobeF"/>
          <w:sz w:val="2"/>
          <w:szCs w:val="2"/>
        </w:rPr>
        <w:t>1278B</w:t>
      </w:r>
      <w:r w:rsidR="00CF2F4E" w:rsidRPr="327920F6">
        <w:t xml:space="preserve">The </w:t>
      </w:r>
      <w:r w:rsidR="00DE67C3">
        <w:t xml:space="preserve">new Deed </w:t>
      </w:r>
      <w:r w:rsidR="00CF2F4E" w:rsidRPr="327920F6">
        <w:t>establishes the policy framework, which is subsequently given legal effect through staged amendments to the Licence.</w:t>
      </w:r>
    </w:p>
    <w:p w14:paraId="686A4D3B" w14:textId="4CA70465" w:rsidR="00CF2F4E" w:rsidRPr="00051450" w:rsidRDefault="00382EE8" w:rsidP="00CF2F4E">
      <w:r>
        <w:rPr>
          <w:rFonts w:ascii="ZWAdobeF" w:hAnsi="ZWAdobeF" w:cs="ZWAdobeF"/>
          <w:sz w:val="2"/>
          <w:szCs w:val="2"/>
        </w:rPr>
        <w:t>1279B</w:t>
      </w:r>
      <w:r w:rsidR="00CF2F4E" w:rsidRPr="327920F6">
        <w:t>In practice, key elements of the Panel’s recommendations</w:t>
      </w:r>
      <w:r w:rsidR="00CF2F4E" w:rsidRPr="427888F5">
        <w:t>,</w:t>
      </w:r>
      <w:r w:rsidR="00CF2F4E" w:rsidRPr="327920F6">
        <w:t xml:space="preserve"> including flow regimes, adaptive management provisions, reporting obligations and aspects of the planning framework</w:t>
      </w:r>
      <w:r w:rsidR="00CF2F4E" w:rsidRPr="69595B5B">
        <w:t>,</w:t>
      </w:r>
      <w:r w:rsidR="00CF2F4E" w:rsidRPr="327920F6">
        <w:t xml:space="preserve"> will be reflected in Licence conditions and associated operating rules.</w:t>
      </w:r>
    </w:p>
    <w:p w14:paraId="5121AE2B" w14:textId="3C315C19" w:rsidR="00CF2F4E" w:rsidRPr="00051450" w:rsidRDefault="00382EE8" w:rsidP="00CF2F4E">
      <w:pPr>
        <w:rPr>
          <w:color w:val="6161D7"/>
        </w:rPr>
      </w:pPr>
      <w:r>
        <w:rPr>
          <w:rFonts w:ascii="ZWAdobeF" w:hAnsi="ZWAdobeF" w:cs="ZWAdobeF"/>
          <w:sz w:val="2"/>
          <w:szCs w:val="2"/>
        </w:rPr>
        <w:t>1280B</w:t>
      </w:r>
      <w:r w:rsidR="00CF2F4E" w:rsidRPr="327920F6">
        <w:t xml:space="preserve">Amendments should be progressed through existing statutory processes in </w:t>
      </w:r>
      <w:r w:rsidR="41638B7F">
        <w:t>NSW</w:t>
      </w:r>
      <w:r w:rsidR="5FA87D26">
        <w:t>.</w:t>
      </w:r>
      <w:r w:rsidR="00CF2F4E" w:rsidRPr="327920F6">
        <w:t xml:space="preserve"> However, further detailed design work will be required following agreement by governments to determine the precise scope and content of amendments, including how the recommended framework is translated into legally enforceable provisions.</w:t>
      </w:r>
      <w:r w:rsidR="00CF2F4E" w:rsidRPr="327920F6">
        <w:rPr>
          <w:color w:val="6161D7"/>
        </w:rPr>
        <w:t xml:space="preserve"> </w:t>
      </w:r>
    </w:p>
    <w:p w14:paraId="45908C2D" w14:textId="1352D655" w:rsidR="001B5CA8" w:rsidRDefault="004A7AC6" w:rsidP="00CF2F4E">
      <w:pPr>
        <w:pStyle w:val="ReviewHeading2"/>
      </w:pPr>
      <w:bookmarkStart w:id="169" w:name="_Toc233285632"/>
      <w:bookmarkStart w:id="170" w:name="_Toc233801511"/>
      <w:r>
        <w:t>8</w:t>
      </w:r>
      <w:r w:rsidR="00CF2F4E">
        <w:t>.</w:t>
      </w:r>
      <w:r w:rsidR="001A4F6D">
        <w:t>5</w:t>
      </w:r>
      <w:r w:rsidR="00CF2F4E">
        <w:t xml:space="preserve"> Legal and institutional changes</w:t>
      </w:r>
      <w:bookmarkEnd w:id="169"/>
      <w:bookmarkEnd w:id="170"/>
    </w:p>
    <w:p w14:paraId="59FD7858" w14:textId="211BA262" w:rsidR="327D11AD" w:rsidRDefault="00382EE8">
      <w:r>
        <w:rPr>
          <w:rFonts w:ascii="ZWAdobeF" w:hAnsi="ZWAdobeF" w:cs="ZWAdobeF"/>
          <w:sz w:val="2"/>
          <w:szCs w:val="2"/>
        </w:rPr>
        <w:t>1281B</w:t>
      </w:r>
      <w:r w:rsidR="056D0762">
        <w:t>The Panel does not propose wholesale legislative reform. Any changes should be targeted and proportionate supporting the operation of the framework without creating new institutional complexity.</w:t>
      </w:r>
    </w:p>
    <w:p w14:paraId="6482826C" w14:textId="653E464B" w:rsidR="001B5CA8" w:rsidRPr="00495B9A" w:rsidRDefault="00382EE8" w:rsidP="001B5CA8">
      <w:r>
        <w:rPr>
          <w:rFonts w:ascii="ZWAdobeF" w:hAnsi="ZWAdobeF" w:cs="ZWAdobeF"/>
          <w:sz w:val="2"/>
          <w:szCs w:val="2"/>
        </w:rPr>
        <w:t>1282B</w:t>
      </w:r>
      <w:r w:rsidR="001B5CA8" w:rsidRPr="00495B9A">
        <w:t xml:space="preserve">Implementation relies on coordinated use of </w:t>
      </w:r>
      <w:r w:rsidR="009B7B35">
        <w:t>several</w:t>
      </w:r>
      <w:r w:rsidR="009B6ADF">
        <w:t xml:space="preserve"> </w:t>
      </w:r>
      <w:r w:rsidR="001B5CA8" w:rsidRPr="00495B9A">
        <w:t>instruments:</w:t>
      </w:r>
    </w:p>
    <w:p w14:paraId="7DD258B9" w14:textId="47CB81C5" w:rsidR="001B5CA8" w:rsidRPr="00495B9A" w:rsidRDefault="00382EE8" w:rsidP="00115BD6">
      <w:pPr>
        <w:pStyle w:val="ListParagraph"/>
        <w:numPr>
          <w:ilvl w:val="0"/>
          <w:numId w:val="45"/>
        </w:numPr>
      </w:pPr>
      <w:r>
        <w:rPr>
          <w:rFonts w:ascii="ZWAdobeF" w:hAnsi="ZWAdobeF" w:cs="ZWAdobeF"/>
          <w:sz w:val="2"/>
          <w:szCs w:val="2"/>
        </w:rPr>
        <w:t>463B</w:t>
      </w:r>
      <w:r w:rsidR="00DE67C3">
        <w:t>New Deed</w:t>
      </w:r>
      <w:r w:rsidR="001B5CA8" w:rsidRPr="00495B9A">
        <w:t>: establishes objectives, governance and funding</w:t>
      </w:r>
    </w:p>
    <w:p w14:paraId="09A2BC34" w14:textId="4618FDC0" w:rsidR="001B5CA8" w:rsidRPr="00495B9A" w:rsidRDefault="00382EE8" w:rsidP="00115BD6">
      <w:pPr>
        <w:pStyle w:val="ListParagraph"/>
        <w:numPr>
          <w:ilvl w:val="0"/>
          <w:numId w:val="45"/>
        </w:numPr>
      </w:pPr>
      <w:r>
        <w:rPr>
          <w:rFonts w:ascii="ZWAdobeF" w:hAnsi="ZWAdobeF" w:cs="ZWAdobeF"/>
          <w:sz w:val="2"/>
          <w:szCs w:val="2"/>
        </w:rPr>
        <w:t>464B</w:t>
      </w:r>
      <w:r w:rsidR="001B5CA8" w:rsidRPr="00495B9A">
        <w:t>Snowy Water Licence: implements enforceable system rules</w:t>
      </w:r>
    </w:p>
    <w:p w14:paraId="431AC845" w14:textId="415A73CB" w:rsidR="001B5CA8" w:rsidRDefault="00382EE8" w:rsidP="00115BD6">
      <w:pPr>
        <w:pStyle w:val="ListParagraph"/>
        <w:numPr>
          <w:ilvl w:val="0"/>
          <w:numId w:val="45"/>
        </w:numPr>
        <w:rPr>
          <w:i/>
          <w:iCs/>
        </w:rPr>
      </w:pPr>
      <w:r>
        <w:rPr>
          <w:rFonts w:ascii="ZWAdobeF" w:hAnsi="ZWAdobeF" w:cs="ZWAdobeF"/>
          <w:sz w:val="2"/>
          <w:szCs w:val="2"/>
        </w:rPr>
        <w:t>465B</w:t>
      </w:r>
      <w:r w:rsidR="0123C76A">
        <w:t xml:space="preserve">Legislation: supports compliance, enforcement and alignment, including the </w:t>
      </w:r>
      <w:r w:rsidR="0123C76A" w:rsidRPr="078A0D1C">
        <w:rPr>
          <w:i/>
          <w:iCs/>
        </w:rPr>
        <w:t>Water Act 2007</w:t>
      </w:r>
      <w:r w:rsidR="0123C76A">
        <w:t xml:space="preserve"> (Cth) and the </w:t>
      </w:r>
      <w:r w:rsidR="0123C76A" w:rsidRPr="078A0D1C">
        <w:rPr>
          <w:i/>
          <w:iCs/>
        </w:rPr>
        <w:t xml:space="preserve">Water Management Act 2000 </w:t>
      </w:r>
      <w:r w:rsidR="0123C76A">
        <w:t>(NSW)</w:t>
      </w:r>
    </w:p>
    <w:p w14:paraId="0410D975" w14:textId="580B376F" w:rsidR="009B6ADF" w:rsidRPr="001B5CA8" w:rsidRDefault="00382EE8" w:rsidP="00115BD6">
      <w:pPr>
        <w:pStyle w:val="ListParagraph"/>
        <w:numPr>
          <w:ilvl w:val="0"/>
          <w:numId w:val="45"/>
        </w:numPr>
        <w:rPr>
          <w:i/>
          <w:iCs/>
        </w:rPr>
      </w:pPr>
      <w:r>
        <w:rPr>
          <w:rFonts w:ascii="ZWAdobeF" w:hAnsi="ZWAdobeF" w:cs="ZWAdobeF"/>
          <w:sz w:val="2"/>
          <w:szCs w:val="2"/>
        </w:rPr>
        <w:t>466B</w:t>
      </w:r>
      <w:r w:rsidR="009B6ADF">
        <w:t xml:space="preserve">Statement of </w:t>
      </w:r>
      <w:r w:rsidR="000E2F38">
        <w:t>Expectations</w:t>
      </w:r>
      <w:r w:rsidR="00E94664">
        <w:t>:</w:t>
      </w:r>
      <w:r w:rsidR="009B6ADF">
        <w:t xml:space="preserve"> sets </w:t>
      </w:r>
      <w:r w:rsidR="000E2F38">
        <w:t>the Government’s expectations of Snowy Hydro.</w:t>
      </w:r>
      <w:r w:rsidR="009B6ADF">
        <w:t xml:space="preserve"> </w:t>
      </w:r>
    </w:p>
    <w:p w14:paraId="27942021" w14:textId="4B500637" w:rsidR="006D5D8D" w:rsidRDefault="00382EE8" w:rsidP="00B930CB">
      <w:r>
        <w:rPr>
          <w:rFonts w:ascii="ZWAdobeF" w:hAnsi="ZWAdobeF" w:cs="ZWAdobeF"/>
          <w:sz w:val="2"/>
          <w:szCs w:val="2"/>
        </w:rPr>
        <w:lastRenderedPageBreak/>
        <w:t>1283B</w:t>
      </w:r>
      <w:r w:rsidR="001B5CA8">
        <w:t>The</w:t>
      </w:r>
      <w:r w:rsidR="508628EF">
        <w:t>y</w:t>
      </w:r>
      <w:r w:rsidR="001B5CA8" w:rsidRPr="00492F7C">
        <w:t xml:space="preserve"> perform distinct but complementary roles within the implementation framework, as summarised </w:t>
      </w:r>
      <w:r w:rsidR="001B5CA8" w:rsidRPr="718DB835">
        <w:t xml:space="preserve">at </w:t>
      </w:r>
      <w:r w:rsidR="001B5CA8" w:rsidRPr="00786220">
        <w:rPr>
          <w:b/>
        </w:rPr>
        <w:t>Tab</w:t>
      </w:r>
      <w:r w:rsidR="00DE1F73" w:rsidRPr="00786220">
        <w:rPr>
          <w:b/>
        </w:rPr>
        <w:t>le</w:t>
      </w:r>
      <w:r w:rsidR="001B5CA8" w:rsidRPr="00786220">
        <w:rPr>
          <w:b/>
        </w:rPr>
        <w:t xml:space="preserve"> </w:t>
      </w:r>
      <w:r w:rsidR="00786220">
        <w:rPr>
          <w:b/>
        </w:rPr>
        <w:t>8</w:t>
      </w:r>
      <w:r w:rsidR="001B5CA8" w:rsidRPr="718DB835">
        <w:t>. Further detailed investigation will be required to support implementation, including the design of each instrument and how the intergovernmental agreement will interact with existing legislative frameworks.</w:t>
      </w:r>
    </w:p>
    <w:p w14:paraId="15BF83BE" w14:textId="675F3A64" w:rsidR="00BF7429" w:rsidRPr="00833A31" w:rsidRDefault="00382EE8" w:rsidP="00BF7429">
      <w:pPr>
        <w:pStyle w:val="Caption"/>
        <w:keepNext/>
        <w:rPr>
          <w:b/>
          <w:bCs/>
          <w:color w:val="auto"/>
          <w:sz w:val="20"/>
          <w:szCs w:val="20"/>
        </w:rPr>
      </w:pPr>
      <w:r>
        <w:rPr>
          <w:rFonts w:ascii="ZWAdobeF" w:hAnsi="ZWAdobeF" w:cs="ZWAdobeF"/>
          <w:bCs/>
          <w:i w:val="0"/>
          <w:color w:val="auto"/>
          <w:sz w:val="2"/>
          <w:szCs w:val="2"/>
        </w:rPr>
        <w:t>13B</w:t>
      </w:r>
      <w:r w:rsidR="00BF7429" w:rsidRPr="00833A31">
        <w:rPr>
          <w:b/>
          <w:bCs/>
          <w:color w:val="auto"/>
          <w:sz w:val="20"/>
          <w:szCs w:val="20"/>
        </w:rPr>
        <w:t xml:space="preserve">Table </w:t>
      </w:r>
      <w:r w:rsidR="00BF7429" w:rsidRPr="00833A31">
        <w:rPr>
          <w:b/>
          <w:bCs/>
          <w:color w:val="auto"/>
          <w:sz w:val="20"/>
          <w:szCs w:val="20"/>
        </w:rPr>
        <w:fldChar w:fldCharType="begin"/>
      </w:r>
      <w:r w:rsidR="00BF7429" w:rsidRPr="00345CE3">
        <w:rPr>
          <w:b/>
          <w:color w:val="auto"/>
          <w:sz w:val="20"/>
          <w:szCs w:val="20"/>
        </w:rPr>
        <w:instrText xml:space="preserve"> SEQ Table \* ARABIC </w:instrText>
      </w:r>
      <w:r w:rsidR="00BF7429" w:rsidRPr="00833A31">
        <w:rPr>
          <w:b/>
          <w:bCs/>
          <w:color w:val="auto"/>
          <w:sz w:val="20"/>
          <w:szCs w:val="20"/>
        </w:rPr>
        <w:fldChar w:fldCharType="separate"/>
      </w:r>
      <w:r w:rsidR="0005178F" w:rsidRPr="00345CE3">
        <w:rPr>
          <w:b/>
          <w:color w:val="auto"/>
          <w:sz w:val="20"/>
          <w:szCs w:val="20"/>
        </w:rPr>
        <w:t>8</w:t>
      </w:r>
      <w:r w:rsidR="00BF7429" w:rsidRPr="00833A31">
        <w:rPr>
          <w:b/>
          <w:bCs/>
          <w:color w:val="auto"/>
          <w:sz w:val="20"/>
          <w:szCs w:val="20"/>
        </w:rPr>
        <w:fldChar w:fldCharType="end"/>
      </w:r>
      <w:r w:rsidR="00BF7429" w:rsidRPr="00833A31">
        <w:rPr>
          <w:b/>
          <w:bCs/>
          <w:color w:val="auto"/>
          <w:sz w:val="20"/>
          <w:szCs w:val="20"/>
        </w:rPr>
        <w:t>:</w:t>
      </w:r>
      <w:r w:rsidR="00833A31" w:rsidRPr="00833A31">
        <w:rPr>
          <w:b/>
          <w:bCs/>
          <w:color w:val="auto"/>
          <w:sz w:val="20"/>
          <w:szCs w:val="20"/>
        </w:rPr>
        <w:t xml:space="preserve"> Summary of Legal and Institutional Changes</w:t>
      </w:r>
    </w:p>
    <w:tbl>
      <w:tblPr>
        <w:tblStyle w:val="PlainTable1"/>
        <w:tblW w:w="9493" w:type="dxa"/>
        <w:tblLook w:val="04A0" w:firstRow="1" w:lastRow="0" w:firstColumn="1" w:lastColumn="0" w:noHBand="0" w:noVBand="1"/>
      </w:tblPr>
      <w:tblGrid>
        <w:gridCol w:w="2070"/>
        <w:gridCol w:w="4199"/>
        <w:gridCol w:w="3224"/>
      </w:tblGrid>
      <w:tr w:rsidR="00A14B9F" w:rsidRPr="00F246A4" w14:paraId="6973B97A" w14:textId="77777777" w:rsidTr="008C3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2B16D26" w14:textId="77777777" w:rsidR="00A14B9F" w:rsidRPr="00F246A4" w:rsidRDefault="00A14B9F" w:rsidP="00A14B9F">
            <w:pPr>
              <w:spacing w:line="300" w:lineRule="auto"/>
              <w:jc w:val="left"/>
              <w:rPr>
                <w:rFonts w:eastAsia="Calibri" w:cs="Calibri"/>
                <w:sz w:val="18"/>
                <w:szCs w:val="18"/>
              </w:rPr>
            </w:pPr>
            <w:r w:rsidRPr="00F246A4">
              <w:rPr>
                <w:rFonts w:eastAsia="Calibri" w:cs="Calibri"/>
                <w:sz w:val="18"/>
                <w:szCs w:val="18"/>
              </w:rPr>
              <w:t>Instrument</w:t>
            </w:r>
          </w:p>
        </w:tc>
        <w:tc>
          <w:tcPr>
            <w:tcW w:w="4199" w:type="dxa"/>
          </w:tcPr>
          <w:p w14:paraId="4BB5350D" w14:textId="77777777" w:rsidR="00A14B9F" w:rsidRPr="00F246A4" w:rsidRDefault="00A14B9F" w:rsidP="00A14B9F">
            <w:pPr>
              <w:spacing w:line="300" w:lineRule="auto"/>
              <w:jc w:val="left"/>
              <w:cnfStyle w:val="100000000000" w:firstRow="1"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Key changes</w:t>
            </w:r>
          </w:p>
        </w:tc>
        <w:tc>
          <w:tcPr>
            <w:tcW w:w="3224" w:type="dxa"/>
          </w:tcPr>
          <w:p w14:paraId="01C1234C" w14:textId="77777777" w:rsidR="00A14B9F" w:rsidRPr="00F246A4" w:rsidRDefault="00A14B9F" w:rsidP="00A14B9F">
            <w:pPr>
              <w:spacing w:line="300" w:lineRule="auto"/>
              <w:jc w:val="left"/>
              <w:cnfStyle w:val="100000000000" w:firstRow="1"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Purpose in implementation framework</w:t>
            </w:r>
          </w:p>
        </w:tc>
      </w:tr>
      <w:tr w:rsidR="00A14B9F" w:rsidRPr="00F246A4" w14:paraId="4D340A9E" w14:textId="77777777" w:rsidTr="008C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79F773C" w14:textId="5141F48F" w:rsidR="00A14B9F" w:rsidRPr="00F246A4" w:rsidRDefault="00DE67C3" w:rsidP="00A14B9F">
            <w:pPr>
              <w:spacing w:line="300" w:lineRule="auto"/>
              <w:jc w:val="left"/>
              <w:rPr>
                <w:rFonts w:eastAsia="Calibri" w:cs="Calibri"/>
                <w:sz w:val="18"/>
                <w:szCs w:val="18"/>
              </w:rPr>
            </w:pPr>
            <w:r w:rsidRPr="00F246A4">
              <w:rPr>
                <w:rFonts w:eastAsia="Calibri" w:cs="Calibri"/>
                <w:sz w:val="18"/>
                <w:szCs w:val="18"/>
              </w:rPr>
              <w:t xml:space="preserve">New Deed </w:t>
            </w:r>
            <w:r w:rsidR="00A14B9F" w:rsidRPr="00F246A4">
              <w:rPr>
                <w:rFonts w:eastAsia="Calibri" w:cs="Calibri"/>
                <w:sz w:val="18"/>
                <w:szCs w:val="18"/>
              </w:rPr>
              <w:t xml:space="preserve"> </w:t>
            </w:r>
          </w:p>
        </w:tc>
        <w:tc>
          <w:tcPr>
            <w:tcW w:w="4199" w:type="dxa"/>
          </w:tcPr>
          <w:p w14:paraId="5BADF137" w14:textId="53B2C42A" w:rsidR="00A14B9F" w:rsidRPr="00F246A4" w:rsidRDefault="00A14B9F" w:rsidP="00A14B9F">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Replace the existing Deed with a new agreement incorporating: updated system objectives (</w:t>
            </w:r>
            <w:r w:rsidRPr="00F246A4">
              <w:rPr>
                <w:rFonts w:eastAsia="Calibri" w:cs="Calibri"/>
                <w:b/>
                <w:sz w:val="18"/>
                <w:szCs w:val="18"/>
              </w:rPr>
              <w:t>Chapter</w:t>
            </w:r>
            <w:r w:rsidRPr="00F246A4">
              <w:rPr>
                <w:rFonts w:eastAsia="Calibri" w:cs="Calibri"/>
                <w:sz w:val="18"/>
                <w:szCs w:val="18"/>
              </w:rPr>
              <w:t xml:space="preserve"> </w:t>
            </w:r>
            <w:r w:rsidR="00E761BA" w:rsidRPr="00F246A4">
              <w:rPr>
                <w:rFonts w:eastAsia="Calibri" w:cs="Calibri"/>
                <w:b/>
                <w:sz w:val="18"/>
                <w:szCs w:val="18"/>
              </w:rPr>
              <w:t>5</w:t>
            </w:r>
            <w:r w:rsidRPr="00F246A4">
              <w:rPr>
                <w:rFonts w:eastAsia="Calibri" w:cs="Calibri"/>
                <w:sz w:val="18"/>
                <w:szCs w:val="18"/>
              </w:rPr>
              <w:t>), governance framework, funding arrangements (</w:t>
            </w:r>
            <w:r w:rsidRPr="00F246A4">
              <w:rPr>
                <w:rFonts w:eastAsia="Calibri" w:cs="Calibri"/>
                <w:b/>
                <w:sz w:val="18"/>
                <w:szCs w:val="18"/>
              </w:rPr>
              <w:t xml:space="preserve">Chapter </w:t>
            </w:r>
            <w:r w:rsidR="00E761BA" w:rsidRPr="00F246A4">
              <w:rPr>
                <w:rFonts w:eastAsia="Calibri" w:cs="Calibri"/>
                <w:b/>
                <w:sz w:val="18"/>
                <w:szCs w:val="18"/>
              </w:rPr>
              <w:t>7</w:t>
            </w:r>
            <w:r w:rsidRPr="00F246A4">
              <w:rPr>
                <w:rFonts w:eastAsia="Calibri" w:cs="Calibri"/>
                <w:sz w:val="18"/>
                <w:szCs w:val="18"/>
              </w:rPr>
              <w:t>), and participation of all jurisdictions (including ACT).</w:t>
            </w:r>
          </w:p>
        </w:tc>
        <w:tc>
          <w:tcPr>
            <w:tcW w:w="3224" w:type="dxa"/>
          </w:tcPr>
          <w:p w14:paraId="3B0BC291" w14:textId="77777777" w:rsidR="00A14B9F" w:rsidRPr="00F246A4" w:rsidRDefault="00A14B9F" w:rsidP="00A14B9F">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Establishes the overarching policy framework, including system objectives, governance arrangements, roles and responsibilities, and funding principles.</w:t>
            </w:r>
          </w:p>
        </w:tc>
      </w:tr>
      <w:tr w:rsidR="00A14B9F" w:rsidRPr="00F246A4" w14:paraId="337F8547" w14:textId="77777777" w:rsidTr="008C3C37">
        <w:tc>
          <w:tcPr>
            <w:cnfStyle w:val="001000000000" w:firstRow="0" w:lastRow="0" w:firstColumn="1" w:lastColumn="0" w:oddVBand="0" w:evenVBand="0" w:oddHBand="0" w:evenHBand="0" w:firstRowFirstColumn="0" w:firstRowLastColumn="0" w:lastRowFirstColumn="0" w:lastRowLastColumn="0"/>
            <w:tcW w:w="2070" w:type="dxa"/>
          </w:tcPr>
          <w:p w14:paraId="60883659" w14:textId="77777777" w:rsidR="00A14B9F" w:rsidRPr="00F246A4" w:rsidRDefault="00A14B9F" w:rsidP="00A14B9F">
            <w:pPr>
              <w:spacing w:line="300" w:lineRule="auto"/>
              <w:jc w:val="left"/>
              <w:rPr>
                <w:rFonts w:eastAsia="Calibri" w:cs="Calibri"/>
                <w:sz w:val="18"/>
                <w:szCs w:val="18"/>
              </w:rPr>
            </w:pPr>
            <w:r w:rsidRPr="00F246A4">
              <w:rPr>
                <w:rFonts w:eastAsia="Calibri" w:cs="Calibri"/>
                <w:sz w:val="18"/>
                <w:szCs w:val="18"/>
              </w:rPr>
              <w:t>Snowy Water Licence (NSW)</w:t>
            </w:r>
          </w:p>
        </w:tc>
        <w:tc>
          <w:tcPr>
            <w:tcW w:w="4199" w:type="dxa"/>
          </w:tcPr>
          <w:p w14:paraId="6499E433" w14:textId="1C98BCFB" w:rsidR="00A14B9F" w:rsidRPr="00F246A4" w:rsidRDefault="07BD4A7B" w:rsidP="6332CC80">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Amend to incorporate: updated</w:t>
            </w:r>
            <w:r w:rsidR="2977F052" w:rsidRPr="00F246A4">
              <w:rPr>
                <w:rFonts w:eastAsia="Calibri" w:cs="Calibri"/>
                <w:sz w:val="18"/>
                <w:szCs w:val="18"/>
              </w:rPr>
              <w:t xml:space="preserve"> AWOP requirements</w:t>
            </w:r>
            <w:r w:rsidRPr="00F246A4">
              <w:rPr>
                <w:rFonts w:eastAsia="Calibri" w:cs="Calibri"/>
                <w:sz w:val="18"/>
                <w:szCs w:val="18"/>
              </w:rPr>
              <w:t xml:space="preserve"> </w:t>
            </w:r>
            <w:r w:rsidR="64F43303" w:rsidRPr="00F246A4">
              <w:rPr>
                <w:rFonts w:eastAsia="Calibri" w:cs="Calibri"/>
                <w:sz w:val="18"/>
                <w:szCs w:val="18"/>
              </w:rPr>
              <w:t xml:space="preserve">for </w:t>
            </w:r>
            <w:r w:rsidR="1EDDF8BE" w:rsidRPr="00F246A4">
              <w:rPr>
                <w:rFonts w:eastAsia="Calibri" w:cs="Calibri"/>
                <w:sz w:val="18"/>
                <w:szCs w:val="18"/>
              </w:rPr>
              <w:t xml:space="preserve">planned and adaptive </w:t>
            </w:r>
            <w:r w:rsidRPr="00F246A4">
              <w:rPr>
                <w:rFonts w:eastAsia="Calibri" w:cs="Calibri"/>
                <w:sz w:val="18"/>
                <w:szCs w:val="18"/>
              </w:rPr>
              <w:t xml:space="preserve">environmental flow regimes, adaptive </w:t>
            </w:r>
            <w:r w:rsidR="7FA489A6" w:rsidRPr="00F246A4">
              <w:rPr>
                <w:rFonts w:eastAsia="Calibri" w:cs="Calibri"/>
                <w:sz w:val="18"/>
                <w:szCs w:val="18"/>
              </w:rPr>
              <w:t xml:space="preserve">environmental flow </w:t>
            </w:r>
            <w:r w:rsidRPr="00F246A4">
              <w:rPr>
                <w:rFonts w:eastAsia="Calibri" w:cs="Calibri"/>
                <w:sz w:val="18"/>
                <w:szCs w:val="18"/>
              </w:rPr>
              <w:t>management provisions, reporting requirements, trade-off decision processes and relevant governance settings.</w:t>
            </w:r>
          </w:p>
        </w:tc>
        <w:tc>
          <w:tcPr>
            <w:tcW w:w="3224" w:type="dxa"/>
          </w:tcPr>
          <w:p w14:paraId="7ED459A2" w14:textId="77777777" w:rsidR="00A14B9F" w:rsidRPr="00F246A4" w:rsidRDefault="00A14B9F" w:rsidP="00A14B9F">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Primary legal and operational instrument for implementation; translates policy settings into enforceable obligations and system rules.</w:t>
            </w:r>
          </w:p>
        </w:tc>
      </w:tr>
      <w:tr w:rsidR="00A14B9F" w:rsidRPr="00F246A4" w14:paraId="0058E829" w14:textId="77777777" w:rsidTr="008C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28BE26" w14:textId="77777777" w:rsidR="00A14B9F" w:rsidRPr="00F246A4" w:rsidRDefault="00A14B9F" w:rsidP="00A14B9F">
            <w:pPr>
              <w:spacing w:line="300" w:lineRule="auto"/>
              <w:jc w:val="left"/>
              <w:rPr>
                <w:rFonts w:eastAsia="Calibri" w:cs="Calibri"/>
                <w:sz w:val="18"/>
                <w:szCs w:val="18"/>
              </w:rPr>
            </w:pPr>
            <w:r w:rsidRPr="00F246A4">
              <w:rPr>
                <w:rFonts w:eastAsia="Calibri" w:cs="Calibri"/>
                <w:sz w:val="18"/>
                <w:szCs w:val="18"/>
              </w:rPr>
              <w:t>NSW Water Management Act 2000</w:t>
            </w:r>
          </w:p>
        </w:tc>
        <w:tc>
          <w:tcPr>
            <w:tcW w:w="4199" w:type="dxa"/>
          </w:tcPr>
          <w:p w14:paraId="3C138AFA" w14:textId="76F4ECD0" w:rsidR="00A14B9F" w:rsidRPr="00F246A4" w:rsidRDefault="00A14B9F" w:rsidP="6332CC80">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Targeted amendments may be required to:</w:t>
            </w:r>
            <w:r w:rsidR="3838A781" w:rsidRPr="00F246A4">
              <w:rPr>
                <w:rFonts w:eastAsia="Calibri" w:cs="Calibri"/>
                <w:sz w:val="18"/>
                <w:szCs w:val="18"/>
              </w:rPr>
              <w:t xml:space="preserve"> </w:t>
            </w:r>
            <w:r w:rsidR="00D83391" w:rsidRPr="00F246A4">
              <w:rPr>
                <w:rFonts w:eastAsia="Calibri" w:cs="Calibri"/>
                <w:sz w:val="18"/>
                <w:szCs w:val="18"/>
              </w:rPr>
              <w:t>s</w:t>
            </w:r>
            <w:r w:rsidRPr="00F246A4">
              <w:rPr>
                <w:rFonts w:eastAsia="Calibri" w:cs="Calibri"/>
                <w:sz w:val="18"/>
                <w:szCs w:val="18"/>
              </w:rPr>
              <w:t>trengthen compliance and enforcement powers, support monitoring and reporting requirements, and clarify regulatory roles (e.g. NRAR, NRC).</w:t>
            </w:r>
          </w:p>
        </w:tc>
        <w:tc>
          <w:tcPr>
            <w:tcW w:w="3224" w:type="dxa"/>
          </w:tcPr>
          <w:p w14:paraId="54C7641F" w14:textId="520D7F62" w:rsidR="00A14B9F" w:rsidRPr="00F246A4" w:rsidRDefault="00A14B9F" w:rsidP="6332CC80">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Enables effective compliance, enforcement and regulatory oversight of the Licence and associated obligations.</w:t>
            </w:r>
          </w:p>
        </w:tc>
      </w:tr>
      <w:tr w:rsidR="00A14B9F" w:rsidRPr="00F246A4" w14:paraId="4EBC6AC8" w14:textId="77777777" w:rsidTr="008C3C37">
        <w:tc>
          <w:tcPr>
            <w:cnfStyle w:val="001000000000" w:firstRow="0" w:lastRow="0" w:firstColumn="1" w:lastColumn="0" w:oddVBand="0" w:evenVBand="0" w:oddHBand="0" w:evenHBand="0" w:firstRowFirstColumn="0" w:firstRowLastColumn="0" w:lastRowFirstColumn="0" w:lastRowLastColumn="0"/>
            <w:tcW w:w="2070" w:type="dxa"/>
          </w:tcPr>
          <w:p w14:paraId="6DCF19C6" w14:textId="77777777" w:rsidR="00A14B9F" w:rsidRPr="00F246A4" w:rsidRDefault="00A14B9F" w:rsidP="00A14B9F">
            <w:pPr>
              <w:spacing w:line="300" w:lineRule="auto"/>
              <w:jc w:val="left"/>
              <w:rPr>
                <w:rFonts w:eastAsia="Calibri" w:cs="Calibri"/>
                <w:sz w:val="18"/>
                <w:szCs w:val="18"/>
              </w:rPr>
            </w:pPr>
            <w:r w:rsidRPr="00F246A4">
              <w:rPr>
                <w:rFonts w:eastAsia="Calibri" w:cs="Calibri"/>
                <w:sz w:val="18"/>
                <w:szCs w:val="18"/>
              </w:rPr>
              <w:t>Commonwealth Water Act 2007</w:t>
            </w:r>
          </w:p>
        </w:tc>
        <w:tc>
          <w:tcPr>
            <w:tcW w:w="4199" w:type="dxa"/>
          </w:tcPr>
          <w:p w14:paraId="3D1CB991" w14:textId="6ADCC397" w:rsidR="00A14B9F" w:rsidRPr="00F246A4" w:rsidRDefault="00A14B9F" w:rsidP="00A14B9F">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Minor or targeted amendments if required to: ensure alignment with Basin Plan arrangements and support integration with national water policy frameworks.</w:t>
            </w:r>
          </w:p>
        </w:tc>
        <w:tc>
          <w:tcPr>
            <w:tcW w:w="3224" w:type="dxa"/>
          </w:tcPr>
          <w:p w14:paraId="1207C27A" w14:textId="77777777" w:rsidR="00A14B9F" w:rsidRPr="00F246A4" w:rsidRDefault="07BD4A7B" w:rsidP="00A14B9F">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Ensures consistency with national water reform frameworks and avoids conflict between system-level arrangements and Basin obligations.</w:t>
            </w:r>
          </w:p>
        </w:tc>
      </w:tr>
      <w:tr w:rsidR="00A14B9F" w:rsidRPr="00F246A4" w14:paraId="2CB9E301" w14:textId="77777777" w:rsidTr="008C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D5957CB" w14:textId="77777777" w:rsidR="00A14B9F" w:rsidRPr="00F246A4" w:rsidRDefault="00A14B9F" w:rsidP="00A14B9F">
            <w:pPr>
              <w:spacing w:line="300" w:lineRule="auto"/>
              <w:jc w:val="left"/>
              <w:rPr>
                <w:rFonts w:eastAsia="Calibri" w:cs="Calibri"/>
                <w:sz w:val="18"/>
                <w:szCs w:val="18"/>
              </w:rPr>
            </w:pPr>
            <w:r w:rsidRPr="00F246A4">
              <w:rPr>
                <w:rFonts w:eastAsia="Calibri" w:cs="Calibri"/>
                <w:sz w:val="18"/>
                <w:szCs w:val="18"/>
              </w:rPr>
              <w:t>Snowy Hydro Corporatisation Acts</w:t>
            </w:r>
          </w:p>
        </w:tc>
        <w:tc>
          <w:tcPr>
            <w:tcW w:w="4199" w:type="dxa"/>
          </w:tcPr>
          <w:p w14:paraId="5789D81E" w14:textId="324874C3" w:rsidR="00A14B9F" w:rsidRPr="00F246A4" w:rsidRDefault="00A14B9F" w:rsidP="00A14B9F">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Limited clarification to ensure that: Snowy Hydro’s financial contributions (base and impact-based) and environmental obligations are consistent with its statutory mandate and shareholder framework.</w:t>
            </w:r>
          </w:p>
        </w:tc>
        <w:tc>
          <w:tcPr>
            <w:tcW w:w="3224" w:type="dxa"/>
          </w:tcPr>
          <w:p w14:paraId="5E34DAC7" w14:textId="77777777" w:rsidR="00A14B9F" w:rsidRPr="00F246A4" w:rsidRDefault="00A14B9F" w:rsidP="00A14B9F">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Provides legal certainty that Snowy Hydro’s obligations under the new framework are compatible with its corporate and governance structure.</w:t>
            </w:r>
          </w:p>
        </w:tc>
      </w:tr>
      <w:tr w:rsidR="00A14B9F" w:rsidRPr="00F246A4" w14:paraId="208EC52F" w14:textId="77777777" w:rsidTr="008C3C37">
        <w:tc>
          <w:tcPr>
            <w:cnfStyle w:val="001000000000" w:firstRow="0" w:lastRow="0" w:firstColumn="1" w:lastColumn="0" w:oddVBand="0" w:evenVBand="0" w:oddHBand="0" w:evenHBand="0" w:firstRowFirstColumn="0" w:firstRowLastColumn="0" w:lastRowFirstColumn="0" w:lastRowLastColumn="0"/>
            <w:tcW w:w="2070" w:type="dxa"/>
          </w:tcPr>
          <w:p w14:paraId="7246679D" w14:textId="77777777" w:rsidR="00A14B9F" w:rsidRPr="00F246A4" w:rsidRDefault="00A14B9F" w:rsidP="00A14B9F">
            <w:pPr>
              <w:spacing w:line="300" w:lineRule="auto"/>
              <w:jc w:val="left"/>
              <w:rPr>
                <w:rFonts w:eastAsia="Calibri" w:cs="Calibri"/>
                <w:b w:val="0"/>
                <w:sz w:val="18"/>
                <w:szCs w:val="18"/>
              </w:rPr>
            </w:pPr>
            <w:r w:rsidRPr="00F246A4">
              <w:rPr>
                <w:rFonts w:eastAsia="Calibri" w:cs="Calibri"/>
                <w:sz w:val="18"/>
                <w:szCs w:val="18"/>
              </w:rPr>
              <w:t>Funding mechanisms (Trust and Special Account)</w:t>
            </w:r>
          </w:p>
        </w:tc>
        <w:tc>
          <w:tcPr>
            <w:tcW w:w="4199" w:type="dxa"/>
          </w:tcPr>
          <w:p w14:paraId="1201F277" w14:textId="20B42EE3" w:rsidR="00A14B9F" w:rsidRPr="00F246A4" w:rsidRDefault="00A14B9F" w:rsidP="00A14B9F">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Establish an enduring Trust and operational account through intergovernmental agreement and/or administrative mechanisms, with contributions from governments and Snowy Hydro.</w:t>
            </w:r>
          </w:p>
        </w:tc>
        <w:tc>
          <w:tcPr>
            <w:tcW w:w="3224" w:type="dxa"/>
          </w:tcPr>
          <w:p w14:paraId="6FBF7F97" w14:textId="77777777" w:rsidR="00A14B9F" w:rsidRPr="00F246A4" w:rsidRDefault="00A14B9F" w:rsidP="00A14B9F">
            <w:pPr>
              <w:spacing w:line="300"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Enables coordinated, long-term funding, transparent allocation of resources, and delivery of system-wide environmental, cultural and community outcomes.</w:t>
            </w:r>
          </w:p>
        </w:tc>
      </w:tr>
      <w:tr w:rsidR="009945D7" w:rsidRPr="00F246A4" w14:paraId="5BB471A7" w14:textId="77777777" w:rsidTr="008C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089E2A" w14:textId="63C06FE9" w:rsidR="009945D7" w:rsidRPr="00F246A4" w:rsidRDefault="009945D7" w:rsidP="00A14B9F">
            <w:pPr>
              <w:spacing w:line="300" w:lineRule="auto"/>
              <w:jc w:val="left"/>
              <w:rPr>
                <w:rFonts w:eastAsia="Calibri" w:cs="Calibri"/>
                <w:sz w:val="18"/>
                <w:szCs w:val="18"/>
              </w:rPr>
            </w:pPr>
            <w:r w:rsidRPr="00F246A4">
              <w:rPr>
                <w:rFonts w:eastAsia="Calibri" w:cs="Calibri"/>
                <w:sz w:val="18"/>
                <w:szCs w:val="18"/>
              </w:rPr>
              <w:t xml:space="preserve">Statement of Expectations </w:t>
            </w:r>
          </w:p>
        </w:tc>
        <w:tc>
          <w:tcPr>
            <w:tcW w:w="4199" w:type="dxa"/>
          </w:tcPr>
          <w:p w14:paraId="11A86290" w14:textId="76D6FF43" w:rsidR="009945D7" w:rsidRPr="00F246A4" w:rsidRDefault="009945D7" w:rsidP="00A14B9F">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Update the Statement of Expectations to</w:t>
            </w:r>
            <w:r w:rsidR="006817B8" w:rsidRPr="00F246A4">
              <w:rPr>
                <w:rFonts w:eastAsia="Calibri" w:cs="Calibri"/>
                <w:sz w:val="18"/>
                <w:szCs w:val="18"/>
                <w:lang w:val="en-US"/>
              </w:rPr>
              <w:t xml:space="preserve"> reflect environmental, water and public benefit outcomes.</w:t>
            </w:r>
          </w:p>
        </w:tc>
        <w:tc>
          <w:tcPr>
            <w:tcW w:w="3224" w:type="dxa"/>
          </w:tcPr>
          <w:p w14:paraId="03D9F5B9" w14:textId="68B8FDFF" w:rsidR="009945D7" w:rsidRPr="00F246A4" w:rsidRDefault="000D6998" w:rsidP="00A14B9F">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 xml:space="preserve">Ensures Snowy Hydro’s priorities are aligned with broader environmental, water and public benefit </w:t>
            </w:r>
            <w:r w:rsidR="00275108" w:rsidRPr="00F246A4">
              <w:rPr>
                <w:rFonts w:eastAsia="Calibri" w:cs="Calibri"/>
                <w:sz w:val="18"/>
                <w:szCs w:val="18"/>
              </w:rPr>
              <w:t>expectations</w:t>
            </w:r>
          </w:p>
        </w:tc>
      </w:tr>
    </w:tbl>
    <w:p w14:paraId="09066A57" w14:textId="3ECEFE7A" w:rsidR="00A14B9F" w:rsidRDefault="00A14B9F" w:rsidP="00A14B9F">
      <w:pPr>
        <w:pStyle w:val="ReviewHeading2"/>
      </w:pPr>
      <w:bookmarkStart w:id="171" w:name="_Toc233285633"/>
      <w:bookmarkStart w:id="172" w:name="_Toc233801512"/>
      <w:r>
        <w:t>8.</w:t>
      </w:r>
      <w:r w:rsidR="001A4F6D">
        <w:t>6</w:t>
      </w:r>
      <w:r>
        <w:t xml:space="preserve"> Summary of roles and responsibilities</w:t>
      </w:r>
      <w:bookmarkEnd w:id="171"/>
      <w:bookmarkEnd w:id="172"/>
    </w:p>
    <w:p w14:paraId="47CE3CE2" w14:textId="48AB1C08" w:rsidR="003C63D8" w:rsidRPr="00577A80" w:rsidRDefault="00382EE8" w:rsidP="003C63D8">
      <w:r>
        <w:rPr>
          <w:rFonts w:ascii="ZWAdobeF" w:hAnsi="ZWAdobeF" w:cs="ZWAdobeF"/>
          <w:sz w:val="2"/>
          <w:szCs w:val="2"/>
        </w:rPr>
        <w:t>1284B</w:t>
      </w:r>
      <w:r w:rsidR="003C63D8" w:rsidRPr="00577A80">
        <w:t>Effective implementation of the Panel’s recommendations requires clear allocation of roles across governments, regulators, delivery entities and advisory bodies. These roles reflect the need to balance policy oversight, operational delivery, independent regulation and advisory input.</w:t>
      </w:r>
    </w:p>
    <w:p w14:paraId="4E0297F2" w14:textId="5620F02F" w:rsidR="003C63D8" w:rsidRPr="00577A80" w:rsidRDefault="00382EE8" w:rsidP="003C63D8">
      <w:r>
        <w:rPr>
          <w:rFonts w:ascii="ZWAdobeF" w:hAnsi="ZWAdobeF" w:cs="ZWAdobeF"/>
          <w:sz w:val="2"/>
          <w:szCs w:val="2"/>
        </w:rPr>
        <w:t>1285B</w:t>
      </w:r>
      <w:r w:rsidR="003C63D8" w:rsidRPr="00577A80">
        <w:t xml:space="preserve">The framework is designed to build on existing institutional responsibilities, while strengthening coordination, transparency and accountability. Governments retain responsibility for setting </w:t>
      </w:r>
      <w:r w:rsidR="003C63D8" w:rsidRPr="00577A80">
        <w:lastRenderedPageBreak/>
        <w:t xml:space="preserve">system-level objectives and overseeing performance, while operational delivery remains with Snowy Hydro under the Snowy Water Licence. Regulatory and compliance functions </w:t>
      </w:r>
      <w:r w:rsidR="09F1D513">
        <w:t>are retained</w:t>
      </w:r>
      <w:r w:rsidR="64AD3473">
        <w:t xml:space="preserve"> with</w:t>
      </w:r>
      <w:r w:rsidR="4969918C">
        <w:t>in</w:t>
      </w:r>
      <w:r w:rsidR="64AD3473">
        <w:t xml:space="preserve"> </w:t>
      </w:r>
      <w:r w:rsidR="06DB2229">
        <w:t>NSW</w:t>
      </w:r>
      <w:r w:rsidR="003C63D8" w:rsidRPr="00577A80">
        <w:t>.</w:t>
      </w:r>
    </w:p>
    <w:p w14:paraId="548C03B1" w14:textId="124758A8" w:rsidR="003C63D8" w:rsidRPr="00577A80" w:rsidRDefault="00382EE8" w:rsidP="003C63D8">
      <w:r>
        <w:rPr>
          <w:rFonts w:ascii="ZWAdobeF" w:hAnsi="ZWAdobeF" w:cs="ZWAdobeF"/>
          <w:sz w:val="2"/>
          <w:szCs w:val="2"/>
        </w:rPr>
        <w:t>1286B</w:t>
      </w:r>
      <w:r w:rsidR="003C63D8" w:rsidRPr="00577A80">
        <w:t xml:space="preserve">New or enhanced functions include independent system oversight and more structured advisory input, including from </w:t>
      </w:r>
      <w:r w:rsidR="008A7A64">
        <w:t xml:space="preserve">experts, </w:t>
      </w:r>
      <w:r w:rsidR="003C63D8" w:rsidRPr="00577A80">
        <w:t>scientific bodies, community stakeholders and First Nations representatives. These functions are intended to support more transparent and evidence-based decision-making, particularly in relation to managing trade-offs between environmental, water security and energy system objectives.</w:t>
      </w:r>
    </w:p>
    <w:p w14:paraId="1A7682E8" w14:textId="5FE5E9CD" w:rsidR="003C63D8" w:rsidRPr="00577A80" w:rsidRDefault="00382EE8" w:rsidP="003C63D8">
      <w:r>
        <w:rPr>
          <w:rFonts w:ascii="ZWAdobeF" w:hAnsi="ZWAdobeF" w:cs="ZWAdobeF"/>
          <w:sz w:val="2"/>
          <w:szCs w:val="2"/>
        </w:rPr>
        <w:t>1287B</w:t>
      </w:r>
      <w:r w:rsidR="003C63D8" w:rsidRPr="00577A80">
        <w:t>Roles also evolve over time. In Phase 1, the focus is on establishing governance arrangements and clarifying responsibilities. In Phase 2, these roles become operational, with institutions actively supporting planning, funding and adaptive management processes. By Phase 3, responsibilities are embedded within a mature system of ongoing stewardship, review and continuous improvement.</w:t>
      </w:r>
    </w:p>
    <w:p w14:paraId="4F88BD72" w14:textId="287D0999" w:rsidR="003C63D8" w:rsidRPr="00577A80" w:rsidRDefault="00382EE8" w:rsidP="003C63D8">
      <w:r>
        <w:rPr>
          <w:rFonts w:ascii="ZWAdobeF" w:hAnsi="ZWAdobeF" w:cs="ZWAdobeF"/>
          <w:sz w:val="2"/>
          <w:szCs w:val="2"/>
        </w:rPr>
        <w:t>1288B</w:t>
      </w:r>
      <w:r w:rsidR="003C63D8" w:rsidRPr="00577A80">
        <w:t>The table below summarises the key functions within the framework and the entities responsible for delivering them.</w:t>
      </w:r>
    </w:p>
    <w:p w14:paraId="61017A37" w14:textId="751B0433" w:rsidR="002E1C79" w:rsidRPr="00833A31" w:rsidRDefault="00382EE8" w:rsidP="002E1C79">
      <w:pPr>
        <w:pStyle w:val="Caption"/>
        <w:keepNext/>
        <w:rPr>
          <w:b/>
          <w:bCs/>
          <w:color w:val="auto"/>
          <w:sz w:val="20"/>
          <w:szCs w:val="20"/>
        </w:rPr>
      </w:pPr>
      <w:r>
        <w:rPr>
          <w:rFonts w:ascii="ZWAdobeF" w:hAnsi="ZWAdobeF" w:cs="ZWAdobeF"/>
          <w:bCs/>
          <w:i w:val="0"/>
          <w:color w:val="auto"/>
          <w:sz w:val="2"/>
          <w:szCs w:val="2"/>
        </w:rPr>
        <w:t>14B</w:t>
      </w:r>
      <w:r w:rsidR="002E1C79" w:rsidRPr="00833A31">
        <w:rPr>
          <w:b/>
          <w:bCs/>
          <w:color w:val="auto"/>
          <w:sz w:val="20"/>
          <w:szCs w:val="20"/>
        </w:rPr>
        <w:t>Tabl</w:t>
      </w:r>
      <w:r w:rsidR="002E1C79" w:rsidRPr="00B014CE">
        <w:rPr>
          <w:b/>
          <w:bCs/>
          <w:color w:val="000000" w:themeColor="text1"/>
          <w:sz w:val="20"/>
          <w:szCs w:val="20"/>
        </w:rPr>
        <w:t xml:space="preserve">e </w:t>
      </w:r>
      <w:r w:rsidR="002E1C79" w:rsidRPr="00B014CE">
        <w:rPr>
          <w:b/>
          <w:bCs/>
          <w:color w:val="000000" w:themeColor="text1"/>
          <w:sz w:val="20"/>
          <w:szCs w:val="20"/>
        </w:rPr>
        <w:fldChar w:fldCharType="begin"/>
      </w:r>
      <w:r w:rsidR="002E1C79" w:rsidRPr="00345CE3">
        <w:rPr>
          <w:b/>
          <w:color w:val="auto"/>
          <w:sz w:val="20"/>
          <w:szCs w:val="20"/>
        </w:rPr>
        <w:instrText xml:space="preserve"> SEQ Table \* ARABIC </w:instrText>
      </w:r>
      <w:r w:rsidR="002E1C79" w:rsidRPr="00B014CE">
        <w:rPr>
          <w:b/>
          <w:bCs/>
          <w:color w:val="000000" w:themeColor="text1"/>
          <w:sz w:val="20"/>
          <w:szCs w:val="20"/>
        </w:rPr>
        <w:fldChar w:fldCharType="separate"/>
      </w:r>
      <w:r w:rsidR="0005178F" w:rsidRPr="00345CE3">
        <w:rPr>
          <w:b/>
          <w:color w:val="auto"/>
          <w:sz w:val="20"/>
          <w:szCs w:val="20"/>
        </w:rPr>
        <w:t>9</w:t>
      </w:r>
      <w:r w:rsidR="002E1C79" w:rsidRPr="00B014CE">
        <w:rPr>
          <w:b/>
          <w:bCs/>
          <w:color w:val="000000" w:themeColor="text1"/>
          <w:sz w:val="20"/>
          <w:szCs w:val="20"/>
        </w:rPr>
        <w:fldChar w:fldCharType="end"/>
      </w:r>
      <w:r w:rsidR="002E1C79" w:rsidRPr="00B014CE">
        <w:rPr>
          <w:b/>
          <w:bCs/>
          <w:color w:val="000000" w:themeColor="text1"/>
          <w:sz w:val="20"/>
          <w:szCs w:val="20"/>
        </w:rPr>
        <w:t xml:space="preserve">: </w:t>
      </w:r>
      <w:r w:rsidR="002E1C79" w:rsidRPr="00B014CE">
        <w:rPr>
          <w:b/>
          <w:bCs/>
          <w:color w:val="auto"/>
          <w:sz w:val="20"/>
          <w:szCs w:val="20"/>
        </w:rPr>
        <w:t>Summary</w:t>
      </w:r>
      <w:r w:rsidR="002E1C79" w:rsidRPr="00833A31">
        <w:rPr>
          <w:b/>
          <w:bCs/>
          <w:color w:val="auto"/>
          <w:sz w:val="20"/>
          <w:szCs w:val="20"/>
        </w:rPr>
        <w:t xml:space="preserve"> of Key Functions and Recommended Responsibility</w:t>
      </w:r>
    </w:p>
    <w:tbl>
      <w:tblPr>
        <w:tblStyle w:val="PlainTable1"/>
        <w:tblW w:w="9348" w:type="dxa"/>
        <w:tblLook w:val="04A0" w:firstRow="1" w:lastRow="0" w:firstColumn="1" w:lastColumn="0" w:noHBand="0" w:noVBand="1"/>
      </w:tblPr>
      <w:tblGrid>
        <w:gridCol w:w="2405"/>
        <w:gridCol w:w="3765"/>
        <w:gridCol w:w="3178"/>
      </w:tblGrid>
      <w:tr w:rsidR="00141401" w:rsidRPr="00F246A4" w14:paraId="091EE81C" w14:textId="77777777" w:rsidTr="00024E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542A1B5A" w14:textId="77777777" w:rsidR="00141401" w:rsidRPr="00833A31" w:rsidRDefault="00141401" w:rsidP="0071684D">
            <w:pPr>
              <w:jc w:val="left"/>
              <w:rPr>
                <w:rFonts w:eastAsia="Calibri" w:cs="Calibri"/>
                <w:sz w:val="20"/>
                <w:szCs w:val="20"/>
              </w:rPr>
            </w:pPr>
            <w:r w:rsidRPr="00833A31">
              <w:rPr>
                <w:rFonts w:eastAsia="Calibri" w:cs="Calibri"/>
                <w:sz w:val="20"/>
                <w:szCs w:val="20"/>
              </w:rPr>
              <w:t>Function</w:t>
            </w:r>
          </w:p>
        </w:tc>
        <w:tc>
          <w:tcPr>
            <w:tcW w:w="3765" w:type="dxa"/>
          </w:tcPr>
          <w:p w14:paraId="6E683E7C" w14:textId="77777777" w:rsidR="00141401" w:rsidRPr="00833A31" w:rsidRDefault="00141401" w:rsidP="0071684D">
            <w:pPr>
              <w:jc w:val="left"/>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r w:rsidRPr="00833A31">
              <w:rPr>
                <w:rFonts w:eastAsia="Calibri" w:cs="Calibri"/>
                <w:sz w:val="20"/>
                <w:szCs w:val="20"/>
              </w:rPr>
              <w:t>Responsibility</w:t>
            </w:r>
          </w:p>
        </w:tc>
        <w:tc>
          <w:tcPr>
            <w:tcW w:w="3178" w:type="dxa"/>
          </w:tcPr>
          <w:p w14:paraId="3031FF61" w14:textId="77777777" w:rsidR="00141401" w:rsidRPr="00833A31" w:rsidRDefault="00141401" w:rsidP="0071684D">
            <w:pPr>
              <w:jc w:val="left"/>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r w:rsidRPr="00833A31">
              <w:rPr>
                <w:rFonts w:eastAsia="Calibri" w:cs="Calibri"/>
                <w:sz w:val="20"/>
                <w:szCs w:val="20"/>
              </w:rPr>
              <w:t>Key entities</w:t>
            </w:r>
          </w:p>
        </w:tc>
      </w:tr>
      <w:tr w:rsidR="00141401" w:rsidRPr="00F246A4" w14:paraId="5F49E46B" w14:textId="77777777" w:rsidTr="6332C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BB32AC" w14:textId="77777777" w:rsidR="00141401" w:rsidRPr="00F246A4" w:rsidRDefault="00141401" w:rsidP="0071684D">
            <w:pPr>
              <w:spacing w:line="276" w:lineRule="auto"/>
              <w:jc w:val="left"/>
              <w:rPr>
                <w:rFonts w:eastAsia="Calibri" w:cs="Calibri"/>
                <w:sz w:val="18"/>
                <w:szCs w:val="18"/>
              </w:rPr>
            </w:pPr>
            <w:r w:rsidRPr="00F246A4">
              <w:rPr>
                <w:rFonts w:eastAsia="Calibri" w:cs="Calibri"/>
                <w:sz w:val="18"/>
                <w:szCs w:val="18"/>
              </w:rPr>
              <w:t>Objective setting and system stewardship</w:t>
            </w:r>
          </w:p>
        </w:tc>
        <w:tc>
          <w:tcPr>
            <w:tcW w:w="3765" w:type="dxa"/>
          </w:tcPr>
          <w:p w14:paraId="0593A251"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Establish system-level objectives and oversee system performance</w:t>
            </w:r>
          </w:p>
        </w:tc>
        <w:tc>
          <w:tcPr>
            <w:tcW w:w="3178" w:type="dxa"/>
          </w:tcPr>
          <w:p w14:paraId="0BC6A8E4" w14:textId="56555030" w:rsidR="00141401" w:rsidRPr="00F246A4" w:rsidRDefault="5E9050C4"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Australian</w:t>
            </w:r>
            <w:r w:rsidR="00141401" w:rsidRPr="00F246A4">
              <w:rPr>
                <w:rFonts w:eastAsia="Calibri" w:cs="Calibri"/>
                <w:sz w:val="18"/>
                <w:szCs w:val="18"/>
              </w:rPr>
              <w:t>, NSW, Victoria</w:t>
            </w:r>
            <w:r w:rsidR="00242C15" w:rsidRPr="00F246A4">
              <w:rPr>
                <w:rFonts w:eastAsia="Calibri" w:cs="Calibri"/>
                <w:sz w:val="18"/>
                <w:szCs w:val="18"/>
              </w:rPr>
              <w:t>n</w:t>
            </w:r>
            <w:r w:rsidR="00141401" w:rsidRPr="00F246A4">
              <w:rPr>
                <w:rFonts w:eastAsia="Calibri" w:cs="Calibri"/>
                <w:sz w:val="18"/>
                <w:szCs w:val="18"/>
              </w:rPr>
              <w:t xml:space="preserve">, ACT </w:t>
            </w:r>
            <w:r w:rsidR="1C651527" w:rsidRPr="00F246A4">
              <w:rPr>
                <w:rFonts w:eastAsia="Calibri" w:cs="Calibri"/>
                <w:sz w:val="18"/>
                <w:szCs w:val="18"/>
              </w:rPr>
              <w:t>g</w:t>
            </w:r>
            <w:r w:rsidR="080883E1" w:rsidRPr="00F246A4">
              <w:rPr>
                <w:rFonts w:eastAsia="Calibri" w:cs="Calibri"/>
                <w:sz w:val="18"/>
                <w:szCs w:val="18"/>
              </w:rPr>
              <w:t>overnments</w:t>
            </w:r>
          </w:p>
        </w:tc>
      </w:tr>
      <w:tr w:rsidR="00141401" w:rsidRPr="00F246A4" w14:paraId="464BAC37" w14:textId="77777777" w:rsidTr="6332CC80">
        <w:tc>
          <w:tcPr>
            <w:cnfStyle w:val="001000000000" w:firstRow="0" w:lastRow="0" w:firstColumn="1" w:lastColumn="0" w:oddVBand="0" w:evenVBand="0" w:oddHBand="0" w:evenHBand="0" w:firstRowFirstColumn="0" w:firstRowLastColumn="0" w:lastRowFirstColumn="0" w:lastRowLastColumn="0"/>
            <w:tcW w:w="2405" w:type="dxa"/>
          </w:tcPr>
          <w:p w14:paraId="30CCD742" w14:textId="77777777" w:rsidR="00141401" w:rsidRPr="00F246A4" w:rsidRDefault="00141401" w:rsidP="0071684D">
            <w:pPr>
              <w:spacing w:line="276" w:lineRule="auto"/>
              <w:jc w:val="left"/>
              <w:rPr>
                <w:rFonts w:eastAsia="Calibri" w:cs="Calibri"/>
                <w:sz w:val="18"/>
                <w:szCs w:val="18"/>
              </w:rPr>
            </w:pPr>
            <w:r w:rsidRPr="00F246A4">
              <w:rPr>
                <w:rFonts w:eastAsia="Calibri" w:cs="Calibri"/>
                <w:sz w:val="18"/>
                <w:szCs w:val="18"/>
              </w:rPr>
              <w:t>Governance and decision-making</w:t>
            </w:r>
          </w:p>
        </w:tc>
        <w:tc>
          <w:tcPr>
            <w:tcW w:w="3765" w:type="dxa"/>
          </w:tcPr>
          <w:p w14:paraId="3D6AD19F"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Set policy direction, assess trade-offs, resolve disputes</w:t>
            </w:r>
          </w:p>
        </w:tc>
        <w:tc>
          <w:tcPr>
            <w:tcW w:w="3178" w:type="dxa"/>
          </w:tcPr>
          <w:p w14:paraId="45F8A803" w14:textId="15D94C80"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Governments, supported by independent oversight (e.g. Snowy Water Commissioner)</w:t>
            </w:r>
          </w:p>
          <w:p w14:paraId="6F526077"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p>
        </w:tc>
      </w:tr>
      <w:tr w:rsidR="00141401" w:rsidRPr="00F246A4" w14:paraId="42032B25" w14:textId="77777777" w:rsidTr="6332C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1AA4E7"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Independent Oversight</w:t>
            </w:r>
          </w:p>
        </w:tc>
        <w:tc>
          <w:tcPr>
            <w:tcW w:w="3765" w:type="dxa"/>
          </w:tcPr>
          <w:p w14:paraId="79351379" w14:textId="77777777" w:rsidR="00141401" w:rsidRPr="00F246A4" w:rsidRDefault="00141401" w:rsidP="0071684D">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Act as final decision-maker on trade-offs where resolution cannot be achieved through established governance arrangements.</w:t>
            </w:r>
          </w:p>
        </w:tc>
        <w:tc>
          <w:tcPr>
            <w:tcW w:w="3178" w:type="dxa"/>
          </w:tcPr>
          <w:p w14:paraId="0438F5D5"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Snowy Water Commissioner (new function)</w:t>
            </w:r>
          </w:p>
          <w:p w14:paraId="183B9D03"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p>
        </w:tc>
      </w:tr>
      <w:tr w:rsidR="00141401" w:rsidRPr="00F246A4" w14:paraId="189FD862" w14:textId="77777777" w:rsidTr="6332CC80">
        <w:tc>
          <w:tcPr>
            <w:cnfStyle w:val="001000000000" w:firstRow="0" w:lastRow="0" w:firstColumn="1" w:lastColumn="0" w:oddVBand="0" w:evenVBand="0" w:oddHBand="0" w:evenHBand="0" w:firstRowFirstColumn="0" w:firstRowLastColumn="0" w:lastRowFirstColumn="0" w:lastRowLastColumn="0"/>
            <w:tcW w:w="2405" w:type="dxa"/>
          </w:tcPr>
          <w:p w14:paraId="0E9B06FB" w14:textId="77777777" w:rsidR="00141401" w:rsidRPr="00F246A4" w:rsidRDefault="00141401" w:rsidP="0071684D">
            <w:pPr>
              <w:spacing w:line="276" w:lineRule="auto"/>
              <w:jc w:val="left"/>
              <w:rPr>
                <w:rFonts w:eastAsia="Calibri" w:cs="Calibri"/>
                <w:sz w:val="18"/>
                <w:szCs w:val="18"/>
              </w:rPr>
            </w:pPr>
            <w:r w:rsidRPr="00F246A4">
              <w:rPr>
                <w:rFonts w:eastAsia="Calibri" w:cs="Calibri"/>
                <w:sz w:val="18"/>
                <w:szCs w:val="18"/>
              </w:rPr>
              <w:t>Advisory input</w:t>
            </w:r>
          </w:p>
        </w:tc>
        <w:tc>
          <w:tcPr>
            <w:tcW w:w="3765" w:type="dxa"/>
          </w:tcPr>
          <w:p w14:paraId="6C678B2C"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Provide scientific, community and First Nations advice to inform decisions</w:t>
            </w:r>
          </w:p>
        </w:tc>
        <w:tc>
          <w:tcPr>
            <w:tcW w:w="3178" w:type="dxa"/>
          </w:tcPr>
          <w:p w14:paraId="5B52F578" w14:textId="1DB17CFB" w:rsidR="00141401" w:rsidRPr="00F246A4" w:rsidRDefault="54252304" w:rsidP="6332CC80">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Scientific agencies,</w:t>
            </w:r>
            <w:r w:rsidR="7A018522" w:rsidRPr="00F246A4">
              <w:rPr>
                <w:rFonts w:eastAsia="Calibri" w:cs="Calibri"/>
                <w:sz w:val="18"/>
                <w:szCs w:val="18"/>
              </w:rPr>
              <w:t xml:space="preserve"> individuals with relevant scientific expertise, </w:t>
            </w:r>
            <w:r w:rsidRPr="00F246A4">
              <w:rPr>
                <w:rFonts w:eastAsia="Calibri" w:cs="Calibri"/>
                <w:sz w:val="18"/>
                <w:szCs w:val="18"/>
              </w:rPr>
              <w:t>community stakeholders, First Nations representatives</w:t>
            </w:r>
          </w:p>
        </w:tc>
      </w:tr>
      <w:tr w:rsidR="00141401" w:rsidRPr="00F246A4" w14:paraId="23CEE7EA" w14:textId="77777777" w:rsidTr="6332C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3CEEA2" w14:textId="77777777" w:rsidR="00141401" w:rsidRPr="00F246A4" w:rsidRDefault="00141401" w:rsidP="0071684D">
            <w:pPr>
              <w:spacing w:line="276" w:lineRule="auto"/>
              <w:jc w:val="left"/>
              <w:rPr>
                <w:rFonts w:eastAsia="Calibri" w:cs="Calibri"/>
                <w:sz w:val="18"/>
                <w:szCs w:val="18"/>
              </w:rPr>
            </w:pPr>
            <w:r w:rsidRPr="00F246A4">
              <w:rPr>
                <w:rFonts w:eastAsia="Calibri" w:cs="Calibri"/>
                <w:sz w:val="18"/>
                <w:szCs w:val="18"/>
              </w:rPr>
              <w:t>Operational delivery</w:t>
            </w:r>
          </w:p>
        </w:tc>
        <w:tc>
          <w:tcPr>
            <w:tcW w:w="3765" w:type="dxa"/>
          </w:tcPr>
          <w:p w14:paraId="079B9E30"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Operate the scheme and implement water management decisions</w:t>
            </w:r>
          </w:p>
        </w:tc>
        <w:tc>
          <w:tcPr>
            <w:tcW w:w="3178" w:type="dxa"/>
          </w:tcPr>
          <w:p w14:paraId="78104909" w14:textId="0249840A"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 xml:space="preserve">Snowy Hydro </w:t>
            </w:r>
          </w:p>
        </w:tc>
      </w:tr>
      <w:tr w:rsidR="00141401" w:rsidRPr="00F246A4" w14:paraId="41D0EF2E" w14:textId="77777777" w:rsidTr="6332CC80">
        <w:tc>
          <w:tcPr>
            <w:cnfStyle w:val="001000000000" w:firstRow="0" w:lastRow="0" w:firstColumn="1" w:lastColumn="0" w:oddVBand="0" w:evenVBand="0" w:oddHBand="0" w:evenHBand="0" w:firstRowFirstColumn="0" w:firstRowLastColumn="0" w:lastRowFirstColumn="0" w:lastRowLastColumn="0"/>
            <w:tcW w:w="2405" w:type="dxa"/>
          </w:tcPr>
          <w:p w14:paraId="53A3C968" w14:textId="77777777" w:rsidR="00141401" w:rsidRPr="00F246A4" w:rsidRDefault="00141401" w:rsidP="0071684D">
            <w:pPr>
              <w:spacing w:line="276" w:lineRule="auto"/>
              <w:jc w:val="left"/>
              <w:rPr>
                <w:rFonts w:eastAsia="Calibri" w:cs="Calibri"/>
                <w:sz w:val="18"/>
                <w:szCs w:val="18"/>
              </w:rPr>
            </w:pPr>
            <w:r w:rsidRPr="00F246A4">
              <w:rPr>
                <w:rFonts w:eastAsia="Calibri" w:cs="Calibri"/>
                <w:sz w:val="18"/>
                <w:szCs w:val="18"/>
              </w:rPr>
              <w:t>Licence administration</w:t>
            </w:r>
          </w:p>
        </w:tc>
        <w:tc>
          <w:tcPr>
            <w:tcW w:w="3765" w:type="dxa"/>
          </w:tcPr>
          <w:p w14:paraId="4D728CF9"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Administer and enforce the Snowy Water Licence</w:t>
            </w:r>
          </w:p>
        </w:tc>
        <w:tc>
          <w:tcPr>
            <w:tcW w:w="3178" w:type="dxa"/>
          </w:tcPr>
          <w:p w14:paraId="3E96FF67"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NSW Government</w:t>
            </w:r>
          </w:p>
        </w:tc>
      </w:tr>
      <w:tr w:rsidR="00141401" w:rsidRPr="00F246A4" w14:paraId="6FA300B6" w14:textId="77777777" w:rsidTr="6332CC80">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405" w:type="dxa"/>
          </w:tcPr>
          <w:p w14:paraId="07748C9C" w14:textId="77777777" w:rsidR="00141401" w:rsidRPr="00F246A4" w:rsidRDefault="00141401" w:rsidP="0071684D">
            <w:pPr>
              <w:spacing w:line="276" w:lineRule="auto"/>
              <w:jc w:val="left"/>
              <w:rPr>
                <w:rFonts w:eastAsia="Calibri" w:cs="Calibri"/>
                <w:b w:val="0"/>
                <w:sz w:val="18"/>
                <w:szCs w:val="18"/>
              </w:rPr>
            </w:pPr>
          </w:p>
          <w:p w14:paraId="1D42E86F"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Water manager</w:t>
            </w:r>
          </w:p>
          <w:p w14:paraId="2ADBA0CC" w14:textId="77777777" w:rsidR="00141401" w:rsidRPr="00F246A4" w:rsidRDefault="00141401" w:rsidP="0071684D">
            <w:pPr>
              <w:spacing w:line="276" w:lineRule="auto"/>
              <w:jc w:val="left"/>
              <w:rPr>
                <w:rFonts w:eastAsia="Calibri" w:cs="Calibri"/>
                <w:b w:val="0"/>
                <w:sz w:val="18"/>
                <w:szCs w:val="18"/>
              </w:rPr>
            </w:pPr>
          </w:p>
        </w:tc>
        <w:tc>
          <w:tcPr>
            <w:tcW w:w="3765" w:type="dxa"/>
          </w:tcPr>
          <w:p w14:paraId="46B48DF9" w14:textId="5C3A1BC0" w:rsidR="00141401" w:rsidRPr="00F246A4" w:rsidRDefault="1DEFFD51" w:rsidP="6332CC80">
            <w:pPr>
              <w:spacing w:line="300"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C</w:t>
            </w:r>
            <w:r w:rsidR="54252304" w:rsidRPr="00F246A4">
              <w:rPr>
                <w:rFonts w:eastAsia="Calibri" w:cs="Calibri"/>
                <w:sz w:val="18"/>
                <w:szCs w:val="18"/>
              </w:rPr>
              <w:t xml:space="preserve">oordinate </w:t>
            </w:r>
            <w:r w:rsidR="29D8BCC1" w:rsidRPr="00F246A4">
              <w:rPr>
                <w:rFonts w:eastAsia="Calibri" w:cs="Calibri"/>
                <w:sz w:val="18"/>
                <w:szCs w:val="18"/>
              </w:rPr>
              <w:t xml:space="preserve">activities </w:t>
            </w:r>
          </w:p>
        </w:tc>
        <w:tc>
          <w:tcPr>
            <w:tcW w:w="3178" w:type="dxa"/>
          </w:tcPr>
          <w:p w14:paraId="17B75776"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MDBA (or equivalent)</w:t>
            </w:r>
          </w:p>
        </w:tc>
      </w:tr>
      <w:tr w:rsidR="00141401" w:rsidRPr="00F246A4" w14:paraId="07DFD131" w14:textId="77777777" w:rsidTr="6332CC80">
        <w:tc>
          <w:tcPr>
            <w:cnfStyle w:val="001000000000" w:firstRow="0" w:lastRow="0" w:firstColumn="1" w:lastColumn="0" w:oddVBand="0" w:evenVBand="0" w:oddHBand="0" w:evenHBand="0" w:firstRowFirstColumn="0" w:firstRowLastColumn="0" w:lastRowFirstColumn="0" w:lastRowLastColumn="0"/>
            <w:tcW w:w="2405" w:type="dxa"/>
          </w:tcPr>
          <w:p w14:paraId="5B5F44D2"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Monitoring and compliance</w:t>
            </w:r>
          </w:p>
        </w:tc>
        <w:tc>
          <w:tcPr>
            <w:tcW w:w="3765" w:type="dxa"/>
          </w:tcPr>
          <w:p w14:paraId="70E00C1F"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Monitor system performance and enforce compliance</w:t>
            </w:r>
          </w:p>
        </w:tc>
        <w:tc>
          <w:tcPr>
            <w:tcW w:w="3178" w:type="dxa"/>
          </w:tcPr>
          <w:p w14:paraId="5E3DE750" w14:textId="013C03AF" w:rsidR="00141401" w:rsidRPr="00F246A4" w:rsidRDefault="54252304" w:rsidP="6332CC80">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NSW Government, NRAR (or equivalent)</w:t>
            </w:r>
            <w:r w:rsidR="749242F9" w:rsidRPr="00F246A4">
              <w:rPr>
                <w:rFonts w:eastAsia="Calibri" w:cs="Calibri"/>
                <w:sz w:val="18"/>
                <w:szCs w:val="18"/>
              </w:rPr>
              <w:t xml:space="preserve"> </w:t>
            </w:r>
            <w:r w:rsidR="00FC3B95" w:rsidRPr="00F246A4">
              <w:rPr>
                <w:rFonts w:eastAsia="Calibri" w:cs="Calibri"/>
                <w:sz w:val="18"/>
                <w:szCs w:val="18"/>
              </w:rPr>
              <w:t>or</w:t>
            </w:r>
            <w:r w:rsidR="749242F9" w:rsidRPr="00F246A4">
              <w:rPr>
                <w:rFonts w:eastAsia="Calibri" w:cs="Calibri"/>
                <w:sz w:val="18"/>
                <w:szCs w:val="18"/>
              </w:rPr>
              <w:t xml:space="preserve"> CEWH</w:t>
            </w:r>
          </w:p>
        </w:tc>
      </w:tr>
      <w:tr w:rsidR="00141401" w:rsidRPr="00F246A4" w14:paraId="35912C90" w14:textId="77777777" w:rsidTr="6332C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68F235"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System review</w:t>
            </w:r>
          </w:p>
        </w:tc>
        <w:tc>
          <w:tcPr>
            <w:tcW w:w="3765" w:type="dxa"/>
          </w:tcPr>
          <w:p w14:paraId="4520B7F1"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Major independent system review (~10 years)</w:t>
            </w:r>
          </w:p>
        </w:tc>
        <w:tc>
          <w:tcPr>
            <w:tcW w:w="3178" w:type="dxa"/>
          </w:tcPr>
          <w:p w14:paraId="133D667B"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Productivity Commission</w:t>
            </w:r>
          </w:p>
        </w:tc>
      </w:tr>
      <w:tr w:rsidR="00141401" w:rsidRPr="00F246A4" w14:paraId="79B4BD75" w14:textId="77777777" w:rsidTr="6332CC80">
        <w:tc>
          <w:tcPr>
            <w:cnfStyle w:val="001000000000" w:firstRow="0" w:lastRow="0" w:firstColumn="1" w:lastColumn="0" w:oddVBand="0" w:evenVBand="0" w:oddHBand="0" w:evenHBand="0" w:firstRowFirstColumn="0" w:firstRowLastColumn="0" w:lastRowFirstColumn="0" w:lastRowLastColumn="0"/>
            <w:tcW w:w="2405" w:type="dxa"/>
          </w:tcPr>
          <w:p w14:paraId="1D676CC7"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Regulation and compliance</w:t>
            </w:r>
          </w:p>
        </w:tc>
        <w:tc>
          <w:tcPr>
            <w:tcW w:w="3765" w:type="dxa"/>
          </w:tcPr>
          <w:p w14:paraId="23C4C751"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Day-to-day monitoring, enforcement of licence conditions</w:t>
            </w:r>
          </w:p>
        </w:tc>
        <w:tc>
          <w:tcPr>
            <w:tcW w:w="3178" w:type="dxa"/>
          </w:tcPr>
          <w:p w14:paraId="4F1F2AAB"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NSW Government, NRAR</w:t>
            </w:r>
          </w:p>
        </w:tc>
      </w:tr>
      <w:tr w:rsidR="00141401" w:rsidRPr="00F246A4" w14:paraId="1F5F63D9" w14:textId="77777777" w:rsidTr="6332C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D51B74"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Independent audit</w:t>
            </w:r>
          </w:p>
        </w:tc>
        <w:tc>
          <w:tcPr>
            <w:tcW w:w="3765" w:type="dxa"/>
          </w:tcPr>
          <w:p w14:paraId="7B8B04FB"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Periodic audit of system performance and compliance (~5 years)</w:t>
            </w:r>
          </w:p>
        </w:tc>
        <w:tc>
          <w:tcPr>
            <w:tcW w:w="3178" w:type="dxa"/>
          </w:tcPr>
          <w:p w14:paraId="1F4B1B34" w14:textId="1D89B016" w:rsidR="00141401" w:rsidRPr="00F246A4" w:rsidRDefault="54252304" w:rsidP="6332CC80">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NRC (or equivalent)</w:t>
            </w:r>
            <w:r w:rsidR="00FC3B95" w:rsidRPr="00F246A4">
              <w:rPr>
                <w:rFonts w:eastAsia="Calibri" w:cs="Calibri"/>
                <w:sz w:val="18"/>
                <w:szCs w:val="18"/>
              </w:rPr>
              <w:t>, and equivalent in Victoria</w:t>
            </w:r>
            <w:r w:rsidR="2581CE4B" w:rsidRPr="00F246A4">
              <w:rPr>
                <w:rFonts w:eastAsia="Calibri" w:cs="Calibri"/>
                <w:sz w:val="18"/>
                <w:szCs w:val="18"/>
              </w:rPr>
              <w:t xml:space="preserve"> </w:t>
            </w:r>
          </w:p>
        </w:tc>
      </w:tr>
      <w:tr w:rsidR="00141401" w:rsidRPr="00F246A4" w14:paraId="047FAD25" w14:textId="77777777" w:rsidTr="6332CC80">
        <w:tc>
          <w:tcPr>
            <w:cnfStyle w:val="001000000000" w:firstRow="0" w:lastRow="0" w:firstColumn="1" w:lastColumn="0" w:oddVBand="0" w:evenVBand="0" w:oddHBand="0" w:evenHBand="0" w:firstRowFirstColumn="0" w:firstRowLastColumn="0" w:lastRowFirstColumn="0" w:lastRowLastColumn="0"/>
            <w:tcW w:w="2405" w:type="dxa"/>
          </w:tcPr>
          <w:p w14:paraId="29863A06"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Implementation support</w:t>
            </w:r>
          </w:p>
        </w:tc>
        <w:tc>
          <w:tcPr>
            <w:tcW w:w="3765" w:type="dxa"/>
          </w:tcPr>
          <w:p w14:paraId="1D6CC8E1"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Deliver programs, planning processes and complementary measures</w:t>
            </w:r>
          </w:p>
        </w:tc>
        <w:tc>
          <w:tcPr>
            <w:tcW w:w="3178" w:type="dxa"/>
          </w:tcPr>
          <w:p w14:paraId="71632B43" w14:textId="77777777" w:rsidR="00141401" w:rsidRPr="00F246A4" w:rsidRDefault="00141401" w:rsidP="0071684D">
            <w:pPr>
              <w:spacing w:line="276" w:lineRule="auto"/>
              <w:jc w:val="left"/>
              <w:cnfStyle w:val="000000000000" w:firstRow="0" w:lastRow="0" w:firstColumn="0" w:lastColumn="0" w:oddVBand="0" w:evenVBand="0" w:oddHBand="0" w:evenHBand="0" w:firstRowFirstColumn="0" w:firstRowLastColumn="0" w:lastRowFirstColumn="0" w:lastRowLastColumn="0"/>
              <w:rPr>
                <w:rFonts w:eastAsia="Calibri" w:cs="Calibri"/>
                <w:sz w:val="18"/>
                <w:szCs w:val="18"/>
              </w:rPr>
            </w:pPr>
            <w:r w:rsidRPr="00F246A4">
              <w:rPr>
                <w:rFonts w:eastAsia="Calibri" w:cs="Calibri"/>
                <w:sz w:val="18"/>
                <w:szCs w:val="18"/>
              </w:rPr>
              <w:t>State and territory agencies</w:t>
            </w:r>
          </w:p>
        </w:tc>
      </w:tr>
      <w:tr w:rsidR="00141401" w:rsidRPr="00F246A4" w14:paraId="6A195817" w14:textId="77777777" w:rsidTr="6332C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220509" w14:textId="77777777" w:rsidR="00141401" w:rsidRPr="00F246A4" w:rsidRDefault="00141401" w:rsidP="0071684D">
            <w:pPr>
              <w:spacing w:line="276" w:lineRule="auto"/>
              <w:jc w:val="left"/>
              <w:rPr>
                <w:rFonts w:eastAsia="Calibri" w:cs="Calibri"/>
                <w:b w:val="0"/>
                <w:sz w:val="18"/>
                <w:szCs w:val="18"/>
              </w:rPr>
            </w:pPr>
            <w:r w:rsidRPr="00F246A4">
              <w:rPr>
                <w:rFonts w:eastAsia="Calibri" w:cs="Calibri"/>
                <w:sz w:val="18"/>
                <w:szCs w:val="18"/>
              </w:rPr>
              <w:t>System stewardship and adaptive management</w:t>
            </w:r>
          </w:p>
        </w:tc>
        <w:tc>
          <w:tcPr>
            <w:tcW w:w="3765" w:type="dxa"/>
          </w:tcPr>
          <w:p w14:paraId="012804A3"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Ensure system evolves through review, feedback and adjustment</w:t>
            </w:r>
          </w:p>
        </w:tc>
        <w:tc>
          <w:tcPr>
            <w:tcW w:w="3178" w:type="dxa"/>
          </w:tcPr>
          <w:p w14:paraId="774696EF" w14:textId="77777777" w:rsidR="00141401" w:rsidRPr="00F246A4" w:rsidRDefault="00141401" w:rsidP="0071684D">
            <w:pPr>
              <w:spacing w:line="276" w:lineRule="auto"/>
              <w:jc w:val="left"/>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F246A4">
              <w:rPr>
                <w:rFonts w:eastAsia="Calibri" w:cs="Calibri"/>
                <w:sz w:val="18"/>
                <w:szCs w:val="18"/>
              </w:rPr>
              <w:t>Governments, supported by all entities above</w:t>
            </w:r>
          </w:p>
        </w:tc>
      </w:tr>
    </w:tbl>
    <w:p w14:paraId="447EA947" w14:textId="40EF58F5" w:rsidR="00762D95" w:rsidRDefault="00762D95" w:rsidP="00762D95">
      <w:pPr>
        <w:pStyle w:val="ReviewHeading2"/>
      </w:pPr>
      <w:bookmarkStart w:id="173" w:name="_Toc233285634"/>
      <w:bookmarkStart w:id="174" w:name="_Toc233801513"/>
      <w:r>
        <w:lastRenderedPageBreak/>
        <w:t>8.</w:t>
      </w:r>
      <w:r w:rsidR="001A4F6D">
        <w:t>7</w:t>
      </w:r>
      <w:r>
        <w:t xml:space="preserve"> Implementation considerations</w:t>
      </w:r>
      <w:bookmarkEnd w:id="173"/>
      <w:bookmarkEnd w:id="174"/>
    </w:p>
    <w:p w14:paraId="308AC399" w14:textId="286E7B3B" w:rsidR="002340F0" w:rsidRPr="004A0567" w:rsidRDefault="00382EE8" w:rsidP="002340F0">
      <w:r>
        <w:rPr>
          <w:rFonts w:ascii="ZWAdobeF" w:hAnsi="ZWAdobeF" w:cs="ZWAdobeF"/>
          <w:sz w:val="2"/>
          <w:szCs w:val="2"/>
        </w:rPr>
        <w:t>1289B</w:t>
      </w:r>
      <w:r w:rsidR="002340F0">
        <w:t>The</w:t>
      </w:r>
      <w:r w:rsidR="00A66B38">
        <w:t xml:space="preserve"> </w:t>
      </w:r>
      <w:r w:rsidR="00B563A6">
        <w:t xml:space="preserve">Panel was </w:t>
      </w:r>
      <w:r w:rsidR="006B76DB">
        <w:t>cautioned by the</w:t>
      </w:r>
      <w:r w:rsidR="002340F0">
        <w:t xml:space="preserve"> SAG against abrupt reform</w:t>
      </w:r>
      <w:r w:rsidR="00383374">
        <w:t>, they</w:t>
      </w:r>
      <w:r w:rsidR="002340F0">
        <w:t xml:space="preserve"> support a phased,</w:t>
      </w:r>
      <w:r w:rsidR="00563C34">
        <w:t xml:space="preserve"> </w:t>
      </w:r>
      <w:r w:rsidR="002340F0">
        <w:t>staged</w:t>
      </w:r>
      <w:r w:rsidR="00563C34">
        <w:t xml:space="preserve"> </w:t>
      </w:r>
      <w:r w:rsidR="002340F0">
        <w:t>and scalable</w:t>
      </w:r>
      <w:r w:rsidR="00563C34">
        <w:t xml:space="preserve"> </w:t>
      </w:r>
      <w:r w:rsidR="002340F0">
        <w:t>implementation pathway, recognising infrastructure lead times and system complexity.</w:t>
      </w:r>
      <w:r>
        <w:rPr>
          <w:rFonts w:ascii="ZWAdobeF" w:hAnsi="ZWAdobeF" w:cs="ZWAdobeF"/>
          <w:sz w:val="2"/>
          <w:szCs w:val="2"/>
        </w:rPr>
        <w:t>78F</w:t>
      </w:r>
      <w:r w:rsidR="0085356D">
        <w:rPr>
          <w:rStyle w:val="FootnoteReference"/>
        </w:rPr>
        <w:footnoteReference w:id="79"/>
      </w:r>
      <w:r w:rsidR="002340F0">
        <w:t> </w:t>
      </w:r>
    </w:p>
    <w:p w14:paraId="11CEDB65" w14:textId="317A5423" w:rsidR="003A7F0A" w:rsidRPr="003A7F0A" w:rsidRDefault="00382EE8" w:rsidP="003A7F0A">
      <w:r>
        <w:rPr>
          <w:rFonts w:ascii="ZWAdobeF" w:hAnsi="ZWAdobeF" w:cs="ZWAdobeF"/>
          <w:sz w:val="2"/>
          <w:szCs w:val="2"/>
        </w:rPr>
        <w:t>1290B</w:t>
      </w:r>
      <w:r w:rsidR="002340F0" w:rsidRPr="004A0567">
        <w:t xml:space="preserve">First Nations perspectives </w:t>
      </w:r>
      <w:r w:rsidR="005367DD">
        <w:t xml:space="preserve">presented in the </w:t>
      </w:r>
      <w:r w:rsidR="00B105A6">
        <w:t>FNAG report</w:t>
      </w:r>
      <w:r w:rsidR="002340F0" w:rsidRPr="004A0567">
        <w:t xml:space="preserve"> align with this staged approach, </w:t>
      </w:r>
      <w:r w:rsidR="00E33BFD" w:rsidRPr="00E33BFD">
        <w:t xml:space="preserve">acknowledging that </w:t>
      </w:r>
      <w:r w:rsidR="00484496">
        <w:t xml:space="preserve">current infrastructure </w:t>
      </w:r>
      <w:r w:rsidR="00E33BFD" w:rsidRPr="00E33BFD">
        <w:t xml:space="preserve">limitations at Tantangara Dam prevent implementation of </w:t>
      </w:r>
      <w:r w:rsidR="006D4D5E">
        <w:t xml:space="preserve">the </w:t>
      </w:r>
      <w:r w:rsidR="00E33BFD" w:rsidRPr="00E33BFD">
        <w:t>highe</w:t>
      </w:r>
      <w:r w:rsidR="006D4D5E">
        <w:t>st</w:t>
      </w:r>
      <w:r w:rsidR="00BB10A0">
        <w:t xml:space="preserve"> </w:t>
      </w:r>
      <w:r w:rsidR="00E33BFD" w:rsidRPr="00E33BFD">
        <w:t>ambition ecological flow regimes. At the same time, they emphasise that meaningful progress should continue during the interim period</w:t>
      </w:r>
      <w:r w:rsidR="008D0D35">
        <w:t xml:space="preserve"> while </w:t>
      </w:r>
      <w:r w:rsidR="00E33BFD" w:rsidRPr="00E33BFD">
        <w:t>planning, approvals and construction of necessary upgrades are underway.</w:t>
      </w:r>
      <w:r>
        <w:rPr>
          <w:rFonts w:ascii="ZWAdobeF" w:hAnsi="ZWAdobeF" w:cs="ZWAdobeF"/>
          <w:sz w:val="2"/>
          <w:szCs w:val="2"/>
        </w:rPr>
        <w:t>79F</w:t>
      </w:r>
      <w:r w:rsidR="00E33BFD">
        <w:rPr>
          <w:rStyle w:val="FootnoteReference"/>
        </w:rPr>
        <w:footnoteReference w:id="80"/>
      </w:r>
    </w:p>
    <w:p w14:paraId="567E9774" w14:textId="3613BEF0" w:rsidR="002340F0" w:rsidRPr="004A0567" w:rsidRDefault="00382EE8" w:rsidP="002340F0">
      <w:r>
        <w:rPr>
          <w:rFonts w:ascii="ZWAdobeF" w:hAnsi="ZWAdobeF" w:cs="ZWAdobeF"/>
          <w:sz w:val="2"/>
          <w:szCs w:val="2"/>
        </w:rPr>
        <w:t>1291B</w:t>
      </w:r>
      <w:r w:rsidR="002340F0" w:rsidRPr="004A0567">
        <w:t> </w:t>
      </w:r>
      <w:r w:rsidR="00484496">
        <w:t>I</w:t>
      </w:r>
      <w:r w:rsidR="002340F0" w:rsidRPr="004A0567">
        <w:t>mplementation pathways should: </w:t>
      </w:r>
    </w:p>
    <w:p w14:paraId="518512EF" w14:textId="0670F280" w:rsidR="002340F0" w:rsidRPr="009A59A4" w:rsidRDefault="00382EE8" w:rsidP="00115BD6">
      <w:pPr>
        <w:pStyle w:val="ListParagraph"/>
        <w:numPr>
          <w:ilvl w:val="0"/>
          <w:numId w:val="46"/>
        </w:numPr>
      </w:pPr>
      <w:r>
        <w:rPr>
          <w:rFonts w:ascii="ZWAdobeF" w:hAnsi="ZWAdobeF" w:cs="ZWAdobeF"/>
          <w:sz w:val="2"/>
          <w:szCs w:val="2"/>
        </w:rPr>
        <w:t>467B</w:t>
      </w:r>
      <w:r w:rsidR="002340F0" w:rsidRPr="009A59A4">
        <w:t>avoid further harm during transition periods </w:t>
      </w:r>
    </w:p>
    <w:p w14:paraId="793433D6" w14:textId="6616741A" w:rsidR="002340F0" w:rsidRPr="009A59A4" w:rsidRDefault="00382EE8" w:rsidP="00115BD6">
      <w:pPr>
        <w:pStyle w:val="ListParagraph"/>
        <w:numPr>
          <w:ilvl w:val="0"/>
          <w:numId w:val="46"/>
        </w:numPr>
      </w:pPr>
      <w:r>
        <w:rPr>
          <w:rFonts w:ascii="ZWAdobeF" w:hAnsi="ZWAdobeF" w:cs="ZWAdobeF"/>
          <w:sz w:val="2"/>
          <w:szCs w:val="2"/>
        </w:rPr>
        <w:t>468B</w:t>
      </w:r>
      <w:r w:rsidR="002340F0" w:rsidRPr="009A59A4">
        <w:t>allow time for learning and adaptation </w:t>
      </w:r>
    </w:p>
    <w:p w14:paraId="5D71D225" w14:textId="435D1C60" w:rsidR="00D17968" w:rsidRDefault="00382EE8" w:rsidP="00115BD6">
      <w:pPr>
        <w:pStyle w:val="ListParagraph"/>
        <w:numPr>
          <w:ilvl w:val="0"/>
          <w:numId w:val="46"/>
        </w:numPr>
      </w:pPr>
      <w:r>
        <w:rPr>
          <w:rFonts w:ascii="ZWAdobeF" w:hAnsi="ZWAdobeF" w:cs="ZWAdobeF"/>
          <w:sz w:val="2"/>
          <w:szCs w:val="2"/>
        </w:rPr>
        <w:t>469B</w:t>
      </w:r>
      <w:r w:rsidR="002340F0" w:rsidRPr="009A59A4">
        <w:t>ensure cultural and ecological recovery are pursued together, not sequentially</w:t>
      </w:r>
    </w:p>
    <w:p w14:paraId="62B590DA" w14:textId="7A41A4D3" w:rsidR="002340F0" w:rsidRPr="009A59A4" w:rsidRDefault="00382EE8" w:rsidP="00115BD6">
      <w:pPr>
        <w:pStyle w:val="ListParagraph"/>
        <w:numPr>
          <w:ilvl w:val="0"/>
          <w:numId w:val="46"/>
        </w:numPr>
      </w:pPr>
      <w:r>
        <w:rPr>
          <w:rFonts w:ascii="ZWAdobeF" w:eastAsia="Calibri" w:hAnsi="ZWAdobeF" w:cs="ZWAdobeF"/>
          <w:sz w:val="2"/>
          <w:szCs w:val="2"/>
        </w:rPr>
        <w:t>470B</w:t>
      </w:r>
      <w:r w:rsidR="04373FD9" w:rsidRPr="6332CC80">
        <w:rPr>
          <w:rFonts w:eastAsia="Calibri" w:cs="Calibri"/>
          <w:color w:val="000000" w:themeColor="text1"/>
        </w:rPr>
        <w:t>minimise</w:t>
      </w:r>
      <w:r w:rsidR="00CC3CE6" w:rsidRPr="6332CC80">
        <w:rPr>
          <w:rFonts w:eastAsia="Calibri" w:cs="Calibri"/>
          <w:color w:val="000000" w:themeColor="text1"/>
        </w:rPr>
        <w:t xml:space="preserve"> impacts on </w:t>
      </w:r>
      <w:r w:rsidR="000F1B66" w:rsidRPr="6332CC80">
        <w:rPr>
          <w:rFonts w:eastAsia="Calibri" w:cs="Calibri"/>
          <w:color w:val="000000" w:themeColor="text1"/>
        </w:rPr>
        <w:t xml:space="preserve">energy </w:t>
      </w:r>
      <w:r w:rsidR="00CC3CE6" w:rsidRPr="6332CC80">
        <w:rPr>
          <w:rFonts w:eastAsia="Calibri" w:cs="Calibri"/>
          <w:color w:val="000000" w:themeColor="text1"/>
        </w:rPr>
        <w:t>reliability, security and price</w:t>
      </w:r>
      <w:r w:rsidR="002340F0">
        <w:t>. </w:t>
      </w:r>
    </w:p>
    <w:p w14:paraId="6A82DBA0" w14:textId="5FC3EC00" w:rsidR="002340F0" w:rsidRPr="004A0567" w:rsidRDefault="00382EE8" w:rsidP="002340F0">
      <w:r>
        <w:rPr>
          <w:rFonts w:ascii="ZWAdobeF" w:hAnsi="ZWAdobeF" w:cs="ZWAdobeF"/>
          <w:sz w:val="2"/>
          <w:szCs w:val="2"/>
        </w:rPr>
        <w:t>1292B</w:t>
      </w:r>
      <w:r w:rsidR="002340F0" w:rsidRPr="004A0567">
        <w:t>Strategic</w:t>
      </w:r>
      <w:r w:rsidR="00AB4DB8">
        <w:t xml:space="preserve"> </w:t>
      </w:r>
      <w:r w:rsidR="002340F0" w:rsidRPr="004A0567">
        <w:t>planning, feasibility</w:t>
      </w:r>
      <w:r w:rsidR="00AB4DB8">
        <w:t xml:space="preserve"> </w:t>
      </w:r>
      <w:r w:rsidR="002340F0" w:rsidRPr="004A0567">
        <w:t>studies</w:t>
      </w:r>
      <w:r w:rsidR="00AB4DB8">
        <w:t xml:space="preserve"> </w:t>
      </w:r>
      <w:r w:rsidR="002340F0" w:rsidRPr="004A0567">
        <w:t>and interim adaptive measures are</w:t>
      </w:r>
      <w:r w:rsidR="00AB4DB8">
        <w:t xml:space="preserve"> </w:t>
      </w:r>
      <w:r w:rsidR="002340F0" w:rsidRPr="004A0567">
        <w:t>recommended</w:t>
      </w:r>
      <w:r w:rsidR="00AB4DB8">
        <w:t xml:space="preserve"> </w:t>
      </w:r>
      <w:r w:rsidR="002340F0" w:rsidRPr="004A0567">
        <w:t>by the Panel</w:t>
      </w:r>
      <w:r w:rsidR="00AB4DB8">
        <w:t xml:space="preserve"> </w:t>
      </w:r>
      <w:r w:rsidR="002340F0" w:rsidRPr="004A0567">
        <w:t>as a means of avoiding irreversible loss while</w:t>
      </w:r>
      <w:r w:rsidR="00AB4DB8">
        <w:t xml:space="preserve"> </w:t>
      </w:r>
      <w:r w:rsidR="002340F0" w:rsidRPr="004A0567">
        <w:t>longer</w:t>
      </w:r>
      <w:r w:rsidR="002340F0" w:rsidRPr="004A0567">
        <w:noBreakHyphen/>
        <w:t>term</w:t>
      </w:r>
      <w:r w:rsidR="00AB4DB8">
        <w:t xml:space="preserve"> </w:t>
      </w:r>
      <w:r w:rsidR="002340F0" w:rsidRPr="004A0567">
        <w:t>reforms are progressed. </w:t>
      </w:r>
    </w:p>
    <w:p w14:paraId="39308090" w14:textId="008A96B2" w:rsidR="002340F0" w:rsidRPr="004A0567" w:rsidRDefault="00382EE8" w:rsidP="002340F0">
      <w:r>
        <w:rPr>
          <w:rFonts w:ascii="ZWAdobeF" w:hAnsi="ZWAdobeF" w:cs="ZWAdobeF"/>
          <w:sz w:val="2"/>
          <w:szCs w:val="2"/>
        </w:rPr>
        <w:t>1293B</w:t>
      </w:r>
      <w:r w:rsidR="002340F0" w:rsidRPr="004A0567">
        <w:t>Implementation of a flow regime that would support ecosystem recovery is</w:t>
      </w:r>
      <w:r w:rsidR="00AA0579">
        <w:t xml:space="preserve"> </w:t>
      </w:r>
      <w:r w:rsidR="002340F0" w:rsidRPr="004A0567">
        <w:t>feasible</w:t>
      </w:r>
      <w:r w:rsidR="00AA0579">
        <w:t xml:space="preserve"> </w:t>
      </w:r>
      <w:r w:rsidR="002340F0" w:rsidRPr="004A0567">
        <w:t>but requires deliberate planning, staged</w:t>
      </w:r>
      <w:r w:rsidR="00AA0579">
        <w:t xml:space="preserve"> </w:t>
      </w:r>
      <w:r w:rsidR="002340F0" w:rsidRPr="004A0567">
        <w:t>delivery</w:t>
      </w:r>
      <w:r w:rsidR="00AA0579">
        <w:t xml:space="preserve"> </w:t>
      </w:r>
      <w:r w:rsidR="002340F0" w:rsidRPr="004A0567">
        <w:t>and targeted infrastructure investment.  </w:t>
      </w:r>
    </w:p>
    <w:p w14:paraId="1CAA3E53" w14:textId="3DEF434E" w:rsidR="00762D95" w:rsidRDefault="1BC83A5D" w:rsidP="002340F0">
      <w:pPr>
        <w:pStyle w:val="Sub-Heading"/>
      </w:pPr>
      <w:r>
        <w:t>Snowy 2.0</w:t>
      </w:r>
    </w:p>
    <w:p w14:paraId="79D61EF0" w14:textId="3922A116" w:rsidR="00762D95" w:rsidRDefault="00382EE8" w:rsidP="008C3C37">
      <w:pPr>
        <w:rPr>
          <w:rFonts w:eastAsia="Calibri" w:cs="Calibri"/>
        </w:rPr>
      </w:pPr>
      <w:r>
        <w:rPr>
          <w:rFonts w:ascii="ZWAdobeF" w:eastAsia="Calibri" w:hAnsi="ZWAdobeF" w:cs="ZWAdobeF"/>
          <w:sz w:val="2"/>
          <w:szCs w:val="2"/>
        </w:rPr>
        <w:t>1294B</w:t>
      </w:r>
      <w:r w:rsidR="1BC83A5D" w:rsidRPr="6332CC80">
        <w:rPr>
          <w:rFonts w:eastAsia="Calibri" w:cs="Calibri"/>
        </w:rPr>
        <w:t xml:space="preserve">The Panel recognises the role of Snowy 2.0 in supporting more flexible operation of the scheme and hence being able to modestly increase environmental water releases while minimising any impacts on the NEM.  </w:t>
      </w:r>
    </w:p>
    <w:p w14:paraId="0F08E8DC" w14:textId="5B8930D1" w:rsidR="00762D95" w:rsidRPr="00CC7A58" w:rsidRDefault="00382EE8">
      <w:r>
        <w:rPr>
          <w:rFonts w:ascii="ZWAdobeF" w:hAnsi="ZWAdobeF" w:cs="ZWAdobeF"/>
          <w:sz w:val="2"/>
          <w:szCs w:val="2"/>
        </w:rPr>
        <w:t>1295B</w:t>
      </w:r>
      <w:r w:rsidR="73FAC766">
        <w:t xml:space="preserve">Snowy 2.0 is </w:t>
      </w:r>
      <w:r w:rsidR="2FB9E3DB">
        <w:t>a significant</w:t>
      </w:r>
      <w:r w:rsidR="5C21A35F" w:rsidDel="2FB9E3DB">
        <w:t xml:space="preserve"> </w:t>
      </w:r>
      <w:r w:rsidR="00845172">
        <w:t xml:space="preserve">and </w:t>
      </w:r>
      <w:r w:rsidR="00D12C5A">
        <w:t>complex engineering</w:t>
      </w:r>
      <w:r w:rsidR="73FAC766">
        <w:t xml:space="preserve"> project.</w:t>
      </w:r>
      <w:r w:rsidR="7484EC72">
        <w:t xml:space="preserve">  The sequencing of reform actions need to be cognisant of these activities progressing in parallel and ensure they a</w:t>
      </w:r>
      <w:r w:rsidR="72448105">
        <w:t xml:space="preserve">re coordinated and that implementation of </w:t>
      </w:r>
      <w:r w:rsidR="40EB05C9">
        <w:t xml:space="preserve">the increased release of water from Tantangara Dam </w:t>
      </w:r>
      <w:r w:rsidR="40EB05C9" w:rsidRPr="037ED572">
        <w:rPr>
          <w:rFonts w:eastAsiaTheme="minorEastAsia"/>
          <w:lang w:val="en-US"/>
        </w:rPr>
        <w:t xml:space="preserve">to an average annual target of 23% (68 GL equivalent) </w:t>
      </w:r>
      <w:r w:rsidR="266DF648" w:rsidRPr="037ED572">
        <w:rPr>
          <w:rFonts w:eastAsiaTheme="minorEastAsia"/>
          <w:lang w:val="en-US"/>
        </w:rPr>
        <w:t xml:space="preserve">or a greater percentage </w:t>
      </w:r>
      <w:r w:rsidR="40EB05C9" w:rsidRPr="037ED572">
        <w:rPr>
          <w:rFonts w:eastAsiaTheme="minorEastAsia"/>
          <w:lang w:val="en-US"/>
        </w:rPr>
        <w:t>of average annua</w:t>
      </w:r>
      <w:r w:rsidR="40EB05C9" w:rsidRPr="037ED572">
        <w:rPr>
          <w:rFonts w:eastAsia="Aptos" w:cs="Aptos"/>
          <w:lang w:val="en-US"/>
        </w:rPr>
        <w:t>l inflow</w:t>
      </w:r>
      <w:r w:rsidR="72448105">
        <w:t xml:space="preserve">, </w:t>
      </w:r>
      <w:r w:rsidR="32385E40">
        <w:t>is further adapted and refined after</w:t>
      </w:r>
      <w:r w:rsidR="497526D9">
        <w:t xml:space="preserve"> Snowy 2.0 is in service.</w:t>
      </w:r>
    </w:p>
    <w:p w14:paraId="6EC2AEBE" w14:textId="2B0C53C8" w:rsidR="00762D95" w:rsidRDefault="002340F0" w:rsidP="002340F0">
      <w:pPr>
        <w:pStyle w:val="Sub-Heading"/>
      </w:pPr>
      <w:r>
        <w:t>Infrastructure upgrades</w:t>
      </w:r>
    </w:p>
    <w:p w14:paraId="518FF14B" w14:textId="474C774A" w:rsidR="00FA2121" w:rsidRPr="00855D33" w:rsidRDefault="00382EE8" w:rsidP="00CC7A58">
      <w:r>
        <w:rPr>
          <w:rFonts w:ascii="ZWAdobeF" w:hAnsi="ZWAdobeF" w:cs="ZWAdobeF"/>
          <w:sz w:val="2"/>
          <w:szCs w:val="2"/>
        </w:rPr>
        <w:t>1296B</w:t>
      </w:r>
      <w:r w:rsidR="00FA2121">
        <w:t>Infrastructure upgrades at Tantangara Dam are a necessary enabler of</w:t>
      </w:r>
      <w:r w:rsidR="00011E05">
        <w:t xml:space="preserve"> </w:t>
      </w:r>
      <w:r w:rsidR="00FA2121">
        <w:t>system</w:t>
      </w:r>
      <w:r w:rsidR="00FA2121">
        <w:noBreakHyphen/>
        <w:t>scale</w:t>
      </w:r>
      <w:r w:rsidR="00011E05">
        <w:t xml:space="preserve"> </w:t>
      </w:r>
      <w:r w:rsidR="00FA2121">
        <w:t>ecological recovery</w:t>
      </w:r>
      <w:r w:rsidR="2D3FFC6C">
        <w:t xml:space="preserve"> through larger channel clearing flows</w:t>
      </w:r>
      <w:r w:rsidR="00FA2121">
        <w:t>, while adaptive operational frameworks reduce risks and allow environmental outcomes to be maximised without compromising water security or energy reliability. A staged and scalable</w:t>
      </w:r>
      <w:r w:rsidR="00D061E3">
        <w:t xml:space="preserve"> </w:t>
      </w:r>
      <w:r w:rsidR="00FA2121">
        <w:t>implementation pathway, supported by early planning for major capital works, provides a prudent and flexible approach to delivering the environmental</w:t>
      </w:r>
      <w:r w:rsidR="00DC66D6">
        <w:t xml:space="preserve"> </w:t>
      </w:r>
      <w:r w:rsidR="00FA2121">
        <w:t xml:space="preserve">objectives. </w:t>
      </w:r>
    </w:p>
    <w:p w14:paraId="1A28B133" w14:textId="3CFA840E" w:rsidR="00FA2121" w:rsidRDefault="00382EE8" w:rsidP="00FA2121">
      <w:r>
        <w:rPr>
          <w:rFonts w:ascii="ZWAdobeF" w:hAnsi="ZWAdobeF" w:cs="ZWAdobeF"/>
          <w:sz w:val="2"/>
          <w:szCs w:val="2"/>
        </w:rPr>
        <w:lastRenderedPageBreak/>
        <w:t>1297B</w:t>
      </w:r>
      <w:r w:rsidR="568B277B">
        <w:t>Indicative cost estimates of between $100 million and $300 million have been cited for upgrading the Tantangara Dam outlet</w:t>
      </w:r>
      <w:r w:rsidR="1766E084">
        <w:t xml:space="preserve"> by Snowy Hydro.</w:t>
      </w:r>
      <w:r>
        <w:rPr>
          <w:rFonts w:ascii="ZWAdobeF" w:hAnsi="ZWAdobeF" w:cs="ZWAdobeF"/>
          <w:sz w:val="2"/>
          <w:szCs w:val="2"/>
        </w:rPr>
        <w:t>80F</w:t>
      </w:r>
      <w:r w:rsidR="00BB7025">
        <w:rPr>
          <w:rStyle w:val="FootnoteReference"/>
        </w:rPr>
        <w:footnoteReference w:id="81"/>
      </w:r>
      <w:r w:rsidR="00AA0C1F">
        <w:t xml:space="preserve"> </w:t>
      </w:r>
      <w:r w:rsidR="568B277B">
        <w:t xml:space="preserve"> </w:t>
      </w:r>
      <w:r w:rsidR="4D8BB78A">
        <w:t>T</w:t>
      </w:r>
      <w:r w:rsidR="568B277B">
        <w:t xml:space="preserve">he Panel has not seen evidence confirming these estimates and understands that detailed technical investigations have not been undertaken. </w:t>
      </w:r>
      <w:r w:rsidR="52F953EE">
        <w:t xml:space="preserve">It is critical that </w:t>
      </w:r>
      <w:r w:rsidR="00F04EB5">
        <w:t>i</w:t>
      </w:r>
      <w:r w:rsidR="568B277B">
        <w:t xml:space="preserve">nvestigations </w:t>
      </w:r>
      <w:r w:rsidR="311F5453">
        <w:t xml:space="preserve">be </w:t>
      </w:r>
      <w:r w:rsidR="00F04EB5">
        <w:t>undertaken</w:t>
      </w:r>
      <w:r w:rsidR="311F5453">
        <w:t xml:space="preserve"> to determine if there are</w:t>
      </w:r>
      <w:r w:rsidR="568B277B">
        <w:t xml:space="preserve"> alternative infrastructure options capable of achieving similar flow outcomes at lower cost or risk.</w:t>
      </w:r>
    </w:p>
    <w:p w14:paraId="2622BB09" w14:textId="2143BE19" w:rsidR="00FA2121" w:rsidRDefault="00382EE8" w:rsidP="00FA2121">
      <w:r>
        <w:rPr>
          <w:rFonts w:ascii="ZWAdobeF" w:hAnsi="ZWAdobeF" w:cs="ZWAdobeF"/>
          <w:sz w:val="2"/>
          <w:szCs w:val="2"/>
        </w:rPr>
        <w:t>1298B</w:t>
      </w:r>
      <w:r w:rsidR="00FA2121" w:rsidRPr="00F57AF4">
        <w:t>Similarly, the Panel has not been provided with cost estimates for decommissioning Mowamba Weir. Notwithstanding this, improvements in the effectiveness of environmental water delivery</w:t>
      </w:r>
      <w:r w:rsidR="00FA2121">
        <w:t xml:space="preserve">, </w:t>
      </w:r>
      <w:r w:rsidR="00FA2121" w:rsidRPr="00F57AF4">
        <w:t>across environmental, community and First Nations outcomes</w:t>
      </w:r>
      <w:r w:rsidR="00FA2121">
        <w:t xml:space="preserve">, </w:t>
      </w:r>
      <w:r w:rsidR="00FA2121" w:rsidRPr="00F57AF4">
        <w:t>are likely to depend on progressing these types of infrastructure interventions.</w:t>
      </w:r>
    </w:p>
    <w:p w14:paraId="20767384" w14:textId="55866E56" w:rsidR="00FA2121" w:rsidRDefault="00382EE8" w:rsidP="00FA2121">
      <w:r>
        <w:rPr>
          <w:rFonts w:ascii="ZWAdobeF" w:hAnsi="ZWAdobeF" w:cs="ZWAdobeF"/>
          <w:sz w:val="2"/>
          <w:szCs w:val="2"/>
        </w:rPr>
        <w:t>1299B</w:t>
      </w:r>
      <w:r w:rsidR="00FA2121" w:rsidRPr="00F57AF4">
        <w:t>Undertaking preparatory design and feasibility work does not commit governments to construction. Rather, it ensures that decisions about the scale and ambition of environmental flows are informed by robust technical, financial and operational information.</w:t>
      </w:r>
      <w:r w:rsidR="00FA2121" w:rsidRPr="006E9F90">
        <w:t xml:space="preserve"> </w:t>
      </w:r>
      <w:r w:rsidR="00FA2121" w:rsidRPr="00F57AF4">
        <w:t>Delaying this work increases the risk that opportunities for ecological recovery are missed, particularly given projected drying climate conditions and the likelihood of increasing system stress over time.</w:t>
      </w:r>
    </w:p>
    <w:p w14:paraId="4BCF8CE7" w14:textId="04813DAA" w:rsidR="004D4CB1" w:rsidRDefault="004D4CB1" w:rsidP="004D4CB1">
      <w:pPr>
        <w:pStyle w:val="ReviewHeading2"/>
        <w:rPr>
          <w:rFonts w:eastAsia="Calibri"/>
        </w:rPr>
      </w:pPr>
      <w:bookmarkStart w:id="175" w:name="_Toc233801514"/>
      <w:r>
        <w:t>8.</w:t>
      </w:r>
      <w:r w:rsidR="001A4F6D">
        <w:t>8</w:t>
      </w:r>
      <w:r>
        <w:t xml:space="preserve"> Conclusion</w:t>
      </w:r>
      <w:bookmarkEnd w:id="175"/>
    </w:p>
    <w:p w14:paraId="4CD98FA2" w14:textId="461CAF85" w:rsidR="00491E0A" w:rsidRPr="00DF10EF" w:rsidRDefault="00382EE8" w:rsidP="00491E0A">
      <w:r>
        <w:rPr>
          <w:rFonts w:ascii="ZWAdobeF" w:hAnsi="ZWAdobeF" w:cs="ZWAdobeF"/>
          <w:sz w:val="2"/>
          <w:szCs w:val="2"/>
        </w:rPr>
        <w:t>1300B</w:t>
      </w:r>
      <w:r w:rsidR="00491E0A" w:rsidRPr="00DF10EF">
        <w:t xml:space="preserve">This staged approach enables governments to initiate environmental improvements early, while </w:t>
      </w:r>
      <w:r w:rsidR="00E951F4">
        <w:t xml:space="preserve">allowing for immediate commencement of many recommendations and </w:t>
      </w:r>
      <w:r w:rsidR="00131615">
        <w:t>ensuring</w:t>
      </w:r>
      <w:r w:rsidR="00131615" w:rsidRPr="00DF10EF">
        <w:t xml:space="preserve"> </w:t>
      </w:r>
      <w:r w:rsidR="00491E0A" w:rsidRPr="00DF10EF">
        <w:t xml:space="preserve">more complex legal, funding and infrastructure decisions </w:t>
      </w:r>
      <w:r w:rsidR="009305E3">
        <w:t xml:space="preserve">are supported by </w:t>
      </w:r>
      <w:r w:rsidR="00491E0A" w:rsidRPr="00DF10EF">
        <w:t xml:space="preserve">sufficient technical, financial and operational information. </w:t>
      </w:r>
    </w:p>
    <w:p w14:paraId="5168193C" w14:textId="76055862" w:rsidR="00491E0A" w:rsidRPr="00DF10EF" w:rsidRDefault="00382EE8" w:rsidP="00491E0A">
      <w:r>
        <w:rPr>
          <w:rFonts w:ascii="ZWAdobeF" w:hAnsi="ZWAdobeF" w:cs="ZWAdobeF"/>
          <w:sz w:val="2"/>
          <w:szCs w:val="2"/>
        </w:rPr>
        <w:t>1301B</w:t>
      </w:r>
      <w:r w:rsidR="00491E0A" w:rsidRPr="00DF10EF">
        <w:t xml:space="preserve">Collectively, </w:t>
      </w:r>
      <w:r w:rsidR="33065BFE">
        <w:t xml:space="preserve">elements of </w:t>
      </w:r>
      <w:r w:rsidR="00491E0A">
        <w:t>this</w:t>
      </w:r>
      <w:r w:rsidR="00491E0A" w:rsidRPr="00DF10EF">
        <w:t xml:space="preserve"> roadmap </w:t>
      </w:r>
      <w:r w:rsidR="00491E0A">
        <w:t>provide</w:t>
      </w:r>
      <w:r w:rsidR="00491E0A" w:rsidRPr="00DF10EF">
        <w:t xml:space="preserve"> a practical and sequenced pathway for implementation, ensuring that </w:t>
      </w:r>
      <w:r w:rsidR="00A408A7">
        <w:t xml:space="preserve">steps to </w:t>
      </w:r>
      <w:r w:rsidR="00491E0A" w:rsidRPr="00DF10EF">
        <w:t>reform commence immediately, proceed in a coordinated manner and deliver the full intended outcomes over time.</w:t>
      </w:r>
    </w:p>
    <w:p w14:paraId="766614BF" w14:textId="77777777" w:rsidR="002340F0" w:rsidRDefault="002340F0" w:rsidP="002340F0"/>
    <w:p w14:paraId="6E08A937" w14:textId="77777777" w:rsidR="00762D95" w:rsidRDefault="00762D95">
      <w:pPr>
        <w:jc w:val="left"/>
        <w:rPr>
          <w:rFonts w:asciiTheme="majorHAnsi" w:eastAsiaTheme="majorEastAsia" w:hAnsiTheme="majorHAnsi" w:cstheme="majorBidi"/>
          <w:b/>
          <w:color w:val="000099"/>
          <w:spacing w:val="-10"/>
          <w:kern w:val="28"/>
          <w:sz w:val="56"/>
          <w:szCs w:val="56"/>
        </w:rPr>
      </w:pPr>
      <w:r>
        <w:br w:type="page"/>
      </w:r>
    </w:p>
    <w:p w14:paraId="10F054B5" w14:textId="50D77DE3" w:rsidR="00C17E13" w:rsidRDefault="00382EE8" w:rsidP="6332CC80">
      <w:pPr>
        <w:pStyle w:val="ReviewHeading"/>
      </w:pPr>
      <w:bookmarkStart w:id="176" w:name="_Toc233285636"/>
      <w:bookmarkStart w:id="177" w:name="_Toc233801515"/>
      <w:r>
        <w:rPr>
          <w:rFonts w:ascii="ZWAdobeF" w:hAnsi="ZWAdobeF" w:cs="ZWAdobeF"/>
          <w:b w:val="0"/>
          <w:color w:val="auto"/>
          <w:spacing w:val="0"/>
          <w:sz w:val="2"/>
          <w:szCs w:val="2"/>
        </w:rPr>
        <w:lastRenderedPageBreak/>
        <w:t>1668B</w:t>
      </w:r>
      <w:r w:rsidR="00C17E13">
        <w:t>Glossary</w:t>
      </w:r>
      <w:bookmarkEnd w:id="176"/>
      <w:bookmarkEnd w:id="177"/>
    </w:p>
    <w:p w14:paraId="152CFA18" w14:textId="474F8614" w:rsidR="66E6FF4D" w:rsidRPr="00CC7A58" w:rsidRDefault="00382EE8" w:rsidP="6332CC80">
      <w:pPr>
        <w:spacing w:line="257" w:lineRule="auto"/>
        <w:rPr>
          <w:rFonts w:ascii="Aptos" w:eastAsia="Aptos" w:hAnsi="Aptos" w:cs="Aptos"/>
          <w:b/>
          <w:bCs/>
          <w:szCs w:val="22"/>
        </w:rPr>
      </w:pPr>
      <w:r>
        <w:rPr>
          <w:rFonts w:ascii="ZWAdobeF" w:eastAsia="Aptos" w:hAnsi="ZWAdobeF" w:cs="ZWAdobeF"/>
          <w:bCs/>
          <w:sz w:val="2"/>
          <w:szCs w:val="2"/>
        </w:rPr>
        <w:t>1302B</w:t>
      </w:r>
      <w:r w:rsidR="66E6FF4D" w:rsidRPr="00CC7A58">
        <w:rPr>
          <w:rFonts w:ascii="Aptos" w:eastAsia="Aptos" w:hAnsi="Aptos" w:cs="Aptos"/>
          <w:b/>
          <w:bCs/>
          <w:szCs w:val="22"/>
        </w:rPr>
        <w:t>Acronyms</w:t>
      </w:r>
    </w:p>
    <w:p w14:paraId="7A4A4136" w14:textId="26D15250" w:rsidR="55652A90" w:rsidRDefault="00382EE8" w:rsidP="6332CC80">
      <w:pPr>
        <w:spacing w:line="257" w:lineRule="auto"/>
        <w:rPr>
          <w:rFonts w:ascii="Aptos" w:eastAsia="Aptos" w:hAnsi="Aptos" w:cs="Aptos"/>
          <w:szCs w:val="22"/>
        </w:rPr>
      </w:pPr>
      <w:r>
        <w:rPr>
          <w:rFonts w:ascii="ZWAdobeF" w:eastAsia="Aptos" w:hAnsi="ZWAdobeF" w:cs="ZWAdobeF"/>
          <w:sz w:val="2"/>
          <w:szCs w:val="2"/>
        </w:rPr>
        <w:t>1303B</w:t>
      </w:r>
      <w:r w:rsidR="55652A90" w:rsidRPr="6332CC80">
        <w:rPr>
          <w:rFonts w:ascii="Aptos" w:eastAsia="Aptos" w:hAnsi="Aptos" w:cs="Aptos"/>
          <w:szCs w:val="22"/>
        </w:rPr>
        <w:t>AEMO</w:t>
      </w:r>
      <w:r w:rsidR="55652A90">
        <w:tab/>
      </w:r>
      <w:r w:rsidR="55652A90">
        <w:tab/>
      </w:r>
      <w:r w:rsidR="55652A90" w:rsidRPr="6332CC80">
        <w:rPr>
          <w:rFonts w:ascii="Aptos" w:eastAsia="Aptos" w:hAnsi="Aptos" w:cs="Aptos"/>
          <w:szCs w:val="22"/>
        </w:rPr>
        <w:t xml:space="preserve">Australian Energy Market Operator </w:t>
      </w:r>
    </w:p>
    <w:p w14:paraId="777852EA" w14:textId="4895685B" w:rsidR="00447833" w:rsidRDefault="00382EE8" w:rsidP="6332CC80">
      <w:pPr>
        <w:spacing w:line="257" w:lineRule="auto"/>
        <w:rPr>
          <w:rFonts w:ascii="Aptos" w:eastAsia="Aptos" w:hAnsi="Aptos" w:cs="Aptos"/>
        </w:rPr>
      </w:pPr>
      <w:r>
        <w:rPr>
          <w:rFonts w:ascii="ZWAdobeF" w:eastAsia="Aptos" w:hAnsi="ZWAdobeF" w:cs="ZWAdobeF"/>
          <w:sz w:val="2"/>
          <w:szCs w:val="2"/>
        </w:rPr>
        <w:t>1304B</w:t>
      </w:r>
      <w:r w:rsidR="00447833">
        <w:rPr>
          <w:rFonts w:ascii="Aptos" w:eastAsia="Aptos" w:hAnsi="Aptos" w:cs="Aptos"/>
        </w:rPr>
        <w:t>AER</w:t>
      </w:r>
      <w:r w:rsidR="00447833" w:rsidRPr="00447833">
        <w:t xml:space="preserve"> </w:t>
      </w:r>
      <w:r w:rsidR="00447833">
        <w:tab/>
      </w:r>
      <w:r w:rsidR="00447833">
        <w:tab/>
        <w:t>Australian Energy Regulator</w:t>
      </w:r>
    </w:p>
    <w:p w14:paraId="45A223C5" w14:textId="13EB652F" w:rsidR="1FC1D3FE" w:rsidRDefault="00382EE8" w:rsidP="6332CC80">
      <w:pPr>
        <w:spacing w:line="257" w:lineRule="auto"/>
        <w:rPr>
          <w:rFonts w:ascii="Aptos" w:eastAsia="Aptos" w:hAnsi="Aptos" w:cs="Aptos"/>
        </w:rPr>
      </w:pPr>
      <w:r>
        <w:rPr>
          <w:rFonts w:ascii="ZWAdobeF" w:eastAsia="Aptos" w:hAnsi="ZWAdobeF" w:cs="ZWAdobeF"/>
          <w:sz w:val="2"/>
          <w:szCs w:val="2"/>
        </w:rPr>
        <w:t>1305B</w:t>
      </w:r>
      <w:r w:rsidR="1FC1D3FE" w:rsidRPr="248F4923">
        <w:rPr>
          <w:rFonts w:ascii="Aptos" w:eastAsia="Aptos" w:hAnsi="Aptos" w:cs="Aptos"/>
        </w:rPr>
        <w:t>ANF</w:t>
      </w:r>
      <w:r w:rsidR="1FC1D3FE">
        <w:tab/>
      </w:r>
      <w:r w:rsidR="1FC1D3FE">
        <w:tab/>
      </w:r>
      <w:r w:rsidR="005D5BCC">
        <w:rPr>
          <w:rFonts w:ascii="Aptos" w:eastAsia="Aptos" w:hAnsi="Aptos" w:cs="Aptos"/>
        </w:rPr>
        <w:t>a</w:t>
      </w:r>
      <w:r w:rsidR="1FC1D3FE" w:rsidRPr="248F4923">
        <w:rPr>
          <w:rFonts w:ascii="Aptos" w:eastAsia="Aptos" w:hAnsi="Aptos" w:cs="Aptos"/>
        </w:rPr>
        <w:t>ver</w:t>
      </w:r>
      <w:r w:rsidR="6E66193F" w:rsidRPr="248F4923">
        <w:rPr>
          <w:rFonts w:ascii="Aptos" w:eastAsia="Aptos" w:hAnsi="Aptos" w:cs="Aptos"/>
        </w:rPr>
        <w:t>a</w:t>
      </w:r>
      <w:r w:rsidR="1FC1D3FE" w:rsidRPr="248F4923">
        <w:rPr>
          <w:rFonts w:ascii="Aptos" w:eastAsia="Aptos" w:hAnsi="Aptos" w:cs="Aptos"/>
        </w:rPr>
        <w:t>ge natural flows</w:t>
      </w:r>
    </w:p>
    <w:p w14:paraId="23D662FB" w14:textId="40DDB166" w:rsidR="55652A90" w:rsidRDefault="00382EE8" w:rsidP="6332CC80">
      <w:pPr>
        <w:spacing w:line="257" w:lineRule="auto"/>
        <w:rPr>
          <w:rFonts w:ascii="Aptos" w:eastAsia="Aptos" w:hAnsi="Aptos" w:cs="Aptos"/>
          <w:szCs w:val="22"/>
        </w:rPr>
      </w:pPr>
      <w:r>
        <w:rPr>
          <w:rFonts w:ascii="ZWAdobeF" w:eastAsia="Aptos" w:hAnsi="ZWAdobeF" w:cs="ZWAdobeF"/>
          <w:sz w:val="2"/>
          <w:szCs w:val="2"/>
        </w:rPr>
        <w:t>1306B</w:t>
      </w:r>
      <w:r w:rsidR="55652A90" w:rsidRPr="6332CC80">
        <w:rPr>
          <w:rFonts w:ascii="Aptos" w:eastAsia="Aptos" w:hAnsi="Aptos" w:cs="Aptos"/>
          <w:szCs w:val="22"/>
        </w:rPr>
        <w:t>AWOP</w:t>
      </w:r>
      <w:r w:rsidR="55652A90">
        <w:tab/>
      </w:r>
      <w:r w:rsidR="55652A90">
        <w:tab/>
      </w:r>
      <w:r w:rsidR="55652A90" w:rsidRPr="6332CC80">
        <w:rPr>
          <w:rFonts w:ascii="Aptos" w:eastAsia="Aptos" w:hAnsi="Aptos" w:cs="Aptos"/>
          <w:szCs w:val="22"/>
        </w:rPr>
        <w:t>Annual Water Operations Plan</w:t>
      </w:r>
    </w:p>
    <w:p w14:paraId="33B8DEBD" w14:textId="2111BF1E" w:rsidR="55652A90" w:rsidRDefault="00382EE8" w:rsidP="6332CC80">
      <w:pPr>
        <w:spacing w:line="257" w:lineRule="auto"/>
        <w:rPr>
          <w:rFonts w:ascii="Aptos" w:eastAsia="Aptos" w:hAnsi="Aptos" w:cs="Aptos"/>
          <w:szCs w:val="22"/>
        </w:rPr>
      </w:pPr>
      <w:r>
        <w:rPr>
          <w:rFonts w:ascii="ZWAdobeF" w:eastAsia="Aptos" w:hAnsi="ZWAdobeF" w:cs="ZWAdobeF"/>
          <w:sz w:val="2"/>
          <w:szCs w:val="2"/>
        </w:rPr>
        <w:t>1307B</w:t>
      </w:r>
      <w:r w:rsidR="55652A90" w:rsidRPr="6332CC80">
        <w:rPr>
          <w:rFonts w:ascii="Aptos" w:eastAsia="Aptos" w:hAnsi="Aptos" w:cs="Aptos"/>
          <w:szCs w:val="22"/>
        </w:rPr>
        <w:t>CBA</w:t>
      </w:r>
      <w:r w:rsidR="55652A90">
        <w:tab/>
      </w:r>
      <w:r w:rsidR="55652A90">
        <w:tab/>
      </w:r>
      <w:r w:rsidR="55652A90" w:rsidRPr="6332CC80">
        <w:rPr>
          <w:rFonts w:ascii="Aptos" w:eastAsia="Aptos" w:hAnsi="Aptos" w:cs="Aptos"/>
          <w:szCs w:val="22"/>
        </w:rPr>
        <w:t>Cost-benefit analysis</w:t>
      </w:r>
    </w:p>
    <w:p w14:paraId="08134155" w14:textId="09446CE2" w:rsidR="55652A90" w:rsidRDefault="00382EE8" w:rsidP="6332CC80">
      <w:pPr>
        <w:spacing w:line="257" w:lineRule="auto"/>
        <w:ind w:left="1440" w:hanging="1440"/>
        <w:rPr>
          <w:rFonts w:ascii="Aptos" w:eastAsia="Aptos" w:hAnsi="Aptos" w:cs="Aptos"/>
          <w:szCs w:val="22"/>
        </w:rPr>
      </w:pPr>
      <w:r>
        <w:rPr>
          <w:rFonts w:ascii="ZWAdobeF" w:eastAsia="Aptos" w:hAnsi="ZWAdobeF" w:cs="ZWAdobeF"/>
          <w:sz w:val="2"/>
          <w:szCs w:val="2"/>
        </w:rPr>
        <w:t>1308B</w:t>
      </w:r>
      <w:r w:rsidR="55652A90" w:rsidRPr="6332CC80">
        <w:rPr>
          <w:rFonts w:ascii="Aptos" w:eastAsia="Aptos" w:hAnsi="Aptos" w:cs="Aptos"/>
          <w:szCs w:val="22"/>
        </w:rPr>
        <w:t>CEWH</w:t>
      </w:r>
      <w:r w:rsidR="55652A90">
        <w:tab/>
      </w:r>
      <w:r w:rsidR="55652A90" w:rsidRPr="6332CC80">
        <w:rPr>
          <w:rFonts w:ascii="Aptos" w:eastAsia="Aptos" w:hAnsi="Aptos" w:cs="Aptos"/>
          <w:szCs w:val="22"/>
        </w:rPr>
        <w:t>Commonwealth Environmental Water Holder</w:t>
      </w:r>
    </w:p>
    <w:p w14:paraId="276AB5B2" w14:textId="65264C27" w:rsidR="00B77F23" w:rsidRDefault="00382EE8" w:rsidP="6332CC80">
      <w:pPr>
        <w:spacing w:line="257" w:lineRule="auto"/>
        <w:ind w:left="1440" w:hanging="1440"/>
        <w:rPr>
          <w:rFonts w:ascii="Aptos" w:eastAsia="Aptos" w:hAnsi="Aptos" w:cs="Aptos"/>
          <w:szCs w:val="22"/>
        </w:rPr>
      </w:pPr>
      <w:r>
        <w:rPr>
          <w:rFonts w:ascii="ZWAdobeF" w:eastAsia="Aptos" w:hAnsi="ZWAdobeF" w:cs="ZWAdobeF"/>
          <w:sz w:val="2"/>
          <w:szCs w:val="2"/>
        </w:rPr>
        <w:t>1309B</w:t>
      </w:r>
      <w:r w:rsidR="00B77F23">
        <w:rPr>
          <w:rFonts w:ascii="Aptos" w:eastAsia="Aptos" w:hAnsi="Aptos" w:cs="Aptos"/>
          <w:szCs w:val="22"/>
        </w:rPr>
        <w:t>CPHR</w:t>
      </w:r>
      <w:r w:rsidR="00B77F23">
        <w:rPr>
          <w:rFonts w:ascii="Aptos" w:eastAsia="Aptos" w:hAnsi="Aptos" w:cs="Aptos"/>
          <w:szCs w:val="22"/>
        </w:rPr>
        <w:tab/>
      </w:r>
      <w:r w:rsidR="009D4FE8">
        <w:rPr>
          <w:rFonts w:ascii="Aptos" w:eastAsia="Aptos" w:hAnsi="Aptos" w:cs="Aptos"/>
          <w:szCs w:val="22"/>
        </w:rPr>
        <w:t>Conservation Programs, Heri</w:t>
      </w:r>
      <w:r w:rsidR="002430FF">
        <w:rPr>
          <w:rFonts w:ascii="Aptos" w:eastAsia="Aptos" w:hAnsi="Aptos" w:cs="Aptos"/>
          <w:szCs w:val="22"/>
        </w:rPr>
        <w:t>tage and Regulation</w:t>
      </w:r>
    </w:p>
    <w:p w14:paraId="05122C46" w14:textId="5AB4CCEB" w:rsidR="55652A90" w:rsidRDefault="00382EE8" w:rsidP="6332CC80">
      <w:pPr>
        <w:spacing w:line="257" w:lineRule="auto"/>
        <w:ind w:left="1440" w:hanging="1440"/>
        <w:rPr>
          <w:rFonts w:ascii="Aptos" w:eastAsia="Aptos" w:hAnsi="Aptos" w:cs="Aptos"/>
          <w:szCs w:val="22"/>
        </w:rPr>
      </w:pPr>
      <w:r>
        <w:rPr>
          <w:rFonts w:ascii="ZWAdobeF" w:eastAsia="Aptos" w:hAnsi="ZWAdobeF" w:cs="ZWAdobeF"/>
          <w:sz w:val="2"/>
          <w:szCs w:val="2"/>
        </w:rPr>
        <w:t>1310B</w:t>
      </w:r>
      <w:r w:rsidR="55652A90" w:rsidRPr="6332CC80">
        <w:rPr>
          <w:rFonts w:ascii="Aptos" w:eastAsia="Aptos" w:hAnsi="Aptos" w:cs="Aptos"/>
          <w:szCs w:val="22"/>
        </w:rPr>
        <w:t>DCCE</w:t>
      </w:r>
      <w:r w:rsidR="00AE52A7">
        <w:rPr>
          <w:rFonts w:ascii="Aptos" w:eastAsia="Aptos" w:hAnsi="Aptos" w:cs="Aptos"/>
          <w:szCs w:val="22"/>
        </w:rPr>
        <w:t>E</w:t>
      </w:r>
      <w:r w:rsidR="55652A90" w:rsidRPr="6332CC80">
        <w:rPr>
          <w:rFonts w:ascii="Aptos" w:eastAsia="Aptos" w:hAnsi="Aptos" w:cs="Aptos"/>
          <w:szCs w:val="22"/>
        </w:rPr>
        <w:t>W</w:t>
      </w:r>
      <w:r w:rsidR="55652A90">
        <w:tab/>
      </w:r>
      <w:r w:rsidR="55652A90" w:rsidRPr="6332CC80">
        <w:rPr>
          <w:rFonts w:ascii="Aptos" w:eastAsia="Aptos" w:hAnsi="Aptos" w:cs="Aptos"/>
          <w:szCs w:val="22"/>
        </w:rPr>
        <w:t>Department of Climate Change, Energy, the Environment and Water (Australian Government or NSW Government specified)</w:t>
      </w:r>
    </w:p>
    <w:p w14:paraId="4847FB02" w14:textId="3CAD2D6F" w:rsidR="55652A90" w:rsidRDefault="00382EE8" w:rsidP="6332CC80">
      <w:pPr>
        <w:spacing w:line="257" w:lineRule="auto"/>
        <w:rPr>
          <w:rFonts w:ascii="Aptos" w:eastAsia="Aptos" w:hAnsi="Aptos" w:cs="Aptos"/>
          <w:szCs w:val="22"/>
        </w:rPr>
      </w:pPr>
      <w:r>
        <w:rPr>
          <w:rFonts w:ascii="ZWAdobeF" w:eastAsia="Aptos" w:hAnsi="ZWAdobeF" w:cs="ZWAdobeF"/>
          <w:sz w:val="2"/>
          <w:szCs w:val="2"/>
        </w:rPr>
        <w:t>1311B</w:t>
      </w:r>
      <w:r w:rsidR="55652A90" w:rsidRPr="6332CC80">
        <w:rPr>
          <w:rFonts w:ascii="Aptos" w:eastAsia="Aptos" w:hAnsi="Aptos" w:cs="Aptos"/>
          <w:szCs w:val="22"/>
        </w:rPr>
        <w:t>EGCMA</w:t>
      </w:r>
      <w:r w:rsidR="55652A90">
        <w:tab/>
      </w:r>
      <w:r w:rsidR="55652A90" w:rsidRPr="6332CC80">
        <w:rPr>
          <w:rFonts w:ascii="Aptos" w:eastAsia="Aptos" w:hAnsi="Aptos" w:cs="Aptos"/>
          <w:szCs w:val="22"/>
        </w:rPr>
        <w:t>East Gippsland Catchment Management Authority</w:t>
      </w:r>
    </w:p>
    <w:p w14:paraId="3C9A889C" w14:textId="34084789" w:rsidR="55652A90" w:rsidRDefault="00382EE8" w:rsidP="6332CC80">
      <w:pPr>
        <w:spacing w:line="257" w:lineRule="auto"/>
        <w:rPr>
          <w:rFonts w:ascii="Aptos" w:eastAsia="Aptos" w:hAnsi="Aptos" w:cs="Aptos"/>
          <w:szCs w:val="22"/>
        </w:rPr>
      </w:pPr>
      <w:r>
        <w:rPr>
          <w:rFonts w:ascii="ZWAdobeF" w:eastAsia="Aptos" w:hAnsi="ZWAdobeF" w:cs="ZWAdobeF"/>
          <w:sz w:val="2"/>
          <w:szCs w:val="2"/>
        </w:rPr>
        <w:t>1312B</w:t>
      </w:r>
      <w:r w:rsidR="55652A90" w:rsidRPr="6332CC80">
        <w:rPr>
          <w:rFonts w:ascii="Aptos" w:eastAsia="Aptos" w:hAnsi="Aptos" w:cs="Aptos"/>
          <w:szCs w:val="22"/>
        </w:rPr>
        <w:t>EWRs</w:t>
      </w:r>
      <w:r w:rsidR="55652A90">
        <w:tab/>
      </w:r>
      <w:r w:rsidR="55652A90">
        <w:tab/>
      </w:r>
      <w:r w:rsidR="55652A90" w:rsidRPr="6332CC80">
        <w:rPr>
          <w:rFonts w:ascii="Aptos" w:eastAsia="Aptos" w:hAnsi="Aptos" w:cs="Aptos"/>
          <w:szCs w:val="22"/>
        </w:rPr>
        <w:t>Environmental Water Requirements</w:t>
      </w:r>
    </w:p>
    <w:p w14:paraId="3659B307" w14:textId="116D9560" w:rsidR="55652A90" w:rsidRDefault="00382EE8" w:rsidP="6332CC80">
      <w:pPr>
        <w:spacing w:line="257" w:lineRule="auto"/>
        <w:rPr>
          <w:rFonts w:ascii="Aptos" w:eastAsia="Aptos" w:hAnsi="Aptos" w:cs="Aptos"/>
          <w:szCs w:val="22"/>
        </w:rPr>
      </w:pPr>
      <w:r>
        <w:rPr>
          <w:rFonts w:ascii="ZWAdobeF" w:eastAsia="Aptos" w:hAnsi="ZWAdobeF" w:cs="ZWAdobeF"/>
          <w:sz w:val="2"/>
          <w:szCs w:val="2"/>
        </w:rPr>
        <w:t>1313B</w:t>
      </w:r>
      <w:r w:rsidR="55652A90" w:rsidRPr="6332CC80">
        <w:rPr>
          <w:rFonts w:ascii="Aptos" w:eastAsia="Aptos" w:hAnsi="Aptos" w:cs="Aptos"/>
          <w:szCs w:val="22"/>
        </w:rPr>
        <w:t xml:space="preserve">FIRM </w:t>
      </w:r>
      <w:r w:rsidR="55652A90">
        <w:tab/>
      </w:r>
      <w:r w:rsidR="55652A90">
        <w:tab/>
      </w:r>
      <w:r w:rsidR="55652A90" w:rsidRPr="6332CC80">
        <w:rPr>
          <w:rFonts w:ascii="Aptos" w:eastAsia="Aptos" w:hAnsi="Aptos" w:cs="Aptos"/>
          <w:szCs w:val="22"/>
        </w:rPr>
        <w:t>Framework for Integrated River Models</w:t>
      </w:r>
    </w:p>
    <w:p w14:paraId="1E79FC5B" w14:textId="5B3EC08C" w:rsidR="55652A90" w:rsidRDefault="00382EE8" w:rsidP="6332CC80">
      <w:pPr>
        <w:spacing w:line="257" w:lineRule="auto"/>
        <w:rPr>
          <w:rFonts w:ascii="Aptos" w:eastAsia="Aptos" w:hAnsi="Aptos" w:cs="Aptos"/>
          <w:szCs w:val="22"/>
        </w:rPr>
      </w:pPr>
      <w:r>
        <w:rPr>
          <w:rFonts w:ascii="ZWAdobeF" w:eastAsia="Aptos" w:hAnsi="ZWAdobeF" w:cs="ZWAdobeF"/>
          <w:sz w:val="2"/>
          <w:szCs w:val="2"/>
        </w:rPr>
        <w:t>1314B</w:t>
      </w:r>
      <w:r w:rsidR="55652A90" w:rsidRPr="6332CC80">
        <w:rPr>
          <w:rFonts w:ascii="Aptos" w:eastAsia="Aptos" w:hAnsi="Aptos" w:cs="Aptos"/>
          <w:szCs w:val="22"/>
        </w:rPr>
        <w:t>FNAG</w:t>
      </w:r>
      <w:r w:rsidR="55652A90">
        <w:tab/>
      </w:r>
      <w:r w:rsidR="55652A90">
        <w:tab/>
      </w:r>
      <w:r w:rsidR="55652A90" w:rsidRPr="6332CC80">
        <w:rPr>
          <w:rFonts w:ascii="Aptos" w:eastAsia="Aptos" w:hAnsi="Aptos" w:cs="Aptos"/>
          <w:szCs w:val="22"/>
        </w:rPr>
        <w:t xml:space="preserve">First Nations Advisory Group </w:t>
      </w:r>
    </w:p>
    <w:p w14:paraId="2E429DE6" w14:textId="2D561A61" w:rsidR="55652A90" w:rsidRDefault="00382EE8" w:rsidP="6332CC80">
      <w:pPr>
        <w:spacing w:line="257" w:lineRule="auto"/>
        <w:rPr>
          <w:rFonts w:ascii="Aptos" w:eastAsia="Aptos" w:hAnsi="Aptos" w:cs="Aptos"/>
          <w:szCs w:val="22"/>
        </w:rPr>
      </w:pPr>
      <w:r>
        <w:rPr>
          <w:rFonts w:ascii="ZWAdobeF" w:eastAsia="Aptos" w:hAnsi="ZWAdobeF" w:cs="ZWAdobeF"/>
          <w:sz w:val="2"/>
          <w:szCs w:val="2"/>
        </w:rPr>
        <w:t>1315B</w:t>
      </w:r>
      <w:r w:rsidR="55652A90" w:rsidRPr="6332CC80">
        <w:rPr>
          <w:rFonts w:ascii="Aptos" w:eastAsia="Aptos" w:hAnsi="Aptos" w:cs="Aptos"/>
          <w:szCs w:val="22"/>
        </w:rPr>
        <w:t>GL</w:t>
      </w:r>
      <w:r w:rsidR="55652A90">
        <w:tab/>
      </w:r>
      <w:r w:rsidR="55652A90">
        <w:tab/>
      </w:r>
      <w:r w:rsidR="55652A90" w:rsidRPr="6332CC80">
        <w:rPr>
          <w:rFonts w:ascii="Aptos" w:eastAsia="Aptos" w:hAnsi="Aptos" w:cs="Aptos"/>
          <w:szCs w:val="22"/>
        </w:rPr>
        <w:t>giga litre</w:t>
      </w:r>
    </w:p>
    <w:p w14:paraId="4AC5E5BA" w14:textId="0A139C0B" w:rsidR="55652A90" w:rsidRDefault="00382EE8" w:rsidP="6332CC80">
      <w:pPr>
        <w:spacing w:line="257" w:lineRule="auto"/>
        <w:rPr>
          <w:rFonts w:ascii="Aptos" w:eastAsia="Aptos" w:hAnsi="Aptos" w:cs="Aptos"/>
          <w:szCs w:val="22"/>
        </w:rPr>
      </w:pPr>
      <w:r>
        <w:rPr>
          <w:rFonts w:ascii="ZWAdobeF" w:eastAsia="Aptos" w:hAnsi="ZWAdobeF" w:cs="ZWAdobeF"/>
          <w:sz w:val="2"/>
          <w:szCs w:val="2"/>
        </w:rPr>
        <w:t>1316B</w:t>
      </w:r>
      <w:r w:rsidR="55652A90" w:rsidRPr="6332CC80">
        <w:rPr>
          <w:rFonts w:ascii="Aptos" w:eastAsia="Aptos" w:hAnsi="Aptos" w:cs="Aptos"/>
          <w:szCs w:val="22"/>
        </w:rPr>
        <w:t>GWh</w:t>
      </w:r>
      <w:r w:rsidR="55652A90">
        <w:tab/>
      </w:r>
      <w:r w:rsidR="55652A90">
        <w:tab/>
      </w:r>
      <w:r w:rsidR="55652A90" w:rsidRPr="6332CC80">
        <w:rPr>
          <w:rFonts w:ascii="Aptos" w:eastAsia="Aptos" w:hAnsi="Aptos" w:cs="Aptos"/>
          <w:szCs w:val="22"/>
        </w:rPr>
        <w:t>giga-watt hour</w:t>
      </w:r>
    </w:p>
    <w:p w14:paraId="025BFCA7" w14:textId="1A820C03" w:rsidR="3176721F" w:rsidRDefault="00382EE8" w:rsidP="6332CC80">
      <w:pPr>
        <w:spacing w:line="257" w:lineRule="auto"/>
        <w:rPr>
          <w:rFonts w:ascii="Aptos" w:eastAsia="Aptos" w:hAnsi="Aptos" w:cs="Aptos"/>
          <w:szCs w:val="22"/>
        </w:rPr>
      </w:pPr>
      <w:r>
        <w:rPr>
          <w:rFonts w:ascii="ZWAdobeF" w:eastAsia="Aptos" w:hAnsi="ZWAdobeF" w:cs="ZWAdobeF"/>
          <w:sz w:val="2"/>
          <w:szCs w:val="2"/>
        </w:rPr>
        <w:t>1317B</w:t>
      </w:r>
      <w:r w:rsidR="3176721F" w:rsidRPr="6332CC80">
        <w:rPr>
          <w:rFonts w:ascii="Aptos" w:eastAsia="Aptos" w:hAnsi="Aptos" w:cs="Aptos"/>
          <w:szCs w:val="22"/>
        </w:rPr>
        <w:t>ISP</w:t>
      </w:r>
      <w:r w:rsidR="3176721F">
        <w:tab/>
      </w:r>
      <w:r w:rsidR="3176721F">
        <w:tab/>
      </w:r>
      <w:r w:rsidR="3176721F" w:rsidRPr="6332CC80">
        <w:rPr>
          <w:rFonts w:ascii="Aptos" w:eastAsia="Aptos" w:hAnsi="Aptos" w:cs="Aptos"/>
          <w:szCs w:val="22"/>
        </w:rPr>
        <w:t>Integrated System Plan (AEMO)</w:t>
      </w:r>
    </w:p>
    <w:p w14:paraId="6E7EF1E9" w14:textId="5CD2B54C" w:rsidR="55652A90" w:rsidRDefault="00382EE8" w:rsidP="6332CC80">
      <w:pPr>
        <w:spacing w:line="257" w:lineRule="auto"/>
        <w:rPr>
          <w:rFonts w:ascii="Aptos" w:eastAsia="Aptos" w:hAnsi="Aptos" w:cs="Aptos"/>
          <w:szCs w:val="22"/>
        </w:rPr>
      </w:pPr>
      <w:r>
        <w:rPr>
          <w:rFonts w:ascii="ZWAdobeF" w:eastAsia="Aptos" w:hAnsi="ZWAdobeF" w:cs="ZWAdobeF"/>
          <w:sz w:val="2"/>
          <w:szCs w:val="2"/>
        </w:rPr>
        <w:t>1318B</w:t>
      </w:r>
      <w:r w:rsidR="55652A90" w:rsidRPr="6332CC80">
        <w:rPr>
          <w:rFonts w:ascii="Aptos" w:eastAsia="Aptos" w:hAnsi="Aptos" w:cs="Aptos"/>
          <w:szCs w:val="22"/>
        </w:rPr>
        <w:t>IPART</w:t>
      </w:r>
      <w:r w:rsidR="55652A90">
        <w:tab/>
      </w:r>
      <w:r w:rsidR="55652A90">
        <w:tab/>
      </w:r>
      <w:r w:rsidR="55652A90" w:rsidRPr="6332CC80">
        <w:rPr>
          <w:rFonts w:ascii="Aptos" w:eastAsia="Aptos" w:hAnsi="Aptos" w:cs="Aptos"/>
          <w:szCs w:val="22"/>
        </w:rPr>
        <w:t>Independent Pricing and Regulatory Tribunal (NSW)</w:t>
      </w:r>
    </w:p>
    <w:p w14:paraId="69275908" w14:textId="6726F6B0" w:rsidR="55652A90" w:rsidRDefault="00382EE8" w:rsidP="6332CC80">
      <w:pPr>
        <w:spacing w:line="257" w:lineRule="auto"/>
        <w:rPr>
          <w:rFonts w:ascii="Aptos" w:eastAsia="Aptos" w:hAnsi="Aptos" w:cs="Aptos"/>
          <w:szCs w:val="22"/>
        </w:rPr>
      </w:pPr>
      <w:r>
        <w:rPr>
          <w:rFonts w:ascii="ZWAdobeF" w:eastAsia="Aptos" w:hAnsi="ZWAdobeF" w:cs="ZWAdobeF"/>
          <w:sz w:val="2"/>
          <w:szCs w:val="2"/>
        </w:rPr>
        <w:t>1319B</w:t>
      </w:r>
      <w:r w:rsidR="55652A90" w:rsidRPr="6332CC80">
        <w:rPr>
          <w:rFonts w:ascii="Aptos" w:eastAsia="Aptos" w:hAnsi="Aptos" w:cs="Aptos"/>
          <w:szCs w:val="22"/>
        </w:rPr>
        <w:t>MDBA</w:t>
      </w:r>
      <w:r w:rsidR="55652A90">
        <w:tab/>
      </w:r>
      <w:r w:rsidR="55652A90">
        <w:tab/>
      </w:r>
      <w:r w:rsidR="55652A90" w:rsidRPr="6332CC80">
        <w:rPr>
          <w:rFonts w:ascii="Aptos" w:eastAsia="Aptos" w:hAnsi="Aptos" w:cs="Aptos"/>
          <w:szCs w:val="22"/>
        </w:rPr>
        <w:t>Murray-Darling Basin Authority</w:t>
      </w:r>
    </w:p>
    <w:p w14:paraId="08EA11ED" w14:textId="2D06563C" w:rsidR="55652A90" w:rsidRDefault="00382EE8" w:rsidP="6332CC80">
      <w:pPr>
        <w:spacing w:line="257" w:lineRule="auto"/>
        <w:rPr>
          <w:rFonts w:ascii="Aptos" w:eastAsia="Aptos" w:hAnsi="Aptos" w:cs="Aptos"/>
          <w:szCs w:val="22"/>
        </w:rPr>
      </w:pPr>
      <w:r>
        <w:rPr>
          <w:rFonts w:ascii="ZWAdobeF" w:eastAsia="Aptos" w:hAnsi="ZWAdobeF" w:cs="ZWAdobeF"/>
          <w:sz w:val="2"/>
          <w:szCs w:val="2"/>
        </w:rPr>
        <w:t>1320B</w:t>
      </w:r>
      <w:r w:rsidR="55652A90" w:rsidRPr="6332CC80">
        <w:rPr>
          <w:rFonts w:ascii="Aptos" w:eastAsia="Aptos" w:hAnsi="Aptos" w:cs="Aptos"/>
          <w:szCs w:val="22"/>
        </w:rPr>
        <w:t>MER</w:t>
      </w:r>
      <w:r w:rsidR="55652A90">
        <w:tab/>
      </w:r>
      <w:r w:rsidR="55652A90">
        <w:tab/>
      </w:r>
      <w:r w:rsidR="55652A90" w:rsidRPr="6332CC80">
        <w:rPr>
          <w:rFonts w:ascii="Aptos" w:eastAsia="Aptos" w:hAnsi="Aptos" w:cs="Aptos"/>
          <w:szCs w:val="22"/>
        </w:rPr>
        <w:t>monitoring, evaluation and reporting framework</w:t>
      </w:r>
    </w:p>
    <w:p w14:paraId="2BE5A9AC" w14:textId="661E21DF" w:rsidR="55652A90" w:rsidRDefault="00382EE8" w:rsidP="6332CC80">
      <w:pPr>
        <w:spacing w:line="257" w:lineRule="auto"/>
        <w:rPr>
          <w:rFonts w:ascii="Aptos" w:eastAsia="Aptos" w:hAnsi="Aptos" w:cs="Aptos"/>
          <w:szCs w:val="22"/>
        </w:rPr>
      </w:pPr>
      <w:r>
        <w:rPr>
          <w:rFonts w:ascii="ZWAdobeF" w:eastAsia="Aptos" w:hAnsi="ZWAdobeF" w:cs="ZWAdobeF"/>
          <w:sz w:val="2"/>
          <w:szCs w:val="2"/>
        </w:rPr>
        <w:t>1321B</w:t>
      </w:r>
      <w:r w:rsidR="55652A90" w:rsidRPr="6332CC80">
        <w:rPr>
          <w:rFonts w:ascii="Aptos" w:eastAsia="Aptos" w:hAnsi="Aptos" w:cs="Aptos"/>
          <w:szCs w:val="22"/>
        </w:rPr>
        <w:t>ML</w:t>
      </w:r>
      <w:r w:rsidR="55652A90">
        <w:tab/>
      </w:r>
      <w:r w:rsidR="55652A90">
        <w:tab/>
      </w:r>
      <w:r w:rsidR="55652A90" w:rsidRPr="6332CC80">
        <w:rPr>
          <w:rFonts w:ascii="Aptos" w:eastAsia="Aptos" w:hAnsi="Aptos" w:cs="Aptos"/>
          <w:szCs w:val="22"/>
        </w:rPr>
        <w:t>mega litre</w:t>
      </w:r>
    </w:p>
    <w:p w14:paraId="12E7BDFD" w14:textId="7F2C6B52" w:rsidR="55652A90" w:rsidRDefault="00382EE8" w:rsidP="6332CC80">
      <w:pPr>
        <w:spacing w:line="257" w:lineRule="auto"/>
        <w:rPr>
          <w:rFonts w:ascii="Aptos" w:eastAsia="Aptos" w:hAnsi="Aptos" w:cs="Aptos"/>
          <w:szCs w:val="22"/>
        </w:rPr>
      </w:pPr>
      <w:r>
        <w:rPr>
          <w:rFonts w:ascii="ZWAdobeF" w:eastAsia="Aptos" w:hAnsi="ZWAdobeF" w:cs="ZWAdobeF"/>
          <w:sz w:val="2"/>
          <w:szCs w:val="2"/>
        </w:rPr>
        <w:t>1322B</w:t>
      </w:r>
      <w:r w:rsidR="55652A90" w:rsidRPr="6332CC80">
        <w:rPr>
          <w:rFonts w:ascii="Aptos" w:eastAsia="Aptos" w:hAnsi="Aptos" w:cs="Aptos"/>
          <w:szCs w:val="22"/>
        </w:rPr>
        <w:t>MW</w:t>
      </w:r>
      <w:r w:rsidR="55652A90">
        <w:tab/>
      </w:r>
      <w:r w:rsidR="55652A90">
        <w:tab/>
      </w:r>
      <w:r w:rsidR="55652A90" w:rsidRPr="6332CC80">
        <w:rPr>
          <w:rFonts w:ascii="Aptos" w:eastAsia="Aptos" w:hAnsi="Aptos" w:cs="Aptos"/>
          <w:szCs w:val="22"/>
        </w:rPr>
        <w:t>mega watt</w:t>
      </w:r>
    </w:p>
    <w:p w14:paraId="0FD51080" w14:textId="111574BF" w:rsidR="55652A90" w:rsidRDefault="00382EE8" w:rsidP="6332CC80">
      <w:pPr>
        <w:spacing w:line="257" w:lineRule="auto"/>
        <w:rPr>
          <w:rFonts w:ascii="Aptos" w:eastAsia="Aptos" w:hAnsi="Aptos" w:cs="Aptos"/>
          <w:szCs w:val="22"/>
        </w:rPr>
      </w:pPr>
      <w:r>
        <w:rPr>
          <w:rFonts w:ascii="ZWAdobeF" w:eastAsia="Aptos" w:hAnsi="ZWAdobeF" w:cs="ZWAdobeF"/>
          <w:sz w:val="2"/>
          <w:szCs w:val="2"/>
        </w:rPr>
        <w:t>1323B</w:t>
      </w:r>
      <w:r w:rsidR="55652A90" w:rsidRPr="6332CC80">
        <w:rPr>
          <w:rFonts w:ascii="Aptos" w:eastAsia="Aptos" w:hAnsi="Aptos" w:cs="Aptos"/>
          <w:szCs w:val="22"/>
        </w:rPr>
        <w:t>MWh</w:t>
      </w:r>
      <w:r w:rsidR="55652A90">
        <w:tab/>
      </w:r>
      <w:r w:rsidR="55652A90">
        <w:tab/>
      </w:r>
      <w:r w:rsidR="55652A90" w:rsidRPr="6332CC80">
        <w:rPr>
          <w:rFonts w:ascii="Aptos" w:eastAsia="Aptos" w:hAnsi="Aptos" w:cs="Aptos"/>
          <w:szCs w:val="22"/>
        </w:rPr>
        <w:t>mega-watt hour</w:t>
      </w:r>
    </w:p>
    <w:p w14:paraId="153C35FA" w14:textId="3F9D5011" w:rsidR="55652A90" w:rsidRDefault="00382EE8" w:rsidP="6332CC80">
      <w:pPr>
        <w:spacing w:line="257" w:lineRule="auto"/>
        <w:rPr>
          <w:rFonts w:ascii="Aptos" w:eastAsia="Aptos" w:hAnsi="Aptos" w:cs="Aptos"/>
          <w:szCs w:val="22"/>
        </w:rPr>
      </w:pPr>
      <w:r>
        <w:rPr>
          <w:rFonts w:ascii="ZWAdobeF" w:eastAsia="Aptos" w:hAnsi="ZWAdobeF" w:cs="ZWAdobeF"/>
          <w:sz w:val="2"/>
          <w:szCs w:val="2"/>
        </w:rPr>
        <w:t>1324B</w:t>
      </w:r>
      <w:r w:rsidR="55652A90" w:rsidRPr="6332CC80">
        <w:rPr>
          <w:rFonts w:ascii="Aptos" w:eastAsia="Aptos" w:hAnsi="Aptos" w:cs="Aptos"/>
          <w:szCs w:val="22"/>
        </w:rPr>
        <w:t>NEM</w:t>
      </w:r>
      <w:r w:rsidR="55652A90">
        <w:tab/>
      </w:r>
      <w:r w:rsidR="55652A90">
        <w:tab/>
      </w:r>
      <w:r w:rsidR="55652A90" w:rsidRPr="6332CC80">
        <w:rPr>
          <w:rFonts w:ascii="Aptos" w:eastAsia="Aptos" w:hAnsi="Aptos" w:cs="Aptos"/>
          <w:szCs w:val="22"/>
        </w:rPr>
        <w:t>National Electricity Market</w:t>
      </w:r>
    </w:p>
    <w:p w14:paraId="7BDB2B8E" w14:textId="0E5DCD65" w:rsidR="55652A90" w:rsidRDefault="00382EE8" w:rsidP="6332CC80">
      <w:pPr>
        <w:spacing w:line="257" w:lineRule="auto"/>
        <w:rPr>
          <w:rFonts w:ascii="Aptos" w:eastAsia="Aptos" w:hAnsi="Aptos" w:cs="Aptos"/>
          <w:szCs w:val="22"/>
        </w:rPr>
      </w:pPr>
      <w:r>
        <w:rPr>
          <w:rFonts w:ascii="ZWAdobeF" w:eastAsia="Aptos" w:hAnsi="ZWAdobeF" w:cs="ZWAdobeF"/>
          <w:sz w:val="2"/>
          <w:szCs w:val="2"/>
        </w:rPr>
        <w:t>1325B</w:t>
      </w:r>
      <w:r w:rsidR="55652A90" w:rsidRPr="6332CC80">
        <w:rPr>
          <w:rFonts w:ascii="Aptos" w:eastAsia="Aptos" w:hAnsi="Aptos" w:cs="Aptos"/>
          <w:szCs w:val="22"/>
        </w:rPr>
        <w:t>NRAR</w:t>
      </w:r>
      <w:r w:rsidR="55652A90">
        <w:tab/>
      </w:r>
      <w:r w:rsidR="55652A90">
        <w:tab/>
      </w:r>
      <w:r w:rsidR="55652A90" w:rsidRPr="6332CC80">
        <w:rPr>
          <w:rFonts w:ascii="Aptos" w:eastAsia="Aptos" w:hAnsi="Aptos" w:cs="Aptos"/>
          <w:szCs w:val="22"/>
        </w:rPr>
        <w:t>Natural Resources Access Regulator</w:t>
      </w:r>
    </w:p>
    <w:p w14:paraId="538AA5E6" w14:textId="2379AFE6" w:rsidR="55652A90" w:rsidRDefault="00382EE8" w:rsidP="6332CC80">
      <w:pPr>
        <w:spacing w:line="257" w:lineRule="auto"/>
        <w:rPr>
          <w:rFonts w:ascii="Aptos" w:eastAsia="Aptos" w:hAnsi="Aptos" w:cs="Aptos"/>
        </w:rPr>
      </w:pPr>
      <w:r>
        <w:rPr>
          <w:rFonts w:ascii="ZWAdobeF" w:eastAsia="Aptos" w:hAnsi="ZWAdobeF" w:cs="ZWAdobeF"/>
          <w:sz w:val="2"/>
          <w:szCs w:val="2"/>
        </w:rPr>
        <w:t>1326B</w:t>
      </w:r>
      <w:r w:rsidR="55652A90" w:rsidRPr="07E63697">
        <w:rPr>
          <w:rFonts w:ascii="Aptos" w:eastAsia="Aptos" w:hAnsi="Aptos" w:cs="Aptos"/>
        </w:rPr>
        <w:t>NRC</w:t>
      </w:r>
      <w:r w:rsidR="55652A90">
        <w:tab/>
      </w:r>
      <w:r w:rsidR="55652A90">
        <w:tab/>
      </w:r>
      <w:r w:rsidR="55652A90" w:rsidDel="55652A90">
        <w:t>N</w:t>
      </w:r>
      <w:r w:rsidR="55652A90" w:rsidRPr="07E63697">
        <w:rPr>
          <w:rFonts w:ascii="Aptos" w:eastAsia="Aptos" w:hAnsi="Aptos" w:cs="Aptos"/>
        </w:rPr>
        <w:t>atural Resources Commission</w:t>
      </w:r>
      <w:r w:rsidR="6CFCEE12" w:rsidRPr="07E63697">
        <w:rPr>
          <w:rFonts w:ascii="Aptos" w:eastAsia="Aptos" w:hAnsi="Aptos" w:cs="Aptos"/>
        </w:rPr>
        <w:t xml:space="preserve"> (NSW)</w:t>
      </w:r>
    </w:p>
    <w:p w14:paraId="3D3ADF70" w14:textId="52B27685" w:rsidR="55652A90" w:rsidRDefault="00382EE8" w:rsidP="6332CC80">
      <w:pPr>
        <w:spacing w:line="257" w:lineRule="auto"/>
        <w:rPr>
          <w:rFonts w:ascii="Aptos" w:eastAsia="Aptos" w:hAnsi="Aptos" w:cs="Aptos"/>
          <w:szCs w:val="22"/>
        </w:rPr>
      </w:pPr>
      <w:r>
        <w:rPr>
          <w:rFonts w:ascii="ZWAdobeF" w:eastAsia="Aptos" w:hAnsi="ZWAdobeF" w:cs="ZWAdobeF"/>
          <w:sz w:val="2"/>
          <w:szCs w:val="2"/>
        </w:rPr>
        <w:t>1327B</w:t>
      </w:r>
      <w:r w:rsidR="55652A90" w:rsidRPr="6332CC80">
        <w:rPr>
          <w:rFonts w:ascii="Aptos" w:eastAsia="Aptos" w:hAnsi="Aptos" w:cs="Aptos"/>
          <w:szCs w:val="22"/>
        </w:rPr>
        <w:t>NWI</w:t>
      </w:r>
      <w:r w:rsidR="55652A90">
        <w:tab/>
      </w:r>
      <w:r w:rsidR="55652A90">
        <w:tab/>
      </w:r>
      <w:r w:rsidR="55652A90" w:rsidRPr="6332CC80">
        <w:rPr>
          <w:rFonts w:ascii="Aptos" w:eastAsia="Aptos" w:hAnsi="Aptos" w:cs="Aptos"/>
          <w:szCs w:val="22"/>
        </w:rPr>
        <w:t>National Water Initiative</w:t>
      </w:r>
    </w:p>
    <w:p w14:paraId="3424C530" w14:textId="2CD717A2" w:rsidR="55652A90" w:rsidRDefault="00382EE8" w:rsidP="6332CC80">
      <w:pPr>
        <w:spacing w:line="257" w:lineRule="auto"/>
        <w:rPr>
          <w:rFonts w:ascii="Aptos" w:eastAsia="Aptos" w:hAnsi="Aptos" w:cs="Aptos"/>
          <w:szCs w:val="22"/>
        </w:rPr>
      </w:pPr>
      <w:r>
        <w:rPr>
          <w:rFonts w:ascii="ZWAdobeF" w:eastAsia="Aptos" w:hAnsi="ZWAdobeF" w:cs="ZWAdobeF"/>
          <w:sz w:val="2"/>
          <w:szCs w:val="2"/>
        </w:rPr>
        <w:t>1328B</w:t>
      </w:r>
      <w:r w:rsidR="55652A90" w:rsidRPr="6332CC80">
        <w:rPr>
          <w:rFonts w:ascii="Aptos" w:eastAsia="Aptos" w:hAnsi="Aptos" w:cs="Aptos"/>
          <w:szCs w:val="22"/>
        </w:rPr>
        <w:t>OECD</w:t>
      </w:r>
      <w:r w:rsidR="55652A90">
        <w:tab/>
      </w:r>
      <w:r w:rsidR="55652A90">
        <w:tab/>
      </w:r>
      <w:r w:rsidR="55652A90" w:rsidRPr="6332CC80">
        <w:rPr>
          <w:rFonts w:ascii="Aptos" w:eastAsia="Aptos" w:hAnsi="Aptos" w:cs="Aptos"/>
          <w:szCs w:val="22"/>
        </w:rPr>
        <w:t>Organisation for Economic Co-operation and Development</w:t>
      </w:r>
    </w:p>
    <w:p w14:paraId="6DF214EA" w14:textId="3CDE079E" w:rsidR="55652A90" w:rsidRDefault="00382EE8" w:rsidP="6332CC80">
      <w:pPr>
        <w:spacing w:line="257" w:lineRule="auto"/>
        <w:rPr>
          <w:rFonts w:ascii="Aptos" w:eastAsia="Aptos" w:hAnsi="Aptos" w:cs="Aptos"/>
          <w:szCs w:val="22"/>
        </w:rPr>
      </w:pPr>
      <w:r>
        <w:rPr>
          <w:rFonts w:ascii="ZWAdobeF" w:eastAsia="Aptos" w:hAnsi="ZWAdobeF" w:cs="ZWAdobeF"/>
          <w:sz w:val="2"/>
          <w:szCs w:val="2"/>
        </w:rPr>
        <w:t>1329B</w:t>
      </w:r>
      <w:r w:rsidR="55652A90" w:rsidRPr="6332CC80">
        <w:rPr>
          <w:rFonts w:ascii="Aptos" w:eastAsia="Aptos" w:hAnsi="Aptos" w:cs="Aptos"/>
          <w:szCs w:val="22"/>
        </w:rPr>
        <w:t>RAR</w:t>
      </w:r>
      <w:r w:rsidR="55652A90">
        <w:tab/>
      </w:r>
      <w:r w:rsidR="55652A90">
        <w:tab/>
      </w:r>
      <w:r w:rsidR="55652A90" w:rsidRPr="6332CC80">
        <w:rPr>
          <w:rFonts w:ascii="Aptos" w:eastAsia="Aptos" w:hAnsi="Aptos" w:cs="Aptos"/>
          <w:szCs w:val="22"/>
        </w:rPr>
        <w:t xml:space="preserve">Required Annual Release </w:t>
      </w:r>
    </w:p>
    <w:p w14:paraId="07BBB376" w14:textId="6C1A027B" w:rsidR="00B67AB4" w:rsidRPr="007A37AE" w:rsidRDefault="00382EE8" w:rsidP="6332CC80">
      <w:pPr>
        <w:spacing w:line="257" w:lineRule="auto"/>
        <w:rPr>
          <w:rFonts w:ascii="Aptos" w:eastAsia="Aptos" w:hAnsi="Aptos" w:cs="Aptos"/>
          <w:szCs w:val="22"/>
        </w:rPr>
      </w:pPr>
      <w:r>
        <w:rPr>
          <w:rFonts w:ascii="ZWAdobeF" w:eastAsia="Aptos" w:hAnsi="ZWAdobeF" w:cs="ZWAdobeF"/>
          <w:sz w:val="2"/>
          <w:szCs w:val="2"/>
        </w:rPr>
        <w:t>1330B</w:t>
      </w:r>
      <w:r w:rsidR="55652A90" w:rsidRPr="6332CC80">
        <w:rPr>
          <w:rFonts w:ascii="Aptos" w:eastAsia="Aptos" w:hAnsi="Aptos" w:cs="Aptos"/>
          <w:szCs w:val="22"/>
        </w:rPr>
        <w:t xml:space="preserve">RCG </w:t>
      </w:r>
      <w:r w:rsidR="55652A90">
        <w:tab/>
      </w:r>
      <w:r w:rsidR="55652A90">
        <w:tab/>
      </w:r>
      <w:r w:rsidR="55652A90" w:rsidRPr="6332CC80">
        <w:rPr>
          <w:rFonts w:ascii="Aptos" w:eastAsia="Aptos" w:hAnsi="Aptos" w:cs="Aptos"/>
          <w:szCs w:val="22"/>
        </w:rPr>
        <w:t>intergovernmental Review Consultation Group</w:t>
      </w:r>
    </w:p>
    <w:p w14:paraId="5C7ED212" w14:textId="21D10E30" w:rsidR="55652A90" w:rsidRDefault="00382EE8" w:rsidP="6332CC80">
      <w:pPr>
        <w:spacing w:line="257" w:lineRule="auto"/>
        <w:rPr>
          <w:rFonts w:ascii="Aptos" w:eastAsia="Aptos" w:hAnsi="Aptos" w:cs="Aptos"/>
          <w:szCs w:val="22"/>
        </w:rPr>
      </w:pPr>
      <w:r>
        <w:rPr>
          <w:rFonts w:ascii="ZWAdobeF" w:eastAsia="Aptos" w:hAnsi="ZWAdobeF" w:cs="ZWAdobeF"/>
          <w:sz w:val="2"/>
          <w:szCs w:val="2"/>
        </w:rPr>
        <w:lastRenderedPageBreak/>
        <w:t>1331B</w:t>
      </w:r>
      <w:r w:rsidR="55652A90" w:rsidRPr="6332CC80">
        <w:rPr>
          <w:rFonts w:ascii="Aptos" w:eastAsia="Aptos" w:hAnsi="Aptos" w:cs="Aptos"/>
          <w:szCs w:val="22"/>
        </w:rPr>
        <w:t>SAC</w:t>
      </w:r>
      <w:r w:rsidR="55652A90">
        <w:tab/>
      </w:r>
      <w:r w:rsidR="55652A90">
        <w:tab/>
      </w:r>
      <w:r w:rsidR="55652A90" w:rsidRPr="6332CC80">
        <w:rPr>
          <w:rFonts w:ascii="Aptos" w:eastAsia="Aptos" w:hAnsi="Aptos" w:cs="Aptos"/>
          <w:szCs w:val="22"/>
        </w:rPr>
        <w:t>Snowy Advisory Committee</w:t>
      </w:r>
    </w:p>
    <w:p w14:paraId="3FC2CB7E" w14:textId="3CB5B442" w:rsidR="55652A90" w:rsidRDefault="00382EE8" w:rsidP="6332CC80">
      <w:pPr>
        <w:spacing w:line="257" w:lineRule="auto"/>
        <w:rPr>
          <w:rFonts w:ascii="Aptos" w:eastAsia="Aptos" w:hAnsi="Aptos" w:cs="Aptos"/>
          <w:szCs w:val="22"/>
        </w:rPr>
      </w:pPr>
      <w:r>
        <w:rPr>
          <w:rFonts w:ascii="ZWAdobeF" w:eastAsia="Aptos" w:hAnsi="ZWAdobeF" w:cs="ZWAdobeF"/>
          <w:sz w:val="2"/>
          <w:szCs w:val="2"/>
        </w:rPr>
        <w:t>1332B</w:t>
      </w:r>
      <w:r w:rsidR="55652A90" w:rsidRPr="6332CC80">
        <w:rPr>
          <w:rFonts w:ascii="Aptos" w:eastAsia="Aptos" w:hAnsi="Aptos" w:cs="Aptos"/>
          <w:szCs w:val="22"/>
        </w:rPr>
        <w:t>SAG</w:t>
      </w:r>
      <w:r w:rsidR="55652A90" w:rsidRPr="6332CC80">
        <w:rPr>
          <w:rFonts w:ascii="Aptos" w:eastAsia="Aptos" w:hAnsi="Aptos" w:cs="Aptos"/>
          <w:color w:val="000000" w:themeColor="text1"/>
          <w:szCs w:val="22"/>
        </w:rPr>
        <w:t xml:space="preserve"> </w:t>
      </w:r>
      <w:r w:rsidR="55652A90">
        <w:tab/>
      </w:r>
      <w:r w:rsidR="55652A90">
        <w:tab/>
      </w:r>
      <w:r w:rsidR="55652A90" w:rsidRPr="6332CC80">
        <w:rPr>
          <w:rFonts w:ascii="Aptos" w:eastAsia="Aptos" w:hAnsi="Aptos" w:cs="Aptos"/>
          <w:szCs w:val="22"/>
        </w:rPr>
        <w:t xml:space="preserve">Stakeholder Advisory Group </w:t>
      </w:r>
    </w:p>
    <w:p w14:paraId="205FA942" w14:textId="20216894" w:rsidR="55652A90" w:rsidRDefault="00382EE8" w:rsidP="6332CC80">
      <w:pPr>
        <w:spacing w:line="257" w:lineRule="auto"/>
        <w:rPr>
          <w:rFonts w:ascii="Aptos" w:eastAsia="Aptos" w:hAnsi="Aptos" w:cs="Aptos"/>
          <w:szCs w:val="22"/>
        </w:rPr>
      </w:pPr>
      <w:r>
        <w:rPr>
          <w:rFonts w:ascii="ZWAdobeF" w:eastAsia="Aptos" w:hAnsi="ZWAdobeF" w:cs="ZWAdobeF"/>
          <w:sz w:val="2"/>
          <w:szCs w:val="2"/>
        </w:rPr>
        <w:t>1333B</w:t>
      </w:r>
      <w:r w:rsidR="55652A90" w:rsidRPr="6332CC80">
        <w:rPr>
          <w:rFonts w:ascii="Aptos" w:eastAsia="Aptos" w:hAnsi="Aptos" w:cs="Aptos"/>
          <w:szCs w:val="22"/>
        </w:rPr>
        <w:t>SMRIF</w:t>
      </w:r>
      <w:r w:rsidR="55652A90">
        <w:tab/>
      </w:r>
      <w:r w:rsidR="55652A90">
        <w:tab/>
      </w:r>
      <w:r w:rsidR="55652A90" w:rsidRPr="6332CC80">
        <w:rPr>
          <w:rFonts w:ascii="Aptos" w:eastAsia="Aptos" w:hAnsi="Aptos" w:cs="Aptos"/>
          <w:szCs w:val="22"/>
        </w:rPr>
        <w:t>Snowy Montane Rivers Increased Flows</w:t>
      </w:r>
    </w:p>
    <w:p w14:paraId="545B38D1" w14:textId="2D11D4E7" w:rsidR="55652A90" w:rsidRDefault="00382EE8" w:rsidP="6332CC80">
      <w:pPr>
        <w:spacing w:line="257" w:lineRule="auto"/>
        <w:rPr>
          <w:rFonts w:ascii="Aptos" w:eastAsia="Aptos" w:hAnsi="Aptos" w:cs="Aptos"/>
          <w:szCs w:val="22"/>
        </w:rPr>
      </w:pPr>
      <w:r>
        <w:rPr>
          <w:rFonts w:ascii="ZWAdobeF" w:eastAsia="Aptos" w:hAnsi="ZWAdobeF" w:cs="ZWAdobeF"/>
          <w:sz w:val="2"/>
          <w:szCs w:val="2"/>
        </w:rPr>
        <w:t>1334B</w:t>
      </w:r>
      <w:r w:rsidR="55652A90" w:rsidRPr="6332CC80">
        <w:rPr>
          <w:rFonts w:ascii="Aptos" w:eastAsia="Aptos" w:hAnsi="Aptos" w:cs="Aptos"/>
          <w:szCs w:val="22"/>
        </w:rPr>
        <w:t>SRA</w:t>
      </w:r>
      <w:r w:rsidR="55652A90">
        <w:tab/>
      </w:r>
      <w:r w:rsidR="55652A90">
        <w:tab/>
      </w:r>
      <w:r w:rsidR="55652A90" w:rsidRPr="6332CC80">
        <w:rPr>
          <w:rFonts w:ascii="Aptos" w:eastAsia="Aptos" w:hAnsi="Aptos" w:cs="Aptos"/>
          <w:szCs w:val="22"/>
        </w:rPr>
        <w:t>Snowy River Alliance</w:t>
      </w:r>
    </w:p>
    <w:p w14:paraId="59042759" w14:textId="337BBD16" w:rsidR="55652A90" w:rsidRDefault="00382EE8" w:rsidP="6332CC80">
      <w:pPr>
        <w:spacing w:line="257" w:lineRule="auto"/>
        <w:rPr>
          <w:rFonts w:ascii="Aptos" w:eastAsia="Aptos" w:hAnsi="Aptos" w:cs="Aptos"/>
          <w:szCs w:val="22"/>
        </w:rPr>
      </w:pPr>
      <w:r>
        <w:rPr>
          <w:rFonts w:ascii="ZWAdobeF" w:eastAsia="Aptos" w:hAnsi="ZWAdobeF" w:cs="ZWAdobeF"/>
          <w:sz w:val="2"/>
          <w:szCs w:val="2"/>
        </w:rPr>
        <w:t>1335B</w:t>
      </w:r>
      <w:r w:rsidR="55652A90" w:rsidRPr="6332CC80">
        <w:rPr>
          <w:rFonts w:ascii="Aptos" w:eastAsia="Aptos" w:hAnsi="Aptos" w:cs="Aptos"/>
          <w:szCs w:val="22"/>
        </w:rPr>
        <w:t>STAG</w:t>
      </w:r>
      <w:r w:rsidR="55652A90">
        <w:tab/>
      </w:r>
      <w:r w:rsidR="55652A90">
        <w:tab/>
      </w:r>
      <w:r w:rsidR="55652A90" w:rsidRPr="6332CC80">
        <w:rPr>
          <w:rFonts w:ascii="Aptos" w:eastAsia="Aptos" w:hAnsi="Aptos" w:cs="Aptos"/>
          <w:szCs w:val="22"/>
        </w:rPr>
        <w:t xml:space="preserve">Safety Technical Advisory Group </w:t>
      </w:r>
    </w:p>
    <w:p w14:paraId="19E776B5" w14:textId="5CCCAFA9" w:rsidR="55652A90" w:rsidRDefault="00382EE8" w:rsidP="6332CC80">
      <w:pPr>
        <w:spacing w:line="257" w:lineRule="auto"/>
        <w:rPr>
          <w:rFonts w:ascii="Aptos" w:eastAsia="Aptos" w:hAnsi="Aptos" w:cs="Aptos"/>
          <w:szCs w:val="22"/>
        </w:rPr>
      </w:pPr>
      <w:r>
        <w:rPr>
          <w:rFonts w:ascii="ZWAdobeF" w:eastAsia="Aptos" w:hAnsi="ZWAdobeF" w:cs="ZWAdobeF"/>
          <w:sz w:val="2"/>
          <w:szCs w:val="2"/>
        </w:rPr>
        <w:t>1336B</w:t>
      </w:r>
      <w:r w:rsidR="55652A90" w:rsidRPr="6332CC80">
        <w:rPr>
          <w:rFonts w:ascii="Aptos" w:eastAsia="Aptos" w:hAnsi="Aptos" w:cs="Aptos"/>
          <w:szCs w:val="22"/>
        </w:rPr>
        <w:t>SWGOC</w:t>
      </w:r>
      <w:r w:rsidR="55652A90">
        <w:tab/>
      </w:r>
      <w:r w:rsidR="55652A90" w:rsidRPr="6332CC80">
        <w:rPr>
          <w:rFonts w:ascii="Aptos" w:eastAsia="Aptos" w:hAnsi="Aptos" w:cs="Aptos"/>
          <w:szCs w:val="22"/>
        </w:rPr>
        <w:t>Snowy Water Government Officials Committee</w:t>
      </w:r>
    </w:p>
    <w:p w14:paraId="167D1F63" w14:textId="3FB9FA86" w:rsidR="55652A90" w:rsidRDefault="00382EE8" w:rsidP="6332CC80">
      <w:pPr>
        <w:spacing w:line="257" w:lineRule="auto"/>
        <w:rPr>
          <w:rFonts w:ascii="Aptos" w:eastAsia="Aptos" w:hAnsi="Aptos" w:cs="Aptos"/>
          <w:szCs w:val="22"/>
        </w:rPr>
      </w:pPr>
      <w:r>
        <w:rPr>
          <w:rFonts w:ascii="ZWAdobeF" w:eastAsia="Aptos" w:hAnsi="ZWAdobeF" w:cs="ZWAdobeF"/>
          <w:sz w:val="2"/>
          <w:szCs w:val="2"/>
        </w:rPr>
        <w:t>1337B</w:t>
      </w:r>
      <w:r w:rsidR="55652A90" w:rsidRPr="6332CC80">
        <w:rPr>
          <w:rFonts w:ascii="Aptos" w:eastAsia="Aptos" w:hAnsi="Aptos" w:cs="Aptos"/>
          <w:szCs w:val="22"/>
        </w:rPr>
        <w:t>SWIOID</w:t>
      </w:r>
      <w:r w:rsidR="55652A90">
        <w:tab/>
      </w:r>
      <w:r w:rsidR="55652A90" w:rsidRPr="6332CC80">
        <w:rPr>
          <w:rFonts w:ascii="Aptos" w:eastAsia="Aptos" w:hAnsi="Aptos" w:cs="Aptos"/>
          <w:szCs w:val="22"/>
        </w:rPr>
        <w:t>Snowy Water Inquiry Outcomes Implementation (the Deed)</w:t>
      </w:r>
    </w:p>
    <w:p w14:paraId="5CCBD2AF" w14:textId="16B52E32" w:rsidR="55652A90" w:rsidRDefault="00382EE8" w:rsidP="6332CC80">
      <w:pPr>
        <w:spacing w:line="257" w:lineRule="auto"/>
        <w:rPr>
          <w:rFonts w:ascii="Aptos" w:eastAsia="Aptos" w:hAnsi="Aptos" w:cs="Aptos"/>
          <w:szCs w:val="22"/>
        </w:rPr>
      </w:pPr>
      <w:r>
        <w:rPr>
          <w:rFonts w:ascii="ZWAdobeF" w:eastAsia="Aptos" w:hAnsi="ZWAdobeF" w:cs="ZWAdobeF"/>
          <w:sz w:val="2"/>
          <w:szCs w:val="2"/>
        </w:rPr>
        <w:t>1338B</w:t>
      </w:r>
      <w:r w:rsidR="55652A90" w:rsidRPr="6332CC80">
        <w:rPr>
          <w:rFonts w:ascii="Aptos" w:eastAsia="Aptos" w:hAnsi="Aptos" w:cs="Aptos"/>
          <w:szCs w:val="22"/>
        </w:rPr>
        <w:t>WAMC</w:t>
      </w:r>
      <w:r w:rsidR="55652A90">
        <w:tab/>
      </w:r>
      <w:r w:rsidR="55652A90">
        <w:tab/>
      </w:r>
      <w:r w:rsidR="55652A90" w:rsidRPr="6332CC80">
        <w:rPr>
          <w:rFonts w:ascii="Aptos" w:eastAsia="Aptos" w:hAnsi="Aptos" w:cs="Aptos"/>
          <w:szCs w:val="22"/>
        </w:rPr>
        <w:t>Water Administration Ministerial Corporation (NSW)</w:t>
      </w:r>
      <w:r w:rsidR="55652A90">
        <w:tab/>
      </w:r>
    </w:p>
    <w:p w14:paraId="4BBAA56C" w14:textId="10292D22" w:rsidR="55652A90" w:rsidRDefault="00382EE8" w:rsidP="6332CC80">
      <w:pPr>
        <w:spacing w:line="257" w:lineRule="auto"/>
        <w:rPr>
          <w:rFonts w:ascii="Aptos" w:eastAsia="Aptos" w:hAnsi="Aptos" w:cs="Aptos"/>
          <w:szCs w:val="22"/>
        </w:rPr>
      </w:pPr>
      <w:r>
        <w:rPr>
          <w:rFonts w:ascii="ZWAdobeF" w:eastAsia="Aptos" w:hAnsi="ZWAdobeF" w:cs="ZWAdobeF"/>
          <w:sz w:val="2"/>
          <w:szCs w:val="2"/>
        </w:rPr>
        <w:t>1339B</w:t>
      </w:r>
      <w:r w:rsidR="55652A90" w:rsidRPr="6332CC80">
        <w:rPr>
          <w:rFonts w:ascii="Aptos" w:eastAsia="Aptos" w:hAnsi="Aptos" w:cs="Aptos"/>
          <w:szCs w:val="22"/>
        </w:rPr>
        <w:t>WCLC</w:t>
      </w:r>
      <w:r w:rsidR="55652A90">
        <w:tab/>
      </w:r>
      <w:r w:rsidR="55652A90">
        <w:tab/>
      </w:r>
      <w:r w:rsidR="55652A90" w:rsidRPr="6332CC80">
        <w:rPr>
          <w:rFonts w:ascii="Aptos" w:eastAsia="Aptos" w:hAnsi="Aptos" w:cs="Aptos"/>
          <w:szCs w:val="22"/>
        </w:rPr>
        <w:t xml:space="preserve">Water Consultation and Liaison Committee </w:t>
      </w:r>
    </w:p>
    <w:p w14:paraId="0BAB5AAE" w14:textId="5E62D243" w:rsidR="55652A90" w:rsidRDefault="00382EE8" w:rsidP="6332CC80">
      <w:pPr>
        <w:spacing w:line="257" w:lineRule="auto"/>
        <w:rPr>
          <w:rFonts w:ascii="Aptos" w:eastAsia="Aptos" w:hAnsi="Aptos" w:cs="Aptos"/>
          <w:szCs w:val="22"/>
        </w:rPr>
      </w:pPr>
      <w:r>
        <w:rPr>
          <w:rFonts w:ascii="ZWAdobeF" w:eastAsia="Aptos" w:hAnsi="ZWAdobeF" w:cs="ZWAdobeF"/>
          <w:sz w:val="2"/>
          <w:szCs w:val="2"/>
        </w:rPr>
        <w:t>1340B</w:t>
      </w:r>
      <w:r w:rsidR="55652A90" w:rsidRPr="007A37AE">
        <w:rPr>
          <w:rFonts w:ascii="Aptos" w:eastAsia="Aptos" w:hAnsi="Aptos" w:cs="Aptos"/>
          <w:szCs w:val="22"/>
        </w:rPr>
        <w:t>WR</w:t>
      </w:r>
      <w:r w:rsidR="00B67AB4">
        <w:rPr>
          <w:rFonts w:ascii="Aptos" w:eastAsia="Aptos" w:hAnsi="Aptos" w:cs="Aptos"/>
          <w:szCs w:val="22"/>
        </w:rPr>
        <w:t>P</w:t>
      </w:r>
      <w:r w:rsidR="55652A90">
        <w:tab/>
      </w:r>
      <w:r w:rsidR="55652A90">
        <w:tab/>
      </w:r>
      <w:r w:rsidR="55652A90" w:rsidRPr="6332CC80">
        <w:rPr>
          <w:rFonts w:ascii="Aptos" w:eastAsia="Aptos" w:hAnsi="Aptos" w:cs="Aptos"/>
          <w:szCs w:val="22"/>
        </w:rPr>
        <w:t>Water Resource Plan</w:t>
      </w:r>
    </w:p>
    <w:p w14:paraId="5A43509C" w14:textId="0071B2F4" w:rsidR="6332CC80" w:rsidRPr="00CC7A58" w:rsidRDefault="6332CC80" w:rsidP="6332CC80">
      <w:pPr>
        <w:spacing w:line="257" w:lineRule="auto"/>
        <w:rPr>
          <w:rFonts w:ascii="Aptos" w:eastAsia="Aptos" w:hAnsi="Aptos" w:cs="Aptos"/>
          <w:szCs w:val="22"/>
        </w:rPr>
      </w:pPr>
    </w:p>
    <w:p w14:paraId="1894020B" w14:textId="6907F347" w:rsidR="6332CC80" w:rsidRDefault="6332CC80" w:rsidP="6332CC80">
      <w:pPr>
        <w:pStyle w:val="ReviewHeading"/>
      </w:pPr>
    </w:p>
    <w:p w14:paraId="13A914F0" w14:textId="77777777" w:rsidR="00181AE0" w:rsidRDefault="00181AE0" w:rsidP="00C17E13">
      <w:pPr>
        <w:pStyle w:val="ReviewHeading"/>
      </w:pPr>
    </w:p>
    <w:p w14:paraId="67DEFB89" w14:textId="7064A450" w:rsidR="00181AE0" w:rsidRDefault="00181AE0">
      <w:pPr>
        <w:jc w:val="left"/>
        <w:rPr>
          <w:rFonts w:asciiTheme="majorHAnsi" w:eastAsiaTheme="majorEastAsia" w:hAnsiTheme="majorHAnsi" w:cstheme="majorBidi"/>
          <w:b/>
          <w:color w:val="000099"/>
          <w:spacing w:val="-10"/>
          <w:kern w:val="28"/>
          <w:sz w:val="56"/>
          <w:szCs w:val="56"/>
        </w:rPr>
      </w:pPr>
      <w:r>
        <w:br w:type="page"/>
      </w:r>
    </w:p>
    <w:p w14:paraId="1C0321C0" w14:textId="1038640C" w:rsidR="00181AE0" w:rsidRDefault="00382EE8" w:rsidP="004C3BEB">
      <w:pPr>
        <w:pStyle w:val="ReviewHeading"/>
      </w:pPr>
      <w:bookmarkStart w:id="178" w:name="_Toc233285637"/>
      <w:bookmarkStart w:id="179" w:name="_Toc233801516"/>
      <w:r>
        <w:rPr>
          <w:rFonts w:ascii="ZWAdobeF" w:hAnsi="ZWAdobeF" w:cs="ZWAdobeF"/>
          <w:b w:val="0"/>
          <w:color w:val="auto"/>
          <w:spacing w:val="0"/>
          <w:sz w:val="2"/>
          <w:szCs w:val="2"/>
        </w:rPr>
        <w:lastRenderedPageBreak/>
        <w:t>1669B</w:t>
      </w:r>
      <w:r w:rsidR="00181AE0">
        <w:t>Appendices</w:t>
      </w:r>
      <w:bookmarkEnd w:id="178"/>
      <w:bookmarkEnd w:id="179"/>
    </w:p>
    <w:p w14:paraId="424C39EF" w14:textId="406BB671" w:rsidR="009535C1" w:rsidRDefault="008B239E" w:rsidP="00CC7A58">
      <w:pPr>
        <w:pStyle w:val="ReviewHeading2"/>
      </w:pPr>
      <w:bookmarkStart w:id="180" w:name="_Toc233285638"/>
      <w:bookmarkStart w:id="181" w:name="_Toc233801517"/>
      <w:r>
        <w:t>Appendix A: SWIOID IRP Engagement Register</w:t>
      </w:r>
      <w:bookmarkEnd w:id="180"/>
      <w:bookmarkEnd w:id="181"/>
    </w:p>
    <w:p w14:paraId="5DE412F1" w14:textId="2318F9EB" w:rsidR="00F7726A" w:rsidRPr="00653DC8" w:rsidRDefault="00382EE8" w:rsidP="00F7726A">
      <w:pPr>
        <w:spacing w:after="0" w:line="240" w:lineRule="auto"/>
        <w:jc w:val="left"/>
        <w:textAlignment w:val="baseline"/>
        <w:rPr>
          <w:rFonts w:eastAsia="Times New Roman" w:cs="Calibri"/>
          <w:kern w:val="0"/>
          <w:szCs w:val="22"/>
          <w:bdr w:val="none" w:sz="0" w:space="0" w:color="auto" w:frame="1"/>
          <w:shd w:val="clear" w:color="auto" w:fill="C6C6C6"/>
          <w:lang w:eastAsia="en-AU"/>
          <w14:ligatures w14:val="none"/>
        </w:rPr>
      </w:pPr>
      <w:r>
        <w:rPr>
          <w:rFonts w:ascii="ZWAdobeF" w:eastAsia="Times New Roman" w:hAnsi="ZWAdobeF" w:cs="ZWAdobeF"/>
          <w:kern w:val="0"/>
          <w:sz w:val="2"/>
          <w:szCs w:val="2"/>
          <w:lang w:val="en-US" w:eastAsia="en-AU"/>
          <w14:ligatures w14:val="none"/>
        </w:rPr>
        <w:t>1341B</w:t>
      </w:r>
      <w:r w:rsidR="00F7726A" w:rsidRPr="00653DC8">
        <w:rPr>
          <w:rFonts w:eastAsia="Times New Roman" w:cs="Calibri"/>
          <w:kern w:val="0"/>
          <w:szCs w:val="22"/>
          <w:lang w:val="en-US" w:eastAsia="en-AU"/>
          <w14:ligatures w14:val="none"/>
        </w:rPr>
        <w:t xml:space="preserve">This table includes engagements from the </w:t>
      </w:r>
      <w:r w:rsidR="00DD3DD2">
        <w:rPr>
          <w:rFonts w:eastAsia="Times New Roman" w:cs="Calibri"/>
          <w:kern w:val="0"/>
          <w:szCs w:val="22"/>
          <w:lang w:val="en-US" w:eastAsia="en-AU"/>
          <w14:ligatures w14:val="none"/>
        </w:rPr>
        <w:t>P</w:t>
      </w:r>
      <w:r w:rsidR="00F7726A" w:rsidRPr="00653DC8">
        <w:rPr>
          <w:rFonts w:eastAsia="Times New Roman" w:cs="Calibri"/>
          <w:kern w:val="0"/>
          <w:szCs w:val="22"/>
          <w:lang w:val="en-US" w:eastAsia="en-AU"/>
          <w14:ligatures w14:val="none"/>
        </w:rPr>
        <w:t xml:space="preserve">anel to date, not including sessions with consultants procured to support the </w:t>
      </w:r>
      <w:r w:rsidR="004D0712">
        <w:rPr>
          <w:rFonts w:eastAsia="Times New Roman" w:cs="Calibri"/>
          <w:kern w:val="0"/>
          <w:szCs w:val="22"/>
          <w:lang w:val="en-US" w:eastAsia="en-AU"/>
          <w14:ligatures w14:val="none"/>
        </w:rPr>
        <w:t>R</w:t>
      </w:r>
      <w:r w:rsidR="00F7726A" w:rsidRPr="00653DC8">
        <w:rPr>
          <w:rFonts w:eastAsia="Times New Roman" w:cs="Calibri"/>
          <w:kern w:val="0"/>
          <w:szCs w:val="22"/>
          <w:lang w:val="en-US" w:eastAsia="en-AU"/>
          <w14:ligatures w14:val="none"/>
        </w:rPr>
        <w:t>eview. </w:t>
      </w:r>
    </w:p>
    <w:p w14:paraId="20AFEF9D" w14:textId="77777777" w:rsidR="00A32AF7" w:rsidRPr="00653DC8" w:rsidRDefault="00A32AF7" w:rsidP="00F7726A">
      <w:pPr>
        <w:spacing w:after="0" w:line="240" w:lineRule="auto"/>
        <w:jc w:val="left"/>
        <w:textAlignment w:val="baseline"/>
        <w:rPr>
          <w:rFonts w:eastAsia="Times New Roman" w:cs="Segoe UI"/>
          <w:kern w:val="0"/>
          <w:szCs w:val="22"/>
          <w:lang w:eastAsia="en-AU"/>
          <w14:ligatures w14:val="none"/>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78"/>
        <w:gridCol w:w="2045"/>
      </w:tblGrid>
      <w:tr w:rsidR="00F7726A" w:rsidRPr="00F7726A" w14:paraId="269DB4D0" w14:textId="77777777" w:rsidTr="008F6FF9">
        <w:trPr>
          <w:trHeight w:val="285"/>
          <w:tblHeader/>
        </w:trPr>
        <w:tc>
          <w:tcPr>
            <w:tcW w:w="6878" w:type="dxa"/>
            <w:tcBorders>
              <w:top w:val="single" w:sz="6" w:space="0" w:color="auto"/>
              <w:left w:val="single" w:sz="6" w:space="0" w:color="auto"/>
              <w:bottom w:val="single" w:sz="12" w:space="0" w:color="auto"/>
              <w:right w:val="single" w:sz="6" w:space="0" w:color="auto"/>
            </w:tcBorders>
            <w:shd w:val="clear" w:color="auto" w:fill="000099"/>
            <w:hideMark/>
          </w:tcPr>
          <w:p w14:paraId="11B79C84" w14:textId="2F066337" w:rsidR="00F7726A" w:rsidRPr="00653DC8" w:rsidRDefault="00382EE8" w:rsidP="00F7726A">
            <w:pPr>
              <w:spacing w:after="0" w:line="240" w:lineRule="auto"/>
              <w:jc w:val="left"/>
              <w:textAlignment w:val="baseline"/>
              <w:rPr>
                <w:rFonts w:eastAsia="Times New Roman" w:cs="Times New Roman"/>
                <w:b/>
                <w:bCs/>
                <w:color w:val="F5F5F5"/>
                <w:kern w:val="0"/>
                <w:szCs w:val="22"/>
                <w:lang w:eastAsia="en-AU"/>
                <w14:ligatures w14:val="none"/>
              </w:rPr>
            </w:pPr>
            <w:r>
              <w:rPr>
                <w:rFonts w:ascii="ZWAdobeF" w:eastAsia="Times New Roman" w:hAnsi="ZWAdobeF" w:cs="ZWAdobeF"/>
                <w:bCs/>
                <w:kern w:val="0"/>
                <w:sz w:val="2"/>
                <w:szCs w:val="2"/>
                <w:lang w:val="en-US" w:eastAsia="en-AU"/>
                <w14:ligatures w14:val="none"/>
              </w:rPr>
              <w:t>1342B</w:t>
            </w:r>
            <w:r w:rsidR="00F7726A" w:rsidRPr="00653DC8">
              <w:rPr>
                <w:rFonts w:eastAsia="Times New Roman" w:cs="Calibri"/>
                <w:b/>
                <w:bCs/>
                <w:color w:val="FFFFFF"/>
                <w:kern w:val="0"/>
                <w:szCs w:val="22"/>
                <w:lang w:val="en-US" w:eastAsia="en-AU"/>
                <w14:ligatures w14:val="none"/>
              </w:rPr>
              <w:t>Stakeholder/s</w:t>
            </w:r>
            <w:r w:rsidR="00F7726A" w:rsidRPr="00653DC8">
              <w:rPr>
                <w:rFonts w:eastAsia="Times New Roman" w:cs="Calibri"/>
                <w:b/>
                <w:bCs/>
                <w:color w:val="FFFFFF"/>
                <w:kern w:val="0"/>
                <w:szCs w:val="22"/>
                <w:lang w:eastAsia="en-AU"/>
                <w14:ligatures w14:val="none"/>
              </w:rPr>
              <w:t> </w:t>
            </w:r>
          </w:p>
        </w:tc>
        <w:tc>
          <w:tcPr>
            <w:tcW w:w="2045" w:type="dxa"/>
            <w:tcBorders>
              <w:top w:val="single" w:sz="6" w:space="0" w:color="auto"/>
              <w:left w:val="single" w:sz="6" w:space="0" w:color="auto"/>
              <w:bottom w:val="single" w:sz="12" w:space="0" w:color="auto"/>
              <w:right w:val="single" w:sz="6" w:space="0" w:color="auto"/>
            </w:tcBorders>
            <w:shd w:val="clear" w:color="auto" w:fill="000099"/>
            <w:hideMark/>
          </w:tcPr>
          <w:p w14:paraId="4BFC3C2F" w14:textId="0CEE5A2F" w:rsidR="00F7726A" w:rsidRPr="00653DC8" w:rsidRDefault="00382EE8" w:rsidP="00F7726A">
            <w:pPr>
              <w:spacing w:after="0" w:line="240" w:lineRule="auto"/>
              <w:jc w:val="left"/>
              <w:textAlignment w:val="baseline"/>
              <w:rPr>
                <w:rFonts w:eastAsia="Times New Roman" w:cs="Times New Roman"/>
                <w:b/>
                <w:bCs/>
                <w:color w:val="F5F5F5"/>
                <w:kern w:val="0"/>
                <w:szCs w:val="22"/>
                <w:lang w:eastAsia="en-AU"/>
                <w14:ligatures w14:val="none"/>
              </w:rPr>
            </w:pPr>
            <w:r>
              <w:rPr>
                <w:rFonts w:ascii="ZWAdobeF" w:eastAsia="Times New Roman" w:hAnsi="ZWAdobeF" w:cs="ZWAdobeF"/>
                <w:bCs/>
                <w:kern w:val="0"/>
                <w:sz w:val="2"/>
                <w:szCs w:val="2"/>
                <w:lang w:val="en-US" w:eastAsia="en-AU"/>
                <w14:ligatures w14:val="none"/>
              </w:rPr>
              <w:t>1343B</w:t>
            </w:r>
            <w:r w:rsidR="00F7726A" w:rsidRPr="00653DC8">
              <w:rPr>
                <w:rFonts w:eastAsia="Times New Roman" w:cs="Calibri"/>
                <w:b/>
                <w:bCs/>
                <w:color w:val="FFFFFF"/>
                <w:kern w:val="0"/>
                <w:szCs w:val="22"/>
                <w:lang w:val="en-US" w:eastAsia="en-AU"/>
                <w14:ligatures w14:val="none"/>
              </w:rPr>
              <w:t>Panel meeting date</w:t>
            </w:r>
            <w:r w:rsidR="00F7726A" w:rsidRPr="00653DC8">
              <w:rPr>
                <w:rFonts w:eastAsia="Times New Roman" w:cs="Calibri"/>
                <w:b/>
                <w:bCs/>
                <w:color w:val="FFFFFF"/>
                <w:kern w:val="0"/>
                <w:szCs w:val="22"/>
                <w:lang w:eastAsia="en-AU"/>
                <w14:ligatures w14:val="none"/>
              </w:rPr>
              <w:t> </w:t>
            </w:r>
          </w:p>
        </w:tc>
      </w:tr>
      <w:tr w:rsidR="00F7726A" w:rsidRPr="00F7726A" w14:paraId="3DD6CAB7" w14:textId="77777777" w:rsidTr="008F6FF9">
        <w:trPr>
          <w:trHeight w:val="630"/>
        </w:trPr>
        <w:tc>
          <w:tcPr>
            <w:tcW w:w="6878" w:type="dxa"/>
            <w:tcBorders>
              <w:top w:val="single" w:sz="6" w:space="0" w:color="auto"/>
              <w:left w:val="single" w:sz="6" w:space="0" w:color="auto"/>
              <w:bottom w:val="single" w:sz="6" w:space="0" w:color="auto"/>
              <w:right w:val="single" w:sz="6" w:space="0" w:color="auto"/>
            </w:tcBorders>
            <w:hideMark/>
          </w:tcPr>
          <w:p w14:paraId="53848133" w14:textId="2FC3FDDA"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1344B</w:t>
            </w:r>
            <w:r w:rsidR="00F7726A" w:rsidRPr="00653DC8">
              <w:rPr>
                <w:rFonts w:eastAsia="Times New Roman" w:cs="Calibri"/>
                <w:color w:val="000000"/>
                <w:kern w:val="0"/>
                <w:szCs w:val="22"/>
                <w:lang w:val="en-US" w:eastAsia="en-AU"/>
                <w14:ligatures w14:val="none"/>
              </w:rPr>
              <w:t>Snowy Hydro Limited, Chief Operating Officer Rodger Whitby and Maia Schweizer </w:t>
            </w:r>
            <w:r w:rsidR="00F7726A" w:rsidRPr="00653DC8">
              <w:rPr>
                <w:rFonts w:eastAsia="Times New Roman" w:cs="Calibri"/>
                <w:color w:val="000000"/>
                <w:kern w:val="0"/>
                <w:szCs w:val="22"/>
                <w:lang w:eastAsia="en-AU"/>
                <w14:ligatures w14:val="none"/>
              </w:rPr>
              <w:t> </w:t>
            </w:r>
          </w:p>
          <w:p w14:paraId="0B2E4BF5" w14:textId="5B734851"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0A24B8EB" w14:textId="1F703C3F"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1345B</w:t>
            </w:r>
            <w:r w:rsidR="00F7726A" w:rsidRPr="00653DC8">
              <w:rPr>
                <w:rFonts w:eastAsia="Times New Roman" w:cs="Calibri"/>
                <w:color w:val="000000"/>
                <w:kern w:val="0"/>
                <w:szCs w:val="22"/>
                <w:lang w:val="en-US" w:eastAsia="en-AU"/>
                <w14:ligatures w14:val="none"/>
              </w:rPr>
              <w:t>30 September 2025</w:t>
            </w:r>
            <w:r w:rsidR="00F7726A" w:rsidRPr="00653DC8">
              <w:rPr>
                <w:rFonts w:eastAsia="Times New Roman" w:cs="Calibri"/>
                <w:color w:val="000000"/>
                <w:kern w:val="0"/>
                <w:szCs w:val="22"/>
                <w:lang w:eastAsia="en-AU"/>
                <w14:ligatures w14:val="none"/>
              </w:rPr>
              <w:t> </w:t>
            </w:r>
          </w:p>
        </w:tc>
      </w:tr>
      <w:tr w:rsidR="00F7726A" w:rsidRPr="00F7726A" w14:paraId="72C07747" w14:textId="77777777" w:rsidTr="008F6FF9">
        <w:trPr>
          <w:trHeight w:val="525"/>
        </w:trPr>
        <w:tc>
          <w:tcPr>
            <w:tcW w:w="6878" w:type="dxa"/>
            <w:tcBorders>
              <w:top w:val="single" w:sz="6" w:space="0" w:color="auto"/>
              <w:left w:val="single" w:sz="6" w:space="0" w:color="auto"/>
              <w:bottom w:val="single" w:sz="6" w:space="0" w:color="auto"/>
              <w:right w:val="single" w:sz="6" w:space="0" w:color="auto"/>
            </w:tcBorders>
            <w:hideMark/>
          </w:tcPr>
          <w:p w14:paraId="72D7B1C9" w14:textId="12F0155D"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eastAsia="en-AU"/>
                <w14:ligatures w14:val="none"/>
              </w:rPr>
              <w:t>1346B</w:t>
            </w:r>
            <w:r w:rsidR="00F7726A" w:rsidRPr="00653DC8">
              <w:rPr>
                <w:rFonts w:eastAsia="Times New Roman" w:cs="Calibri"/>
                <w:color w:val="000000"/>
                <w:kern w:val="0"/>
                <w:szCs w:val="22"/>
                <w:lang w:eastAsia="en-AU"/>
                <w14:ligatures w14:val="none"/>
              </w:rPr>
              <w:t>Centre for Water Economics, Environment and Policy, </w:t>
            </w:r>
            <w:r w:rsidR="00F7726A" w:rsidRPr="00653DC8">
              <w:rPr>
                <w:rFonts w:eastAsia="Times New Roman" w:cs="Calibri"/>
                <w:color w:val="000000"/>
                <w:kern w:val="0"/>
                <w:szCs w:val="22"/>
                <w:lang w:val="en-US" w:eastAsia="en-AU"/>
                <w14:ligatures w14:val="none"/>
              </w:rPr>
              <w:t>Australian National University, Dr Paul Wyrwoll</w:t>
            </w:r>
            <w:r w:rsidR="00F7726A" w:rsidRPr="00653DC8">
              <w:rPr>
                <w:rFonts w:eastAsia="Times New Roman" w:cs="Calibri"/>
                <w:color w:val="000000"/>
                <w:kern w:val="0"/>
                <w:szCs w:val="22"/>
                <w:lang w:eastAsia="en-AU"/>
                <w14:ligatures w14:val="none"/>
              </w:rPr>
              <w:t> </w:t>
            </w:r>
          </w:p>
          <w:p w14:paraId="742BA2EC" w14:textId="70AA3EAA"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49162CC6" w14:textId="1C12A928"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1347B</w:t>
            </w:r>
            <w:r w:rsidR="00F7726A" w:rsidRPr="00653DC8">
              <w:rPr>
                <w:rFonts w:eastAsia="Times New Roman" w:cs="Calibri"/>
                <w:color w:val="000000"/>
                <w:kern w:val="0"/>
                <w:szCs w:val="22"/>
                <w:lang w:val="en-US" w:eastAsia="en-AU"/>
                <w14:ligatures w14:val="none"/>
              </w:rPr>
              <w:t>30 September 2025</w:t>
            </w:r>
            <w:r w:rsidR="00F7726A" w:rsidRPr="00653DC8">
              <w:rPr>
                <w:rFonts w:eastAsia="Times New Roman" w:cs="Calibri"/>
                <w:color w:val="000000"/>
                <w:kern w:val="0"/>
                <w:szCs w:val="22"/>
                <w:lang w:eastAsia="en-AU"/>
                <w14:ligatures w14:val="none"/>
              </w:rPr>
              <w:t> </w:t>
            </w:r>
          </w:p>
        </w:tc>
      </w:tr>
      <w:tr w:rsidR="00F7726A" w:rsidRPr="00F7726A" w14:paraId="5CFA8FCD"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A0F1350" w14:textId="73EE67D7"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1348B</w:t>
            </w:r>
            <w:r w:rsidR="00F7726A" w:rsidRPr="00653DC8">
              <w:rPr>
                <w:rFonts w:eastAsia="Times New Roman" w:cs="Calibri"/>
                <w:color w:val="000000"/>
                <w:kern w:val="0"/>
                <w:szCs w:val="22"/>
                <w:lang w:val="en-US" w:eastAsia="en-AU"/>
                <w14:ligatures w14:val="none"/>
              </w:rPr>
              <w:t>Australian Rivers Restoration Centre, Dr Siwan Lovett</w:t>
            </w:r>
            <w:r w:rsidR="00F7726A" w:rsidRPr="00653DC8">
              <w:rPr>
                <w:rFonts w:eastAsia="Times New Roman" w:cs="Calibri"/>
                <w:color w:val="000000"/>
                <w:kern w:val="0"/>
                <w:szCs w:val="22"/>
                <w:lang w:eastAsia="en-AU"/>
                <w14:ligatures w14:val="none"/>
              </w:rPr>
              <w:t> </w:t>
            </w:r>
          </w:p>
          <w:p w14:paraId="5CACC658" w14:textId="4E32E788"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6B41F901" w14:textId="18F7C28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1349B</w:t>
            </w:r>
            <w:r w:rsidR="00F7726A" w:rsidRPr="00653DC8">
              <w:rPr>
                <w:rFonts w:eastAsia="Times New Roman" w:cs="Calibri"/>
                <w:color w:val="000000"/>
                <w:kern w:val="0"/>
                <w:szCs w:val="22"/>
                <w:lang w:val="en-US" w:eastAsia="en-AU"/>
                <w14:ligatures w14:val="none"/>
              </w:rPr>
              <w:t>30 September 2025</w:t>
            </w:r>
            <w:r w:rsidR="00F7726A" w:rsidRPr="00653DC8">
              <w:rPr>
                <w:rFonts w:eastAsia="Times New Roman" w:cs="Calibri"/>
                <w:color w:val="000000"/>
                <w:kern w:val="0"/>
                <w:szCs w:val="22"/>
                <w:lang w:eastAsia="en-AU"/>
                <w14:ligatures w14:val="none"/>
              </w:rPr>
              <w:t> </w:t>
            </w:r>
          </w:p>
        </w:tc>
      </w:tr>
      <w:tr w:rsidR="00F7726A" w:rsidRPr="00F7726A" w14:paraId="4BDE3161"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6E558E6" w14:textId="47E0DFD5"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1350B</w:t>
            </w:r>
            <w:r w:rsidR="00F7726A" w:rsidRPr="00653DC8">
              <w:rPr>
                <w:rFonts w:eastAsia="Times New Roman" w:cs="Calibri"/>
                <w:color w:val="000000"/>
                <w:kern w:val="0"/>
                <w:szCs w:val="22"/>
                <w:lang w:val="en-US" w:eastAsia="en-AU"/>
                <w14:ligatures w14:val="none"/>
              </w:rPr>
              <w:t>Deed Review First Nations Advisory Group Facilitator, Paul Knight</w:t>
            </w:r>
            <w:r w:rsidR="00F7726A" w:rsidRPr="00653DC8">
              <w:rPr>
                <w:rFonts w:eastAsia="Times New Roman" w:cs="Calibri"/>
                <w:color w:val="000000"/>
                <w:kern w:val="0"/>
                <w:szCs w:val="22"/>
                <w:lang w:eastAsia="en-AU"/>
                <w14:ligatures w14:val="none"/>
              </w:rPr>
              <w:t> </w:t>
            </w:r>
          </w:p>
          <w:p w14:paraId="136B8FCE" w14:textId="11E93C47"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20788DA2" w14:textId="16BC10E5"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1351B</w:t>
            </w:r>
            <w:r w:rsidR="00F7726A" w:rsidRPr="00653DC8">
              <w:rPr>
                <w:rFonts w:eastAsia="Times New Roman" w:cs="Calibri"/>
                <w:color w:val="000000"/>
                <w:kern w:val="0"/>
                <w:szCs w:val="22"/>
                <w:lang w:val="en-US" w:eastAsia="en-AU"/>
                <w14:ligatures w14:val="none"/>
              </w:rPr>
              <w:t>30 September 2025</w:t>
            </w:r>
            <w:r w:rsidR="00F7726A" w:rsidRPr="00653DC8">
              <w:rPr>
                <w:rFonts w:eastAsia="Times New Roman" w:cs="Calibri"/>
                <w:color w:val="000000"/>
                <w:kern w:val="0"/>
                <w:szCs w:val="22"/>
                <w:lang w:eastAsia="en-AU"/>
                <w14:ligatures w14:val="none"/>
              </w:rPr>
              <w:t> </w:t>
            </w:r>
          </w:p>
        </w:tc>
      </w:tr>
      <w:tr w:rsidR="00F7726A" w:rsidRPr="00F7726A" w14:paraId="5219B6F8"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69C4D770" w14:textId="2AE7B94A"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1352B</w:t>
            </w:r>
            <w:r w:rsidR="00F7726A" w:rsidRPr="00653DC8">
              <w:rPr>
                <w:rFonts w:eastAsia="Times New Roman" w:cs="Calibri"/>
                <w:color w:val="000000"/>
                <w:kern w:val="0"/>
                <w:szCs w:val="22"/>
                <w:lang w:val="en-US" w:eastAsia="en-AU"/>
                <w14:ligatures w14:val="none"/>
              </w:rPr>
              <w:t>Murray-Darling Basin Authority</w:t>
            </w:r>
            <w:r w:rsidR="00F7726A" w:rsidRPr="00653DC8">
              <w:rPr>
                <w:rFonts w:eastAsia="Times New Roman" w:cs="Calibri"/>
                <w:color w:val="000000"/>
                <w:kern w:val="0"/>
                <w:szCs w:val="22"/>
                <w:lang w:eastAsia="en-AU"/>
                <w14:ligatures w14:val="none"/>
              </w:rPr>
              <w:t> </w:t>
            </w:r>
          </w:p>
          <w:p w14:paraId="2619328D" w14:textId="3BBA2A8A"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2FB51CAC" w14:textId="15C1124C"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1353B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38C2C76F"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7D4A3A67" w14:textId="13F0BE4B"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1354B</w:t>
            </w:r>
            <w:r w:rsidR="00F7726A" w:rsidRPr="00653DC8">
              <w:rPr>
                <w:rFonts w:eastAsia="Times New Roman" w:cs="Calibri"/>
                <w:color w:val="000000"/>
                <w:kern w:val="0"/>
                <w:szCs w:val="22"/>
                <w:lang w:val="en-US" w:eastAsia="en-AU"/>
                <w14:ligatures w14:val="none"/>
              </w:rPr>
              <w:t>New South Wales Irrigators Council, Tom O’Malley</w:t>
            </w:r>
            <w:r w:rsidR="00F7726A" w:rsidRPr="00653DC8">
              <w:rPr>
                <w:rFonts w:eastAsia="Times New Roman" w:cs="Calibri"/>
                <w:color w:val="000000"/>
                <w:kern w:val="0"/>
                <w:szCs w:val="22"/>
                <w:lang w:eastAsia="en-AU"/>
                <w14:ligatures w14:val="none"/>
              </w:rPr>
              <w:t> </w:t>
            </w:r>
          </w:p>
          <w:p w14:paraId="3F8D22AF" w14:textId="6FFEB331"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24785E34" w14:textId="0589D65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1355B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6B608054"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7CCF3FA9" w14:textId="170713A8"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1356B</w:t>
            </w:r>
            <w:r w:rsidR="00F7726A" w:rsidRPr="00653DC8">
              <w:rPr>
                <w:rFonts w:eastAsia="Times New Roman" w:cs="Calibri"/>
                <w:color w:val="000000"/>
                <w:kern w:val="0"/>
                <w:szCs w:val="22"/>
                <w:lang w:val="en-US" w:eastAsia="en-AU"/>
                <w14:ligatures w14:val="none"/>
              </w:rPr>
              <w:t>Snowy Monaro Regional Council and Queanbeyan-Palerang Regional Council</w:t>
            </w:r>
            <w:r w:rsidR="00F7726A" w:rsidRPr="00653DC8">
              <w:rPr>
                <w:rFonts w:ascii="Arial" w:eastAsia="Times New Roman" w:hAnsi="Arial" w:cs="Arial"/>
                <w:color w:val="000000"/>
                <w:kern w:val="0"/>
                <w:szCs w:val="22"/>
                <w:lang w:val="en-US" w:eastAsia="en-AU"/>
                <w14:ligatures w14:val="none"/>
              </w:rPr>
              <w:t> </w:t>
            </w:r>
            <w:r w:rsidR="00F7726A" w:rsidRPr="00653DC8">
              <w:rPr>
                <w:rFonts w:eastAsia="Times New Roman" w:cs="Calibri"/>
                <w:color w:val="000000"/>
                <w:kern w:val="0"/>
                <w:szCs w:val="22"/>
                <w:lang w:eastAsia="en-AU"/>
                <w14:ligatures w14:val="none"/>
              </w:rPr>
              <w:t> </w:t>
            </w:r>
          </w:p>
          <w:p w14:paraId="2369BF4C" w14:textId="192D4E72"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2ADC9583" w14:textId="157DD2A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1357B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2B299DA9"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25A2AD84" w14:textId="679D3818"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1358B</w:t>
            </w:r>
            <w:r w:rsidR="00F7726A" w:rsidRPr="00653DC8">
              <w:rPr>
                <w:rFonts w:eastAsia="Times New Roman" w:cs="Calibri"/>
                <w:color w:val="000000"/>
                <w:kern w:val="0"/>
                <w:szCs w:val="22"/>
                <w:lang w:val="en-US" w:eastAsia="en-AU"/>
                <w14:ligatures w14:val="none"/>
              </w:rPr>
              <w:t>New South Wales Department of Climate Change, Energy, the Environment and Water </w:t>
            </w:r>
          </w:p>
          <w:p w14:paraId="70280A21" w14:textId="7A2737C3"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4B197851" w14:textId="20368BC8"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1359B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53095CB6"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724980F3" w14:textId="5FA6E1F0" w:rsidR="00F7726A" w:rsidRPr="00653DC8"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1360B</w:t>
            </w:r>
            <w:r w:rsidR="00F7726A" w:rsidRPr="00653DC8">
              <w:rPr>
                <w:rFonts w:eastAsia="Times New Roman" w:cs="Calibri"/>
                <w:color w:val="000000"/>
                <w:kern w:val="0"/>
                <w:szCs w:val="22"/>
                <w:lang w:val="en-US" w:eastAsia="en-AU"/>
                <w14:ligatures w14:val="none"/>
              </w:rPr>
              <w:t>Victorian Department of Energy, the Environment and Climate Action</w:t>
            </w:r>
            <w:r w:rsidR="00D551FB">
              <w:rPr>
                <w:rFonts w:eastAsia="Times New Roman" w:cs="Calibri"/>
                <w:color w:val="000000"/>
                <w:kern w:val="0"/>
                <w:szCs w:val="22"/>
                <w:lang w:val="en-US" w:eastAsia="en-AU"/>
                <w14:ligatures w14:val="none"/>
              </w:rPr>
              <w:t xml:space="preserve"> </w:t>
            </w:r>
          </w:p>
          <w:p w14:paraId="769214E3" w14:textId="4D933790"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5D384704" w14:textId="3351AEAD"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1361B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44DE3D63"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67869382" w14:textId="0711074C"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1362B</w:t>
            </w:r>
            <w:r w:rsidR="00F7726A" w:rsidRPr="00653DC8">
              <w:rPr>
                <w:rFonts w:eastAsia="Times New Roman" w:cs="Calibri"/>
                <w:color w:val="000000"/>
                <w:kern w:val="0"/>
                <w:szCs w:val="22"/>
                <w:lang w:val="en-US" w:eastAsia="en-AU"/>
                <w14:ligatures w14:val="none"/>
              </w:rPr>
              <w:t>National Electricity Market Review Secretariat – Commonwealth Department of Climate Change, Energy, the Environment and Water (Commonwealth DCCEEW)</w:t>
            </w:r>
            <w:r w:rsidR="00F7726A" w:rsidRPr="00653DC8">
              <w:rPr>
                <w:rFonts w:eastAsia="Times New Roman" w:cs="Calibri"/>
                <w:color w:val="000000"/>
                <w:kern w:val="0"/>
                <w:szCs w:val="22"/>
                <w:lang w:eastAsia="en-AU"/>
                <w14:ligatures w14:val="none"/>
              </w:rPr>
              <w:t> </w:t>
            </w:r>
          </w:p>
          <w:p w14:paraId="2936A06A" w14:textId="23C775BE"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2FB4C45F" w14:textId="736865A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1363B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1E36CC48"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1D3CEB6" w14:textId="4F866F4B"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1364B</w:t>
            </w:r>
            <w:r w:rsidR="00F7726A" w:rsidRPr="00653DC8">
              <w:rPr>
                <w:rFonts w:eastAsia="Times New Roman" w:cs="Calibri"/>
                <w:color w:val="000000"/>
                <w:kern w:val="0"/>
                <w:szCs w:val="22"/>
                <w:lang w:val="en-US" w:eastAsia="en-AU"/>
                <w14:ligatures w14:val="none"/>
              </w:rPr>
              <w:t>Australian Energy Regulator</w:t>
            </w:r>
            <w:r w:rsidR="00F7726A" w:rsidRPr="00653DC8">
              <w:rPr>
                <w:rFonts w:eastAsia="Times New Roman" w:cs="Calibri"/>
                <w:color w:val="000000"/>
                <w:kern w:val="0"/>
                <w:szCs w:val="22"/>
                <w:lang w:eastAsia="en-AU"/>
                <w14:ligatures w14:val="none"/>
              </w:rPr>
              <w:t> </w:t>
            </w:r>
          </w:p>
          <w:p w14:paraId="1CE5E6BE" w14:textId="35FCB91D"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3AD1D074" w14:textId="03863AB2"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1365B</w:t>
            </w:r>
            <w:r w:rsidR="00F7726A" w:rsidRPr="00653DC8">
              <w:rPr>
                <w:rFonts w:eastAsia="Times New Roman" w:cs="Calibri"/>
                <w:color w:val="000000"/>
                <w:kern w:val="0"/>
                <w:szCs w:val="22"/>
                <w:lang w:val="en-US" w:eastAsia="en-AU"/>
                <w14:ligatures w14:val="none"/>
              </w:rPr>
              <w:t>1 October 2025</w:t>
            </w:r>
            <w:r w:rsidR="00F7726A" w:rsidRPr="00653DC8">
              <w:rPr>
                <w:rFonts w:eastAsia="Times New Roman" w:cs="Calibri"/>
                <w:color w:val="000000"/>
                <w:kern w:val="0"/>
                <w:szCs w:val="22"/>
                <w:lang w:eastAsia="en-AU"/>
                <w14:ligatures w14:val="none"/>
              </w:rPr>
              <w:t> </w:t>
            </w:r>
          </w:p>
        </w:tc>
      </w:tr>
      <w:tr w:rsidR="00F7726A" w:rsidRPr="00F7726A" w14:paraId="2DAD9051"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F200D7E" w14:textId="5301B4E9"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1366B</w:t>
            </w:r>
            <w:r w:rsidR="00F7726A" w:rsidRPr="00653DC8">
              <w:rPr>
                <w:rFonts w:eastAsia="Times New Roman" w:cs="Calibri"/>
                <w:color w:val="000000"/>
                <w:kern w:val="0"/>
                <w:szCs w:val="22"/>
                <w:lang w:val="en-US" w:eastAsia="en-AU"/>
                <w14:ligatures w14:val="none"/>
              </w:rPr>
              <w:t>Australian Capital Territory (ACT) Government, City and Environment Directorate</w:t>
            </w:r>
            <w:r w:rsidR="00F7726A" w:rsidRPr="00653DC8">
              <w:rPr>
                <w:rFonts w:eastAsia="Times New Roman" w:cs="Calibri"/>
                <w:color w:val="000000"/>
                <w:kern w:val="0"/>
                <w:szCs w:val="22"/>
                <w:lang w:eastAsia="en-AU"/>
                <w14:ligatures w14:val="none"/>
              </w:rPr>
              <w:t> </w:t>
            </w:r>
          </w:p>
          <w:p w14:paraId="3747AD57" w14:textId="3B566520"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53D1AB83" w14:textId="28F17AD3"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1367B</w:t>
            </w:r>
            <w:r w:rsidR="00F7726A" w:rsidRPr="00653DC8">
              <w:rPr>
                <w:rFonts w:eastAsia="Times New Roman" w:cs="Calibri"/>
                <w:color w:val="000000"/>
                <w:kern w:val="0"/>
                <w:szCs w:val="22"/>
                <w:lang w:val="en-US" w:eastAsia="en-AU"/>
                <w14:ligatures w14:val="none"/>
              </w:rPr>
              <w:t>16 October 2025</w:t>
            </w:r>
            <w:r w:rsidR="00F7726A" w:rsidRPr="00653DC8">
              <w:rPr>
                <w:rFonts w:eastAsia="Times New Roman" w:cs="Calibri"/>
                <w:color w:val="000000"/>
                <w:kern w:val="0"/>
                <w:szCs w:val="22"/>
                <w:lang w:eastAsia="en-AU"/>
                <w14:ligatures w14:val="none"/>
              </w:rPr>
              <w:t> </w:t>
            </w:r>
          </w:p>
        </w:tc>
      </w:tr>
      <w:tr w:rsidR="00F7726A" w:rsidRPr="00F7726A" w14:paraId="0EA2E487"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72D5499" w14:textId="7F9C4434"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1368B</w:t>
            </w:r>
            <w:r w:rsidR="00F7726A" w:rsidRPr="00653DC8">
              <w:rPr>
                <w:rFonts w:eastAsia="Times New Roman" w:cs="Calibri"/>
                <w:color w:val="000000"/>
                <w:kern w:val="0"/>
                <w:szCs w:val="22"/>
                <w:lang w:val="en-US" w:eastAsia="en-AU"/>
                <w14:ligatures w14:val="none"/>
              </w:rPr>
              <w:t>University of Canberra, Professor Fiona Dyer</w:t>
            </w:r>
            <w:r w:rsidR="00F7726A" w:rsidRPr="00653DC8">
              <w:rPr>
                <w:rFonts w:eastAsia="Times New Roman" w:cs="Calibri"/>
                <w:color w:val="000000"/>
                <w:kern w:val="0"/>
                <w:szCs w:val="22"/>
                <w:lang w:eastAsia="en-AU"/>
                <w14:ligatures w14:val="none"/>
              </w:rPr>
              <w:t> </w:t>
            </w:r>
          </w:p>
          <w:p w14:paraId="76863117" w14:textId="7C72636C"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15162C01" w14:textId="2736E28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1369B</w:t>
            </w:r>
            <w:r w:rsidR="00F7726A" w:rsidRPr="00653DC8">
              <w:rPr>
                <w:rFonts w:eastAsia="Times New Roman" w:cs="Calibri"/>
                <w:color w:val="000000"/>
                <w:kern w:val="0"/>
                <w:szCs w:val="22"/>
                <w:lang w:val="en-US" w:eastAsia="en-AU"/>
                <w14:ligatures w14:val="none"/>
              </w:rPr>
              <w:t>23 October 2025</w:t>
            </w:r>
            <w:r w:rsidR="00F7726A" w:rsidRPr="00653DC8">
              <w:rPr>
                <w:rFonts w:eastAsia="Times New Roman" w:cs="Calibri"/>
                <w:color w:val="000000"/>
                <w:kern w:val="0"/>
                <w:szCs w:val="22"/>
                <w:lang w:eastAsia="en-AU"/>
                <w14:ligatures w14:val="none"/>
              </w:rPr>
              <w:t> </w:t>
            </w:r>
          </w:p>
        </w:tc>
      </w:tr>
      <w:tr w:rsidR="00F7726A" w:rsidRPr="00F7726A" w14:paraId="310DC88B"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3B355A2" w14:textId="64262A6F"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1370B</w:t>
            </w:r>
            <w:r w:rsidR="00F7726A" w:rsidRPr="00653DC8">
              <w:rPr>
                <w:rFonts w:eastAsia="Times New Roman" w:cs="Calibri"/>
                <w:color w:val="000000"/>
                <w:kern w:val="0"/>
                <w:szCs w:val="22"/>
                <w:lang w:val="en-US" w:eastAsia="en-AU"/>
                <w14:ligatures w14:val="none"/>
              </w:rPr>
              <w:t>Snowy Advisory Committee, Emeritus Professor John Rodger</w:t>
            </w:r>
            <w:r w:rsidR="00F7726A" w:rsidRPr="00653DC8">
              <w:rPr>
                <w:rFonts w:eastAsia="Times New Roman" w:cs="Calibri"/>
                <w:color w:val="000000"/>
                <w:kern w:val="0"/>
                <w:szCs w:val="22"/>
                <w:lang w:eastAsia="en-AU"/>
                <w14:ligatures w14:val="none"/>
              </w:rPr>
              <w:t> </w:t>
            </w:r>
          </w:p>
          <w:p w14:paraId="1A25D16F" w14:textId="4B5D2E87"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37E04041" w14:textId="04B663FA"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1371B</w:t>
            </w:r>
            <w:r w:rsidR="00F7726A" w:rsidRPr="00653DC8">
              <w:rPr>
                <w:rFonts w:eastAsia="Times New Roman" w:cs="Calibri"/>
                <w:color w:val="000000"/>
                <w:kern w:val="0"/>
                <w:szCs w:val="22"/>
                <w:lang w:val="en-US" w:eastAsia="en-AU"/>
                <w14:ligatures w14:val="none"/>
              </w:rPr>
              <w:t>23 October 2025</w:t>
            </w:r>
            <w:r w:rsidR="00F7726A" w:rsidRPr="00653DC8">
              <w:rPr>
                <w:rFonts w:eastAsia="Times New Roman" w:cs="Calibri"/>
                <w:color w:val="000000"/>
                <w:kern w:val="0"/>
                <w:szCs w:val="22"/>
                <w:lang w:eastAsia="en-AU"/>
                <w14:ligatures w14:val="none"/>
              </w:rPr>
              <w:t> </w:t>
            </w:r>
          </w:p>
        </w:tc>
      </w:tr>
      <w:tr w:rsidR="00F7726A" w:rsidRPr="00F7726A" w14:paraId="100EB8AB"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2115B3E5" w14:textId="243AF42F"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1372B</w:t>
            </w:r>
            <w:r w:rsidR="00F7726A" w:rsidRPr="00653DC8">
              <w:rPr>
                <w:rFonts w:eastAsia="Times New Roman" w:cs="Calibri"/>
                <w:color w:val="000000"/>
                <w:kern w:val="0"/>
                <w:szCs w:val="22"/>
                <w:lang w:val="en-US" w:eastAsia="en-AU"/>
                <w14:ligatures w14:val="none"/>
              </w:rPr>
              <w:t>Australian National University researcher, Anna McGuire (on a jointly published paper with Professor Jaimie Pittock).</w:t>
            </w:r>
            <w:r w:rsidR="00F7726A" w:rsidRPr="00653DC8">
              <w:rPr>
                <w:rFonts w:eastAsia="Times New Roman" w:cs="Calibri"/>
                <w:color w:val="000000"/>
                <w:kern w:val="0"/>
                <w:szCs w:val="22"/>
                <w:lang w:eastAsia="en-AU"/>
                <w14:ligatures w14:val="none"/>
              </w:rPr>
              <w:t> </w:t>
            </w:r>
          </w:p>
          <w:p w14:paraId="78D3488C" w14:textId="50CEDA77"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5C930AB5" w14:textId="064BC7C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1373B</w:t>
            </w:r>
            <w:r w:rsidR="00F7726A" w:rsidRPr="00653DC8">
              <w:rPr>
                <w:rFonts w:eastAsia="Times New Roman" w:cs="Calibri"/>
                <w:color w:val="000000"/>
                <w:kern w:val="0"/>
                <w:szCs w:val="22"/>
                <w:lang w:val="en-US" w:eastAsia="en-AU"/>
                <w14:ligatures w14:val="none"/>
              </w:rPr>
              <w:t>23 October 2025</w:t>
            </w:r>
            <w:r w:rsidR="00F7726A" w:rsidRPr="00653DC8">
              <w:rPr>
                <w:rFonts w:eastAsia="Times New Roman" w:cs="Calibri"/>
                <w:color w:val="000000"/>
                <w:kern w:val="0"/>
                <w:szCs w:val="22"/>
                <w:lang w:eastAsia="en-AU"/>
                <w14:ligatures w14:val="none"/>
              </w:rPr>
              <w:t> </w:t>
            </w:r>
          </w:p>
        </w:tc>
      </w:tr>
      <w:tr w:rsidR="00F7726A" w:rsidRPr="00F7726A" w14:paraId="6DF6943D"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F518C68" w14:textId="2938E23B" w:rsidR="00A32AF7"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1374B</w:t>
            </w:r>
            <w:r w:rsidR="00F7726A" w:rsidRPr="00653DC8">
              <w:rPr>
                <w:rFonts w:eastAsia="Times New Roman" w:cs="Calibri"/>
                <w:color w:val="000000"/>
                <w:kern w:val="0"/>
                <w:szCs w:val="22"/>
                <w:lang w:val="en-US" w:eastAsia="en-AU"/>
                <w14:ligatures w14:val="none"/>
              </w:rPr>
              <w:t>ACT and Region Catchment Management and Coordination Group</w:t>
            </w:r>
            <w:r w:rsidR="00F7726A" w:rsidRPr="00653DC8">
              <w:rPr>
                <w:rFonts w:eastAsia="Times New Roman" w:cs="Calibri"/>
                <w:color w:val="000000"/>
                <w:kern w:val="0"/>
                <w:szCs w:val="22"/>
                <w:lang w:eastAsia="en-AU"/>
                <w14:ligatures w14:val="none"/>
              </w:rPr>
              <w:t> </w:t>
            </w:r>
          </w:p>
          <w:p w14:paraId="1FCF35B7" w14:textId="2A9FF6E0"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6B4C6CCB" w14:textId="636EB59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1375B</w:t>
            </w:r>
            <w:r w:rsidR="00F7726A" w:rsidRPr="00653DC8">
              <w:rPr>
                <w:rFonts w:eastAsia="Times New Roman" w:cs="Calibri"/>
                <w:color w:val="000000"/>
                <w:kern w:val="0"/>
                <w:szCs w:val="22"/>
                <w:lang w:val="en-US" w:eastAsia="en-AU"/>
                <w14:ligatures w14:val="none"/>
              </w:rPr>
              <w:t>23 October 2025</w:t>
            </w:r>
            <w:r w:rsidR="00F7726A" w:rsidRPr="00653DC8">
              <w:rPr>
                <w:rFonts w:eastAsia="Times New Roman" w:cs="Calibri"/>
                <w:color w:val="000000"/>
                <w:kern w:val="0"/>
                <w:szCs w:val="22"/>
                <w:lang w:eastAsia="en-AU"/>
                <w14:ligatures w14:val="none"/>
              </w:rPr>
              <w:t> </w:t>
            </w:r>
          </w:p>
        </w:tc>
      </w:tr>
      <w:tr w:rsidR="00F7726A" w:rsidRPr="00F7726A" w14:paraId="1D19D5E4"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22F7B195" w14:textId="782FF8F5"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1376B</w:t>
            </w:r>
            <w:r w:rsidR="00F7726A" w:rsidRPr="00653DC8">
              <w:rPr>
                <w:rFonts w:eastAsia="Times New Roman" w:cs="Calibri"/>
                <w:color w:val="000000"/>
                <w:kern w:val="0"/>
                <w:szCs w:val="22"/>
                <w:lang w:val="en-US" w:eastAsia="en-AU"/>
                <w14:ligatures w14:val="none"/>
              </w:rPr>
              <w:t>Deed Review Stakeholder Advisory Group</w:t>
            </w:r>
            <w:r w:rsidR="00F7726A" w:rsidRPr="00653DC8">
              <w:rPr>
                <w:rFonts w:eastAsia="Times New Roman" w:cs="Calibri"/>
                <w:color w:val="000000"/>
                <w:kern w:val="0"/>
                <w:szCs w:val="22"/>
                <w:lang w:eastAsia="en-AU"/>
                <w14:ligatures w14:val="none"/>
              </w:rPr>
              <w:t> </w:t>
            </w:r>
          </w:p>
          <w:p w14:paraId="27A1E8F7" w14:textId="55CEBB93"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09730880" w14:textId="5A8D422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1377B</w:t>
            </w:r>
            <w:r w:rsidR="00F7726A" w:rsidRPr="00653DC8">
              <w:rPr>
                <w:rFonts w:eastAsia="Times New Roman" w:cs="Calibri"/>
                <w:color w:val="000000"/>
                <w:kern w:val="0"/>
                <w:szCs w:val="22"/>
                <w:lang w:val="en-US" w:eastAsia="en-AU"/>
                <w14:ligatures w14:val="none"/>
              </w:rPr>
              <w:t>11 November 2025</w:t>
            </w:r>
            <w:r w:rsidR="00F7726A" w:rsidRPr="00653DC8">
              <w:rPr>
                <w:rFonts w:eastAsia="Times New Roman" w:cs="Calibri"/>
                <w:color w:val="000000"/>
                <w:kern w:val="0"/>
                <w:szCs w:val="22"/>
                <w:lang w:eastAsia="en-AU"/>
                <w14:ligatures w14:val="none"/>
              </w:rPr>
              <w:t> </w:t>
            </w:r>
          </w:p>
        </w:tc>
      </w:tr>
      <w:tr w:rsidR="00F7726A" w:rsidRPr="00F7726A" w14:paraId="4AED4DBA"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18C14F1" w14:textId="485E0908"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1378B</w:t>
            </w:r>
            <w:r w:rsidR="00F7726A" w:rsidRPr="00653DC8">
              <w:rPr>
                <w:rFonts w:eastAsia="Times New Roman" w:cs="Calibri"/>
                <w:color w:val="000000"/>
                <w:kern w:val="0"/>
                <w:szCs w:val="22"/>
                <w:lang w:val="en-US" w:eastAsia="en-AU"/>
                <w14:ligatures w14:val="none"/>
              </w:rPr>
              <w:t>Snowy Hydro Limited, Chief Executive Officer, Dennis Barnes</w:t>
            </w:r>
            <w:r w:rsidR="00F7726A" w:rsidRPr="00653DC8">
              <w:rPr>
                <w:rFonts w:eastAsia="Times New Roman" w:cs="Calibri"/>
                <w:color w:val="000000"/>
                <w:kern w:val="0"/>
                <w:szCs w:val="22"/>
                <w:lang w:eastAsia="en-AU"/>
                <w14:ligatures w14:val="none"/>
              </w:rPr>
              <w:t> </w:t>
            </w:r>
          </w:p>
          <w:p w14:paraId="032F58EF" w14:textId="76FEEC30"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4A7378C7" w14:textId="71F4689B"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1379B</w:t>
            </w:r>
            <w:r w:rsidR="00F7726A" w:rsidRPr="00653DC8">
              <w:rPr>
                <w:rFonts w:eastAsia="Times New Roman" w:cs="Calibri"/>
                <w:color w:val="000000"/>
                <w:kern w:val="0"/>
                <w:szCs w:val="22"/>
                <w:lang w:val="en-US" w:eastAsia="en-AU"/>
                <w14:ligatures w14:val="none"/>
              </w:rPr>
              <w:t>13 November 2025</w:t>
            </w:r>
            <w:r w:rsidR="00F7726A" w:rsidRPr="00653DC8">
              <w:rPr>
                <w:rFonts w:eastAsia="Times New Roman" w:cs="Calibri"/>
                <w:color w:val="000000"/>
                <w:kern w:val="0"/>
                <w:szCs w:val="22"/>
                <w:lang w:eastAsia="en-AU"/>
                <w14:ligatures w14:val="none"/>
              </w:rPr>
              <w:t> </w:t>
            </w:r>
          </w:p>
        </w:tc>
      </w:tr>
      <w:tr w:rsidR="00F7726A" w:rsidRPr="00F7726A" w14:paraId="4EA936A7"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E8904FE" w14:textId="581D2A80"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1380B</w:t>
            </w:r>
            <w:r w:rsidR="00F7726A" w:rsidRPr="00653DC8">
              <w:rPr>
                <w:rFonts w:eastAsia="Times New Roman" w:cs="Calibri"/>
                <w:color w:val="000000"/>
                <w:kern w:val="0"/>
                <w:szCs w:val="22"/>
                <w:lang w:val="en-US" w:eastAsia="en-AU"/>
                <w14:ligatures w14:val="none"/>
              </w:rPr>
              <w:t>Deed Review intergovernmental Review Consultation Group</w:t>
            </w:r>
            <w:r w:rsidR="00F7726A" w:rsidRPr="00653DC8">
              <w:rPr>
                <w:rFonts w:eastAsia="Times New Roman" w:cs="Calibri"/>
                <w:color w:val="000000"/>
                <w:kern w:val="0"/>
                <w:szCs w:val="22"/>
                <w:lang w:eastAsia="en-AU"/>
                <w14:ligatures w14:val="none"/>
              </w:rPr>
              <w:t> </w:t>
            </w:r>
          </w:p>
          <w:p w14:paraId="0CCBA47A" w14:textId="2CB7DBF5"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7B718FDE" w14:textId="2CD3E5A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1381B</w:t>
            </w:r>
            <w:r w:rsidR="00F7726A" w:rsidRPr="00653DC8">
              <w:rPr>
                <w:rFonts w:eastAsia="Times New Roman" w:cs="Calibri"/>
                <w:color w:val="000000"/>
                <w:kern w:val="0"/>
                <w:szCs w:val="22"/>
                <w:lang w:val="en-US" w:eastAsia="en-AU"/>
                <w14:ligatures w14:val="none"/>
              </w:rPr>
              <w:t>3 December 2025</w:t>
            </w:r>
            <w:r w:rsidR="00F7726A" w:rsidRPr="00653DC8">
              <w:rPr>
                <w:rFonts w:eastAsia="Times New Roman" w:cs="Calibri"/>
                <w:color w:val="000000"/>
                <w:kern w:val="0"/>
                <w:szCs w:val="22"/>
                <w:lang w:eastAsia="en-AU"/>
                <w14:ligatures w14:val="none"/>
              </w:rPr>
              <w:t> </w:t>
            </w:r>
          </w:p>
        </w:tc>
      </w:tr>
      <w:tr w:rsidR="00F7726A" w:rsidRPr="00F7726A" w14:paraId="0D4D0982"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2CC5CC89" w14:textId="2943E5CE"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1382B</w:t>
            </w:r>
            <w:r w:rsidR="00F7726A" w:rsidRPr="00653DC8">
              <w:rPr>
                <w:rFonts w:eastAsia="Times New Roman" w:cs="Calibri"/>
                <w:color w:val="000000"/>
                <w:kern w:val="0"/>
                <w:szCs w:val="22"/>
                <w:lang w:val="en-US" w:eastAsia="en-AU"/>
                <w14:ligatures w14:val="none"/>
              </w:rPr>
              <w:t>Deed Review First Nations Advisory Group </w:t>
            </w:r>
            <w:r w:rsidR="00F7726A" w:rsidRPr="00653DC8">
              <w:rPr>
                <w:rFonts w:eastAsia="Times New Roman" w:cs="Calibri"/>
                <w:color w:val="000000"/>
                <w:kern w:val="0"/>
                <w:szCs w:val="22"/>
                <w:lang w:eastAsia="en-AU"/>
                <w14:ligatures w14:val="none"/>
              </w:rPr>
              <w:t> </w:t>
            </w:r>
          </w:p>
          <w:p w14:paraId="4CA27A03" w14:textId="247E1CD9"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102F9AA9" w14:textId="471C71BB"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1383B</w:t>
            </w:r>
            <w:r w:rsidR="00F7726A" w:rsidRPr="00653DC8">
              <w:rPr>
                <w:rFonts w:eastAsia="Times New Roman" w:cs="Calibri"/>
                <w:color w:val="000000"/>
                <w:kern w:val="0"/>
                <w:szCs w:val="22"/>
                <w:lang w:val="en-US" w:eastAsia="en-AU"/>
                <w14:ligatures w14:val="none"/>
              </w:rPr>
              <w:t>11 December 2025</w:t>
            </w:r>
            <w:r w:rsidR="00F7726A" w:rsidRPr="00653DC8">
              <w:rPr>
                <w:rFonts w:eastAsia="Times New Roman" w:cs="Calibri"/>
                <w:color w:val="000000"/>
                <w:kern w:val="0"/>
                <w:szCs w:val="22"/>
                <w:lang w:eastAsia="en-AU"/>
                <w14:ligatures w14:val="none"/>
              </w:rPr>
              <w:t> </w:t>
            </w:r>
          </w:p>
        </w:tc>
      </w:tr>
      <w:tr w:rsidR="00F7726A" w:rsidRPr="00F7726A" w14:paraId="2727F9AD"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5716AB1" w14:textId="3F0F402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1384B</w:t>
            </w:r>
            <w:r w:rsidR="00F7726A" w:rsidRPr="00653DC8">
              <w:rPr>
                <w:rFonts w:eastAsia="Times New Roman" w:cs="Calibri"/>
                <w:color w:val="000000"/>
                <w:kern w:val="0"/>
                <w:szCs w:val="22"/>
                <w:lang w:val="en-US" w:eastAsia="en-AU"/>
                <w14:ligatures w14:val="none"/>
              </w:rPr>
              <w:t>Commonwealth Environmental Water Holder, Dr Simon Banks</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2B16DCF9" w14:textId="354F5226"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1385B</w:t>
            </w:r>
            <w:r w:rsidR="00F7726A" w:rsidRPr="00653DC8">
              <w:rPr>
                <w:rFonts w:eastAsia="Times New Roman" w:cs="Calibri"/>
                <w:color w:val="000000"/>
                <w:kern w:val="0"/>
                <w:szCs w:val="22"/>
                <w:lang w:val="en-US" w:eastAsia="en-AU"/>
                <w14:ligatures w14:val="none"/>
              </w:rPr>
              <w:t>11 December 2025</w:t>
            </w:r>
            <w:r w:rsidR="00F7726A" w:rsidRPr="00653DC8">
              <w:rPr>
                <w:rFonts w:eastAsia="Times New Roman" w:cs="Calibri"/>
                <w:color w:val="000000"/>
                <w:kern w:val="0"/>
                <w:szCs w:val="22"/>
                <w:lang w:eastAsia="en-AU"/>
                <w14:ligatures w14:val="none"/>
              </w:rPr>
              <w:t> </w:t>
            </w:r>
          </w:p>
        </w:tc>
      </w:tr>
      <w:tr w:rsidR="00F7726A" w:rsidRPr="00F7726A" w14:paraId="6485B7C9"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E662850" w14:textId="6ABED070"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1386B</w:t>
            </w:r>
            <w:r w:rsidR="00F7726A" w:rsidRPr="00653DC8">
              <w:rPr>
                <w:rFonts w:eastAsia="Times New Roman" w:cs="Calibri"/>
                <w:kern w:val="0"/>
                <w:szCs w:val="22"/>
                <w:lang w:val="en-US" w:eastAsia="en-AU"/>
                <w14:ligatures w14:val="none"/>
              </w:rPr>
              <w:t>Commonwealth DCCEEW National Water Policy, International and Engagement Branch, on the new National Water Agreement</w:t>
            </w:r>
            <w:r w:rsidR="00F7726A" w:rsidRPr="00653DC8">
              <w:rPr>
                <w:rFonts w:eastAsia="Times New Roman" w:cs="Calibri"/>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70255DA0" w14:textId="2EAAD51F"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1387B</w:t>
            </w:r>
            <w:r w:rsidR="00F7726A" w:rsidRPr="00653DC8">
              <w:rPr>
                <w:rFonts w:eastAsia="Times New Roman" w:cs="Calibri"/>
                <w:color w:val="000000"/>
                <w:kern w:val="0"/>
                <w:szCs w:val="22"/>
                <w:lang w:val="en-US" w:eastAsia="en-AU"/>
                <w14:ligatures w14:val="none"/>
              </w:rPr>
              <w:t>21 January 2026</w:t>
            </w:r>
            <w:r w:rsidR="00F7726A" w:rsidRPr="00653DC8">
              <w:rPr>
                <w:rFonts w:eastAsia="Times New Roman" w:cs="Calibri"/>
                <w:color w:val="000000"/>
                <w:kern w:val="0"/>
                <w:szCs w:val="22"/>
                <w:lang w:eastAsia="en-AU"/>
                <w14:ligatures w14:val="none"/>
              </w:rPr>
              <w:t> </w:t>
            </w:r>
          </w:p>
        </w:tc>
      </w:tr>
      <w:tr w:rsidR="00F7726A" w:rsidRPr="00F7726A" w14:paraId="7E2A53A6"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D631A8A" w14:textId="1E04868F"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1388B</w:t>
            </w:r>
            <w:r w:rsidR="00F7726A" w:rsidRPr="00653DC8">
              <w:rPr>
                <w:rFonts w:eastAsia="Times New Roman" w:cs="Calibri"/>
                <w:color w:val="000000"/>
                <w:kern w:val="0"/>
                <w:szCs w:val="22"/>
                <w:lang w:val="en-US" w:eastAsia="en-AU"/>
                <w14:ligatures w14:val="none"/>
              </w:rPr>
              <w:t>Australian National University, Professor Jamie Pittock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2DFDD6E8" w14:textId="6BF480F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1389B</w:t>
            </w:r>
            <w:r w:rsidR="00F7726A" w:rsidRPr="00653DC8">
              <w:rPr>
                <w:rFonts w:eastAsia="Times New Roman" w:cs="Calibri"/>
                <w:color w:val="000000"/>
                <w:kern w:val="0"/>
                <w:szCs w:val="22"/>
                <w:lang w:val="en-US" w:eastAsia="en-AU"/>
                <w14:ligatures w14:val="none"/>
              </w:rPr>
              <w:t>21 January 2026</w:t>
            </w:r>
            <w:r w:rsidR="00F7726A" w:rsidRPr="00653DC8">
              <w:rPr>
                <w:rFonts w:eastAsia="Times New Roman" w:cs="Calibri"/>
                <w:color w:val="000000"/>
                <w:kern w:val="0"/>
                <w:szCs w:val="22"/>
                <w:lang w:eastAsia="en-AU"/>
                <w14:ligatures w14:val="none"/>
              </w:rPr>
              <w:t> </w:t>
            </w:r>
          </w:p>
        </w:tc>
      </w:tr>
      <w:tr w:rsidR="00F7726A" w:rsidRPr="00F7726A" w14:paraId="51D9B92A"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65B2B6FC" w14:textId="4792F602"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1390B</w:t>
            </w:r>
            <w:r w:rsidR="00F7726A" w:rsidRPr="00653DC8">
              <w:rPr>
                <w:rFonts w:eastAsia="Times New Roman" w:cs="Calibri"/>
                <w:color w:val="000000"/>
                <w:kern w:val="0"/>
                <w:szCs w:val="22"/>
                <w:lang w:val="en-US" w:eastAsia="en-AU"/>
                <w14:ligatures w14:val="none"/>
              </w:rPr>
              <w:t>ACT and Region Catchment Management and Coordination Group Chair, Dr Maxine Cooper and Rinzin Lhamo </w:t>
            </w:r>
            <w:r w:rsidR="00F7726A" w:rsidRPr="00653DC8">
              <w:rPr>
                <w:rFonts w:eastAsia="Times New Roman" w:cs="Calibri"/>
                <w:color w:val="000000"/>
                <w:kern w:val="0"/>
                <w:szCs w:val="22"/>
                <w:lang w:eastAsia="en-AU"/>
                <w14:ligatures w14:val="none"/>
              </w:rPr>
              <w:t> </w:t>
            </w:r>
          </w:p>
          <w:p w14:paraId="38D8118C" w14:textId="15257851"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542606A5" w14:textId="76737D18"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1391B</w:t>
            </w:r>
            <w:r w:rsidR="00F7726A" w:rsidRPr="00653DC8">
              <w:rPr>
                <w:rFonts w:eastAsia="Times New Roman" w:cs="Calibri"/>
                <w:color w:val="000000"/>
                <w:kern w:val="0"/>
                <w:szCs w:val="22"/>
                <w:lang w:val="en-US" w:eastAsia="en-AU"/>
                <w14:ligatures w14:val="none"/>
              </w:rPr>
              <w:t>21 January 2026</w:t>
            </w:r>
            <w:r w:rsidR="00F7726A" w:rsidRPr="00653DC8">
              <w:rPr>
                <w:rFonts w:eastAsia="Times New Roman" w:cs="Calibri"/>
                <w:color w:val="000000"/>
                <w:kern w:val="0"/>
                <w:szCs w:val="22"/>
                <w:lang w:eastAsia="en-AU"/>
                <w14:ligatures w14:val="none"/>
              </w:rPr>
              <w:t> </w:t>
            </w:r>
          </w:p>
        </w:tc>
      </w:tr>
      <w:tr w:rsidR="00F7726A" w:rsidRPr="00F7726A" w14:paraId="72D23B8B"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5074C97A" w14:textId="18FB297E"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1392B</w:t>
            </w:r>
            <w:r w:rsidR="00F7726A" w:rsidRPr="00653DC8">
              <w:rPr>
                <w:rFonts w:eastAsia="Times New Roman" w:cs="Calibri"/>
                <w:color w:val="000000"/>
                <w:kern w:val="0"/>
                <w:szCs w:val="22"/>
                <w:lang w:val="en-US" w:eastAsia="en-AU"/>
                <w14:ligatures w14:val="none"/>
              </w:rPr>
              <w:t>Snowy Hydro Limited, Water Manager, James Pirozzi (Cooma, New South Wales)</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2B623D31" w14:textId="43CFE118"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1393B</w:t>
            </w:r>
            <w:r w:rsidR="00F7726A" w:rsidRPr="00653DC8">
              <w:rPr>
                <w:rFonts w:eastAsia="Times New Roman" w:cs="Calibri"/>
                <w:color w:val="000000"/>
                <w:kern w:val="0"/>
                <w:szCs w:val="22"/>
                <w:lang w:val="en-US" w:eastAsia="en-AU"/>
                <w14:ligatures w14:val="none"/>
              </w:rPr>
              <w:t>22 January 2026</w:t>
            </w:r>
            <w:r w:rsidR="00F7726A" w:rsidRPr="00653DC8">
              <w:rPr>
                <w:rFonts w:eastAsia="Times New Roman" w:cs="Calibri"/>
                <w:color w:val="000000"/>
                <w:kern w:val="0"/>
                <w:szCs w:val="22"/>
                <w:lang w:eastAsia="en-AU"/>
                <w14:ligatures w14:val="none"/>
              </w:rPr>
              <w:t> </w:t>
            </w:r>
          </w:p>
        </w:tc>
      </w:tr>
      <w:tr w:rsidR="00F7726A" w:rsidRPr="00F7726A" w14:paraId="36919259"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5A1F2317" w14:textId="2BA0685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1394B</w:t>
            </w:r>
            <w:r w:rsidR="00F7726A" w:rsidRPr="00653DC8">
              <w:rPr>
                <w:rFonts w:eastAsia="Times New Roman" w:cs="Calibri"/>
                <w:color w:val="000000"/>
                <w:kern w:val="0"/>
                <w:szCs w:val="22"/>
                <w:lang w:val="en-US" w:eastAsia="en-AU"/>
                <w14:ligatures w14:val="none"/>
              </w:rPr>
              <w:t>Victorian East Gippsland Catchment Management Authority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7791FC86" w14:textId="4FE552A5"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1395B</w:t>
            </w:r>
            <w:r w:rsidR="00F7726A" w:rsidRPr="00653DC8">
              <w:rPr>
                <w:rFonts w:eastAsia="Times New Roman" w:cs="Calibri"/>
                <w:color w:val="000000"/>
                <w:kern w:val="0"/>
                <w:szCs w:val="22"/>
                <w:lang w:val="en-US" w:eastAsia="en-AU"/>
                <w14:ligatures w14:val="none"/>
              </w:rPr>
              <w:t>4 February 2026</w:t>
            </w:r>
            <w:r w:rsidR="00F7726A" w:rsidRPr="00653DC8">
              <w:rPr>
                <w:rFonts w:eastAsia="Times New Roman" w:cs="Calibri"/>
                <w:color w:val="000000"/>
                <w:kern w:val="0"/>
                <w:szCs w:val="22"/>
                <w:lang w:eastAsia="en-AU"/>
                <w14:ligatures w14:val="none"/>
              </w:rPr>
              <w:t> </w:t>
            </w:r>
          </w:p>
        </w:tc>
      </w:tr>
      <w:tr w:rsidR="00F7726A" w:rsidRPr="00F7726A" w14:paraId="7F9CAFD2"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13375967" w14:textId="4178BC8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1396B</w:t>
            </w:r>
            <w:r w:rsidR="00F7726A" w:rsidRPr="00653DC8">
              <w:rPr>
                <w:rFonts w:eastAsia="Times New Roman" w:cs="Calibri"/>
                <w:color w:val="000000"/>
                <w:kern w:val="0"/>
                <w:szCs w:val="22"/>
                <w:lang w:val="en-US" w:eastAsia="en-AU"/>
                <w14:ligatures w14:val="none"/>
              </w:rPr>
              <w:t>Snowy River Public Community Forum (Marlo, Victoria)</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4D6D9291" w14:textId="145CA6D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1397B</w:t>
            </w:r>
            <w:r w:rsidR="00F7726A" w:rsidRPr="00653DC8">
              <w:rPr>
                <w:rFonts w:eastAsia="Times New Roman" w:cs="Calibri"/>
                <w:color w:val="000000"/>
                <w:kern w:val="0"/>
                <w:szCs w:val="22"/>
                <w:lang w:val="en-US" w:eastAsia="en-AU"/>
                <w14:ligatures w14:val="none"/>
              </w:rPr>
              <w:t>4 February 2026</w:t>
            </w:r>
            <w:r w:rsidR="00F7726A" w:rsidRPr="00653DC8">
              <w:rPr>
                <w:rFonts w:eastAsia="Times New Roman" w:cs="Calibri"/>
                <w:color w:val="000000"/>
                <w:kern w:val="0"/>
                <w:szCs w:val="22"/>
                <w:lang w:eastAsia="en-AU"/>
                <w14:ligatures w14:val="none"/>
              </w:rPr>
              <w:t> </w:t>
            </w:r>
          </w:p>
        </w:tc>
      </w:tr>
      <w:tr w:rsidR="00F7726A" w:rsidRPr="00F7726A" w14:paraId="2EE19499"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2DA0356" w14:textId="0EE222C5"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lastRenderedPageBreak/>
              <w:t>1398B</w:t>
            </w:r>
            <w:r w:rsidR="00F7726A" w:rsidRPr="00653DC8">
              <w:rPr>
                <w:rFonts w:eastAsia="Times New Roman" w:cs="Calibri"/>
                <w:color w:val="000000"/>
                <w:kern w:val="0"/>
                <w:szCs w:val="22"/>
                <w:lang w:val="en-US" w:eastAsia="en-AU"/>
                <w14:ligatures w14:val="none"/>
              </w:rPr>
              <w:t>Snowy River Public Community Forum (Dalgety, New South Wales)</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00BEB2E4" w14:textId="267C700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1399B</w:t>
            </w:r>
            <w:r w:rsidR="00F7726A" w:rsidRPr="00653DC8">
              <w:rPr>
                <w:rFonts w:eastAsia="Times New Roman" w:cs="Calibri"/>
                <w:color w:val="000000"/>
                <w:kern w:val="0"/>
                <w:szCs w:val="22"/>
                <w:lang w:val="en-US" w:eastAsia="en-AU"/>
                <w14:ligatures w14:val="none"/>
              </w:rPr>
              <w:t>5 February 2026</w:t>
            </w:r>
            <w:r w:rsidR="00F7726A" w:rsidRPr="00653DC8">
              <w:rPr>
                <w:rFonts w:eastAsia="Times New Roman" w:cs="Calibri"/>
                <w:color w:val="000000"/>
                <w:kern w:val="0"/>
                <w:szCs w:val="22"/>
                <w:lang w:eastAsia="en-AU"/>
                <w14:ligatures w14:val="none"/>
              </w:rPr>
              <w:t> </w:t>
            </w:r>
          </w:p>
        </w:tc>
      </w:tr>
      <w:tr w:rsidR="00F7726A" w:rsidRPr="00F7726A" w14:paraId="3C7FA80F"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74A3CFA" w14:textId="5DB29148"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1400B</w:t>
            </w:r>
            <w:r w:rsidR="00F7726A" w:rsidRPr="00653DC8">
              <w:rPr>
                <w:rFonts w:eastAsia="Times New Roman" w:cs="Calibri"/>
                <w:color w:val="000000"/>
                <w:kern w:val="0"/>
                <w:szCs w:val="22"/>
                <w:lang w:val="en-US" w:eastAsia="en-AU"/>
                <w14:ligatures w14:val="none"/>
              </w:rPr>
              <w:t>Deed Review intergovernmental Review Consultation Group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46120612" w14:textId="0BF55460"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1401B</w:t>
            </w:r>
            <w:r w:rsidR="00F7726A" w:rsidRPr="00653DC8">
              <w:rPr>
                <w:rFonts w:eastAsia="Times New Roman" w:cs="Calibri"/>
                <w:color w:val="000000"/>
                <w:kern w:val="0"/>
                <w:szCs w:val="22"/>
                <w:lang w:val="en-US" w:eastAsia="en-AU"/>
                <w14:ligatures w14:val="none"/>
              </w:rPr>
              <w:t>26 February 2026</w:t>
            </w:r>
            <w:r w:rsidR="00F7726A" w:rsidRPr="00653DC8">
              <w:rPr>
                <w:rFonts w:eastAsia="Times New Roman" w:cs="Calibri"/>
                <w:color w:val="000000"/>
                <w:kern w:val="0"/>
                <w:szCs w:val="22"/>
                <w:lang w:eastAsia="en-AU"/>
                <w14:ligatures w14:val="none"/>
              </w:rPr>
              <w:t> </w:t>
            </w:r>
          </w:p>
        </w:tc>
      </w:tr>
      <w:tr w:rsidR="00F7726A" w:rsidRPr="00F7726A" w14:paraId="6A40F545"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3D7CDB4" w14:textId="63D560F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1402B</w:t>
            </w:r>
            <w:r w:rsidR="00F7726A" w:rsidRPr="00653DC8">
              <w:rPr>
                <w:rFonts w:eastAsia="Times New Roman" w:cs="Calibri"/>
                <w:color w:val="000000"/>
                <w:kern w:val="0"/>
                <w:szCs w:val="22"/>
                <w:lang w:val="en-US" w:eastAsia="en-AU"/>
                <w14:ligatures w14:val="none"/>
              </w:rPr>
              <w:t>Deed Review Commonwealth Review Steering Committee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48FB42DD" w14:textId="068628BC"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1403B</w:t>
            </w:r>
            <w:r w:rsidR="00F7726A" w:rsidRPr="00653DC8">
              <w:rPr>
                <w:rFonts w:eastAsia="Times New Roman" w:cs="Calibri"/>
                <w:color w:val="000000"/>
                <w:kern w:val="0"/>
                <w:szCs w:val="22"/>
                <w:lang w:val="en-US" w:eastAsia="en-AU"/>
                <w14:ligatures w14:val="none"/>
              </w:rPr>
              <w:t>2 March 2026</w:t>
            </w:r>
            <w:r w:rsidR="00F7726A" w:rsidRPr="00653DC8">
              <w:rPr>
                <w:rFonts w:eastAsia="Times New Roman" w:cs="Calibri"/>
                <w:color w:val="000000"/>
                <w:kern w:val="0"/>
                <w:szCs w:val="22"/>
                <w:lang w:eastAsia="en-AU"/>
                <w14:ligatures w14:val="none"/>
              </w:rPr>
              <w:t> </w:t>
            </w:r>
          </w:p>
        </w:tc>
      </w:tr>
      <w:tr w:rsidR="00F7726A" w:rsidRPr="00F7726A" w14:paraId="6B283051"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1301A769" w14:textId="4F8A450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1404B</w:t>
            </w:r>
            <w:r w:rsidR="00F7726A" w:rsidRPr="00653DC8">
              <w:rPr>
                <w:rFonts w:eastAsia="Times New Roman" w:cs="Calibri"/>
                <w:color w:val="000000"/>
                <w:kern w:val="0"/>
                <w:szCs w:val="22"/>
                <w:lang w:val="en-US" w:eastAsia="en-AU"/>
                <w14:ligatures w14:val="none"/>
              </w:rPr>
              <w:t>Inspector General of Water Compliance, the Hon Troy Grant</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41801EBE" w14:textId="69C1EC1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1405B</w:t>
            </w:r>
            <w:r w:rsidR="00F7726A" w:rsidRPr="00653DC8">
              <w:rPr>
                <w:rFonts w:eastAsia="Times New Roman" w:cs="Calibri"/>
                <w:color w:val="000000"/>
                <w:kern w:val="0"/>
                <w:szCs w:val="22"/>
                <w:lang w:val="en-US" w:eastAsia="en-AU"/>
                <w14:ligatures w14:val="none"/>
              </w:rPr>
              <w:t>4 March 2026</w:t>
            </w:r>
            <w:r w:rsidR="00F7726A" w:rsidRPr="00653DC8">
              <w:rPr>
                <w:rFonts w:eastAsia="Times New Roman" w:cs="Calibri"/>
                <w:color w:val="000000"/>
                <w:kern w:val="0"/>
                <w:szCs w:val="22"/>
                <w:lang w:eastAsia="en-AU"/>
                <w14:ligatures w14:val="none"/>
              </w:rPr>
              <w:t> </w:t>
            </w:r>
          </w:p>
        </w:tc>
      </w:tr>
      <w:tr w:rsidR="00F7726A" w:rsidRPr="00F7726A" w14:paraId="198E9DEE"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CEC33DB" w14:textId="155E9D36"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1406B</w:t>
            </w:r>
            <w:r w:rsidR="00F7726A" w:rsidRPr="00653DC8">
              <w:rPr>
                <w:rFonts w:eastAsia="Times New Roman" w:cs="Calibri"/>
                <w:color w:val="000000"/>
                <w:kern w:val="0"/>
                <w:szCs w:val="22"/>
                <w:lang w:val="en-US" w:eastAsia="en-AU"/>
                <w14:ligatures w14:val="none"/>
              </w:rPr>
              <w:t>Murray-Darling Basin Authority, Chief Executive Andrew McConville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1C8E48E1" w14:textId="7C7AFD9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1407B</w:t>
            </w:r>
            <w:r w:rsidR="00F7726A" w:rsidRPr="00653DC8">
              <w:rPr>
                <w:rFonts w:eastAsia="Times New Roman" w:cs="Calibri"/>
                <w:color w:val="000000"/>
                <w:kern w:val="0"/>
                <w:szCs w:val="22"/>
                <w:lang w:val="en-US" w:eastAsia="en-AU"/>
                <w14:ligatures w14:val="none"/>
              </w:rPr>
              <w:t>6 March 2026</w:t>
            </w:r>
            <w:r w:rsidR="00F7726A" w:rsidRPr="00653DC8">
              <w:rPr>
                <w:rFonts w:eastAsia="Times New Roman" w:cs="Calibri"/>
                <w:color w:val="000000"/>
                <w:kern w:val="0"/>
                <w:szCs w:val="22"/>
                <w:lang w:eastAsia="en-AU"/>
                <w14:ligatures w14:val="none"/>
              </w:rPr>
              <w:t> </w:t>
            </w:r>
          </w:p>
        </w:tc>
      </w:tr>
      <w:tr w:rsidR="00F7726A" w:rsidRPr="00F7726A" w14:paraId="392DED5E"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2BD3E46C" w14:textId="1AE273A3"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1408B</w:t>
            </w:r>
            <w:r w:rsidR="00F7726A" w:rsidRPr="00653DC8">
              <w:rPr>
                <w:rFonts w:eastAsia="Times New Roman" w:cs="Calibri"/>
                <w:color w:val="000000"/>
                <w:kern w:val="0"/>
                <w:szCs w:val="22"/>
                <w:lang w:val="en-US" w:eastAsia="en-AU"/>
                <w14:ligatures w14:val="none"/>
              </w:rPr>
              <w:t>Deed Review intergovernmental Review Consultation Group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7AEEE0AB" w14:textId="4E4DD49D"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1409B</w:t>
            </w:r>
            <w:r w:rsidR="00F7726A" w:rsidRPr="00653DC8">
              <w:rPr>
                <w:rFonts w:eastAsia="Times New Roman" w:cs="Calibri"/>
                <w:color w:val="000000"/>
                <w:kern w:val="0"/>
                <w:szCs w:val="22"/>
                <w:lang w:val="en-US" w:eastAsia="en-AU"/>
                <w14:ligatures w14:val="none"/>
              </w:rPr>
              <w:t>17 March 2026</w:t>
            </w:r>
            <w:r w:rsidR="00F7726A" w:rsidRPr="00653DC8">
              <w:rPr>
                <w:rFonts w:eastAsia="Times New Roman" w:cs="Calibri"/>
                <w:color w:val="000000"/>
                <w:kern w:val="0"/>
                <w:szCs w:val="22"/>
                <w:lang w:eastAsia="en-AU"/>
                <w14:ligatures w14:val="none"/>
              </w:rPr>
              <w:t> </w:t>
            </w:r>
          </w:p>
        </w:tc>
      </w:tr>
      <w:tr w:rsidR="00F7726A" w:rsidRPr="00F7726A" w14:paraId="4687BF82"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128C2E73" w14:textId="47D4EB25"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1410B</w:t>
            </w:r>
            <w:r w:rsidR="00F7726A" w:rsidRPr="00653DC8">
              <w:rPr>
                <w:rFonts w:eastAsia="Times New Roman" w:cs="Calibri"/>
                <w:color w:val="000000"/>
                <w:kern w:val="0"/>
                <w:szCs w:val="22"/>
                <w:lang w:val="en-US" w:eastAsia="en-AU"/>
                <w14:ligatures w14:val="none"/>
              </w:rPr>
              <w:t>NSW Natural Resources Commission, Executive Director Bryce Wilde</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26DEA5B4" w14:textId="6AF4AE70"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1411B</w:t>
            </w:r>
            <w:r w:rsidR="00F7726A" w:rsidRPr="00653DC8">
              <w:rPr>
                <w:rFonts w:eastAsia="Times New Roman" w:cs="Calibri"/>
                <w:color w:val="000000"/>
                <w:kern w:val="0"/>
                <w:szCs w:val="22"/>
                <w:lang w:val="en-US" w:eastAsia="en-AU"/>
                <w14:ligatures w14:val="none"/>
              </w:rPr>
              <w:t>18 March 2026</w:t>
            </w:r>
            <w:r w:rsidR="00F7726A" w:rsidRPr="00653DC8">
              <w:rPr>
                <w:rFonts w:eastAsia="Times New Roman" w:cs="Calibri"/>
                <w:color w:val="000000"/>
                <w:kern w:val="0"/>
                <w:szCs w:val="22"/>
                <w:lang w:eastAsia="en-AU"/>
                <w14:ligatures w14:val="none"/>
              </w:rPr>
              <w:t> </w:t>
            </w:r>
          </w:p>
        </w:tc>
      </w:tr>
      <w:tr w:rsidR="00F7726A" w:rsidRPr="00F7726A" w14:paraId="606A3F9E"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5DFE1F16" w14:textId="2BF18128"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1412B</w:t>
            </w:r>
            <w:r w:rsidR="00F7726A" w:rsidRPr="00653DC8">
              <w:rPr>
                <w:rFonts w:eastAsia="Times New Roman" w:cs="Calibri"/>
                <w:color w:val="000000"/>
                <w:kern w:val="0"/>
                <w:szCs w:val="22"/>
                <w:lang w:val="en-US" w:eastAsia="en-AU"/>
                <w14:ligatures w14:val="none"/>
              </w:rPr>
              <w:t>NSW Natural Resources Access Regulator, Chief Regulatory Officer Grant Barnes</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78FB6BFA" w14:textId="0F041DA2"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1413B</w:t>
            </w:r>
            <w:r w:rsidR="00F7726A" w:rsidRPr="00653DC8">
              <w:rPr>
                <w:rFonts w:eastAsia="Times New Roman" w:cs="Calibri"/>
                <w:color w:val="000000"/>
                <w:kern w:val="0"/>
                <w:szCs w:val="22"/>
                <w:lang w:val="en-US" w:eastAsia="en-AU"/>
                <w14:ligatures w14:val="none"/>
              </w:rPr>
              <w:t>18 March 2026</w:t>
            </w:r>
            <w:r w:rsidR="00F7726A" w:rsidRPr="00653DC8">
              <w:rPr>
                <w:rFonts w:eastAsia="Times New Roman" w:cs="Calibri"/>
                <w:color w:val="000000"/>
                <w:kern w:val="0"/>
                <w:szCs w:val="22"/>
                <w:lang w:eastAsia="en-AU"/>
                <w14:ligatures w14:val="none"/>
              </w:rPr>
              <w:t> </w:t>
            </w:r>
          </w:p>
        </w:tc>
      </w:tr>
      <w:tr w:rsidR="00F7726A" w:rsidRPr="00F7726A" w14:paraId="35A56844"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B10D848" w14:textId="00CE8D0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1414B</w:t>
            </w:r>
            <w:r w:rsidR="00F7726A" w:rsidRPr="00653DC8">
              <w:rPr>
                <w:rFonts w:eastAsia="Times New Roman" w:cs="Calibri"/>
                <w:color w:val="000000"/>
                <w:kern w:val="0"/>
                <w:szCs w:val="22"/>
                <w:lang w:val="en-US" w:eastAsia="en-AU"/>
                <w14:ligatures w14:val="none"/>
              </w:rPr>
              <w:t>NSW Local Land Services, CEO Kate Lorimer-Ward</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2045ED18" w14:textId="1C86F76B"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1415B</w:t>
            </w:r>
            <w:r w:rsidR="00F7726A" w:rsidRPr="00653DC8">
              <w:rPr>
                <w:rFonts w:eastAsia="Times New Roman" w:cs="Calibri"/>
                <w:color w:val="000000"/>
                <w:kern w:val="0"/>
                <w:szCs w:val="22"/>
                <w:lang w:val="en-US" w:eastAsia="en-AU"/>
                <w14:ligatures w14:val="none"/>
              </w:rPr>
              <w:t>8 April 2026</w:t>
            </w:r>
            <w:r w:rsidR="00F7726A" w:rsidRPr="00653DC8">
              <w:rPr>
                <w:rFonts w:eastAsia="Times New Roman" w:cs="Calibri"/>
                <w:color w:val="000000"/>
                <w:kern w:val="0"/>
                <w:szCs w:val="22"/>
                <w:lang w:eastAsia="en-AU"/>
                <w14:ligatures w14:val="none"/>
              </w:rPr>
              <w:t> </w:t>
            </w:r>
          </w:p>
        </w:tc>
      </w:tr>
      <w:tr w:rsidR="00F7726A" w:rsidRPr="00F7726A" w14:paraId="771588A5"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3FBE0A6" w14:textId="27CDC83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1416B</w:t>
            </w:r>
            <w:r w:rsidR="00F7726A" w:rsidRPr="00653DC8">
              <w:rPr>
                <w:rFonts w:eastAsia="Times New Roman" w:cs="Calibri"/>
                <w:color w:val="000000"/>
                <w:kern w:val="0"/>
                <w:szCs w:val="22"/>
                <w:lang w:val="en-US" w:eastAsia="en-AU"/>
                <w14:ligatures w14:val="none"/>
              </w:rPr>
              <w:t>Snowy Hydro Limited, Chief Commercial Officer, Gordon Wymer and Chief Operating Officer, Maia Schwizer </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60E61DE3" w14:textId="4938EC4B"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1417B</w:t>
            </w:r>
            <w:r w:rsidR="00F7726A" w:rsidRPr="00653DC8">
              <w:rPr>
                <w:rFonts w:eastAsia="Times New Roman" w:cs="Calibri"/>
                <w:color w:val="000000"/>
                <w:kern w:val="0"/>
                <w:szCs w:val="22"/>
                <w:lang w:val="en-US" w:eastAsia="en-AU"/>
                <w14:ligatures w14:val="none"/>
              </w:rPr>
              <w:t>15 April 2026</w:t>
            </w:r>
            <w:r w:rsidR="00F7726A" w:rsidRPr="00653DC8">
              <w:rPr>
                <w:rFonts w:eastAsia="Times New Roman" w:cs="Calibri"/>
                <w:color w:val="000000"/>
                <w:kern w:val="0"/>
                <w:szCs w:val="22"/>
                <w:lang w:eastAsia="en-AU"/>
                <w14:ligatures w14:val="none"/>
              </w:rPr>
              <w:t> </w:t>
            </w:r>
          </w:p>
        </w:tc>
      </w:tr>
      <w:tr w:rsidR="00F7726A" w:rsidRPr="00F7726A" w14:paraId="49FAD09F"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6C7F5089" w14:textId="1E29EB6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1418B</w:t>
            </w:r>
            <w:r w:rsidR="00F7726A" w:rsidRPr="00653DC8">
              <w:rPr>
                <w:rFonts w:eastAsia="Times New Roman" w:cs="Calibri"/>
                <w:color w:val="000000"/>
                <w:kern w:val="0"/>
                <w:szCs w:val="22"/>
                <w:lang w:val="en-US" w:eastAsia="en-AU"/>
                <w14:ligatures w14:val="none"/>
              </w:rPr>
              <w:t>Deed Review intergovernmental Review Consultation Group</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6B417A39" w14:textId="64294431"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1419B</w:t>
            </w:r>
            <w:r w:rsidR="00F7726A" w:rsidRPr="00653DC8">
              <w:rPr>
                <w:rFonts w:eastAsia="Times New Roman" w:cs="Calibri"/>
                <w:color w:val="000000"/>
                <w:kern w:val="0"/>
                <w:szCs w:val="22"/>
                <w:lang w:val="en-US" w:eastAsia="en-AU"/>
                <w14:ligatures w14:val="none"/>
              </w:rPr>
              <w:t>22 April 2026</w:t>
            </w:r>
            <w:r w:rsidR="00F7726A" w:rsidRPr="00653DC8">
              <w:rPr>
                <w:rFonts w:eastAsia="Times New Roman" w:cs="Calibri"/>
                <w:color w:val="000000"/>
                <w:kern w:val="0"/>
                <w:szCs w:val="22"/>
                <w:lang w:eastAsia="en-AU"/>
                <w14:ligatures w14:val="none"/>
              </w:rPr>
              <w:t> </w:t>
            </w:r>
          </w:p>
        </w:tc>
      </w:tr>
      <w:tr w:rsidR="00F7726A" w:rsidRPr="00F7726A" w14:paraId="16179CCA"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6223D9A" w14:textId="339487C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1420B</w:t>
            </w:r>
            <w:r w:rsidR="00F7726A" w:rsidRPr="00653DC8">
              <w:rPr>
                <w:rFonts w:eastAsia="Times New Roman" w:cs="Calibri"/>
                <w:color w:val="000000"/>
                <w:kern w:val="0"/>
                <w:szCs w:val="22"/>
                <w:lang w:val="en-US" w:eastAsia="en-AU"/>
                <w14:ligatures w14:val="none"/>
              </w:rPr>
              <w:t>Deed Review First Nations Advisory Group Facilitator, Paul Knight</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5AA20E9E" w14:textId="6B519380"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1421B</w:t>
            </w:r>
            <w:r w:rsidR="00F7726A" w:rsidRPr="00653DC8">
              <w:rPr>
                <w:rFonts w:eastAsia="Times New Roman" w:cs="Calibri"/>
                <w:color w:val="000000"/>
                <w:kern w:val="0"/>
                <w:szCs w:val="22"/>
                <w:lang w:val="en-US" w:eastAsia="en-AU"/>
                <w14:ligatures w14:val="none"/>
              </w:rPr>
              <w:t>21 April 2026</w:t>
            </w:r>
            <w:r w:rsidR="00F7726A" w:rsidRPr="00653DC8">
              <w:rPr>
                <w:rFonts w:eastAsia="Times New Roman" w:cs="Calibri"/>
                <w:color w:val="000000"/>
                <w:kern w:val="0"/>
                <w:szCs w:val="22"/>
                <w:lang w:eastAsia="en-AU"/>
                <w14:ligatures w14:val="none"/>
              </w:rPr>
              <w:t> </w:t>
            </w:r>
          </w:p>
        </w:tc>
      </w:tr>
      <w:tr w:rsidR="00F7726A" w:rsidRPr="00F7726A" w14:paraId="18F81494"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0D40C8B8" w14:textId="5ED9F9D0"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1422B</w:t>
            </w:r>
            <w:r w:rsidR="00F7726A" w:rsidRPr="00653DC8">
              <w:rPr>
                <w:rFonts w:eastAsia="Times New Roman" w:cs="Calibri"/>
                <w:color w:val="000000"/>
                <w:kern w:val="0"/>
                <w:szCs w:val="22"/>
                <w:lang w:val="en-US" w:eastAsia="en-AU"/>
                <w14:ligatures w14:val="none"/>
              </w:rPr>
              <w:t>Deed Review First Nations Advisory Group</w:t>
            </w:r>
            <w:r w:rsidR="00F7726A" w:rsidRPr="00653DC8">
              <w:rPr>
                <w:rFonts w:eastAsia="Times New Roman" w:cs="Calibri"/>
                <w:color w:val="000000"/>
                <w:kern w:val="0"/>
                <w:szCs w:val="22"/>
                <w:lang w:eastAsia="en-AU"/>
                <w14:ligatures w14:val="none"/>
              </w:rPr>
              <w:t> </w:t>
            </w:r>
          </w:p>
          <w:p w14:paraId="22E6BF9C" w14:textId="598579D7"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09518F6E" w14:textId="49806CC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1423B</w:t>
            </w:r>
            <w:r w:rsidR="00F7726A" w:rsidRPr="00653DC8">
              <w:rPr>
                <w:rFonts w:eastAsia="Times New Roman" w:cs="Calibri"/>
                <w:color w:val="000000"/>
                <w:kern w:val="0"/>
                <w:szCs w:val="22"/>
                <w:lang w:val="en-US" w:eastAsia="en-AU"/>
                <w14:ligatures w14:val="none"/>
              </w:rPr>
              <w:t>23 April 2026</w:t>
            </w:r>
            <w:r w:rsidR="00F7726A" w:rsidRPr="00653DC8">
              <w:rPr>
                <w:rFonts w:eastAsia="Times New Roman" w:cs="Calibri"/>
                <w:color w:val="000000"/>
                <w:kern w:val="0"/>
                <w:szCs w:val="22"/>
                <w:lang w:eastAsia="en-AU"/>
                <w14:ligatures w14:val="none"/>
              </w:rPr>
              <w:t> </w:t>
            </w:r>
          </w:p>
        </w:tc>
      </w:tr>
      <w:tr w:rsidR="00F7726A" w:rsidRPr="00F7726A" w14:paraId="1487E743"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52C1C10A" w14:textId="12EA81C0"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1424B</w:t>
            </w:r>
            <w:r w:rsidR="00F7726A" w:rsidRPr="00653DC8">
              <w:rPr>
                <w:rFonts w:eastAsia="Times New Roman" w:cs="Calibri"/>
                <w:color w:val="000000"/>
                <w:kern w:val="0"/>
                <w:szCs w:val="22"/>
                <w:lang w:val="en-US" w:eastAsia="en-AU"/>
                <w14:ligatures w14:val="none"/>
              </w:rPr>
              <w:t>Deed Review intergovernmental Review Consultation Group</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6E177246" w14:textId="2D28D7C6"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1425B</w:t>
            </w:r>
            <w:r w:rsidR="00F7726A" w:rsidRPr="00653DC8">
              <w:rPr>
                <w:rFonts w:eastAsia="Times New Roman" w:cs="Calibri"/>
                <w:color w:val="000000"/>
                <w:kern w:val="0"/>
                <w:szCs w:val="22"/>
                <w:lang w:val="en-US" w:eastAsia="en-AU"/>
                <w14:ligatures w14:val="none"/>
              </w:rPr>
              <w:t>12 May 2026</w:t>
            </w:r>
            <w:r w:rsidR="00F7726A" w:rsidRPr="00653DC8">
              <w:rPr>
                <w:rFonts w:eastAsia="Times New Roman" w:cs="Calibri"/>
                <w:color w:val="000000"/>
                <w:kern w:val="0"/>
                <w:szCs w:val="22"/>
                <w:lang w:eastAsia="en-AU"/>
                <w14:ligatures w14:val="none"/>
              </w:rPr>
              <w:t> </w:t>
            </w:r>
          </w:p>
        </w:tc>
      </w:tr>
      <w:tr w:rsidR="00F7726A" w:rsidRPr="00F7726A" w14:paraId="32DB680E"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1DB0C2F" w14:textId="46184C03"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1426B</w:t>
            </w:r>
            <w:r w:rsidR="00F7726A" w:rsidRPr="00653DC8">
              <w:rPr>
                <w:rFonts w:eastAsia="Times New Roman" w:cs="Calibri"/>
                <w:color w:val="000000"/>
                <w:kern w:val="0"/>
                <w:szCs w:val="22"/>
                <w:lang w:val="en-US" w:eastAsia="en-AU"/>
                <w14:ligatures w14:val="none"/>
              </w:rPr>
              <w:t>Deed Review intergovernmental Review Consultation Group</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3B6F2B42" w14:textId="3487501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1427B</w:t>
            </w:r>
            <w:r w:rsidR="00F7726A" w:rsidRPr="00653DC8">
              <w:rPr>
                <w:rFonts w:eastAsia="Times New Roman" w:cs="Calibri"/>
                <w:color w:val="000000"/>
                <w:kern w:val="0"/>
                <w:szCs w:val="22"/>
                <w:lang w:val="en-US" w:eastAsia="en-AU"/>
                <w14:ligatures w14:val="none"/>
              </w:rPr>
              <w:t>28 May 2026</w:t>
            </w:r>
            <w:r w:rsidR="00F7726A" w:rsidRPr="00653DC8">
              <w:rPr>
                <w:rFonts w:eastAsia="Times New Roman" w:cs="Calibri"/>
                <w:color w:val="000000"/>
                <w:kern w:val="0"/>
                <w:szCs w:val="22"/>
                <w:lang w:eastAsia="en-AU"/>
                <w14:ligatures w14:val="none"/>
              </w:rPr>
              <w:t> </w:t>
            </w:r>
          </w:p>
        </w:tc>
      </w:tr>
      <w:tr w:rsidR="00F7726A" w:rsidRPr="00F7726A" w14:paraId="5DB471BE"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41695FB2" w14:textId="72D6C66E"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1428B</w:t>
            </w:r>
            <w:r w:rsidR="00F7726A" w:rsidRPr="00653DC8">
              <w:rPr>
                <w:rFonts w:eastAsia="Times New Roman" w:cs="Calibri"/>
                <w:color w:val="000000"/>
                <w:kern w:val="0"/>
                <w:szCs w:val="22"/>
                <w:lang w:val="en-US" w:eastAsia="en-AU"/>
                <w14:ligatures w14:val="none"/>
              </w:rPr>
              <w:t>NSW DCCEEW – </w:t>
            </w:r>
            <w:r w:rsidR="00F7726A" w:rsidRPr="00653DC8">
              <w:rPr>
                <w:rFonts w:eastAsia="Times New Roman" w:cs="Calibri"/>
                <w:kern w:val="0"/>
                <w:szCs w:val="22"/>
                <w:lang w:val="en-US" w:eastAsia="en-AU"/>
                <w14:ligatures w14:val="none"/>
              </w:rPr>
              <w:t>Conservation Programs, Heritage and Regulation</w:t>
            </w:r>
            <w:r w:rsidR="00F7726A" w:rsidRPr="00653DC8">
              <w:rPr>
                <w:rFonts w:eastAsia="Times New Roman" w:cs="Calibri"/>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028905E9" w14:textId="3AEEB65C"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1429B</w:t>
            </w:r>
            <w:r w:rsidR="00F7726A" w:rsidRPr="00653DC8">
              <w:rPr>
                <w:rFonts w:eastAsia="Times New Roman" w:cs="Calibri"/>
                <w:color w:val="000000"/>
                <w:kern w:val="0"/>
                <w:szCs w:val="22"/>
                <w:lang w:val="en-US" w:eastAsia="en-AU"/>
                <w14:ligatures w14:val="none"/>
              </w:rPr>
              <w:t>2 June 2026</w:t>
            </w:r>
            <w:r w:rsidR="00F7726A" w:rsidRPr="00653DC8">
              <w:rPr>
                <w:rFonts w:eastAsia="Times New Roman" w:cs="Calibri"/>
                <w:color w:val="000000"/>
                <w:kern w:val="0"/>
                <w:szCs w:val="22"/>
                <w:lang w:eastAsia="en-AU"/>
                <w14:ligatures w14:val="none"/>
              </w:rPr>
              <w:t> </w:t>
            </w:r>
          </w:p>
        </w:tc>
      </w:tr>
      <w:tr w:rsidR="00653DC8" w:rsidRPr="00653DC8" w14:paraId="6B550290"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tcPr>
          <w:p w14:paraId="0822D468" w14:textId="61956273" w:rsidR="00653DC8" w:rsidRPr="00D551FB"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1430B</w:t>
            </w:r>
            <w:r w:rsidR="00D551FB" w:rsidRPr="00D551FB">
              <w:rPr>
                <w:rFonts w:eastAsia="Times New Roman" w:cs="Calibri"/>
                <w:color w:val="000000"/>
                <w:kern w:val="0"/>
                <w:szCs w:val="22"/>
                <w:lang w:val="en-US" w:eastAsia="en-AU"/>
                <w14:ligatures w14:val="none"/>
              </w:rPr>
              <w:t>NSW DCCEEW – Water Group and Snowy Hydro Limited, Water Manager, James Pirozzi</w:t>
            </w:r>
            <w:r w:rsidR="00D551FB" w:rsidRPr="00D551FB">
              <w:rPr>
                <w:rFonts w:ascii="Arial" w:eastAsia="Times New Roman" w:hAnsi="Arial" w:cs="Arial"/>
                <w:color w:val="000000"/>
                <w:kern w:val="0"/>
                <w:szCs w:val="22"/>
                <w:lang w:val="en-US" w:eastAsia="en-AU"/>
                <w14:ligatures w14:val="none"/>
              </w:rPr>
              <w:t> </w:t>
            </w:r>
            <w:r w:rsidR="00D551FB" w:rsidRPr="00D551FB">
              <w:rPr>
                <w:rFonts w:eastAsia="Times New Roman" w:cs="Calibri"/>
                <w:color w:val="000000"/>
                <w:kern w:val="0"/>
                <w:szCs w:val="22"/>
                <w:lang w:val="en-US" w:eastAsia="en-AU"/>
                <w14:ligatures w14:val="none"/>
              </w:rPr>
              <w:t xml:space="preserve"> </w:t>
            </w:r>
          </w:p>
        </w:tc>
        <w:tc>
          <w:tcPr>
            <w:tcW w:w="2045" w:type="dxa"/>
            <w:tcBorders>
              <w:top w:val="single" w:sz="6" w:space="0" w:color="auto"/>
              <w:left w:val="single" w:sz="6" w:space="0" w:color="auto"/>
              <w:bottom w:val="single" w:sz="6" w:space="0" w:color="auto"/>
              <w:right w:val="single" w:sz="6" w:space="0" w:color="auto"/>
            </w:tcBorders>
          </w:tcPr>
          <w:p w14:paraId="3B3B41B8" w14:textId="594FB310" w:rsidR="00653DC8" w:rsidRPr="00653DC8"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1431B</w:t>
            </w:r>
            <w:r w:rsidR="00D551FB" w:rsidRPr="00D551FB">
              <w:rPr>
                <w:rFonts w:eastAsia="Times New Roman" w:cs="Calibri"/>
                <w:color w:val="000000"/>
                <w:kern w:val="0"/>
                <w:szCs w:val="22"/>
                <w:lang w:val="en-US" w:eastAsia="en-AU"/>
                <w14:ligatures w14:val="none"/>
              </w:rPr>
              <w:t>2 June 2026</w:t>
            </w:r>
            <w:r w:rsidR="00D551FB" w:rsidRPr="00D551FB">
              <w:rPr>
                <w:rFonts w:ascii="Arial" w:eastAsia="Times New Roman" w:hAnsi="Arial" w:cs="Arial"/>
                <w:color w:val="000000"/>
                <w:kern w:val="0"/>
                <w:szCs w:val="22"/>
                <w:lang w:val="en-US" w:eastAsia="en-AU"/>
                <w14:ligatures w14:val="none"/>
              </w:rPr>
              <w:t> </w:t>
            </w:r>
          </w:p>
        </w:tc>
      </w:tr>
      <w:tr w:rsidR="00DD3DD2" w:rsidRPr="00F7726A" w14:paraId="03804729"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tcPr>
          <w:p w14:paraId="710AC92B" w14:textId="203CD8A3" w:rsidR="00DD3DD2" w:rsidRPr="00745358"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1432B</w:t>
            </w:r>
            <w:r w:rsidR="00745358" w:rsidRPr="00745358">
              <w:rPr>
                <w:rFonts w:eastAsia="Times New Roman" w:cs="Calibri"/>
                <w:color w:val="000000"/>
                <w:kern w:val="0"/>
                <w:szCs w:val="22"/>
                <w:lang w:val="en-US" w:eastAsia="en-AU"/>
                <w14:ligatures w14:val="none"/>
              </w:rPr>
              <w:t>Commonwealth Environmental Water Holder</w:t>
            </w:r>
          </w:p>
        </w:tc>
        <w:tc>
          <w:tcPr>
            <w:tcW w:w="2045" w:type="dxa"/>
            <w:tcBorders>
              <w:top w:val="single" w:sz="6" w:space="0" w:color="auto"/>
              <w:left w:val="single" w:sz="6" w:space="0" w:color="auto"/>
              <w:bottom w:val="single" w:sz="6" w:space="0" w:color="auto"/>
              <w:right w:val="single" w:sz="6" w:space="0" w:color="auto"/>
            </w:tcBorders>
          </w:tcPr>
          <w:p w14:paraId="45D47B05" w14:textId="79D5F59F" w:rsidR="00DD3DD2" w:rsidRPr="00653DC8"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1433B</w:t>
            </w:r>
            <w:r w:rsidR="00745358">
              <w:rPr>
                <w:rFonts w:eastAsia="Times New Roman" w:cs="Calibri"/>
                <w:color w:val="000000"/>
                <w:kern w:val="0"/>
                <w:szCs w:val="22"/>
                <w:lang w:val="en-US" w:eastAsia="en-AU"/>
                <w14:ligatures w14:val="none"/>
              </w:rPr>
              <w:t>2 June 2026</w:t>
            </w:r>
          </w:p>
        </w:tc>
      </w:tr>
      <w:tr w:rsidR="00F7726A" w:rsidRPr="00F7726A" w14:paraId="3B29CE3A"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54B4064" w14:textId="1DFFCFDC"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1434B</w:t>
            </w:r>
            <w:r w:rsidR="00F7726A" w:rsidRPr="00653DC8">
              <w:rPr>
                <w:rFonts w:eastAsia="Times New Roman" w:cs="Calibri"/>
                <w:color w:val="000000"/>
                <w:kern w:val="0"/>
                <w:szCs w:val="22"/>
                <w:lang w:val="en-US" w:eastAsia="en-AU"/>
                <w14:ligatures w14:val="none"/>
              </w:rPr>
              <w:t>Murray-Darling Basin Authority, Chief Executive Andrew McConville</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22F20EAD" w14:textId="24103CF9"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1435B</w:t>
            </w:r>
            <w:r w:rsidR="00F7726A" w:rsidRPr="00653DC8">
              <w:rPr>
                <w:rFonts w:eastAsia="Times New Roman" w:cs="Calibri"/>
                <w:color w:val="000000"/>
                <w:kern w:val="0"/>
                <w:szCs w:val="22"/>
                <w:lang w:val="en-US" w:eastAsia="en-AU"/>
                <w14:ligatures w14:val="none"/>
              </w:rPr>
              <w:t>3 June 2026</w:t>
            </w:r>
            <w:r w:rsidR="00F7726A" w:rsidRPr="00653DC8">
              <w:rPr>
                <w:rFonts w:eastAsia="Times New Roman" w:cs="Calibri"/>
                <w:color w:val="000000"/>
                <w:kern w:val="0"/>
                <w:szCs w:val="22"/>
                <w:lang w:eastAsia="en-AU"/>
                <w14:ligatures w14:val="none"/>
              </w:rPr>
              <w:t> </w:t>
            </w:r>
          </w:p>
        </w:tc>
      </w:tr>
      <w:tr w:rsidR="00F7726A" w:rsidRPr="00F7726A" w14:paraId="5AEF93E7"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6A4B58A5" w14:textId="35840067"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1436B</w:t>
            </w:r>
            <w:r w:rsidR="00F7726A" w:rsidRPr="00653DC8">
              <w:rPr>
                <w:rFonts w:eastAsia="Times New Roman" w:cs="Calibri"/>
                <w:color w:val="000000"/>
                <w:kern w:val="0"/>
                <w:szCs w:val="22"/>
                <w:lang w:val="en-US" w:eastAsia="en-AU"/>
                <w14:ligatures w14:val="none"/>
              </w:rPr>
              <w:t>Snowy Hydro Limited, Chief Executive Officer, Dennis Barnes and Chief Operating Officer, Maia Schwizer</w:t>
            </w:r>
            <w:r w:rsidR="00F7726A" w:rsidRPr="00653DC8">
              <w:rPr>
                <w:rFonts w:eastAsia="Times New Roman" w:cs="Calibri"/>
                <w:color w:val="000000"/>
                <w:kern w:val="0"/>
                <w:szCs w:val="22"/>
                <w:lang w:eastAsia="en-AU"/>
                <w14:ligatures w14:val="none"/>
              </w:rPr>
              <w:t> </w:t>
            </w:r>
          </w:p>
          <w:p w14:paraId="4DD95692" w14:textId="70A012B5"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25DAEE2A" w14:textId="708B929A"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1437B</w:t>
            </w:r>
            <w:r w:rsidR="00F7726A" w:rsidRPr="00653DC8">
              <w:rPr>
                <w:rFonts w:eastAsia="Times New Roman" w:cs="Calibri"/>
                <w:color w:val="000000"/>
                <w:kern w:val="0"/>
                <w:szCs w:val="22"/>
                <w:lang w:val="en-US" w:eastAsia="en-AU"/>
                <w14:ligatures w14:val="none"/>
              </w:rPr>
              <w:t>10 June 2026</w:t>
            </w:r>
            <w:r w:rsidR="00F7726A" w:rsidRPr="00653DC8">
              <w:rPr>
                <w:rFonts w:eastAsia="Times New Roman" w:cs="Calibri"/>
                <w:color w:val="000000"/>
                <w:kern w:val="0"/>
                <w:szCs w:val="22"/>
                <w:lang w:eastAsia="en-AU"/>
                <w14:ligatures w14:val="none"/>
              </w:rPr>
              <w:t> </w:t>
            </w:r>
          </w:p>
        </w:tc>
      </w:tr>
      <w:tr w:rsidR="00F7726A" w:rsidRPr="00F7726A" w14:paraId="1303B7A0" w14:textId="77777777" w:rsidTr="008F6FF9">
        <w:trPr>
          <w:trHeight w:val="595"/>
        </w:trPr>
        <w:tc>
          <w:tcPr>
            <w:tcW w:w="6878" w:type="dxa"/>
            <w:tcBorders>
              <w:top w:val="single" w:sz="6" w:space="0" w:color="auto"/>
              <w:left w:val="single" w:sz="6" w:space="0" w:color="auto"/>
              <w:bottom w:val="single" w:sz="6" w:space="0" w:color="auto"/>
              <w:right w:val="single" w:sz="6" w:space="0" w:color="auto"/>
            </w:tcBorders>
            <w:hideMark/>
          </w:tcPr>
          <w:p w14:paraId="3409EC2C" w14:textId="18DCFABB"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1438B</w:t>
            </w:r>
            <w:r w:rsidR="00F7726A" w:rsidRPr="00653DC8">
              <w:rPr>
                <w:rFonts w:eastAsia="Times New Roman" w:cs="Calibri"/>
                <w:color w:val="000000"/>
                <w:kern w:val="0"/>
                <w:szCs w:val="22"/>
                <w:lang w:val="en-US" w:eastAsia="en-AU"/>
                <w14:ligatures w14:val="none"/>
              </w:rPr>
              <w:t>Australian Capital Territory (ACT) Government, City and Environment Directorate</w:t>
            </w:r>
            <w:r w:rsidR="00F7726A" w:rsidRPr="00653DC8">
              <w:rPr>
                <w:rFonts w:eastAsia="Times New Roman" w:cs="Calibri"/>
                <w:color w:val="000000"/>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7BB612FF" w14:textId="77587DBF"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1439B</w:t>
            </w:r>
            <w:r w:rsidR="00F7726A" w:rsidRPr="00653DC8">
              <w:rPr>
                <w:rFonts w:eastAsia="Times New Roman" w:cs="Calibri"/>
                <w:color w:val="000000"/>
                <w:kern w:val="0"/>
                <w:szCs w:val="22"/>
                <w:lang w:val="en-US" w:eastAsia="en-AU"/>
                <w14:ligatures w14:val="none"/>
              </w:rPr>
              <w:t>10 June 2026</w:t>
            </w:r>
            <w:r w:rsidR="00F7726A" w:rsidRPr="00653DC8">
              <w:rPr>
                <w:rFonts w:eastAsia="Times New Roman" w:cs="Calibri"/>
                <w:color w:val="000000"/>
                <w:kern w:val="0"/>
                <w:szCs w:val="22"/>
                <w:lang w:eastAsia="en-AU"/>
                <w14:ligatures w14:val="none"/>
              </w:rPr>
              <w:t> </w:t>
            </w:r>
          </w:p>
        </w:tc>
      </w:tr>
      <w:tr w:rsidR="00F7726A" w:rsidRPr="00F7726A" w14:paraId="2813C4D7"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20B9D022" w14:textId="4B397C0B"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1440B</w:t>
            </w:r>
            <w:r w:rsidR="00F7726A" w:rsidRPr="00653DC8">
              <w:rPr>
                <w:rFonts w:eastAsia="Times New Roman" w:cs="Calibri"/>
                <w:color w:val="000000"/>
                <w:kern w:val="0"/>
                <w:szCs w:val="22"/>
                <w:lang w:val="en-US" w:eastAsia="en-AU"/>
                <w14:ligatures w14:val="none"/>
              </w:rPr>
              <w:t>National Electricity Market Review Panel Member, </w:t>
            </w:r>
            <w:r w:rsidR="00F7726A" w:rsidRPr="00653DC8">
              <w:rPr>
                <w:rFonts w:eastAsia="Times New Roman" w:cs="Calibri"/>
                <w:kern w:val="0"/>
                <w:szCs w:val="22"/>
                <w:lang w:val="en-US" w:eastAsia="en-AU"/>
                <w14:ligatures w14:val="none"/>
              </w:rPr>
              <w:t>Philip Hirschhorn</w:t>
            </w:r>
            <w:r w:rsidR="00F7726A" w:rsidRPr="00653DC8">
              <w:rPr>
                <w:rFonts w:eastAsia="Times New Roman" w:cs="Calibri"/>
                <w:kern w:val="0"/>
                <w:szCs w:val="22"/>
                <w:lang w:eastAsia="en-AU"/>
                <w14:ligatures w14:val="none"/>
              </w:rPr>
              <w:t> </w:t>
            </w:r>
          </w:p>
        </w:tc>
        <w:tc>
          <w:tcPr>
            <w:tcW w:w="2045" w:type="dxa"/>
            <w:tcBorders>
              <w:top w:val="single" w:sz="6" w:space="0" w:color="auto"/>
              <w:left w:val="single" w:sz="6" w:space="0" w:color="auto"/>
              <w:bottom w:val="single" w:sz="6" w:space="0" w:color="auto"/>
              <w:right w:val="single" w:sz="6" w:space="0" w:color="auto"/>
            </w:tcBorders>
            <w:hideMark/>
          </w:tcPr>
          <w:p w14:paraId="13726EDD" w14:textId="3480C605"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1441B</w:t>
            </w:r>
            <w:r w:rsidR="00F7726A" w:rsidRPr="00653DC8">
              <w:rPr>
                <w:rFonts w:eastAsia="Times New Roman" w:cs="Calibri"/>
                <w:color w:val="000000"/>
                <w:kern w:val="0"/>
                <w:szCs w:val="22"/>
                <w:lang w:val="en-US" w:eastAsia="en-AU"/>
                <w14:ligatures w14:val="none"/>
              </w:rPr>
              <w:t>12 June 2026</w:t>
            </w:r>
            <w:r w:rsidR="00F7726A" w:rsidRPr="00653DC8">
              <w:rPr>
                <w:rFonts w:eastAsia="Times New Roman" w:cs="Calibri"/>
                <w:color w:val="000000"/>
                <w:kern w:val="0"/>
                <w:szCs w:val="22"/>
                <w:lang w:eastAsia="en-AU"/>
                <w14:ligatures w14:val="none"/>
              </w:rPr>
              <w:t> </w:t>
            </w:r>
          </w:p>
        </w:tc>
      </w:tr>
      <w:tr w:rsidR="00F7726A" w:rsidRPr="00F7726A" w14:paraId="5BB94280"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750B4957" w14:textId="1BB97316" w:rsidR="00F7726A" w:rsidRPr="00653DC8"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1442B</w:t>
            </w:r>
            <w:r w:rsidR="00F7726A" w:rsidRPr="00653DC8">
              <w:rPr>
                <w:rFonts w:eastAsia="Times New Roman" w:cs="Calibri"/>
                <w:color w:val="000000"/>
                <w:kern w:val="0"/>
                <w:szCs w:val="22"/>
                <w:lang w:val="en-US" w:eastAsia="en-AU"/>
                <w14:ligatures w14:val="none"/>
              </w:rPr>
              <w:t>Australian Energy Market Operator (AEMO), Executive General Manager System Design, Nicola Falcon </w:t>
            </w:r>
            <w:r w:rsidR="00F7726A" w:rsidRPr="00653DC8">
              <w:rPr>
                <w:rFonts w:eastAsia="Times New Roman" w:cs="Calibri"/>
                <w:color w:val="000000"/>
                <w:kern w:val="0"/>
                <w:szCs w:val="22"/>
                <w:lang w:eastAsia="en-AU"/>
                <w14:ligatures w14:val="none"/>
              </w:rPr>
              <w:t> </w:t>
            </w:r>
          </w:p>
          <w:p w14:paraId="19733A8F" w14:textId="47FA8F48"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749A3A3E" w14:textId="14D71E7E"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1443B</w:t>
            </w:r>
            <w:r w:rsidR="00F7726A" w:rsidRPr="00653DC8">
              <w:rPr>
                <w:rFonts w:eastAsia="Times New Roman" w:cs="Calibri"/>
                <w:color w:val="000000"/>
                <w:kern w:val="0"/>
                <w:szCs w:val="22"/>
                <w:lang w:val="en-US" w:eastAsia="en-AU"/>
                <w14:ligatures w14:val="none"/>
              </w:rPr>
              <w:t>12 June 2026</w:t>
            </w:r>
            <w:r w:rsidR="00F7726A" w:rsidRPr="00653DC8">
              <w:rPr>
                <w:rFonts w:eastAsia="Times New Roman" w:cs="Calibri"/>
                <w:color w:val="000000"/>
                <w:kern w:val="0"/>
                <w:szCs w:val="22"/>
                <w:lang w:eastAsia="en-AU"/>
                <w14:ligatures w14:val="none"/>
              </w:rPr>
              <w:t> </w:t>
            </w:r>
          </w:p>
        </w:tc>
      </w:tr>
      <w:tr w:rsidR="00F7726A" w:rsidRPr="00F7726A" w14:paraId="027C1E29"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619E5CE4" w14:textId="53BD00DE" w:rsidR="00F7726A" w:rsidRPr="00D551FB" w:rsidRDefault="00382EE8" w:rsidP="00F7726A">
            <w:pPr>
              <w:spacing w:after="0" w:line="240" w:lineRule="auto"/>
              <w:jc w:val="left"/>
              <w:textAlignment w:val="baseline"/>
              <w:rPr>
                <w:rFonts w:eastAsia="Times New Roman" w:cs="Calibri"/>
                <w:color w:val="000000"/>
                <w:kern w:val="0"/>
                <w:szCs w:val="22"/>
                <w:lang w:eastAsia="en-AU"/>
                <w14:ligatures w14:val="none"/>
              </w:rPr>
            </w:pPr>
            <w:r>
              <w:rPr>
                <w:rFonts w:ascii="ZWAdobeF" w:eastAsia="Times New Roman" w:hAnsi="ZWAdobeF" w:cs="ZWAdobeF"/>
                <w:kern w:val="0"/>
                <w:sz w:val="2"/>
                <w:szCs w:val="2"/>
                <w:lang w:val="en-US" w:eastAsia="en-AU"/>
                <w14:ligatures w14:val="none"/>
              </w:rPr>
              <w:t>1444B</w:t>
            </w:r>
            <w:r w:rsidR="00D551FB" w:rsidRPr="00653DC8">
              <w:rPr>
                <w:rFonts w:eastAsia="Times New Roman" w:cs="Calibri"/>
                <w:color w:val="000000"/>
                <w:kern w:val="0"/>
                <w:szCs w:val="22"/>
                <w:lang w:val="en-US" w:eastAsia="en-AU"/>
                <w14:ligatures w14:val="none"/>
              </w:rPr>
              <w:t>N</w:t>
            </w:r>
            <w:r w:rsidR="00D551FB">
              <w:rPr>
                <w:rFonts w:eastAsia="Times New Roman" w:cs="Calibri"/>
                <w:color w:val="000000"/>
                <w:kern w:val="0"/>
                <w:szCs w:val="22"/>
                <w:lang w:val="en-US" w:eastAsia="en-AU"/>
                <w14:ligatures w14:val="none"/>
              </w:rPr>
              <w:t xml:space="preserve">SW </w:t>
            </w:r>
            <w:r w:rsidR="00D551FB" w:rsidRPr="00653DC8">
              <w:rPr>
                <w:rFonts w:eastAsia="Times New Roman" w:cs="Calibri"/>
                <w:color w:val="000000"/>
                <w:kern w:val="0"/>
                <w:szCs w:val="22"/>
                <w:lang w:val="en-US" w:eastAsia="en-AU"/>
                <w14:ligatures w14:val="none"/>
              </w:rPr>
              <w:t>Department of Climate Change, Energy, the Environment and Water </w:t>
            </w:r>
            <w:r w:rsidR="00F7726A" w:rsidRPr="00653DC8">
              <w:rPr>
                <w:rFonts w:eastAsia="Times New Roman" w:cs="Calibri"/>
                <w:color w:val="000000"/>
                <w:kern w:val="0"/>
                <w:szCs w:val="22"/>
                <w:lang w:val="en-US" w:eastAsia="en-AU"/>
                <w14:ligatures w14:val="none"/>
              </w:rPr>
              <w:t xml:space="preserve"> </w:t>
            </w:r>
          </w:p>
          <w:p w14:paraId="6D390A94" w14:textId="72579BCA" w:rsidR="00F7726A" w:rsidRPr="00653DC8" w:rsidRDefault="00F7726A" w:rsidP="00F7726A">
            <w:pPr>
              <w:spacing w:after="0" w:line="240" w:lineRule="auto"/>
              <w:jc w:val="left"/>
              <w:textAlignment w:val="baseline"/>
              <w:rPr>
                <w:rFonts w:eastAsia="Times New Roman" w:cs="Times New Roman"/>
                <w:kern w:val="0"/>
                <w:szCs w:val="22"/>
                <w:lang w:eastAsia="en-AU"/>
                <w14:ligatures w14:val="none"/>
              </w:rPr>
            </w:pPr>
          </w:p>
        </w:tc>
        <w:tc>
          <w:tcPr>
            <w:tcW w:w="2045" w:type="dxa"/>
            <w:tcBorders>
              <w:top w:val="single" w:sz="6" w:space="0" w:color="auto"/>
              <w:left w:val="single" w:sz="6" w:space="0" w:color="auto"/>
              <w:bottom w:val="single" w:sz="6" w:space="0" w:color="auto"/>
              <w:right w:val="single" w:sz="6" w:space="0" w:color="auto"/>
            </w:tcBorders>
            <w:hideMark/>
          </w:tcPr>
          <w:p w14:paraId="4057C70D" w14:textId="5D48FA73"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1445B</w:t>
            </w:r>
            <w:r w:rsidR="00F7726A" w:rsidRPr="00653DC8">
              <w:rPr>
                <w:rFonts w:eastAsia="Times New Roman" w:cs="Calibri"/>
                <w:color w:val="000000"/>
                <w:kern w:val="0"/>
                <w:szCs w:val="22"/>
                <w:lang w:val="en-US" w:eastAsia="en-AU"/>
                <w14:ligatures w14:val="none"/>
              </w:rPr>
              <w:t>17 June 2026</w:t>
            </w:r>
            <w:r w:rsidR="00F7726A" w:rsidRPr="00653DC8">
              <w:rPr>
                <w:rFonts w:eastAsia="Times New Roman" w:cs="Calibri"/>
                <w:color w:val="000000"/>
                <w:kern w:val="0"/>
                <w:szCs w:val="22"/>
                <w:lang w:eastAsia="en-AU"/>
                <w14:ligatures w14:val="none"/>
              </w:rPr>
              <w:t> </w:t>
            </w:r>
          </w:p>
        </w:tc>
      </w:tr>
      <w:tr w:rsidR="00F7726A" w:rsidRPr="00F7726A" w14:paraId="19DAFC08"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hideMark/>
          </w:tcPr>
          <w:p w14:paraId="334CC351" w14:textId="4BDFA1A4"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eastAsia="en-AU"/>
                <w14:ligatures w14:val="none"/>
              </w:rPr>
              <w:t>1446B</w:t>
            </w:r>
            <w:r w:rsidR="00653DC8" w:rsidRPr="00653DC8">
              <w:rPr>
                <w:rFonts w:eastAsia="Times New Roman" w:cs="Times New Roman"/>
                <w:kern w:val="0"/>
                <w:szCs w:val="22"/>
                <w:lang w:eastAsia="en-AU"/>
                <w14:ligatures w14:val="none"/>
              </w:rPr>
              <w:t xml:space="preserve">Victorian Department of Energy, Environment and Climate Action </w:t>
            </w:r>
          </w:p>
        </w:tc>
        <w:tc>
          <w:tcPr>
            <w:tcW w:w="2045" w:type="dxa"/>
            <w:tcBorders>
              <w:top w:val="single" w:sz="6" w:space="0" w:color="auto"/>
              <w:left w:val="single" w:sz="6" w:space="0" w:color="auto"/>
              <w:bottom w:val="single" w:sz="6" w:space="0" w:color="auto"/>
              <w:right w:val="single" w:sz="6" w:space="0" w:color="auto"/>
            </w:tcBorders>
            <w:hideMark/>
          </w:tcPr>
          <w:p w14:paraId="22EDDA43" w14:textId="7D233CC7" w:rsidR="00F7726A"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val="en-US" w:eastAsia="en-AU"/>
                <w14:ligatures w14:val="none"/>
              </w:rPr>
              <w:t>1447B</w:t>
            </w:r>
            <w:r w:rsidR="00F7726A" w:rsidRPr="00653DC8">
              <w:rPr>
                <w:rFonts w:eastAsia="Times New Roman" w:cs="Calibri"/>
                <w:color w:val="000000"/>
                <w:kern w:val="0"/>
                <w:szCs w:val="22"/>
                <w:lang w:val="en-US" w:eastAsia="en-AU"/>
                <w14:ligatures w14:val="none"/>
              </w:rPr>
              <w:t>17 June 2026</w:t>
            </w:r>
            <w:r w:rsidR="00F7726A" w:rsidRPr="00653DC8">
              <w:rPr>
                <w:rFonts w:eastAsia="Times New Roman" w:cs="Calibri"/>
                <w:color w:val="000000"/>
                <w:kern w:val="0"/>
                <w:szCs w:val="22"/>
                <w:lang w:eastAsia="en-AU"/>
                <w14:ligatures w14:val="none"/>
              </w:rPr>
              <w:t> </w:t>
            </w:r>
          </w:p>
        </w:tc>
      </w:tr>
      <w:tr w:rsidR="00745358" w:rsidRPr="00F7726A" w14:paraId="4968A3E3"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tcPr>
          <w:p w14:paraId="088396BC" w14:textId="0964DA9C" w:rsidR="00745358" w:rsidRPr="00653DC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eastAsia="en-AU"/>
                <w14:ligatures w14:val="none"/>
              </w:rPr>
              <w:t>1448B</w:t>
            </w:r>
            <w:r w:rsidR="00745358">
              <w:rPr>
                <w:rFonts w:eastAsia="Times New Roman" w:cs="Times New Roman"/>
                <w:kern w:val="0"/>
                <w:szCs w:val="22"/>
                <w:lang w:eastAsia="en-AU"/>
                <w14:ligatures w14:val="none"/>
              </w:rPr>
              <w:t>Deed Review Stakeholder Advisory Group</w:t>
            </w:r>
          </w:p>
        </w:tc>
        <w:tc>
          <w:tcPr>
            <w:tcW w:w="2045" w:type="dxa"/>
            <w:tcBorders>
              <w:top w:val="single" w:sz="6" w:space="0" w:color="auto"/>
              <w:left w:val="single" w:sz="6" w:space="0" w:color="auto"/>
              <w:bottom w:val="single" w:sz="6" w:space="0" w:color="auto"/>
              <w:right w:val="single" w:sz="6" w:space="0" w:color="auto"/>
            </w:tcBorders>
          </w:tcPr>
          <w:p w14:paraId="3B3A5F59" w14:textId="1886E0A5" w:rsidR="00745358" w:rsidRPr="00653DC8"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1449B</w:t>
            </w:r>
            <w:r w:rsidR="00745358">
              <w:rPr>
                <w:rFonts w:eastAsia="Times New Roman" w:cs="Calibri"/>
                <w:color w:val="000000"/>
                <w:kern w:val="0"/>
                <w:szCs w:val="22"/>
                <w:lang w:val="en-US" w:eastAsia="en-AU"/>
                <w14:ligatures w14:val="none"/>
              </w:rPr>
              <w:t>23 June 2026</w:t>
            </w:r>
          </w:p>
        </w:tc>
      </w:tr>
      <w:tr w:rsidR="00745358" w:rsidRPr="00F7726A" w14:paraId="046100F0" w14:textId="77777777" w:rsidTr="008F6FF9">
        <w:trPr>
          <w:trHeight w:val="285"/>
        </w:trPr>
        <w:tc>
          <w:tcPr>
            <w:tcW w:w="6878" w:type="dxa"/>
            <w:tcBorders>
              <w:top w:val="single" w:sz="6" w:space="0" w:color="auto"/>
              <w:left w:val="single" w:sz="6" w:space="0" w:color="auto"/>
              <w:bottom w:val="single" w:sz="6" w:space="0" w:color="auto"/>
              <w:right w:val="single" w:sz="6" w:space="0" w:color="auto"/>
            </w:tcBorders>
          </w:tcPr>
          <w:p w14:paraId="25667180" w14:textId="0485B53F" w:rsidR="00745358" w:rsidRDefault="00382EE8" w:rsidP="00F7726A">
            <w:pPr>
              <w:spacing w:after="0" w:line="240" w:lineRule="auto"/>
              <w:jc w:val="left"/>
              <w:textAlignment w:val="baseline"/>
              <w:rPr>
                <w:rFonts w:eastAsia="Times New Roman" w:cs="Times New Roman"/>
                <w:kern w:val="0"/>
                <w:szCs w:val="22"/>
                <w:lang w:eastAsia="en-AU"/>
                <w14:ligatures w14:val="none"/>
              </w:rPr>
            </w:pPr>
            <w:r>
              <w:rPr>
                <w:rFonts w:ascii="ZWAdobeF" w:eastAsia="Times New Roman" w:hAnsi="ZWAdobeF" w:cs="ZWAdobeF"/>
                <w:kern w:val="0"/>
                <w:sz w:val="2"/>
                <w:szCs w:val="2"/>
                <w:lang w:eastAsia="en-AU"/>
                <w14:ligatures w14:val="none"/>
              </w:rPr>
              <w:t>1450B</w:t>
            </w:r>
            <w:r w:rsidR="00745358">
              <w:rPr>
                <w:rFonts w:eastAsia="Times New Roman" w:cs="Times New Roman"/>
                <w:kern w:val="0"/>
                <w:szCs w:val="22"/>
                <w:lang w:eastAsia="en-AU"/>
                <w14:ligatures w14:val="none"/>
              </w:rPr>
              <w:t>Deed Review Steering Committee</w:t>
            </w:r>
          </w:p>
        </w:tc>
        <w:tc>
          <w:tcPr>
            <w:tcW w:w="2045" w:type="dxa"/>
            <w:tcBorders>
              <w:top w:val="single" w:sz="6" w:space="0" w:color="auto"/>
              <w:left w:val="single" w:sz="6" w:space="0" w:color="auto"/>
              <w:bottom w:val="single" w:sz="6" w:space="0" w:color="auto"/>
              <w:right w:val="single" w:sz="6" w:space="0" w:color="auto"/>
            </w:tcBorders>
          </w:tcPr>
          <w:p w14:paraId="661D12A4" w14:textId="52222F84" w:rsidR="00745358" w:rsidRDefault="00382EE8" w:rsidP="00F7726A">
            <w:pPr>
              <w:spacing w:after="0" w:line="240" w:lineRule="auto"/>
              <w:jc w:val="left"/>
              <w:textAlignment w:val="baseline"/>
              <w:rPr>
                <w:rFonts w:eastAsia="Times New Roman" w:cs="Calibri"/>
                <w:color w:val="000000"/>
                <w:kern w:val="0"/>
                <w:szCs w:val="22"/>
                <w:lang w:val="en-US" w:eastAsia="en-AU"/>
                <w14:ligatures w14:val="none"/>
              </w:rPr>
            </w:pPr>
            <w:r>
              <w:rPr>
                <w:rFonts w:ascii="ZWAdobeF" w:eastAsia="Times New Roman" w:hAnsi="ZWAdobeF" w:cs="ZWAdobeF"/>
                <w:kern w:val="0"/>
                <w:sz w:val="2"/>
                <w:szCs w:val="2"/>
                <w:lang w:val="en-US" w:eastAsia="en-AU"/>
                <w14:ligatures w14:val="none"/>
              </w:rPr>
              <w:t>1451B</w:t>
            </w:r>
            <w:r w:rsidR="00745358">
              <w:rPr>
                <w:rFonts w:eastAsia="Times New Roman" w:cs="Calibri"/>
                <w:color w:val="000000"/>
                <w:kern w:val="0"/>
                <w:szCs w:val="22"/>
                <w:lang w:val="en-US" w:eastAsia="en-AU"/>
                <w14:ligatures w14:val="none"/>
              </w:rPr>
              <w:t>24 June 2026</w:t>
            </w:r>
          </w:p>
        </w:tc>
      </w:tr>
    </w:tbl>
    <w:p w14:paraId="23E3CC5C" w14:textId="524592EB" w:rsidR="008B239E" w:rsidRPr="00DD3DD2" w:rsidRDefault="00382EE8" w:rsidP="00DD3DD2">
      <w:pPr>
        <w:jc w:val="left"/>
        <w:rPr>
          <w:i/>
          <w:iCs/>
          <w:sz w:val="16"/>
          <w:szCs w:val="18"/>
        </w:rPr>
      </w:pPr>
      <w:r>
        <w:rPr>
          <w:rFonts w:ascii="ZWAdobeF" w:hAnsi="ZWAdobeF" w:cs="ZWAdobeF"/>
          <w:iCs/>
          <w:sz w:val="2"/>
          <w:szCs w:val="2"/>
        </w:rPr>
        <w:t>1452B</w:t>
      </w:r>
      <w:r w:rsidR="00DD3DD2" w:rsidRPr="00DD3DD2">
        <w:rPr>
          <w:i/>
          <w:iCs/>
          <w:sz w:val="16"/>
          <w:szCs w:val="18"/>
        </w:rPr>
        <w:t>NSW engagement with the Panel was represented by the RCG members and support officer/s from</w:t>
      </w:r>
      <w:r w:rsidR="00DD3DD2" w:rsidRPr="00DD3DD2">
        <w:rPr>
          <w:rFonts w:ascii="Arial" w:hAnsi="Arial" w:cs="Arial"/>
          <w:i/>
          <w:iCs/>
          <w:sz w:val="16"/>
          <w:szCs w:val="18"/>
        </w:rPr>
        <w:t> </w:t>
      </w:r>
      <w:r w:rsidR="00DD3DD2" w:rsidRPr="00DD3DD2">
        <w:rPr>
          <w:i/>
          <w:iCs/>
          <w:sz w:val="16"/>
          <w:szCs w:val="18"/>
        </w:rPr>
        <w:t>DCCEEW Conservation Programs,</w:t>
      </w:r>
      <w:r w:rsidR="00DD3DD2" w:rsidRPr="00DD3DD2">
        <w:rPr>
          <w:rFonts w:ascii="Arial" w:hAnsi="Arial" w:cs="Arial"/>
          <w:i/>
          <w:iCs/>
          <w:sz w:val="16"/>
          <w:szCs w:val="18"/>
        </w:rPr>
        <w:t> </w:t>
      </w:r>
      <w:r w:rsidR="00DD3DD2" w:rsidRPr="00DD3DD2">
        <w:rPr>
          <w:i/>
          <w:iCs/>
          <w:sz w:val="16"/>
          <w:szCs w:val="18"/>
        </w:rPr>
        <w:t>Heritage</w:t>
      </w:r>
      <w:r w:rsidR="00DD3DD2" w:rsidRPr="00DD3DD2">
        <w:rPr>
          <w:rFonts w:ascii="Arial" w:hAnsi="Arial" w:cs="Arial"/>
          <w:i/>
          <w:iCs/>
          <w:sz w:val="16"/>
          <w:szCs w:val="18"/>
        </w:rPr>
        <w:t> </w:t>
      </w:r>
      <w:r w:rsidR="00DD3DD2" w:rsidRPr="00DD3DD2">
        <w:rPr>
          <w:i/>
          <w:iCs/>
          <w:sz w:val="16"/>
          <w:szCs w:val="18"/>
        </w:rPr>
        <w:t>and Regulation</w:t>
      </w:r>
      <w:r w:rsidR="00DD3DD2" w:rsidRPr="00DD3DD2">
        <w:rPr>
          <w:rFonts w:ascii="Arial" w:hAnsi="Arial" w:cs="Arial"/>
          <w:i/>
          <w:iCs/>
          <w:sz w:val="16"/>
          <w:szCs w:val="18"/>
        </w:rPr>
        <w:t> </w:t>
      </w:r>
      <w:r w:rsidR="00DD3DD2" w:rsidRPr="00DD3DD2">
        <w:rPr>
          <w:i/>
          <w:iCs/>
          <w:sz w:val="16"/>
          <w:szCs w:val="18"/>
        </w:rPr>
        <w:t xml:space="preserve">and DCCEEW </w:t>
      </w:r>
      <w:r w:rsidR="00DD3DD2" w:rsidRPr="00DD3DD2">
        <w:rPr>
          <w:i/>
          <w:iCs/>
          <w:sz w:val="16"/>
          <w:szCs w:val="18"/>
          <w:lang w:val="en-US"/>
        </w:rPr>
        <w:t>Water Group</w:t>
      </w:r>
    </w:p>
    <w:p w14:paraId="76E27862" w14:textId="77777777" w:rsidR="00D551FB" w:rsidRDefault="00D551FB" w:rsidP="008B239E">
      <w:pPr>
        <w:pStyle w:val="ReviewHeading2"/>
      </w:pPr>
    </w:p>
    <w:p w14:paraId="4A6D8EA7" w14:textId="62AECDF6" w:rsidR="00055CCB" w:rsidRDefault="00055CCB" w:rsidP="00A808D9">
      <w:pPr>
        <w:pStyle w:val="ReviewHeading"/>
      </w:pPr>
      <w:r>
        <w:br w:type="page"/>
      </w:r>
    </w:p>
    <w:p w14:paraId="43078CC9" w14:textId="5C01E9EF" w:rsidR="00181AE0" w:rsidRDefault="00055CCB" w:rsidP="00055CCB">
      <w:pPr>
        <w:pStyle w:val="ReviewHeading2"/>
      </w:pPr>
      <w:bookmarkStart w:id="182" w:name="_Toc233285639"/>
      <w:bookmarkStart w:id="183" w:name="_Toc233801518"/>
      <w:r>
        <w:lastRenderedPageBreak/>
        <w:t xml:space="preserve">Appendix </w:t>
      </w:r>
      <w:r w:rsidR="00A32AF7">
        <w:t>B</w:t>
      </w:r>
      <w:r>
        <w:t>: Assessment of governance arrangements against contemporary benchmarks</w:t>
      </w:r>
      <w:bookmarkEnd w:id="182"/>
      <w:bookmarkEnd w:id="183"/>
    </w:p>
    <w:p w14:paraId="51879740" w14:textId="29E506E0" w:rsidR="00BB44A5" w:rsidRPr="00D03E83" w:rsidRDefault="00382EE8" w:rsidP="00BB44A5">
      <w:r>
        <w:rPr>
          <w:rFonts w:ascii="ZWAdobeF" w:hAnsi="ZWAdobeF" w:cs="ZWAdobeF"/>
          <w:sz w:val="2"/>
          <w:szCs w:val="2"/>
        </w:rPr>
        <w:t>1453B</w:t>
      </w:r>
      <w:r w:rsidR="00BB44A5" w:rsidRPr="00D03E83">
        <w:t xml:space="preserve">This appendix provides the detailed analytical foundation for the governance conclusions and recommendations set out in </w:t>
      </w:r>
      <w:r w:rsidR="00BB44A5" w:rsidRPr="00F246A4">
        <w:rPr>
          <w:b/>
        </w:rPr>
        <w:t>Chapter</w:t>
      </w:r>
      <w:r w:rsidR="00BB44A5" w:rsidRPr="00F246A4">
        <w:rPr>
          <w:rFonts w:ascii="Arial" w:hAnsi="Arial" w:cs="Arial"/>
          <w:b/>
        </w:rPr>
        <w:t> </w:t>
      </w:r>
      <w:r w:rsidR="00BB44A5" w:rsidRPr="00F246A4">
        <w:rPr>
          <w:b/>
        </w:rPr>
        <w:t>5</w:t>
      </w:r>
      <w:r w:rsidR="00BB44A5" w:rsidRPr="00D03E83">
        <w:t>. It presents a structured assessment of the Snowy Water Inquiry Outcomes Implementation Deed against three relevant and authoritative benchmarks: </w:t>
      </w:r>
    </w:p>
    <w:p w14:paraId="59C262CB" w14:textId="7C718415" w:rsidR="00BB44A5" w:rsidRPr="00D03E83" w:rsidRDefault="00382EE8" w:rsidP="00115BD6">
      <w:pPr>
        <w:pStyle w:val="ListParagraph"/>
        <w:numPr>
          <w:ilvl w:val="0"/>
          <w:numId w:val="52"/>
        </w:numPr>
      </w:pPr>
      <w:r>
        <w:rPr>
          <w:rFonts w:ascii="ZWAdobeF" w:hAnsi="ZWAdobeF" w:cs="ZWAdobeF"/>
          <w:sz w:val="2"/>
          <w:szCs w:val="2"/>
        </w:rPr>
        <w:t>471B</w:t>
      </w:r>
      <w:r w:rsidR="00BB44A5" w:rsidRPr="00D03E83">
        <w:t>the OECD Principles on Water Governance </w:t>
      </w:r>
    </w:p>
    <w:p w14:paraId="1154D8D8" w14:textId="6316CADE" w:rsidR="00BB44A5" w:rsidRPr="00D03E83" w:rsidRDefault="00382EE8" w:rsidP="00115BD6">
      <w:pPr>
        <w:pStyle w:val="ListParagraph"/>
        <w:numPr>
          <w:ilvl w:val="0"/>
          <w:numId w:val="52"/>
        </w:numPr>
      </w:pPr>
      <w:r>
        <w:rPr>
          <w:rFonts w:ascii="ZWAdobeF" w:hAnsi="ZWAdobeF" w:cs="ZWAdobeF"/>
          <w:sz w:val="2"/>
          <w:szCs w:val="2"/>
        </w:rPr>
        <w:t>472B</w:t>
      </w:r>
      <w:r w:rsidR="00BB44A5" w:rsidRPr="00D03E83">
        <w:t>Australia’s national water reform framework, including the National Water Initiative and the direction of an emerging National Water Agreement</w:t>
      </w:r>
    </w:p>
    <w:p w14:paraId="7F0F9ACD" w14:textId="6D229764" w:rsidR="00BB44A5" w:rsidRPr="00D03E83" w:rsidRDefault="00382EE8" w:rsidP="00115BD6">
      <w:pPr>
        <w:pStyle w:val="ListParagraph"/>
        <w:numPr>
          <w:ilvl w:val="0"/>
          <w:numId w:val="52"/>
        </w:numPr>
      </w:pPr>
      <w:r>
        <w:rPr>
          <w:rFonts w:ascii="ZWAdobeF" w:hAnsi="ZWAdobeF" w:cs="ZWAdobeF"/>
          <w:sz w:val="2"/>
          <w:szCs w:val="2"/>
        </w:rPr>
        <w:t>473B</w:t>
      </w:r>
      <w:r w:rsidR="00BB44A5" w:rsidRPr="00D03E83">
        <w:t>the principles and expectations reflected in the Murray–Darling Basin Plan. </w:t>
      </w:r>
    </w:p>
    <w:p w14:paraId="14B29D7E" w14:textId="396B86E3" w:rsidR="00BB44A5" w:rsidRPr="00D03E83" w:rsidRDefault="00382EE8" w:rsidP="00BB44A5">
      <w:r>
        <w:rPr>
          <w:rFonts w:ascii="ZWAdobeF" w:hAnsi="ZWAdobeF" w:cs="ZWAdobeF"/>
          <w:sz w:val="2"/>
          <w:szCs w:val="2"/>
        </w:rPr>
        <w:t>1454B</w:t>
      </w:r>
      <w:r w:rsidR="00BB44A5" w:rsidRPr="00D03E83">
        <w:t>The tables in this appendix are not included for completeness alone. They represent the evidence base underpinning the Panel’s judgement that the governance limitations associated with the current Deed are structural and systemic, rather than the result of implementation or administration. Each table identifies areas of alignment and misalignment, assesses the scale of governance gaps, and outlines the implications of those gaps for effective, accountable and adaptive management of Snowy water resources. </w:t>
      </w:r>
    </w:p>
    <w:p w14:paraId="2350975C" w14:textId="14A5D866" w:rsidR="00BB44A5" w:rsidRPr="00D03E83" w:rsidRDefault="00382EE8" w:rsidP="00BB44A5">
      <w:r>
        <w:rPr>
          <w:rFonts w:ascii="ZWAdobeF" w:hAnsi="ZWAdobeF" w:cs="ZWAdobeF"/>
          <w:sz w:val="2"/>
          <w:szCs w:val="2"/>
        </w:rPr>
        <w:t>1455B</w:t>
      </w:r>
      <w:r w:rsidR="00BB44A5" w:rsidRPr="00D03E83">
        <w:t xml:space="preserve">The analyses in this appendix informed the development of the proposed governance framework and recommendations in </w:t>
      </w:r>
      <w:r w:rsidR="00BB44A5" w:rsidRPr="00F246A4">
        <w:rPr>
          <w:b/>
        </w:rPr>
        <w:t>Chapter</w:t>
      </w:r>
      <w:r w:rsidR="00BB44A5" w:rsidRPr="00F246A4">
        <w:rPr>
          <w:rFonts w:ascii="Arial" w:hAnsi="Arial" w:cs="Arial"/>
          <w:b/>
        </w:rPr>
        <w:t> </w:t>
      </w:r>
      <w:r w:rsidR="00BB44A5" w:rsidRPr="00F246A4">
        <w:rPr>
          <w:b/>
        </w:rPr>
        <w:t>5</w:t>
      </w:r>
      <w:r w:rsidR="00BB44A5" w:rsidRPr="00D03E83">
        <w:t>. Readers seeking a detailed understanding of how current arrangements compare with contemporary governance standards are encouraged to refer to these tables. </w:t>
      </w:r>
    </w:p>
    <w:p w14:paraId="756F7DA3" w14:textId="77777777" w:rsidR="00BB44A5" w:rsidRDefault="00BB44A5" w:rsidP="00055CCB">
      <w:pPr>
        <w:pStyle w:val="ReviewHeading2"/>
        <w:sectPr w:rsidR="00BB44A5" w:rsidSect="00504141">
          <w:footerReference w:type="first" r:id="rId80"/>
          <w:pgSz w:w="11906" w:h="16838"/>
          <w:pgMar w:top="1440" w:right="1304" w:bottom="1440" w:left="1304" w:header="709" w:footer="709" w:gutter="0"/>
          <w:cols w:space="708"/>
          <w:titlePg/>
          <w:docGrid w:linePitch="360"/>
        </w:sectPr>
      </w:pPr>
    </w:p>
    <w:p w14:paraId="21625E01" w14:textId="2592227F" w:rsidR="00055CCB" w:rsidRDefault="0036787D" w:rsidP="00BB44A5">
      <w:pPr>
        <w:pStyle w:val="ReviewHeading3"/>
      </w:pPr>
      <w:r>
        <w:lastRenderedPageBreak/>
        <w:t xml:space="preserve">Appendix B, </w:t>
      </w:r>
      <w:r w:rsidR="00BB44A5">
        <w:t>Part 1 – Gap analysis against Basin Plan principles</w:t>
      </w:r>
    </w:p>
    <w:p w14:paraId="499DF868" w14:textId="0C0613EA" w:rsidR="00BB44A5" w:rsidRDefault="00BB44A5" w:rsidP="00BB44A5">
      <w:pPr>
        <w:pStyle w:val="Sub-Heading"/>
      </w:pPr>
      <w:r>
        <w:t>Framing observations</w:t>
      </w:r>
    </w:p>
    <w:p w14:paraId="0A8E9EED" w14:textId="57F95E5C" w:rsidR="003E0B73" w:rsidRPr="00D03E83" w:rsidRDefault="00382EE8" w:rsidP="003E0B73">
      <w:r>
        <w:rPr>
          <w:rFonts w:ascii="ZWAdobeF" w:hAnsi="ZWAdobeF" w:cs="ZWAdobeF"/>
          <w:sz w:val="2"/>
          <w:szCs w:val="2"/>
        </w:rPr>
        <w:t>1456B</w:t>
      </w:r>
      <w:r w:rsidR="003E0B73" w:rsidRPr="00D03E83">
        <w:t xml:space="preserve">The Murray–Darling Basin Plan provides the </w:t>
      </w:r>
      <w:r w:rsidR="6F8D9B84">
        <w:t>Australian Government</w:t>
      </w:r>
      <w:r w:rsidR="003E0B73">
        <w:t>’s</w:t>
      </w:r>
      <w:r w:rsidR="003E0B73" w:rsidRPr="00D03E83">
        <w:t xml:space="preserve"> statutory framework for basin</w:t>
      </w:r>
      <w:r w:rsidR="003E0B73" w:rsidRPr="00D03E83">
        <w:noBreakHyphen/>
        <w:t xml:space="preserve">scale water management and reflects contemporary expectations regarding sustainability, adaptive management, transparency and accountability. Although the Deed predates the Basin Plan, the Deed </w:t>
      </w:r>
      <w:r w:rsidR="00987AA0">
        <w:t>significantly</w:t>
      </w:r>
      <w:r w:rsidR="003E0B73" w:rsidRPr="00D03E83">
        <w:t xml:space="preserve"> influence</w:t>
      </w:r>
      <w:r w:rsidR="00987AA0">
        <w:t>s</w:t>
      </w:r>
      <w:r w:rsidR="003E0B73" w:rsidRPr="00D03E83">
        <w:t xml:space="preserve"> inflows to the Murray–Darling Basin and therefore operates alongside the Basin Plan. As such, the extent to which the Deed aligns with the principles and expectations of the Basin Plan is a relevant consideration in assessing whether existing governance arrangements remain fit for purpose. </w:t>
      </w:r>
    </w:p>
    <w:p w14:paraId="27FA7F06" w14:textId="4C9A569B" w:rsidR="008516A1" w:rsidRDefault="00382EE8" w:rsidP="003E0B73">
      <w:r>
        <w:rPr>
          <w:rFonts w:ascii="ZWAdobeF" w:hAnsi="ZWAdobeF" w:cs="ZWAdobeF"/>
          <w:sz w:val="2"/>
          <w:szCs w:val="2"/>
        </w:rPr>
        <w:t>1457B</w:t>
      </w:r>
      <w:r w:rsidR="008516A1" w:rsidRPr="00D03E83">
        <w:t>The assessment identifies areas of alignment as well as gaps where the Deed does not reflect the governance approach embodied in the Basin Plan and considers the implications of those gaps for effective basin</w:t>
      </w:r>
      <w:r w:rsidR="008516A1" w:rsidRPr="00D03E83">
        <w:noBreakHyphen/>
        <w:t>wide water management. </w:t>
      </w:r>
    </w:p>
    <w:p w14:paraId="4B67F86E" w14:textId="21F1997F" w:rsidR="00F803E8" w:rsidRPr="00D03E83" w:rsidRDefault="00382EE8" w:rsidP="003E0B73">
      <w:r>
        <w:rPr>
          <w:rFonts w:ascii="ZWAdobeF" w:hAnsi="ZWAdobeF" w:cs="ZWAdobeF"/>
          <w:sz w:val="2"/>
          <w:szCs w:val="2"/>
        </w:rPr>
        <w:t>1458B</w:t>
      </w:r>
      <w:r w:rsidR="007F69A3">
        <w:t xml:space="preserve">However, </w:t>
      </w:r>
      <w:r w:rsidR="006B7F04">
        <w:t>i</w:t>
      </w:r>
      <w:r w:rsidR="006B7F04" w:rsidRPr="006B7F04">
        <w:t>t is noted that the geographic scope of the Deed extends across areas that sit both within and outside the Murray–Darling Basin</w:t>
      </w:r>
      <w:r w:rsidR="00C53B7F">
        <w:t xml:space="preserve">, and </w:t>
      </w:r>
      <w:r w:rsidR="00391CE8">
        <w:t xml:space="preserve">that </w:t>
      </w:r>
      <w:r w:rsidR="00C53B7F">
        <w:t xml:space="preserve">this gap analysis </w:t>
      </w:r>
      <w:r w:rsidR="00C53B7F" w:rsidRPr="00C53B7F">
        <w:t>is both a test against good practice and the Deed’s impact on the relevant part of the Basin.</w:t>
      </w:r>
    </w:p>
    <w:p w14:paraId="3A2AA186" w14:textId="7BF28552" w:rsidR="000F4FEB" w:rsidRDefault="00382EE8" w:rsidP="003E0B73">
      <w:r>
        <w:rPr>
          <w:rFonts w:ascii="ZWAdobeF" w:hAnsi="ZWAdobeF" w:cs="ZWAdobeF"/>
          <w:sz w:val="2"/>
          <w:szCs w:val="2"/>
        </w:rPr>
        <w:t>1459B</w:t>
      </w:r>
      <w:r w:rsidR="000F4FEB">
        <w:t>The following table outlines how the rating scores across Appendix B have been considered by the Panel.</w:t>
      </w:r>
    </w:p>
    <w:tbl>
      <w:tblPr>
        <w:tblW w:w="14167" w:type="dxa"/>
        <w:tblCellSpacing w:w="15" w:type="dxa"/>
        <w:tblCellMar>
          <w:top w:w="15" w:type="dxa"/>
          <w:left w:w="15" w:type="dxa"/>
          <w:bottom w:w="15" w:type="dxa"/>
          <w:right w:w="15" w:type="dxa"/>
        </w:tblCellMar>
        <w:tblLook w:val="04A0" w:firstRow="1" w:lastRow="0" w:firstColumn="1" w:lastColumn="0" w:noHBand="0" w:noVBand="1"/>
      </w:tblPr>
      <w:tblGrid>
        <w:gridCol w:w="1977"/>
        <w:gridCol w:w="12190"/>
      </w:tblGrid>
      <w:tr w:rsidR="005B7113" w:rsidRPr="000C5EA5" w14:paraId="5E9C46EE" w14:textId="77777777" w:rsidTr="006E2F6B">
        <w:trPr>
          <w:trHeight w:val="283"/>
          <w:tblCellSpacing w:w="15" w:type="dxa"/>
        </w:trPr>
        <w:tc>
          <w:tcPr>
            <w:tcW w:w="193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B939560" w14:textId="2667ECC2" w:rsidR="005B7113" w:rsidRPr="000C5EA5" w:rsidRDefault="00382EE8" w:rsidP="006E2F6B">
            <w:pPr>
              <w:spacing w:after="0"/>
              <w:rPr>
                <w:b/>
                <w:sz w:val="18"/>
                <w:szCs w:val="18"/>
              </w:rPr>
            </w:pPr>
            <w:r>
              <w:rPr>
                <w:rFonts w:ascii="ZWAdobeF" w:hAnsi="ZWAdobeF" w:cs="ZWAdobeF"/>
                <w:sz w:val="2"/>
                <w:szCs w:val="2"/>
              </w:rPr>
              <w:t>1460B</w:t>
            </w:r>
            <w:r w:rsidR="005B7113" w:rsidRPr="000C5EA5">
              <w:rPr>
                <w:b/>
                <w:sz w:val="18"/>
                <w:szCs w:val="18"/>
              </w:rPr>
              <w:t>Rating</w:t>
            </w:r>
          </w:p>
        </w:tc>
        <w:tc>
          <w:tcPr>
            <w:tcW w:w="12145"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7D67B9C" w14:textId="22620BB5" w:rsidR="005B7113" w:rsidRPr="000C5EA5" w:rsidRDefault="00382EE8" w:rsidP="006E2F6B">
            <w:pPr>
              <w:spacing w:after="0"/>
              <w:rPr>
                <w:b/>
                <w:sz w:val="18"/>
                <w:szCs w:val="18"/>
              </w:rPr>
            </w:pPr>
            <w:r>
              <w:rPr>
                <w:rFonts w:ascii="ZWAdobeF" w:hAnsi="ZWAdobeF" w:cs="ZWAdobeF"/>
                <w:sz w:val="2"/>
                <w:szCs w:val="2"/>
              </w:rPr>
              <w:t>1461B</w:t>
            </w:r>
            <w:r w:rsidR="005B7113" w:rsidRPr="000C5EA5">
              <w:rPr>
                <w:b/>
                <w:sz w:val="18"/>
                <w:szCs w:val="18"/>
              </w:rPr>
              <w:t>Definition</w:t>
            </w:r>
          </w:p>
        </w:tc>
      </w:tr>
      <w:tr w:rsidR="005B7113" w:rsidRPr="000C5EA5" w14:paraId="35515CBF" w14:textId="77777777" w:rsidTr="006E2F6B">
        <w:trPr>
          <w:trHeight w:val="283"/>
          <w:tblCellSpacing w:w="15" w:type="dxa"/>
        </w:trPr>
        <w:tc>
          <w:tcPr>
            <w:tcW w:w="193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C5A0914" w14:textId="23AC41B9" w:rsidR="005B7113" w:rsidRPr="000C5EA5" w:rsidRDefault="00382EE8" w:rsidP="006E2F6B">
            <w:pPr>
              <w:spacing w:after="0"/>
              <w:rPr>
                <w:b/>
                <w:sz w:val="18"/>
                <w:szCs w:val="18"/>
              </w:rPr>
            </w:pPr>
            <w:r>
              <w:rPr>
                <w:rFonts w:ascii="ZWAdobeF" w:hAnsi="ZWAdobeF" w:cs="ZWAdobeF"/>
                <w:sz w:val="2"/>
                <w:szCs w:val="2"/>
              </w:rPr>
              <w:t>1462B</w:t>
            </w:r>
            <w:r w:rsidR="005B7113" w:rsidRPr="000C5EA5">
              <w:rPr>
                <w:b/>
                <w:sz w:val="18"/>
                <w:szCs w:val="18"/>
              </w:rPr>
              <w:t>Fundamental</w:t>
            </w:r>
          </w:p>
        </w:tc>
        <w:tc>
          <w:tcPr>
            <w:tcW w:w="12145" w:type="dxa"/>
            <w:tcBorders>
              <w:top w:val="single" w:sz="6" w:space="0" w:color="E6E6E6"/>
              <w:left w:val="single" w:sz="6" w:space="0" w:color="E6E6E6"/>
              <w:bottom w:val="single" w:sz="6" w:space="0" w:color="E6E6E6"/>
              <w:right w:val="single" w:sz="6" w:space="0" w:color="E6E6E6"/>
            </w:tcBorders>
            <w:vAlign w:val="center"/>
            <w:hideMark/>
          </w:tcPr>
          <w:p w14:paraId="151B1E55" w14:textId="4B44A64A" w:rsidR="005B7113" w:rsidRPr="000C5EA5" w:rsidRDefault="00382EE8" w:rsidP="006E2F6B">
            <w:pPr>
              <w:spacing w:after="0"/>
              <w:rPr>
                <w:sz w:val="18"/>
                <w:szCs w:val="18"/>
              </w:rPr>
            </w:pPr>
            <w:r>
              <w:rPr>
                <w:rFonts w:ascii="ZWAdobeF" w:hAnsi="ZWAdobeF" w:cs="ZWAdobeF"/>
                <w:sz w:val="2"/>
                <w:szCs w:val="2"/>
              </w:rPr>
              <w:t>1463B</w:t>
            </w:r>
            <w:r w:rsidR="005B7113" w:rsidRPr="000C5EA5">
              <w:rPr>
                <w:sz w:val="18"/>
                <w:szCs w:val="18"/>
              </w:rPr>
              <w:t>Core element of the framework is absent or directly inconsistent with Basin Plan / NWI principles.</w:t>
            </w:r>
          </w:p>
        </w:tc>
      </w:tr>
      <w:tr w:rsidR="005B7113" w:rsidRPr="000C5EA5" w14:paraId="5D342958" w14:textId="77777777" w:rsidTr="006E2F6B">
        <w:trPr>
          <w:trHeight w:val="283"/>
          <w:tblCellSpacing w:w="15" w:type="dxa"/>
        </w:trPr>
        <w:tc>
          <w:tcPr>
            <w:tcW w:w="193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D5FDABD" w14:textId="7C0E4A48" w:rsidR="005B7113" w:rsidRPr="000C5EA5" w:rsidRDefault="00382EE8" w:rsidP="006E2F6B">
            <w:pPr>
              <w:spacing w:after="0"/>
              <w:rPr>
                <w:b/>
                <w:sz w:val="18"/>
                <w:szCs w:val="18"/>
              </w:rPr>
            </w:pPr>
            <w:r>
              <w:rPr>
                <w:rFonts w:ascii="ZWAdobeF" w:hAnsi="ZWAdobeF" w:cs="ZWAdobeF"/>
                <w:sz w:val="2"/>
                <w:szCs w:val="2"/>
              </w:rPr>
              <w:t>1464B</w:t>
            </w:r>
            <w:r w:rsidR="005B7113" w:rsidRPr="000C5EA5">
              <w:rPr>
                <w:b/>
                <w:sz w:val="18"/>
                <w:szCs w:val="18"/>
              </w:rPr>
              <w:t>Major</w:t>
            </w:r>
          </w:p>
        </w:tc>
        <w:tc>
          <w:tcPr>
            <w:tcW w:w="12145" w:type="dxa"/>
            <w:tcBorders>
              <w:top w:val="single" w:sz="6" w:space="0" w:color="E6E6E6"/>
              <w:left w:val="single" w:sz="6" w:space="0" w:color="E6E6E6"/>
              <w:bottom w:val="single" w:sz="6" w:space="0" w:color="E6E6E6"/>
              <w:right w:val="single" w:sz="6" w:space="0" w:color="E6E6E6"/>
            </w:tcBorders>
            <w:vAlign w:val="center"/>
            <w:hideMark/>
          </w:tcPr>
          <w:p w14:paraId="315745D9" w14:textId="373B613E" w:rsidR="005B7113" w:rsidRPr="000C5EA5" w:rsidRDefault="00382EE8" w:rsidP="006E2F6B">
            <w:pPr>
              <w:spacing w:after="0"/>
              <w:rPr>
                <w:sz w:val="18"/>
                <w:szCs w:val="18"/>
              </w:rPr>
            </w:pPr>
            <w:r>
              <w:rPr>
                <w:rFonts w:ascii="ZWAdobeF" w:hAnsi="ZWAdobeF" w:cs="ZWAdobeF"/>
                <w:sz w:val="2"/>
                <w:szCs w:val="2"/>
              </w:rPr>
              <w:t>1465B</w:t>
            </w:r>
            <w:r w:rsidR="005B7113" w:rsidRPr="000C5EA5">
              <w:rPr>
                <w:sz w:val="18"/>
                <w:szCs w:val="18"/>
              </w:rPr>
              <w:t>Substantial misalignment affecting outcomes, system performance, or governance integrity.</w:t>
            </w:r>
          </w:p>
        </w:tc>
      </w:tr>
      <w:tr w:rsidR="005B7113" w:rsidRPr="000C5EA5" w14:paraId="64F84FED" w14:textId="77777777" w:rsidTr="006E2F6B">
        <w:trPr>
          <w:trHeight w:val="283"/>
          <w:tblCellSpacing w:w="15" w:type="dxa"/>
        </w:trPr>
        <w:tc>
          <w:tcPr>
            <w:tcW w:w="193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230164" w14:textId="345836CF" w:rsidR="005B7113" w:rsidRPr="000C5EA5" w:rsidRDefault="00382EE8" w:rsidP="006E2F6B">
            <w:pPr>
              <w:spacing w:after="0"/>
              <w:rPr>
                <w:b/>
                <w:sz w:val="18"/>
                <w:szCs w:val="18"/>
              </w:rPr>
            </w:pPr>
            <w:r>
              <w:rPr>
                <w:rFonts w:ascii="ZWAdobeF" w:hAnsi="ZWAdobeF" w:cs="ZWAdobeF"/>
                <w:sz w:val="2"/>
                <w:szCs w:val="2"/>
              </w:rPr>
              <w:t>1466B</w:t>
            </w:r>
            <w:r w:rsidR="005B7113" w:rsidRPr="000C5EA5">
              <w:rPr>
                <w:b/>
                <w:sz w:val="18"/>
                <w:szCs w:val="18"/>
              </w:rPr>
              <w:t>Moderate</w:t>
            </w:r>
          </w:p>
        </w:tc>
        <w:tc>
          <w:tcPr>
            <w:tcW w:w="12145" w:type="dxa"/>
            <w:tcBorders>
              <w:top w:val="single" w:sz="6" w:space="0" w:color="E6E6E6"/>
              <w:left w:val="single" w:sz="6" w:space="0" w:color="E6E6E6"/>
              <w:bottom w:val="single" w:sz="6" w:space="0" w:color="E6E6E6"/>
              <w:right w:val="single" w:sz="6" w:space="0" w:color="E6E6E6"/>
            </w:tcBorders>
            <w:vAlign w:val="center"/>
            <w:hideMark/>
          </w:tcPr>
          <w:p w14:paraId="1AF92CCD" w14:textId="656D7CC3" w:rsidR="005B7113" w:rsidRPr="000C5EA5" w:rsidRDefault="00382EE8" w:rsidP="006E2F6B">
            <w:pPr>
              <w:spacing w:after="0"/>
              <w:rPr>
                <w:sz w:val="18"/>
                <w:szCs w:val="18"/>
              </w:rPr>
            </w:pPr>
            <w:r>
              <w:rPr>
                <w:rFonts w:ascii="ZWAdobeF" w:hAnsi="ZWAdobeF" w:cs="ZWAdobeF"/>
                <w:sz w:val="2"/>
                <w:szCs w:val="2"/>
              </w:rPr>
              <w:t>1467B</w:t>
            </w:r>
            <w:r w:rsidR="005B7113" w:rsidRPr="000C5EA5">
              <w:rPr>
                <w:sz w:val="18"/>
                <w:szCs w:val="18"/>
              </w:rPr>
              <w:t>Partial alignment with clear weaknesses or gaps in implementation, clarity, or robustness.</w:t>
            </w:r>
          </w:p>
        </w:tc>
      </w:tr>
      <w:tr w:rsidR="005B7113" w:rsidRPr="000C5EA5" w14:paraId="432F2A51" w14:textId="77777777" w:rsidTr="006E2F6B">
        <w:trPr>
          <w:trHeight w:val="283"/>
          <w:tblCellSpacing w:w="15" w:type="dxa"/>
        </w:trPr>
        <w:tc>
          <w:tcPr>
            <w:tcW w:w="193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51F3235" w14:textId="042A4A35" w:rsidR="005B7113" w:rsidRPr="000C5EA5" w:rsidRDefault="00382EE8" w:rsidP="006E2F6B">
            <w:pPr>
              <w:spacing w:after="0"/>
              <w:rPr>
                <w:b/>
                <w:sz w:val="18"/>
                <w:szCs w:val="18"/>
              </w:rPr>
            </w:pPr>
            <w:r>
              <w:rPr>
                <w:rFonts w:ascii="ZWAdobeF" w:hAnsi="ZWAdobeF" w:cs="ZWAdobeF"/>
                <w:sz w:val="2"/>
                <w:szCs w:val="2"/>
              </w:rPr>
              <w:t>1468B</w:t>
            </w:r>
            <w:r w:rsidR="005B7113" w:rsidRPr="000C5EA5">
              <w:rPr>
                <w:b/>
                <w:sz w:val="18"/>
                <w:szCs w:val="18"/>
              </w:rPr>
              <w:t>Minor</w:t>
            </w:r>
          </w:p>
        </w:tc>
        <w:tc>
          <w:tcPr>
            <w:tcW w:w="12145" w:type="dxa"/>
            <w:tcBorders>
              <w:top w:val="single" w:sz="6" w:space="0" w:color="E6E6E6"/>
              <w:left w:val="single" w:sz="6" w:space="0" w:color="E6E6E6"/>
              <w:bottom w:val="single" w:sz="6" w:space="0" w:color="E6E6E6"/>
              <w:right w:val="single" w:sz="6" w:space="0" w:color="E6E6E6"/>
            </w:tcBorders>
            <w:vAlign w:val="center"/>
            <w:hideMark/>
          </w:tcPr>
          <w:p w14:paraId="38D5DF70" w14:textId="1FFB3B9A" w:rsidR="005B7113" w:rsidRPr="000C5EA5" w:rsidRDefault="00382EE8" w:rsidP="006E2F6B">
            <w:pPr>
              <w:spacing w:after="0"/>
              <w:rPr>
                <w:sz w:val="18"/>
                <w:szCs w:val="18"/>
              </w:rPr>
            </w:pPr>
            <w:r>
              <w:rPr>
                <w:rFonts w:ascii="ZWAdobeF" w:hAnsi="ZWAdobeF" w:cs="ZWAdobeF"/>
                <w:sz w:val="2"/>
                <w:szCs w:val="2"/>
              </w:rPr>
              <w:t>1469B</w:t>
            </w:r>
            <w:r w:rsidR="005B7113" w:rsidRPr="000C5EA5">
              <w:rPr>
                <w:sz w:val="18"/>
                <w:szCs w:val="18"/>
              </w:rPr>
              <w:t>Generally aligned, but with limited gaps in clarity, consistency, or completeness.</w:t>
            </w:r>
          </w:p>
        </w:tc>
      </w:tr>
      <w:tr w:rsidR="005B7113" w:rsidRPr="000C5EA5" w14:paraId="12E68AF4" w14:textId="77777777" w:rsidTr="006E2F6B">
        <w:trPr>
          <w:trHeight w:val="283"/>
          <w:tblCellSpacing w:w="15" w:type="dxa"/>
        </w:trPr>
        <w:tc>
          <w:tcPr>
            <w:tcW w:w="1932" w:type="dxa"/>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3773A79" w14:textId="102614DE" w:rsidR="005B7113" w:rsidRPr="000C5EA5" w:rsidRDefault="00382EE8" w:rsidP="006E2F6B">
            <w:pPr>
              <w:spacing w:after="0"/>
              <w:rPr>
                <w:b/>
                <w:sz w:val="18"/>
                <w:szCs w:val="18"/>
              </w:rPr>
            </w:pPr>
            <w:r>
              <w:rPr>
                <w:rFonts w:ascii="ZWAdobeF" w:hAnsi="ZWAdobeF" w:cs="ZWAdobeF"/>
                <w:sz w:val="2"/>
                <w:szCs w:val="2"/>
              </w:rPr>
              <w:t>1470B</w:t>
            </w:r>
            <w:r w:rsidR="005B7113" w:rsidRPr="000C5EA5">
              <w:rPr>
                <w:b/>
                <w:sz w:val="18"/>
                <w:szCs w:val="18"/>
              </w:rPr>
              <w:t xml:space="preserve">Compliant / Aligned </w:t>
            </w:r>
            <w:r w:rsidR="005B7113" w:rsidRPr="000C5EA5">
              <w:rPr>
                <w:b/>
                <w:i/>
                <w:sz w:val="18"/>
                <w:szCs w:val="18"/>
              </w:rPr>
              <w:t>(optional)</w:t>
            </w:r>
          </w:p>
        </w:tc>
        <w:tc>
          <w:tcPr>
            <w:tcW w:w="12145" w:type="dxa"/>
            <w:tcBorders>
              <w:top w:val="single" w:sz="6" w:space="0" w:color="E6E6E6"/>
              <w:left w:val="single" w:sz="6" w:space="0" w:color="E6E6E6"/>
              <w:bottom w:val="single" w:sz="6" w:space="0" w:color="E6E6E6"/>
              <w:right w:val="single" w:sz="6" w:space="0" w:color="E6E6E6"/>
            </w:tcBorders>
            <w:vAlign w:val="center"/>
            <w:hideMark/>
          </w:tcPr>
          <w:p w14:paraId="100AEDA8" w14:textId="2E15A9F6" w:rsidR="005B7113" w:rsidRPr="000C5EA5" w:rsidRDefault="00382EE8" w:rsidP="006E2F6B">
            <w:pPr>
              <w:spacing w:after="0"/>
              <w:rPr>
                <w:sz w:val="18"/>
                <w:szCs w:val="18"/>
              </w:rPr>
            </w:pPr>
            <w:r>
              <w:rPr>
                <w:rFonts w:ascii="ZWAdobeF" w:hAnsi="ZWAdobeF" w:cs="ZWAdobeF"/>
                <w:sz w:val="2"/>
                <w:szCs w:val="2"/>
              </w:rPr>
              <w:t>1471B</w:t>
            </w:r>
            <w:r w:rsidR="005B7113" w:rsidRPr="000C5EA5">
              <w:rPr>
                <w:sz w:val="18"/>
                <w:szCs w:val="18"/>
              </w:rPr>
              <w:t>Fully or largely consistent with Basin Plan/NWI expectations.</w:t>
            </w:r>
          </w:p>
        </w:tc>
      </w:tr>
    </w:tbl>
    <w:p w14:paraId="093009A8" w14:textId="77777777" w:rsidR="005B7113" w:rsidRPr="00D03E83" w:rsidRDefault="005B7113" w:rsidP="003E0B73"/>
    <w:p w14:paraId="2325ACEB" w14:textId="418ADD0D" w:rsidR="003E0B73" w:rsidRDefault="003E0B73" w:rsidP="003E0B73"/>
    <w:tbl>
      <w:tblPr>
        <w:tblStyle w:val="PlainTable1"/>
        <w:tblW w:w="14170" w:type="dxa"/>
        <w:tblLook w:val="04A0" w:firstRow="1" w:lastRow="0" w:firstColumn="1" w:lastColumn="0" w:noHBand="0" w:noVBand="1"/>
      </w:tblPr>
      <w:tblGrid>
        <w:gridCol w:w="2639"/>
        <w:gridCol w:w="3208"/>
        <w:gridCol w:w="4638"/>
        <w:gridCol w:w="3685"/>
      </w:tblGrid>
      <w:tr w:rsidR="00A52808" w:rsidRPr="000C5EA5" w14:paraId="1E03A506" w14:textId="77777777" w:rsidTr="006E2F6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39" w:type="dxa"/>
            <w:hideMark/>
          </w:tcPr>
          <w:p w14:paraId="45C00D46" w14:textId="77777777" w:rsidR="00A52808" w:rsidRPr="000C5EA5" w:rsidRDefault="00A52808" w:rsidP="008402D0">
            <w:pPr>
              <w:spacing w:line="300" w:lineRule="auto"/>
              <w:jc w:val="left"/>
              <w:rPr>
                <w:rFonts w:eastAsia="Segoe UI" w:cs="Calibri"/>
                <w:b w:val="0"/>
                <w:sz w:val="18"/>
                <w:szCs w:val="18"/>
              </w:rPr>
            </w:pPr>
            <w:r w:rsidRPr="000C5EA5">
              <w:rPr>
                <w:rFonts w:eastAsia="Segoe UI" w:cs="Calibri"/>
                <w:sz w:val="18"/>
                <w:szCs w:val="18"/>
              </w:rPr>
              <w:lastRenderedPageBreak/>
              <w:t>Principle </w:t>
            </w:r>
          </w:p>
        </w:tc>
        <w:tc>
          <w:tcPr>
            <w:tcW w:w="3208" w:type="dxa"/>
            <w:hideMark/>
          </w:tcPr>
          <w:p w14:paraId="73CA1057" w14:textId="77777777" w:rsidR="00A52808" w:rsidRPr="000C5EA5" w:rsidRDefault="00A52808" w:rsidP="008402D0">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0C5EA5">
              <w:rPr>
                <w:rFonts w:eastAsia="Segoe UI" w:cs="Calibri"/>
                <w:sz w:val="18"/>
                <w:szCs w:val="18"/>
              </w:rPr>
              <w:t>Basin Plan expectation </w:t>
            </w:r>
          </w:p>
        </w:tc>
        <w:tc>
          <w:tcPr>
            <w:tcW w:w="4638" w:type="dxa"/>
            <w:hideMark/>
          </w:tcPr>
          <w:p w14:paraId="29E1D89C" w14:textId="77777777" w:rsidR="00A52808" w:rsidRPr="000C5EA5" w:rsidRDefault="00A52808" w:rsidP="008402D0">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0C5EA5">
              <w:rPr>
                <w:rFonts w:eastAsia="Segoe UI" w:cs="Calibri"/>
                <w:sz w:val="18"/>
                <w:szCs w:val="18"/>
              </w:rPr>
              <w:t>Position under the Snowy Water Inquiry Outcomes Implementation Deed </w:t>
            </w:r>
          </w:p>
        </w:tc>
        <w:tc>
          <w:tcPr>
            <w:tcW w:w="3685" w:type="dxa"/>
            <w:hideMark/>
          </w:tcPr>
          <w:p w14:paraId="583FAE04" w14:textId="77777777" w:rsidR="00A52808" w:rsidRPr="000C5EA5" w:rsidRDefault="00A52808" w:rsidP="008402D0">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0C5EA5">
              <w:rPr>
                <w:rFonts w:eastAsia="Segoe UI" w:cs="Calibri"/>
                <w:sz w:val="18"/>
                <w:szCs w:val="18"/>
              </w:rPr>
              <w:t>Gap and implications of the gap </w:t>
            </w:r>
          </w:p>
        </w:tc>
      </w:tr>
      <w:tr w:rsidR="00A52808" w:rsidRPr="000C5EA5" w14:paraId="6413B7D7" w14:textId="77777777" w:rsidTr="006E2F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0CDE9B4B"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Basin</w:t>
            </w:r>
            <w:r w:rsidRPr="006E2F6B">
              <w:rPr>
                <w:rFonts w:eastAsia="Segoe UI" w:cs="Calibri"/>
                <w:sz w:val="18"/>
                <w:szCs w:val="18"/>
              </w:rPr>
              <w:noBreakHyphen/>
              <w:t>scale, integrated water management </w:t>
            </w:r>
          </w:p>
        </w:tc>
        <w:tc>
          <w:tcPr>
            <w:tcW w:w="3208" w:type="dxa"/>
            <w:hideMark/>
          </w:tcPr>
          <w:p w14:paraId="52F843FE"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Water resources are planned and managed at the scale of the hydrological basin, recognising connectivity between systems and cumulative downstream impacts. </w:t>
            </w:r>
          </w:p>
        </w:tc>
        <w:tc>
          <w:tcPr>
            <w:tcW w:w="4638" w:type="dxa"/>
            <w:hideMark/>
          </w:tcPr>
          <w:p w14:paraId="19554683"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Governance under the Deed is structured around the signatory jurisdictions and operation of the Snowy Scheme, rather than basin</w:t>
            </w:r>
            <w:r w:rsidRPr="006E2F6B">
              <w:rPr>
                <w:rFonts w:eastAsia="Segoe UI" w:cs="Calibri"/>
                <w:sz w:val="18"/>
                <w:szCs w:val="18"/>
              </w:rPr>
              <w:noBreakHyphen/>
              <w:t>scale integration. The ACT has no formal governance role despite being directly affected by Upper Murrumbidgee flows. </w:t>
            </w:r>
          </w:p>
        </w:tc>
        <w:tc>
          <w:tcPr>
            <w:tcW w:w="3685" w:type="dxa"/>
            <w:hideMark/>
          </w:tcPr>
          <w:p w14:paraId="777EBDE4"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b/>
                <w:sz w:val="18"/>
                <w:szCs w:val="18"/>
              </w:rPr>
              <w:t>Major</w:t>
            </w:r>
            <w:r w:rsidRPr="006E2F6B">
              <w:rPr>
                <w:rFonts w:eastAsia="Segoe UI" w:cs="Calibri"/>
                <w:sz w:val="18"/>
                <w:szCs w:val="18"/>
              </w:rPr>
              <w:t> </w:t>
            </w:r>
          </w:p>
          <w:p w14:paraId="5447DDC5" w14:textId="074F1291"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Fragmented decision</w:t>
            </w:r>
            <w:r w:rsidRPr="006E2F6B">
              <w:rPr>
                <w:rFonts w:eastAsia="Segoe UI" w:cs="Calibri"/>
                <w:sz w:val="18"/>
                <w:szCs w:val="18"/>
              </w:rPr>
              <w:noBreakHyphen/>
              <w:t>making limits integrated management and risks undermining downstream Basin Plan objectives. </w:t>
            </w:r>
          </w:p>
        </w:tc>
      </w:tr>
      <w:tr w:rsidR="00A52808" w:rsidRPr="000C5EA5" w14:paraId="53507A17" w14:textId="77777777" w:rsidTr="006E2F6B">
        <w:trPr>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638094CF"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Environmentally sustainable level of take (ESLT) </w:t>
            </w:r>
          </w:p>
        </w:tc>
        <w:tc>
          <w:tcPr>
            <w:tcW w:w="3208" w:type="dxa"/>
            <w:hideMark/>
          </w:tcPr>
          <w:p w14:paraId="56D9C401"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Water use and management operate within sustainable limits that protect key environmental assets and ecosystem functions. </w:t>
            </w:r>
          </w:p>
        </w:tc>
        <w:tc>
          <w:tcPr>
            <w:tcW w:w="4638" w:type="dxa"/>
            <w:hideMark/>
          </w:tcPr>
          <w:p w14:paraId="7B414F66"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The Deed specifies fixed volumetric environmental releases based on historical assumptions. It does not explicitly reference ESLT concepts or Basin Plan sustainability objectives. </w:t>
            </w:r>
          </w:p>
        </w:tc>
        <w:tc>
          <w:tcPr>
            <w:tcW w:w="3685" w:type="dxa"/>
            <w:hideMark/>
          </w:tcPr>
          <w:p w14:paraId="138FF19F"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b/>
                <w:sz w:val="18"/>
                <w:szCs w:val="18"/>
              </w:rPr>
              <w:t>Moderate</w:t>
            </w:r>
            <w:r w:rsidRPr="006E2F6B">
              <w:rPr>
                <w:rFonts w:eastAsia="Segoe UI" w:cs="Calibri"/>
                <w:sz w:val="18"/>
                <w:szCs w:val="18"/>
              </w:rPr>
              <w:t> </w:t>
            </w:r>
          </w:p>
          <w:p w14:paraId="14351417"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The Deed provides limited assurance that releases remain environmentally sufficient under changing climatic and operational conditions, potentially constraining Basin Plan effectiveness. </w:t>
            </w:r>
          </w:p>
        </w:tc>
      </w:tr>
      <w:tr w:rsidR="00A52808" w:rsidRPr="000C5EA5" w14:paraId="30EA4F91" w14:textId="77777777" w:rsidTr="006E2F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5168A5FC"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Clear environmental objectives and outcomes </w:t>
            </w:r>
          </w:p>
        </w:tc>
        <w:tc>
          <w:tcPr>
            <w:tcW w:w="3208" w:type="dxa"/>
            <w:hideMark/>
          </w:tcPr>
          <w:p w14:paraId="36B4A863"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Environmental water is directed to achieve defined ecological objectives, supported by monitoring and evaluation. </w:t>
            </w:r>
          </w:p>
        </w:tc>
        <w:tc>
          <w:tcPr>
            <w:tcW w:w="4638" w:type="dxa"/>
            <w:hideMark/>
          </w:tcPr>
          <w:p w14:paraId="4BACB0C3"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Environmental flows under the Deed are largely expressed as volumes, with limited articulation of ecological objectives or performance measures at the Deed level. </w:t>
            </w:r>
          </w:p>
        </w:tc>
        <w:tc>
          <w:tcPr>
            <w:tcW w:w="3685" w:type="dxa"/>
            <w:hideMark/>
          </w:tcPr>
          <w:p w14:paraId="3B05F7AA"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b/>
                <w:sz w:val="18"/>
                <w:szCs w:val="18"/>
              </w:rPr>
              <w:t>Moderate </w:t>
            </w:r>
            <w:r w:rsidRPr="006E2F6B">
              <w:rPr>
                <w:rFonts w:eastAsia="Segoe UI" w:cs="Calibri"/>
                <w:sz w:val="18"/>
                <w:szCs w:val="18"/>
              </w:rPr>
              <w:t> </w:t>
            </w:r>
          </w:p>
          <w:p w14:paraId="6EFB11E4" w14:textId="21473F50"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Outcome</w:t>
            </w:r>
            <w:r w:rsidRPr="006E2F6B">
              <w:rPr>
                <w:rFonts w:eastAsia="Segoe UI" w:cs="Calibri"/>
                <w:sz w:val="18"/>
                <w:szCs w:val="18"/>
              </w:rPr>
              <w:noBreakHyphen/>
              <w:t>based accountability is weak, reducing the ability to</w:t>
            </w:r>
            <w:r w:rsidR="006A382B" w:rsidRPr="006E2F6B">
              <w:rPr>
                <w:rFonts w:eastAsia="Segoe UI" w:cs="Calibri"/>
                <w:sz w:val="18"/>
                <w:szCs w:val="18"/>
              </w:rPr>
              <w:t xml:space="preserve"> </w:t>
            </w:r>
            <w:r w:rsidRPr="006E2F6B">
              <w:rPr>
                <w:rFonts w:eastAsia="Segoe UI" w:cs="Calibri"/>
                <w:sz w:val="18"/>
                <w:szCs w:val="18"/>
              </w:rPr>
              <w:t>demonstrate</w:t>
            </w:r>
            <w:r w:rsidR="006A382B" w:rsidRPr="006E2F6B">
              <w:rPr>
                <w:rFonts w:eastAsia="Segoe UI" w:cs="Calibri"/>
                <w:sz w:val="18"/>
                <w:szCs w:val="18"/>
              </w:rPr>
              <w:t xml:space="preserve"> </w:t>
            </w:r>
            <w:r w:rsidRPr="006E2F6B">
              <w:rPr>
                <w:rFonts w:eastAsia="Segoe UI" w:cs="Calibri"/>
                <w:sz w:val="18"/>
                <w:szCs w:val="18"/>
              </w:rPr>
              <w:t>contribution to Basin Plan environmental outcomes. </w:t>
            </w:r>
          </w:p>
        </w:tc>
      </w:tr>
      <w:tr w:rsidR="00A52808" w:rsidRPr="000C5EA5" w14:paraId="3307D563" w14:textId="77777777" w:rsidTr="006E2F6B">
        <w:trPr>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27FB2B58"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Adaptive management and responsiveness to change </w:t>
            </w:r>
          </w:p>
        </w:tc>
        <w:tc>
          <w:tcPr>
            <w:tcW w:w="3208" w:type="dxa"/>
            <w:hideMark/>
          </w:tcPr>
          <w:p w14:paraId="69BA9540"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Basin</w:t>
            </w:r>
            <w:r w:rsidRPr="006E2F6B">
              <w:rPr>
                <w:rFonts w:eastAsia="Segoe UI" w:cs="Calibri"/>
                <w:sz w:val="18"/>
                <w:szCs w:val="18"/>
              </w:rPr>
              <w:noBreakHyphen/>
              <w:t>scale water management responds to new information, climatic variability and long</w:t>
            </w:r>
            <w:r w:rsidRPr="006E2F6B">
              <w:rPr>
                <w:rFonts w:eastAsia="Segoe UI" w:cs="Calibri"/>
                <w:sz w:val="18"/>
                <w:szCs w:val="18"/>
              </w:rPr>
              <w:noBreakHyphen/>
              <w:t>term change. </w:t>
            </w:r>
          </w:p>
        </w:tc>
        <w:tc>
          <w:tcPr>
            <w:tcW w:w="4638" w:type="dxa"/>
            <w:hideMark/>
          </w:tcPr>
          <w:p w14:paraId="35FCA0A0"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The Deed does not embed adaptive management principles or structured review triggers. Changes rely on ad</w:t>
            </w:r>
            <w:r w:rsidRPr="006E2F6B">
              <w:rPr>
                <w:rFonts w:eastAsia="Segoe UI" w:cs="Calibri"/>
                <w:sz w:val="18"/>
                <w:szCs w:val="18"/>
              </w:rPr>
              <w:noBreakHyphen/>
              <w:t>hoc intergovernmental agreement. </w:t>
            </w:r>
          </w:p>
        </w:tc>
        <w:tc>
          <w:tcPr>
            <w:tcW w:w="3685" w:type="dxa"/>
            <w:hideMark/>
          </w:tcPr>
          <w:p w14:paraId="37AAF4F0"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b/>
                <w:sz w:val="18"/>
                <w:szCs w:val="18"/>
              </w:rPr>
              <w:t>Major </w:t>
            </w:r>
            <w:r w:rsidRPr="006E2F6B">
              <w:rPr>
                <w:rFonts w:eastAsia="Segoe UI" w:cs="Calibri"/>
                <w:sz w:val="18"/>
                <w:szCs w:val="18"/>
              </w:rPr>
              <w:t> </w:t>
            </w:r>
          </w:p>
          <w:p w14:paraId="34837AB9"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Governance is static and slow to respond, increasing the risk of maladaptive outcomes as climate pressures intensify. </w:t>
            </w:r>
          </w:p>
        </w:tc>
      </w:tr>
      <w:tr w:rsidR="00A52808" w:rsidRPr="000C5EA5" w14:paraId="24FD4623" w14:textId="77777777" w:rsidTr="006E2F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4E920A0F"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Transparency and accountability </w:t>
            </w:r>
          </w:p>
        </w:tc>
        <w:tc>
          <w:tcPr>
            <w:tcW w:w="3208" w:type="dxa"/>
            <w:hideMark/>
          </w:tcPr>
          <w:p w14:paraId="5398CC25"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Decisions on water management and trade</w:t>
            </w:r>
            <w:r w:rsidRPr="006E2F6B">
              <w:rPr>
                <w:rFonts w:eastAsia="Segoe UI" w:cs="Calibri"/>
                <w:sz w:val="18"/>
                <w:szCs w:val="18"/>
              </w:rPr>
              <w:noBreakHyphen/>
              <w:t>offs are transparent and accountable to the public. </w:t>
            </w:r>
          </w:p>
        </w:tc>
        <w:tc>
          <w:tcPr>
            <w:tcW w:w="4638" w:type="dxa"/>
            <w:hideMark/>
          </w:tcPr>
          <w:p w14:paraId="27DC9A75"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Key decisions and trade</w:t>
            </w:r>
            <w:r w:rsidRPr="006E2F6B">
              <w:rPr>
                <w:rFonts w:eastAsia="Segoe UI" w:cs="Calibri"/>
                <w:sz w:val="18"/>
                <w:szCs w:val="18"/>
              </w:rPr>
              <w:noBreakHyphen/>
              <w:t>offs under the Deed occur through intergovernmental and operational processes with limited public visibility. </w:t>
            </w:r>
          </w:p>
        </w:tc>
        <w:tc>
          <w:tcPr>
            <w:tcW w:w="3685" w:type="dxa"/>
            <w:hideMark/>
          </w:tcPr>
          <w:p w14:paraId="551E4D60"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b/>
                <w:sz w:val="18"/>
                <w:szCs w:val="18"/>
              </w:rPr>
              <w:t>Moderate </w:t>
            </w:r>
            <w:r w:rsidRPr="006E2F6B">
              <w:rPr>
                <w:rFonts w:eastAsia="Segoe UI" w:cs="Calibri"/>
                <w:sz w:val="18"/>
                <w:szCs w:val="18"/>
              </w:rPr>
              <w:t> </w:t>
            </w:r>
          </w:p>
          <w:p w14:paraId="068B31AC"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Limited transparency weakens public confidence and reduces assurance that Snowy operations align with Basin Plan intent. </w:t>
            </w:r>
          </w:p>
        </w:tc>
      </w:tr>
      <w:tr w:rsidR="00A52808" w:rsidRPr="000C5EA5" w14:paraId="2E209492" w14:textId="77777777" w:rsidTr="006E2F6B">
        <w:trPr>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23787E77"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Separation of roles and functions </w:t>
            </w:r>
          </w:p>
        </w:tc>
        <w:tc>
          <w:tcPr>
            <w:tcW w:w="3208" w:type="dxa"/>
            <w:hideMark/>
          </w:tcPr>
          <w:p w14:paraId="60985539"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Policy</w:t>
            </w:r>
            <w:r w:rsidRPr="006E2F6B">
              <w:rPr>
                <w:rFonts w:eastAsia="Segoe UI" w:cs="Calibri"/>
                <w:sz w:val="18"/>
                <w:szCs w:val="18"/>
              </w:rPr>
              <w:noBreakHyphen/>
              <w:t>setting, operational management and regulation are clearly separated to avoid conflicts of interest. </w:t>
            </w:r>
          </w:p>
        </w:tc>
        <w:tc>
          <w:tcPr>
            <w:tcW w:w="4638" w:type="dxa"/>
            <w:hideMark/>
          </w:tcPr>
          <w:p w14:paraId="4F0A5C2C"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Snowy Hydro Limited retains discretion over operational decisions affecting environmental flows while also pursuing energy generation objectives. </w:t>
            </w:r>
          </w:p>
        </w:tc>
        <w:tc>
          <w:tcPr>
            <w:tcW w:w="3685" w:type="dxa"/>
            <w:hideMark/>
          </w:tcPr>
          <w:p w14:paraId="5B7EF679" w14:textId="5A73125F" w:rsidR="00A52808" w:rsidRPr="006E2F6B" w:rsidRDefault="000F4FEB"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b/>
                <w:sz w:val="18"/>
                <w:szCs w:val="18"/>
              </w:rPr>
              <w:t>Major</w:t>
            </w:r>
          </w:p>
          <w:p w14:paraId="30C26EC7"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 xml:space="preserve">Structural role overlap creates conflicts of interest and weakens confidence in </w:t>
            </w:r>
            <w:r w:rsidRPr="006E2F6B">
              <w:rPr>
                <w:rFonts w:eastAsia="Segoe UI" w:cs="Calibri"/>
                <w:sz w:val="18"/>
                <w:szCs w:val="18"/>
              </w:rPr>
              <w:lastRenderedPageBreak/>
              <w:t>environmental water decisions in a Basin Plan context. </w:t>
            </w:r>
          </w:p>
        </w:tc>
      </w:tr>
      <w:tr w:rsidR="00A52808" w:rsidRPr="000C5EA5" w14:paraId="7EBCA19B" w14:textId="77777777" w:rsidTr="006E2F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32F07B6F"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lastRenderedPageBreak/>
              <w:t>Stakeholder and community engagement </w:t>
            </w:r>
          </w:p>
        </w:tc>
        <w:tc>
          <w:tcPr>
            <w:tcW w:w="3208" w:type="dxa"/>
            <w:hideMark/>
          </w:tcPr>
          <w:p w14:paraId="4EBC155C"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Communities are informed and engaged in water management decisions affecting Basin outcomes. </w:t>
            </w:r>
          </w:p>
        </w:tc>
        <w:tc>
          <w:tcPr>
            <w:tcW w:w="4638" w:type="dxa"/>
            <w:hideMark/>
          </w:tcPr>
          <w:p w14:paraId="208C4191"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The Deed contains no formal provisions for stakeholder or community engagement. Engagement occurs through external, discretionary processes. </w:t>
            </w:r>
          </w:p>
        </w:tc>
        <w:tc>
          <w:tcPr>
            <w:tcW w:w="3685" w:type="dxa"/>
            <w:hideMark/>
          </w:tcPr>
          <w:p w14:paraId="3FBC14AB"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b/>
                <w:sz w:val="18"/>
                <w:szCs w:val="18"/>
              </w:rPr>
              <w:t>Moderate </w:t>
            </w:r>
            <w:r w:rsidRPr="006E2F6B">
              <w:rPr>
                <w:rFonts w:eastAsia="Segoe UI" w:cs="Calibri"/>
                <w:sz w:val="18"/>
                <w:szCs w:val="18"/>
              </w:rPr>
              <w:t> </w:t>
            </w:r>
          </w:p>
          <w:p w14:paraId="2D71B86B" w14:textId="5FEF6D55"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Absence of embedded engagement mechanisms reduces social licence and community confidence in</w:t>
            </w:r>
            <w:r w:rsidR="006A382B" w:rsidRPr="006E2F6B">
              <w:rPr>
                <w:rFonts w:eastAsia="Segoe UI" w:cs="Calibri"/>
                <w:sz w:val="18"/>
                <w:szCs w:val="18"/>
              </w:rPr>
              <w:t xml:space="preserve"> </w:t>
            </w:r>
            <w:r w:rsidRPr="006E2F6B">
              <w:rPr>
                <w:rFonts w:eastAsia="Segoe UI" w:cs="Calibri"/>
                <w:sz w:val="18"/>
                <w:szCs w:val="18"/>
              </w:rPr>
              <w:t>Basin</w:t>
            </w:r>
            <w:r w:rsidRPr="006E2F6B">
              <w:rPr>
                <w:rFonts w:eastAsia="Segoe UI" w:cs="Calibri"/>
                <w:sz w:val="18"/>
                <w:szCs w:val="18"/>
              </w:rPr>
              <w:noBreakHyphen/>
              <w:t>related</w:t>
            </w:r>
            <w:r w:rsidR="006A382B" w:rsidRPr="006E2F6B">
              <w:rPr>
                <w:rFonts w:eastAsia="Segoe UI" w:cs="Calibri"/>
                <w:sz w:val="18"/>
                <w:szCs w:val="18"/>
              </w:rPr>
              <w:t xml:space="preserve"> </w:t>
            </w:r>
            <w:r w:rsidRPr="006E2F6B">
              <w:rPr>
                <w:rFonts w:eastAsia="Segoe UI" w:cs="Calibri"/>
                <w:sz w:val="18"/>
                <w:szCs w:val="18"/>
              </w:rPr>
              <w:t>outcomes. </w:t>
            </w:r>
          </w:p>
        </w:tc>
      </w:tr>
      <w:tr w:rsidR="00A52808" w:rsidRPr="000C5EA5" w14:paraId="62FC87A5" w14:textId="77777777" w:rsidTr="006E2F6B">
        <w:trPr>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2590B51D"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Recognition of First Nations values and uses </w:t>
            </w:r>
          </w:p>
        </w:tc>
        <w:tc>
          <w:tcPr>
            <w:tcW w:w="3208" w:type="dxa"/>
            <w:hideMark/>
          </w:tcPr>
          <w:p w14:paraId="3B80F27A"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First Nations cultural values, knowledge and uses of water are recognised and supported within water management frameworks. </w:t>
            </w:r>
          </w:p>
        </w:tc>
        <w:tc>
          <w:tcPr>
            <w:tcW w:w="4638" w:type="dxa"/>
            <w:hideMark/>
          </w:tcPr>
          <w:p w14:paraId="5CE2FD19"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The Deed contains no recognition of First Nations interests or role in governance, planning or review. </w:t>
            </w:r>
          </w:p>
        </w:tc>
        <w:tc>
          <w:tcPr>
            <w:tcW w:w="3685" w:type="dxa"/>
            <w:hideMark/>
          </w:tcPr>
          <w:p w14:paraId="0B148C90"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b/>
                <w:sz w:val="18"/>
                <w:szCs w:val="18"/>
              </w:rPr>
              <w:t>Fundamental </w:t>
            </w:r>
            <w:r w:rsidRPr="006E2F6B">
              <w:rPr>
                <w:rFonts w:eastAsia="Segoe UI" w:cs="Calibri"/>
                <w:sz w:val="18"/>
                <w:szCs w:val="18"/>
              </w:rPr>
              <w:t> </w:t>
            </w:r>
          </w:p>
          <w:p w14:paraId="2E613A0B" w14:textId="29EB2EFB"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The Deed is misaligned with Basin Plan expectations and contemporary standards, creating legitimacy,</w:t>
            </w:r>
            <w:r w:rsidR="006A382B" w:rsidRPr="006E2F6B">
              <w:rPr>
                <w:rFonts w:eastAsia="Segoe UI" w:cs="Calibri"/>
                <w:sz w:val="18"/>
                <w:szCs w:val="18"/>
              </w:rPr>
              <w:t xml:space="preserve"> </w:t>
            </w:r>
            <w:r w:rsidRPr="006E2F6B">
              <w:rPr>
                <w:rFonts w:eastAsia="Segoe UI" w:cs="Calibri"/>
                <w:sz w:val="18"/>
                <w:szCs w:val="18"/>
              </w:rPr>
              <w:t>equity</w:t>
            </w:r>
            <w:r w:rsidR="006A382B" w:rsidRPr="006E2F6B">
              <w:rPr>
                <w:rFonts w:eastAsia="Segoe UI" w:cs="Calibri"/>
                <w:sz w:val="18"/>
                <w:szCs w:val="18"/>
              </w:rPr>
              <w:t xml:space="preserve"> </w:t>
            </w:r>
            <w:r w:rsidRPr="006E2F6B">
              <w:rPr>
                <w:rFonts w:eastAsia="Segoe UI" w:cs="Calibri"/>
                <w:sz w:val="18"/>
                <w:szCs w:val="18"/>
              </w:rPr>
              <w:t>and trust failures. </w:t>
            </w:r>
          </w:p>
        </w:tc>
      </w:tr>
      <w:tr w:rsidR="00A52808" w:rsidRPr="000C5EA5" w14:paraId="76231123" w14:textId="77777777" w:rsidTr="006E2F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0CECA201"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Monitoring, evaluation and review </w:t>
            </w:r>
          </w:p>
        </w:tc>
        <w:tc>
          <w:tcPr>
            <w:tcW w:w="3208" w:type="dxa"/>
            <w:hideMark/>
          </w:tcPr>
          <w:p w14:paraId="6D0FCAC4"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Ongoing monitoring and periodic review support learning and continuous improvement. </w:t>
            </w:r>
          </w:p>
        </w:tc>
        <w:tc>
          <w:tcPr>
            <w:tcW w:w="4638" w:type="dxa"/>
            <w:hideMark/>
          </w:tcPr>
          <w:p w14:paraId="11E2A935"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The Deed does not mandate a regular review cycle and was not substantively reviewed for more than 20 years after commencement. </w:t>
            </w:r>
          </w:p>
        </w:tc>
        <w:tc>
          <w:tcPr>
            <w:tcW w:w="3685" w:type="dxa"/>
            <w:hideMark/>
          </w:tcPr>
          <w:p w14:paraId="3F820E3A" w14:textId="77777777"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b/>
                <w:sz w:val="18"/>
                <w:szCs w:val="18"/>
              </w:rPr>
              <w:t>Major </w:t>
            </w:r>
            <w:r w:rsidRPr="006E2F6B">
              <w:rPr>
                <w:rFonts w:eastAsia="Segoe UI" w:cs="Calibri"/>
                <w:sz w:val="18"/>
                <w:szCs w:val="18"/>
              </w:rPr>
              <w:t> </w:t>
            </w:r>
          </w:p>
          <w:p w14:paraId="7B6894D8" w14:textId="56149793" w:rsidR="00A52808" w:rsidRPr="006E2F6B" w:rsidRDefault="00A52808" w:rsidP="008402D0">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6E2F6B">
              <w:rPr>
                <w:rFonts w:eastAsia="Segoe UI" w:cs="Calibri"/>
                <w:sz w:val="18"/>
                <w:szCs w:val="18"/>
              </w:rPr>
              <w:t>Lack of institutionalised review limits learning, delays response to emerging risks, and increases</w:t>
            </w:r>
            <w:r w:rsidR="0054767B" w:rsidRPr="006E2F6B">
              <w:rPr>
                <w:rFonts w:eastAsia="Segoe UI" w:cs="Calibri"/>
                <w:sz w:val="18"/>
                <w:szCs w:val="18"/>
              </w:rPr>
              <w:t xml:space="preserve"> </w:t>
            </w:r>
            <w:r w:rsidRPr="006E2F6B">
              <w:rPr>
                <w:rFonts w:eastAsia="Segoe UI" w:cs="Calibri"/>
                <w:sz w:val="18"/>
                <w:szCs w:val="18"/>
              </w:rPr>
              <w:t>long</w:t>
            </w:r>
            <w:r w:rsidRPr="006E2F6B">
              <w:rPr>
                <w:rFonts w:eastAsia="Segoe UI" w:cs="Calibri"/>
                <w:sz w:val="18"/>
                <w:szCs w:val="18"/>
              </w:rPr>
              <w:noBreakHyphen/>
              <w:t>term</w:t>
            </w:r>
            <w:r w:rsidR="0054767B" w:rsidRPr="006E2F6B">
              <w:rPr>
                <w:rFonts w:eastAsia="Segoe UI" w:cs="Calibri"/>
                <w:sz w:val="18"/>
                <w:szCs w:val="18"/>
              </w:rPr>
              <w:t xml:space="preserve"> </w:t>
            </w:r>
            <w:r w:rsidRPr="006E2F6B">
              <w:rPr>
                <w:rFonts w:eastAsia="Segoe UI" w:cs="Calibri"/>
                <w:sz w:val="18"/>
                <w:szCs w:val="18"/>
              </w:rPr>
              <w:t>governance failure. </w:t>
            </w:r>
          </w:p>
        </w:tc>
      </w:tr>
      <w:tr w:rsidR="00A52808" w:rsidRPr="000C5EA5" w14:paraId="22D8A12D" w14:textId="77777777" w:rsidTr="006E2F6B">
        <w:trPr>
          <w:trHeight w:val="300"/>
        </w:trPr>
        <w:tc>
          <w:tcPr>
            <w:cnfStyle w:val="001000000000" w:firstRow="0" w:lastRow="0" w:firstColumn="1" w:lastColumn="0" w:oddVBand="0" w:evenVBand="0" w:oddHBand="0" w:evenHBand="0" w:firstRowFirstColumn="0" w:firstRowLastColumn="0" w:lastRowFirstColumn="0" w:lastRowLastColumn="0"/>
            <w:tcW w:w="2639" w:type="dxa"/>
            <w:hideMark/>
          </w:tcPr>
          <w:p w14:paraId="3A55507E" w14:textId="77777777" w:rsidR="00A52808" w:rsidRPr="006E2F6B" w:rsidRDefault="00A52808" w:rsidP="008402D0">
            <w:pPr>
              <w:spacing w:line="300" w:lineRule="auto"/>
              <w:jc w:val="left"/>
              <w:rPr>
                <w:rFonts w:eastAsia="Segoe UI" w:cs="Calibri"/>
                <w:b w:val="0"/>
                <w:sz w:val="18"/>
                <w:szCs w:val="18"/>
              </w:rPr>
            </w:pPr>
            <w:r w:rsidRPr="006E2F6B">
              <w:rPr>
                <w:rFonts w:eastAsia="Segoe UI" w:cs="Calibri"/>
                <w:sz w:val="18"/>
                <w:szCs w:val="18"/>
              </w:rPr>
              <w:t>Explicit management of trade</w:t>
            </w:r>
            <w:r w:rsidRPr="006E2F6B">
              <w:rPr>
                <w:rFonts w:eastAsia="Segoe UI" w:cs="Calibri"/>
                <w:sz w:val="18"/>
                <w:szCs w:val="18"/>
              </w:rPr>
              <w:noBreakHyphen/>
              <w:t>offs </w:t>
            </w:r>
          </w:p>
        </w:tc>
        <w:tc>
          <w:tcPr>
            <w:tcW w:w="3208" w:type="dxa"/>
            <w:hideMark/>
          </w:tcPr>
          <w:p w14:paraId="75FDD773"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Trade</w:t>
            </w:r>
            <w:r w:rsidRPr="006E2F6B">
              <w:rPr>
                <w:rFonts w:eastAsia="Segoe UI" w:cs="Calibri"/>
                <w:sz w:val="18"/>
                <w:szCs w:val="18"/>
              </w:rPr>
              <w:noBreakHyphen/>
              <w:t>offs between environmental, social and economic outcomes are explicitly assessed and justified. </w:t>
            </w:r>
          </w:p>
        </w:tc>
        <w:tc>
          <w:tcPr>
            <w:tcW w:w="4638" w:type="dxa"/>
            <w:hideMark/>
          </w:tcPr>
          <w:p w14:paraId="263F4347"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Trade</w:t>
            </w:r>
            <w:r w:rsidRPr="006E2F6B">
              <w:rPr>
                <w:rFonts w:eastAsia="Segoe UI" w:cs="Calibri"/>
                <w:sz w:val="18"/>
                <w:szCs w:val="18"/>
              </w:rPr>
              <w:noBreakHyphen/>
              <w:t>offs between environmental flows, energy generation and downstream reliability are implicit and managed operationally. </w:t>
            </w:r>
          </w:p>
        </w:tc>
        <w:tc>
          <w:tcPr>
            <w:tcW w:w="3685" w:type="dxa"/>
            <w:hideMark/>
          </w:tcPr>
          <w:p w14:paraId="6404AEDE"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b/>
                <w:sz w:val="18"/>
                <w:szCs w:val="18"/>
              </w:rPr>
              <w:t>Major </w:t>
            </w:r>
            <w:r w:rsidRPr="006E2F6B">
              <w:rPr>
                <w:rFonts w:eastAsia="Segoe UI" w:cs="Calibri"/>
                <w:sz w:val="18"/>
                <w:szCs w:val="18"/>
              </w:rPr>
              <w:t> </w:t>
            </w:r>
          </w:p>
          <w:p w14:paraId="22B55DB5" w14:textId="77777777" w:rsidR="00A52808" w:rsidRPr="006E2F6B" w:rsidRDefault="00A52808" w:rsidP="008402D0">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6E2F6B">
              <w:rPr>
                <w:rFonts w:eastAsia="Segoe UI" w:cs="Calibri"/>
                <w:sz w:val="18"/>
                <w:szCs w:val="18"/>
              </w:rPr>
              <w:t>Opaque trade</w:t>
            </w:r>
            <w:r w:rsidRPr="006E2F6B">
              <w:rPr>
                <w:rFonts w:eastAsia="Segoe UI" w:cs="Calibri"/>
                <w:sz w:val="18"/>
                <w:szCs w:val="18"/>
              </w:rPr>
              <w:noBreakHyphen/>
              <w:t>off management increases contestation and constrains balanced, basin</w:t>
            </w:r>
            <w:r w:rsidRPr="006E2F6B">
              <w:rPr>
                <w:rFonts w:eastAsia="Segoe UI" w:cs="Calibri"/>
                <w:sz w:val="18"/>
                <w:szCs w:val="18"/>
              </w:rPr>
              <w:noBreakHyphen/>
              <w:t>wide decision</w:t>
            </w:r>
            <w:r w:rsidRPr="006E2F6B">
              <w:rPr>
                <w:rFonts w:eastAsia="Segoe UI" w:cs="Calibri"/>
                <w:sz w:val="18"/>
                <w:szCs w:val="18"/>
              </w:rPr>
              <w:noBreakHyphen/>
              <w:t>making. </w:t>
            </w:r>
          </w:p>
        </w:tc>
      </w:tr>
    </w:tbl>
    <w:p w14:paraId="32677CDA" w14:textId="77777777" w:rsidR="00BB44A5" w:rsidRDefault="00BB44A5" w:rsidP="001A1E1D"/>
    <w:p w14:paraId="7F353FCA" w14:textId="266901AD" w:rsidR="00E6074A" w:rsidRDefault="00E6074A">
      <w:pPr>
        <w:jc w:val="left"/>
      </w:pPr>
      <w:r>
        <w:br w:type="page"/>
      </w:r>
    </w:p>
    <w:p w14:paraId="25720C76" w14:textId="553F8360" w:rsidR="001438BB" w:rsidRDefault="0036787D" w:rsidP="008402D0">
      <w:pPr>
        <w:pStyle w:val="ReviewHeading3"/>
      </w:pPr>
      <w:r>
        <w:lastRenderedPageBreak/>
        <w:t xml:space="preserve">Appendix B, </w:t>
      </w:r>
      <w:r w:rsidR="00A416CE">
        <w:t>Part 2 – Gap analysis against NWI principles</w:t>
      </w:r>
    </w:p>
    <w:p w14:paraId="2C3F37F4" w14:textId="596CA36F" w:rsidR="00A416CE" w:rsidRDefault="00A416CE" w:rsidP="00A416CE">
      <w:pPr>
        <w:pStyle w:val="Sub-Heading"/>
      </w:pPr>
      <w:r>
        <w:t>Framing observations</w:t>
      </w:r>
    </w:p>
    <w:p w14:paraId="054E00BC" w14:textId="4E264AF0" w:rsidR="009D7E03" w:rsidRPr="00D03E83" w:rsidRDefault="00382EE8" w:rsidP="009D7E03">
      <w:r>
        <w:rPr>
          <w:rFonts w:ascii="ZWAdobeF" w:hAnsi="ZWAdobeF" w:cs="ZWAdobeF"/>
          <w:sz w:val="2"/>
          <w:szCs w:val="2"/>
        </w:rPr>
        <w:t>1472B</w:t>
      </w:r>
      <w:r w:rsidR="009D7E03" w:rsidRPr="00D03E83">
        <w:t>The National Water Initiative establishes a nationally consistent framework for water governance based on: </w:t>
      </w:r>
    </w:p>
    <w:p w14:paraId="1C7EDB48" w14:textId="39FD86B9" w:rsidR="009D7E03" w:rsidRPr="00D03E83" w:rsidRDefault="00382EE8" w:rsidP="00115BD6">
      <w:pPr>
        <w:pStyle w:val="ListParagraph"/>
        <w:numPr>
          <w:ilvl w:val="0"/>
          <w:numId w:val="53"/>
        </w:numPr>
      </w:pPr>
      <w:r>
        <w:rPr>
          <w:rFonts w:ascii="ZWAdobeF" w:hAnsi="ZWAdobeF" w:cs="ZWAdobeF"/>
          <w:sz w:val="2"/>
          <w:szCs w:val="2"/>
        </w:rPr>
        <w:t>474B</w:t>
      </w:r>
      <w:r w:rsidR="009D7E03" w:rsidRPr="00D03E83">
        <w:t>clear roles and responsibilities </w:t>
      </w:r>
    </w:p>
    <w:p w14:paraId="49AF085C" w14:textId="6E5E7D65" w:rsidR="009D7E03" w:rsidRPr="00D03E83" w:rsidRDefault="00382EE8" w:rsidP="00115BD6">
      <w:pPr>
        <w:pStyle w:val="ListParagraph"/>
        <w:numPr>
          <w:ilvl w:val="0"/>
          <w:numId w:val="53"/>
        </w:numPr>
      </w:pPr>
      <w:r>
        <w:rPr>
          <w:rFonts w:ascii="ZWAdobeF" w:hAnsi="ZWAdobeF" w:cs="ZWAdobeF"/>
          <w:sz w:val="2"/>
          <w:szCs w:val="2"/>
        </w:rPr>
        <w:t>475B</w:t>
      </w:r>
      <w:r w:rsidR="009D7E03" w:rsidRPr="00D03E83">
        <w:t>basin</w:t>
      </w:r>
      <w:r w:rsidR="009D7E03" w:rsidRPr="00D03E83">
        <w:noBreakHyphen/>
        <w:t>scale planning</w:t>
      </w:r>
    </w:p>
    <w:p w14:paraId="5AE09BE5" w14:textId="5390A032" w:rsidR="009D7E03" w:rsidRPr="00D03E83" w:rsidRDefault="00382EE8" w:rsidP="00115BD6">
      <w:pPr>
        <w:pStyle w:val="ListParagraph"/>
        <w:numPr>
          <w:ilvl w:val="0"/>
          <w:numId w:val="53"/>
        </w:numPr>
      </w:pPr>
      <w:r>
        <w:rPr>
          <w:rFonts w:ascii="ZWAdobeF" w:hAnsi="ZWAdobeF" w:cs="ZWAdobeF"/>
          <w:sz w:val="2"/>
          <w:szCs w:val="2"/>
        </w:rPr>
        <w:t>476B</w:t>
      </w:r>
      <w:r w:rsidR="009D7E03" w:rsidRPr="00D03E83">
        <w:t>explicit environmental outcomes </w:t>
      </w:r>
    </w:p>
    <w:p w14:paraId="75C97E4C" w14:textId="0BFBBD0F" w:rsidR="009D7E03" w:rsidRPr="00D03E83" w:rsidRDefault="00382EE8" w:rsidP="00115BD6">
      <w:pPr>
        <w:pStyle w:val="ListParagraph"/>
        <w:numPr>
          <w:ilvl w:val="0"/>
          <w:numId w:val="53"/>
        </w:numPr>
      </w:pPr>
      <w:r>
        <w:rPr>
          <w:rFonts w:ascii="ZWAdobeF" w:hAnsi="ZWAdobeF" w:cs="ZWAdobeF"/>
          <w:sz w:val="2"/>
          <w:szCs w:val="2"/>
        </w:rPr>
        <w:t>477B</w:t>
      </w:r>
      <w:r w:rsidR="009D7E03" w:rsidRPr="00D03E83">
        <w:t>transparency and accountability</w:t>
      </w:r>
    </w:p>
    <w:p w14:paraId="4DFF2F35" w14:textId="244F299A" w:rsidR="009D7E03" w:rsidRPr="00D03E83" w:rsidRDefault="00382EE8" w:rsidP="00115BD6">
      <w:pPr>
        <w:pStyle w:val="ListParagraph"/>
        <w:numPr>
          <w:ilvl w:val="0"/>
          <w:numId w:val="53"/>
        </w:numPr>
      </w:pPr>
      <w:r>
        <w:rPr>
          <w:rFonts w:ascii="ZWAdobeF" w:hAnsi="ZWAdobeF" w:cs="ZWAdobeF"/>
          <w:sz w:val="2"/>
          <w:szCs w:val="2"/>
        </w:rPr>
        <w:t>478B</w:t>
      </w:r>
      <w:r w:rsidR="009D7E03" w:rsidRPr="00D03E83">
        <w:t>adaptive management under variability and climate change. </w:t>
      </w:r>
    </w:p>
    <w:p w14:paraId="51C2D8FF" w14:textId="120D53A9" w:rsidR="009D7E03" w:rsidRPr="00D03E83" w:rsidRDefault="00382EE8" w:rsidP="009D7E03">
      <w:r>
        <w:rPr>
          <w:rFonts w:ascii="ZWAdobeF" w:hAnsi="ZWAdobeF" w:cs="ZWAdobeF"/>
          <w:sz w:val="2"/>
          <w:szCs w:val="2"/>
        </w:rPr>
        <w:t>1473B</w:t>
      </w:r>
      <w:r w:rsidR="009D7E03" w:rsidRPr="00D03E83">
        <w:t>The SWIOID, while innovative for its time, reflects a pre</w:t>
      </w:r>
      <w:r w:rsidR="009D7E03" w:rsidRPr="00D03E83">
        <w:noBreakHyphen/>
        <w:t>NWI governance paradigm and has not evolved in step with nationally agreed reforms.  </w:t>
      </w:r>
    </w:p>
    <w:p w14:paraId="3B0B992F" w14:textId="44D3F290" w:rsidR="009D7E03" w:rsidRPr="00D03E83" w:rsidRDefault="00382EE8" w:rsidP="009D7E03">
      <w:r>
        <w:rPr>
          <w:rFonts w:ascii="ZWAdobeF" w:hAnsi="ZWAdobeF" w:cs="ZWAdobeF"/>
          <w:sz w:val="2"/>
          <w:szCs w:val="2"/>
        </w:rPr>
        <w:t>1474B</w:t>
      </w:r>
      <w:r w:rsidR="009D7E03" w:rsidRPr="00D03E83">
        <w:t>This analysis focuses on material alignment and misalignment, not technical compliance, recognising that the Deed predates the NWI</w:t>
      </w:r>
      <w:r w:rsidR="09227063">
        <w:t xml:space="preserve"> </w:t>
      </w:r>
      <w:r w:rsidR="009D7E03" w:rsidRPr="00D03E83">
        <w:t xml:space="preserve">but the Panel </w:t>
      </w:r>
      <w:r w:rsidR="00995275">
        <w:t>is</w:t>
      </w:r>
      <w:r w:rsidR="009D7E03" w:rsidRPr="00D03E83">
        <w:t xml:space="preserve"> reviewing the Deed in a context where national consistency with NWI principles is a minimum benchmark. </w:t>
      </w:r>
    </w:p>
    <w:tbl>
      <w:tblPr>
        <w:tblStyle w:val="PlainTable1"/>
        <w:tblW w:w="14070" w:type="dxa"/>
        <w:tblLook w:val="04A0" w:firstRow="1" w:lastRow="0" w:firstColumn="1" w:lastColumn="0" w:noHBand="0" w:noVBand="1"/>
      </w:tblPr>
      <w:tblGrid>
        <w:gridCol w:w="2107"/>
        <w:gridCol w:w="4216"/>
        <w:gridCol w:w="4204"/>
        <w:gridCol w:w="3543"/>
      </w:tblGrid>
      <w:tr w:rsidR="00280221" w:rsidRPr="000C5EA5" w14:paraId="14C5C1AC" w14:textId="77777777" w:rsidTr="0028022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dxa"/>
            <w:hideMark/>
          </w:tcPr>
          <w:p w14:paraId="21BDC57A"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Principle </w:t>
            </w:r>
          </w:p>
        </w:tc>
        <w:tc>
          <w:tcPr>
            <w:tcW w:w="4230" w:type="dxa"/>
            <w:hideMark/>
          </w:tcPr>
          <w:p w14:paraId="084D8F0C" w14:textId="77777777" w:rsidR="00280221" w:rsidRPr="000C5EA5" w:rsidRDefault="00280221" w:rsidP="00280221">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0C5EA5">
              <w:rPr>
                <w:rFonts w:eastAsia="Segoe UI" w:cs="Calibri"/>
                <w:sz w:val="18"/>
                <w:szCs w:val="18"/>
              </w:rPr>
              <w:t>NWI expectation </w:t>
            </w:r>
          </w:p>
        </w:tc>
        <w:tc>
          <w:tcPr>
            <w:tcW w:w="4215" w:type="dxa"/>
            <w:hideMark/>
          </w:tcPr>
          <w:p w14:paraId="22757BE7" w14:textId="77777777" w:rsidR="00280221" w:rsidRPr="000C5EA5" w:rsidRDefault="00280221" w:rsidP="00280221">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0C5EA5">
              <w:rPr>
                <w:rFonts w:eastAsia="Segoe UI" w:cs="Calibri"/>
                <w:sz w:val="18"/>
                <w:szCs w:val="18"/>
              </w:rPr>
              <w:t>Deed position </w:t>
            </w:r>
          </w:p>
        </w:tc>
        <w:tc>
          <w:tcPr>
            <w:tcW w:w="3555" w:type="dxa"/>
            <w:hideMark/>
          </w:tcPr>
          <w:p w14:paraId="101F1DC5" w14:textId="77777777" w:rsidR="00280221" w:rsidRPr="000C5EA5" w:rsidRDefault="00280221" w:rsidP="00280221">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0C5EA5">
              <w:rPr>
                <w:rFonts w:eastAsia="Segoe UI" w:cs="Calibri"/>
                <w:sz w:val="18"/>
                <w:szCs w:val="18"/>
              </w:rPr>
              <w:t>Gap &amp; Implication </w:t>
            </w:r>
          </w:p>
        </w:tc>
      </w:tr>
      <w:tr w:rsidR="00280221" w:rsidRPr="000C5EA5" w14:paraId="5BFE7F68" w14:textId="77777777" w:rsidTr="002802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01A39252"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Clear assignment of roles, risks and responsibilities </w:t>
            </w:r>
          </w:p>
          <w:p w14:paraId="7B30F50E"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6, 23, 52</w:t>
            </w:r>
            <w:r w:rsidRPr="000C5EA5">
              <w:rPr>
                <w:rFonts w:eastAsia="Segoe UI" w:cs="Calibri"/>
                <w:sz w:val="18"/>
                <w:szCs w:val="18"/>
              </w:rPr>
              <w:t> </w:t>
            </w:r>
          </w:p>
        </w:tc>
        <w:tc>
          <w:tcPr>
            <w:tcW w:w="4230" w:type="dxa"/>
            <w:hideMark/>
          </w:tcPr>
          <w:p w14:paraId="20360CCE"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Governments clearly articulate who is responsible for water planning, allocation, regulation, operation and enforcement. </w:t>
            </w:r>
          </w:p>
          <w:p w14:paraId="5495FD72"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Risks associated with variability and change are explicitly identified and allocated. </w:t>
            </w:r>
          </w:p>
          <w:p w14:paraId="1928EA9D"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 </w:t>
            </w:r>
          </w:p>
        </w:tc>
        <w:tc>
          <w:tcPr>
            <w:tcW w:w="4215" w:type="dxa"/>
            <w:hideMark/>
          </w:tcPr>
          <w:p w14:paraId="51BD4799"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Roles are partially defined but fragmented:  </w:t>
            </w:r>
          </w:p>
          <w:p w14:paraId="6570AC1F"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Policy intent in the Deed </w:t>
            </w:r>
          </w:p>
          <w:p w14:paraId="2E87FE8D"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Operational discretion with Snowy Hydro </w:t>
            </w:r>
          </w:p>
          <w:p w14:paraId="323D202B"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Regulation via NSW instruments </w:t>
            </w:r>
          </w:p>
          <w:p w14:paraId="6E07ED42" w14:textId="27161660"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No clear assignment of responsibility for ecological outcomes, as distinct from volumetric delivery </w:t>
            </w:r>
          </w:p>
          <w:p w14:paraId="4125DC6F"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Trade off risk (environment vs energy vs downstream users) is implicit, not allocated. </w:t>
            </w:r>
          </w:p>
        </w:tc>
        <w:tc>
          <w:tcPr>
            <w:tcW w:w="3555" w:type="dxa"/>
            <w:hideMark/>
          </w:tcPr>
          <w:p w14:paraId="6486780C" w14:textId="1A1A822D" w:rsidR="00280221" w:rsidRPr="000C5EA5" w:rsidRDefault="000F4FEB"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b/>
                <w:sz w:val="18"/>
                <w:szCs w:val="18"/>
              </w:rPr>
              <w:t>Major</w:t>
            </w:r>
            <w:r w:rsidR="00280221" w:rsidRPr="000C5EA5">
              <w:rPr>
                <w:rFonts w:eastAsia="Segoe UI" w:cs="Calibri"/>
                <w:sz w:val="18"/>
                <w:szCs w:val="18"/>
              </w:rPr>
              <w:br/>
              <w:t>The SWIOID does not meet the NWI standard for transparent role clarity or risk allocation. </w:t>
            </w:r>
          </w:p>
          <w:p w14:paraId="15B84984"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Accountability is diffuse. </w:t>
            </w:r>
          </w:p>
          <w:p w14:paraId="59E908AB"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Disputes are structural rather than procedural. </w:t>
            </w:r>
          </w:p>
        </w:tc>
      </w:tr>
      <w:tr w:rsidR="00280221" w:rsidRPr="000C5EA5" w14:paraId="66C2D1AF" w14:textId="77777777" w:rsidTr="00280221">
        <w:trPr>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4D6A9937"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Basin scale, integrated water planning </w:t>
            </w:r>
          </w:p>
          <w:p w14:paraId="0D84A40E"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25–34</w:t>
            </w:r>
            <w:r w:rsidRPr="000C5EA5">
              <w:rPr>
                <w:rFonts w:eastAsia="Segoe UI" w:cs="Calibri"/>
                <w:sz w:val="18"/>
                <w:szCs w:val="18"/>
              </w:rPr>
              <w:t> </w:t>
            </w:r>
          </w:p>
          <w:p w14:paraId="34967518"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 </w:t>
            </w:r>
          </w:p>
        </w:tc>
        <w:tc>
          <w:tcPr>
            <w:tcW w:w="4230" w:type="dxa"/>
            <w:hideMark/>
          </w:tcPr>
          <w:p w14:paraId="0B16E28D"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Water is managed at the appropriate hydrological scale. </w:t>
            </w:r>
          </w:p>
          <w:p w14:paraId="07FE03FB"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Cross</w:t>
            </w:r>
            <w:r w:rsidRPr="000C5EA5">
              <w:rPr>
                <w:rFonts w:eastAsia="Segoe UI" w:cs="Calibri"/>
                <w:sz w:val="18"/>
                <w:szCs w:val="18"/>
              </w:rPr>
              <w:noBreakHyphen/>
              <w:t>jurisdictional impacts are addressed through inclusive governance arrangements. </w:t>
            </w:r>
          </w:p>
        </w:tc>
        <w:tc>
          <w:tcPr>
            <w:tcW w:w="4215" w:type="dxa"/>
            <w:hideMark/>
          </w:tcPr>
          <w:p w14:paraId="36EB75F9"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Governance is structured around jurisdictional signatories, it does not account for the Upper Murrumbidgee basin. </w:t>
            </w:r>
          </w:p>
          <w:p w14:paraId="0219975F"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ACT is excluded despite being hydrologically and socially affected. </w:t>
            </w:r>
          </w:p>
          <w:p w14:paraId="2AD0B6AF"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No basin</w:t>
            </w:r>
            <w:r w:rsidRPr="000C5EA5">
              <w:rPr>
                <w:rFonts w:eastAsia="Segoe UI" w:cs="Calibri"/>
                <w:sz w:val="18"/>
                <w:szCs w:val="18"/>
              </w:rPr>
              <w:noBreakHyphen/>
              <w:t>scale decision</w:t>
            </w:r>
            <w:r w:rsidRPr="000C5EA5">
              <w:rPr>
                <w:rFonts w:eastAsia="Segoe UI" w:cs="Calibri"/>
                <w:sz w:val="18"/>
                <w:szCs w:val="18"/>
              </w:rPr>
              <w:noBreakHyphen/>
              <w:t>making body exists. </w:t>
            </w:r>
          </w:p>
        </w:tc>
        <w:tc>
          <w:tcPr>
            <w:tcW w:w="3555" w:type="dxa"/>
            <w:hideMark/>
          </w:tcPr>
          <w:p w14:paraId="23FD20A2" w14:textId="0600BB6A"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b/>
                <w:sz w:val="18"/>
                <w:szCs w:val="18"/>
              </w:rPr>
              <w:t>Major</w:t>
            </w:r>
            <w:r w:rsidRPr="000C5EA5">
              <w:rPr>
                <w:rFonts w:eastAsia="Segoe UI" w:cs="Calibri"/>
                <w:sz w:val="18"/>
                <w:szCs w:val="18"/>
              </w:rPr>
              <w:t> </w:t>
            </w:r>
            <w:r w:rsidRPr="000C5EA5">
              <w:rPr>
                <w:rFonts w:eastAsia="Segoe UI" w:cs="Calibri"/>
                <w:sz w:val="18"/>
                <w:szCs w:val="18"/>
              </w:rPr>
              <w:br/>
              <w:t>The SWIOID does not reflect basin</w:t>
            </w:r>
            <w:r w:rsidRPr="000C5EA5">
              <w:rPr>
                <w:rFonts w:eastAsia="Segoe UI" w:cs="Calibri"/>
                <w:sz w:val="18"/>
                <w:szCs w:val="18"/>
              </w:rPr>
              <w:noBreakHyphen/>
              <w:t>scale planning principles embedded in the NWI. </w:t>
            </w:r>
          </w:p>
          <w:p w14:paraId="40D9B527"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Ongoing legitimacy and coordination failures. </w:t>
            </w:r>
          </w:p>
          <w:p w14:paraId="7B076BE3"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lastRenderedPageBreak/>
              <w:t>Structural misalignment between impacts and authority. </w:t>
            </w:r>
          </w:p>
        </w:tc>
      </w:tr>
      <w:tr w:rsidR="00280221" w:rsidRPr="000C5EA5" w14:paraId="5265B41D" w14:textId="77777777" w:rsidTr="002802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5AF307E8"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lastRenderedPageBreak/>
              <w:t>Explicit provision for environmental and public benefit outcomes </w:t>
            </w:r>
          </w:p>
          <w:p w14:paraId="3883273F"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23, 35–40</w:t>
            </w:r>
            <w:r w:rsidRPr="000C5EA5">
              <w:rPr>
                <w:rFonts w:eastAsia="Segoe UI" w:cs="Calibri"/>
                <w:sz w:val="18"/>
                <w:szCs w:val="18"/>
              </w:rPr>
              <w:t> </w:t>
            </w:r>
          </w:p>
          <w:p w14:paraId="1A857F2B"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 </w:t>
            </w:r>
          </w:p>
        </w:tc>
        <w:tc>
          <w:tcPr>
            <w:tcW w:w="4230" w:type="dxa"/>
            <w:hideMark/>
          </w:tcPr>
          <w:p w14:paraId="0E6C61F3"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Environmental water outcomes must be:  </w:t>
            </w:r>
          </w:p>
          <w:p w14:paraId="6EF66C22" w14:textId="79A1CA84"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explicitly stated, planned, monitored and adapted over time. </w:t>
            </w:r>
          </w:p>
          <w:p w14:paraId="7E9F51C7"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Environmental water is treated as a core entitlement, not residual. </w:t>
            </w:r>
          </w:p>
        </w:tc>
        <w:tc>
          <w:tcPr>
            <w:tcW w:w="4215" w:type="dxa"/>
            <w:hideMark/>
          </w:tcPr>
          <w:p w14:paraId="41114231"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Environmental flows are expressed largely as fixed volumetric targets. </w:t>
            </w:r>
          </w:p>
          <w:p w14:paraId="4E25383A"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Limited articulation of ecological objectives beyond flow volumes. </w:t>
            </w:r>
          </w:p>
          <w:p w14:paraId="04EAEE87"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No requirement for outcome</w:t>
            </w:r>
            <w:r w:rsidRPr="000C5EA5">
              <w:rPr>
                <w:rFonts w:eastAsia="Segoe UI" w:cs="Calibri"/>
                <w:sz w:val="18"/>
                <w:szCs w:val="18"/>
              </w:rPr>
              <w:noBreakHyphen/>
              <w:t>based ecological assessment. </w:t>
            </w:r>
          </w:p>
        </w:tc>
        <w:tc>
          <w:tcPr>
            <w:tcW w:w="3555" w:type="dxa"/>
            <w:hideMark/>
          </w:tcPr>
          <w:p w14:paraId="43CD6245" w14:textId="5A9177B6"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b/>
                <w:sz w:val="18"/>
                <w:szCs w:val="18"/>
              </w:rPr>
              <w:t xml:space="preserve">Moderate </w:t>
            </w:r>
            <w:r w:rsidR="000F4FEB" w:rsidRPr="000C5EA5">
              <w:rPr>
                <w:rFonts w:eastAsia="Segoe UI" w:cs="Calibri"/>
                <w:b/>
                <w:sz w:val="18"/>
                <w:szCs w:val="18"/>
              </w:rPr>
              <w:t>to major</w:t>
            </w:r>
            <w:r w:rsidRPr="000C5EA5">
              <w:rPr>
                <w:rFonts w:eastAsia="Segoe UI" w:cs="Calibri"/>
                <w:sz w:val="18"/>
                <w:szCs w:val="18"/>
              </w:rPr>
              <w:t> </w:t>
            </w:r>
            <w:r w:rsidRPr="000C5EA5">
              <w:rPr>
                <w:rFonts w:eastAsia="Segoe UI" w:cs="Calibri"/>
                <w:sz w:val="18"/>
                <w:szCs w:val="18"/>
              </w:rPr>
              <w:br/>
              <w:t>The SWIOID makes provision for environmental water but not in the manner envisaged by the NWI. </w:t>
            </w:r>
          </w:p>
          <w:p w14:paraId="393FD7DE"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Environmental performance cannot be robustly demonstrated. </w:t>
            </w:r>
          </w:p>
          <w:p w14:paraId="61494194"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Adaptive improvement is constrained. </w:t>
            </w:r>
          </w:p>
        </w:tc>
      </w:tr>
      <w:tr w:rsidR="00280221" w:rsidRPr="000C5EA5" w14:paraId="6F986DF7" w14:textId="77777777" w:rsidTr="00280221">
        <w:trPr>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22BBA536"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Adaptation to variability and climate change </w:t>
            </w:r>
          </w:p>
          <w:p w14:paraId="13BDD8F1"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4, 25, 47</w:t>
            </w:r>
            <w:r w:rsidRPr="000C5EA5">
              <w:rPr>
                <w:rFonts w:eastAsia="Segoe UI" w:cs="Calibri"/>
                <w:sz w:val="18"/>
                <w:szCs w:val="18"/>
              </w:rPr>
              <w:t> </w:t>
            </w:r>
          </w:p>
        </w:tc>
        <w:tc>
          <w:tcPr>
            <w:tcW w:w="4230" w:type="dxa"/>
            <w:hideMark/>
          </w:tcPr>
          <w:p w14:paraId="75386499"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Planning frameworks must explicitly account for:  </w:t>
            </w:r>
          </w:p>
          <w:p w14:paraId="0F7833A0"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climatic variability, long</w:t>
            </w:r>
            <w:r w:rsidRPr="000C5EA5">
              <w:rPr>
                <w:rFonts w:eastAsia="Segoe UI" w:cs="Calibri"/>
                <w:sz w:val="18"/>
                <w:szCs w:val="18"/>
              </w:rPr>
              <w:noBreakHyphen/>
              <w:t>term change and uncertainty. </w:t>
            </w:r>
          </w:p>
          <w:p w14:paraId="11614649"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Adaptive mechanisms must be embedded, not ad hoc. </w:t>
            </w:r>
          </w:p>
        </w:tc>
        <w:tc>
          <w:tcPr>
            <w:tcW w:w="4215" w:type="dxa"/>
            <w:hideMark/>
          </w:tcPr>
          <w:p w14:paraId="5BD22B18"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No explicit climate adaptation framework. </w:t>
            </w:r>
          </w:p>
          <w:p w14:paraId="28CC29FC"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Fixed assumptions about hydrology and operating conditions. </w:t>
            </w:r>
          </w:p>
          <w:p w14:paraId="3B738276"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Reviews occur only by political agreement, not by design. </w:t>
            </w:r>
          </w:p>
        </w:tc>
        <w:tc>
          <w:tcPr>
            <w:tcW w:w="3555" w:type="dxa"/>
            <w:hideMark/>
          </w:tcPr>
          <w:p w14:paraId="5960C182" w14:textId="36FA5FFB" w:rsidR="00280221" w:rsidRPr="000C5EA5" w:rsidRDefault="000F4FEB"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b/>
                <w:sz w:val="18"/>
                <w:szCs w:val="18"/>
              </w:rPr>
              <w:t>Major</w:t>
            </w:r>
            <w:r w:rsidR="00280221" w:rsidRPr="000C5EA5">
              <w:rPr>
                <w:rFonts w:eastAsia="Segoe UI" w:cs="Calibri"/>
                <w:sz w:val="18"/>
                <w:szCs w:val="18"/>
              </w:rPr>
              <w:br/>
              <w:t>The SWIOID is not climate</w:t>
            </w:r>
            <w:r w:rsidR="00280221" w:rsidRPr="000C5EA5">
              <w:rPr>
                <w:rFonts w:eastAsia="Segoe UI" w:cs="Calibri"/>
                <w:sz w:val="18"/>
                <w:szCs w:val="18"/>
              </w:rPr>
              <w:noBreakHyphen/>
              <w:t>resilient by NWI standards. </w:t>
            </w:r>
          </w:p>
          <w:p w14:paraId="6FEC6D7E" w14:textId="7A64501F"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Governance becomes progressively less fit</w:t>
            </w:r>
            <w:r w:rsidR="000C501A" w:rsidRPr="000C5EA5">
              <w:rPr>
                <w:rFonts w:eastAsia="Segoe UI" w:cs="Calibri"/>
                <w:sz w:val="18"/>
                <w:szCs w:val="18"/>
              </w:rPr>
              <w:t>-</w:t>
            </w:r>
            <w:r w:rsidRPr="000C5EA5">
              <w:rPr>
                <w:rFonts w:eastAsia="Segoe UI" w:cs="Calibri"/>
                <w:sz w:val="18"/>
                <w:szCs w:val="18"/>
              </w:rPr>
              <w:t>for</w:t>
            </w:r>
            <w:r w:rsidR="000C501A" w:rsidRPr="000C5EA5">
              <w:rPr>
                <w:rFonts w:eastAsia="Segoe UI" w:cs="Calibri"/>
                <w:sz w:val="18"/>
                <w:szCs w:val="18"/>
              </w:rPr>
              <w:t>-</w:t>
            </w:r>
            <w:r w:rsidRPr="000C5EA5">
              <w:rPr>
                <w:rFonts w:eastAsia="Segoe UI" w:cs="Calibri"/>
                <w:sz w:val="18"/>
                <w:szCs w:val="18"/>
              </w:rPr>
              <w:t>purpose. </w:t>
            </w:r>
          </w:p>
          <w:p w14:paraId="5C316FBC"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Increased likelihood of crisis</w:t>
            </w:r>
            <w:r w:rsidRPr="000C5EA5">
              <w:rPr>
                <w:rFonts w:eastAsia="Segoe UI" w:cs="Calibri"/>
                <w:sz w:val="18"/>
                <w:szCs w:val="18"/>
              </w:rPr>
              <w:noBreakHyphen/>
              <w:t>driven intervention. </w:t>
            </w:r>
          </w:p>
        </w:tc>
      </w:tr>
      <w:tr w:rsidR="00280221" w:rsidRPr="000C5EA5" w14:paraId="098DFB76" w14:textId="77777777" w:rsidTr="002802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45BF816F"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Separation of policy, regulation and service delivery </w:t>
            </w:r>
          </w:p>
          <w:p w14:paraId="5ED55DF5"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6, 52</w:t>
            </w:r>
            <w:r w:rsidRPr="000C5EA5">
              <w:rPr>
                <w:rFonts w:eastAsia="Segoe UI" w:cs="Calibri"/>
                <w:sz w:val="18"/>
                <w:szCs w:val="18"/>
              </w:rPr>
              <w:t> </w:t>
            </w:r>
          </w:p>
        </w:tc>
        <w:tc>
          <w:tcPr>
            <w:tcW w:w="4230" w:type="dxa"/>
            <w:hideMark/>
          </w:tcPr>
          <w:p w14:paraId="3A8269A7"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Clear institutional separation between:  </w:t>
            </w:r>
          </w:p>
          <w:p w14:paraId="381C09DB"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policy</w:t>
            </w:r>
            <w:r w:rsidRPr="000C5EA5">
              <w:rPr>
                <w:rFonts w:eastAsia="Segoe UI" w:cs="Calibri"/>
                <w:sz w:val="18"/>
                <w:szCs w:val="18"/>
              </w:rPr>
              <w:noBreakHyphen/>
              <w:t>setting, regulation and compliance and operational delivery. </w:t>
            </w:r>
          </w:p>
          <w:p w14:paraId="26B2D666"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 </w:t>
            </w:r>
          </w:p>
        </w:tc>
        <w:tc>
          <w:tcPr>
            <w:tcW w:w="4215" w:type="dxa"/>
            <w:hideMark/>
          </w:tcPr>
          <w:p w14:paraId="35D7D79B"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Snowy Hydro is:  </w:t>
            </w:r>
          </w:p>
          <w:p w14:paraId="347712E7"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both the operational manager and the primary party managing timing trade-offs affecting environmental outcomes. </w:t>
            </w:r>
          </w:p>
          <w:p w14:paraId="571CE73B"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No independent arbiter for conflicts. </w:t>
            </w:r>
          </w:p>
        </w:tc>
        <w:tc>
          <w:tcPr>
            <w:tcW w:w="3555" w:type="dxa"/>
            <w:hideMark/>
          </w:tcPr>
          <w:p w14:paraId="0ADFAEEF" w14:textId="5A469212" w:rsidR="00280221" w:rsidRPr="000C5EA5" w:rsidRDefault="000F4FEB"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b/>
                <w:sz w:val="18"/>
                <w:szCs w:val="18"/>
              </w:rPr>
              <w:t>Major</w:t>
            </w:r>
            <w:r w:rsidR="00280221" w:rsidRPr="000C5EA5">
              <w:rPr>
                <w:rFonts w:eastAsia="Segoe UI" w:cs="Calibri"/>
                <w:sz w:val="18"/>
                <w:szCs w:val="18"/>
              </w:rPr>
              <w:br/>
              <w:t>The SWIOID falls short of NWI institutional separation principles. </w:t>
            </w:r>
          </w:p>
          <w:p w14:paraId="4246BAE6"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Structural conflict of interest. </w:t>
            </w:r>
          </w:p>
          <w:p w14:paraId="2E7CEC9C"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Reduced confidence in environmental flow decisions. </w:t>
            </w:r>
          </w:p>
        </w:tc>
      </w:tr>
      <w:tr w:rsidR="00280221" w:rsidRPr="000C5EA5" w14:paraId="1BB94B98" w14:textId="77777777" w:rsidTr="00280221">
        <w:trPr>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26F488BA"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Transparency, data and water accounting </w:t>
            </w:r>
          </w:p>
          <w:p w14:paraId="0E2E1D84"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71–87</w:t>
            </w:r>
            <w:r w:rsidRPr="000C5EA5">
              <w:rPr>
                <w:rFonts w:eastAsia="Segoe UI" w:cs="Calibri"/>
                <w:sz w:val="18"/>
                <w:szCs w:val="18"/>
              </w:rPr>
              <w:t> </w:t>
            </w:r>
          </w:p>
        </w:tc>
        <w:tc>
          <w:tcPr>
            <w:tcW w:w="4230" w:type="dxa"/>
            <w:hideMark/>
          </w:tcPr>
          <w:p w14:paraId="1A2F118B"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Timely, accessible and comparable water data. </w:t>
            </w:r>
          </w:p>
          <w:p w14:paraId="1AC0CB01"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Transparent reporting of allocation decisions and outcomes. </w:t>
            </w:r>
          </w:p>
        </w:tc>
        <w:tc>
          <w:tcPr>
            <w:tcW w:w="4215" w:type="dxa"/>
            <w:hideMark/>
          </w:tcPr>
          <w:p w14:paraId="7138A01B"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Reporting largely compliance</w:t>
            </w:r>
            <w:r w:rsidRPr="000C5EA5">
              <w:rPr>
                <w:rFonts w:eastAsia="Segoe UI" w:cs="Calibri"/>
                <w:sz w:val="18"/>
                <w:szCs w:val="18"/>
              </w:rPr>
              <w:noBreakHyphen/>
              <w:t>focused. </w:t>
            </w:r>
          </w:p>
          <w:p w14:paraId="2463153C"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Limited public visibility of decision rationales, trade</w:t>
            </w:r>
            <w:r w:rsidRPr="000C5EA5">
              <w:rPr>
                <w:rFonts w:eastAsia="Segoe UI" w:cs="Calibri"/>
                <w:sz w:val="18"/>
                <w:szCs w:val="18"/>
              </w:rPr>
              <w:noBreakHyphen/>
              <w:t>offs, ecological outcomes. </w:t>
            </w:r>
          </w:p>
          <w:p w14:paraId="08326828"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Accessibility varies across instruments and jurisdictions. </w:t>
            </w:r>
          </w:p>
        </w:tc>
        <w:tc>
          <w:tcPr>
            <w:tcW w:w="3555" w:type="dxa"/>
            <w:hideMark/>
          </w:tcPr>
          <w:p w14:paraId="10D27357" w14:textId="2A035EA9" w:rsidR="00280221" w:rsidRPr="000C5EA5" w:rsidRDefault="000F4FEB"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b/>
                <w:sz w:val="18"/>
                <w:szCs w:val="18"/>
              </w:rPr>
              <w:t>Major</w:t>
            </w:r>
            <w:r w:rsidR="00280221" w:rsidRPr="000C5EA5">
              <w:rPr>
                <w:rFonts w:eastAsia="Segoe UI" w:cs="Calibri"/>
                <w:sz w:val="18"/>
                <w:szCs w:val="18"/>
              </w:rPr>
              <w:t> </w:t>
            </w:r>
            <w:r w:rsidR="00280221" w:rsidRPr="000C5EA5">
              <w:rPr>
                <w:rFonts w:eastAsia="Segoe UI" w:cs="Calibri"/>
                <w:sz w:val="18"/>
                <w:szCs w:val="18"/>
              </w:rPr>
              <w:br/>
              <w:t>The SWIOID does not meet contemporary NWI transparency expectations. </w:t>
            </w:r>
          </w:p>
          <w:p w14:paraId="749F9BE8"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Reduced accountability. </w:t>
            </w:r>
          </w:p>
          <w:p w14:paraId="2A2D022D" w14:textId="50CF751F"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Diminished public trust</w:t>
            </w:r>
            <w:r w:rsidR="00264438" w:rsidRPr="000C5EA5">
              <w:rPr>
                <w:rFonts w:eastAsia="Segoe UI" w:cs="Calibri"/>
                <w:sz w:val="18"/>
                <w:szCs w:val="18"/>
              </w:rPr>
              <w:t>.</w:t>
            </w:r>
            <w:r w:rsidRPr="000C5EA5">
              <w:rPr>
                <w:rFonts w:eastAsia="Segoe UI" w:cs="Calibri"/>
                <w:sz w:val="18"/>
                <w:szCs w:val="18"/>
              </w:rPr>
              <w:t> </w:t>
            </w:r>
          </w:p>
        </w:tc>
      </w:tr>
      <w:tr w:rsidR="00280221" w:rsidRPr="000C5EA5" w14:paraId="1EB9C74E" w14:textId="77777777" w:rsidTr="002802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2E95D87E"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Monitoring, audit and review </w:t>
            </w:r>
          </w:p>
          <w:p w14:paraId="459F1E2F"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Clauses 7, 10, 90–92</w:t>
            </w:r>
            <w:r w:rsidRPr="000C5EA5">
              <w:rPr>
                <w:rFonts w:eastAsia="Segoe UI" w:cs="Calibri"/>
                <w:sz w:val="18"/>
                <w:szCs w:val="18"/>
              </w:rPr>
              <w:t> </w:t>
            </w:r>
          </w:p>
        </w:tc>
        <w:tc>
          <w:tcPr>
            <w:tcW w:w="4230" w:type="dxa"/>
            <w:hideMark/>
          </w:tcPr>
          <w:p w14:paraId="0455C4B3"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Regular monitoring and independent review of arrangements. </w:t>
            </w:r>
          </w:p>
          <w:p w14:paraId="6967AF69"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Evidence</w:t>
            </w:r>
            <w:r w:rsidRPr="000C5EA5">
              <w:rPr>
                <w:rFonts w:eastAsia="Segoe UI" w:cs="Calibri"/>
                <w:sz w:val="18"/>
                <w:szCs w:val="18"/>
              </w:rPr>
              <w:noBreakHyphen/>
              <w:t>based adjustment over time. </w:t>
            </w:r>
          </w:p>
          <w:p w14:paraId="49C14BAD"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 </w:t>
            </w:r>
          </w:p>
        </w:tc>
        <w:tc>
          <w:tcPr>
            <w:tcW w:w="4215" w:type="dxa"/>
            <w:hideMark/>
          </w:tcPr>
          <w:p w14:paraId="17810158"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No mandatory review cycle in the Deed. </w:t>
            </w:r>
          </w:p>
          <w:p w14:paraId="4B1D4A1C"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First review initiated more than 20 years after commencement. </w:t>
            </w:r>
          </w:p>
          <w:p w14:paraId="3DB0F667"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lastRenderedPageBreak/>
              <w:t>Learning relies on external processes (licence review, ad</w:t>
            </w:r>
            <w:r w:rsidRPr="000C5EA5">
              <w:rPr>
                <w:rFonts w:eastAsia="Segoe UI" w:cs="Calibri"/>
                <w:sz w:val="18"/>
                <w:szCs w:val="18"/>
              </w:rPr>
              <w:noBreakHyphen/>
              <w:t>hoc inquiries). </w:t>
            </w:r>
          </w:p>
        </w:tc>
        <w:tc>
          <w:tcPr>
            <w:tcW w:w="3555" w:type="dxa"/>
            <w:hideMark/>
          </w:tcPr>
          <w:p w14:paraId="48E9AC47" w14:textId="38F88CA8" w:rsidR="00280221" w:rsidRPr="000C5EA5" w:rsidRDefault="000F4FEB"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b/>
                <w:sz w:val="18"/>
                <w:szCs w:val="18"/>
              </w:rPr>
              <w:lastRenderedPageBreak/>
              <w:t>Major</w:t>
            </w:r>
            <w:r w:rsidR="00280221" w:rsidRPr="000C5EA5">
              <w:rPr>
                <w:rFonts w:eastAsia="Segoe UI" w:cs="Calibri"/>
                <w:sz w:val="18"/>
                <w:szCs w:val="18"/>
              </w:rPr>
              <w:br/>
              <w:t>The SWIOID is inconsistent with the NWI’s commitment to ongoing evaluation. </w:t>
            </w:r>
          </w:p>
          <w:p w14:paraId="4782F7FC"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Governance stagnation. </w:t>
            </w:r>
          </w:p>
          <w:p w14:paraId="0670505F"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lastRenderedPageBreak/>
              <w:t>Delayed response to emerging risks. </w:t>
            </w:r>
          </w:p>
          <w:p w14:paraId="1DC80D7A"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 </w:t>
            </w:r>
          </w:p>
        </w:tc>
      </w:tr>
      <w:tr w:rsidR="00280221" w:rsidRPr="000C5EA5" w14:paraId="0870B352" w14:textId="77777777" w:rsidTr="00280221">
        <w:trPr>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581FC7D6"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lastRenderedPageBreak/>
              <w:t>Indigenous interests and engagement </w:t>
            </w:r>
          </w:p>
          <w:p w14:paraId="5642480A"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Clause 52</w:t>
            </w:r>
            <w:r w:rsidRPr="000C5EA5">
              <w:rPr>
                <w:rFonts w:eastAsia="Segoe UI" w:cs="Calibri"/>
                <w:sz w:val="18"/>
                <w:szCs w:val="18"/>
              </w:rPr>
              <w:t> </w:t>
            </w:r>
          </w:p>
        </w:tc>
        <w:tc>
          <w:tcPr>
            <w:tcW w:w="4230" w:type="dxa"/>
            <w:hideMark/>
          </w:tcPr>
          <w:p w14:paraId="47D285AB"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Recognition of Indigenous peoples’ rights, interests, cultural values, economic aspirations related to water. </w:t>
            </w:r>
          </w:p>
          <w:p w14:paraId="725EC962"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Engagement embedded in governance, not discretionary. </w:t>
            </w:r>
          </w:p>
        </w:tc>
        <w:tc>
          <w:tcPr>
            <w:tcW w:w="4215" w:type="dxa"/>
            <w:hideMark/>
          </w:tcPr>
          <w:p w14:paraId="3960B3C1"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No mention of First Nations. </w:t>
            </w:r>
          </w:p>
          <w:p w14:paraId="4DDCD665"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No role in governance, planning or review. </w:t>
            </w:r>
          </w:p>
          <w:p w14:paraId="2C19AE05"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 </w:t>
            </w:r>
          </w:p>
        </w:tc>
        <w:tc>
          <w:tcPr>
            <w:tcW w:w="3555" w:type="dxa"/>
            <w:hideMark/>
          </w:tcPr>
          <w:p w14:paraId="7035BAAC"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b/>
                <w:sz w:val="18"/>
                <w:szCs w:val="18"/>
              </w:rPr>
              <w:t>Fundamental.</w:t>
            </w:r>
            <w:r w:rsidRPr="000C5EA5">
              <w:rPr>
                <w:rFonts w:eastAsia="Segoe UI" w:cs="Calibri"/>
                <w:sz w:val="18"/>
                <w:szCs w:val="18"/>
              </w:rPr>
              <w:t> </w:t>
            </w:r>
          </w:p>
          <w:p w14:paraId="584755EA"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This is one of the most pronounced areas of non-alignment. </w:t>
            </w:r>
          </w:p>
          <w:p w14:paraId="43B7CE8B"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Failure to meet nationally agreed reform commitments. </w:t>
            </w:r>
          </w:p>
          <w:p w14:paraId="7D7B90D8" w14:textId="77777777" w:rsidR="00280221" w:rsidRPr="000C5EA5" w:rsidRDefault="00280221" w:rsidP="00280221">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0C5EA5">
              <w:rPr>
                <w:rFonts w:eastAsia="Segoe UI" w:cs="Calibri"/>
                <w:sz w:val="18"/>
                <w:szCs w:val="18"/>
              </w:rPr>
              <w:t>Elevated legal, social and reputational risk. </w:t>
            </w:r>
          </w:p>
        </w:tc>
      </w:tr>
      <w:tr w:rsidR="00280221" w:rsidRPr="000C5EA5" w14:paraId="0359F822" w14:textId="77777777" w:rsidTr="002802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hideMark/>
          </w:tcPr>
          <w:p w14:paraId="669C0636"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sz w:val="18"/>
                <w:szCs w:val="18"/>
              </w:rPr>
              <w:t>Managing trade-offs transparently </w:t>
            </w:r>
          </w:p>
          <w:p w14:paraId="0AA73304" w14:textId="77777777" w:rsidR="00280221" w:rsidRPr="000C5EA5" w:rsidRDefault="00280221" w:rsidP="00280221">
            <w:pPr>
              <w:spacing w:line="300" w:lineRule="auto"/>
              <w:jc w:val="left"/>
              <w:rPr>
                <w:rFonts w:eastAsia="Segoe UI" w:cs="Calibri"/>
                <w:b w:val="0"/>
                <w:sz w:val="18"/>
                <w:szCs w:val="18"/>
              </w:rPr>
            </w:pPr>
            <w:r w:rsidRPr="000C5EA5">
              <w:rPr>
                <w:rFonts w:eastAsia="Segoe UI" w:cs="Calibri"/>
                <w:i/>
                <w:sz w:val="18"/>
                <w:szCs w:val="18"/>
              </w:rPr>
              <w:t>NWI Preamble; Clauses 6, 23</w:t>
            </w:r>
            <w:r w:rsidRPr="000C5EA5">
              <w:rPr>
                <w:rFonts w:eastAsia="Segoe UI" w:cs="Calibri"/>
                <w:sz w:val="18"/>
                <w:szCs w:val="18"/>
              </w:rPr>
              <w:t> </w:t>
            </w:r>
          </w:p>
        </w:tc>
        <w:tc>
          <w:tcPr>
            <w:tcW w:w="4230" w:type="dxa"/>
            <w:hideMark/>
          </w:tcPr>
          <w:p w14:paraId="4B5CDB6C"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Governments explicitly manage and justify trade</w:t>
            </w:r>
            <w:r w:rsidRPr="000C5EA5">
              <w:rPr>
                <w:rFonts w:eastAsia="Segoe UI" w:cs="Calibri"/>
                <w:sz w:val="18"/>
                <w:szCs w:val="18"/>
              </w:rPr>
              <w:noBreakHyphen/>
              <w:t>offs between economic, environmental and social outcomes. </w:t>
            </w:r>
          </w:p>
        </w:tc>
        <w:tc>
          <w:tcPr>
            <w:tcW w:w="4215" w:type="dxa"/>
            <w:hideMark/>
          </w:tcPr>
          <w:p w14:paraId="445A9633"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Trade</w:t>
            </w:r>
            <w:r w:rsidRPr="000C5EA5">
              <w:rPr>
                <w:rFonts w:eastAsia="Segoe UI" w:cs="Calibri"/>
                <w:sz w:val="18"/>
                <w:szCs w:val="18"/>
              </w:rPr>
              <w:noBreakHyphen/>
              <w:t>offs are implicit and often opaque. </w:t>
            </w:r>
          </w:p>
          <w:p w14:paraId="624105CE"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Resolution occurs through negotiation or operational discretion rather than structured decision</w:t>
            </w:r>
            <w:r w:rsidRPr="000C5EA5">
              <w:rPr>
                <w:rFonts w:eastAsia="Segoe UI" w:cs="Calibri"/>
                <w:sz w:val="18"/>
                <w:szCs w:val="18"/>
              </w:rPr>
              <w:noBreakHyphen/>
              <w:t>making. </w:t>
            </w:r>
          </w:p>
        </w:tc>
        <w:tc>
          <w:tcPr>
            <w:tcW w:w="3555" w:type="dxa"/>
            <w:hideMark/>
          </w:tcPr>
          <w:p w14:paraId="7388A386" w14:textId="3238E2CC"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 </w:t>
            </w:r>
            <w:r w:rsidR="000F4FEB" w:rsidRPr="000C5EA5">
              <w:rPr>
                <w:rFonts w:eastAsia="Segoe UI" w:cs="Calibri"/>
                <w:b/>
                <w:sz w:val="18"/>
                <w:szCs w:val="18"/>
              </w:rPr>
              <w:t>Major</w:t>
            </w:r>
          </w:p>
          <w:p w14:paraId="5BF636E7"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Persistent conflict. </w:t>
            </w:r>
          </w:p>
          <w:p w14:paraId="0FA51310"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Diminished confidence in decisions that affect multiple interests. </w:t>
            </w:r>
          </w:p>
          <w:p w14:paraId="4AD909CE" w14:textId="77777777" w:rsidR="00280221" w:rsidRPr="000C5EA5" w:rsidRDefault="00280221" w:rsidP="00280221">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0C5EA5">
              <w:rPr>
                <w:rFonts w:eastAsia="Segoe UI" w:cs="Calibri"/>
                <w:sz w:val="18"/>
                <w:szCs w:val="18"/>
              </w:rPr>
              <w:t> </w:t>
            </w:r>
          </w:p>
        </w:tc>
      </w:tr>
    </w:tbl>
    <w:p w14:paraId="5BE2AECB" w14:textId="77777777" w:rsidR="00A416CE" w:rsidRDefault="00A416CE" w:rsidP="00A416CE"/>
    <w:p w14:paraId="3D0F0ED8" w14:textId="0220D2DC" w:rsidR="008402D0" w:rsidRDefault="008402D0">
      <w:pPr>
        <w:jc w:val="left"/>
      </w:pPr>
      <w:r>
        <w:br w:type="page"/>
      </w:r>
    </w:p>
    <w:p w14:paraId="4045E630" w14:textId="4C9FE75A" w:rsidR="004F3CFA" w:rsidRDefault="0036787D" w:rsidP="008402D0">
      <w:pPr>
        <w:pStyle w:val="ReviewHeading3"/>
      </w:pPr>
      <w:r>
        <w:lastRenderedPageBreak/>
        <w:t xml:space="preserve">Appendix B, </w:t>
      </w:r>
      <w:r w:rsidR="008402D0">
        <w:t>Part 3 – Gap analysis against OECD Principles on Water Governance</w:t>
      </w:r>
    </w:p>
    <w:p w14:paraId="4011A27C" w14:textId="102AE783" w:rsidR="008402D0" w:rsidRDefault="008402D0" w:rsidP="008402D0">
      <w:pPr>
        <w:pStyle w:val="Sub-Heading"/>
      </w:pPr>
      <w:r>
        <w:t>Framing observations</w:t>
      </w:r>
    </w:p>
    <w:p w14:paraId="799D3540" w14:textId="4C827BCB" w:rsidR="006F3509" w:rsidRPr="00D03E83" w:rsidRDefault="00382EE8" w:rsidP="006F3509">
      <w:r>
        <w:rPr>
          <w:rFonts w:ascii="ZWAdobeF" w:hAnsi="ZWAdobeF" w:cs="ZWAdobeF"/>
          <w:sz w:val="2"/>
          <w:szCs w:val="2"/>
        </w:rPr>
        <w:t>1475B</w:t>
      </w:r>
      <w:r w:rsidR="006F3509" w:rsidRPr="00D03E83">
        <w:t>The OECD Principles (2015) articulate 12 “must</w:t>
      </w:r>
      <w:r w:rsidR="006F3509" w:rsidRPr="00D03E83">
        <w:noBreakHyphen/>
        <w:t xml:space="preserve">do” principles across effectiveness, efficiency and trust </w:t>
      </w:r>
      <w:r w:rsidR="002B7FB7">
        <w:t>and</w:t>
      </w:r>
      <w:r w:rsidR="006F3509" w:rsidRPr="00D03E83">
        <w:t xml:space="preserve"> engagement. </w:t>
      </w:r>
    </w:p>
    <w:p w14:paraId="1F10C7F8" w14:textId="1946CF11" w:rsidR="006F3509" w:rsidRPr="00D03E83" w:rsidRDefault="00382EE8" w:rsidP="006F3509">
      <w:r>
        <w:rPr>
          <w:rFonts w:ascii="ZWAdobeF" w:hAnsi="ZWAdobeF" w:cs="ZWAdobeF"/>
          <w:sz w:val="2"/>
          <w:szCs w:val="2"/>
        </w:rPr>
        <w:t>1476B</w:t>
      </w:r>
      <w:r w:rsidR="006F3509" w:rsidRPr="00D03E83">
        <w:t>In OECD terms, the SWIOID remains a first</w:t>
      </w:r>
      <w:r w:rsidR="006F3509" w:rsidRPr="00D03E83">
        <w:noBreakHyphen/>
        <w:t>generation water governance instrument: </w:t>
      </w:r>
    </w:p>
    <w:p w14:paraId="61D44856" w14:textId="6FF15B41" w:rsidR="006F3509" w:rsidRPr="00D03E83" w:rsidRDefault="00382EE8" w:rsidP="00115BD6">
      <w:pPr>
        <w:pStyle w:val="ListParagraph"/>
        <w:numPr>
          <w:ilvl w:val="0"/>
          <w:numId w:val="54"/>
        </w:numPr>
      </w:pPr>
      <w:r>
        <w:rPr>
          <w:rFonts w:ascii="ZWAdobeF" w:hAnsi="ZWAdobeF" w:cs="ZWAdobeF"/>
          <w:sz w:val="2"/>
          <w:szCs w:val="2"/>
        </w:rPr>
        <w:t>479B</w:t>
      </w:r>
      <w:r w:rsidR="006F3509" w:rsidRPr="00D03E83">
        <w:t>Strong on intergovernmental certainty and legal enforceability. </w:t>
      </w:r>
    </w:p>
    <w:p w14:paraId="27E803E1" w14:textId="0A3A0C2A" w:rsidR="006F3509" w:rsidRPr="00D03E83" w:rsidRDefault="00382EE8" w:rsidP="00115BD6">
      <w:pPr>
        <w:pStyle w:val="ListParagraph"/>
        <w:numPr>
          <w:ilvl w:val="0"/>
          <w:numId w:val="54"/>
        </w:numPr>
      </w:pPr>
      <w:r>
        <w:rPr>
          <w:rFonts w:ascii="ZWAdobeF" w:hAnsi="ZWAdobeF" w:cs="ZWAdobeF"/>
          <w:sz w:val="2"/>
          <w:szCs w:val="2"/>
        </w:rPr>
        <w:t>480B</w:t>
      </w:r>
      <w:r w:rsidR="006F3509" w:rsidRPr="00D03E83">
        <w:t>Weak on inclusivity, adaptability, transparency, basin</w:t>
      </w:r>
      <w:r w:rsidR="006F3509" w:rsidRPr="00D03E83">
        <w:noBreakHyphen/>
        <w:t>scale management and learning. </w:t>
      </w:r>
    </w:p>
    <w:tbl>
      <w:tblPr>
        <w:tblStyle w:val="PlainTable1"/>
        <w:tblW w:w="13950" w:type="dxa"/>
        <w:tblLook w:val="04A0" w:firstRow="1" w:lastRow="0" w:firstColumn="1" w:lastColumn="0" w:noHBand="0" w:noVBand="1"/>
      </w:tblPr>
      <w:tblGrid>
        <w:gridCol w:w="2396"/>
        <w:gridCol w:w="3076"/>
        <w:gridCol w:w="3045"/>
        <w:gridCol w:w="5433"/>
      </w:tblGrid>
      <w:tr w:rsidR="005316BD" w:rsidRPr="00433C02" w14:paraId="1C463B45" w14:textId="77777777" w:rsidTr="006E2F6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77" w:type="dxa"/>
            <w:hideMark/>
          </w:tcPr>
          <w:p w14:paraId="338C10AA"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w:t>
            </w:r>
          </w:p>
        </w:tc>
        <w:tc>
          <w:tcPr>
            <w:tcW w:w="3160" w:type="dxa"/>
            <w:hideMark/>
          </w:tcPr>
          <w:p w14:paraId="1F680E05" w14:textId="77777777" w:rsidR="005316BD" w:rsidRPr="00433C02" w:rsidRDefault="005316BD" w:rsidP="005316BD">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433C02">
              <w:rPr>
                <w:rFonts w:eastAsia="Segoe UI" w:cs="Calibri"/>
                <w:sz w:val="18"/>
                <w:szCs w:val="18"/>
              </w:rPr>
              <w:t>OECD expectation </w:t>
            </w:r>
          </w:p>
        </w:tc>
        <w:tc>
          <w:tcPr>
            <w:tcW w:w="3156" w:type="dxa"/>
            <w:hideMark/>
          </w:tcPr>
          <w:p w14:paraId="75EE9B7F" w14:textId="77777777" w:rsidR="005316BD" w:rsidRPr="00433C02" w:rsidRDefault="005316BD" w:rsidP="005316BD">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433C02">
              <w:rPr>
                <w:rFonts w:eastAsia="Segoe UI" w:cs="Calibri"/>
                <w:sz w:val="18"/>
                <w:szCs w:val="18"/>
              </w:rPr>
              <w:t>Deed position </w:t>
            </w:r>
          </w:p>
        </w:tc>
        <w:tc>
          <w:tcPr>
            <w:tcW w:w="5757" w:type="dxa"/>
            <w:hideMark/>
          </w:tcPr>
          <w:p w14:paraId="5DD0547E" w14:textId="77777777" w:rsidR="005316BD" w:rsidRPr="00433C02" w:rsidRDefault="005316BD" w:rsidP="005316BD">
            <w:pPr>
              <w:spacing w:line="300" w:lineRule="auto"/>
              <w:jc w:val="left"/>
              <w:cnfStyle w:val="100000000000" w:firstRow="1" w:lastRow="0" w:firstColumn="0" w:lastColumn="0" w:oddVBand="0" w:evenVBand="0" w:oddHBand="0" w:evenHBand="0" w:firstRowFirstColumn="0" w:firstRowLastColumn="0" w:lastRowFirstColumn="0" w:lastRowLastColumn="0"/>
              <w:rPr>
                <w:rFonts w:eastAsia="Segoe UI" w:cs="Calibri"/>
                <w:b w:val="0"/>
                <w:sz w:val="18"/>
                <w:szCs w:val="18"/>
              </w:rPr>
            </w:pPr>
            <w:r w:rsidRPr="00433C02">
              <w:rPr>
                <w:rFonts w:eastAsia="Segoe UI" w:cs="Calibri"/>
                <w:sz w:val="18"/>
                <w:szCs w:val="18"/>
              </w:rPr>
              <w:t>Gap &amp; Implication </w:t>
            </w:r>
          </w:p>
        </w:tc>
      </w:tr>
      <w:tr w:rsidR="005316BD" w:rsidRPr="00433C02" w14:paraId="70A9B533" w14:textId="77777777" w:rsidTr="00531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4D5C8335"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1: Clearly allocate and distinguish roles and responsibilities </w:t>
            </w:r>
          </w:p>
          <w:p w14:paraId="71226A7B"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505BF5E8"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Roles for water policy, regulation, operational management and enforcement should be clearly defined and separated, with coordination mechanisms across responsible authorities. </w:t>
            </w:r>
          </w:p>
          <w:p w14:paraId="72F59D9E"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24C9198D" w14:textId="0551F3E0"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Roles are distributed across the Deed, the Snowy Water Licence, NSW regulatory agencies and Snowy Hydro Limited, but are not clearly separated. Snowy Hydro Limited retains substantial discretion over operational decisions that materially affect environmental outcomes, including the timing of environmental releases. </w:t>
            </w:r>
          </w:p>
        </w:tc>
        <w:tc>
          <w:tcPr>
            <w:tcW w:w="5757" w:type="dxa"/>
            <w:hideMark/>
          </w:tcPr>
          <w:p w14:paraId="51E60AE4" w14:textId="310891C1" w:rsidR="005316BD" w:rsidRPr="00433C02" w:rsidRDefault="000F4FEB"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b/>
                <w:sz w:val="18"/>
                <w:szCs w:val="18"/>
              </w:rPr>
              <w:t>Moderate</w:t>
            </w:r>
          </w:p>
          <w:p w14:paraId="013CB069"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Roles between policy (Deed), regulation (Licence), and operations (Snowy Hydro) are defined, but poorly integrated. </w:t>
            </w:r>
          </w:p>
          <w:p w14:paraId="10486EFC"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No clear articulation of who is responsible for ecological outcomes, versus merely delivering volumes. </w:t>
            </w:r>
          </w:p>
          <w:p w14:paraId="45D66DEC"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No role for the ACT or First Nations despite material interests. </w:t>
            </w:r>
          </w:p>
          <w:p w14:paraId="4E43DACD" w14:textId="655A3DFA"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The Deed does not clearly distinguish between policy direction, operational</w:t>
            </w:r>
            <w:r w:rsidR="007953BC" w:rsidRPr="00433C02">
              <w:rPr>
                <w:rFonts w:eastAsia="Segoe UI" w:cs="Calibri"/>
                <w:sz w:val="18"/>
                <w:szCs w:val="18"/>
              </w:rPr>
              <w:t xml:space="preserve"> </w:t>
            </w:r>
            <w:r w:rsidRPr="00433C02">
              <w:rPr>
                <w:rFonts w:eastAsia="Segoe UI" w:cs="Calibri"/>
                <w:sz w:val="18"/>
                <w:szCs w:val="18"/>
              </w:rPr>
              <w:t>decision</w:t>
            </w:r>
            <w:r w:rsidRPr="00433C02">
              <w:rPr>
                <w:rFonts w:eastAsia="Segoe UI" w:cs="Calibri"/>
                <w:sz w:val="18"/>
                <w:szCs w:val="18"/>
              </w:rPr>
              <w:noBreakHyphen/>
              <w:t>making</w:t>
            </w:r>
            <w:r w:rsidR="007953BC" w:rsidRPr="00433C02">
              <w:rPr>
                <w:rFonts w:eastAsia="Segoe UI" w:cs="Calibri"/>
                <w:sz w:val="18"/>
                <w:szCs w:val="18"/>
              </w:rPr>
              <w:t xml:space="preserve"> </w:t>
            </w:r>
            <w:r w:rsidRPr="00433C02">
              <w:rPr>
                <w:rFonts w:eastAsia="Segoe UI" w:cs="Calibri"/>
                <w:sz w:val="18"/>
                <w:szCs w:val="18"/>
              </w:rPr>
              <w:t>and</w:t>
            </w:r>
            <w:r w:rsidR="007953BC" w:rsidRPr="00433C02">
              <w:rPr>
                <w:rFonts w:eastAsia="Segoe UI" w:cs="Calibri"/>
                <w:sz w:val="18"/>
                <w:szCs w:val="18"/>
              </w:rPr>
              <w:t xml:space="preserve"> </w:t>
            </w:r>
            <w:r w:rsidRPr="00433C02">
              <w:rPr>
                <w:rFonts w:eastAsia="Segoe UI" w:cs="Calibri"/>
                <w:sz w:val="18"/>
                <w:szCs w:val="18"/>
              </w:rPr>
              <w:t>trade</w:t>
            </w:r>
            <w:r w:rsidRPr="00433C02">
              <w:rPr>
                <w:rFonts w:eastAsia="Segoe UI" w:cs="Calibri"/>
                <w:sz w:val="18"/>
                <w:szCs w:val="18"/>
              </w:rPr>
              <w:noBreakHyphen/>
              <w:t>off</w:t>
            </w:r>
            <w:r w:rsidR="007953BC" w:rsidRPr="00433C02">
              <w:rPr>
                <w:rFonts w:eastAsia="Segoe UI" w:cs="Calibri"/>
                <w:sz w:val="18"/>
                <w:szCs w:val="18"/>
              </w:rPr>
              <w:t xml:space="preserve"> </w:t>
            </w:r>
            <w:r w:rsidRPr="00433C02">
              <w:rPr>
                <w:rFonts w:eastAsia="Segoe UI" w:cs="Calibri"/>
                <w:sz w:val="18"/>
                <w:szCs w:val="18"/>
              </w:rPr>
              <w:t>management.  </w:t>
            </w:r>
          </w:p>
          <w:p w14:paraId="2346DD6F" w14:textId="52C10770"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This creates structural conflicts of interest, weakens accountability for environmental outcomes, and complicates dispute resolution where environmental and energy objectives diverge. </w:t>
            </w:r>
          </w:p>
        </w:tc>
      </w:tr>
      <w:tr w:rsidR="005316BD" w:rsidRPr="00433C02" w14:paraId="770C7A2E" w14:textId="77777777" w:rsidTr="005316BD">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3999697A"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2: Manage water at the appropriate scale </w:t>
            </w:r>
          </w:p>
          <w:p w14:paraId="4D704237"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66A90A1A"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arrangements align with hydrological boundaries, with coordination across jurisdictions. </w:t>
            </w:r>
          </w:p>
          <w:p w14:paraId="7DF56447"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4A14FA05"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is organised around the Deed parties (Commonwealth, NSW and Victoria). The ACT has no formal role despite being directly affected by Upper Murrumbidgee flows. </w:t>
            </w:r>
          </w:p>
          <w:p w14:paraId="21C85FF8"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1F1671E1" w14:textId="669B6C73" w:rsidR="005316BD" w:rsidRPr="00433C02" w:rsidRDefault="000F4FEB"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b/>
                <w:sz w:val="18"/>
                <w:szCs w:val="18"/>
              </w:rPr>
              <w:t>Major</w:t>
            </w:r>
          </w:p>
          <w:p w14:paraId="3B1B94D6"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is structured around jurisdictional boundaries, not the Upper Murrumbidgee catchment. </w:t>
            </w:r>
          </w:p>
          <w:p w14:paraId="2C29B640"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ACT is excluded from formal governance despite being directly impacted. </w:t>
            </w:r>
          </w:p>
          <w:p w14:paraId="57418D4A" w14:textId="4FA3442E"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No basin</w:t>
            </w:r>
            <w:r w:rsidRPr="00433C02">
              <w:rPr>
                <w:rFonts w:eastAsia="Segoe UI" w:cs="Calibri"/>
                <w:sz w:val="18"/>
                <w:szCs w:val="18"/>
              </w:rPr>
              <w:noBreakHyphen/>
              <w:t>level authority or joint</w:t>
            </w:r>
            <w:r w:rsidR="00644E7F" w:rsidRPr="00433C02">
              <w:rPr>
                <w:rFonts w:eastAsia="Segoe UI" w:cs="Calibri"/>
                <w:sz w:val="18"/>
                <w:szCs w:val="18"/>
              </w:rPr>
              <w:t xml:space="preserve"> </w:t>
            </w:r>
            <w:r w:rsidRPr="00433C02">
              <w:rPr>
                <w:rFonts w:eastAsia="Segoe UI" w:cs="Calibri"/>
                <w:sz w:val="18"/>
                <w:szCs w:val="18"/>
              </w:rPr>
              <w:t>decision</w:t>
            </w:r>
            <w:r w:rsidRPr="00433C02">
              <w:rPr>
                <w:rFonts w:eastAsia="Segoe UI" w:cs="Calibri"/>
                <w:sz w:val="18"/>
                <w:szCs w:val="18"/>
              </w:rPr>
              <w:noBreakHyphen/>
              <w:t>making</w:t>
            </w:r>
            <w:r w:rsidR="00644E7F" w:rsidRPr="00433C02">
              <w:rPr>
                <w:rFonts w:eastAsia="Segoe UI" w:cs="Calibri"/>
                <w:sz w:val="18"/>
                <w:szCs w:val="18"/>
              </w:rPr>
              <w:t xml:space="preserve"> </w:t>
            </w:r>
            <w:r w:rsidRPr="00433C02">
              <w:rPr>
                <w:rFonts w:eastAsia="Segoe UI" w:cs="Calibri"/>
                <w:sz w:val="18"/>
                <w:szCs w:val="18"/>
              </w:rPr>
              <w:t>mechanism exists. </w:t>
            </w:r>
          </w:p>
          <w:p w14:paraId="1D80F38F" w14:textId="082DB4CC"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Exclusion of the ACT undermines legitimacy and constrains integrated catchment</w:t>
            </w:r>
            <w:r w:rsidRPr="00433C02">
              <w:rPr>
                <w:rFonts w:eastAsia="Segoe UI" w:cs="Calibri"/>
                <w:sz w:val="18"/>
                <w:szCs w:val="18"/>
              </w:rPr>
              <w:noBreakHyphen/>
              <w:t>scale management. </w:t>
            </w:r>
          </w:p>
        </w:tc>
      </w:tr>
      <w:tr w:rsidR="005316BD" w:rsidRPr="00433C02" w14:paraId="06DD272F" w14:textId="77777777" w:rsidTr="00531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34B8309F"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lastRenderedPageBreak/>
              <w:t>Principle 3: Encourage policy coherence across sectors (water–energy–climate) </w:t>
            </w:r>
          </w:p>
          <w:p w14:paraId="192E0B9F"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16808DA9"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Water, environment, energy and climate policies are aligned to avoid conflicting objectives. </w:t>
            </w:r>
          </w:p>
          <w:p w14:paraId="5CC73707"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6196EEF1"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The Deed predates key national water, climate and energy reforms. Interactions between environmental flows, energy security and climate adaptation are not systematically addressed. </w:t>
            </w:r>
          </w:p>
          <w:p w14:paraId="765986DD"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6397BB07" w14:textId="1BEEE35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b/>
                <w:sz w:val="18"/>
                <w:szCs w:val="18"/>
              </w:rPr>
              <w:t xml:space="preserve">Moderate to </w:t>
            </w:r>
            <w:r w:rsidR="000F4FEB" w:rsidRPr="00433C02">
              <w:rPr>
                <w:rFonts w:eastAsia="Segoe UI" w:cs="Calibri"/>
                <w:b/>
                <w:sz w:val="18"/>
                <w:szCs w:val="18"/>
              </w:rPr>
              <w:t>major</w:t>
            </w:r>
          </w:p>
          <w:p w14:paraId="4EEEE75D" w14:textId="48F9C709"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xml:space="preserve">The Deed predates the Basin Plan, </w:t>
            </w:r>
            <w:r w:rsidR="00956F97" w:rsidRPr="00433C02">
              <w:rPr>
                <w:rFonts w:eastAsia="Segoe UI" w:cs="Calibri"/>
                <w:sz w:val="18"/>
                <w:szCs w:val="18"/>
              </w:rPr>
              <w:t>c</w:t>
            </w:r>
            <w:r w:rsidRPr="00433C02">
              <w:rPr>
                <w:rFonts w:eastAsia="Segoe UI" w:cs="Calibri"/>
                <w:sz w:val="18"/>
                <w:szCs w:val="18"/>
              </w:rPr>
              <w:t>limate adaptation frameworks, </w:t>
            </w:r>
            <w:r w:rsidR="00024E31" w:rsidRPr="00433C02">
              <w:rPr>
                <w:rFonts w:eastAsia="Segoe UI" w:cs="Calibri"/>
                <w:sz w:val="18"/>
                <w:szCs w:val="18"/>
              </w:rPr>
              <w:t>n</w:t>
            </w:r>
            <w:r w:rsidRPr="00433C02">
              <w:rPr>
                <w:rFonts w:eastAsia="Segoe UI" w:cs="Calibri"/>
                <w:sz w:val="18"/>
                <w:szCs w:val="18"/>
              </w:rPr>
              <w:t>et</w:t>
            </w:r>
            <w:r w:rsidRPr="00433C02">
              <w:rPr>
                <w:rFonts w:eastAsia="Segoe UI" w:cs="Calibri"/>
                <w:sz w:val="18"/>
                <w:szCs w:val="18"/>
              </w:rPr>
              <w:noBreakHyphen/>
              <w:t>zero energy policy</w:t>
            </w:r>
            <w:r w:rsidR="00024E31" w:rsidRPr="00433C02">
              <w:rPr>
                <w:rFonts w:eastAsia="Segoe UI" w:cs="Calibri"/>
                <w:sz w:val="18"/>
                <w:szCs w:val="18"/>
              </w:rPr>
              <w:t>.</w:t>
            </w:r>
            <w:r w:rsidRPr="00433C02">
              <w:rPr>
                <w:rFonts w:eastAsia="Segoe UI" w:cs="Calibri"/>
                <w:sz w:val="18"/>
                <w:szCs w:val="18"/>
              </w:rPr>
              <w:t> </w:t>
            </w:r>
          </w:p>
          <w:p w14:paraId="3E2EC33C"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No mechanisms exist to systematically reconcile trade</w:t>
            </w:r>
            <w:r w:rsidRPr="00433C02">
              <w:rPr>
                <w:rFonts w:eastAsia="Segoe UI" w:cs="Calibri"/>
                <w:sz w:val="18"/>
                <w:szCs w:val="18"/>
              </w:rPr>
              <w:noBreakHyphen/>
              <w:t>offs between environmental water and energy security; instead, conflicts are managed case</w:t>
            </w:r>
            <w:r w:rsidRPr="00433C02">
              <w:rPr>
                <w:rFonts w:eastAsia="Segoe UI" w:cs="Calibri"/>
                <w:sz w:val="18"/>
                <w:szCs w:val="18"/>
              </w:rPr>
              <w:noBreakHyphen/>
              <w:t>by</w:t>
            </w:r>
            <w:r w:rsidRPr="00433C02">
              <w:rPr>
                <w:rFonts w:eastAsia="Segoe UI" w:cs="Calibri"/>
                <w:sz w:val="18"/>
                <w:szCs w:val="18"/>
              </w:rPr>
              <w:noBreakHyphen/>
              <w:t>case.  </w:t>
            </w:r>
          </w:p>
          <w:p w14:paraId="2304B695"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Decisions involve unstructured trade</w:t>
            </w:r>
            <w:r w:rsidRPr="00433C02">
              <w:rPr>
                <w:rFonts w:eastAsia="Segoe UI" w:cs="Calibri"/>
                <w:sz w:val="18"/>
                <w:szCs w:val="18"/>
              </w:rPr>
              <w:noBreakHyphen/>
              <w:t>offs that risk inconsistency with broader national objectives. </w:t>
            </w:r>
          </w:p>
        </w:tc>
      </w:tr>
      <w:tr w:rsidR="005316BD" w:rsidRPr="00433C02" w14:paraId="46A7A85D" w14:textId="77777777" w:rsidTr="005316BD">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6D34DA43"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4: Adapt institutional capacity to the complexity of challenges </w:t>
            </w:r>
          </w:p>
          <w:p w14:paraId="1FA63247"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45E3A409"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capacity is proportionate and responsive to changing water challenges. </w:t>
            </w:r>
          </w:p>
          <w:p w14:paraId="4918C9BB"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56FFEA51"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Institutional arrangements assume relatively static conditions and are not periodically tested for fitness for purpose. </w:t>
            </w:r>
          </w:p>
          <w:p w14:paraId="32CD0808"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7EB9F63E" w14:textId="5B151895" w:rsidR="005316BD" w:rsidRPr="00433C02" w:rsidRDefault="000F4FEB"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b/>
                <w:sz w:val="18"/>
                <w:szCs w:val="18"/>
              </w:rPr>
              <w:t>Major</w:t>
            </w:r>
          </w:p>
          <w:p w14:paraId="3F289279"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assumes fixed institutional capacity and hydrological conditions. </w:t>
            </w:r>
          </w:p>
          <w:p w14:paraId="1287FFCE"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No adaptive governance structures or resourcing mechanisms are embedded. </w:t>
            </w:r>
          </w:p>
          <w:p w14:paraId="066D3F22"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Review and learning depend on external processes (licence reviews, ad hoc inquiries) rather than the Deed itself.  </w:t>
            </w:r>
          </w:p>
          <w:p w14:paraId="281B9ECB"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capacity may degrade over time. This limits effectiveness and increases reliance on external or crisis</w:t>
            </w:r>
            <w:r w:rsidRPr="00433C02">
              <w:rPr>
                <w:rFonts w:eastAsia="Segoe UI" w:cs="Calibri"/>
                <w:sz w:val="18"/>
                <w:szCs w:val="18"/>
              </w:rPr>
              <w:noBreakHyphen/>
              <w:t>driven intervention. </w:t>
            </w:r>
          </w:p>
        </w:tc>
      </w:tr>
      <w:tr w:rsidR="005316BD" w:rsidRPr="00433C02" w14:paraId="1BA69C9F" w14:textId="77777777" w:rsidTr="00531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28F2D0BA"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5: Produce, update and share water</w:t>
            </w:r>
            <w:r w:rsidRPr="00433C02">
              <w:rPr>
                <w:rFonts w:eastAsia="Segoe UI" w:cs="Calibri"/>
                <w:sz w:val="18"/>
                <w:szCs w:val="18"/>
              </w:rPr>
              <w:noBreakHyphen/>
              <w:t>related data </w:t>
            </w:r>
          </w:p>
          <w:p w14:paraId="063E3A5A"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1C514CD0"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Timely, consistent and policy</w:t>
            </w:r>
            <w:r w:rsidRPr="00433C02">
              <w:rPr>
                <w:rFonts w:eastAsia="Segoe UI" w:cs="Calibri"/>
                <w:sz w:val="18"/>
                <w:szCs w:val="18"/>
              </w:rPr>
              <w:noBreakHyphen/>
              <w:t>relevant data supports decision</w:t>
            </w:r>
            <w:r w:rsidRPr="00433C02">
              <w:rPr>
                <w:rFonts w:eastAsia="Segoe UI" w:cs="Calibri"/>
                <w:sz w:val="18"/>
                <w:szCs w:val="18"/>
              </w:rPr>
              <w:noBreakHyphen/>
              <w:t>making and accountability. </w:t>
            </w:r>
          </w:p>
          <w:p w14:paraId="75FC914A"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755EB9E4"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Information is produced mainly through licence compliance and operational reporting. The Deed does not require integrated reporting on outcomes or decision rationales. </w:t>
            </w:r>
          </w:p>
          <w:p w14:paraId="4E0E6354"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19055EF7" w14:textId="2EA164C0"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r w:rsidR="000F4FEB" w:rsidRPr="00433C02">
              <w:rPr>
                <w:rFonts w:eastAsia="Segoe UI" w:cs="Calibri"/>
                <w:b/>
                <w:sz w:val="18"/>
                <w:szCs w:val="18"/>
              </w:rPr>
              <w:t>Moderate</w:t>
            </w:r>
          </w:p>
          <w:p w14:paraId="7E18EE36"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Data production exists through licence reporting and AWOPs. </w:t>
            </w:r>
          </w:p>
          <w:p w14:paraId="1D778E92" w14:textId="25A6FF0C"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However, the Deed does not</w:t>
            </w:r>
            <w:r w:rsidR="0007522F" w:rsidRPr="00433C02">
              <w:rPr>
                <w:rFonts w:eastAsia="Segoe UI" w:cs="Calibri"/>
                <w:sz w:val="18"/>
                <w:szCs w:val="18"/>
              </w:rPr>
              <w:t xml:space="preserve"> </w:t>
            </w:r>
            <w:r w:rsidRPr="00433C02">
              <w:rPr>
                <w:rFonts w:eastAsia="Segoe UI" w:cs="Calibri"/>
                <w:sz w:val="18"/>
                <w:szCs w:val="18"/>
              </w:rPr>
              <w:t>require</w:t>
            </w:r>
            <w:r w:rsidR="0007522F" w:rsidRPr="00433C02">
              <w:rPr>
                <w:rFonts w:eastAsia="Segoe UI" w:cs="Calibri"/>
                <w:sz w:val="18"/>
                <w:szCs w:val="18"/>
              </w:rPr>
              <w:t xml:space="preserve"> </w:t>
            </w:r>
            <w:r w:rsidRPr="00433C02">
              <w:rPr>
                <w:rFonts w:eastAsia="Segoe UI" w:cs="Calibri"/>
                <w:sz w:val="18"/>
                <w:szCs w:val="18"/>
              </w:rPr>
              <w:t>outcome</w:t>
            </w:r>
            <w:r w:rsidRPr="00433C02">
              <w:rPr>
                <w:rFonts w:eastAsia="Segoe UI" w:cs="Calibri"/>
                <w:sz w:val="18"/>
                <w:szCs w:val="18"/>
              </w:rPr>
              <w:noBreakHyphen/>
              <w:t>based</w:t>
            </w:r>
            <w:r w:rsidR="0007522F" w:rsidRPr="00433C02">
              <w:rPr>
                <w:rFonts w:eastAsia="Segoe UI" w:cs="Calibri"/>
                <w:sz w:val="18"/>
                <w:szCs w:val="18"/>
              </w:rPr>
              <w:t xml:space="preserve"> </w:t>
            </w:r>
            <w:r w:rsidRPr="00433C02">
              <w:rPr>
                <w:rFonts w:eastAsia="Segoe UI" w:cs="Calibri"/>
                <w:sz w:val="18"/>
                <w:szCs w:val="18"/>
              </w:rPr>
              <w:t>ecological monitoring and does not mandate public reporting of ecological effectiveness. </w:t>
            </w:r>
          </w:p>
          <w:p w14:paraId="0EA541BF" w14:textId="5ACDBB0F"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Information is compliance</w:t>
            </w:r>
            <w:r w:rsidRPr="00433C02">
              <w:rPr>
                <w:rFonts w:eastAsia="Segoe UI" w:cs="Calibri"/>
                <w:sz w:val="18"/>
                <w:szCs w:val="18"/>
              </w:rPr>
              <w:noBreakHyphen/>
              <w:t>focused, not</w:t>
            </w:r>
            <w:r w:rsidR="0007522F" w:rsidRPr="00433C02">
              <w:rPr>
                <w:rFonts w:eastAsia="Segoe UI" w:cs="Calibri"/>
                <w:sz w:val="18"/>
                <w:szCs w:val="18"/>
              </w:rPr>
              <w:t xml:space="preserve"> </w:t>
            </w:r>
            <w:r w:rsidRPr="00433C02">
              <w:rPr>
                <w:rFonts w:eastAsia="Segoe UI" w:cs="Calibri"/>
                <w:sz w:val="18"/>
                <w:szCs w:val="18"/>
              </w:rPr>
              <w:t>decision</w:t>
            </w:r>
            <w:r w:rsidR="00346BE8" w:rsidRPr="00433C02">
              <w:rPr>
                <w:rFonts w:eastAsia="Segoe UI" w:cs="Calibri"/>
                <w:sz w:val="18"/>
                <w:szCs w:val="18"/>
              </w:rPr>
              <w:t xml:space="preserve"> </w:t>
            </w:r>
            <w:r w:rsidRPr="00433C02">
              <w:rPr>
                <w:rFonts w:eastAsia="Segoe UI" w:cs="Calibri"/>
                <w:sz w:val="18"/>
                <w:szCs w:val="18"/>
              </w:rPr>
              <w:t>support</w:t>
            </w:r>
            <w:r w:rsidR="00346BE8" w:rsidRPr="00433C02">
              <w:rPr>
                <w:rFonts w:eastAsia="Segoe UI" w:cs="Calibri"/>
                <w:sz w:val="18"/>
                <w:szCs w:val="18"/>
              </w:rPr>
              <w:t xml:space="preserve"> </w:t>
            </w:r>
            <w:r w:rsidRPr="00433C02">
              <w:rPr>
                <w:rFonts w:eastAsia="Segoe UI" w:cs="Calibri"/>
                <w:sz w:val="18"/>
                <w:szCs w:val="18"/>
              </w:rPr>
              <w:t>focused. </w:t>
            </w:r>
          </w:p>
          <w:p w14:paraId="74D7F388"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Transparency is limited. This constrains adaptive management and informed engagement by communities and First Nations. </w:t>
            </w:r>
          </w:p>
        </w:tc>
      </w:tr>
      <w:tr w:rsidR="005316BD" w:rsidRPr="00433C02" w14:paraId="0DA3BB4E" w14:textId="77777777" w:rsidTr="005316BD">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61D34F1C"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6: Mobilise water finance efficiently and transparently </w:t>
            </w:r>
          </w:p>
          <w:p w14:paraId="028ECCBA"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3B50B018"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arrangements clarify financial responsibilities and support efficient allocation of resources. </w:t>
            </w:r>
          </w:p>
          <w:p w14:paraId="21806F3A"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5737BAC4"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specifies water volumes but does not address long</w:t>
            </w:r>
            <w:r w:rsidRPr="00433C02">
              <w:rPr>
                <w:rFonts w:eastAsia="Segoe UI" w:cs="Calibri"/>
                <w:sz w:val="18"/>
                <w:szCs w:val="18"/>
              </w:rPr>
              <w:noBreakHyphen/>
              <w:t>term financing of environmental outcomes or adaptive management. </w:t>
            </w:r>
          </w:p>
          <w:p w14:paraId="1004E1F9"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lastRenderedPageBreak/>
              <w:t> </w:t>
            </w:r>
          </w:p>
        </w:tc>
        <w:tc>
          <w:tcPr>
            <w:tcW w:w="5757" w:type="dxa"/>
            <w:hideMark/>
          </w:tcPr>
          <w:p w14:paraId="265DCF19" w14:textId="3556AC30"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b/>
                <w:sz w:val="18"/>
                <w:szCs w:val="18"/>
              </w:rPr>
              <w:lastRenderedPageBreak/>
              <w:t>Moderate</w:t>
            </w:r>
            <w:r w:rsidRPr="00433C02">
              <w:rPr>
                <w:rFonts w:eastAsia="Segoe UI" w:cs="Calibri"/>
                <w:sz w:val="18"/>
                <w:szCs w:val="18"/>
              </w:rPr>
              <w:t> </w:t>
            </w:r>
          </w:p>
          <w:p w14:paraId="77DEAA0D" w14:textId="19DEF05B"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allocates water but is largely silent</w:t>
            </w:r>
            <w:r w:rsidR="003A3935" w:rsidRPr="00433C02">
              <w:rPr>
                <w:rFonts w:eastAsia="Segoe UI" w:cs="Calibri"/>
                <w:sz w:val="18"/>
                <w:szCs w:val="18"/>
              </w:rPr>
              <w:t xml:space="preserve"> </w:t>
            </w:r>
            <w:r w:rsidRPr="00433C02">
              <w:rPr>
                <w:rFonts w:eastAsia="Segoe UI" w:cs="Calibri"/>
                <w:sz w:val="18"/>
                <w:szCs w:val="18"/>
              </w:rPr>
              <w:t>on</w:t>
            </w:r>
            <w:r w:rsidR="003A3935" w:rsidRPr="00433C02">
              <w:rPr>
                <w:rFonts w:eastAsia="Segoe UI" w:cs="Calibri"/>
                <w:sz w:val="18"/>
                <w:szCs w:val="18"/>
              </w:rPr>
              <w:t xml:space="preserve"> </w:t>
            </w:r>
            <w:r w:rsidRPr="00433C02">
              <w:rPr>
                <w:rFonts w:eastAsia="Segoe UI" w:cs="Calibri"/>
                <w:sz w:val="18"/>
                <w:szCs w:val="18"/>
              </w:rPr>
              <w:t>long</w:t>
            </w:r>
            <w:r w:rsidRPr="00433C02">
              <w:rPr>
                <w:rFonts w:eastAsia="Segoe UI" w:cs="Calibri"/>
                <w:sz w:val="18"/>
                <w:szCs w:val="18"/>
              </w:rPr>
              <w:noBreakHyphen/>
              <w:t>term</w:t>
            </w:r>
            <w:r w:rsidR="003A3935" w:rsidRPr="00433C02">
              <w:rPr>
                <w:rFonts w:eastAsia="Segoe UI" w:cs="Calibri"/>
                <w:sz w:val="18"/>
                <w:szCs w:val="18"/>
              </w:rPr>
              <w:t xml:space="preserve"> </w:t>
            </w:r>
            <w:r w:rsidRPr="00433C02">
              <w:rPr>
                <w:rFonts w:eastAsia="Segoe UI" w:cs="Calibri"/>
                <w:sz w:val="18"/>
                <w:szCs w:val="18"/>
              </w:rPr>
              <w:t>financing of river recovery and</w:t>
            </w:r>
            <w:r w:rsidR="003A3935" w:rsidRPr="00433C02">
              <w:rPr>
                <w:rFonts w:eastAsia="Segoe UI" w:cs="Calibri"/>
                <w:sz w:val="18"/>
                <w:szCs w:val="18"/>
              </w:rPr>
              <w:t xml:space="preserve"> </w:t>
            </w:r>
            <w:r w:rsidRPr="00433C02">
              <w:rPr>
                <w:rFonts w:eastAsia="Segoe UI" w:cs="Calibri"/>
                <w:sz w:val="18"/>
                <w:szCs w:val="18"/>
              </w:rPr>
              <w:t>cost</w:t>
            </w:r>
            <w:r w:rsidRPr="00433C02">
              <w:rPr>
                <w:rFonts w:eastAsia="Segoe UI" w:cs="Calibri"/>
                <w:sz w:val="18"/>
                <w:szCs w:val="18"/>
              </w:rPr>
              <w:noBreakHyphen/>
              <w:t>sharing</w:t>
            </w:r>
            <w:r w:rsidR="003A3935" w:rsidRPr="00433C02">
              <w:rPr>
                <w:rFonts w:eastAsia="Segoe UI" w:cs="Calibri"/>
                <w:sz w:val="18"/>
                <w:szCs w:val="18"/>
              </w:rPr>
              <w:t xml:space="preserve"> </w:t>
            </w:r>
            <w:r w:rsidRPr="00433C02">
              <w:rPr>
                <w:rFonts w:eastAsia="Segoe UI" w:cs="Calibri"/>
                <w:sz w:val="18"/>
                <w:szCs w:val="18"/>
              </w:rPr>
              <w:t>arrangements for adaptive measures. </w:t>
            </w:r>
          </w:p>
          <w:p w14:paraId="342EA8DD"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lastRenderedPageBreak/>
              <w:t>Economic risks are implicitly borne by Snowy Hydro and downstream users without transparent allocation rules. </w:t>
            </w:r>
          </w:p>
          <w:p w14:paraId="7D10EEBD"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Financial responsibilities and risk allocation are unclear. This may constrain reform and discourage investment in improved outcomes. </w:t>
            </w:r>
          </w:p>
        </w:tc>
      </w:tr>
      <w:tr w:rsidR="005316BD" w:rsidRPr="00433C02" w14:paraId="06086291" w14:textId="77777777" w:rsidTr="00531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5D554F83"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lastRenderedPageBreak/>
              <w:t>Principle 7: Ensure regulatory frameworks are effectively implemented </w:t>
            </w:r>
          </w:p>
          <w:p w14:paraId="2CD84CED"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010BEF00"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Regulatory frameworks deliver agreed outcomes in the public interest and are enforceable. </w:t>
            </w:r>
          </w:p>
          <w:p w14:paraId="41DC90BE"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45A99647"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Enforcement occurs primarily through NSW licensing regimes rather than through the Deed itself. Performance consequences are limited. </w:t>
            </w:r>
          </w:p>
          <w:p w14:paraId="15F6EB27"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3CA7E3FA" w14:textId="0290FB02" w:rsidR="005316BD" w:rsidRPr="00433C02" w:rsidRDefault="000F4FEB"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b/>
                <w:sz w:val="18"/>
                <w:szCs w:val="18"/>
              </w:rPr>
              <w:t>Moderate</w:t>
            </w:r>
          </w:p>
          <w:p w14:paraId="0FE1B920"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Strong regulatory enforcement exists via the NSW licence. </w:t>
            </w:r>
          </w:p>
          <w:p w14:paraId="6187C927" w14:textId="0EFA251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However, the strategic instrument (the Deed) itself lacks compliance mechanisms and performance standards and consequence frameworks for failure to meet ecological</w:t>
            </w:r>
            <w:r w:rsidR="00DB4C11" w:rsidRPr="00433C02">
              <w:rPr>
                <w:rFonts w:eastAsia="Segoe UI" w:cs="Calibri"/>
                <w:sz w:val="18"/>
                <w:szCs w:val="18"/>
              </w:rPr>
              <w:t xml:space="preserve"> </w:t>
            </w:r>
            <w:r w:rsidRPr="00433C02">
              <w:rPr>
                <w:rFonts w:eastAsia="Segoe UI" w:cs="Calibri"/>
                <w:sz w:val="18"/>
                <w:szCs w:val="18"/>
              </w:rPr>
              <w:t>objectives. </w:t>
            </w:r>
          </w:p>
          <w:p w14:paraId="313CD6C7"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Strategic objectives may not translate into outcomes. Performance failures may persist without timely correction. </w:t>
            </w:r>
          </w:p>
        </w:tc>
      </w:tr>
      <w:tr w:rsidR="005316BD" w:rsidRPr="00433C02" w14:paraId="2C2A3B39" w14:textId="77777777" w:rsidTr="005316BD">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0ABA1917"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8: Promote innovative and adaptive governance practices </w:t>
            </w:r>
          </w:p>
          <w:p w14:paraId="2061349D"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4C2C39C9"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systems support learning, innovation and adaptation over time. </w:t>
            </w:r>
          </w:p>
          <w:p w14:paraId="57B1AA30"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55DAC8EE"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relies on fixed volumetric targets and does not embed adaptive management arrangements. </w:t>
            </w:r>
          </w:p>
          <w:p w14:paraId="455B35F7"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573226F6" w14:textId="3400F48A" w:rsidR="005316BD" w:rsidRPr="00433C02" w:rsidRDefault="000F4FEB"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b/>
                <w:sz w:val="18"/>
                <w:szCs w:val="18"/>
              </w:rPr>
              <w:t>Major</w:t>
            </w:r>
          </w:p>
          <w:p w14:paraId="3A0D8A3A" w14:textId="6BC6E192"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No formal adaptive management, experimentation or learning loops are embedded. </w:t>
            </w:r>
          </w:p>
          <w:p w14:paraId="347CAB43"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Innovation has occurred later through licence protocols, not Deed reform. </w:t>
            </w:r>
          </w:p>
          <w:p w14:paraId="2DC2FB2A"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is slow to respond to changing conditions, increasing the risk of maladaptive outcomes. </w:t>
            </w:r>
          </w:p>
        </w:tc>
      </w:tr>
      <w:tr w:rsidR="005316BD" w:rsidRPr="00433C02" w14:paraId="3F202382" w14:textId="77777777" w:rsidTr="00531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6B2EBFB0"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9: Mainstream integrity and transparency </w:t>
            </w:r>
          </w:p>
          <w:p w14:paraId="7B7CB5CD"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7A5764D7"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Transparency and integrity underpin decision</w:t>
            </w:r>
            <w:r w:rsidRPr="00433C02">
              <w:rPr>
                <w:rFonts w:eastAsia="Segoe UI" w:cs="Calibri"/>
                <w:sz w:val="18"/>
                <w:szCs w:val="18"/>
              </w:rPr>
              <w:noBreakHyphen/>
              <w:t>making and public confidence. </w:t>
            </w:r>
          </w:p>
          <w:p w14:paraId="05C4978D"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61F6B10C"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Decisions are largely made through intergovernmental and operational processes with limited public visibility. </w:t>
            </w:r>
          </w:p>
          <w:p w14:paraId="4FF2F55F"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36BC1973" w14:textId="6990D5C0" w:rsidR="005316BD" w:rsidRPr="00433C02" w:rsidRDefault="000F4FEB"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b/>
                <w:sz w:val="18"/>
                <w:szCs w:val="18"/>
              </w:rPr>
              <w:t>Major</w:t>
            </w:r>
          </w:p>
          <w:p w14:paraId="692925BE"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Decision</w:t>
            </w:r>
            <w:r w:rsidRPr="00433C02">
              <w:rPr>
                <w:rFonts w:eastAsia="Segoe UI" w:cs="Calibri"/>
                <w:sz w:val="18"/>
                <w:szCs w:val="18"/>
              </w:rPr>
              <w:noBreakHyphen/>
              <w:t>making occurs largely through intergovernmental negotiation, not transparent public processes. </w:t>
            </w:r>
          </w:p>
          <w:p w14:paraId="6A99E979"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No public accountability framework for trade</w:t>
            </w:r>
            <w:r w:rsidRPr="00433C02">
              <w:rPr>
                <w:rFonts w:eastAsia="Segoe UI" w:cs="Calibri"/>
                <w:sz w:val="18"/>
                <w:szCs w:val="18"/>
              </w:rPr>
              <w:noBreakHyphen/>
              <w:t>offs between environment, energy and consumptive use exists in the Deed. </w:t>
            </w:r>
          </w:p>
          <w:p w14:paraId="2D9EC609"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Limited transparency weakens trust and heightens the risk of stakeholder contestation. </w:t>
            </w:r>
          </w:p>
        </w:tc>
      </w:tr>
      <w:tr w:rsidR="005316BD" w:rsidRPr="00433C02" w14:paraId="33E066C5" w14:textId="77777777" w:rsidTr="005316BD">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4EFEFCB4"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10: Stakeholder engagement </w:t>
            </w:r>
          </w:p>
          <w:p w14:paraId="2731745C"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2F49C7A3"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Stakeholders, including Indigenous peoples, are meaningfully engaged in governance. </w:t>
            </w:r>
          </w:p>
          <w:p w14:paraId="3C7C865E"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103B88F0"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contains no provisions for stakeholder or First Nations participation. Engagement occurs only through discretionary processes. </w:t>
            </w:r>
          </w:p>
          <w:p w14:paraId="570108EC"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lastRenderedPageBreak/>
              <w:t> </w:t>
            </w:r>
          </w:p>
        </w:tc>
        <w:tc>
          <w:tcPr>
            <w:tcW w:w="5757" w:type="dxa"/>
            <w:hideMark/>
          </w:tcPr>
          <w:p w14:paraId="5DC0263E" w14:textId="672F94D6"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lastRenderedPageBreak/>
              <w:t> </w:t>
            </w:r>
            <w:r w:rsidR="000F4FEB" w:rsidRPr="00433C02">
              <w:rPr>
                <w:rFonts w:eastAsia="Segoe UI" w:cs="Calibri"/>
                <w:b/>
                <w:sz w:val="18"/>
                <w:szCs w:val="18"/>
              </w:rPr>
              <w:t>Major</w:t>
            </w:r>
          </w:p>
          <w:p w14:paraId="2F87F091"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contains no stakeholder engagement requirements. </w:t>
            </w:r>
          </w:p>
          <w:p w14:paraId="0D24AE90"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First Nations are absent. </w:t>
            </w:r>
          </w:p>
          <w:p w14:paraId="53499384"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Community involvement occurs only through discretionary reviews and consultations, not as a governance right. </w:t>
            </w:r>
          </w:p>
          <w:p w14:paraId="48AD1A8D"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lastRenderedPageBreak/>
              <w:t>Governance lacks contemporary legitimacy and does not reflect enduring cultural and social interests. </w:t>
            </w:r>
          </w:p>
        </w:tc>
      </w:tr>
      <w:tr w:rsidR="005316BD" w:rsidRPr="00433C02" w14:paraId="380C0DEC" w14:textId="77777777" w:rsidTr="005316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42D35B59"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lastRenderedPageBreak/>
              <w:t>Principle 11: Manage trade</w:t>
            </w:r>
            <w:r w:rsidRPr="00433C02">
              <w:rPr>
                <w:rFonts w:eastAsia="Segoe UI" w:cs="Calibri"/>
                <w:sz w:val="18"/>
                <w:szCs w:val="18"/>
              </w:rPr>
              <w:noBreakHyphen/>
              <w:t>offs across users and generations </w:t>
            </w:r>
          </w:p>
          <w:p w14:paraId="41643F9F"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3DE98BE1"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Governance frameworks explicitly identify and manage trade</w:t>
            </w:r>
            <w:r w:rsidRPr="00433C02">
              <w:rPr>
                <w:rFonts w:eastAsia="Segoe UI" w:cs="Calibri"/>
                <w:sz w:val="18"/>
                <w:szCs w:val="18"/>
              </w:rPr>
              <w:noBreakHyphen/>
              <w:t>offs. </w:t>
            </w:r>
          </w:p>
          <w:p w14:paraId="43A81DC4"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238AB8AE"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Trade</w:t>
            </w:r>
            <w:r w:rsidRPr="00433C02">
              <w:rPr>
                <w:rFonts w:eastAsia="Segoe UI" w:cs="Calibri"/>
                <w:sz w:val="18"/>
                <w:szCs w:val="18"/>
              </w:rPr>
              <w:noBreakHyphen/>
              <w:t>offs between environmental flows, energy generation and downstream users are implicit and managed operationally. </w:t>
            </w:r>
          </w:p>
          <w:p w14:paraId="1BDBA1D6"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53DC522D" w14:textId="185E3FE1" w:rsidR="005316BD" w:rsidRPr="00433C02" w:rsidRDefault="000F4FEB"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b/>
                <w:sz w:val="18"/>
                <w:szCs w:val="18"/>
              </w:rPr>
              <w:t>Major</w:t>
            </w:r>
          </w:p>
          <w:p w14:paraId="46497478"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Trade</w:t>
            </w:r>
            <w:r w:rsidRPr="00433C02">
              <w:rPr>
                <w:rFonts w:eastAsia="Segoe UI" w:cs="Calibri"/>
                <w:sz w:val="18"/>
                <w:szCs w:val="18"/>
              </w:rPr>
              <w:noBreakHyphen/>
              <w:t>offs are implicit but generally unmanaged due to the rigid “set-and-forget” volumetric targets. </w:t>
            </w:r>
          </w:p>
          <w:p w14:paraId="0B05FD8F" w14:textId="3AA2663C"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No structured framework exists within the Deed to balance environmental outcomes, downstream reliability and energy security</w:t>
            </w:r>
            <w:r w:rsidR="0048706C" w:rsidRPr="00433C02">
              <w:rPr>
                <w:rFonts w:eastAsia="Segoe UI" w:cs="Calibri"/>
                <w:sz w:val="18"/>
                <w:szCs w:val="18"/>
              </w:rPr>
              <w:t>.</w:t>
            </w:r>
            <w:r w:rsidRPr="00433C02">
              <w:rPr>
                <w:rFonts w:eastAsia="Segoe UI" w:cs="Calibri"/>
                <w:sz w:val="18"/>
                <w:szCs w:val="18"/>
              </w:rPr>
              <w:t> </w:t>
            </w:r>
          </w:p>
          <w:p w14:paraId="7FDD01E1"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Modern structured</w:t>
            </w:r>
            <w:r w:rsidRPr="00433C02">
              <w:rPr>
                <w:rFonts w:eastAsia="Segoe UI" w:cs="Calibri"/>
                <w:sz w:val="18"/>
                <w:szCs w:val="18"/>
              </w:rPr>
              <w:noBreakHyphen/>
              <w:t>decision</w:t>
            </w:r>
            <w:r w:rsidRPr="00433C02">
              <w:rPr>
                <w:rFonts w:eastAsia="Segoe UI" w:cs="Calibri"/>
                <w:sz w:val="18"/>
                <w:szCs w:val="18"/>
              </w:rPr>
              <w:noBreakHyphen/>
              <w:t>making is external to the Deed. </w:t>
            </w:r>
          </w:p>
          <w:p w14:paraId="5C9E1803" w14:textId="77777777" w:rsidR="005316BD" w:rsidRPr="00433C02" w:rsidRDefault="005316BD" w:rsidP="005316BD">
            <w:pPr>
              <w:spacing w:line="300" w:lineRule="auto"/>
              <w:jc w:val="left"/>
              <w:cnfStyle w:val="000000100000" w:firstRow="0" w:lastRow="0" w:firstColumn="0" w:lastColumn="0" w:oddVBand="0" w:evenVBand="0" w:oddHBand="1" w:evenHBand="0" w:firstRowFirstColumn="0" w:firstRowLastColumn="0" w:lastRowFirstColumn="0" w:lastRowLastColumn="0"/>
              <w:rPr>
                <w:rFonts w:eastAsia="Segoe UI" w:cs="Calibri"/>
                <w:sz w:val="18"/>
                <w:szCs w:val="18"/>
              </w:rPr>
            </w:pPr>
            <w:r w:rsidRPr="00433C02">
              <w:rPr>
                <w:rFonts w:eastAsia="Segoe UI" w:cs="Calibri"/>
                <w:sz w:val="18"/>
                <w:szCs w:val="18"/>
              </w:rPr>
              <w:t>Trade</w:t>
            </w:r>
            <w:r w:rsidRPr="00433C02">
              <w:rPr>
                <w:rFonts w:eastAsia="Segoe UI" w:cs="Calibri"/>
                <w:sz w:val="18"/>
                <w:szCs w:val="18"/>
              </w:rPr>
              <w:noBreakHyphen/>
              <w:t>offs are opaque. This increases conflict and limits balanced, long</w:t>
            </w:r>
            <w:r w:rsidRPr="00433C02">
              <w:rPr>
                <w:rFonts w:eastAsia="Segoe UI" w:cs="Calibri"/>
                <w:sz w:val="18"/>
                <w:szCs w:val="18"/>
              </w:rPr>
              <w:noBreakHyphen/>
              <w:t>term decision</w:t>
            </w:r>
            <w:r w:rsidRPr="00433C02">
              <w:rPr>
                <w:rFonts w:eastAsia="Segoe UI" w:cs="Calibri"/>
                <w:sz w:val="18"/>
                <w:szCs w:val="18"/>
              </w:rPr>
              <w:noBreakHyphen/>
              <w:t>making. </w:t>
            </w:r>
          </w:p>
        </w:tc>
      </w:tr>
      <w:tr w:rsidR="005316BD" w:rsidRPr="00433C02" w14:paraId="74E4DBB6" w14:textId="77777777" w:rsidTr="005316BD">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417EE09D"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Principle 12: Monitoring, evaluation and learning </w:t>
            </w:r>
          </w:p>
          <w:p w14:paraId="3B7BC49F" w14:textId="77777777" w:rsidR="005316BD" w:rsidRPr="00433C02" w:rsidRDefault="005316BD" w:rsidP="005316BD">
            <w:pPr>
              <w:spacing w:line="300" w:lineRule="auto"/>
              <w:jc w:val="left"/>
              <w:rPr>
                <w:rFonts w:eastAsia="Segoe UI" w:cs="Calibri"/>
                <w:b w:val="0"/>
                <w:sz w:val="18"/>
                <w:szCs w:val="18"/>
              </w:rPr>
            </w:pPr>
            <w:r w:rsidRPr="00433C02">
              <w:rPr>
                <w:rFonts w:eastAsia="Segoe UI" w:cs="Calibri"/>
                <w:sz w:val="18"/>
                <w:szCs w:val="18"/>
              </w:rPr>
              <w:t> </w:t>
            </w:r>
          </w:p>
        </w:tc>
        <w:tc>
          <w:tcPr>
            <w:tcW w:w="3160" w:type="dxa"/>
            <w:hideMark/>
          </w:tcPr>
          <w:p w14:paraId="1632DC95"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Regular monitoring and review supports learning and adaptation. </w:t>
            </w:r>
          </w:p>
          <w:p w14:paraId="38450B48"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3156" w:type="dxa"/>
            <w:hideMark/>
          </w:tcPr>
          <w:p w14:paraId="4BCEAA1D"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does not mandate periodic review and was not reviewed for more than 20 years. </w:t>
            </w:r>
          </w:p>
          <w:p w14:paraId="5260F606"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 </w:t>
            </w:r>
          </w:p>
        </w:tc>
        <w:tc>
          <w:tcPr>
            <w:tcW w:w="5757" w:type="dxa"/>
            <w:hideMark/>
          </w:tcPr>
          <w:p w14:paraId="6CCB15B3" w14:textId="18E8A80A"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b/>
                <w:sz w:val="18"/>
                <w:szCs w:val="18"/>
              </w:rPr>
            </w:pPr>
            <w:r w:rsidRPr="00433C02">
              <w:rPr>
                <w:rFonts w:eastAsia="Segoe UI" w:cs="Calibri"/>
                <w:sz w:val="18"/>
                <w:szCs w:val="18"/>
              </w:rPr>
              <w:t> </w:t>
            </w:r>
            <w:r w:rsidR="000F4FEB" w:rsidRPr="00433C02">
              <w:rPr>
                <w:rFonts w:eastAsia="Segoe UI" w:cs="Calibri"/>
                <w:b/>
                <w:sz w:val="18"/>
                <w:szCs w:val="18"/>
              </w:rPr>
              <w:t>Major</w:t>
            </w:r>
          </w:p>
          <w:p w14:paraId="460C65D8" w14:textId="1E4BB462"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The Deed lacks periodic review requirements, performance indicators</w:t>
            </w:r>
            <w:r w:rsidR="003740E4">
              <w:rPr>
                <w:rFonts w:eastAsia="Segoe UI" w:cs="Calibri"/>
                <w:sz w:val="18"/>
                <w:szCs w:val="18"/>
              </w:rPr>
              <w:t>, an</w:t>
            </w:r>
            <w:r w:rsidR="003740E4" w:rsidRPr="003740E4">
              <w:rPr>
                <w:rFonts w:eastAsia="Segoe UI" w:cs="Calibri"/>
                <w:sz w:val="18"/>
                <w:szCs w:val="18"/>
              </w:rPr>
              <w:t>d a</w:t>
            </w:r>
            <w:r w:rsidRPr="003740E4">
              <w:rPr>
                <w:rFonts w:eastAsia="Segoe UI" w:cs="Calibri"/>
                <w:sz w:val="18"/>
                <w:szCs w:val="18"/>
              </w:rPr>
              <w:t>daptive</w:t>
            </w:r>
            <w:r w:rsidRPr="00433C02">
              <w:rPr>
                <w:rFonts w:eastAsia="Segoe UI" w:cs="Calibri"/>
                <w:sz w:val="18"/>
                <w:szCs w:val="18"/>
              </w:rPr>
              <w:t xml:space="preserve"> amendment pathways. </w:t>
            </w:r>
          </w:p>
          <w:p w14:paraId="64ABE602"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Learning has depended on external political triggers, not governance design. </w:t>
            </w:r>
          </w:p>
          <w:p w14:paraId="31A3D310" w14:textId="77777777" w:rsidR="005316BD" w:rsidRPr="00433C02" w:rsidRDefault="005316BD" w:rsidP="005316BD">
            <w:pPr>
              <w:spacing w:line="300" w:lineRule="auto"/>
              <w:jc w:val="left"/>
              <w:cnfStyle w:val="000000000000" w:firstRow="0" w:lastRow="0" w:firstColumn="0" w:lastColumn="0" w:oddVBand="0" w:evenVBand="0" w:oddHBand="0" w:evenHBand="0" w:firstRowFirstColumn="0" w:firstRowLastColumn="0" w:lastRowFirstColumn="0" w:lastRowLastColumn="0"/>
              <w:rPr>
                <w:rFonts w:eastAsia="Segoe UI" w:cs="Calibri"/>
                <w:sz w:val="18"/>
                <w:szCs w:val="18"/>
              </w:rPr>
            </w:pPr>
            <w:r w:rsidRPr="00433C02">
              <w:rPr>
                <w:rFonts w:eastAsia="Segoe UI" w:cs="Calibri"/>
                <w:sz w:val="18"/>
                <w:szCs w:val="18"/>
              </w:rPr>
              <w:t>Governance stagnation occurs. Emerging risks may remain unaddressed until crisis intervention is required. </w:t>
            </w:r>
          </w:p>
        </w:tc>
      </w:tr>
    </w:tbl>
    <w:p w14:paraId="049DC7ED" w14:textId="77777777" w:rsidR="005316BD" w:rsidRDefault="005316BD" w:rsidP="008402D0">
      <w:pPr>
        <w:pStyle w:val="Sub-Heading"/>
        <w:sectPr w:rsidR="005316BD" w:rsidSect="00BB44A5">
          <w:pgSz w:w="16838" w:h="11906" w:orient="landscape"/>
          <w:pgMar w:top="1440" w:right="1440" w:bottom="1440" w:left="1440" w:header="708" w:footer="708" w:gutter="0"/>
          <w:cols w:space="708"/>
          <w:titlePg/>
          <w:docGrid w:linePitch="360"/>
        </w:sectPr>
      </w:pPr>
    </w:p>
    <w:p w14:paraId="160C86D4" w14:textId="57803D1F" w:rsidR="006F3509" w:rsidRDefault="0036787D" w:rsidP="00C632FD">
      <w:pPr>
        <w:pStyle w:val="ReviewHeading3"/>
      </w:pPr>
      <w:r>
        <w:lastRenderedPageBreak/>
        <w:t xml:space="preserve">Appendix B, </w:t>
      </w:r>
      <w:r w:rsidR="00C632FD">
        <w:t>Part 4 – Future-proofing Deed reform against a potential National Water Agreement transition</w:t>
      </w:r>
    </w:p>
    <w:p w14:paraId="50A85748" w14:textId="29C51EC4" w:rsidR="00E06D07" w:rsidRPr="00D03E83" w:rsidRDefault="00382EE8" w:rsidP="00E06D07">
      <w:r>
        <w:rPr>
          <w:rFonts w:ascii="ZWAdobeF" w:hAnsi="ZWAdobeF" w:cs="ZWAdobeF"/>
          <w:sz w:val="2"/>
          <w:szCs w:val="2"/>
        </w:rPr>
        <w:t>1477B</w:t>
      </w:r>
      <w:r w:rsidR="00E06D07" w:rsidRPr="00D03E83">
        <w:t>Australia’s intergovernmental water governance framework is undergoing a deliberate transition from the 2004 NWI to a renewed National Water Agreement (NWA). This transition reflects a shared recognition by all governments that, while the NWI provided</w:t>
      </w:r>
      <w:r w:rsidR="00C90975">
        <w:t xml:space="preserve"> </w:t>
      </w:r>
      <w:r w:rsidR="00E06D07" w:rsidRPr="00D03E83">
        <w:t>a strong foundation</w:t>
      </w:r>
      <w:r w:rsidR="00C90975">
        <w:t xml:space="preserve"> </w:t>
      </w:r>
      <w:r w:rsidR="00E06D07" w:rsidRPr="00D03E83">
        <w:t>for water reform, contemporary challenges now require more adaptive, inclusive and</w:t>
      </w:r>
      <w:r w:rsidR="00C90975">
        <w:t xml:space="preserve"> </w:t>
      </w:r>
      <w:r w:rsidR="00E06D07" w:rsidRPr="00D03E83">
        <w:t>trust</w:t>
      </w:r>
      <w:r w:rsidR="00E06D07" w:rsidRPr="00D03E83">
        <w:noBreakHyphen/>
        <w:t>based</w:t>
      </w:r>
      <w:r w:rsidR="00C90975">
        <w:t xml:space="preserve"> </w:t>
      </w:r>
      <w:r w:rsidR="00E06D07" w:rsidRPr="00D03E83">
        <w:t>governance arrangements.</w:t>
      </w:r>
    </w:p>
    <w:p w14:paraId="6529498F" w14:textId="70B9FA52" w:rsidR="00E06D07" w:rsidRPr="00D03E83" w:rsidRDefault="00382EE8" w:rsidP="00E06D07">
      <w:r>
        <w:rPr>
          <w:rFonts w:ascii="ZWAdobeF" w:hAnsi="ZWAdobeF" w:cs="ZWAdobeF"/>
          <w:sz w:val="2"/>
          <w:szCs w:val="2"/>
        </w:rPr>
        <w:t>1478B</w:t>
      </w:r>
      <w:r w:rsidR="00E06D07" w:rsidRPr="00D03E83">
        <w:t>The emerging NWA strengthens and modernises national expectations in key areas, including: </w:t>
      </w:r>
    </w:p>
    <w:p w14:paraId="7BF7DC12" w14:textId="42A28AF7" w:rsidR="00E06D07" w:rsidRPr="00D03E83" w:rsidRDefault="00382EE8" w:rsidP="00115BD6">
      <w:pPr>
        <w:pStyle w:val="ListParagraph"/>
        <w:numPr>
          <w:ilvl w:val="0"/>
          <w:numId w:val="55"/>
        </w:numPr>
      </w:pPr>
      <w:r>
        <w:rPr>
          <w:rFonts w:ascii="ZWAdobeF" w:hAnsi="ZWAdobeF" w:cs="ZWAdobeF"/>
          <w:sz w:val="2"/>
          <w:szCs w:val="2"/>
        </w:rPr>
        <w:t>481B</w:t>
      </w:r>
      <w:r w:rsidR="00E06D07" w:rsidRPr="00D03E83">
        <w:t>climate</w:t>
      </w:r>
      <w:r w:rsidR="00E06D07" w:rsidRPr="00D03E83">
        <w:noBreakHyphen/>
        <w:t>resilient water management </w:t>
      </w:r>
    </w:p>
    <w:p w14:paraId="6EC298AB" w14:textId="04AED809" w:rsidR="00E06D07" w:rsidRPr="00D03E83" w:rsidRDefault="00382EE8" w:rsidP="00115BD6">
      <w:pPr>
        <w:pStyle w:val="ListParagraph"/>
        <w:numPr>
          <w:ilvl w:val="0"/>
          <w:numId w:val="55"/>
        </w:numPr>
      </w:pPr>
      <w:r>
        <w:rPr>
          <w:rFonts w:ascii="ZWAdobeF" w:hAnsi="ZWAdobeF" w:cs="ZWAdobeF"/>
          <w:sz w:val="2"/>
          <w:szCs w:val="2"/>
        </w:rPr>
        <w:t>482B</w:t>
      </w:r>
      <w:r w:rsidR="00E06D07" w:rsidRPr="00D03E83">
        <w:t>meaningful First Nations participation in water governance</w:t>
      </w:r>
    </w:p>
    <w:p w14:paraId="3A67DB52" w14:textId="1BFE4522" w:rsidR="00E06D07" w:rsidRPr="00D03E83" w:rsidRDefault="00382EE8" w:rsidP="00115BD6">
      <w:pPr>
        <w:pStyle w:val="ListParagraph"/>
        <w:numPr>
          <w:ilvl w:val="0"/>
          <w:numId w:val="55"/>
        </w:numPr>
      </w:pPr>
      <w:r>
        <w:rPr>
          <w:rFonts w:ascii="ZWAdobeF" w:hAnsi="ZWAdobeF" w:cs="ZWAdobeF"/>
          <w:sz w:val="2"/>
          <w:szCs w:val="2"/>
        </w:rPr>
        <w:t>483B</w:t>
      </w:r>
      <w:r w:rsidR="00E06D07" w:rsidRPr="00D03E83">
        <w:t>clearer accountability for environmental outcomes </w:t>
      </w:r>
    </w:p>
    <w:p w14:paraId="3D55B4BA" w14:textId="4913E9D4" w:rsidR="00E06D07" w:rsidRPr="00D03E83" w:rsidRDefault="00382EE8" w:rsidP="00115BD6">
      <w:pPr>
        <w:pStyle w:val="ListParagraph"/>
        <w:numPr>
          <w:ilvl w:val="0"/>
          <w:numId w:val="55"/>
        </w:numPr>
      </w:pPr>
      <w:r>
        <w:rPr>
          <w:rFonts w:ascii="ZWAdobeF" w:hAnsi="ZWAdobeF" w:cs="ZWAdobeF"/>
          <w:sz w:val="2"/>
          <w:szCs w:val="2"/>
        </w:rPr>
        <w:t>484B</w:t>
      </w:r>
      <w:r w:rsidR="00E06D07" w:rsidRPr="00D03E83">
        <w:t>transparency to rebuild public trust in water decision</w:t>
      </w:r>
      <w:r w:rsidR="00E06D07" w:rsidRPr="00D03E83">
        <w:noBreakHyphen/>
        <w:t>making. </w:t>
      </w:r>
    </w:p>
    <w:p w14:paraId="1C03188B" w14:textId="08914BC1" w:rsidR="00E06D07" w:rsidRPr="00D03E83" w:rsidRDefault="00382EE8" w:rsidP="00E06D07">
      <w:r>
        <w:rPr>
          <w:rFonts w:ascii="ZWAdobeF" w:hAnsi="ZWAdobeF" w:cs="ZWAdobeF"/>
          <w:sz w:val="2"/>
          <w:szCs w:val="2"/>
        </w:rPr>
        <w:t>1479B</w:t>
      </w:r>
      <w:r w:rsidR="00E06D07" w:rsidRPr="00D03E83">
        <w:t>Within this national context, the Panel considers it both</w:t>
      </w:r>
      <w:r w:rsidR="00EE4B1A">
        <w:t xml:space="preserve"> </w:t>
      </w:r>
      <w:r w:rsidR="00E06D07" w:rsidRPr="00D03E83">
        <w:t>timely</w:t>
      </w:r>
      <w:r w:rsidR="00EE4B1A">
        <w:t xml:space="preserve"> </w:t>
      </w:r>
      <w:r w:rsidR="00E06D07" w:rsidRPr="00D03E83">
        <w:t>and necessary that</w:t>
      </w:r>
      <w:r w:rsidR="00EE4B1A">
        <w:t xml:space="preserve"> </w:t>
      </w:r>
      <w:r w:rsidR="00E06D07" w:rsidRPr="00D03E83">
        <w:t>long</w:t>
      </w:r>
      <w:r w:rsidR="00E06D07" w:rsidRPr="00D03E83">
        <w:noBreakHyphen/>
        <w:t>standing</w:t>
      </w:r>
      <w:r w:rsidR="00EE4B1A">
        <w:t xml:space="preserve"> </w:t>
      </w:r>
      <w:r w:rsidR="00E06D07" w:rsidRPr="00D03E83">
        <w:t>intergovernmental arrangements such as the Deed be assessed and</w:t>
      </w:r>
      <w:r w:rsidR="00EE4B1A">
        <w:t xml:space="preserve"> </w:t>
      </w:r>
      <w:r w:rsidR="00E06D07" w:rsidRPr="00D03E83">
        <w:t>re</w:t>
      </w:r>
      <w:r w:rsidR="00E06D07" w:rsidRPr="00D03E83">
        <w:noBreakHyphen/>
        <w:t>designed</w:t>
      </w:r>
      <w:r w:rsidR="00EE4B1A">
        <w:t xml:space="preserve"> </w:t>
      </w:r>
      <w:r w:rsidR="00E06D07" w:rsidRPr="00D03E83">
        <w:t>for consistency with the NWA</w:t>
      </w:r>
      <w:r w:rsidR="007E5F8D">
        <w:t>.</w:t>
      </w:r>
    </w:p>
    <w:p w14:paraId="3DD13F39" w14:textId="624EEAC4" w:rsidR="00E06D07" w:rsidRPr="00D03E83" w:rsidRDefault="00382EE8" w:rsidP="00E06D07">
      <w:r>
        <w:rPr>
          <w:rFonts w:ascii="ZWAdobeF" w:hAnsi="ZWAdobeF" w:cs="ZWAdobeF"/>
          <w:sz w:val="2"/>
          <w:szCs w:val="2"/>
        </w:rPr>
        <w:t>1480B</w:t>
      </w:r>
      <w:r w:rsidR="00E06D07" w:rsidRPr="00D03E83">
        <w:t>The Panel’s analysis</w:t>
      </w:r>
      <w:r w:rsidR="00D90DBE">
        <w:t xml:space="preserve"> </w:t>
      </w:r>
      <w:r w:rsidR="00E06D07" w:rsidRPr="00D03E83">
        <w:t>demonstrates</w:t>
      </w:r>
      <w:r w:rsidR="00D90DBE">
        <w:t xml:space="preserve"> </w:t>
      </w:r>
      <w:r w:rsidR="00E06D07" w:rsidRPr="00D03E83">
        <w:t>that, in its current form, the Deed is no longer aligned with nationally agreed</w:t>
      </w:r>
      <w:r w:rsidR="00D90DBE">
        <w:t xml:space="preserve"> </w:t>
      </w:r>
      <w:r w:rsidR="00E06D07" w:rsidRPr="00D03E83">
        <w:t>water</w:t>
      </w:r>
      <w:r w:rsidR="00E06D07" w:rsidRPr="00D03E83">
        <w:noBreakHyphen/>
        <w:t>governance</w:t>
      </w:r>
      <w:r w:rsidR="00D90DBE">
        <w:t xml:space="preserve"> </w:t>
      </w:r>
      <w:r w:rsidR="00E06D07" w:rsidRPr="00D03E83">
        <w:t>principles, including those embedded in both the NWI and the emerging NWA. This misalignment has become increasingly pronounced as national policy has evolved. </w:t>
      </w:r>
    </w:p>
    <w:p w14:paraId="1F73466D" w14:textId="0C8841BF" w:rsidR="00E06D07" w:rsidRPr="00D03E83" w:rsidRDefault="00382EE8" w:rsidP="00E06D07">
      <w:r>
        <w:rPr>
          <w:rFonts w:ascii="ZWAdobeF" w:hAnsi="ZWAdobeF" w:cs="ZWAdobeF"/>
          <w:sz w:val="2"/>
          <w:szCs w:val="2"/>
        </w:rPr>
        <w:t>1481B</w:t>
      </w:r>
      <w:r w:rsidR="00E06D07" w:rsidRPr="00D03E83">
        <w:t>Importantly, this divergence is structural rather than administrative. It cannot be resolved through minor amendments or improved cooperation but</w:t>
      </w:r>
      <w:r w:rsidR="0083232A">
        <w:t xml:space="preserve"> </w:t>
      </w:r>
      <w:r w:rsidR="00E06D07" w:rsidRPr="00D03E83">
        <w:t>requires substantive reform of the underlying governance framework. </w:t>
      </w:r>
    </w:p>
    <w:p w14:paraId="4A7DE16F" w14:textId="7C8B7158" w:rsidR="00E06D07" w:rsidRPr="00D03E83" w:rsidRDefault="00382EE8" w:rsidP="00E06D07">
      <w:r>
        <w:rPr>
          <w:rFonts w:ascii="ZWAdobeF" w:hAnsi="ZWAdobeF" w:cs="ZWAdobeF"/>
          <w:sz w:val="2"/>
          <w:szCs w:val="2"/>
        </w:rPr>
        <w:t>1482B</w:t>
      </w:r>
      <w:r w:rsidR="00E06D07" w:rsidRPr="00D03E83">
        <w:t xml:space="preserve">The Panel considers that reform of the SWIOID should be understood not as a departure from national water policy, but as a necessary step in giving effect to it. </w:t>
      </w:r>
    </w:p>
    <w:p w14:paraId="5A3E4E4B" w14:textId="400E381C" w:rsidR="00E06D07" w:rsidRPr="00D03E83" w:rsidRDefault="00382EE8" w:rsidP="00E06D07">
      <w:r>
        <w:rPr>
          <w:rFonts w:ascii="ZWAdobeF" w:hAnsi="ZWAdobeF" w:cs="ZWAdobeF"/>
          <w:sz w:val="2"/>
          <w:szCs w:val="2"/>
        </w:rPr>
        <w:t>1483B</w:t>
      </w:r>
      <w:r w:rsidR="00E06D07" w:rsidRPr="00D03E83">
        <w:t>A replacement intergovernmental arrangement for the Snowy–Upper Murrumbidgee system would: </w:t>
      </w:r>
    </w:p>
    <w:p w14:paraId="234E6D76" w14:textId="3E5AE4F4" w:rsidR="00E06D07" w:rsidRPr="00D03E83" w:rsidRDefault="00382EE8" w:rsidP="00115BD6">
      <w:pPr>
        <w:pStyle w:val="ListParagraph"/>
        <w:numPr>
          <w:ilvl w:val="0"/>
          <w:numId w:val="56"/>
        </w:numPr>
      </w:pPr>
      <w:r>
        <w:rPr>
          <w:rFonts w:ascii="ZWAdobeF" w:hAnsi="ZWAdobeF" w:cs="ZWAdobeF"/>
          <w:sz w:val="2"/>
          <w:szCs w:val="2"/>
        </w:rPr>
        <w:t>485B</w:t>
      </w:r>
      <w:r w:rsidR="00E06D07" w:rsidRPr="00D03E83">
        <w:t>align Snowy governance with the principles, expectations and language of the NWA </w:t>
      </w:r>
    </w:p>
    <w:p w14:paraId="12CA1605" w14:textId="20B44229" w:rsidR="00E06D07" w:rsidRPr="00D03E83" w:rsidRDefault="00382EE8" w:rsidP="00115BD6">
      <w:pPr>
        <w:pStyle w:val="ListParagraph"/>
        <w:numPr>
          <w:ilvl w:val="0"/>
          <w:numId w:val="56"/>
        </w:numPr>
      </w:pPr>
      <w:r>
        <w:rPr>
          <w:rFonts w:ascii="ZWAdobeF" w:hAnsi="ZWAdobeF" w:cs="ZWAdobeF"/>
          <w:sz w:val="2"/>
          <w:szCs w:val="2"/>
        </w:rPr>
        <w:t>486B</w:t>
      </w:r>
      <w:r w:rsidR="00E06D07" w:rsidRPr="00D03E83">
        <w:t>restore coherence between Snowy governance and other nationally significant water regimes </w:t>
      </w:r>
    </w:p>
    <w:p w14:paraId="6DBB8299" w14:textId="69F2BFC8" w:rsidR="00E06D07" w:rsidRPr="00D03E83" w:rsidRDefault="00382EE8" w:rsidP="00115BD6">
      <w:pPr>
        <w:pStyle w:val="ListParagraph"/>
        <w:numPr>
          <w:ilvl w:val="0"/>
          <w:numId w:val="56"/>
        </w:numPr>
      </w:pPr>
      <w:r>
        <w:rPr>
          <w:rFonts w:ascii="ZWAdobeF" w:hAnsi="ZWAdobeF" w:cs="ZWAdobeF"/>
          <w:sz w:val="2"/>
          <w:szCs w:val="2"/>
        </w:rPr>
        <w:t>487B</w:t>
      </w:r>
      <w:r w:rsidR="00E06D07" w:rsidRPr="00D03E83">
        <w:t>ensure that the Snowy Scheme, as a nationally important water and energy asset, is governed to standards consistent with contemporary practice. </w:t>
      </w:r>
    </w:p>
    <w:p w14:paraId="60236C94" w14:textId="64E2C029" w:rsidR="00E06D07" w:rsidRPr="00D03E83" w:rsidRDefault="00382EE8" w:rsidP="00E06D07">
      <w:r>
        <w:rPr>
          <w:rFonts w:ascii="ZWAdobeF" w:hAnsi="ZWAdobeF" w:cs="ZWAdobeF"/>
          <w:sz w:val="2"/>
          <w:szCs w:val="2"/>
        </w:rPr>
        <w:t>1484B</w:t>
      </w:r>
      <w:r w:rsidR="00E06D07" w:rsidRPr="00D03E83">
        <w:t xml:space="preserve">In this regard, </w:t>
      </w:r>
      <w:r w:rsidR="00623A29">
        <w:t>Deed</w:t>
      </w:r>
      <w:r w:rsidR="00623A29" w:rsidRPr="00D03E83">
        <w:t xml:space="preserve"> </w:t>
      </w:r>
      <w:r w:rsidR="00E06D07" w:rsidRPr="00D03E83">
        <w:t>reform should be viewed as part of the NWA transition, rather than a bespoke or exceptional process. </w:t>
      </w:r>
    </w:p>
    <w:p w14:paraId="4A0948C6" w14:textId="3AC2F94D" w:rsidR="00E06D07" w:rsidRPr="00D03E83" w:rsidRDefault="00382EE8" w:rsidP="00E06D07">
      <w:r>
        <w:rPr>
          <w:rFonts w:ascii="ZWAdobeF" w:hAnsi="ZWAdobeF" w:cs="ZWAdobeF"/>
          <w:sz w:val="2"/>
          <w:szCs w:val="2"/>
        </w:rPr>
        <w:t>1485B</w:t>
      </w:r>
      <w:r w:rsidR="00E06D07" w:rsidRPr="00D03E83">
        <w:t>In conceptual terms, the governance redesign recommended by the Panel gives practical effect to the direction of the NWA by: </w:t>
      </w:r>
    </w:p>
    <w:p w14:paraId="6139BA0E" w14:textId="431FEC8F" w:rsidR="00E06D07" w:rsidRPr="00D03E83" w:rsidRDefault="00382EE8" w:rsidP="00115BD6">
      <w:pPr>
        <w:pStyle w:val="ListParagraph"/>
        <w:numPr>
          <w:ilvl w:val="0"/>
          <w:numId w:val="57"/>
        </w:numPr>
      </w:pPr>
      <w:r>
        <w:rPr>
          <w:rFonts w:ascii="ZWAdobeF" w:hAnsi="ZWAdobeF" w:cs="ZWAdobeF"/>
          <w:sz w:val="2"/>
          <w:szCs w:val="2"/>
        </w:rPr>
        <w:t>488B</w:t>
      </w:r>
      <w:r w:rsidR="005723BC">
        <w:t>e</w:t>
      </w:r>
      <w:r w:rsidR="00E06D07" w:rsidRPr="00D03E83">
        <w:t>mbedding climate resilience, through adaptive management and scheduled review cycles </w:t>
      </w:r>
    </w:p>
    <w:p w14:paraId="7EA39B06" w14:textId="2B0D9528" w:rsidR="00E06D07" w:rsidRPr="00D03E83" w:rsidRDefault="00382EE8" w:rsidP="00115BD6">
      <w:pPr>
        <w:pStyle w:val="ListParagraph"/>
        <w:numPr>
          <w:ilvl w:val="0"/>
          <w:numId w:val="57"/>
        </w:numPr>
      </w:pPr>
      <w:r>
        <w:rPr>
          <w:rFonts w:ascii="ZWAdobeF" w:hAnsi="ZWAdobeF" w:cs="ZWAdobeF"/>
          <w:sz w:val="2"/>
          <w:szCs w:val="2"/>
        </w:rPr>
        <w:lastRenderedPageBreak/>
        <w:t>489B</w:t>
      </w:r>
      <w:r w:rsidR="005723BC">
        <w:t>s</w:t>
      </w:r>
      <w:r w:rsidR="00E06D07" w:rsidRPr="00D03E83">
        <w:t>trengthening First Nations water governance, moving from consultation to structured participation </w:t>
      </w:r>
    </w:p>
    <w:p w14:paraId="657F439E" w14:textId="5370D7A4" w:rsidR="00E06D07" w:rsidRPr="00D03E83" w:rsidRDefault="00382EE8" w:rsidP="00115BD6">
      <w:pPr>
        <w:pStyle w:val="ListParagraph"/>
        <w:numPr>
          <w:ilvl w:val="0"/>
          <w:numId w:val="57"/>
        </w:numPr>
      </w:pPr>
      <w:r>
        <w:rPr>
          <w:rFonts w:ascii="ZWAdobeF" w:hAnsi="ZWAdobeF" w:cs="ZWAdobeF"/>
          <w:sz w:val="2"/>
          <w:szCs w:val="2"/>
        </w:rPr>
        <w:t>490B</w:t>
      </w:r>
      <w:r w:rsidR="005723BC">
        <w:t>c</w:t>
      </w:r>
      <w:r w:rsidR="00E06D07" w:rsidRPr="00D03E83">
        <w:t>larifying roles and accountabilities, particularly where environmental</w:t>
      </w:r>
      <w:r w:rsidR="005723BC">
        <w:t xml:space="preserve"> </w:t>
      </w:r>
      <w:r w:rsidR="00E06D07" w:rsidRPr="00D03E83">
        <w:t>objectives</w:t>
      </w:r>
      <w:r w:rsidR="005723BC">
        <w:t xml:space="preserve"> </w:t>
      </w:r>
      <w:r w:rsidR="00E06D07" w:rsidRPr="00D03E83">
        <w:t>intersect with energy operations </w:t>
      </w:r>
    </w:p>
    <w:p w14:paraId="5E51E9C6" w14:textId="24AE72A5" w:rsidR="00E06D07" w:rsidRPr="00D03E83" w:rsidRDefault="00382EE8" w:rsidP="00115BD6">
      <w:pPr>
        <w:pStyle w:val="ListParagraph"/>
        <w:numPr>
          <w:ilvl w:val="0"/>
          <w:numId w:val="57"/>
        </w:numPr>
      </w:pPr>
      <w:r>
        <w:rPr>
          <w:rFonts w:ascii="ZWAdobeF" w:hAnsi="ZWAdobeF" w:cs="ZWAdobeF"/>
          <w:sz w:val="2"/>
          <w:szCs w:val="2"/>
        </w:rPr>
        <w:t>491B</w:t>
      </w:r>
      <w:r w:rsidR="004C5F7C">
        <w:t>i</w:t>
      </w:r>
      <w:r w:rsidR="00E06D07" w:rsidRPr="00D03E83">
        <w:t>mproving transparency and trust, through explicit documentation of</w:t>
      </w:r>
      <w:r w:rsidR="004C5F7C">
        <w:t xml:space="preserve"> </w:t>
      </w:r>
      <w:r w:rsidR="00E06D07" w:rsidRPr="00D03E83">
        <w:t>trade</w:t>
      </w:r>
      <w:r w:rsidR="00E06D07" w:rsidRPr="00D03E83">
        <w:noBreakHyphen/>
        <w:t>offs</w:t>
      </w:r>
      <w:r w:rsidR="004C5F7C">
        <w:t xml:space="preserve"> </w:t>
      </w:r>
      <w:r w:rsidR="00E06D07" w:rsidRPr="00D03E83">
        <w:t>and independent audit</w:t>
      </w:r>
    </w:p>
    <w:p w14:paraId="078247EB" w14:textId="5E169DBE" w:rsidR="00E06D07" w:rsidRPr="00D03E83" w:rsidRDefault="00382EE8" w:rsidP="00115BD6">
      <w:pPr>
        <w:pStyle w:val="ListParagraph"/>
        <w:numPr>
          <w:ilvl w:val="0"/>
          <w:numId w:val="57"/>
        </w:numPr>
      </w:pPr>
      <w:r>
        <w:rPr>
          <w:rFonts w:ascii="ZWAdobeF" w:hAnsi="ZWAdobeF" w:cs="ZWAdobeF"/>
          <w:sz w:val="2"/>
          <w:szCs w:val="2"/>
        </w:rPr>
        <w:t>492B</w:t>
      </w:r>
      <w:r w:rsidR="00B87D7A">
        <w:t>a</w:t>
      </w:r>
      <w:r w:rsidR="00E06D07" w:rsidRPr="00D03E83">
        <w:t xml:space="preserve">ligning governance with hydrology, </w:t>
      </w:r>
      <w:r w:rsidR="00020D7F">
        <w:t>through the</w:t>
      </w:r>
      <w:r w:rsidR="00E06D07" w:rsidRPr="00D03E83">
        <w:t xml:space="preserve"> inclusion of the ACT </w:t>
      </w:r>
    </w:p>
    <w:p w14:paraId="2C0DC6EF" w14:textId="6427989D" w:rsidR="00E06D07" w:rsidRPr="00A548B8" w:rsidRDefault="00382EE8" w:rsidP="00115BD6">
      <w:pPr>
        <w:pStyle w:val="ListParagraph"/>
        <w:numPr>
          <w:ilvl w:val="0"/>
          <w:numId w:val="57"/>
        </w:numPr>
      </w:pPr>
      <w:r>
        <w:rPr>
          <w:rFonts w:ascii="ZWAdobeF" w:hAnsi="ZWAdobeF" w:cs="ZWAdobeF"/>
          <w:sz w:val="2"/>
          <w:szCs w:val="2"/>
        </w:rPr>
        <w:t>493B</w:t>
      </w:r>
      <w:r w:rsidR="00E06D07" w:rsidRPr="00A548B8">
        <w:t>Independent monitoring,</w:t>
      </w:r>
      <w:r w:rsidR="00561CD2">
        <w:t xml:space="preserve"> </w:t>
      </w:r>
      <w:r w:rsidR="00E06D07" w:rsidRPr="00A548B8">
        <w:t>audit</w:t>
      </w:r>
      <w:r w:rsidR="00561CD2">
        <w:t xml:space="preserve"> </w:t>
      </w:r>
      <w:r w:rsidR="00E06D07" w:rsidRPr="00A548B8">
        <w:t>and</w:t>
      </w:r>
      <w:r w:rsidR="00561CD2">
        <w:t xml:space="preserve"> </w:t>
      </w:r>
      <w:r w:rsidR="00E06D07" w:rsidRPr="00A548B8">
        <w:t>regular review, all publicly</w:t>
      </w:r>
      <w:r w:rsidR="006D06B5">
        <w:t xml:space="preserve"> </w:t>
      </w:r>
      <w:r w:rsidR="00E06D07" w:rsidRPr="00A548B8">
        <w:t>reported</w:t>
      </w:r>
      <w:r w:rsidR="006D06B5">
        <w:t>.</w:t>
      </w:r>
      <w:r w:rsidR="00E06D07" w:rsidRPr="00A548B8">
        <w:t> </w:t>
      </w:r>
    </w:p>
    <w:p w14:paraId="2C76D853" w14:textId="51D143EC" w:rsidR="00E06D07" w:rsidRPr="00D03E83" w:rsidRDefault="00382EE8" w:rsidP="00E06D07">
      <w:r>
        <w:rPr>
          <w:rFonts w:ascii="ZWAdobeF" w:hAnsi="ZWAdobeF" w:cs="ZWAdobeF"/>
          <w:sz w:val="2"/>
          <w:szCs w:val="2"/>
        </w:rPr>
        <w:t>1486B</w:t>
      </w:r>
      <w:r w:rsidR="00E06D07" w:rsidRPr="00D03E83">
        <w:t>These elements are not additions to national water reform; they are expressions of it, tailored to the specific context of the Snowy Scheme. </w:t>
      </w:r>
    </w:p>
    <w:p w14:paraId="6655BF11" w14:textId="65D259F0" w:rsidR="00E06D07" w:rsidRPr="00D03E83" w:rsidRDefault="00382EE8" w:rsidP="00E06D07">
      <w:r>
        <w:rPr>
          <w:rFonts w:ascii="ZWAdobeF" w:hAnsi="ZWAdobeF" w:cs="ZWAdobeF"/>
          <w:sz w:val="2"/>
          <w:szCs w:val="2"/>
        </w:rPr>
        <w:t>1487B</w:t>
      </w:r>
      <w:r w:rsidR="00E06D07" w:rsidRPr="00D03E83">
        <w:t xml:space="preserve">The Panel considers that retaining the </w:t>
      </w:r>
      <w:r w:rsidR="00B53CE3">
        <w:t>Deed</w:t>
      </w:r>
      <w:r w:rsidR="00B53CE3" w:rsidRPr="00D03E83">
        <w:t xml:space="preserve"> </w:t>
      </w:r>
      <w:r w:rsidR="00E06D07" w:rsidRPr="00D03E83">
        <w:t>in its current form would create an increasing governance anomaly as the NWA is implemented across jurisdictions. </w:t>
      </w:r>
    </w:p>
    <w:p w14:paraId="652A4191" w14:textId="06CC4727" w:rsidR="00E06D07" w:rsidRPr="00D03E83" w:rsidRDefault="00382EE8" w:rsidP="00E06D07">
      <w:r>
        <w:rPr>
          <w:rFonts w:ascii="ZWAdobeF" w:hAnsi="ZWAdobeF" w:cs="ZWAdobeF"/>
          <w:sz w:val="2"/>
          <w:szCs w:val="2"/>
        </w:rPr>
        <w:t>1488B</w:t>
      </w:r>
      <w:r w:rsidR="00E06D07" w:rsidRPr="00D03E83">
        <w:t>Specifically, failure to reform would risk: </w:t>
      </w:r>
    </w:p>
    <w:p w14:paraId="21223DA8" w14:textId="6FE6DD7F" w:rsidR="00E06D07" w:rsidRPr="00D03E83" w:rsidRDefault="00382EE8" w:rsidP="00115BD6">
      <w:pPr>
        <w:pStyle w:val="ListParagraph"/>
        <w:numPr>
          <w:ilvl w:val="0"/>
          <w:numId w:val="58"/>
        </w:numPr>
      </w:pPr>
      <w:r>
        <w:rPr>
          <w:rFonts w:ascii="ZWAdobeF" w:hAnsi="ZWAdobeF" w:cs="ZWAdobeF"/>
          <w:sz w:val="2"/>
          <w:szCs w:val="2"/>
        </w:rPr>
        <w:t>494B</w:t>
      </w:r>
      <w:r w:rsidR="00E06D07" w:rsidRPr="00D03E83">
        <w:t>entrenching arrangements that are inconsistent with nationally agreed principles </w:t>
      </w:r>
    </w:p>
    <w:p w14:paraId="39A428AE" w14:textId="36EAFC89" w:rsidR="00E06D07" w:rsidRPr="00D03E83" w:rsidRDefault="00382EE8" w:rsidP="00115BD6">
      <w:pPr>
        <w:pStyle w:val="ListParagraph"/>
        <w:numPr>
          <w:ilvl w:val="0"/>
          <w:numId w:val="58"/>
        </w:numPr>
      </w:pPr>
      <w:r>
        <w:rPr>
          <w:rFonts w:ascii="ZWAdobeF" w:hAnsi="ZWAdobeF" w:cs="ZWAdobeF"/>
          <w:sz w:val="2"/>
          <w:szCs w:val="2"/>
        </w:rPr>
        <w:t>495B</w:t>
      </w:r>
      <w:r w:rsidR="00E06D07" w:rsidRPr="00D03E83">
        <w:t>undermining confidence in the application of the NWA to large, complex systems </w:t>
      </w:r>
    </w:p>
    <w:p w14:paraId="69B95C19" w14:textId="149F1B67" w:rsidR="00E06D07" w:rsidRPr="00D03E83" w:rsidRDefault="00382EE8" w:rsidP="00115BD6">
      <w:pPr>
        <w:pStyle w:val="ListParagraph"/>
        <w:numPr>
          <w:ilvl w:val="0"/>
          <w:numId w:val="58"/>
        </w:numPr>
      </w:pPr>
      <w:r>
        <w:rPr>
          <w:rFonts w:ascii="ZWAdobeF" w:hAnsi="ZWAdobeF" w:cs="ZWAdobeF"/>
          <w:sz w:val="2"/>
          <w:szCs w:val="2"/>
        </w:rPr>
        <w:t>496B</w:t>
      </w:r>
      <w:r w:rsidR="00E06D07" w:rsidRPr="00D03E83">
        <w:t>perpetuating governance gaps relating to climate change,</w:t>
      </w:r>
      <w:r w:rsidR="00035681">
        <w:t xml:space="preserve"> </w:t>
      </w:r>
      <w:r w:rsidR="00E06D07" w:rsidRPr="00D03E83">
        <w:t>transparency</w:t>
      </w:r>
      <w:r w:rsidR="00035681">
        <w:t xml:space="preserve"> </w:t>
      </w:r>
      <w:r w:rsidR="00E06D07" w:rsidRPr="00D03E83">
        <w:t>and First Nations inclusion </w:t>
      </w:r>
    </w:p>
    <w:p w14:paraId="070F1077" w14:textId="6E357A3B" w:rsidR="00E06D07" w:rsidRPr="00D03E83" w:rsidRDefault="00382EE8" w:rsidP="00115BD6">
      <w:pPr>
        <w:pStyle w:val="ListParagraph"/>
        <w:numPr>
          <w:ilvl w:val="0"/>
          <w:numId w:val="58"/>
        </w:numPr>
      </w:pPr>
      <w:r>
        <w:rPr>
          <w:rFonts w:ascii="ZWAdobeF" w:hAnsi="ZWAdobeF" w:cs="ZWAdobeF"/>
          <w:sz w:val="2"/>
          <w:szCs w:val="2"/>
        </w:rPr>
        <w:t>497B</w:t>
      </w:r>
      <w:r w:rsidR="00E06D07" w:rsidRPr="00D03E83">
        <w:t>increasing the likelihood of future, more disruptive intervention driven by crisis rather than design. </w:t>
      </w:r>
    </w:p>
    <w:p w14:paraId="15B15956" w14:textId="3FD8760C" w:rsidR="00E06D07" w:rsidRDefault="00382EE8" w:rsidP="00E06D07">
      <w:r>
        <w:rPr>
          <w:rFonts w:ascii="ZWAdobeF" w:hAnsi="ZWAdobeF" w:cs="ZWAdobeF"/>
          <w:sz w:val="2"/>
          <w:szCs w:val="2"/>
        </w:rPr>
        <w:t>1489B</w:t>
      </w:r>
      <w:r w:rsidR="00E06D07" w:rsidRPr="00D03E83">
        <w:t>In this context, non</w:t>
      </w:r>
      <w:r w:rsidR="00E06D07" w:rsidRPr="00D03E83">
        <w:noBreakHyphen/>
        <w:t>reform carries greater long</w:t>
      </w:r>
      <w:r w:rsidR="00E06D07" w:rsidRPr="00D03E83">
        <w:noBreakHyphen/>
        <w:t>term risk than reform. </w:t>
      </w:r>
    </w:p>
    <w:p w14:paraId="7A4133D3" w14:textId="643448D7" w:rsidR="00E06D07" w:rsidRDefault="00E06D07">
      <w:pPr>
        <w:jc w:val="left"/>
        <w:rPr>
          <w:rFonts w:asciiTheme="majorHAnsi" w:eastAsiaTheme="majorEastAsia" w:hAnsiTheme="majorHAnsi" w:cstheme="majorBidi"/>
          <w:color w:val="000099"/>
          <w:sz w:val="32"/>
          <w:szCs w:val="32"/>
        </w:rPr>
      </w:pPr>
      <w:r>
        <w:br w:type="page"/>
      </w:r>
    </w:p>
    <w:p w14:paraId="44DB4017" w14:textId="5D2AC182" w:rsidR="00C632FD" w:rsidRDefault="0036787D" w:rsidP="00C632FD">
      <w:pPr>
        <w:pStyle w:val="ReviewHeading3"/>
      </w:pPr>
      <w:r>
        <w:lastRenderedPageBreak/>
        <w:t xml:space="preserve">Appendix B, </w:t>
      </w:r>
      <w:r w:rsidR="00E06D07">
        <w:t>Part 5 – Panel conclusions: governance</w:t>
      </w:r>
      <w:r w:rsidR="00B55517">
        <w:t xml:space="preserve"> reform is necessary</w:t>
      </w:r>
    </w:p>
    <w:p w14:paraId="27722143" w14:textId="2A5CA952" w:rsidR="003C1704" w:rsidRPr="00D03E83" w:rsidRDefault="00382EE8" w:rsidP="003C1704">
      <w:r>
        <w:rPr>
          <w:rFonts w:ascii="ZWAdobeF" w:hAnsi="ZWAdobeF" w:cs="ZWAdobeF"/>
          <w:sz w:val="2"/>
          <w:szCs w:val="2"/>
        </w:rPr>
        <w:t>1490B</w:t>
      </w:r>
      <w:r w:rsidR="003C1704" w:rsidRPr="00D03E83">
        <w:t>Taken together, </w:t>
      </w:r>
      <w:r w:rsidR="003C1704" w:rsidRPr="00456B24">
        <w:rPr>
          <w:b/>
          <w:bCs/>
        </w:rPr>
        <w:t>Tables</w:t>
      </w:r>
      <w:r w:rsidR="003C1704" w:rsidRPr="00456B24">
        <w:rPr>
          <w:rFonts w:ascii="Arial" w:hAnsi="Arial" w:cs="Arial"/>
          <w:b/>
          <w:bCs/>
        </w:rPr>
        <w:t> </w:t>
      </w:r>
      <w:r w:rsidR="003C1704" w:rsidRPr="00456B24">
        <w:rPr>
          <w:b/>
          <w:bCs/>
        </w:rPr>
        <w:t>1,</w:t>
      </w:r>
      <w:r w:rsidR="003C1704" w:rsidRPr="00456B24">
        <w:rPr>
          <w:rFonts w:ascii="Arial" w:hAnsi="Arial" w:cs="Arial"/>
          <w:b/>
          <w:bCs/>
        </w:rPr>
        <w:t> </w:t>
      </w:r>
      <w:r w:rsidR="003C1704" w:rsidRPr="00456B24">
        <w:rPr>
          <w:b/>
          <w:bCs/>
        </w:rPr>
        <w:t>2 and</w:t>
      </w:r>
      <w:r w:rsidR="003C1704" w:rsidRPr="00456B24">
        <w:rPr>
          <w:rFonts w:ascii="Arial" w:hAnsi="Arial" w:cs="Arial"/>
          <w:b/>
          <w:bCs/>
        </w:rPr>
        <w:t> </w:t>
      </w:r>
      <w:r w:rsidR="003C1704" w:rsidRPr="00456B24">
        <w:rPr>
          <w:b/>
          <w:bCs/>
        </w:rPr>
        <w:t>3</w:t>
      </w:r>
      <w:r w:rsidR="003C1704" w:rsidRPr="00D03E83">
        <w:t> demonstrate that the governance limitations of the Deed are systemic and structural, rather than isolated or technical.  </w:t>
      </w:r>
    </w:p>
    <w:p w14:paraId="2DC32699" w14:textId="31D3EDF5" w:rsidR="003C1704" w:rsidRPr="00D03E83" w:rsidRDefault="00382EE8" w:rsidP="003C1704">
      <w:r>
        <w:rPr>
          <w:rFonts w:ascii="ZWAdobeF" w:hAnsi="ZWAdobeF" w:cs="ZWAdobeF"/>
          <w:sz w:val="2"/>
          <w:szCs w:val="2"/>
        </w:rPr>
        <w:t>1491B</w:t>
      </w:r>
      <w:r w:rsidR="003C1704" w:rsidRPr="00D03E83">
        <w:t>Across international best practice (OECD Principles on Water Governance), nationally agreed reform commitments (National Water Initiative and emerging National Water Agreement), and statutory</w:t>
      </w:r>
      <w:r w:rsidR="004C1A2B">
        <w:t xml:space="preserve"> </w:t>
      </w:r>
      <w:r w:rsidR="003C1704" w:rsidRPr="00D03E83">
        <w:t>basin</w:t>
      </w:r>
      <w:r w:rsidR="003C1704" w:rsidRPr="00D03E83">
        <w:noBreakHyphen/>
        <w:t>scale</w:t>
      </w:r>
      <w:r w:rsidR="004C1A2B">
        <w:t xml:space="preserve"> </w:t>
      </w:r>
      <w:r w:rsidR="003C1704" w:rsidRPr="00D03E83">
        <w:t>expectations under the Basin Plan, the Deed is consistently characterised by misalignment with contemporary governance standards.  </w:t>
      </w:r>
    </w:p>
    <w:p w14:paraId="32AC834A" w14:textId="13F825EF" w:rsidR="003C1704" w:rsidRPr="00D03E83" w:rsidRDefault="00382EE8" w:rsidP="003C1704">
      <w:r>
        <w:rPr>
          <w:rFonts w:ascii="ZWAdobeF" w:hAnsi="ZWAdobeF" w:cs="ZWAdobeF"/>
          <w:sz w:val="2"/>
          <w:szCs w:val="2"/>
        </w:rPr>
        <w:t>1492B</w:t>
      </w:r>
      <w:r w:rsidR="003C1704" w:rsidRPr="00D03E83">
        <w:t>The most significant gaps relate to: </w:t>
      </w:r>
    </w:p>
    <w:p w14:paraId="1F358135" w14:textId="31E40748" w:rsidR="003C1704" w:rsidRPr="00D03E83" w:rsidRDefault="00382EE8" w:rsidP="00115BD6">
      <w:pPr>
        <w:pStyle w:val="ListParagraph"/>
        <w:numPr>
          <w:ilvl w:val="0"/>
          <w:numId w:val="59"/>
        </w:numPr>
      </w:pPr>
      <w:r>
        <w:rPr>
          <w:rFonts w:ascii="ZWAdobeF" w:hAnsi="ZWAdobeF" w:cs="ZWAdobeF"/>
          <w:sz w:val="2"/>
          <w:szCs w:val="2"/>
        </w:rPr>
        <w:t>498B</w:t>
      </w:r>
      <w:r w:rsidR="00D24C8B">
        <w:t>catchment or system</w:t>
      </w:r>
      <w:r w:rsidR="003C1704" w:rsidRPr="00D03E83">
        <w:noBreakHyphen/>
        <w:t>scale</w:t>
      </w:r>
      <w:r w:rsidR="00E9789E">
        <w:t xml:space="preserve"> </w:t>
      </w:r>
      <w:r w:rsidR="003C1704" w:rsidRPr="00D03E83">
        <w:t>governance</w:t>
      </w:r>
    </w:p>
    <w:p w14:paraId="62AA8121" w14:textId="0B82BEF2" w:rsidR="003C1704" w:rsidRPr="00D03E83" w:rsidRDefault="00382EE8" w:rsidP="00115BD6">
      <w:pPr>
        <w:pStyle w:val="ListParagraph"/>
        <w:numPr>
          <w:ilvl w:val="0"/>
          <w:numId w:val="59"/>
        </w:numPr>
      </w:pPr>
      <w:r>
        <w:rPr>
          <w:rFonts w:ascii="ZWAdobeF" w:hAnsi="ZWAdobeF" w:cs="ZWAdobeF"/>
          <w:sz w:val="2"/>
          <w:szCs w:val="2"/>
        </w:rPr>
        <w:t>499B</w:t>
      </w:r>
      <w:r w:rsidR="003C1704" w:rsidRPr="00D03E83">
        <w:t>clarity and separation of roles</w:t>
      </w:r>
    </w:p>
    <w:p w14:paraId="4228B5A4" w14:textId="4BF184DC" w:rsidR="003C1704" w:rsidRPr="00D03E83" w:rsidRDefault="00382EE8" w:rsidP="00115BD6">
      <w:pPr>
        <w:pStyle w:val="ListParagraph"/>
        <w:numPr>
          <w:ilvl w:val="0"/>
          <w:numId w:val="59"/>
        </w:numPr>
      </w:pPr>
      <w:r>
        <w:rPr>
          <w:rFonts w:ascii="ZWAdobeF" w:hAnsi="ZWAdobeF" w:cs="ZWAdobeF"/>
          <w:sz w:val="2"/>
          <w:szCs w:val="2"/>
        </w:rPr>
        <w:t>500B</w:t>
      </w:r>
      <w:r w:rsidR="003C1704" w:rsidRPr="00D03E83">
        <w:t>adaptive management</w:t>
      </w:r>
    </w:p>
    <w:p w14:paraId="2ECD2893" w14:textId="19D2ED97" w:rsidR="003C1704" w:rsidRPr="00D03E83" w:rsidRDefault="00382EE8" w:rsidP="00115BD6">
      <w:pPr>
        <w:pStyle w:val="ListParagraph"/>
        <w:numPr>
          <w:ilvl w:val="0"/>
          <w:numId w:val="59"/>
        </w:numPr>
      </w:pPr>
      <w:r>
        <w:rPr>
          <w:rFonts w:ascii="ZWAdobeF" w:hAnsi="ZWAdobeF" w:cs="ZWAdobeF"/>
          <w:sz w:val="2"/>
          <w:szCs w:val="2"/>
        </w:rPr>
        <w:t>501B</w:t>
      </w:r>
      <w:r w:rsidR="003C1704" w:rsidRPr="00D03E83">
        <w:t>transparency of trade</w:t>
      </w:r>
      <w:r w:rsidR="003C1704" w:rsidRPr="00D03E83">
        <w:noBreakHyphen/>
        <w:t>offs</w:t>
      </w:r>
    </w:p>
    <w:p w14:paraId="0F9A5AA2" w14:textId="34C8E3AB" w:rsidR="003C1704" w:rsidRPr="00D03E83" w:rsidRDefault="00382EE8" w:rsidP="00115BD6">
      <w:pPr>
        <w:pStyle w:val="ListParagraph"/>
        <w:numPr>
          <w:ilvl w:val="0"/>
          <w:numId w:val="59"/>
        </w:numPr>
      </w:pPr>
      <w:r>
        <w:rPr>
          <w:rFonts w:ascii="ZWAdobeF" w:hAnsi="ZWAdobeF" w:cs="ZWAdobeF"/>
          <w:sz w:val="2"/>
          <w:szCs w:val="2"/>
        </w:rPr>
        <w:t>502B</w:t>
      </w:r>
      <w:r w:rsidR="003C1704" w:rsidRPr="00D03E83">
        <w:t>scheduled review and learning</w:t>
      </w:r>
    </w:p>
    <w:p w14:paraId="2F93BA6A" w14:textId="1F41A7A3" w:rsidR="003C1704" w:rsidRPr="00D03E83" w:rsidRDefault="00382EE8" w:rsidP="00115BD6">
      <w:pPr>
        <w:pStyle w:val="ListParagraph"/>
        <w:numPr>
          <w:ilvl w:val="0"/>
          <w:numId w:val="59"/>
        </w:numPr>
      </w:pPr>
      <w:r>
        <w:rPr>
          <w:rFonts w:ascii="ZWAdobeF" w:hAnsi="ZWAdobeF" w:cs="ZWAdobeF"/>
          <w:sz w:val="2"/>
          <w:szCs w:val="2"/>
        </w:rPr>
        <w:t>503B</w:t>
      </w:r>
      <w:r w:rsidR="003C1704" w:rsidRPr="00D03E83">
        <w:t>formal recognition of First Nations interests.  </w:t>
      </w:r>
    </w:p>
    <w:p w14:paraId="6962A245" w14:textId="39E4F2C1" w:rsidR="003C1704" w:rsidRPr="00D03E83" w:rsidRDefault="00382EE8" w:rsidP="003C1704">
      <w:r>
        <w:rPr>
          <w:rFonts w:ascii="ZWAdobeF" w:hAnsi="ZWAdobeF" w:cs="ZWAdobeF"/>
          <w:sz w:val="2"/>
          <w:szCs w:val="2"/>
        </w:rPr>
        <w:t>1493B</w:t>
      </w:r>
      <w:r w:rsidR="003C1704" w:rsidRPr="00D03E83">
        <w:t>While the Deed has delivered important volumetric outcomes, particularly in its early years, its static and</w:t>
      </w:r>
      <w:r w:rsidR="00510476">
        <w:t xml:space="preserve"> </w:t>
      </w:r>
      <w:r w:rsidR="003C1704" w:rsidRPr="00D03E83">
        <w:t>jurisdiction</w:t>
      </w:r>
      <w:r w:rsidR="003C1704" w:rsidRPr="00D03E83">
        <w:noBreakHyphen/>
        <w:t>centred</w:t>
      </w:r>
      <w:r w:rsidR="00510476">
        <w:t xml:space="preserve"> </w:t>
      </w:r>
      <w:r w:rsidR="003C1704" w:rsidRPr="00D03E83">
        <w:t>design limits its capacity to respond to climate change, increasing system complexity and heightened expectations of legitimacy and accountability. Collectively, the analyses</w:t>
      </w:r>
      <w:r w:rsidR="00510476">
        <w:t xml:space="preserve"> </w:t>
      </w:r>
      <w:r w:rsidR="003C1704" w:rsidRPr="00D03E83">
        <w:t>indicate</w:t>
      </w:r>
      <w:r w:rsidR="00510476">
        <w:t xml:space="preserve"> </w:t>
      </w:r>
      <w:r w:rsidR="003C1704" w:rsidRPr="00D03E83">
        <w:t>that incremental adjustment is unlikely to address these gaps and that structural reform is</w:t>
      </w:r>
      <w:r w:rsidR="00510476">
        <w:t xml:space="preserve"> </w:t>
      </w:r>
      <w:r w:rsidR="003C1704" w:rsidRPr="00D03E83">
        <w:t>required</w:t>
      </w:r>
      <w:r w:rsidR="00510476">
        <w:t xml:space="preserve"> </w:t>
      </w:r>
      <w:r w:rsidR="003C1704" w:rsidRPr="00D03E83">
        <w:t>to realign Snowy governance with modern Australian and international</w:t>
      </w:r>
      <w:r w:rsidR="00510476">
        <w:t xml:space="preserve"> </w:t>
      </w:r>
      <w:r w:rsidR="003C1704" w:rsidRPr="00D03E83">
        <w:t>water</w:t>
      </w:r>
      <w:r w:rsidR="003C1704" w:rsidRPr="00D03E83">
        <w:noBreakHyphen/>
        <w:t>management</w:t>
      </w:r>
      <w:r w:rsidR="00510476">
        <w:t xml:space="preserve"> </w:t>
      </w:r>
      <w:r w:rsidR="003C1704" w:rsidRPr="00D03E83">
        <w:t>frameworks. </w:t>
      </w:r>
    </w:p>
    <w:p w14:paraId="54D7F4A5" w14:textId="0FA7F815" w:rsidR="003C1704" w:rsidRPr="00D03E83" w:rsidRDefault="00382EE8" w:rsidP="003C1704">
      <w:r>
        <w:rPr>
          <w:rFonts w:ascii="ZWAdobeF" w:hAnsi="ZWAdobeF" w:cs="ZWAdobeF"/>
          <w:sz w:val="2"/>
          <w:szCs w:val="2"/>
        </w:rPr>
        <w:t>1494B</w:t>
      </w:r>
      <w:r w:rsidR="003C1704" w:rsidRPr="00D03E83">
        <w:t>The Panel concludes that reform of the Snowy Water Inquiry Outcomes Implementation Deed is both justified and necessary in the context of Australia’s transition to a new National Water Agreement. </w:t>
      </w:r>
    </w:p>
    <w:p w14:paraId="2824397D" w14:textId="5AA1E3AB" w:rsidR="003C1704" w:rsidRPr="00D03E83" w:rsidRDefault="00382EE8" w:rsidP="003C1704">
      <w:r>
        <w:rPr>
          <w:rFonts w:ascii="ZWAdobeF" w:hAnsi="ZWAdobeF" w:cs="ZWAdobeF"/>
          <w:sz w:val="2"/>
          <w:szCs w:val="2"/>
        </w:rPr>
        <w:t>1495B</w:t>
      </w:r>
      <w:r w:rsidR="003C1704" w:rsidRPr="00D03E83">
        <w:t>A replacement intergovernmental arrangement, designed to reflect NWI/NWA principles, the Basin</w:t>
      </w:r>
      <w:r w:rsidR="003C1704" w:rsidRPr="00D03E83">
        <w:rPr>
          <w:rFonts w:ascii="Arial" w:hAnsi="Arial" w:cs="Arial"/>
        </w:rPr>
        <w:t> </w:t>
      </w:r>
      <w:r w:rsidR="003C1704" w:rsidRPr="00D03E83">
        <w:t>Plan principles and OECD best practice, would reintegrate Snowy governance into the national</w:t>
      </w:r>
      <w:r w:rsidR="003C7775">
        <w:t xml:space="preserve"> </w:t>
      </w:r>
      <w:r w:rsidR="003C1704" w:rsidRPr="00D03E83">
        <w:t>water</w:t>
      </w:r>
      <w:r w:rsidR="007E20BB">
        <w:t xml:space="preserve"> </w:t>
      </w:r>
      <w:r w:rsidR="003C1704" w:rsidRPr="00D03E83">
        <w:t>reform</w:t>
      </w:r>
      <w:r w:rsidR="003C7775">
        <w:rPr>
          <w:rFonts w:ascii="Aptos" w:hAnsi="Aptos" w:cs="Aptos"/>
        </w:rPr>
        <w:t xml:space="preserve"> </w:t>
      </w:r>
      <w:r w:rsidR="003C1704" w:rsidRPr="00D03E83">
        <w:t>framework and</w:t>
      </w:r>
      <w:r w:rsidR="003C7775">
        <w:rPr>
          <w:rFonts w:ascii="Aptos" w:hAnsi="Aptos" w:cs="Aptos"/>
        </w:rPr>
        <w:t xml:space="preserve"> </w:t>
      </w:r>
      <w:r w:rsidR="001A6967">
        <w:rPr>
          <w:rFonts w:ascii="Aptos" w:hAnsi="Aptos" w:cs="Aptos"/>
        </w:rPr>
        <w:t>optimise</w:t>
      </w:r>
      <w:r w:rsidR="003C7775">
        <w:rPr>
          <w:rFonts w:ascii="Aptos" w:hAnsi="Aptos" w:cs="Aptos"/>
        </w:rPr>
        <w:t xml:space="preserve"> </w:t>
      </w:r>
      <w:r w:rsidR="003C1704" w:rsidRPr="00D03E83">
        <w:t>it</w:t>
      </w:r>
      <w:r w:rsidR="00EB1D09">
        <w:t>s management in a period of</w:t>
      </w:r>
      <w:r w:rsidR="003C1704" w:rsidRPr="00D03E83">
        <w:t xml:space="preserve"> climatic, social and</w:t>
      </w:r>
      <w:r w:rsidR="003C7775">
        <w:rPr>
          <w:rFonts w:ascii="Aptos" w:hAnsi="Aptos" w:cs="Aptos"/>
        </w:rPr>
        <w:t xml:space="preserve"> </w:t>
      </w:r>
      <w:r w:rsidR="003C1704" w:rsidRPr="00D03E83">
        <w:t>energy</w:t>
      </w:r>
      <w:r w:rsidR="003C1704" w:rsidRPr="00D03E83">
        <w:noBreakHyphen/>
        <w:t>system</w:t>
      </w:r>
      <w:r w:rsidR="003C7775">
        <w:rPr>
          <w:rFonts w:ascii="Aptos" w:hAnsi="Aptos" w:cs="Aptos"/>
        </w:rPr>
        <w:t xml:space="preserve"> </w:t>
      </w:r>
      <w:r w:rsidR="003C1704" w:rsidRPr="00D03E83">
        <w:t>change.</w:t>
      </w:r>
      <w:r w:rsidR="003C1704" w:rsidRPr="00D03E83">
        <w:rPr>
          <w:rFonts w:ascii="Aptos" w:hAnsi="Aptos" w:cs="Aptos"/>
        </w:rPr>
        <w:t> </w:t>
      </w:r>
    </w:p>
    <w:p w14:paraId="6CC0A71D" w14:textId="67DE6A53" w:rsidR="003C1704" w:rsidRPr="00D03E83" w:rsidRDefault="00382EE8" w:rsidP="003C1704">
      <w:r>
        <w:rPr>
          <w:rFonts w:ascii="ZWAdobeF" w:hAnsi="ZWAdobeF" w:cs="ZWAdobeF"/>
          <w:sz w:val="2"/>
          <w:szCs w:val="2"/>
        </w:rPr>
        <w:t>1496B</w:t>
      </w:r>
      <w:r w:rsidR="003C1704" w:rsidRPr="00D03E83">
        <w:t>Viewed through this lens, Deed reform is not an outlier, but a critical</w:t>
      </w:r>
      <w:r w:rsidR="003C7775">
        <w:t xml:space="preserve"> </w:t>
      </w:r>
      <w:r w:rsidR="003C1704" w:rsidRPr="00D03E83">
        <w:t>component</w:t>
      </w:r>
      <w:r w:rsidR="003C7775">
        <w:t xml:space="preserve"> </w:t>
      </w:r>
      <w:r w:rsidR="003C1704" w:rsidRPr="00D03E83">
        <w:t>of</w:t>
      </w:r>
      <w:r w:rsidR="003C7775">
        <w:t xml:space="preserve"> </w:t>
      </w:r>
      <w:r w:rsidR="003C1704" w:rsidRPr="00D03E83">
        <w:t>maintaining</w:t>
      </w:r>
      <w:r w:rsidR="003C7775">
        <w:t xml:space="preserve"> </w:t>
      </w:r>
      <w:r w:rsidR="003C1704" w:rsidRPr="00D03E83">
        <w:t>national consistency,</w:t>
      </w:r>
      <w:r w:rsidR="003C7775">
        <w:t xml:space="preserve"> </w:t>
      </w:r>
      <w:r w:rsidR="003C1704" w:rsidRPr="00D03E83">
        <w:t>legitimacy</w:t>
      </w:r>
      <w:r w:rsidR="003C7775">
        <w:t xml:space="preserve"> </w:t>
      </w:r>
      <w:r w:rsidR="003C1704" w:rsidRPr="00D03E83">
        <w:t>and confidence in Australia’s water governance.</w:t>
      </w:r>
    </w:p>
    <w:p w14:paraId="1E6F307E" w14:textId="02068C93" w:rsidR="00BD683D" w:rsidRDefault="00BD683D">
      <w:pPr>
        <w:jc w:val="left"/>
        <w:rPr>
          <w:rFonts w:asciiTheme="majorHAnsi" w:eastAsiaTheme="majorEastAsia" w:hAnsiTheme="majorHAnsi" w:cstheme="majorBidi"/>
          <w:color w:val="000099"/>
          <w:sz w:val="32"/>
          <w:szCs w:val="32"/>
        </w:rPr>
      </w:pPr>
      <w:r>
        <w:br w:type="page"/>
      </w:r>
    </w:p>
    <w:p w14:paraId="504B850B" w14:textId="714A00B5" w:rsidR="00B55517" w:rsidRDefault="00BD683D" w:rsidP="00BD683D">
      <w:pPr>
        <w:pStyle w:val="ReviewHeading2"/>
      </w:pPr>
      <w:bookmarkStart w:id="184" w:name="_Toc233285640"/>
      <w:bookmarkStart w:id="185" w:name="_Toc233801519"/>
      <w:r>
        <w:lastRenderedPageBreak/>
        <w:t xml:space="preserve">Appendix </w:t>
      </w:r>
      <w:r w:rsidR="0036787D">
        <w:t>C</w:t>
      </w:r>
      <w:r>
        <w:t>: Compensation and system risk framework design steps</w:t>
      </w:r>
      <w:bookmarkEnd w:id="184"/>
      <w:bookmarkEnd w:id="185"/>
    </w:p>
    <w:p w14:paraId="143F7D21" w14:textId="764ACFBB" w:rsidR="00863306" w:rsidRPr="00B2478D" w:rsidRDefault="00863306" w:rsidP="00B2478D">
      <w:pPr>
        <w:rPr>
          <w:rFonts w:cs="Segoe UI"/>
          <w:sz w:val="18"/>
          <w:szCs w:val="18"/>
        </w:rPr>
      </w:pPr>
      <w:r w:rsidRPr="00B2478D">
        <w:rPr>
          <w:rStyle w:val="normaltextrun"/>
          <w:rFonts w:cs="Calibri"/>
          <w:szCs w:val="22"/>
        </w:rPr>
        <w:t>Implementation of the compensation and system risk framework requires the coordinated design of the operating envelope, trigger mechanisms, valuation</w:t>
      </w:r>
      <w:r w:rsidR="00F02446">
        <w:rPr>
          <w:rStyle w:val="normaltextrun"/>
          <w:rFonts w:cs="Calibri"/>
          <w:szCs w:val="22"/>
        </w:rPr>
        <w:t xml:space="preserve"> </w:t>
      </w:r>
      <w:r w:rsidRPr="00B2478D">
        <w:rPr>
          <w:rStyle w:val="normaltextrun"/>
          <w:rFonts w:cs="Calibri"/>
          <w:szCs w:val="22"/>
        </w:rPr>
        <w:t>methodology</w:t>
      </w:r>
      <w:r w:rsidR="00F02446">
        <w:rPr>
          <w:rStyle w:val="normaltextrun"/>
          <w:rFonts w:cs="Calibri"/>
          <w:szCs w:val="22"/>
        </w:rPr>
        <w:t xml:space="preserve"> </w:t>
      </w:r>
      <w:r w:rsidRPr="00B2478D">
        <w:rPr>
          <w:rStyle w:val="normaltextrun"/>
          <w:rFonts w:cs="Calibri"/>
          <w:szCs w:val="22"/>
        </w:rPr>
        <w:t>and institutional roles. These elements should be</w:t>
      </w:r>
      <w:r w:rsidR="00F02446">
        <w:rPr>
          <w:rStyle w:val="normaltextrun"/>
          <w:rFonts w:cs="Calibri"/>
          <w:szCs w:val="22"/>
        </w:rPr>
        <w:t xml:space="preserve"> </w:t>
      </w:r>
      <w:r w:rsidRPr="00B2478D">
        <w:rPr>
          <w:rStyle w:val="normaltextrun"/>
          <w:rFonts w:cs="Calibri"/>
          <w:szCs w:val="22"/>
        </w:rPr>
        <w:t>established</w:t>
      </w:r>
      <w:r w:rsidR="00F02446">
        <w:rPr>
          <w:rStyle w:val="normaltextrun"/>
          <w:rFonts w:cs="Calibri"/>
          <w:szCs w:val="22"/>
        </w:rPr>
        <w:t xml:space="preserve"> </w:t>
      </w:r>
      <w:r w:rsidRPr="00B2478D">
        <w:rPr>
          <w:rStyle w:val="normaltextrun"/>
          <w:rFonts w:cs="Calibri"/>
          <w:szCs w:val="22"/>
        </w:rPr>
        <w:t>as part of the broader governance and operational framework.</w:t>
      </w:r>
      <w:r w:rsidR="00F02446">
        <w:rPr>
          <w:rStyle w:val="normaltextrun"/>
          <w:rFonts w:cs="Calibri"/>
          <w:szCs w:val="22"/>
        </w:rPr>
        <w:t xml:space="preserve"> </w:t>
      </w:r>
      <w:r w:rsidRPr="00B2478D">
        <w:rPr>
          <w:rStyle w:val="normaltextrun"/>
          <w:rFonts w:cs="Calibri"/>
          <w:szCs w:val="22"/>
        </w:rPr>
        <w:t xml:space="preserve">The framework shifts from a compensation-based model </w:t>
      </w:r>
      <w:r w:rsidR="002F42B3">
        <w:rPr>
          <w:rStyle w:val="normaltextrun"/>
          <w:rFonts w:cs="Calibri"/>
          <w:szCs w:val="22"/>
        </w:rPr>
        <w:t xml:space="preserve">under the current Snowy Compensation Deed </w:t>
      </w:r>
      <w:r w:rsidRPr="00B2478D">
        <w:rPr>
          <w:rStyle w:val="normaltextrun"/>
          <w:rFonts w:cs="Calibri"/>
          <w:szCs w:val="22"/>
        </w:rPr>
        <w:t>to a structured risk-sharing approach, where predefined rules govern how system variation is managed.</w:t>
      </w:r>
      <w:r w:rsidRPr="00B2478D">
        <w:rPr>
          <w:rStyle w:val="eop"/>
          <w:rFonts w:cs="Calibri"/>
          <w:szCs w:val="22"/>
        </w:rPr>
        <w:t> </w:t>
      </w:r>
    </w:p>
    <w:p w14:paraId="41F2A20C" w14:textId="16A0D535" w:rsidR="00863306" w:rsidRDefault="00B2478D" w:rsidP="00B2478D">
      <w:pPr>
        <w:pStyle w:val="Sub-Heading"/>
      </w:pPr>
      <w:r>
        <w:t>Establish the operating envelope</w:t>
      </w:r>
    </w:p>
    <w:p w14:paraId="5D22F539" w14:textId="67E2EF82" w:rsidR="0036335D" w:rsidRPr="0036335D" w:rsidRDefault="0036335D" w:rsidP="0036335D">
      <w:pPr>
        <w:rPr>
          <w:rFonts w:cs="Segoe UI"/>
          <w:sz w:val="18"/>
          <w:szCs w:val="18"/>
        </w:rPr>
      </w:pPr>
      <w:r w:rsidRPr="0036335D">
        <w:rPr>
          <w:rStyle w:val="normaltextrun"/>
          <w:rFonts w:cs="Calibri"/>
          <w:szCs w:val="22"/>
        </w:rPr>
        <w:t>A defined operating envelope should be</w:t>
      </w:r>
      <w:r w:rsidR="00AA54D7">
        <w:rPr>
          <w:rStyle w:val="normaltextrun"/>
          <w:rFonts w:cs="Calibri"/>
          <w:szCs w:val="22"/>
        </w:rPr>
        <w:t xml:space="preserve"> </w:t>
      </w:r>
      <w:r w:rsidRPr="0036335D">
        <w:rPr>
          <w:rStyle w:val="normaltextrun"/>
          <w:rFonts w:cs="Calibri"/>
          <w:szCs w:val="22"/>
        </w:rPr>
        <w:t>established</w:t>
      </w:r>
      <w:r w:rsidR="00AA54D7">
        <w:rPr>
          <w:rStyle w:val="normaltextrun"/>
          <w:rFonts w:cs="Calibri"/>
          <w:szCs w:val="22"/>
        </w:rPr>
        <w:t xml:space="preserve"> </w:t>
      </w:r>
      <w:r w:rsidRPr="0036335D">
        <w:rPr>
          <w:rStyle w:val="normaltextrun"/>
          <w:rFonts w:cs="Calibri"/>
          <w:szCs w:val="22"/>
        </w:rPr>
        <w:t>to set the bounds of normal system operation within which Snowy Hydro Limited delivers agreed environmental, water and energy outcomes without financial adjustment.</w:t>
      </w:r>
      <w:r w:rsidRPr="0036335D">
        <w:rPr>
          <w:rStyle w:val="eop"/>
          <w:rFonts w:cs="Calibri"/>
          <w:szCs w:val="22"/>
        </w:rPr>
        <w:t> </w:t>
      </w:r>
    </w:p>
    <w:p w14:paraId="212684B8" w14:textId="77777777" w:rsidR="0036335D" w:rsidRPr="0036335D" w:rsidRDefault="0036335D" w:rsidP="0036335D">
      <w:pPr>
        <w:rPr>
          <w:rFonts w:cs="Segoe UI"/>
          <w:sz w:val="18"/>
          <w:szCs w:val="18"/>
        </w:rPr>
      </w:pPr>
      <w:r w:rsidRPr="0036335D">
        <w:rPr>
          <w:rStyle w:val="normaltextrun"/>
          <w:rFonts w:cs="Calibri"/>
          <w:szCs w:val="22"/>
        </w:rPr>
        <w:t>The envelope should:</w:t>
      </w:r>
      <w:r w:rsidRPr="0036335D">
        <w:rPr>
          <w:rStyle w:val="eop"/>
          <w:rFonts w:cs="Calibri"/>
          <w:szCs w:val="22"/>
        </w:rPr>
        <w:t> </w:t>
      </w:r>
    </w:p>
    <w:p w14:paraId="5DBE47BB" w14:textId="5E5A5C5A" w:rsidR="0036335D" w:rsidRPr="0036335D" w:rsidRDefault="0036335D" w:rsidP="00115BD6">
      <w:pPr>
        <w:pStyle w:val="ListParagraph"/>
        <w:numPr>
          <w:ilvl w:val="0"/>
          <w:numId w:val="64"/>
        </w:numPr>
      </w:pPr>
      <w:r w:rsidRPr="0036335D">
        <w:rPr>
          <w:rStyle w:val="normaltextrun"/>
          <w:rFonts w:cs="Calibri"/>
          <w:szCs w:val="22"/>
        </w:rPr>
        <w:t>articulate outcome-based ranges for environmental water delivery, including timing,</w:t>
      </w:r>
      <w:r w:rsidR="00AA6F80">
        <w:rPr>
          <w:rStyle w:val="normaltextrun"/>
          <w:rFonts w:cs="Calibri"/>
          <w:szCs w:val="22"/>
        </w:rPr>
        <w:t xml:space="preserve"> </w:t>
      </w:r>
      <w:r w:rsidRPr="0036335D">
        <w:rPr>
          <w:rStyle w:val="normaltextrun"/>
          <w:rFonts w:cs="Calibri"/>
          <w:szCs w:val="22"/>
        </w:rPr>
        <w:t>variability</w:t>
      </w:r>
      <w:r w:rsidR="00AA6F80">
        <w:rPr>
          <w:rStyle w:val="normaltextrun"/>
          <w:rFonts w:cs="Calibri"/>
          <w:szCs w:val="22"/>
        </w:rPr>
        <w:t xml:space="preserve"> </w:t>
      </w:r>
      <w:r w:rsidRPr="0036335D">
        <w:rPr>
          <w:rStyle w:val="normaltextrun"/>
          <w:rFonts w:cs="Calibri"/>
          <w:szCs w:val="22"/>
        </w:rPr>
        <w:t>and reliability</w:t>
      </w:r>
      <w:r w:rsidRPr="0036335D">
        <w:rPr>
          <w:rStyle w:val="eop"/>
          <w:rFonts w:cs="Calibri"/>
          <w:szCs w:val="22"/>
        </w:rPr>
        <w:t> </w:t>
      </w:r>
    </w:p>
    <w:p w14:paraId="67D2B64F" w14:textId="77777777" w:rsidR="0036335D" w:rsidRPr="0036335D" w:rsidRDefault="0036335D" w:rsidP="00115BD6">
      <w:pPr>
        <w:pStyle w:val="ListParagraph"/>
        <w:numPr>
          <w:ilvl w:val="0"/>
          <w:numId w:val="64"/>
        </w:numPr>
      </w:pPr>
      <w:r w:rsidRPr="0036335D">
        <w:rPr>
          <w:rStyle w:val="normaltextrun"/>
          <w:rFonts w:cs="Calibri"/>
          <w:szCs w:val="22"/>
        </w:rPr>
        <w:t>define acceptable operational flexibility for energy generation and water management</w:t>
      </w:r>
      <w:r w:rsidRPr="0036335D">
        <w:rPr>
          <w:rStyle w:val="eop"/>
          <w:rFonts w:cs="Calibri"/>
          <w:szCs w:val="22"/>
        </w:rPr>
        <w:t> </w:t>
      </w:r>
    </w:p>
    <w:p w14:paraId="19A8EBB0" w14:textId="77777777" w:rsidR="0036335D" w:rsidRPr="0036335D" w:rsidRDefault="0036335D" w:rsidP="00115BD6">
      <w:pPr>
        <w:pStyle w:val="ListParagraph"/>
        <w:numPr>
          <w:ilvl w:val="0"/>
          <w:numId w:val="64"/>
        </w:numPr>
      </w:pPr>
      <w:r w:rsidRPr="0036335D">
        <w:rPr>
          <w:rStyle w:val="normaltextrun"/>
          <w:rFonts w:cs="Calibri"/>
          <w:szCs w:val="22"/>
        </w:rPr>
        <w:t>include tolerance thresholds distinguishing normal variation from material deviation</w:t>
      </w:r>
      <w:r w:rsidRPr="0036335D">
        <w:rPr>
          <w:rStyle w:val="eop"/>
          <w:rFonts w:cs="Calibri"/>
          <w:szCs w:val="22"/>
        </w:rPr>
        <w:t> </w:t>
      </w:r>
    </w:p>
    <w:p w14:paraId="00668380" w14:textId="68FE937B" w:rsidR="0036335D" w:rsidRPr="0036335D" w:rsidRDefault="0036335D" w:rsidP="00115BD6">
      <w:pPr>
        <w:pStyle w:val="ListParagraph"/>
        <w:numPr>
          <w:ilvl w:val="0"/>
          <w:numId w:val="64"/>
        </w:numPr>
      </w:pPr>
      <w:r w:rsidRPr="0036335D">
        <w:rPr>
          <w:rStyle w:val="normaltextrun"/>
          <w:rFonts w:cs="Calibri"/>
          <w:szCs w:val="22"/>
        </w:rPr>
        <w:t>identify</w:t>
      </w:r>
      <w:r w:rsidR="002F16B4">
        <w:rPr>
          <w:rStyle w:val="normaltextrun"/>
          <w:rFonts w:cs="Calibri"/>
          <w:szCs w:val="22"/>
        </w:rPr>
        <w:t xml:space="preserve"> </w:t>
      </w:r>
      <w:r w:rsidR="009408D7">
        <w:rPr>
          <w:rStyle w:val="normaltextrun"/>
          <w:rFonts w:cs="Calibri"/>
          <w:szCs w:val="22"/>
        </w:rPr>
        <w:t xml:space="preserve">and define </w:t>
      </w:r>
      <w:r w:rsidRPr="0036335D">
        <w:rPr>
          <w:rStyle w:val="normaltextrun"/>
          <w:rFonts w:cs="Calibri"/>
          <w:szCs w:val="22"/>
        </w:rPr>
        <w:t>limited exception conditions</w:t>
      </w:r>
      <w:r w:rsidR="009408D7">
        <w:rPr>
          <w:rStyle w:val="normaltextrun"/>
          <w:rFonts w:cs="Calibri"/>
          <w:szCs w:val="22"/>
        </w:rPr>
        <w:t xml:space="preserve">, </w:t>
      </w:r>
      <w:r w:rsidR="00D23705">
        <w:rPr>
          <w:rStyle w:val="normaltextrun"/>
          <w:rFonts w:cs="Calibri"/>
          <w:szCs w:val="22"/>
        </w:rPr>
        <w:t xml:space="preserve">including </w:t>
      </w:r>
      <w:r w:rsidRPr="0036335D">
        <w:rPr>
          <w:rStyle w:val="normaltextrun"/>
          <w:rFonts w:cs="Calibri"/>
          <w:szCs w:val="22"/>
        </w:rPr>
        <w:t xml:space="preserve">extreme hydrological </w:t>
      </w:r>
      <w:r w:rsidR="00D23705">
        <w:rPr>
          <w:rStyle w:val="normaltextrun"/>
          <w:rFonts w:cs="Calibri"/>
          <w:szCs w:val="22"/>
        </w:rPr>
        <w:t xml:space="preserve">and </w:t>
      </w:r>
      <w:r w:rsidRPr="0036335D">
        <w:rPr>
          <w:rStyle w:val="normaltextrun"/>
          <w:rFonts w:cs="Calibri"/>
          <w:szCs w:val="22"/>
        </w:rPr>
        <w:t>energy system events</w:t>
      </w:r>
      <w:r w:rsidR="00D918E8">
        <w:rPr>
          <w:rStyle w:val="normaltextrun"/>
          <w:rFonts w:cs="Calibri"/>
          <w:szCs w:val="22"/>
        </w:rPr>
        <w:t>.</w:t>
      </w:r>
      <w:r w:rsidRPr="0036335D">
        <w:rPr>
          <w:rStyle w:val="eop"/>
          <w:rFonts w:cs="Calibri"/>
          <w:szCs w:val="22"/>
        </w:rPr>
        <w:t> </w:t>
      </w:r>
    </w:p>
    <w:p w14:paraId="77CF80B1" w14:textId="77777777" w:rsidR="0036335D" w:rsidRPr="0036335D" w:rsidRDefault="0036335D" w:rsidP="0036335D">
      <w:pPr>
        <w:rPr>
          <w:rFonts w:cs="Segoe UI"/>
          <w:sz w:val="18"/>
          <w:szCs w:val="18"/>
        </w:rPr>
      </w:pPr>
      <w:r w:rsidRPr="0036335D">
        <w:rPr>
          <w:rStyle w:val="normaltextrun"/>
          <w:rFonts w:cs="Calibri"/>
          <w:szCs w:val="22"/>
        </w:rPr>
        <w:t>The envelope should support adaptive management and replace reliance on fixed, volume-based rules.</w:t>
      </w:r>
      <w:r w:rsidRPr="0036335D">
        <w:rPr>
          <w:rStyle w:val="eop"/>
          <w:rFonts w:cs="Calibri"/>
          <w:szCs w:val="22"/>
        </w:rPr>
        <w:t> </w:t>
      </w:r>
    </w:p>
    <w:p w14:paraId="7046348F" w14:textId="3C199F90" w:rsidR="00B2478D" w:rsidRDefault="001B1EBE" w:rsidP="001B1EBE">
      <w:pPr>
        <w:pStyle w:val="Sub-Heading"/>
      </w:pPr>
      <w:r>
        <w:t>Define trigger and escalation mechanisms</w:t>
      </w:r>
    </w:p>
    <w:p w14:paraId="6B22B306" w14:textId="7BF5CA56" w:rsidR="009A32FC" w:rsidRPr="009A32FC" w:rsidRDefault="009A32FC" w:rsidP="009A32FC">
      <w:pPr>
        <w:rPr>
          <w:rFonts w:cs="Segoe UI"/>
          <w:sz w:val="18"/>
          <w:szCs w:val="18"/>
        </w:rPr>
      </w:pPr>
      <w:r w:rsidRPr="009A32FC">
        <w:rPr>
          <w:rStyle w:val="normaltextrun"/>
          <w:rFonts w:cs="Calibri"/>
          <w:szCs w:val="22"/>
        </w:rPr>
        <w:t>A structured trigger framework should be</w:t>
      </w:r>
      <w:r w:rsidR="002922FD">
        <w:rPr>
          <w:rStyle w:val="normaltextrun"/>
          <w:rFonts w:cs="Calibri"/>
          <w:szCs w:val="22"/>
        </w:rPr>
        <w:t xml:space="preserve"> </w:t>
      </w:r>
      <w:r w:rsidRPr="009A32FC">
        <w:rPr>
          <w:rStyle w:val="normaltextrun"/>
          <w:rFonts w:cs="Calibri"/>
          <w:szCs w:val="22"/>
        </w:rPr>
        <w:t>established</w:t>
      </w:r>
      <w:r w:rsidR="002922FD">
        <w:rPr>
          <w:rStyle w:val="normaltextrun"/>
          <w:rFonts w:cs="Calibri"/>
          <w:szCs w:val="22"/>
        </w:rPr>
        <w:t xml:space="preserve"> </w:t>
      </w:r>
      <w:r w:rsidRPr="009A32FC">
        <w:rPr>
          <w:rStyle w:val="normaltextrun"/>
          <w:rFonts w:cs="Calibri"/>
          <w:szCs w:val="22"/>
        </w:rPr>
        <w:t>to</w:t>
      </w:r>
      <w:r w:rsidR="002922FD">
        <w:rPr>
          <w:rStyle w:val="normaltextrun"/>
          <w:rFonts w:cs="Calibri"/>
          <w:szCs w:val="22"/>
        </w:rPr>
        <w:t xml:space="preserve"> </w:t>
      </w:r>
      <w:r w:rsidRPr="009A32FC">
        <w:rPr>
          <w:rStyle w:val="normaltextrun"/>
          <w:rFonts w:cs="Calibri"/>
          <w:szCs w:val="22"/>
        </w:rPr>
        <w:t>determine</w:t>
      </w:r>
      <w:r w:rsidR="002922FD">
        <w:rPr>
          <w:rStyle w:val="normaltextrun"/>
          <w:rFonts w:cs="Calibri"/>
          <w:szCs w:val="22"/>
        </w:rPr>
        <w:t xml:space="preserve"> </w:t>
      </w:r>
      <w:r w:rsidRPr="009A32FC">
        <w:rPr>
          <w:rStyle w:val="normaltextrun"/>
          <w:rFonts w:cs="Calibri"/>
          <w:szCs w:val="22"/>
        </w:rPr>
        <w:t>when system performance falls outside the operating envelope.</w:t>
      </w:r>
      <w:r w:rsidRPr="009A32FC">
        <w:rPr>
          <w:rStyle w:val="eop"/>
          <w:rFonts w:cs="Calibri"/>
          <w:szCs w:val="22"/>
        </w:rPr>
        <w:t> </w:t>
      </w:r>
    </w:p>
    <w:p w14:paraId="2D3AF0AE" w14:textId="77777777" w:rsidR="009A32FC" w:rsidRPr="009A32FC" w:rsidRDefault="009A32FC" w:rsidP="009A32FC">
      <w:pPr>
        <w:rPr>
          <w:rFonts w:cs="Segoe UI"/>
          <w:sz w:val="18"/>
          <w:szCs w:val="18"/>
        </w:rPr>
      </w:pPr>
      <w:r w:rsidRPr="009A32FC">
        <w:rPr>
          <w:rStyle w:val="normaltextrun"/>
          <w:rFonts w:cs="Calibri"/>
          <w:szCs w:val="22"/>
        </w:rPr>
        <w:t>Triggers should distinguish between:</w:t>
      </w:r>
      <w:r w:rsidRPr="009A32FC">
        <w:rPr>
          <w:rStyle w:val="eop"/>
          <w:rFonts w:cs="Calibri"/>
          <w:szCs w:val="22"/>
        </w:rPr>
        <w:t> </w:t>
      </w:r>
    </w:p>
    <w:p w14:paraId="493014A8" w14:textId="25359CA4" w:rsidR="009A32FC" w:rsidRPr="009A32FC" w:rsidRDefault="009A32FC" w:rsidP="00115BD6">
      <w:pPr>
        <w:pStyle w:val="ListParagraph"/>
        <w:numPr>
          <w:ilvl w:val="0"/>
          <w:numId w:val="65"/>
        </w:numPr>
      </w:pPr>
      <w:r w:rsidRPr="009A32FC">
        <w:rPr>
          <w:rStyle w:val="normaltextrun"/>
          <w:rFonts w:cs="Calibri"/>
          <w:szCs w:val="22"/>
        </w:rPr>
        <w:t>government-directed actions outside the envelope</w:t>
      </w:r>
    </w:p>
    <w:p w14:paraId="54955BE1" w14:textId="4B832227" w:rsidR="009A32FC" w:rsidRPr="009A32FC" w:rsidRDefault="009A32FC" w:rsidP="00115BD6">
      <w:pPr>
        <w:pStyle w:val="ListParagraph"/>
        <w:numPr>
          <w:ilvl w:val="0"/>
          <w:numId w:val="65"/>
        </w:numPr>
      </w:pPr>
      <w:r w:rsidRPr="009A32FC">
        <w:rPr>
          <w:rStyle w:val="normaltextrun"/>
          <w:rFonts w:cs="Calibri"/>
          <w:szCs w:val="22"/>
        </w:rPr>
        <w:t>operational non-performance within the envelope</w:t>
      </w:r>
      <w:r w:rsidR="006C0EC0">
        <w:rPr>
          <w:rStyle w:val="normaltextrun"/>
          <w:rFonts w:cs="Calibri"/>
          <w:szCs w:val="22"/>
        </w:rPr>
        <w:t>.</w:t>
      </w:r>
      <w:r w:rsidRPr="009A32FC">
        <w:rPr>
          <w:rStyle w:val="eop"/>
          <w:rFonts w:cs="Calibri"/>
          <w:szCs w:val="22"/>
        </w:rPr>
        <w:t> </w:t>
      </w:r>
    </w:p>
    <w:p w14:paraId="00F2A155" w14:textId="2F8D577C" w:rsidR="009A32FC" w:rsidRPr="009A32FC" w:rsidRDefault="00EB306F" w:rsidP="009A32FC">
      <w:pPr>
        <w:rPr>
          <w:rFonts w:cs="Segoe UI"/>
          <w:sz w:val="18"/>
          <w:szCs w:val="18"/>
        </w:rPr>
      </w:pPr>
      <w:r>
        <w:rPr>
          <w:rStyle w:val="normaltextrun"/>
          <w:rFonts w:cs="Calibri"/>
          <w:szCs w:val="22"/>
        </w:rPr>
        <w:t xml:space="preserve">Further, the triggers </w:t>
      </w:r>
      <w:r w:rsidR="009A32FC" w:rsidRPr="009A32FC">
        <w:rPr>
          <w:rStyle w:val="normaltextrun"/>
          <w:rFonts w:cs="Calibri"/>
          <w:szCs w:val="22"/>
        </w:rPr>
        <w:t>should provide:</w:t>
      </w:r>
      <w:r w:rsidR="009A32FC" w:rsidRPr="009A32FC">
        <w:rPr>
          <w:rStyle w:val="eop"/>
          <w:rFonts w:cs="Calibri"/>
          <w:szCs w:val="22"/>
        </w:rPr>
        <w:t> </w:t>
      </w:r>
    </w:p>
    <w:p w14:paraId="7723DE24" w14:textId="77777777" w:rsidR="009A32FC" w:rsidRPr="009A32FC" w:rsidRDefault="009A32FC" w:rsidP="00115BD6">
      <w:pPr>
        <w:pStyle w:val="ListParagraph"/>
        <w:numPr>
          <w:ilvl w:val="0"/>
          <w:numId w:val="66"/>
        </w:numPr>
      </w:pPr>
      <w:r w:rsidRPr="009A32FC">
        <w:rPr>
          <w:rStyle w:val="normaltextrun"/>
          <w:rFonts w:cs="Calibri"/>
          <w:szCs w:val="22"/>
        </w:rPr>
        <w:t>objective criteria for assessing whether outcomes are within or outside defined limits</w:t>
      </w:r>
      <w:r w:rsidRPr="009A32FC">
        <w:rPr>
          <w:rStyle w:val="eop"/>
          <w:rFonts w:cs="Calibri"/>
          <w:szCs w:val="22"/>
        </w:rPr>
        <w:t> </w:t>
      </w:r>
    </w:p>
    <w:p w14:paraId="360E07FC" w14:textId="77777777" w:rsidR="009A32FC" w:rsidRPr="009A32FC" w:rsidRDefault="009A32FC" w:rsidP="00115BD6">
      <w:pPr>
        <w:pStyle w:val="ListParagraph"/>
        <w:numPr>
          <w:ilvl w:val="0"/>
          <w:numId w:val="66"/>
        </w:numPr>
      </w:pPr>
      <w:r w:rsidRPr="009A32FC">
        <w:rPr>
          <w:rStyle w:val="normaltextrun"/>
          <w:rFonts w:cs="Calibri"/>
          <w:szCs w:val="22"/>
        </w:rPr>
        <w:t>tiered thresholds distinguishing minor variation from material deviation</w:t>
      </w:r>
      <w:r w:rsidRPr="009A32FC">
        <w:rPr>
          <w:rStyle w:val="eop"/>
          <w:rFonts w:cs="Calibri"/>
          <w:szCs w:val="22"/>
        </w:rPr>
        <w:t> </w:t>
      </w:r>
    </w:p>
    <w:p w14:paraId="53552C22" w14:textId="77777777" w:rsidR="009A32FC" w:rsidRPr="009A32FC" w:rsidRDefault="009A32FC" w:rsidP="00115BD6">
      <w:pPr>
        <w:pStyle w:val="ListParagraph"/>
        <w:numPr>
          <w:ilvl w:val="0"/>
          <w:numId w:val="66"/>
        </w:numPr>
      </w:pPr>
      <w:r w:rsidRPr="009A32FC">
        <w:rPr>
          <w:rStyle w:val="normaltextrun"/>
          <w:rFonts w:cs="Calibri"/>
          <w:szCs w:val="22"/>
        </w:rPr>
        <w:t>clear attribution of cause (e.g. government direction or operational non-performance)</w:t>
      </w:r>
      <w:r w:rsidRPr="009A32FC">
        <w:rPr>
          <w:rStyle w:val="eop"/>
          <w:rFonts w:cs="Calibri"/>
          <w:szCs w:val="22"/>
        </w:rPr>
        <w:t> </w:t>
      </w:r>
    </w:p>
    <w:p w14:paraId="058AE92D" w14:textId="77777777" w:rsidR="009A32FC" w:rsidRPr="009A32FC" w:rsidRDefault="009A32FC" w:rsidP="009A32FC">
      <w:pPr>
        <w:rPr>
          <w:rFonts w:cs="Segoe UI"/>
          <w:sz w:val="18"/>
          <w:szCs w:val="18"/>
        </w:rPr>
      </w:pPr>
      <w:r w:rsidRPr="009A32FC">
        <w:rPr>
          <w:rStyle w:val="normaltextrun"/>
          <w:rFonts w:cs="Calibri"/>
          <w:szCs w:val="22"/>
        </w:rPr>
        <w:t>This enables consistent, rules-based escalation, avoiding case-by-case negotiation.</w:t>
      </w:r>
      <w:r w:rsidRPr="009A32FC">
        <w:rPr>
          <w:rStyle w:val="eop"/>
          <w:rFonts w:cs="Calibri"/>
          <w:szCs w:val="22"/>
        </w:rPr>
        <w:t> </w:t>
      </w:r>
    </w:p>
    <w:p w14:paraId="4EAE73BC" w14:textId="1CF51160" w:rsidR="001B1EBE" w:rsidRDefault="00781C89" w:rsidP="001B1EBE">
      <w:pPr>
        <w:pStyle w:val="Sub-Heading"/>
      </w:pPr>
      <w:r>
        <w:lastRenderedPageBreak/>
        <w:t>Develop the valuation methodology</w:t>
      </w:r>
    </w:p>
    <w:p w14:paraId="58A70C64" w14:textId="1E651480" w:rsidR="009B67DC" w:rsidRPr="009B67DC" w:rsidRDefault="009B67DC" w:rsidP="009B67DC">
      <w:pPr>
        <w:pStyle w:val="paragraph"/>
        <w:spacing w:before="0" w:after="0"/>
        <w:textAlignment w:val="baseline"/>
        <w:rPr>
          <w:rFonts w:asciiTheme="minorHAnsi" w:hAnsiTheme="minorHAnsi" w:cs="Segoe UI"/>
          <w:szCs w:val="22"/>
        </w:rPr>
      </w:pPr>
      <w:r w:rsidRPr="009B67DC">
        <w:rPr>
          <w:rStyle w:val="normaltextrun"/>
          <w:rFonts w:asciiTheme="minorHAnsi" w:hAnsiTheme="minorHAnsi" w:cs="Calibri"/>
          <w:szCs w:val="22"/>
        </w:rPr>
        <w:t>A pre-defined valuation</w:t>
      </w:r>
      <w:r w:rsidR="00EA085A">
        <w:rPr>
          <w:rStyle w:val="normaltextrun"/>
          <w:rFonts w:asciiTheme="minorHAnsi" w:hAnsiTheme="minorHAnsi" w:cs="Calibri"/>
          <w:szCs w:val="22"/>
        </w:rPr>
        <w:t xml:space="preserve"> </w:t>
      </w:r>
      <w:r w:rsidRPr="009B67DC">
        <w:rPr>
          <w:rStyle w:val="normaltextrun"/>
          <w:rFonts w:asciiTheme="minorHAnsi" w:hAnsiTheme="minorHAnsi" w:cs="Calibri"/>
          <w:szCs w:val="22"/>
        </w:rPr>
        <w:t>methodology</w:t>
      </w:r>
      <w:r w:rsidR="00EA085A">
        <w:rPr>
          <w:rStyle w:val="normaltextrun"/>
          <w:rFonts w:asciiTheme="minorHAnsi" w:hAnsiTheme="minorHAnsi" w:cs="Calibri"/>
          <w:szCs w:val="22"/>
        </w:rPr>
        <w:t xml:space="preserve"> </w:t>
      </w:r>
      <w:r w:rsidRPr="009B67DC">
        <w:rPr>
          <w:rStyle w:val="normaltextrun"/>
          <w:rFonts w:asciiTheme="minorHAnsi" w:hAnsiTheme="minorHAnsi" w:cs="Calibri"/>
          <w:szCs w:val="22"/>
        </w:rPr>
        <w:t>should be</w:t>
      </w:r>
      <w:r w:rsidR="00EA085A">
        <w:rPr>
          <w:rStyle w:val="normaltextrun"/>
          <w:rFonts w:asciiTheme="minorHAnsi" w:hAnsiTheme="minorHAnsi" w:cs="Calibri"/>
          <w:szCs w:val="22"/>
        </w:rPr>
        <w:t xml:space="preserve"> </w:t>
      </w:r>
      <w:r w:rsidRPr="009B67DC">
        <w:rPr>
          <w:rStyle w:val="normaltextrun"/>
          <w:rFonts w:asciiTheme="minorHAnsi" w:hAnsiTheme="minorHAnsi" w:cs="Calibri"/>
          <w:szCs w:val="22"/>
        </w:rPr>
        <w:t>established</w:t>
      </w:r>
      <w:r w:rsidR="00EA085A">
        <w:rPr>
          <w:rStyle w:val="normaltextrun"/>
          <w:rFonts w:asciiTheme="minorHAnsi" w:hAnsiTheme="minorHAnsi" w:cs="Calibri"/>
          <w:szCs w:val="22"/>
        </w:rPr>
        <w:t xml:space="preserve"> </w:t>
      </w:r>
      <w:r w:rsidRPr="009B67DC">
        <w:rPr>
          <w:rStyle w:val="normaltextrun"/>
          <w:rFonts w:asciiTheme="minorHAnsi" w:hAnsiTheme="minorHAnsi" w:cs="Calibri"/>
          <w:szCs w:val="22"/>
        </w:rPr>
        <w:t>to apply where actions or outcomes fall outside the operating envelope.</w:t>
      </w:r>
      <w:r w:rsidRPr="009B67DC">
        <w:rPr>
          <w:rStyle w:val="eop"/>
          <w:rFonts w:asciiTheme="minorHAnsi" w:hAnsiTheme="minorHAnsi" w:cs="Calibri"/>
          <w:szCs w:val="22"/>
        </w:rPr>
        <w:t> </w:t>
      </w:r>
    </w:p>
    <w:p w14:paraId="1B933E62" w14:textId="2BA94422" w:rsidR="009B67DC" w:rsidRPr="009B67DC" w:rsidRDefault="009B67DC" w:rsidP="009B67DC">
      <w:pPr>
        <w:pStyle w:val="paragraph"/>
        <w:spacing w:before="0" w:after="0"/>
        <w:textAlignment w:val="baseline"/>
        <w:rPr>
          <w:rFonts w:asciiTheme="minorHAnsi" w:hAnsiTheme="minorHAnsi" w:cs="Segoe UI"/>
          <w:szCs w:val="22"/>
        </w:rPr>
      </w:pPr>
      <w:r w:rsidRPr="009B67DC">
        <w:rPr>
          <w:rStyle w:val="normaltextrun"/>
          <w:rFonts w:asciiTheme="minorHAnsi" w:hAnsiTheme="minorHAnsi" w:cs="Calibri"/>
          <w:szCs w:val="22"/>
        </w:rPr>
        <w:t>The</w:t>
      </w:r>
      <w:r w:rsidR="00F630FC">
        <w:rPr>
          <w:rStyle w:val="normaltextrun"/>
          <w:rFonts w:asciiTheme="minorHAnsi" w:hAnsiTheme="minorHAnsi" w:cs="Calibri"/>
          <w:szCs w:val="22"/>
        </w:rPr>
        <w:t xml:space="preserve"> </w:t>
      </w:r>
      <w:r w:rsidRPr="009B67DC">
        <w:rPr>
          <w:rStyle w:val="normaltextrun"/>
          <w:rFonts w:asciiTheme="minorHAnsi" w:hAnsiTheme="minorHAnsi" w:cs="Calibri"/>
          <w:szCs w:val="22"/>
        </w:rPr>
        <w:t>methodology</w:t>
      </w:r>
      <w:r w:rsidR="00F630FC">
        <w:rPr>
          <w:rStyle w:val="normaltextrun"/>
          <w:rFonts w:asciiTheme="minorHAnsi" w:hAnsiTheme="minorHAnsi" w:cs="Calibri"/>
          <w:szCs w:val="22"/>
        </w:rPr>
        <w:t xml:space="preserve"> </w:t>
      </w:r>
      <w:r w:rsidRPr="009B67DC">
        <w:rPr>
          <w:rStyle w:val="normaltextrun"/>
          <w:rFonts w:asciiTheme="minorHAnsi" w:hAnsiTheme="minorHAnsi" w:cs="Calibri"/>
          <w:szCs w:val="22"/>
        </w:rPr>
        <w:t>should:</w:t>
      </w:r>
      <w:r w:rsidRPr="009B67DC">
        <w:rPr>
          <w:rStyle w:val="eop"/>
          <w:rFonts w:asciiTheme="minorHAnsi" w:hAnsiTheme="minorHAnsi" w:cs="Calibri"/>
          <w:szCs w:val="22"/>
        </w:rPr>
        <w:t> </w:t>
      </w:r>
    </w:p>
    <w:p w14:paraId="7ACCF836" w14:textId="7FE74F69" w:rsidR="009B67DC" w:rsidRPr="009B67DC" w:rsidRDefault="00382EE8" w:rsidP="00115BD6">
      <w:pPr>
        <w:pStyle w:val="ListParagraph"/>
        <w:numPr>
          <w:ilvl w:val="0"/>
          <w:numId w:val="69"/>
        </w:numPr>
        <w:spacing w:after="0" w:line="300" w:lineRule="atLeast"/>
        <w:jc w:val="left"/>
        <w:rPr>
          <w:rFonts w:eastAsia="Times New Roman" w:cs="Segoe UI"/>
          <w:szCs w:val="22"/>
          <w:lang w:eastAsia="en-AU"/>
        </w:rPr>
      </w:pPr>
      <w:r>
        <w:rPr>
          <w:rFonts w:ascii="ZWAdobeF" w:eastAsia="Times New Roman" w:hAnsi="ZWAdobeF" w:cs="ZWAdobeF"/>
          <w:sz w:val="2"/>
          <w:szCs w:val="2"/>
          <w:lang w:eastAsia="en-AU"/>
        </w:rPr>
        <w:t>504B</w:t>
      </w:r>
      <w:r w:rsidR="009B67DC" w:rsidRPr="009B67DC">
        <w:rPr>
          <w:rFonts w:eastAsia="Times New Roman" w:cs="Segoe UI"/>
          <w:szCs w:val="22"/>
          <w:lang w:eastAsia="en-AU"/>
        </w:rPr>
        <w:t>reflect the forward-looking marginal opportunity cost of foregone electricity generation associated with water use</w:t>
      </w:r>
    </w:p>
    <w:p w14:paraId="245B1BD1" w14:textId="77777777" w:rsidR="009B67DC" w:rsidRPr="009B67DC" w:rsidRDefault="009B67DC" w:rsidP="00115BD6">
      <w:pPr>
        <w:pStyle w:val="paragraph"/>
        <w:numPr>
          <w:ilvl w:val="0"/>
          <w:numId w:val="69"/>
        </w:numPr>
        <w:spacing w:before="0" w:beforeAutospacing="0" w:after="0" w:afterAutospacing="0"/>
        <w:textAlignment w:val="baseline"/>
        <w:rPr>
          <w:rFonts w:asciiTheme="minorHAnsi" w:hAnsiTheme="minorHAnsi" w:cs="Calibri"/>
          <w:szCs w:val="22"/>
        </w:rPr>
      </w:pPr>
      <w:r w:rsidRPr="009B67DC">
        <w:rPr>
          <w:rStyle w:val="normaltextrun"/>
          <w:rFonts w:asciiTheme="minorHAnsi" w:hAnsiTheme="minorHAnsi" w:cs="Calibri"/>
          <w:szCs w:val="22"/>
        </w:rPr>
        <w:t>operate through a transparent, formula-based approach, applied consistently across all events</w:t>
      </w:r>
      <w:r w:rsidRPr="009B67DC">
        <w:rPr>
          <w:rStyle w:val="eop"/>
          <w:rFonts w:asciiTheme="minorHAnsi" w:hAnsiTheme="minorHAnsi" w:cs="Calibri"/>
          <w:szCs w:val="22"/>
        </w:rPr>
        <w:t> </w:t>
      </w:r>
    </w:p>
    <w:p w14:paraId="5646DF7D" w14:textId="60A6F3E4" w:rsidR="009B67DC" w:rsidRPr="009B67DC" w:rsidRDefault="00382EE8" w:rsidP="00115BD6">
      <w:pPr>
        <w:pStyle w:val="paragraph"/>
        <w:numPr>
          <w:ilvl w:val="0"/>
          <w:numId w:val="69"/>
        </w:numPr>
        <w:spacing w:before="0" w:beforeAutospacing="0" w:after="0" w:afterAutospacing="0"/>
        <w:textAlignment w:val="baseline"/>
        <w:rPr>
          <w:rFonts w:asciiTheme="minorHAnsi" w:hAnsiTheme="minorHAnsi" w:cs="Calibri"/>
          <w:szCs w:val="22"/>
        </w:rPr>
      </w:pPr>
      <w:r>
        <w:rPr>
          <w:rStyle w:val="normaltextrun"/>
          <w:rFonts w:ascii="ZWAdobeF" w:hAnsi="ZWAdobeF" w:cs="ZWAdobeF"/>
          <w:sz w:val="2"/>
          <w:szCs w:val="2"/>
        </w:rPr>
        <w:t>1499B</w:t>
      </w:r>
      <w:r w:rsidR="009B67DC" w:rsidRPr="009B67DC">
        <w:rPr>
          <w:rStyle w:val="normaltextrun"/>
          <w:rFonts w:asciiTheme="minorHAnsi" w:hAnsiTheme="minorHAnsi" w:cs="Calibri"/>
          <w:szCs w:val="22"/>
        </w:rPr>
        <w:t xml:space="preserve">be capable of responding to changing hydrological and </w:t>
      </w:r>
      <w:r w:rsidR="001917EA">
        <w:rPr>
          <w:rStyle w:val="normaltextrun"/>
          <w:rFonts w:asciiTheme="minorHAnsi" w:hAnsiTheme="minorHAnsi" w:cs="Calibri"/>
          <w:szCs w:val="22"/>
        </w:rPr>
        <w:t>energy demand</w:t>
      </w:r>
      <w:r w:rsidR="001917EA">
        <w:rPr>
          <w:rStyle w:val="eop"/>
          <w:rFonts w:asciiTheme="minorHAnsi" w:hAnsiTheme="minorHAnsi" w:cs="Calibri"/>
          <w:szCs w:val="22"/>
        </w:rPr>
        <w:t>.</w:t>
      </w:r>
    </w:p>
    <w:p w14:paraId="77F8B1F2" w14:textId="2856919F" w:rsidR="009B67DC" w:rsidRPr="009B67DC" w:rsidRDefault="001660D3" w:rsidP="009B67DC">
      <w:pPr>
        <w:pStyle w:val="paragraph"/>
        <w:spacing w:before="0" w:after="0"/>
        <w:textAlignment w:val="baseline"/>
        <w:rPr>
          <w:rFonts w:asciiTheme="minorHAnsi" w:hAnsiTheme="minorHAnsi" w:cs="Segoe UI"/>
          <w:szCs w:val="22"/>
        </w:rPr>
      </w:pPr>
      <w:r>
        <w:rPr>
          <w:rStyle w:val="normaltextrun"/>
          <w:rFonts w:asciiTheme="minorHAnsi" w:hAnsiTheme="minorHAnsi" w:cs="Calibri"/>
          <w:szCs w:val="22"/>
        </w:rPr>
        <w:t>T</w:t>
      </w:r>
      <w:r w:rsidR="009B67DC" w:rsidRPr="009B67DC">
        <w:rPr>
          <w:rStyle w:val="normaltextrun"/>
          <w:rFonts w:asciiTheme="minorHAnsi" w:hAnsiTheme="minorHAnsi" w:cs="Calibri"/>
          <w:szCs w:val="22"/>
        </w:rPr>
        <w:t>he</w:t>
      </w:r>
      <w:r>
        <w:rPr>
          <w:rStyle w:val="normaltextrun"/>
          <w:rFonts w:asciiTheme="minorHAnsi" w:hAnsiTheme="minorHAnsi" w:cs="Calibri"/>
          <w:szCs w:val="22"/>
        </w:rPr>
        <w:t xml:space="preserve"> </w:t>
      </w:r>
      <w:r w:rsidR="009B67DC" w:rsidRPr="009B67DC">
        <w:rPr>
          <w:rStyle w:val="normaltextrun"/>
          <w:rFonts w:asciiTheme="minorHAnsi" w:hAnsiTheme="minorHAnsi" w:cs="Calibri"/>
          <w:szCs w:val="22"/>
        </w:rPr>
        <w:t>methodology</w:t>
      </w:r>
      <w:r>
        <w:rPr>
          <w:rStyle w:val="normaltextrun"/>
          <w:rFonts w:asciiTheme="minorHAnsi" w:hAnsiTheme="minorHAnsi" w:cs="Calibri"/>
          <w:szCs w:val="22"/>
        </w:rPr>
        <w:t xml:space="preserve"> </w:t>
      </w:r>
      <w:r w:rsidR="009B67DC" w:rsidRPr="009B67DC">
        <w:rPr>
          <w:rStyle w:val="normaltextrun"/>
          <w:rFonts w:asciiTheme="minorHAnsi" w:hAnsiTheme="minorHAnsi" w:cs="Calibri"/>
          <w:szCs w:val="22"/>
        </w:rPr>
        <w:t>should provide</w:t>
      </w:r>
      <w:r>
        <w:rPr>
          <w:rStyle w:val="normaltextrun"/>
          <w:rFonts w:asciiTheme="minorHAnsi" w:hAnsiTheme="minorHAnsi" w:cs="Calibri"/>
          <w:szCs w:val="22"/>
        </w:rPr>
        <w:t>, at a minimum,</w:t>
      </w:r>
      <w:r w:rsidR="009B67DC" w:rsidRPr="009B67DC">
        <w:rPr>
          <w:rStyle w:val="normaltextrun"/>
          <w:rFonts w:asciiTheme="minorHAnsi" w:hAnsiTheme="minorHAnsi" w:cs="Calibri"/>
          <w:szCs w:val="22"/>
        </w:rPr>
        <w:t xml:space="preserve"> for:</w:t>
      </w:r>
      <w:r w:rsidR="009B67DC" w:rsidRPr="009B67DC">
        <w:rPr>
          <w:rStyle w:val="eop"/>
          <w:rFonts w:asciiTheme="minorHAnsi" w:hAnsiTheme="minorHAnsi" w:cs="Calibri"/>
          <w:szCs w:val="22"/>
        </w:rPr>
        <w:t> </w:t>
      </w:r>
    </w:p>
    <w:p w14:paraId="1ACF9491" w14:textId="77777777" w:rsidR="009B67DC" w:rsidRPr="009B67DC" w:rsidRDefault="009B67DC" w:rsidP="00115BD6">
      <w:pPr>
        <w:pStyle w:val="paragraph"/>
        <w:numPr>
          <w:ilvl w:val="0"/>
          <w:numId w:val="69"/>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b/>
          <w:bCs/>
          <w:szCs w:val="22"/>
        </w:rPr>
        <w:t>Forecast-based valuation</w:t>
      </w:r>
      <w:r w:rsidRPr="009B67DC">
        <w:rPr>
          <w:rStyle w:val="normaltextrun"/>
          <w:rFonts w:asciiTheme="minorHAnsi" w:hAnsiTheme="minorHAnsi"/>
          <w:szCs w:val="22"/>
        </w:rPr>
        <w:t> </w:t>
      </w:r>
    </w:p>
    <w:p w14:paraId="288337B3" w14:textId="77777777" w:rsidR="009B67DC" w:rsidRPr="009B67DC" w:rsidRDefault="009B67DC" w:rsidP="00796B2B">
      <w:pPr>
        <w:pStyle w:val="paragraph"/>
        <w:spacing w:before="0" w:beforeAutospacing="0" w:after="0" w:afterAutospacing="0" w:line="276" w:lineRule="auto"/>
        <w:ind w:left="720"/>
        <w:textAlignment w:val="baseline"/>
        <w:rPr>
          <w:rStyle w:val="normaltextrun"/>
          <w:rFonts w:asciiTheme="minorHAnsi" w:hAnsiTheme="minorHAnsi"/>
          <w:szCs w:val="22"/>
        </w:rPr>
      </w:pPr>
      <w:r w:rsidRPr="009B67DC">
        <w:rPr>
          <w:rStyle w:val="normaltextrun"/>
          <w:rFonts w:asciiTheme="minorHAnsi" w:hAnsiTheme="minorHAnsi" w:cs="Calibri"/>
          <w:szCs w:val="22"/>
        </w:rPr>
        <w:t>Payments or penalties should be determined using the expected market value of electricity associated with the relevant water, including:</w:t>
      </w:r>
      <w:r w:rsidRPr="009B67DC">
        <w:rPr>
          <w:rStyle w:val="normaltextrun"/>
          <w:rFonts w:asciiTheme="minorHAnsi" w:hAnsiTheme="minorHAnsi"/>
          <w:szCs w:val="22"/>
        </w:rPr>
        <w:t> </w:t>
      </w:r>
    </w:p>
    <w:p w14:paraId="4CFC8A45" w14:textId="77777777"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expected generation volumes</w:t>
      </w:r>
      <w:r w:rsidRPr="009B67DC">
        <w:rPr>
          <w:rStyle w:val="normaltextrun"/>
          <w:rFonts w:asciiTheme="minorHAnsi" w:hAnsiTheme="minorHAnsi"/>
          <w:szCs w:val="22"/>
        </w:rPr>
        <w:t> </w:t>
      </w:r>
    </w:p>
    <w:p w14:paraId="0F515468" w14:textId="77777777"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forecast electricity prices</w:t>
      </w:r>
      <w:r w:rsidRPr="009B67DC">
        <w:rPr>
          <w:rStyle w:val="normaltextrun"/>
          <w:rFonts w:asciiTheme="minorHAnsi" w:hAnsiTheme="minorHAnsi"/>
          <w:szCs w:val="22"/>
        </w:rPr>
        <w:t> </w:t>
      </w:r>
    </w:p>
    <w:p w14:paraId="3E1FDD5E" w14:textId="132A3A35"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system efficiency and storage impacts</w:t>
      </w:r>
      <w:r w:rsidR="00A47624">
        <w:rPr>
          <w:rStyle w:val="normaltextrun"/>
          <w:rFonts w:asciiTheme="minorHAnsi" w:hAnsiTheme="minorHAnsi" w:cs="Calibri"/>
          <w:szCs w:val="22"/>
        </w:rPr>
        <w:t>.</w:t>
      </w:r>
      <w:r w:rsidRPr="009B67DC">
        <w:rPr>
          <w:rStyle w:val="normaltextrun"/>
          <w:rFonts w:asciiTheme="minorHAnsi" w:hAnsiTheme="minorHAnsi"/>
          <w:szCs w:val="22"/>
        </w:rPr>
        <w:t> </w:t>
      </w:r>
    </w:p>
    <w:p w14:paraId="677C32D7" w14:textId="7547DAEF" w:rsidR="009B67DC" w:rsidRPr="009B67DC" w:rsidRDefault="00382EE8" w:rsidP="00115BD6">
      <w:pPr>
        <w:pStyle w:val="ListParagraph"/>
        <w:numPr>
          <w:ilvl w:val="0"/>
          <w:numId w:val="69"/>
        </w:numPr>
        <w:spacing w:after="0" w:line="276" w:lineRule="auto"/>
        <w:contextualSpacing w:val="0"/>
        <w:jc w:val="left"/>
        <w:rPr>
          <w:rStyle w:val="normaltextrun"/>
          <w:szCs w:val="22"/>
          <w:lang w:eastAsia="en-AU"/>
        </w:rPr>
      </w:pPr>
      <w:r>
        <w:rPr>
          <w:rFonts w:ascii="ZWAdobeF" w:eastAsia="Times New Roman" w:hAnsi="ZWAdobeF" w:cs="ZWAdobeF"/>
          <w:bCs/>
          <w:sz w:val="2"/>
          <w:szCs w:val="2"/>
          <w:lang w:eastAsia="en-AU"/>
        </w:rPr>
        <w:t>505B</w:t>
      </w:r>
      <w:r w:rsidR="009B67DC" w:rsidRPr="009B67DC">
        <w:rPr>
          <w:rFonts w:eastAsia="Times New Roman" w:cs="Calibri"/>
          <w:b/>
          <w:bCs/>
          <w:szCs w:val="22"/>
          <w:lang w:eastAsia="en-AU"/>
        </w:rPr>
        <w:t>Opportunity cost of timing</w:t>
      </w:r>
      <w:r w:rsidR="009B67DC" w:rsidRPr="009B67DC">
        <w:rPr>
          <w:rStyle w:val="normaltextrun"/>
          <w:szCs w:val="22"/>
          <w:lang w:eastAsia="en-AU"/>
        </w:rPr>
        <w:t> </w:t>
      </w:r>
    </w:p>
    <w:p w14:paraId="22B75E30" w14:textId="77777777" w:rsidR="009B67DC" w:rsidRPr="009B67DC" w:rsidRDefault="009B67DC" w:rsidP="00796B2B">
      <w:pPr>
        <w:pStyle w:val="paragraph"/>
        <w:spacing w:before="0" w:beforeAutospacing="0" w:after="0" w:afterAutospacing="0" w:line="276" w:lineRule="auto"/>
        <w:ind w:left="720"/>
        <w:textAlignment w:val="baseline"/>
        <w:rPr>
          <w:rFonts w:asciiTheme="minorHAnsi" w:hAnsiTheme="minorHAnsi" w:cs="Calibri"/>
          <w:szCs w:val="22"/>
        </w:rPr>
      </w:pPr>
      <w:r w:rsidRPr="009B67DC">
        <w:rPr>
          <w:rStyle w:val="normaltextrun"/>
          <w:rFonts w:asciiTheme="minorHAnsi" w:hAnsiTheme="minorHAnsi" w:cs="Calibri"/>
          <w:szCs w:val="22"/>
        </w:rPr>
        <w:t>The methodology should account for the value of deferring or accelerating water use, recognising that water stored has an option value for future generation.</w:t>
      </w:r>
      <w:r w:rsidRPr="009B67DC">
        <w:rPr>
          <w:rStyle w:val="eop"/>
          <w:rFonts w:asciiTheme="minorHAnsi" w:hAnsiTheme="minorHAnsi" w:cs="Calibri"/>
          <w:szCs w:val="22"/>
        </w:rPr>
        <w:t> </w:t>
      </w:r>
    </w:p>
    <w:p w14:paraId="6FA5297B" w14:textId="16271B1D" w:rsidR="009B67DC" w:rsidRPr="009B67DC" w:rsidRDefault="00382EE8" w:rsidP="00115BD6">
      <w:pPr>
        <w:pStyle w:val="paragraph"/>
        <w:numPr>
          <w:ilvl w:val="0"/>
          <w:numId w:val="70"/>
        </w:numPr>
        <w:spacing w:before="0" w:beforeAutospacing="0" w:after="0" w:afterAutospacing="0" w:line="276" w:lineRule="auto"/>
        <w:textAlignment w:val="baseline"/>
        <w:rPr>
          <w:rStyle w:val="scxw142649368"/>
          <w:rFonts w:asciiTheme="minorHAnsi" w:hAnsiTheme="minorHAnsi" w:cs="Calibri"/>
          <w:b/>
          <w:bCs/>
          <w:szCs w:val="22"/>
        </w:rPr>
      </w:pPr>
      <w:r>
        <w:rPr>
          <w:rFonts w:ascii="ZWAdobeF" w:hAnsi="ZWAdobeF" w:cs="ZWAdobeF"/>
          <w:bCs/>
          <w:sz w:val="2"/>
          <w:szCs w:val="2"/>
        </w:rPr>
        <w:t>1500B</w:t>
      </w:r>
      <w:r w:rsidR="009B67DC" w:rsidRPr="009B67DC">
        <w:rPr>
          <w:rFonts w:asciiTheme="minorHAnsi" w:hAnsiTheme="minorHAnsi" w:cs="Calibri"/>
          <w:b/>
          <w:bCs/>
          <w:szCs w:val="22"/>
        </w:rPr>
        <w:t>Defined calculation parameters</w:t>
      </w:r>
      <w:r w:rsidR="009B67DC" w:rsidRPr="009B67DC">
        <w:rPr>
          <w:rStyle w:val="scxw142649368"/>
          <w:rFonts w:asciiTheme="minorHAnsi" w:hAnsiTheme="minorHAnsi" w:cs="Calibri"/>
          <w:b/>
          <w:bCs/>
          <w:szCs w:val="22"/>
        </w:rPr>
        <w:t> </w:t>
      </w:r>
    </w:p>
    <w:p w14:paraId="2E354FEB" w14:textId="0CCFACDC" w:rsidR="009B67DC" w:rsidRPr="009B67DC" w:rsidRDefault="00382EE8" w:rsidP="00796B2B">
      <w:pPr>
        <w:pStyle w:val="paragraph"/>
        <w:spacing w:before="0" w:beforeAutospacing="0" w:after="0" w:afterAutospacing="0" w:line="276" w:lineRule="auto"/>
        <w:ind w:left="709"/>
        <w:textAlignment w:val="baseline"/>
        <w:rPr>
          <w:rFonts w:asciiTheme="minorHAnsi" w:hAnsiTheme="minorHAnsi" w:cs="Calibri"/>
          <w:szCs w:val="22"/>
        </w:rPr>
      </w:pPr>
      <w:r>
        <w:rPr>
          <w:rStyle w:val="normaltextrun"/>
          <w:rFonts w:ascii="ZWAdobeF" w:hAnsi="ZWAdobeF" w:cs="ZWAdobeF"/>
          <w:sz w:val="2"/>
          <w:szCs w:val="2"/>
        </w:rPr>
        <w:t>1501B</w:t>
      </w:r>
      <w:r w:rsidR="009B67DC" w:rsidRPr="009B67DC">
        <w:rPr>
          <w:rStyle w:val="normaltextrun"/>
          <w:rFonts w:asciiTheme="minorHAnsi" w:hAnsiTheme="minorHAnsi" w:cs="Calibri"/>
          <w:szCs w:val="22"/>
        </w:rPr>
        <w:t>Inputs to the formula (e.g. pricing references, modelling assumptions, time horizons) should be specified in advance to ensure consistency and reduce discretion at the point of application.</w:t>
      </w:r>
      <w:r w:rsidR="009B67DC" w:rsidRPr="009B67DC">
        <w:rPr>
          <w:rStyle w:val="eop"/>
          <w:rFonts w:asciiTheme="minorHAnsi" w:hAnsiTheme="minorHAnsi" w:cs="Calibri"/>
          <w:szCs w:val="22"/>
        </w:rPr>
        <w:t> </w:t>
      </w:r>
      <w:r w:rsidR="008C7790" w:rsidRPr="008C7790">
        <w:rPr>
          <w:rFonts w:asciiTheme="minorHAnsi" w:hAnsiTheme="minorHAnsi" w:cs="Calibri"/>
          <w:szCs w:val="22"/>
        </w:rPr>
        <w:t>To the extent possible, the parameters should be independently sourced, including from AEMO or the ASX, or verifiable data including reservoir levels.</w:t>
      </w:r>
    </w:p>
    <w:p w14:paraId="4E47A424" w14:textId="77777777" w:rsidR="009B67DC" w:rsidRPr="009B67DC" w:rsidRDefault="009B67DC" w:rsidP="00115BD6">
      <w:pPr>
        <w:pStyle w:val="paragraph"/>
        <w:numPr>
          <w:ilvl w:val="0"/>
          <w:numId w:val="71"/>
        </w:numPr>
        <w:spacing w:before="0" w:beforeAutospacing="0" w:after="0" w:afterAutospacing="0" w:line="276" w:lineRule="auto"/>
        <w:textAlignment w:val="baseline"/>
        <w:rPr>
          <w:rFonts w:asciiTheme="minorHAnsi" w:hAnsiTheme="minorHAnsi" w:cs="Calibri"/>
          <w:szCs w:val="22"/>
        </w:rPr>
      </w:pPr>
      <w:r w:rsidRPr="009B67DC">
        <w:rPr>
          <w:rStyle w:val="normaltextrun"/>
          <w:rFonts w:asciiTheme="minorHAnsi" w:hAnsiTheme="minorHAnsi" w:cs="Calibri"/>
          <w:b/>
          <w:bCs/>
          <w:szCs w:val="22"/>
        </w:rPr>
        <w:t>Symmetric application</w:t>
      </w:r>
      <w:r w:rsidRPr="009B67DC">
        <w:rPr>
          <w:rStyle w:val="scxw142649368"/>
          <w:rFonts w:asciiTheme="minorHAnsi" w:hAnsiTheme="minorHAnsi" w:cs="Calibri"/>
          <w:szCs w:val="22"/>
        </w:rPr>
        <w:t> </w:t>
      </w:r>
      <w:r w:rsidRPr="009B67DC">
        <w:rPr>
          <w:rFonts w:asciiTheme="minorHAnsi" w:hAnsiTheme="minorHAnsi" w:cs="Calibri"/>
          <w:szCs w:val="22"/>
        </w:rPr>
        <w:br/>
      </w:r>
      <w:r w:rsidRPr="009B67DC">
        <w:rPr>
          <w:rStyle w:val="normaltextrun"/>
          <w:rFonts w:asciiTheme="minorHAnsi" w:hAnsiTheme="minorHAnsi" w:cs="Calibri"/>
          <w:szCs w:val="22"/>
        </w:rPr>
        <w:t>The same valuation framework should apply:</w:t>
      </w:r>
      <w:r w:rsidRPr="009B67DC">
        <w:rPr>
          <w:rStyle w:val="eop"/>
          <w:rFonts w:asciiTheme="minorHAnsi" w:hAnsiTheme="minorHAnsi" w:cs="Calibri"/>
          <w:szCs w:val="22"/>
        </w:rPr>
        <w:t> </w:t>
      </w:r>
    </w:p>
    <w:p w14:paraId="2D70D4A4" w14:textId="77777777"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where governments request actions outside the envelope (resulting in payment), and</w:t>
      </w:r>
      <w:r w:rsidRPr="009B67DC">
        <w:rPr>
          <w:rStyle w:val="normaltextrun"/>
          <w:rFonts w:asciiTheme="minorHAnsi" w:hAnsiTheme="minorHAnsi"/>
          <w:szCs w:val="22"/>
        </w:rPr>
        <w:t> </w:t>
      </w:r>
    </w:p>
    <w:p w14:paraId="5C9A7011" w14:textId="5441EEA7"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where Snowy Hydro fails to meet agreed obligations (resulting in penalty)</w:t>
      </w:r>
      <w:r w:rsidR="008B40A6">
        <w:rPr>
          <w:rStyle w:val="normaltextrun"/>
          <w:rFonts w:asciiTheme="minorHAnsi" w:hAnsiTheme="minorHAnsi" w:cs="Calibri"/>
          <w:szCs w:val="22"/>
        </w:rPr>
        <w:t>.</w:t>
      </w:r>
      <w:r w:rsidRPr="009B67DC">
        <w:rPr>
          <w:rStyle w:val="normaltextrun"/>
          <w:rFonts w:asciiTheme="minorHAnsi" w:hAnsiTheme="minorHAnsi"/>
          <w:szCs w:val="22"/>
        </w:rPr>
        <w:t> </w:t>
      </w:r>
    </w:p>
    <w:p w14:paraId="2BCA29DF" w14:textId="513950CF" w:rsidR="009B67DC" w:rsidRPr="009B67DC" w:rsidRDefault="009B67DC" w:rsidP="00115BD6">
      <w:pPr>
        <w:pStyle w:val="paragraph"/>
        <w:numPr>
          <w:ilvl w:val="0"/>
          <w:numId w:val="68"/>
        </w:numPr>
        <w:spacing w:before="0" w:beforeAutospacing="0" w:after="0" w:afterAutospacing="0" w:line="276" w:lineRule="auto"/>
        <w:textAlignment w:val="baseline"/>
        <w:rPr>
          <w:rFonts w:asciiTheme="minorHAnsi" w:hAnsiTheme="minorHAnsi" w:cs="Calibri"/>
          <w:szCs w:val="22"/>
        </w:rPr>
      </w:pPr>
      <w:r w:rsidRPr="009B67DC">
        <w:rPr>
          <w:rStyle w:val="normaltextrun"/>
          <w:rFonts w:asciiTheme="minorHAnsi" w:hAnsiTheme="minorHAnsi" w:cs="Calibri"/>
          <w:b/>
          <w:bCs/>
          <w:szCs w:val="22"/>
        </w:rPr>
        <w:t>Independent oversight and periodic review</w:t>
      </w:r>
      <w:r w:rsidRPr="009B67DC">
        <w:rPr>
          <w:rStyle w:val="scxw142649368"/>
          <w:rFonts w:asciiTheme="minorHAnsi" w:hAnsiTheme="minorHAnsi" w:cs="Calibri"/>
          <w:szCs w:val="22"/>
        </w:rPr>
        <w:t> </w:t>
      </w:r>
      <w:r w:rsidRPr="009B67DC">
        <w:rPr>
          <w:rFonts w:asciiTheme="minorHAnsi" w:hAnsiTheme="minorHAnsi" w:cs="Calibri"/>
          <w:szCs w:val="22"/>
        </w:rPr>
        <w:br/>
      </w:r>
      <w:r w:rsidRPr="009B67DC">
        <w:rPr>
          <w:rStyle w:val="normaltextrun"/>
          <w:rFonts w:asciiTheme="minorHAnsi" w:hAnsiTheme="minorHAnsi" w:cs="Calibri"/>
          <w:szCs w:val="22"/>
        </w:rPr>
        <w:t xml:space="preserve">The methodology should be set </w:t>
      </w:r>
      <w:r w:rsidR="00046D3A">
        <w:rPr>
          <w:rStyle w:val="normaltextrun"/>
          <w:rFonts w:asciiTheme="minorHAnsi" w:hAnsiTheme="minorHAnsi" w:cs="Calibri"/>
          <w:szCs w:val="22"/>
        </w:rPr>
        <w:t>and</w:t>
      </w:r>
      <w:r w:rsidRPr="009B67DC">
        <w:rPr>
          <w:rStyle w:val="normaltextrun"/>
          <w:rFonts w:asciiTheme="minorHAnsi" w:hAnsiTheme="minorHAnsi" w:cs="Calibri"/>
          <w:szCs w:val="22"/>
        </w:rPr>
        <w:t xml:space="preserve"> periodically reviewed by an independent body (such as an economic regulator) to:</w:t>
      </w:r>
      <w:r w:rsidRPr="009B67DC">
        <w:rPr>
          <w:rStyle w:val="eop"/>
          <w:rFonts w:asciiTheme="minorHAnsi" w:hAnsiTheme="minorHAnsi" w:cs="Calibri"/>
          <w:szCs w:val="22"/>
        </w:rPr>
        <w:t> </w:t>
      </w:r>
    </w:p>
    <w:p w14:paraId="05B526DC" w14:textId="77777777"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maintain alignment with market conditions</w:t>
      </w:r>
      <w:r w:rsidRPr="009B67DC">
        <w:rPr>
          <w:rStyle w:val="normaltextrun"/>
          <w:rFonts w:asciiTheme="minorHAnsi" w:hAnsiTheme="minorHAnsi"/>
          <w:szCs w:val="22"/>
        </w:rPr>
        <w:t> </w:t>
      </w:r>
    </w:p>
    <w:p w14:paraId="11A0670B" w14:textId="32DC298F" w:rsidR="009B67DC" w:rsidRPr="009B67DC" w:rsidRDefault="009B67DC" w:rsidP="00115BD6">
      <w:pPr>
        <w:pStyle w:val="paragraph"/>
        <w:numPr>
          <w:ilvl w:val="1"/>
          <w:numId w:val="67"/>
        </w:numPr>
        <w:spacing w:before="0" w:beforeAutospacing="0" w:after="0" w:afterAutospacing="0" w:line="276" w:lineRule="auto"/>
        <w:textAlignment w:val="baseline"/>
        <w:rPr>
          <w:rStyle w:val="normaltextrun"/>
          <w:rFonts w:asciiTheme="minorHAnsi" w:hAnsiTheme="minorHAnsi"/>
          <w:szCs w:val="22"/>
        </w:rPr>
      </w:pPr>
      <w:r w:rsidRPr="009B67DC">
        <w:rPr>
          <w:rStyle w:val="normaltextrun"/>
          <w:rFonts w:asciiTheme="minorHAnsi" w:hAnsiTheme="minorHAnsi" w:cs="Calibri"/>
          <w:szCs w:val="22"/>
        </w:rPr>
        <w:t>ensure credibility and transparency over time</w:t>
      </w:r>
      <w:r w:rsidR="006478F9">
        <w:rPr>
          <w:rStyle w:val="normaltextrun"/>
          <w:rFonts w:asciiTheme="minorHAnsi" w:hAnsiTheme="minorHAnsi" w:cs="Calibri"/>
          <w:szCs w:val="22"/>
        </w:rPr>
        <w:t>.</w:t>
      </w:r>
      <w:r w:rsidRPr="009B67DC">
        <w:rPr>
          <w:rStyle w:val="normaltextrun"/>
          <w:rFonts w:asciiTheme="minorHAnsi" w:hAnsiTheme="minorHAnsi"/>
          <w:szCs w:val="22"/>
        </w:rPr>
        <w:t> </w:t>
      </w:r>
    </w:p>
    <w:p w14:paraId="519DCF69" w14:textId="6E661F6E" w:rsidR="009B67DC" w:rsidRPr="009B67DC" w:rsidRDefault="009B67DC" w:rsidP="009B67DC">
      <w:pPr>
        <w:pStyle w:val="paragraph"/>
        <w:spacing w:before="0" w:after="0"/>
        <w:textAlignment w:val="baseline"/>
        <w:rPr>
          <w:rFonts w:asciiTheme="minorHAnsi" w:hAnsiTheme="minorHAnsi" w:cs="Segoe UI"/>
          <w:szCs w:val="22"/>
        </w:rPr>
      </w:pPr>
      <w:r w:rsidRPr="009B67DC">
        <w:rPr>
          <w:rStyle w:val="normaltextrun"/>
          <w:rFonts w:asciiTheme="minorHAnsi" w:hAnsiTheme="minorHAnsi" w:cs="Calibri"/>
          <w:szCs w:val="22"/>
        </w:rPr>
        <w:t>This approach replaces ad hoc compensation with a rules-based mechanism, where financial outcomes are determined by a known formula rather than negotiated case-by-case. </w:t>
      </w:r>
      <w:r w:rsidRPr="009B67DC">
        <w:rPr>
          <w:rStyle w:val="eop"/>
          <w:rFonts w:asciiTheme="minorHAnsi" w:hAnsiTheme="minorHAnsi" w:cs="Calibri"/>
          <w:szCs w:val="22"/>
        </w:rPr>
        <w:t> </w:t>
      </w:r>
    </w:p>
    <w:p w14:paraId="2C22D5FF" w14:textId="77777777" w:rsidR="00133DA6" w:rsidRDefault="00133DA6" w:rsidP="00133DA6"/>
    <w:p w14:paraId="5207470C" w14:textId="7B6D5355" w:rsidR="00781C89" w:rsidRDefault="009B67DC" w:rsidP="001B1EBE">
      <w:pPr>
        <w:pStyle w:val="Sub-Heading"/>
      </w:pPr>
      <w:r>
        <w:lastRenderedPageBreak/>
        <w:t>Define institutional roles</w:t>
      </w:r>
    </w:p>
    <w:p w14:paraId="0EA6767D" w14:textId="77777777" w:rsidR="00AE2209" w:rsidRPr="00AE2209" w:rsidRDefault="00AE2209" w:rsidP="00AE2209">
      <w:pPr>
        <w:rPr>
          <w:rFonts w:cs="Segoe UI"/>
          <w:sz w:val="18"/>
          <w:szCs w:val="18"/>
        </w:rPr>
      </w:pPr>
      <w:r w:rsidRPr="00AE2209">
        <w:rPr>
          <w:rStyle w:val="normaltextrun"/>
          <w:rFonts w:cs="Calibri"/>
          <w:szCs w:val="22"/>
        </w:rPr>
        <w:t>Responsibilities for applying the framework should be clearly allocated to ensure independence and accountability.</w:t>
      </w:r>
      <w:r w:rsidRPr="00AE2209">
        <w:rPr>
          <w:rStyle w:val="eop"/>
          <w:rFonts w:cs="Calibri"/>
          <w:szCs w:val="22"/>
        </w:rPr>
        <w:t> </w:t>
      </w:r>
    </w:p>
    <w:p w14:paraId="231C598D" w14:textId="77777777" w:rsidR="00AE2209" w:rsidRPr="00AE2209" w:rsidRDefault="00AE2209" w:rsidP="00AE2209">
      <w:pPr>
        <w:rPr>
          <w:rFonts w:cs="Segoe UI"/>
          <w:sz w:val="18"/>
          <w:szCs w:val="18"/>
        </w:rPr>
      </w:pPr>
      <w:r w:rsidRPr="00AE2209">
        <w:rPr>
          <w:rStyle w:val="normaltextrun"/>
          <w:rFonts w:cs="Calibri"/>
          <w:szCs w:val="22"/>
        </w:rPr>
        <w:t>This should include:</w:t>
      </w:r>
      <w:r w:rsidRPr="00AE2209">
        <w:rPr>
          <w:rStyle w:val="eop"/>
          <w:rFonts w:cs="Calibri"/>
          <w:szCs w:val="22"/>
        </w:rPr>
        <w:t> </w:t>
      </w:r>
    </w:p>
    <w:p w14:paraId="11A43C49" w14:textId="77777777" w:rsidR="00AE2209" w:rsidRPr="00AE2209" w:rsidRDefault="00AE2209" w:rsidP="00115BD6">
      <w:pPr>
        <w:pStyle w:val="ListParagraph"/>
        <w:numPr>
          <w:ilvl w:val="0"/>
          <w:numId w:val="69"/>
        </w:numPr>
      </w:pPr>
      <w:r w:rsidRPr="00AE2209">
        <w:rPr>
          <w:rStyle w:val="normaltextrun"/>
          <w:rFonts w:cs="Calibri"/>
          <w:szCs w:val="22"/>
        </w:rPr>
        <w:t>governments defining the operating envelope and policy parameters</w:t>
      </w:r>
      <w:r w:rsidRPr="00AE2209">
        <w:rPr>
          <w:rStyle w:val="eop"/>
          <w:rFonts w:cs="Calibri"/>
          <w:szCs w:val="22"/>
        </w:rPr>
        <w:t> </w:t>
      </w:r>
    </w:p>
    <w:p w14:paraId="64A969A0" w14:textId="77777777" w:rsidR="00AE2209" w:rsidRPr="00AE2209" w:rsidRDefault="00AE2209" w:rsidP="00115BD6">
      <w:pPr>
        <w:pStyle w:val="ListParagraph"/>
        <w:numPr>
          <w:ilvl w:val="0"/>
          <w:numId w:val="69"/>
        </w:numPr>
      </w:pPr>
      <w:r w:rsidRPr="00AE2209">
        <w:rPr>
          <w:rStyle w:val="normaltextrun"/>
          <w:rFonts w:cs="Calibri"/>
          <w:szCs w:val="22"/>
        </w:rPr>
        <w:t>an independent decision-making function determining whether triggers are met should there be a dispute</w:t>
      </w:r>
      <w:r w:rsidRPr="00AE2209">
        <w:rPr>
          <w:rStyle w:val="eop"/>
          <w:rFonts w:cs="Calibri"/>
          <w:szCs w:val="22"/>
        </w:rPr>
        <w:t> </w:t>
      </w:r>
    </w:p>
    <w:p w14:paraId="5246064D" w14:textId="77777777" w:rsidR="00AE2209" w:rsidRPr="00AE2209" w:rsidRDefault="00AE2209" w:rsidP="00115BD6">
      <w:pPr>
        <w:pStyle w:val="ListParagraph"/>
        <w:numPr>
          <w:ilvl w:val="0"/>
          <w:numId w:val="69"/>
        </w:numPr>
      </w:pPr>
      <w:r w:rsidRPr="00AE2209">
        <w:rPr>
          <w:rStyle w:val="normaltextrun"/>
          <w:rFonts w:cs="Calibri"/>
          <w:szCs w:val="22"/>
        </w:rPr>
        <w:t>an economic regulator responsible for establishing or reviewing valuation methods</w:t>
      </w:r>
      <w:r w:rsidRPr="00AE2209">
        <w:rPr>
          <w:rStyle w:val="eop"/>
          <w:rFonts w:cs="Calibri"/>
          <w:szCs w:val="22"/>
        </w:rPr>
        <w:t> </w:t>
      </w:r>
    </w:p>
    <w:p w14:paraId="636C9661" w14:textId="788551C6" w:rsidR="00AE2209" w:rsidRPr="00AE2209" w:rsidRDefault="00AE2209" w:rsidP="00115BD6">
      <w:pPr>
        <w:pStyle w:val="ListParagraph"/>
        <w:numPr>
          <w:ilvl w:val="0"/>
          <w:numId w:val="69"/>
        </w:numPr>
      </w:pPr>
      <w:r w:rsidRPr="00AE2209">
        <w:rPr>
          <w:rStyle w:val="normaltextrun"/>
          <w:rFonts w:cs="Calibri"/>
          <w:szCs w:val="22"/>
        </w:rPr>
        <w:t>Snowy Hydro operating within the envelope and subject to outcomes</w:t>
      </w:r>
      <w:r w:rsidRPr="00AE2209">
        <w:rPr>
          <w:rStyle w:val="eop"/>
          <w:rFonts w:cs="Calibri"/>
          <w:szCs w:val="22"/>
        </w:rPr>
        <w:t> </w:t>
      </w:r>
    </w:p>
    <w:p w14:paraId="57D20258" w14:textId="02E2452E" w:rsidR="00AE2209" w:rsidRPr="00AE2209" w:rsidRDefault="00AE2209" w:rsidP="00115BD6">
      <w:pPr>
        <w:pStyle w:val="ListParagraph"/>
        <w:numPr>
          <w:ilvl w:val="0"/>
          <w:numId w:val="69"/>
        </w:numPr>
      </w:pPr>
      <w:r w:rsidRPr="00AE2209">
        <w:rPr>
          <w:rStyle w:val="normaltextrun"/>
          <w:rFonts w:cs="Calibri"/>
          <w:szCs w:val="22"/>
        </w:rPr>
        <w:t>independent audit and assurance of performance and application</w:t>
      </w:r>
      <w:r w:rsidR="00DF512E">
        <w:rPr>
          <w:rStyle w:val="normaltextrun"/>
          <w:rFonts w:cs="Calibri"/>
          <w:szCs w:val="22"/>
        </w:rPr>
        <w:t>.</w:t>
      </w:r>
      <w:r w:rsidRPr="00AE2209">
        <w:rPr>
          <w:rStyle w:val="eop"/>
          <w:rFonts w:cs="Calibri"/>
          <w:szCs w:val="22"/>
        </w:rPr>
        <w:t> </w:t>
      </w:r>
    </w:p>
    <w:p w14:paraId="2EB0D485" w14:textId="77777777" w:rsidR="00AE2209" w:rsidRPr="00AE2209" w:rsidRDefault="00AE2209" w:rsidP="00AE2209">
      <w:pPr>
        <w:rPr>
          <w:rFonts w:cs="Segoe UI"/>
          <w:sz w:val="18"/>
          <w:szCs w:val="18"/>
        </w:rPr>
      </w:pPr>
      <w:r w:rsidRPr="00AE2209">
        <w:rPr>
          <w:rStyle w:val="normaltextrun"/>
          <w:rFonts w:cs="Calibri"/>
          <w:szCs w:val="22"/>
        </w:rPr>
        <w:t>Separation of roles is essential to avoid conflicts between operational, commercial and public interest functions.</w:t>
      </w:r>
      <w:r w:rsidRPr="00AE2209">
        <w:rPr>
          <w:rStyle w:val="eop"/>
          <w:rFonts w:cs="Calibri"/>
          <w:szCs w:val="22"/>
        </w:rPr>
        <w:t> </w:t>
      </w:r>
    </w:p>
    <w:p w14:paraId="065017B4" w14:textId="4C33F11D" w:rsidR="009B67DC" w:rsidRDefault="00AE2209" w:rsidP="00AE2209">
      <w:pPr>
        <w:pStyle w:val="Sub-Heading"/>
      </w:pPr>
      <w:r>
        <w:t>Establish</w:t>
      </w:r>
      <w:r w:rsidR="008C07AB">
        <w:t xml:space="preserve"> financial flows and reinvestment mechanisms</w:t>
      </w:r>
    </w:p>
    <w:p w14:paraId="5B4CD5A5" w14:textId="77777777" w:rsidR="00BF0D80" w:rsidRPr="00BF0D80" w:rsidRDefault="00BF0D80" w:rsidP="00BF0D80">
      <w:pPr>
        <w:pStyle w:val="paragraph"/>
        <w:spacing w:before="0" w:after="0"/>
        <w:textAlignment w:val="baseline"/>
        <w:rPr>
          <w:rFonts w:asciiTheme="minorHAnsi" w:hAnsiTheme="minorHAnsi" w:cs="Segoe UI"/>
          <w:sz w:val="18"/>
          <w:szCs w:val="18"/>
        </w:rPr>
      </w:pPr>
      <w:r w:rsidRPr="00BF0D80">
        <w:rPr>
          <w:rStyle w:val="normaltextrun"/>
          <w:rFonts w:asciiTheme="minorHAnsi" w:hAnsiTheme="minorHAnsi" w:cs="Calibri"/>
          <w:szCs w:val="22"/>
        </w:rPr>
        <w:t>Arrangements should be established to manage payments and penalties arising from the framework.</w:t>
      </w:r>
      <w:r w:rsidRPr="00BF0D80">
        <w:rPr>
          <w:rStyle w:val="eop"/>
          <w:rFonts w:asciiTheme="minorHAnsi" w:hAnsiTheme="minorHAnsi" w:cs="Calibri"/>
          <w:szCs w:val="22"/>
        </w:rPr>
        <w:t> </w:t>
      </w:r>
    </w:p>
    <w:p w14:paraId="2DAD1394" w14:textId="77777777" w:rsidR="00BF0D80" w:rsidRPr="00BF0D80" w:rsidRDefault="00BF0D80" w:rsidP="00BF0D80">
      <w:pPr>
        <w:pStyle w:val="paragraph"/>
        <w:spacing w:before="0" w:after="0"/>
        <w:textAlignment w:val="baseline"/>
        <w:rPr>
          <w:rFonts w:asciiTheme="minorHAnsi" w:hAnsiTheme="minorHAnsi" w:cs="Segoe UI"/>
          <w:sz w:val="18"/>
          <w:szCs w:val="18"/>
        </w:rPr>
      </w:pPr>
      <w:r w:rsidRPr="00BF0D80">
        <w:rPr>
          <w:rStyle w:val="normaltextrun"/>
          <w:rFonts w:asciiTheme="minorHAnsi" w:hAnsiTheme="minorHAnsi" w:cs="Calibri"/>
          <w:szCs w:val="22"/>
        </w:rPr>
        <w:t>This should include:</w:t>
      </w:r>
      <w:r w:rsidRPr="00BF0D80">
        <w:rPr>
          <w:rStyle w:val="eop"/>
          <w:rFonts w:asciiTheme="minorHAnsi" w:hAnsiTheme="minorHAnsi" w:cs="Calibri"/>
          <w:szCs w:val="22"/>
        </w:rPr>
        <w:t> </w:t>
      </w:r>
    </w:p>
    <w:p w14:paraId="63D4D92C" w14:textId="77777777" w:rsidR="00BF0D80" w:rsidRPr="00BF0D80" w:rsidRDefault="00BF0D80" w:rsidP="00115BD6">
      <w:pPr>
        <w:pStyle w:val="paragraph"/>
        <w:numPr>
          <w:ilvl w:val="0"/>
          <w:numId w:val="68"/>
        </w:numPr>
        <w:spacing w:before="0" w:beforeAutospacing="0" w:after="0" w:afterAutospacing="0"/>
        <w:textAlignment w:val="baseline"/>
        <w:rPr>
          <w:rFonts w:asciiTheme="minorHAnsi" w:hAnsiTheme="minorHAnsi" w:cs="Calibri"/>
          <w:szCs w:val="22"/>
        </w:rPr>
      </w:pPr>
      <w:r w:rsidRPr="00BF0D80">
        <w:rPr>
          <w:rStyle w:val="normaltextrun"/>
          <w:rFonts w:asciiTheme="minorHAnsi" w:hAnsiTheme="minorHAnsi" w:cs="Calibri"/>
          <w:szCs w:val="22"/>
        </w:rPr>
        <w:t>mechanisms for calculating and processing financial flows</w:t>
      </w:r>
      <w:r w:rsidRPr="00BF0D80">
        <w:rPr>
          <w:rStyle w:val="eop"/>
          <w:rFonts w:asciiTheme="minorHAnsi" w:hAnsiTheme="minorHAnsi" w:cs="Calibri"/>
          <w:szCs w:val="22"/>
        </w:rPr>
        <w:t> </w:t>
      </w:r>
    </w:p>
    <w:p w14:paraId="779C66F7" w14:textId="073973A8" w:rsidR="00BF0D80" w:rsidRPr="00BF0D80" w:rsidRDefault="00BF0D80" w:rsidP="00115BD6">
      <w:pPr>
        <w:pStyle w:val="paragraph"/>
        <w:numPr>
          <w:ilvl w:val="0"/>
          <w:numId w:val="68"/>
        </w:numPr>
        <w:spacing w:before="0" w:beforeAutospacing="0" w:after="0" w:afterAutospacing="0"/>
        <w:textAlignment w:val="baseline"/>
        <w:rPr>
          <w:rFonts w:asciiTheme="minorHAnsi" w:hAnsiTheme="minorHAnsi" w:cs="Calibri"/>
          <w:szCs w:val="22"/>
        </w:rPr>
      </w:pPr>
      <w:r w:rsidRPr="00BF0D80">
        <w:rPr>
          <w:rStyle w:val="normaltextrun"/>
          <w:rFonts w:asciiTheme="minorHAnsi" w:hAnsiTheme="minorHAnsi" w:cs="Calibri"/>
          <w:szCs w:val="22"/>
        </w:rPr>
        <w:t xml:space="preserve">establishment of a dedicated fund or account (see Funding </w:t>
      </w:r>
      <w:r w:rsidR="00A72E52">
        <w:rPr>
          <w:rStyle w:val="normaltextrun"/>
          <w:rFonts w:asciiTheme="minorHAnsi" w:hAnsiTheme="minorHAnsi" w:cs="Calibri"/>
          <w:b/>
          <w:bCs/>
          <w:szCs w:val="22"/>
        </w:rPr>
        <w:t>C</w:t>
      </w:r>
      <w:r w:rsidRPr="00D33D27">
        <w:rPr>
          <w:rStyle w:val="normaltextrun"/>
          <w:rFonts w:asciiTheme="minorHAnsi" w:hAnsiTheme="minorHAnsi" w:cs="Calibri"/>
          <w:b/>
          <w:bCs/>
          <w:szCs w:val="22"/>
        </w:rPr>
        <w:t>hapter</w:t>
      </w:r>
      <w:r w:rsidR="00A72E52">
        <w:rPr>
          <w:rStyle w:val="normaltextrun"/>
          <w:rFonts w:asciiTheme="minorHAnsi" w:hAnsiTheme="minorHAnsi" w:cs="Calibri"/>
          <w:b/>
          <w:bCs/>
          <w:szCs w:val="22"/>
        </w:rPr>
        <w:t xml:space="preserve"> 7</w:t>
      </w:r>
      <w:r w:rsidRPr="00BF0D80">
        <w:rPr>
          <w:rStyle w:val="normaltextrun"/>
          <w:rFonts w:asciiTheme="minorHAnsi" w:hAnsiTheme="minorHAnsi" w:cs="Calibri"/>
          <w:szCs w:val="22"/>
        </w:rPr>
        <w:t>)</w:t>
      </w:r>
      <w:r w:rsidRPr="00BF0D80">
        <w:rPr>
          <w:rStyle w:val="eop"/>
          <w:rFonts w:asciiTheme="minorHAnsi" w:hAnsiTheme="minorHAnsi" w:cs="Calibri"/>
          <w:szCs w:val="22"/>
        </w:rPr>
        <w:t> </w:t>
      </w:r>
    </w:p>
    <w:p w14:paraId="462706D8" w14:textId="7DCBC19D" w:rsidR="00BF0D80" w:rsidRPr="00BF0D80" w:rsidRDefault="00382EE8" w:rsidP="00115BD6">
      <w:pPr>
        <w:pStyle w:val="paragraph"/>
        <w:numPr>
          <w:ilvl w:val="0"/>
          <w:numId w:val="68"/>
        </w:numPr>
        <w:spacing w:before="0" w:beforeAutospacing="0" w:after="0" w:afterAutospacing="0"/>
        <w:textAlignment w:val="baseline"/>
        <w:rPr>
          <w:rFonts w:asciiTheme="minorHAnsi" w:hAnsiTheme="minorHAnsi" w:cs="Calibri"/>
          <w:szCs w:val="22"/>
        </w:rPr>
      </w:pPr>
      <w:r>
        <w:rPr>
          <w:rStyle w:val="normaltextrun"/>
          <w:rFonts w:ascii="ZWAdobeF" w:hAnsi="ZWAdobeF" w:cs="ZWAdobeF"/>
          <w:sz w:val="2"/>
          <w:szCs w:val="2"/>
        </w:rPr>
        <w:t>1502B</w:t>
      </w:r>
      <w:r w:rsidR="00BF0D80" w:rsidRPr="00BF0D80">
        <w:rPr>
          <w:rStyle w:val="normaltextrun"/>
          <w:rFonts w:asciiTheme="minorHAnsi" w:hAnsiTheme="minorHAnsi" w:cs="Calibri"/>
          <w:szCs w:val="22"/>
        </w:rPr>
        <w:t>defined principles for reinvestment in environmental outcomes and system improvements</w:t>
      </w:r>
      <w:r w:rsidR="00F17CCE">
        <w:rPr>
          <w:rStyle w:val="eop"/>
          <w:rFonts w:asciiTheme="minorHAnsi" w:hAnsiTheme="minorHAnsi" w:cs="Calibri"/>
          <w:szCs w:val="22"/>
        </w:rPr>
        <w:t>.</w:t>
      </w:r>
    </w:p>
    <w:p w14:paraId="623E62B6" w14:textId="77777777" w:rsidR="00BF0D80" w:rsidRPr="00BF0D80" w:rsidRDefault="00BF0D80" w:rsidP="00BF0D80">
      <w:pPr>
        <w:pStyle w:val="paragraph"/>
        <w:spacing w:before="0" w:after="0"/>
        <w:textAlignment w:val="baseline"/>
        <w:rPr>
          <w:rFonts w:asciiTheme="minorHAnsi" w:hAnsiTheme="minorHAnsi" w:cs="Segoe UI"/>
          <w:sz w:val="18"/>
          <w:szCs w:val="18"/>
        </w:rPr>
      </w:pPr>
      <w:r w:rsidRPr="00BF0D80">
        <w:rPr>
          <w:rStyle w:val="normaltextrun"/>
          <w:rFonts w:asciiTheme="minorHAnsi" w:hAnsiTheme="minorHAnsi" w:cs="Calibri"/>
          <w:szCs w:val="22"/>
        </w:rPr>
        <w:t>This ensures that financial outcomes support system objectives over time.</w:t>
      </w:r>
      <w:r w:rsidRPr="00BF0D80">
        <w:rPr>
          <w:rStyle w:val="eop"/>
          <w:rFonts w:asciiTheme="minorHAnsi" w:hAnsiTheme="minorHAnsi" w:cs="Calibri"/>
          <w:szCs w:val="22"/>
        </w:rPr>
        <w:t> </w:t>
      </w:r>
    </w:p>
    <w:p w14:paraId="7B2AEFA8" w14:textId="42B47866" w:rsidR="008C07AB" w:rsidRDefault="00BF0D80" w:rsidP="00AE2209">
      <w:pPr>
        <w:pStyle w:val="Sub-Heading"/>
      </w:pPr>
      <w:r>
        <w:t>Transition from current compensation arrangements</w:t>
      </w:r>
    </w:p>
    <w:p w14:paraId="3CF4FB74" w14:textId="35D89300" w:rsidR="001B1532" w:rsidRPr="001B1532" w:rsidRDefault="001B1532" w:rsidP="001B1532">
      <w:pPr>
        <w:rPr>
          <w:rFonts w:cs="Segoe UI"/>
          <w:sz w:val="18"/>
          <w:szCs w:val="18"/>
        </w:rPr>
      </w:pPr>
      <w:r w:rsidRPr="001B1532">
        <w:rPr>
          <w:rStyle w:val="normaltextrun"/>
          <w:rFonts w:cs="Calibri"/>
          <w:szCs w:val="22"/>
        </w:rPr>
        <w:t xml:space="preserve">Implementation of the new framework should include removal or replacement of existing compensation provisions </w:t>
      </w:r>
      <w:r w:rsidR="00C17B72">
        <w:rPr>
          <w:rStyle w:val="normaltextrun"/>
          <w:rFonts w:cs="Calibri"/>
          <w:szCs w:val="22"/>
        </w:rPr>
        <w:t xml:space="preserve">(Snowy Compensation Deed) </w:t>
      </w:r>
      <w:r w:rsidRPr="001B1532">
        <w:rPr>
          <w:rStyle w:val="normaltextrun"/>
          <w:rFonts w:cs="Calibri"/>
          <w:szCs w:val="22"/>
        </w:rPr>
        <w:t>linked to licence amendment, ensuring that establishment of the revised governance and operating framework is not contingent on compensation.</w:t>
      </w:r>
      <w:r w:rsidR="00C47B66">
        <w:rPr>
          <w:rStyle w:val="normaltextrun"/>
          <w:rFonts w:cs="Calibri"/>
          <w:szCs w:val="22"/>
        </w:rPr>
        <w:t xml:space="preserve"> </w:t>
      </w:r>
      <w:r w:rsidRPr="001B1532">
        <w:rPr>
          <w:rStyle w:val="normaltextrun"/>
          <w:rFonts w:cs="Calibri"/>
          <w:szCs w:val="22"/>
        </w:rPr>
        <w:t>Transition to the new framework should be undertaken as part of the broader reform package</w:t>
      </w:r>
      <w:r w:rsidR="00F56157">
        <w:rPr>
          <w:rStyle w:val="normaltextrun"/>
          <w:rFonts w:cs="Calibri"/>
          <w:szCs w:val="22"/>
        </w:rPr>
        <w:t xml:space="preserve"> </w:t>
      </w:r>
      <w:r w:rsidRPr="001B1532">
        <w:rPr>
          <w:rStyle w:val="normaltextrun"/>
          <w:rFonts w:cs="Calibri"/>
          <w:szCs w:val="22"/>
        </w:rPr>
        <w:t>and not incur compensation from NSW while transitioning.</w:t>
      </w:r>
      <w:r w:rsidRPr="001B1532">
        <w:rPr>
          <w:rStyle w:val="eop"/>
          <w:rFonts w:cs="Calibri"/>
          <w:szCs w:val="22"/>
        </w:rPr>
        <w:t> </w:t>
      </w:r>
    </w:p>
    <w:p w14:paraId="1D5F66A3" w14:textId="77777777" w:rsidR="001B1532" w:rsidRPr="001B1532" w:rsidRDefault="001B1532" w:rsidP="001B1532">
      <w:pPr>
        <w:rPr>
          <w:rFonts w:cs="Segoe UI"/>
          <w:sz w:val="18"/>
          <w:szCs w:val="18"/>
        </w:rPr>
      </w:pPr>
      <w:r w:rsidRPr="001B1532">
        <w:rPr>
          <w:rStyle w:val="normaltextrun"/>
          <w:rFonts w:cs="Calibri"/>
          <w:szCs w:val="22"/>
        </w:rPr>
        <w:t>This should include:</w:t>
      </w:r>
      <w:r w:rsidRPr="001B1532">
        <w:rPr>
          <w:rStyle w:val="eop"/>
          <w:rFonts w:cs="Calibri"/>
          <w:szCs w:val="22"/>
        </w:rPr>
        <w:t> </w:t>
      </w:r>
    </w:p>
    <w:p w14:paraId="6FF1385B" w14:textId="408D26C8" w:rsidR="001B1532" w:rsidRPr="001B1532" w:rsidRDefault="001B1532" w:rsidP="00115BD6">
      <w:pPr>
        <w:pStyle w:val="ListParagraph"/>
        <w:numPr>
          <w:ilvl w:val="0"/>
          <w:numId w:val="72"/>
        </w:numPr>
      </w:pPr>
      <w:r w:rsidRPr="001B1532">
        <w:rPr>
          <w:rStyle w:val="normaltextrun"/>
          <w:rFonts w:cs="Calibri"/>
          <w:szCs w:val="22"/>
        </w:rPr>
        <w:t>removal or replacement of existing compensation provisions</w:t>
      </w:r>
      <w:r w:rsidR="00C17B72">
        <w:rPr>
          <w:rStyle w:val="normaltextrun"/>
          <w:rFonts w:cs="Calibri"/>
          <w:szCs w:val="22"/>
        </w:rPr>
        <w:t xml:space="preserve"> (under the Snowy Compensation Deed)</w:t>
      </w:r>
      <w:r w:rsidRPr="001B1532">
        <w:rPr>
          <w:rStyle w:val="normaltextrun"/>
          <w:rFonts w:cs="Calibri"/>
          <w:szCs w:val="22"/>
        </w:rPr>
        <w:t xml:space="preserve"> linked to licence change</w:t>
      </w:r>
      <w:r w:rsidRPr="001B1532">
        <w:rPr>
          <w:rStyle w:val="eop"/>
          <w:rFonts w:cs="Calibri"/>
          <w:szCs w:val="22"/>
        </w:rPr>
        <w:t> </w:t>
      </w:r>
    </w:p>
    <w:p w14:paraId="140BDD4B" w14:textId="77777777" w:rsidR="001B1532" w:rsidRPr="001B1532" w:rsidRDefault="001B1532" w:rsidP="00115BD6">
      <w:pPr>
        <w:pStyle w:val="ListParagraph"/>
        <w:numPr>
          <w:ilvl w:val="0"/>
          <w:numId w:val="72"/>
        </w:numPr>
      </w:pPr>
      <w:r w:rsidRPr="001B1532">
        <w:rPr>
          <w:rStyle w:val="normaltextrun"/>
          <w:rFonts w:cs="Calibri"/>
          <w:szCs w:val="22"/>
        </w:rPr>
        <w:t>time-limited transitional arrangements to support adjustment where required</w:t>
      </w:r>
      <w:r w:rsidRPr="001B1532">
        <w:rPr>
          <w:rStyle w:val="eop"/>
          <w:rFonts w:cs="Calibri"/>
          <w:szCs w:val="22"/>
        </w:rPr>
        <w:t> </w:t>
      </w:r>
    </w:p>
    <w:p w14:paraId="26353ED2" w14:textId="20942EDC" w:rsidR="001B1532" w:rsidRPr="001B1532" w:rsidRDefault="001B1532" w:rsidP="00115BD6">
      <w:pPr>
        <w:pStyle w:val="ListParagraph"/>
        <w:numPr>
          <w:ilvl w:val="0"/>
          <w:numId w:val="72"/>
        </w:numPr>
      </w:pPr>
      <w:r w:rsidRPr="001B1532">
        <w:rPr>
          <w:rStyle w:val="normaltextrun"/>
          <w:rFonts w:cs="Calibri"/>
          <w:szCs w:val="22"/>
        </w:rPr>
        <w:t>alignment of compensation settings with the new operating and governance framework</w:t>
      </w:r>
      <w:r w:rsidR="007A0F50">
        <w:rPr>
          <w:rStyle w:val="normaltextrun"/>
          <w:rFonts w:cs="Calibri"/>
          <w:szCs w:val="22"/>
        </w:rPr>
        <w:t>.</w:t>
      </w:r>
      <w:r w:rsidRPr="001B1532">
        <w:rPr>
          <w:rStyle w:val="eop"/>
          <w:rFonts w:cs="Calibri"/>
          <w:szCs w:val="22"/>
        </w:rPr>
        <w:t> </w:t>
      </w:r>
    </w:p>
    <w:p w14:paraId="63B7B715" w14:textId="77777777" w:rsidR="001B1532" w:rsidRPr="001B1532" w:rsidRDefault="001B1532" w:rsidP="001B1532">
      <w:pPr>
        <w:rPr>
          <w:rFonts w:cs="Segoe UI"/>
          <w:sz w:val="18"/>
          <w:szCs w:val="18"/>
        </w:rPr>
      </w:pPr>
      <w:r w:rsidRPr="001B1532">
        <w:rPr>
          <w:rStyle w:val="normaltextrun"/>
          <w:rFonts w:cs="Calibri"/>
          <w:szCs w:val="22"/>
        </w:rPr>
        <w:t>The transition should enable reform without perpetuating legacy constraints.</w:t>
      </w:r>
      <w:r w:rsidRPr="001B1532">
        <w:rPr>
          <w:rStyle w:val="eop"/>
          <w:rFonts w:cs="Calibri"/>
          <w:szCs w:val="22"/>
        </w:rPr>
        <w:t> </w:t>
      </w:r>
    </w:p>
    <w:p w14:paraId="469DEAC7" w14:textId="2540F3E5" w:rsidR="00BF0D80" w:rsidRDefault="001B1532" w:rsidP="00AE2209">
      <w:pPr>
        <w:pStyle w:val="Sub-Heading"/>
      </w:pPr>
      <w:r>
        <w:lastRenderedPageBreak/>
        <w:t>Monitoring and review</w:t>
      </w:r>
    </w:p>
    <w:p w14:paraId="56110FD3" w14:textId="77777777" w:rsidR="00E27129" w:rsidRPr="00E27129" w:rsidRDefault="00E27129" w:rsidP="00E27129">
      <w:pPr>
        <w:rPr>
          <w:rFonts w:cs="Segoe UI"/>
          <w:sz w:val="18"/>
          <w:szCs w:val="18"/>
        </w:rPr>
      </w:pPr>
      <w:r w:rsidRPr="00E27129">
        <w:rPr>
          <w:rStyle w:val="normaltextrun"/>
          <w:rFonts w:cs="Calibri"/>
          <w:szCs w:val="22"/>
        </w:rPr>
        <w:t>The framework should be subject to ongoing monitoring and periodic review, aligned with broader governance processes.</w:t>
      </w:r>
      <w:r w:rsidRPr="00E27129">
        <w:rPr>
          <w:rStyle w:val="eop"/>
          <w:rFonts w:cs="Calibri"/>
          <w:szCs w:val="22"/>
        </w:rPr>
        <w:t> </w:t>
      </w:r>
    </w:p>
    <w:p w14:paraId="6798ED70" w14:textId="77777777" w:rsidR="00E27129" w:rsidRPr="00E27129" w:rsidRDefault="00E27129" w:rsidP="00E27129">
      <w:pPr>
        <w:rPr>
          <w:rFonts w:cs="Segoe UI"/>
          <w:sz w:val="18"/>
          <w:szCs w:val="18"/>
        </w:rPr>
      </w:pPr>
      <w:r w:rsidRPr="00E27129">
        <w:rPr>
          <w:rStyle w:val="normaltextrun"/>
          <w:rFonts w:cs="Calibri"/>
          <w:szCs w:val="22"/>
        </w:rPr>
        <w:t>This should include:</w:t>
      </w:r>
      <w:r w:rsidRPr="00E27129">
        <w:rPr>
          <w:rStyle w:val="eop"/>
          <w:rFonts w:cs="Calibri"/>
          <w:szCs w:val="22"/>
        </w:rPr>
        <w:t> </w:t>
      </w:r>
    </w:p>
    <w:p w14:paraId="70D9CF15" w14:textId="77777777" w:rsidR="00E27129" w:rsidRPr="00E27129" w:rsidRDefault="00E27129" w:rsidP="00115BD6">
      <w:pPr>
        <w:pStyle w:val="ListParagraph"/>
        <w:numPr>
          <w:ilvl w:val="0"/>
          <w:numId w:val="73"/>
        </w:numPr>
      </w:pPr>
      <w:r w:rsidRPr="00E27129">
        <w:rPr>
          <w:rStyle w:val="normaltextrun"/>
          <w:rFonts w:cs="Calibri"/>
          <w:szCs w:val="22"/>
        </w:rPr>
        <w:t>assessment of system performance against the operating envelope</w:t>
      </w:r>
      <w:r w:rsidRPr="00E27129">
        <w:rPr>
          <w:rStyle w:val="eop"/>
          <w:rFonts w:cs="Calibri"/>
          <w:szCs w:val="22"/>
        </w:rPr>
        <w:t> </w:t>
      </w:r>
    </w:p>
    <w:p w14:paraId="6EEA39F5" w14:textId="77777777" w:rsidR="00E27129" w:rsidRPr="00E27129" w:rsidRDefault="00E27129" w:rsidP="00115BD6">
      <w:pPr>
        <w:pStyle w:val="ListParagraph"/>
        <w:numPr>
          <w:ilvl w:val="0"/>
          <w:numId w:val="73"/>
        </w:numPr>
      </w:pPr>
      <w:r w:rsidRPr="00E27129">
        <w:rPr>
          <w:rStyle w:val="normaltextrun"/>
          <w:rFonts w:cs="Calibri"/>
          <w:szCs w:val="22"/>
        </w:rPr>
        <w:t>periodic review of valuation methods</w:t>
      </w:r>
      <w:r w:rsidRPr="00E27129">
        <w:rPr>
          <w:rStyle w:val="eop"/>
          <w:rFonts w:cs="Calibri"/>
          <w:szCs w:val="22"/>
        </w:rPr>
        <w:t> </w:t>
      </w:r>
    </w:p>
    <w:p w14:paraId="2ABE6A69" w14:textId="17768D98" w:rsidR="00E27129" w:rsidRPr="00E27129" w:rsidRDefault="00E27129" w:rsidP="00115BD6">
      <w:pPr>
        <w:pStyle w:val="ListParagraph"/>
        <w:numPr>
          <w:ilvl w:val="0"/>
          <w:numId w:val="73"/>
        </w:numPr>
      </w:pPr>
      <w:r w:rsidRPr="00E27129">
        <w:rPr>
          <w:rStyle w:val="normaltextrun"/>
          <w:rFonts w:cs="Calibri"/>
          <w:szCs w:val="22"/>
        </w:rPr>
        <w:t>refinement of thresholds and triggers over time</w:t>
      </w:r>
      <w:r w:rsidR="007A0F50">
        <w:rPr>
          <w:rStyle w:val="normaltextrun"/>
          <w:rFonts w:cs="Calibri"/>
          <w:szCs w:val="22"/>
        </w:rPr>
        <w:t>.</w:t>
      </w:r>
      <w:r w:rsidRPr="00E27129">
        <w:rPr>
          <w:rStyle w:val="eop"/>
          <w:rFonts w:cs="Calibri"/>
          <w:szCs w:val="22"/>
        </w:rPr>
        <w:t> </w:t>
      </w:r>
    </w:p>
    <w:p w14:paraId="77AE5FFA" w14:textId="6605021A" w:rsidR="001B1532" w:rsidRPr="00E27129" w:rsidRDefault="00E27129" w:rsidP="00E27129">
      <w:r w:rsidRPr="00E27129">
        <w:rPr>
          <w:rStyle w:val="normaltextrun"/>
          <w:rFonts w:cs="Calibri"/>
          <w:szCs w:val="22"/>
        </w:rPr>
        <w:t>This supports continuous improvement and adaptive system management.</w:t>
      </w:r>
    </w:p>
    <w:sectPr w:rsidR="001B1532" w:rsidRPr="00E27129" w:rsidSect="005316B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64759" w14:textId="77777777" w:rsidR="007F2E8C" w:rsidRDefault="007F2E8C" w:rsidP="00C36AB0">
      <w:pPr>
        <w:spacing w:after="0" w:line="240" w:lineRule="auto"/>
      </w:pPr>
      <w:r>
        <w:separator/>
      </w:r>
    </w:p>
  </w:endnote>
  <w:endnote w:type="continuationSeparator" w:id="0">
    <w:p w14:paraId="299528A3" w14:textId="77777777" w:rsidR="007F2E8C" w:rsidRDefault="007F2E8C" w:rsidP="00C3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CFDE" w14:textId="77777777" w:rsidR="006B1CD4" w:rsidRDefault="006B1CD4">
    <w:pPr>
      <w:pStyle w:val="Footer"/>
    </w:pPr>
    <w:r w:rsidRPr="00815756">
      <w:rPr>
        <w:noProof/>
      </w:rPr>
      <mc:AlternateContent>
        <mc:Choice Requires="wps">
          <w:drawing>
            <wp:anchor distT="0" distB="0" distL="0" distR="0" simplePos="0" relativeHeight="251658243" behindDoc="0" locked="0" layoutInCell="1" allowOverlap="1" wp14:anchorId="654D6595" wp14:editId="653EFF2F">
              <wp:simplePos x="635" y="635"/>
              <wp:positionH relativeFrom="page">
                <wp:align>center</wp:align>
              </wp:positionH>
              <wp:positionV relativeFrom="page">
                <wp:align>bottom</wp:align>
              </wp:positionV>
              <wp:extent cx="622300" cy="405765"/>
              <wp:effectExtent l="0" t="0" r="6350" b="0"/>
              <wp:wrapNone/>
              <wp:docPr id="74417789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58673440" w14:textId="77777777" w:rsidR="006B1CD4" w:rsidRPr="00815756" w:rsidRDefault="006B1CD4" w:rsidP="00C36AB0">
                          <w:pPr>
                            <w:spacing w:after="0"/>
                            <w:rPr>
                              <w:rFonts w:ascii="Aptos" w:eastAsia="Aptos" w:hAnsi="Aptos" w:cs="Aptos"/>
                              <w:color w:val="FF0000"/>
                            </w:rPr>
                          </w:pPr>
                          <w:r w:rsidRPr="00815756">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D6595" id="_x0000_t202" coordsize="21600,21600" o:spt="202" path="m,l,21600r21600,l21600,xe">
              <v:stroke joinstyle="miter"/>
              <v:path gradientshapeok="t" o:connecttype="rect"/>
            </v:shapetype>
            <v:shape id="Text Box 6" o:spid="_x0000_s1055" type="#_x0000_t202" alt="OFFICIAL" style="position:absolute;left:0;text-align:left;margin-left:0;margin-top:0;width:49pt;height:31.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" filled="f" stroked="f">
              <v:textbox style="mso-fit-shape-to-text:t" inset="0,0,0,15pt">
                <w:txbxContent>
                  <w:p w14:paraId="58673440" w14:textId="77777777" w:rsidR="006B1CD4" w:rsidRPr="00815756" w:rsidRDefault="006B1CD4" w:rsidP="00C36AB0">
                    <w:pPr>
                      <w:spacing w:after="0"/>
                      <w:rPr>
                        <w:rFonts w:ascii="Aptos" w:eastAsia="Aptos" w:hAnsi="Aptos" w:cs="Aptos"/>
                        <w:color w:val="FF0000"/>
                      </w:rPr>
                    </w:pPr>
                    <w:r w:rsidRPr="00815756">
                      <w:rPr>
                        <w:rFonts w:ascii="Aptos" w:eastAsia="Aptos" w:hAnsi="Aptos" w:cs="Aptos"/>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935555"/>
      <w:docPartObj>
        <w:docPartGallery w:val="Page Numbers (Bottom of Page)"/>
        <w:docPartUnique/>
      </w:docPartObj>
    </w:sdtPr>
    <w:sdtEndPr>
      <w:rPr>
        <w:noProof/>
      </w:rPr>
    </w:sdtEndPr>
    <w:sdtContent>
      <w:p w14:paraId="7C733201" w14:textId="77777777" w:rsidR="006B1CD4" w:rsidRDefault="006B1CD4">
        <w:pPr>
          <w:pStyle w:val="Footer"/>
          <w:jc w:val="right"/>
        </w:pPr>
        <w:r w:rsidRPr="00815756">
          <w:fldChar w:fldCharType="begin"/>
        </w:r>
        <w:r>
          <w:instrText xml:space="preserve"> PAGE   \* MERGEFORMAT </w:instrText>
        </w:r>
        <w:r w:rsidRPr="00815756">
          <w:fldChar w:fldCharType="separate"/>
        </w:r>
        <w:r w:rsidRPr="00815756">
          <w:t>2</w:t>
        </w:r>
        <w:r w:rsidRPr="00815756">
          <w:fldChar w:fldCharType="end"/>
        </w:r>
      </w:p>
    </w:sdtContent>
  </w:sdt>
  <w:p w14:paraId="6A524B3E" w14:textId="77777777" w:rsidR="006B1CD4" w:rsidRDefault="006B1C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70B2" w14:textId="77777777" w:rsidR="006B1CD4" w:rsidRDefault="00000000">
    <w:pPr>
      <w:pStyle w:val="Footer"/>
      <w:jc w:val="right"/>
    </w:pPr>
    <w:sdt>
      <w:sdtPr>
        <w:id w:val="-473985782"/>
        <w:docPartObj>
          <w:docPartGallery w:val="Page Numbers (Bottom of Page)"/>
          <w:docPartUnique/>
        </w:docPartObj>
      </w:sdtPr>
      <w:sdtEndPr>
        <w:rPr>
          <w:noProof/>
        </w:rPr>
      </w:sdtEndPr>
      <w:sdtContent>
        <w:r w:rsidR="006B1CD4" w:rsidRPr="00815756">
          <w:fldChar w:fldCharType="begin"/>
        </w:r>
        <w:r w:rsidR="006B1CD4">
          <w:instrText xml:space="preserve"> PAGE   \* MERGEFORMAT </w:instrText>
        </w:r>
        <w:r w:rsidR="006B1CD4" w:rsidRPr="00815756">
          <w:fldChar w:fldCharType="separate"/>
        </w:r>
        <w:r w:rsidR="006B1CD4" w:rsidRPr="00815756">
          <w:t>2</w:t>
        </w:r>
        <w:r w:rsidR="006B1CD4" w:rsidRPr="00815756">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4374" w14:textId="0655A22F" w:rsidR="00C36AB0" w:rsidRPr="007A37AE" w:rsidRDefault="00C36AB0">
    <w:pPr>
      <w:pStyle w:val="Footer"/>
    </w:pPr>
    <w:r w:rsidRPr="0014462E">
      <w:rPr>
        <w:noProof/>
      </w:rPr>
      <mc:AlternateContent>
        <mc:Choice Requires="wps">
          <w:drawing>
            <wp:anchor distT="0" distB="0" distL="0" distR="0" simplePos="0" relativeHeight="251658241" behindDoc="0" locked="0" layoutInCell="1" allowOverlap="1" wp14:anchorId="1E3B922F" wp14:editId="2F8E2626">
              <wp:simplePos x="635" y="635"/>
              <wp:positionH relativeFrom="page">
                <wp:align>center</wp:align>
              </wp:positionH>
              <wp:positionV relativeFrom="page">
                <wp:align>bottom</wp:align>
              </wp:positionV>
              <wp:extent cx="622300" cy="405765"/>
              <wp:effectExtent l="0" t="0" r="6350" b="0"/>
              <wp:wrapNone/>
              <wp:docPr id="88063749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3C65BD1F" w14:textId="26151273" w:rsidR="00C36AB0" w:rsidRPr="00CC7A58" w:rsidRDefault="00C36AB0" w:rsidP="00C36AB0">
                          <w:pPr>
                            <w:spacing w:after="0"/>
                            <w:rPr>
                              <w:rFonts w:ascii="Aptos" w:eastAsia="Aptos" w:hAnsi="Aptos" w:cs="Aptos"/>
                              <w:color w:val="FF0000"/>
                            </w:rPr>
                          </w:pPr>
                          <w:r w:rsidRPr="00CC7A58">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3B922F" id="_x0000_t202" coordsize="21600,21600" o:spt="202" path="m,l,21600r21600,l21600,xe">
              <v:stroke joinstyle="miter"/>
              <v:path gradientshapeok="t" o:connecttype="rect"/>
            </v:shapetype>
            <v:shape id="_x0000_s1057" type="#_x0000_t202" alt="OFFICIAL" style="position:absolute;left:0;text-align:left;margin-left:0;margin-top:0;width:49pt;height:31.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o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Y+5vNPi3lEya6XrfPhqwBNolFSh1tJZLHj&#10;1ochdUyJtQxsWqXSZpT5zYGY0ZNdO4xW6KuetHVJb8buK6hPOJSDYd/e8k2LpbfMh2fmcMHYLYo2&#10;POEhFXQlhbNFSQPux9/8MR95xyglHQqmpAYVTYn6ZnAfUVuj4UajSsb0cz6P9JiDvgeU4RRfhOXJ&#10;RK8LajSlA/2Kcl7HQhhihmO5klajeR8G5eJz4GK9TkkoI8vC1uwsj9CRrsjlS//KnD0THnBTjzCq&#10;iRVveB9y401v14eA7KelRGoHIs+MowTTWs/PJWr81/+UdX3Uq58A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A/iSmoDgIAABwE&#10;AAAOAAAAAAAAAAAAAAAAAC4CAABkcnMvZTJvRG9jLnhtbFBLAQItABQABgAIAAAAIQDAscVe2gAA&#10;AAMBAAAPAAAAAAAAAAAAAAAAAGgEAABkcnMvZG93bnJldi54bWxQSwUGAAAAAAQABADzAAAAbwUA&#10;AAAA&#10;" filled="f" stroked="f">
              <v:textbox style="mso-fit-shape-to-text:t" inset="0,0,0,15pt">
                <w:txbxContent>
                  <w:p w14:paraId="3C65BD1F" w14:textId="26151273" w:rsidR="00C36AB0" w:rsidRPr="00CC7A58" w:rsidRDefault="00C36AB0" w:rsidP="00C36AB0">
                    <w:pPr>
                      <w:spacing w:after="0"/>
                      <w:rPr>
                        <w:rFonts w:ascii="Aptos" w:eastAsia="Aptos" w:hAnsi="Aptos" w:cs="Aptos"/>
                        <w:color w:val="FF0000"/>
                      </w:rPr>
                    </w:pPr>
                    <w:r w:rsidRPr="00CC7A58">
                      <w:rPr>
                        <w:rFonts w:ascii="Aptos" w:eastAsia="Aptos" w:hAnsi="Aptos" w:cs="Aptos"/>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098323"/>
      <w:docPartObj>
        <w:docPartGallery w:val="Page Numbers (Bottom of Page)"/>
        <w:docPartUnique/>
      </w:docPartObj>
    </w:sdtPr>
    <w:sdtContent>
      <w:p w14:paraId="5C1A914E" w14:textId="3542C0EF" w:rsidR="004473C6" w:rsidRPr="007A37AE" w:rsidRDefault="004473C6">
        <w:pPr>
          <w:pStyle w:val="Footer"/>
          <w:jc w:val="right"/>
        </w:pPr>
        <w:r w:rsidRPr="00CC7A58">
          <w:fldChar w:fldCharType="begin"/>
        </w:r>
        <w:r w:rsidRPr="007A37AE">
          <w:instrText xml:space="preserve"> PAGE   \* MERGEFORMAT </w:instrText>
        </w:r>
        <w:r w:rsidRPr="00CC7A58">
          <w:fldChar w:fldCharType="separate"/>
        </w:r>
        <w:r w:rsidRPr="00CC7A58">
          <w:t>2</w:t>
        </w:r>
        <w:r w:rsidRPr="00CC7A58">
          <w:fldChar w:fldCharType="end"/>
        </w:r>
      </w:p>
    </w:sdtContent>
  </w:sdt>
  <w:p w14:paraId="4E6941E8" w14:textId="03399980" w:rsidR="00C36AB0" w:rsidRPr="007A37AE" w:rsidRDefault="00C36A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848738"/>
      <w:docPartObj>
        <w:docPartGallery w:val="Page Numbers (Bottom of Page)"/>
        <w:docPartUnique/>
      </w:docPartObj>
    </w:sdtPr>
    <w:sdtContent>
      <w:p w14:paraId="13E44CFA" w14:textId="5AD8C0E0" w:rsidR="002638A9" w:rsidRPr="007A37AE" w:rsidRDefault="00173DE0">
        <w:pPr>
          <w:pStyle w:val="Footer"/>
          <w:jc w:val="right"/>
        </w:pPr>
        <w:r w:rsidRPr="00CC7A58">
          <w:fldChar w:fldCharType="begin"/>
        </w:r>
        <w:r w:rsidRPr="007A37AE">
          <w:instrText xml:space="preserve"> PAGE   \* MERGEFORMAT </w:instrText>
        </w:r>
        <w:r w:rsidRPr="00CC7A58">
          <w:fldChar w:fldCharType="separate"/>
        </w:r>
        <w:r w:rsidRPr="00CC7A58">
          <w:t>2</w:t>
        </w:r>
        <w:r w:rsidRPr="00CC7A58">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744599"/>
      <w:docPartObj>
        <w:docPartGallery w:val="Page Numbers (Bottom of Page)"/>
        <w:docPartUnique/>
      </w:docPartObj>
    </w:sdtPr>
    <w:sdtEndPr>
      <w:rPr>
        <w:noProof/>
      </w:rPr>
    </w:sdtEndPr>
    <w:sdtContent>
      <w:p w14:paraId="79298D60" w14:textId="5517B990" w:rsidR="00173DE0" w:rsidRDefault="00173DE0">
        <w:pPr>
          <w:pStyle w:val="Footer"/>
          <w:jc w:val="right"/>
        </w:pPr>
        <w:r w:rsidRPr="00CC7A58">
          <w:fldChar w:fldCharType="begin"/>
        </w:r>
        <w:r>
          <w:instrText xml:space="preserve"> PAGE   \* MERGEFORMAT </w:instrText>
        </w:r>
        <w:r w:rsidRPr="00CC7A58">
          <w:fldChar w:fldCharType="separate"/>
        </w:r>
        <w:r w:rsidRPr="00CC7A58">
          <w:t>2</w:t>
        </w:r>
        <w:r w:rsidRPr="00CC7A58">
          <w:fldChar w:fldCharType="end"/>
        </w:r>
      </w:p>
    </w:sdtContent>
  </w:sdt>
  <w:p w14:paraId="1CF6B437" w14:textId="43D849BF" w:rsidR="002638A9" w:rsidRDefault="00263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0E947" w14:textId="77777777" w:rsidR="007F2E8C" w:rsidRDefault="007F2E8C" w:rsidP="00C36AB0">
      <w:pPr>
        <w:spacing w:after="0" w:line="240" w:lineRule="auto"/>
      </w:pPr>
      <w:r>
        <w:separator/>
      </w:r>
    </w:p>
  </w:footnote>
  <w:footnote w:type="continuationSeparator" w:id="0">
    <w:p w14:paraId="5C63536D" w14:textId="77777777" w:rsidR="007F2E8C" w:rsidRDefault="007F2E8C" w:rsidP="00C36AB0">
      <w:pPr>
        <w:spacing w:after="0" w:line="240" w:lineRule="auto"/>
      </w:pPr>
      <w:r>
        <w:continuationSeparator/>
      </w:r>
    </w:p>
  </w:footnote>
  <w:footnote w:id="1">
    <w:p w14:paraId="5BDE99EC" w14:textId="6EDC9287" w:rsidR="008E1F20" w:rsidRPr="00BE3B29" w:rsidRDefault="008E1F20" w:rsidP="00CC7A58">
      <w:pPr>
        <w:pStyle w:val="FootnoteText"/>
        <w:jc w:val="left"/>
        <w:rPr>
          <w:sz w:val="16"/>
          <w:szCs w:val="16"/>
          <w:lang w:val="en-AU"/>
        </w:rPr>
      </w:pPr>
      <w:r w:rsidRPr="00BE3B29">
        <w:rPr>
          <w:rStyle w:val="FootnoteReference"/>
          <w:sz w:val="16"/>
          <w:szCs w:val="16"/>
          <w:lang w:val="en-AU"/>
        </w:rPr>
        <w:footnoteRef/>
      </w:r>
      <w:r w:rsidRPr="00BE3B29">
        <w:rPr>
          <w:sz w:val="16"/>
          <w:szCs w:val="16"/>
          <w:lang w:val="en-AU"/>
        </w:rPr>
        <w:t xml:space="preserve"> </w:t>
      </w:r>
      <w:r w:rsidR="005C15DA" w:rsidRPr="00BE3B29">
        <w:rPr>
          <w:sz w:val="16"/>
          <w:szCs w:val="16"/>
          <w:lang w:val="en-AU"/>
        </w:rPr>
        <w:t>The Australian Energy Market Commission (AEMC), ‘National Electricity Market</w:t>
      </w:r>
      <w:r w:rsidR="00BC5606" w:rsidRPr="00BE3B29">
        <w:rPr>
          <w:sz w:val="16"/>
          <w:szCs w:val="16"/>
          <w:lang w:val="en-AU"/>
        </w:rPr>
        <w:t>’, www.aemc.gov.au/energy-system/electricity/electricity-system/NEM.</w:t>
      </w:r>
    </w:p>
  </w:footnote>
  <w:footnote w:id="2">
    <w:p w14:paraId="6441A224" w14:textId="48F175C9" w:rsidR="008E1F20" w:rsidRPr="00D631D2" w:rsidRDefault="008E1F20" w:rsidP="67DB55ED">
      <w:pPr>
        <w:pStyle w:val="FootnoteText"/>
        <w:jc w:val="left"/>
        <w:rPr>
          <w:sz w:val="16"/>
          <w:szCs w:val="16"/>
          <w:highlight w:val="yellow"/>
          <w:lang w:val="en-AU"/>
        </w:rPr>
      </w:pPr>
      <w:r w:rsidRPr="00DC0C0F">
        <w:rPr>
          <w:rStyle w:val="FootnoteReference"/>
          <w:sz w:val="18"/>
          <w:szCs w:val="18"/>
          <w:lang w:val="en-AU"/>
        </w:rPr>
        <w:footnoteRef/>
      </w:r>
      <w:r w:rsidR="67DB55ED" w:rsidRPr="00DC0C0F">
        <w:rPr>
          <w:sz w:val="18"/>
          <w:szCs w:val="18"/>
          <w:lang w:val="en-AU"/>
        </w:rPr>
        <w:t xml:space="preserve"> </w:t>
      </w:r>
      <w:r w:rsidR="00DC0C0F" w:rsidRPr="00824A8C">
        <w:rPr>
          <w:sz w:val="16"/>
          <w:szCs w:val="16"/>
          <w:lang w:val="en-AU"/>
        </w:rPr>
        <w:t xml:space="preserve">Graph </w:t>
      </w:r>
      <w:r w:rsidR="00DC0C0F" w:rsidRPr="00824A8C">
        <w:rPr>
          <w:sz w:val="16"/>
          <w:szCs w:val="16"/>
        </w:rPr>
        <w:t xml:space="preserve">based on data from AEMO’s Generation Page for April 2026. Data </w:t>
      </w:r>
      <w:r w:rsidR="00DC0C0F" w:rsidRPr="00824A8C">
        <w:rPr>
          <w:sz w:val="16"/>
          <w:szCs w:val="16"/>
          <w:lang w:val="en-AU"/>
        </w:rPr>
        <w:t>available</w:t>
      </w:r>
      <w:r w:rsidR="67DB55ED" w:rsidRPr="00824A8C">
        <w:rPr>
          <w:sz w:val="16"/>
          <w:szCs w:val="16"/>
          <w:lang w:val="en-AU"/>
        </w:rPr>
        <w:t xml:space="preserve"> on https://www.aemo.com.au/-/media/files/electricity/nem/planning_and_forecasting/generation_information/2026/nem-generation-information-apr-2026.xlsx?rev=9c92608b02494f9da3b120e8ac4e7b9d&amp;sc_lang=en</w:t>
      </w:r>
      <w:r w:rsidR="00DC0C0F" w:rsidRPr="00824A8C">
        <w:rPr>
          <w:sz w:val="16"/>
          <w:szCs w:val="16"/>
          <w:lang w:val="en-AU"/>
        </w:rPr>
        <w:t>.</w:t>
      </w:r>
      <w:r w:rsidR="67DB55ED" w:rsidRPr="00824A8C">
        <w:rPr>
          <w:i/>
          <w:iCs/>
          <w:sz w:val="14"/>
          <w:szCs w:val="14"/>
          <w:highlight w:val="yellow"/>
          <w:lang w:val="en-AU"/>
        </w:rPr>
        <w:t xml:space="preserve"> </w:t>
      </w:r>
    </w:p>
  </w:footnote>
  <w:footnote w:id="3">
    <w:p w14:paraId="62A21AFF" w14:textId="564FF163" w:rsidR="008E1F20" w:rsidRPr="00824A8C" w:rsidRDefault="008E1F20">
      <w:pPr>
        <w:pStyle w:val="FootnoteText"/>
        <w:rPr>
          <w:sz w:val="16"/>
          <w:szCs w:val="16"/>
          <w:lang w:val="en-AU"/>
        </w:rPr>
      </w:pPr>
      <w:r w:rsidRPr="00824A8C">
        <w:rPr>
          <w:rStyle w:val="FootnoteReference"/>
          <w:sz w:val="16"/>
          <w:szCs w:val="16"/>
          <w:lang w:val="en-AU"/>
        </w:rPr>
        <w:footnoteRef/>
      </w:r>
      <w:r w:rsidRPr="00824A8C">
        <w:rPr>
          <w:sz w:val="16"/>
          <w:szCs w:val="16"/>
          <w:lang w:val="en-AU"/>
        </w:rPr>
        <w:t xml:space="preserve"> </w:t>
      </w:r>
      <w:r w:rsidR="005311CB" w:rsidRPr="00824A8C">
        <w:rPr>
          <w:sz w:val="16"/>
          <w:szCs w:val="16"/>
          <w:lang w:val="en-AU"/>
        </w:rPr>
        <w:t>As above.</w:t>
      </w:r>
    </w:p>
  </w:footnote>
  <w:footnote w:id="4">
    <w:p w14:paraId="054F9F4B" w14:textId="516279B5" w:rsidR="008E1F20" w:rsidRPr="00824A8C" w:rsidRDefault="008E1F20">
      <w:pPr>
        <w:pStyle w:val="FootnoteText"/>
        <w:rPr>
          <w:sz w:val="16"/>
          <w:szCs w:val="16"/>
          <w:lang w:val="en-AU"/>
        </w:rPr>
      </w:pPr>
      <w:r w:rsidRPr="00824A8C">
        <w:rPr>
          <w:rStyle w:val="FootnoteReference"/>
          <w:sz w:val="16"/>
          <w:szCs w:val="16"/>
          <w:lang w:val="en-AU"/>
        </w:rPr>
        <w:footnoteRef/>
      </w:r>
      <w:r w:rsidRPr="00824A8C">
        <w:rPr>
          <w:sz w:val="16"/>
          <w:szCs w:val="16"/>
          <w:lang w:val="en-AU"/>
        </w:rPr>
        <w:t xml:space="preserve"> </w:t>
      </w:r>
      <w:r w:rsidR="005311CB" w:rsidRPr="00824A8C">
        <w:rPr>
          <w:sz w:val="16"/>
          <w:szCs w:val="16"/>
          <w:lang w:val="en-AU"/>
        </w:rPr>
        <w:t>As above.</w:t>
      </w:r>
    </w:p>
  </w:footnote>
  <w:footnote w:id="5">
    <w:p w14:paraId="2F1AC44A" w14:textId="0C8E1E95" w:rsidR="00A33DB3" w:rsidRPr="00824A8C" w:rsidRDefault="00A33DB3">
      <w:pPr>
        <w:pStyle w:val="FootnoteText"/>
        <w:rPr>
          <w:sz w:val="16"/>
          <w:szCs w:val="16"/>
          <w:lang w:val="en-AU"/>
        </w:rPr>
      </w:pPr>
      <w:r w:rsidRPr="00824A8C">
        <w:rPr>
          <w:rStyle w:val="FootnoteReference"/>
          <w:sz w:val="16"/>
          <w:szCs w:val="16"/>
          <w:lang w:val="en-AU"/>
        </w:rPr>
        <w:footnoteRef/>
      </w:r>
      <w:r w:rsidRPr="00824A8C">
        <w:rPr>
          <w:sz w:val="16"/>
          <w:szCs w:val="16"/>
          <w:lang w:val="en-AU"/>
        </w:rPr>
        <w:t xml:space="preserve"> </w:t>
      </w:r>
      <w:r w:rsidR="005311CB" w:rsidRPr="00824A8C">
        <w:rPr>
          <w:sz w:val="16"/>
          <w:szCs w:val="16"/>
          <w:lang w:val="en-AU"/>
        </w:rPr>
        <w:t>As above.</w:t>
      </w:r>
    </w:p>
  </w:footnote>
  <w:footnote w:id="6">
    <w:p w14:paraId="371D10E2" w14:textId="604D1F29" w:rsidR="00A33DB3" w:rsidRPr="00CC7A58" w:rsidRDefault="00A33DB3">
      <w:pPr>
        <w:pStyle w:val="FootnoteText"/>
        <w:rPr>
          <w:lang w:val="en-AU"/>
        </w:rPr>
      </w:pPr>
      <w:r w:rsidRPr="00824A8C">
        <w:rPr>
          <w:rStyle w:val="FootnoteReference"/>
          <w:sz w:val="16"/>
          <w:szCs w:val="16"/>
          <w:lang w:val="en-AU"/>
        </w:rPr>
        <w:footnoteRef/>
      </w:r>
      <w:r w:rsidRPr="00824A8C">
        <w:rPr>
          <w:sz w:val="16"/>
          <w:szCs w:val="16"/>
          <w:lang w:val="en-AU"/>
        </w:rPr>
        <w:t xml:space="preserve"> </w:t>
      </w:r>
      <w:r w:rsidR="005311CB" w:rsidRPr="00824A8C">
        <w:rPr>
          <w:sz w:val="16"/>
          <w:szCs w:val="16"/>
          <w:lang w:val="en-AU"/>
        </w:rPr>
        <w:t>As above.</w:t>
      </w:r>
    </w:p>
  </w:footnote>
  <w:footnote w:id="7">
    <w:p w14:paraId="17E0284F" w14:textId="24F74DE8" w:rsidR="001E18D5" w:rsidRPr="00BE3B29" w:rsidRDefault="001E18D5" w:rsidP="003D2F1D">
      <w:pPr>
        <w:pStyle w:val="FootnoteText"/>
        <w:jc w:val="left"/>
        <w:rPr>
          <w:sz w:val="16"/>
          <w:szCs w:val="16"/>
          <w:lang w:val="en-AU"/>
        </w:rPr>
      </w:pPr>
      <w:r w:rsidRPr="00BE3B29">
        <w:rPr>
          <w:rStyle w:val="FootnoteReference"/>
          <w:sz w:val="16"/>
          <w:szCs w:val="16"/>
          <w:lang w:val="en-AU"/>
        </w:rPr>
        <w:footnoteRef/>
      </w:r>
      <w:r w:rsidRPr="00BE3B29">
        <w:rPr>
          <w:sz w:val="16"/>
          <w:szCs w:val="16"/>
          <w:lang w:val="en-AU"/>
        </w:rPr>
        <w:t xml:space="preserve"> </w:t>
      </w:r>
      <w:r w:rsidR="00224C86">
        <w:rPr>
          <w:sz w:val="16"/>
          <w:szCs w:val="16"/>
          <w:lang w:val="en-AU"/>
        </w:rPr>
        <w:t xml:space="preserve">Australia </w:t>
      </w:r>
      <w:r w:rsidR="00D118C3">
        <w:rPr>
          <w:sz w:val="16"/>
          <w:szCs w:val="16"/>
          <w:lang w:val="en-AU"/>
        </w:rPr>
        <w:t>Energy Market Commission (AEMC)</w:t>
      </w:r>
      <w:r w:rsidR="000D315F">
        <w:rPr>
          <w:sz w:val="16"/>
          <w:szCs w:val="16"/>
          <w:lang w:val="en-AU"/>
        </w:rPr>
        <w:t xml:space="preserve"> (27 February 2026)</w:t>
      </w:r>
      <w:r w:rsidR="00D118C3">
        <w:rPr>
          <w:sz w:val="16"/>
          <w:szCs w:val="16"/>
          <w:lang w:val="en-AU"/>
        </w:rPr>
        <w:t>, ‘AEM</w:t>
      </w:r>
      <w:r w:rsidR="00080DCF">
        <w:rPr>
          <w:sz w:val="16"/>
          <w:szCs w:val="16"/>
          <w:lang w:val="en-AU"/>
        </w:rPr>
        <w:t>C</w:t>
      </w:r>
      <w:r w:rsidR="00D118C3">
        <w:rPr>
          <w:sz w:val="16"/>
          <w:szCs w:val="16"/>
          <w:lang w:val="en-AU"/>
        </w:rPr>
        <w:t xml:space="preserve"> updated market price cap for 2025</w:t>
      </w:r>
      <w:r w:rsidR="00080DCF">
        <w:rPr>
          <w:sz w:val="16"/>
          <w:szCs w:val="16"/>
          <w:lang w:val="en-AU"/>
        </w:rPr>
        <w:t>-26</w:t>
      </w:r>
      <w:r w:rsidR="000D315F">
        <w:rPr>
          <w:sz w:val="16"/>
          <w:szCs w:val="16"/>
          <w:lang w:val="en-AU"/>
        </w:rPr>
        <w:t xml:space="preserve">,’ </w:t>
      </w:r>
      <w:r w:rsidR="009B0AAF" w:rsidRPr="009B0AAF">
        <w:rPr>
          <w:sz w:val="16"/>
          <w:szCs w:val="16"/>
          <w:lang w:val="en-AU"/>
        </w:rPr>
        <w:t>www.aemc.gov.au/news-centre/media-releases/aemc-updates-market-price-cap-2025-26</w:t>
      </w:r>
      <w:r w:rsidR="009B0AAF">
        <w:rPr>
          <w:sz w:val="16"/>
          <w:szCs w:val="16"/>
          <w:lang w:val="en-AU"/>
        </w:rPr>
        <w:t>.</w:t>
      </w:r>
    </w:p>
  </w:footnote>
  <w:footnote w:id="8">
    <w:p w14:paraId="57F355A7" w14:textId="7FB6C61A" w:rsidR="6332CC80" w:rsidRPr="006E0E53" w:rsidRDefault="6332CC80" w:rsidP="6332CC80">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w:t>
      </w:r>
      <w:r w:rsidR="00CC3E6B">
        <w:rPr>
          <w:sz w:val="16"/>
          <w:szCs w:val="16"/>
          <w:lang w:val="en-AU"/>
        </w:rPr>
        <w:t>Department of Finance, ‘Snowy Hydro Limited,’</w:t>
      </w:r>
      <w:r w:rsidR="00CC3E6B" w:rsidRPr="00CC3E6B">
        <w:t xml:space="preserve"> </w:t>
      </w:r>
      <w:r w:rsidR="00CC3E6B" w:rsidRPr="00CC3E6B">
        <w:rPr>
          <w:sz w:val="16"/>
          <w:szCs w:val="16"/>
          <w:lang w:val="en-AU"/>
        </w:rPr>
        <w:t>https://www.finance.gov.au/government/government-business-enterprises/snowy-hydro-limited</w:t>
      </w:r>
      <w:r w:rsidR="00CC3E6B">
        <w:rPr>
          <w:sz w:val="16"/>
          <w:szCs w:val="16"/>
          <w:lang w:val="en-AU"/>
        </w:rPr>
        <w:t xml:space="preserve"> and </w:t>
      </w:r>
      <w:r w:rsidRPr="006E0E53">
        <w:rPr>
          <w:sz w:val="16"/>
          <w:szCs w:val="16"/>
          <w:lang w:val="en-AU"/>
        </w:rPr>
        <w:t>Snowy Hydro (2025), Annual Report for the Financial Year ended 30 June 2025.</w:t>
      </w:r>
    </w:p>
  </w:footnote>
  <w:footnote w:id="9">
    <w:p w14:paraId="5A902AAC" w14:textId="2DC046B1" w:rsidR="005F31F3" w:rsidRPr="006E0E53" w:rsidRDefault="005F31F3" w:rsidP="005F31F3">
      <w:pPr>
        <w:pStyle w:val="FootnoteText"/>
        <w:rPr>
          <w:sz w:val="16"/>
          <w:szCs w:val="16"/>
          <w:lang w:val="en-AU"/>
        </w:rPr>
      </w:pPr>
      <w:r w:rsidRPr="006E0E53">
        <w:rPr>
          <w:rStyle w:val="FootnoteReference"/>
          <w:sz w:val="16"/>
          <w:szCs w:val="16"/>
          <w:lang w:val="en-AU"/>
        </w:rPr>
        <w:footnoteRef/>
      </w:r>
      <w:r w:rsidR="6332CC80" w:rsidRPr="006E0E53">
        <w:rPr>
          <w:sz w:val="16"/>
          <w:szCs w:val="16"/>
          <w:lang w:val="en-AU"/>
        </w:rPr>
        <w:t xml:space="preserve"> Australian Government (2024), Snowy Hydro Limited Statement of Expectations. </w:t>
      </w:r>
    </w:p>
  </w:footnote>
  <w:footnote w:id="10">
    <w:p w14:paraId="2EE14484" w14:textId="28682F8A" w:rsidR="6332CC80" w:rsidRPr="00CC7A58" w:rsidRDefault="6332CC80" w:rsidP="6332CC80">
      <w:pPr>
        <w:pStyle w:val="FootnoteText"/>
        <w:rPr>
          <w:i/>
          <w:lang w:val="en-AU"/>
        </w:rPr>
      </w:pPr>
      <w:r w:rsidRPr="006E0E53">
        <w:rPr>
          <w:rStyle w:val="FootnoteReference"/>
          <w:sz w:val="16"/>
          <w:szCs w:val="16"/>
          <w:lang w:val="en-AU"/>
        </w:rPr>
        <w:footnoteRef/>
      </w:r>
      <w:r w:rsidRPr="006E0E53">
        <w:rPr>
          <w:sz w:val="16"/>
          <w:szCs w:val="16"/>
          <w:lang w:val="en-AU"/>
        </w:rPr>
        <w:t xml:space="preserve"> Australian Government (2024), Snowy Hydro Limited Statement of Expectations: 2.</w:t>
      </w:r>
    </w:p>
  </w:footnote>
  <w:footnote w:id="11">
    <w:p w14:paraId="691562E8" w14:textId="34EFA7A0" w:rsidR="000340AE" w:rsidRPr="006E0E53" w:rsidRDefault="000340AE" w:rsidP="00461EB7">
      <w:pPr>
        <w:pStyle w:val="FootnoteText"/>
        <w:jc w:val="left"/>
        <w:rPr>
          <w:sz w:val="16"/>
          <w:szCs w:val="16"/>
          <w:lang w:val="en-AU"/>
        </w:rPr>
      </w:pPr>
      <w:r w:rsidRPr="006E0E53">
        <w:rPr>
          <w:rStyle w:val="FootnoteReference"/>
          <w:sz w:val="16"/>
          <w:szCs w:val="16"/>
          <w:lang w:val="en-AU"/>
        </w:rPr>
        <w:footnoteRef/>
      </w:r>
      <w:r w:rsidR="6332CC80" w:rsidRPr="006E0E53">
        <w:rPr>
          <w:sz w:val="16"/>
          <w:szCs w:val="16"/>
          <w:lang w:val="en-AU"/>
        </w:rPr>
        <w:t xml:space="preserve"> Snowy Water Inquiry Outcomes Implementation Deed (Deed)</w:t>
      </w:r>
      <w:r w:rsidR="6332CC80" w:rsidRPr="006E0E53">
        <w:rPr>
          <w:rFonts w:cs="Calibri"/>
          <w:sz w:val="16"/>
          <w:szCs w:val="16"/>
          <w:lang w:val="en-AU"/>
        </w:rPr>
        <w:t>, Annexture 2, Part 2.1.</w:t>
      </w:r>
    </w:p>
  </w:footnote>
  <w:footnote w:id="12">
    <w:p w14:paraId="00B3074D" w14:textId="5472A79B" w:rsidR="00CB5520" w:rsidRPr="006E0E53" w:rsidRDefault="00CB5520" w:rsidP="00E7408F">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NSW DCCEEW (2025), Annual environmental water priorities in the Snowy and Snowy montane catchment 2025-26,’ www.environment.nsw.gov.au/topics/water/water-for-the-environment/catchments/snowy-and-montane/snowy-and-montane-rivers-environmental-water-priorities-2025-26.</w:t>
      </w:r>
    </w:p>
  </w:footnote>
  <w:footnote w:id="13">
    <w:p w14:paraId="74804C59" w14:textId="5A927A57" w:rsidR="001F11B6" w:rsidRPr="006E0E53" w:rsidRDefault="000340AE" w:rsidP="00E7408F">
      <w:pPr>
        <w:pStyle w:val="FootnoteText"/>
        <w:jc w:val="left"/>
        <w:rPr>
          <w:sz w:val="16"/>
          <w:szCs w:val="16"/>
          <w:lang w:val="en-AU"/>
        </w:rPr>
      </w:pPr>
      <w:r w:rsidRPr="007A669D">
        <w:rPr>
          <w:rStyle w:val="FootnoteReference"/>
          <w:sz w:val="16"/>
          <w:szCs w:val="16"/>
          <w:lang w:val="en-AU"/>
        </w:rPr>
        <w:footnoteRef/>
      </w:r>
      <w:r w:rsidR="6332CC80" w:rsidRPr="006E0E53">
        <w:rPr>
          <w:sz w:val="16"/>
          <w:szCs w:val="16"/>
          <w:lang w:val="en-AU"/>
        </w:rPr>
        <w:t xml:space="preserve">NSW </w:t>
      </w:r>
      <w:r w:rsidR="00CB5520" w:rsidRPr="006E0E53">
        <w:rPr>
          <w:sz w:val="16"/>
          <w:szCs w:val="16"/>
          <w:lang w:val="en-AU"/>
        </w:rPr>
        <w:t>DCCEEW (</w:t>
      </w:r>
      <w:r w:rsidR="6332CC80" w:rsidRPr="006E0E53">
        <w:rPr>
          <w:sz w:val="16"/>
          <w:szCs w:val="16"/>
          <w:lang w:val="en-AU"/>
        </w:rPr>
        <w:t>2025), Annual environmental water priorities in the Snowy and Snowy montane catchment 2025-26,’ www.environment.nsw.gov.au/topics/water/water-for-the-environment/catchments/snowy-and-montane/snowy-and-montane-rivers-environmental-water-priorities-2025-26.</w:t>
      </w:r>
    </w:p>
  </w:footnote>
  <w:footnote w:id="14">
    <w:p w14:paraId="3E97BB5E" w14:textId="05B364F3" w:rsidR="003012A4" w:rsidRPr="006E0E53" w:rsidRDefault="003012A4" w:rsidP="00461EB7">
      <w:pPr>
        <w:pStyle w:val="FootnoteText"/>
        <w:jc w:val="left"/>
        <w:rPr>
          <w:sz w:val="16"/>
          <w:szCs w:val="16"/>
          <w:lang w:val="en-AU"/>
        </w:rPr>
      </w:pPr>
      <w:r w:rsidRPr="006E0E53">
        <w:rPr>
          <w:rStyle w:val="FootnoteReference"/>
          <w:sz w:val="16"/>
          <w:szCs w:val="16"/>
          <w:lang w:val="en-AU"/>
        </w:rPr>
        <w:footnoteRef/>
      </w:r>
      <w:r w:rsidR="6332CC80" w:rsidRPr="006E0E53">
        <w:rPr>
          <w:sz w:val="16"/>
          <w:szCs w:val="16"/>
          <w:lang w:val="en-AU"/>
        </w:rPr>
        <w:t xml:space="preserve"> Deed</w:t>
      </w:r>
      <w:r w:rsidR="6332CC80" w:rsidRPr="006E0E53">
        <w:rPr>
          <w:rFonts w:cs="Calibri"/>
          <w:sz w:val="16"/>
          <w:szCs w:val="16"/>
          <w:lang w:val="en-AU"/>
        </w:rPr>
        <w:t>, Annexture 1, Part 1.</w:t>
      </w:r>
    </w:p>
  </w:footnote>
  <w:footnote w:id="15">
    <w:p w14:paraId="5DFBCD87" w14:textId="14ABA981" w:rsidR="003012A4" w:rsidRPr="00461EB7" w:rsidRDefault="003012A4" w:rsidP="00461EB7">
      <w:pPr>
        <w:pStyle w:val="FootnoteText"/>
        <w:jc w:val="left"/>
        <w:rPr>
          <w:lang w:val="en-AU"/>
        </w:rPr>
      </w:pPr>
      <w:r w:rsidRPr="006E0E53">
        <w:rPr>
          <w:rStyle w:val="FootnoteReference"/>
          <w:sz w:val="16"/>
          <w:szCs w:val="16"/>
          <w:lang w:val="en-AU"/>
        </w:rPr>
        <w:footnoteRef/>
      </w:r>
      <w:r w:rsidRPr="006E0E53">
        <w:rPr>
          <w:sz w:val="16"/>
          <w:szCs w:val="16"/>
          <w:lang w:val="en-AU"/>
        </w:rPr>
        <w:t xml:space="preserve"> </w:t>
      </w:r>
      <w:r w:rsidR="00E7408F" w:rsidRPr="006E0E53">
        <w:rPr>
          <w:sz w:val="16"/>
          <w:szCs w:val="16"/>
          <w:lang w:val="en-AU"/>
        </w:rPr>
        <w:t xml:space="preserve"> NSW DCCEEW (2025), Annual environmental water priorities in the Snowy and Snowy montane catchment 2025-26,’ www.environment.nsw.gov.au/topics/water/water-for-the-environment/catchments/snowy-and-montane/snowy-and-montane-rivers-environmental-water-priorities-2025-26.</w:t>
      </w:r>
    </w:p>
  </w:footnote>
  <w:footnote w:id="16">
    <w:p w14:paraId="2C04D7D6" w14:textId="58DCD330" w:rsidR="001C737C" w:rsidRPr="006E0E53" w:rsidRDefault="001C737C" w:rsidP="6332CC80">
      <w:pPr>
        <w:pStyle w:val="FootnoteText"/>
        <w:jc w:val="left"/>
        <w:rPr>
          <w:rStyle w:val="Hyperlink"/>
          <w:sz w:val="16"/>
          <w:szCs w:val="16"/>
          <w:lang w:val="en-AU"/>
        </w:rPr>
      </w:pPr>
      <w:r w:rsidRPr="006E0E53">
        <w:rPr>
          <w:rStyle w:val="FootnoteReference"/>
          <w:sz w:val="16"/>
          <w:szCs w:val="16"/>
          <w:lang w:val="en-AU"/>
        </w:rPr>
        <w:footnoteRef/>
      </w:r>
      <w:r w:rsidR="6332CC80" w:rsidRPr="006E0E53">
        <w:rPr>
          <w:sz w:val="16"/>
          <w:szCs w:val="16"/>
          <w:lang w:val="en-AU"/>
        </w:rPr>
        <w:t xml:space="preserve"> NSW </w:t>
      </w:r>
      <w:r w:rsidR="00E7408F" w:rsidRPr="006E0E53">
        <w:rPr>
          <w:sz w:val="16"/>
          <w:szCs w:val="16"/>
          <w:lang w:val="en-AU"/>
        </w:rPr>
        <w:t>DCCEEW</w:t>
      </w:r>
      <w:r w:rsidR="6332CC80" w:rsidRPr="006E0E53">
        <w:rPr>
          <w:sz w:val="16"/>
          <w:szCs w:val="16"/>
          <w:lang w:val="en-AU"/>
        </w:rPr>
        <w:t xml:space="preserve"> (2025), Annual environmental water priorities in the Snowy and Snowy montane catchment 2025-26,’ www.environment.nsw.gov.au/topics/water/water-for-the-environment/catchments/snowy-and-montane/snowy-and-montane-rivers-environmental-water-priorities-2025-26.</w:t>
      </w:r>
    </w:p>
  </w:footnote>
  <w:footnote w:id="17">
    <w:p w14:paraId="50D90827" w14:textId="1F1F3261" w:rsidR="001C737C" w:rsidRPr="00E7408F" w:rsidRDefault="001C737C" w:rsidP="6332CC80">
      <w:pPr>
        <w:pStyle w:val="FootnoteText"/>
        <w:jc w:val="left"/>
        <w:rPr>
          <w:lang w:val="en-AU"/>
        </w:rPr>
      </w:pPr>
      <w:r w:rsidRPr="006E0E53">
        <w:rPr>
          <w:rStyle w:val="FootnoteReference"/>
          <w:sz w:val="16"/>
          <w:szCs w:val="16"/>
          <w:lang w:val="en-AU"/>
        </w:rPr>
        <w:footnoteRef/>
      </w:r>
      <w:r w:rsidR="6332CC80" w:rsidRPr="006E0E53">
        <w:rPr>
          <w:sz w:val="16"/>
          <w:szCs w:val="16"/>
          <w:lang w:val="en-AU"/>
        </w:rPr>
        <w:t xml:space="preserve"> NSW </w:t>
      </w:r>
      <w:r w:rsidR="00E7408F" w:rsidRPr="006E0E53">
        <w:rPr>
          <w:sz w:val="16"/>
          <w:szCs w:val="16"/>
          <w:lang w:val="en-AU"/>
        </w:rPr>
        <w:t>DCCEEW</w:t>
      </w:r>
      <w:r w:rsidR="00461EB7" w:rsidRPr="006E0E53">
        <w:rPr>
          <w:sz w:val="16"/>
          <w:szCs w:val="16"/>
          <w:lang w:val="en-AU"/>
        </w:rPr>
        <w:t xml:space="preserve"> </w:t>
      </w:r>
      <w:r w:rsidR="6332CC80" w:rsidRPr="006E0E53">
        <w:rPr>
          <w:sz w:val="16"/>
          <w:szCs w:val="16"/>
          <w:lang w:val="en-AU"/>
        </w:rPr>
        <w:t>(2025), Annual environmental water priorities in the Snowy and Snowy montane catchment 2025-26,’ www.environment.nsw.gov.au/topics/water/water-for-the-environment/catchments/snowy-and-montane/snowy-and-montane-rivers-environmental-water-priorities-2025-26.</w:t>
      </w:r>
      <w:r w:rsidR="6332CC80" w:rsidRPr="00E7408F">
        <w:rPr>
          <w:rStyle w:val="Hyperlink"/>
          <w:sz w:val="18"/>
          <w:szCs w:val="18"/>
          <w:lang w:val="en-AU"/>
        </w:rPr>
        <w:t xml:space="preserve"> </w:t>
      </w:r>
    </w:p>
  </w:footnote>
  <w:footnote w:id="18">
    <w:p w14:paraId="413A2F20" w14:textId="4D1F52F1" w:rsidR="00B8184F" w:rsidRPr="006E0E53" w:rsidRDefault="00B8184F" w:rsidP="6332CC80">
      <w:pPr>
        <w:pStyle w:val="FootnoteText"/>
        <w:jc w:val="left"/>
        <w:rPr>
          <w:sz w:val="16"/>
          <w:szCs w:val="16"/>
          <w:lang w:val="en-AU"/>
        </w:rPr>
      </w:pPr>
      <w:r w:rsidRPr="006E0E53">
        <w:rPr>
          <w:rStyle w:val="FootnoteReference"/>
          <w:sz w:val="16"/>
          <w:szCs w:val="16"/>
          <w:lang w:val="en-AU"/>
        </w:rPr>
        <w:footnoteRef/>
      </w:r>
      <w:r w:rsidR="6332CC80" w:rsidRPr="006E0E53">
        <w:rPr>
          <w:sz w:val="16"/>
          <w:szCs w:val="16"/>
          <w:lang w:val="en-AU"/>
        </w:rPr>
        <w:t xml:space="preserve"> First Nations Advisory Group (April 2026), From Advisory to Custodianship – Cultural Recommendations to the Independent Review Panel:</w:t>
      </w:r>
      <w:r w:rsidR="6332CC80" w:rsidRPr="006E0E53">
        <w:rPr>
          <w:rFonts w:cs="Calibri"/>
          <w:sz w:val="16"/>
          <w:szCs w:val="16"/>
          <w:lang w:val="en-AU"/>
        </w:rPr>
        <w:t xml:space="preserve"> 4.</w:t>
      </w:r>
    </w:p>
  </w:footnote>
  <w:footnote w:id="19">
    <w:p w14:paraId="6135F519" w14:textId="503F68B7" w:rsidR="009C5DD0" w:rsidRPr="006E0E53" w:rsidRDefault="009C5DD0" w:rsidP="6332CC80">
      <w:pPr>
        <w:pStyle w:val="FootnoteText"/>
        <w:rPr>
          <w:rFonts w:cs="Calibri"/>
          <w:sz w:val="16"/>
          <w:szCs w:val="16"/>
          <w:lang w:val="en-AU"/>
        </w:rPr>
      </w:pPr>
      <w:r w:rsidRPr="006E0E53">
        <w:rPr>
          <w:rStyle w:val="FootnoteReference"/>
          <w:sz w:val="16"/>
          <w:szCs w:val="16"/>
          <w:lang w:val="en-AU"/>
        </w:rPr>
        <w:footnoteRef/>
      </w:r>
      <w:r w:rsidR="6332CC80" w:rsidRPr="006E0E53">
        <w:rPr>
          <w:sz w:val="16"/>
          <w:szCs w:val="16"/>
          <w:lang w:val="en-AU"/>
        </w:rPr>
        <w:t xml:space="preserve"> First Nations Advisory Group (April 2026), From Advisory to Custodianship – Cultural Recommendations to the Independent Review Panel:</w:t>
      </w:r>
      <w:r w:rsidR="6332CC80" w:rsidRPr="006E0E53">
        <w:rPr>
          <w:rFonts w:cs="Calibri"/>
          <w:sz w:val="16"/>
          <w:szCs w:val="16"/>
          <w:lang w:val="en-AU"/>
        </w:rPr>
        <w:t xml:space="preserve"> 36.</w:t>
      </w:r>
    </w:p>
  </w:footnote>
  <w:footnote w:id="20">
    <w:p w14:paraId="6E08A90E" w14:textId="760079D8" w:rsidR="009C5DD0" w:rsidRPr="006E0E53" w:rsidRDefault="009C5DD0" w:rsidP="6332CC80">
      <w:pPr>
        <w:pStyle w:val="FootnoteText"/>
        <w:rPr>
          <w:rFonts w:cs="Calibri"/>
          <w:sz w:val="16"/>
          <w:szCs w:val="16"/>
          <w:lang w:val="en-AU"/>
        </w:rPr>
      </w:pPr>
      <w:r w:rsidRPr="006E0E53">
        <w:rPr>
          <w:rStyle w:val="FootnoteReference"/>
          <w:sz w:val="16"/>
          <w:szCs w:val="16"/>
          <w:lang w:val="en-AU"/>
        </w:rPr>
        <w:footnoteRef/>
      </w:r>
      <w:r w:rsidR="6332CC80" w:rsidRPr="006E0E53">
        <w:rPr>
          <w:sz w:val="16"/>
          <w:szCs w:val="16"/>
          <w:lang w:val="en-AU"/>
        </w:rPr>
        <w:t xml:space="preserve"> First Nations Advisory Group (April 2026), From Advisory to Custodianship – Cultural Recommendations to the Independent Review Panel:</w:t>
      </w:r>
      <w:r w:rsidR="6332CC80" w:rsidRPr="006E0E53">
        <w:rPr>
          <w:rFonts w:cs="Calibri"/>
          <w:sz w:val="16"/>
          <w:szCs w:val="16"/>
          <w:lang w:val="en-AU"/>
        </w:rPr>
        <w:t xml:space="preserve"> 10.</w:t>
      </w:r>
      <w:r w:rsidR="6332CC80" w:rsidRPr="006E0E53">
        <w:rPr>
          <w:sz w:val="16"/>
          <w:szCs w:val="16"/>
          <w:lang w:val="en-AU"/>
        </w:rPr>
        <w:t xml:space="preserve"> </w:t>
      </w:r>
    </w:p>
  </w:footnote>
  <w:footnote w:id="21">
    <w:p w14:paraId="15A44908" w14:textId="454CBBD1" w:rsidR="00143493" w:rsidRPr="006E0E53" w:rsidRDefault="00143493" w:rsidP="6332CC80">
      <w:pPr>
        <w:pStyle w:val="FootnoteText"/>
        <w:jc w:val="left"/>
        <w:rPr>
          <w:sz w:val="16"/>
          <w:szCs w:val="16"/>
          <w:lang w:val="en-AU"/>
        </w:rPr>
      </w:pPr>
      <w:r w:rsidRPr="006E0E53">
        <w:rPr>
          <w:rStyle w:val="FootnoteReference"/>
          <w:sz w:val="16"/>
          <w:szCs w:val="16"/>
          <w:lang w:val="en-AU"/>
        </w:rPr>
        <w:footnoteRef/>
      </w:r>
      <w:r w:rsidR="6332CC80" w:rsidRPr="006E0E53">
        <w:rPr>
          <w:sz w:val="16"/>
          <w:szCs w:val="16"/>
          <w:lang w:val="en-AU"/>
        </w:rPr>
        <w:t xml:space="preserve"> Stakeholder Advisory Group (May 2026), Restoring the Upper Murrumbidgee, Improving Flows, Balancing Interests - Initial Report from the Stakeholder Advisory Group to the Independent Review Panel: 14.</w:t>
      </w:r>
    </w:p>
  </w:footnote>
  <w:footnote w:id="22">
    <w:p w14:paraId="3D22251C" w14:textId="4B2FCB70" w:rsidR="21D08C13" w:rsidRPr="006E0E53" w:rsidRDefault="21D08C13" w:rsidP="6332CC80">
      <w:pPr>
        <w:pStyle w:val="FootnoteText"/>
        <w:jc w:val="left"/>
        <w:rPr>
          <w:sz w:val="16"/>
          <w:szCs w:val="16"/>
          <w:lang w:val="en-AU"/>
        </w:rPr>
      </w:pPr>
      <w:r w:rsidRPr="006E0E53">
        <w:rPr>
          <w:rStyle w:val="FootnoteReference"/>
          <w:sz w:val="16"/>
          <w:szCs w:val="16"/>
          <w:lang w:val="en-AU"/>
        </w:rPr>
        <w:footnoteRef/>
      </w:r>
      <w:r w:rsidR="6332CC80" w:rsidRPr="006E0E53">
        <w:rPr>
          <w:sz w:val="16"/>
          <w:szCs w:val="16"/>
          <w:lang w:val="en-AU"/>
        </w:rPr>
        <w:t xml:space="preserve"> Stakeholder Advisory Group (May 2026), Restoring the Upper Murrumbidgee, Improving Flows, Balancing Interests - Initial Report from the Stakeholder Advisory Group to the Independent Review Panel: 44-45.</w:t>
      </w:r>
    </w:p>
  </w:footnote>
  <w:footnote w:id="23">
    <w:p w14:paraId="3A3F6959" w14:textId="42C04FD9" w:rsidR="6332CC80" w:rsidRPr="006E0E53" w:rsidRDefault="6332CC80" w:rsidP="6332CC80">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Intergovernmental Review Consultation Group (May 2026), Snowy Water Inquiry Outcomes Implementation Deed: Review Consultation Group Discussion Summary: 2. </w:t>
      </w:r>
    </w:p>
  </w:footnote>
  <w:footnote w:id="24">
    <w:p w14:paraId="639D712B" w14:textId="24937B50" w:rsidR="40968DDE" w:rsidRPr="006C4331" w:rsidRDefault="40968DDE" w:rsidP="6332CC80">
      <w:pPr>
        <w:pStyle w:val="FootnoteText"/>
        <w:jc w:val="left"/>
        <w:rPr>
          <w:sz w:val="18"/>
          <w:szCs w:val="18"/>
          <w:lang w:val="en-AU"/>
        </w:rPr>
      </w:pPr>
      <w:r w:rsidRPr="006E0E53">
        <w:rPr>
          <w:rStyle w:val="FootnoteReference"/>
          <w:sz w:val="16"/>
          <w:szCs w:val="16"/>
          <w:lang w:val="en-AU"/>
        </w:rPr>
        <w:footnoteRef/>
      </w:r>
      <w:r w:rsidR="6332CC80" w:rsidRPr="006E0E53">
        <w:rPr>
          <w:sz w:val="16"/>
          <w:szCs w:val="16"/>
          <w:lang w:val="en-AU"/>
        </w:rPr>
        <w:t xml:space="preserve"> Intergovernmental Review Consultation Group (May 2026), Snowy Water Inquiry Outcomes Implementation Deed: Review Consultation Group Discussion Summary: 6.</w:t>
      </w:r>
    </w:p>
  </w:footnote>
  <w:footnote w:id="25">
    <w:p w14:paraId="658C467C" w14:textId="3AE3A939" w:rsidR="00E87672" w:rsidRPr="006E0E53" w:rsidRDefault="00E87672" w:rsidP="6332CC80">
      <w:pPr>
        <w:pStyle w:val="FootnoteText"/>
        <w:jc w:val="left"/>
        <w:rPr>
          <w:sz w:val="16"/>
          <w:szCs w:val="16"/>
          <w:lang w:val="en-AU"/>
        </w:rPr>
      </w:pPr>
      <w:r w:rsidRPr="006E0E53">
        <w:rPr>
          <w:rStyle w:val="FootnoteReference"/>
          <w:sz w:val="16"/>
          <w:szCs w:val="16"/>
          <w:lang w:val="en-AU"/>
        </w:rPr>
        <w:footnoteRef/>
      </w:r>
      <w:r w:rsidR="6332CC80" w:rsidRPr="006E0E53">
        <w:rPr>
          <w:rStyle w:val="FootnoteReference"/>
          <w:sz w:val="16"/>
          <w:szCs w:val="16"/>
          <w:lang w:val="en-AU"/>
        </w:rPr>
        <w:t xml:space="preserve"> </w:t>
      </w:r>
      <w:r w:rsidR="6332CC80" w:rsidRPr="006E0E53">
        <w:rPr>
          <w:sz w:val="16"/>
          <w:szCs w:val="16"/>
          <w:lang w:val="en-AU"/>
        </w:rPr>
        <w:t xml:space="preserve">Intergovernmental Review Consultation Group (May 2026), Snowy Water Inquiry Outcomes Implementation Deed: Review Consultation Group Discussion Summary: 6. </w:t>
      </w:r>
    </w:p>
  </w:footnote>
  <w:footnote w:id="26">
    <w:p w14:paraId="5178FEAE" w14:textId="1C8D91BE" w:rsidR="00E87672" w:rsidRPr="006E0E53" w:rsidRDefault="00E87672" w:rsidP="6332CC80">
      <w:pPr>
        <w:pStyle w:val="FootnoteText"/>
        <w:jc w:val="left"/>
        <w:rPr>
          <w:sz w:val="16"/>
          <w:szCs w:val="16"/>
          <w:lang w:val="en-AU"/>
        </w:rPr>
      </w:pPr>
      <w:r w:rsidRPr="006E0E53">
        <w:rPr>
          <w:rStyle w:val="FootnoteReference"/>
          <w:sz w:val="16"/>
          <w:szCs w:val="16"/>
          <w:lang w:val="en-AU"/>
        </w:rPr>
        <w:footnoteRef/>
      </w:r>
      <w:r w:rsidR="6332CC80" w:rsidRPr="006E0E53">
        <w:rPr>
          <w:rStyle w:val="FootnoteReference"/>
          <w:sz w:val="16"/>
          <w:szCs w:val="16"/>
          <w:lang w:val="en-AU"/>
        </w:rPr>
        <w:t xml:space="preserve"> </w:t>
      </w:r>
      <w:r w:rsidR="6332CC80" w:rsidRPr="006E0E53">
        <w:rPr>
          <w:sz w:val="16"/>
          <w:szCs w:val="16"/>
          <w:lang w:val="en-AU"/>
        </w:rPr>
        <w:t xml:space="preserve">Intergovernmental Review Consultation Group (May 2026), Snowy Water Inquiry Outcomes Implementation Deed: Review Consultation Group Discussion Summary: 6. </w:t>
      </w:r>
    </w:p>
  </w:footnote>
  <w:footnote w:id="27">
    <w:p w14:paraId="29CF27D0" w14:textId="20391F1B" w:rsidR="00E87672" w:rsidRPr="006E0E53" w:rsidRDefault="00E87672" w:rsidP="6332CC80">
      <w:pPr>
        <w:pStyle w:val="FootnoteText"/>
        <w:jc w:val="left"/>
        <w:rPr>
          <w:sz w:val="16"/>
          <w:szCs w:val="16"/>
          <w:lang w:val="en-AU"/>
        </w:rPr>
      </w:pPr>
      <w:r w:rsidRPr="006E0E53">
        <w:rPr>
          <w:rStyle w:val="FootnoteReference"/>
          <w:sz w:val="16"/>
          <w:szCs w:val="16"/>
          <w:lang w:val="en-AU"/>
        </w:rPr>
        <w:footnoteRef/>
      </w:r>
      <w:r w:rsidR="6332CC80" w:rsidRPr="006E0E53">
        <w:rPr>
          <w:rStyle w:val="FootnoteReference"/>
          <w:sz w:val="16"/>
          <w:szCs w:val="16"/>
          <w:lang w:val="en-AU"/>
        </w:rPr>
        <w:t xml:space="preserve"> </w:t>
      </w:r>
      <w:r w:rsidR="6332CC80" w:rsidRPr="006E0E53">
        <w:rPr>
          <w:sz w:val="16"/>
          <w:szCs w:val="16"/>
          <w:lang w:val="en-AU"/>
        </w:rPr>
        <w:t>Intergovernmental Review Consultation Group (May 2026), Snowy Water Inquiry Outcomes Implementation Deed: Review Consultation Group Discussion Summary: 7.</w:t>
      </w:r>
    </w:p>
  </w:footnote>
  <w:footnote w:id="28">
    <w:p w14:paraId="4E0E094A" w14:textId="186B7F45" w:rsidR="6332CC80" w:rsidRPr="007A669D" w:rsidRDefault="6332CC80" w:rsidP="6332CC80">
      <w:pPr>
        <w:pStyle w:val="FootnoteText"/>
        <w:jc w:val="left"/>
        <w:rPr>
          <w:sz w:val="16"/>
          <w:szCs w:val="16"/>
          <w:lang w:val="en-AU"/>
        </w:rPr>
      </w:pPr>
      <w:r w:rsidRPr="006E0E53">
        <w:rPr>
          <w:rStyle w:val="FootnoteReference"/>
          <w:sz w:val="16"/>
          <w:szCs w:val="16"/>
        </w:rPr>
        <w:footnoteRef/>
      </w:r>
      <w:r w:rsidRPr="007A669D">
        <w:rPr>
          <w:sz w:val="16"/>
          <w:szCs w:val="16"/>
          <w:lang w:val="en-AU"/>
        </w:rPr>
        <w:t xml:space="preserve"> Intergovernmental Review Consultation Group (May 2026), Snowy Water Inquiry Outcomes Implementation Deed: Review Consultation Group Discussion Summary: 20.</w:t>
      </w:r>
    </w:p>
  </w:footnote>
  <w:footnote w:id="29">
    <w:p w14:paraId="56975131" w14:textId="29D56286" w:rsidR="009055DA" w:rsidRPr="006E0E53" w:rsidRDefault="009055DA" w:rsidP="6332CC80">
      <w:pPr>
        <w:pStyle w:val="FootnoteText"/>
        <w:jc w:val="left"/>
        <w:rPr>
          <w:sz w:val="16"/>
          <w:szCs w:val="16"/>
          <w:lang w:val="en-AU"/>
        </w:rPr>
      </w:pPr>
      <w:r w:rsidRPr="006E0E53">
        <w:rPr>
          <w:rStyle w:val="FootnoteReference"/>
          <w:sz w:val="16"/>
          <w:szCs w:val="16"/>
          <w:lang w:val="en-AU"/>
        </w:rPr>
        <w:footnoteRef/>
      </w:r>
      <w:r w:rsidR="6332CC80" w:rsidRPr="006E0E53">
        <w:rPr>
          <w:rStyle w:val="FootnoteReference"/>
          <w:sz w:val="16"/>
          <w:szCs w:val="16"/>
          <w:lang w:val="en-AU"/>
        </w:rPr>
        <w:t xml:space="preserve">  </w:t>
      </w:r>
      <w:r w:rsidR="6332CC80" w:rsidRPr="006E0E53">
        <w:rPr>
          <w:sz w:val="16"/>
          <w:szCs w:val="16"/>
          <w:lang w:val="en-AU"/>
        </w:rPr>
        <w:t xml:space="preserve"> Australian Government Department of Climate Change, Energy, the Environment and Water (2025), Snowy Water Inquiry Outcomes Implementation Deed Review Issues Analysis: 8-9.</w:t>
      </w:r>
    </w:p>
  </w:footnote>
  <w:footnote w:id="30">
    <w:p w14:paraId="617CD30A" w14:textId="0ADC70AF" w:rsidR="00C112CF" w:rsidRPr="00FA7EC0" w:rsidRDefault="00C112CF" w:rsidP="6332CC80">
      <w:pPr>
        <w:pStyle w:val="FootnoteText"/>
        <w:jc w:val="left"/>
        <w:rPr>
          <w:sz w:val="18"/>
          <w:szCs w:val="18"/>
          <w:highlight w:val="yellow"/>
          <w:lang w:val="en-AU"/>
        </w:rPr>
      </w:pPr>
      <w:r w:rsidRPr="006E0E53">
        <w:rPr>
          <w:rStyle w:val="FootnoteReference"/>
          <w:sz w:val="16"/>
          <w:szCs w:val="16"/>
          <w:lang w:val="en-AU"/>
        </w:rPr>
        <w:footnoteRef/>
      </w:r>
      <w:r w:rsidR="6332CC80" w:rsidRPr="006E0E53">
        <w:rPr>
          <w:sz w:val="16"/>
          <w:szCs w:val="16"/>
          <w:lang w:val="en-AU"/>
        </w:rPr>
        <w:t>McGuire, A and Pittock, J. (2025) Environmental flows in the upper Murrumbidgee River: evaluating flow delivery and governance to inform future environmental flow agreements.  </w:t>
      </w:r>
      <w:r w:rsidR="6332CC80" w:rsidRPr="006E0E53">
        <w:rPr>
          <w:i/>
          <w:sz w:val="16"/>
          <w:szCs w:val="16"/>
          <w:lang w:val="en-AU"/>
        </w:rPr>
        <w:t>Marine &amp; Freshwater Research</w:t>
      </w:r>
      <w:r w:rsidR="6332CC80" w:rsidRPr="006E0E53">
        <w:rPr>
          <w:sz w:val="16"/>
          <w:szCs w:val="16"/>
          <w:lang w:val="en-AU"/>
        </w:rPr>
        <w:t> 76: 5. </w:t>
      </w:r>
      <w:hyperlink r:id="rId1">
        <w:r w:rsidR="6332CC80" w:rsidRPr="006E0E53">
          <w:rPr>
            <w:rStyle w:val="Hyperlink"/>
            <w:sz w:val="16"/>
            <w:szCs w:val="16"/>
            <w:lang w:val="en-AU"/>
          </w:rPr>
          <w:t>https://doi.org/10.1071/MF24286.</w:t>
        </w:r>
      </w:hyperlink>
      <w:r w:rsidR="6332CC80" w:rsidRPr="00FA7EC0">
        <w:rPr>
          <w:sz w:val="18"/>
          <w:szCs w:val="18"/>
          <w:lang w:val="en-AU"/>
        </w:rPr>
        <w:t xml:space="preserve"> </w:t>
      </w:r>
    </w:p>
  </w:footnote>
  <w:footnote w:id="31">
    <w:p w14:paraId="0CB921D2" w14:textId="358252FE" w:rsidR="00C112CF" w:rsidRPr="006E0E53" w:rsidRDefault="00C112CF" w:rsidP="6332CC80">
      <w:pPr>
        <w:pStyle w:val="FootnoteText"/>
        <w:jc w:val="left"/>
        <w:rPr>
          <w:sz w:val="16"/>
          <w:szCs w:val="16"/>
          <w:lang w:val="en-AU"/>
        </w:rPr>
      </w:pPr>
      <w:r w:rsidRPr="006E0E53">
        <w:rPr>
          <w:rStyle w:val="FootnoteReference"/>
          <w:sz w:val="16"/>
          <w:szCs w:val="16"/>
          <w:lang w:val="en-AU"/>
        </w:rPr>
        <w:footnoteRef/>
      </w:r>
      <w:r w:rsidR="6332CC80" w:rsidRPr="006E0E53">
        <w:rPr>
          <w:rStyle w:val="FootnoteReference"/>
          <w:sz w:val="16"/>
          <w:szCs w:val="16"/>
          <w:lang w:val="en-AU"/>
        </w:rPr>
        <w:t xml:space="preserve"> </w:t>
      </w:r>
      <w:r w:rsidR="6332CC80" w:rsidRPr="006E0E53">
        <w:rPr>
          <w:sz w:val="16"/>
          <w:szCs w:val="16"/>
          <w:lang w:val="en-AU"/>
        </w:rPr>
        <w:t>McGuire, A and Pittock, J. (2025) Environmental flows in the upper Murrumbidgee River: evaluating flow delivery and governance to inform future environmental flow agreements.  </w:t>
      </w:r>
      <w:r w:rsidR="6332CC80" w:rsidRPr="006E0E53">
        <w:rPr>
          <w:i/>
          <w:sz w:val="16"/>
          <w:szCs w:val="16"/>
          <w:lang w:val="en-AU"/>
        </w:rPr>
        <w:t>Marine &amp; Freshwater Research</w:t>
      </w:r>
      <w:r w:rsidR="6332CC80" w:rsidRPr="006E0E53">
        <w:rPr>
          <w:sz w:val="16"/>
          <w:szCs w:val="16"/>
          <w:lang w:val="en-AU"/>
        </w:rPr>
        <w:t> 76: 5. </w:t>
      </w:r>
      <w:hyperlink r:id="rId2">
        <w:r w:rsidR="6332CC80" w:rsidRPr="006E0E53">
          <w:rPr>
            <w:rStyle w:val="Hyperlink"/>
            <w:sz w:val="16"/>
            <w:szCs w:val="16"/>
            <w:lang w:val="en-AU"/>
          </w:rPr>
          <w:t>https://doi.org/10.1071/MF24286.</w:t>
        </w:r>
      </w:hyperlink>
      <w:r w:rsidR="00B21D2C" w:rsidRPr="006E0E53">
        <w:rPr>
          <w:sz w:val="16"/>
          <w:szCs w:val="16"/>
        </w:rPr>
        <w:t>; subsequent data from Snowy Hydro public AWOPs.</w:t>
      </w:r>
    </w:p>
  </w:footnote>
  <w:footnote w:id="32">
    <w:p w14:paraId="03EB7108" w14:textId="28817D12" w:rsidR="6332CC80" w:rsidRPr="006E0E53" w:rsidRDefault="6332CC80" w:rsidP="00AD484B">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Australian Capital Territory (ACT) Government (2024), 5 Yearly Matter 18 Report www.mdba.gov.au/sites/default/files/publications/matter-18-act-5-yearly-report-2024.pdf.</w:t>
      </w:r>
    </w:p>
  </w:footnote>
  <w:footnote w:id="33">
    <w:p w14:paraId="5B4CB117" w14:textId="34EE2F62" w:rsidR="6332CC80" w:rsidRPr="006E0E53" w:rsidRDefault="6332CC80" w:rsidP="00AD484B">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Australian Capital Territory (ACT) Government (2024), 5 Yearly Matter 18 Report: 42,  www.mdba.gov.au/sites/default/files/publications/matter-18-act-5-yearly-report-2024.pdf.</w:t>
      </w:r>
    </w:p>
  </w:footnote>
  <w:footnote w:id="34">
    <w:p w14:paraId="3E616305" w14:textId="3159F31B" w:rsidR="00012A63" w:rsidRPr="006E0E53" w:rsidRDefault="00012A63" w:rsidP="6332CC80">
      <w:pPr>
        <w:pStyle w:val="FootnoteText"/>
        <w:jc w:val="left"/>
        <w:rPr>
          <w:sz w:val="16"/>
          <w:szCs w:val="16"/>
          <w:lang w:val="en-AU"/>
        </w:rPr>
      </w:pPr>
      <w:r w:rsidRPr="006E0E53">
        <w:rPr>
          <w:rStyle w:val="FootnoteReference"/>
          <w:sz w:val="16"/>
          <w:szCs w:val="16"/>
          <w:lang w:val="en-AU"/>
        </w:rPr>
        <w:footnoteRef/>
      </w:r>
      <w:r w:rsidR="6332CC80" w:rsidRPr="006E0E53">
        <w:rPr>
          <w:sz w:val="16"/>
          <w:szCs w:val="16"/>
          <w:lang w:val="en-AU"/>
        </w:rPr>
        <w:t xml:space="preserve"> Intergovernmental Review Consultation Group (May 2026), Snowy Water Inquiry Outcomes Implementation Deed: Review Consultation Group Discussion Summary: 21. </w:t>
      </w:r>
    </w:p>
  </w:footnote>
  <w:footnote w:id="35">
    <w:p w14:paraId="2FC9ADAD" w14:textId="4C3040F3" w:rsidR="6332CC80" w:rsidRPr="004903C5" w:rsidRDefault="6332CC80" w:rsidP="00CC7A58">
      <w:pPr>
        <w:pStyle w:val="FootnoteText"/>
        <w:jc w:val="left"/>
      </w:pPr>
      <w:r w:rsidRPr="006E0E53">
        <w:rPr>
          <w:rStyle w:val="FootnoteReference"/>
          <w:sz w:val="16"/>
          <w:szCs w:val="16"/>
          <w:lang w:val="en-AU"/>
        </w:rPr>
        <w:footnoteRef/>
      </w:r>
      <w:r w:rsidRPr="006E0E53">
        <w:rPr>
          <w:sz w:val="16"/>
          <w:szCs w:val="16"/>
          <w:lang w:val="en-AU"/>
        </w:rPr>
        <w:t xml:space="preserve"> Morton, S., Green, D., &amp; Williams, S. (2010). Hydrological changes attributed to environmental flow release to the Snowy River, 2002-2005.</w:t>
      </w:r>
    </w:p>
  </w:footnote>
  <w:footnote w:id="36">
    <w:p w14:paraId="19FE868B" w14:textId="4D9F5045" w:rsidR="006A48A8" w:rsidRPr="006A48A8" w:rsidRDefault="006A48A8" w:rsidP="00D46E86">
      <w:pPr>
        <w:pStyle w:val="FootnoteText"/>
        <w:jc w:val="left"/>
        <w:rPr>
          <w:lang w:val="en-AU"/>
        </w:rPr>
      </w:pPr>
      <w:r>
        <w:rPr>
          <w:rStyle w:val="FootnoteReference"/>
        </w:rPr>
        <w:footnoteRef/>
      </w:r>
      <w:r w:rsidRPr="00D46E86">
        <w:rPr>
          <w:sz w:val="16"/>
          <w:szCs w:val="16"/>
        </w:rPr>
        <w:t xml:space="preserve"> </w:t>
      </w:r>
      <w:r w:rsidR="00D46E86" w:rsidRPr="00D46E86">
        <w:rPr>
          <w:sz w:val="16"/>
          <w:szCs w:val="16"/>
        </w:rPr>
        <w:t xml:space="preserve">The </w:t>
      </w:r>
      <w:r w:rsidRPr="00D46E86">
        <w:rPr>
          <w:sz w:val="16"/>
          <w:szCs w:val="16"/>
        </w:rPr>
        <w:t xml:space="preserve">NSW Snowy Water Licence, </w:t>
      </w:r>
      <w:r w:rsidR="0089247D" w:rsidRPr="00D46E86">
        <w:rPr>
          <w:sz w:val="16"/>
          <w:szCs w:val="16"/>
        </w:rPr>
        <w:t>(</w:t>
      </w:r>
      <w:r w:rsidRPr="00D46E86">
        <w:rPr>
          <w:sz w:val="16"/>
          <w:szCs w:val="16"/>
        </w:rPr>
        <w:t xml:space="preserve">Schedule </w:t>
      </w:r>
      <w:r w:rsidR="00E14091" w:rsidRPr="00D46E86">
        <w:rPr>
          <w:sz w:val="16"/>
          <w:szCs w:val="16"/>
        </w:rPr>
        <w:t>3</w:t>
      </w:r>
      <w:r w:rsidRPr="00D46E86">
        <w:rPr>
          <w:sz w:val="16"/>
          <w:szCs w:val="16"/>
        </w:rPr>
        <w:t>, Section 12</w:t>
      </w:r>
      <w:r w:rsidR="0089247D" w:rsidRPr="00D46E86">
        <w:rPr>
          <w:sz w:val="16"/>
          <w:szCs w:val="16"/>
        </w:rPr>
        <w:t>)</w:t>
      </w:r>
      <w:r w:rsidR="00E14091" w:rsidRPr="00D46E86">
        <w:rPr>
          <w:sz w:val="16"/>
          <w:szCs w:val="16"/>
        </w:rPr>
        <w:t xml:space="preserve"> outlines that Snowy Hydro must ‘use reasonable endeavors to target releases of water</w:t>
      </w:r>
      <w:r w:rsidR="003C43BC" w:rsidRPr="00D46E86">
        <w:rPr>
          <w:sz w:val="16"/>
          <w:szCs w:val="16"/>
        </w:rPr>
        <w:t>’</w:t>
      </w:r>
      <w:r w:rsidR="00E14091" w:rsidRPr="00D46E86">
        <w:rPr>
          <w:sz w:val="16"/>
          <w:szCs w:val="16"/>
        </w:rPr>
        <w:t xml:space="preserve"> </w:t>
      </w:r>
      <w:r w:rsidR="003C43BC" w:rsidRPr="00D46E86">
        <w:rPr>
          <w:sz w:val="16"/>
          <w:szCs w:val="16"/>
        </w:rPr>
        <w:t xml:space="preserve">which is relevant to </w:t>
      </w:r>
      <w:r w:rsidR="0089247D" w:rsidRPr="00D46E86">
        <w:rPr>
          <w:sz w:val="16"/>
          <w:szCs w:val="16"/>
        </w:rPr>
        <w:t>assessing compliance with flexible flow procedures.</w:t>
      </w:r>
    </w:p>
  </w:footnote>
  <w:footnote w:id="37">
    <w:p w14:paraId="407CD545" w14:textId="7C494727" w:rsidR="00BE3681" w:rsidRPr="00980DA6" w:rsidRDefault="00BE3681">
      <w:pPr>
        <w:pStyle w:val="FootnoteText"/>
        <w:rPr>
          <w:sz w:val="16"/>
          <w:szCs w:val="16"/>
          <w:lang w:val="en-AU"/>
        </w:rPr>
      </w:pPr>
      <w:r w:rsidRPr="006E0E53">
        <w:rPr>
          <w:rStyle w:val="FootnoteReference"/>
          <w:sz w:val="16"/>
          <w:szCs w:val="16"/>
        </w:rPr>
        <w:footnoteRef/>
      </w:r>
      <w:r w:rsidR="007C027C" w:rsidRPr="006E0E53">
        <w:rPr>
          <w:sz w:val="16"/>
          <w:szCs w:val="16"/>
        </w:rPr>
        <w:t xml:space="preserve"> </w:t>
      </w:r>
      <w:r w:rsidR="00B62A56" w:rsidRPr="00980DA6">
        <w:rPr>
          <w:sz w:val="16"/>
          <w:szCs w:val="16"/>
        </w:rPr>
        <w:t>Poff et al.</w:t>
      </w:r>
      <w:r w:rsidR="009F7589">
        <w:rPr>
          <w:sz w:val="16"/>
          <w:szCs w:val="16"/>
        </w:rPr>
        <w:t>,</w:t>
      </w:r>
      <w:r w:rsidR="00B62A56" w:rsidRPr="00980DA6">
        <w:rPr>
          <w:sz w:val="16"/>
          <w:szCs w:val="16"/>
        </w:rPr>
        <w:t xml:space="preserve"> (2010), ‘The ecological limits of hydrological alteration: a new framework</w:t>
      </w:r>
      <w:r w:rsidR="00014806" w:rsidRPr="00980DA6">
        <w:rPr>
          <w:sz w:val="16"/>
          <w:szCs w:val="16"/>
        </w:rPr>
        <w:t xml:space="preserve"> for developing regional environmental flow standards</w:t>
      </w:r>
      <w:r w:rsidR="00474AE7" w:rsidRPr="00980DA6">
        <w:rPr>
          <w:sz w:val="16"/>
          <w:szCs w:val="16"/>
        </w:rPr>
        <w:t xml:space="preserve">, </w:t>
      </w:r>
      <w:r w:rsidR="00FA78C6" w:rsidRPr="00980DA6">
        <w:rPr>
          <w:i/>
          <w:iCs/>
          <w:sz w:val="16"/>
          <w:szCs w:val="16"/>
        </w:rPr>
        <w:t>Freshwater Biology</w:t>
      </w:r>
      <w:r w:rsidR="00FA78C6" w:rsidRPr="00980DA6">
        <w:rPr>
          <w:sz w:val="16"/>
          <w:szCs w:val="16"/>
        </w:rPr>
        <w:t>, 55</w:t>
      </w:r>
      <w:r w:rsidR="0037697A" w:rsidRPr="00980DA6">
        <w:rPr>
          <w:sz w:val="16"/>
          <w:szCs w:val="16"/>
        </w:rPr>
        <w:t xml:space="preserve">: 147-170, </w:t>
      </w:r>
      <w:hyperlink r:id="rId3" w:history="1">
        <w:r w:rsidR="004F3183" w:rsidRPr="00980DA6">
          <w:rPr>
            <w:rStyle w:val="Hyperlink"/>
            <w:sz w:val="16"/>
            <w:szCs w:val="16"/>
            <w:lang w:val="en-AU"/>
          </w:rPr>
          <w:t>doi:10.1111/j.1365-2427.2009.02204</w:t>
        </w:r>
      </w:hyperlink>
      <w:r w:rsidR="004627A8" w:rsidRPr="00980DA6">
        <w:rPr>
          <w:sz w:val="16"/>
          <w:szCs w:val="16"/>
          <w:lang w:val="en-AU"/>
        </w:rPr>
        <w:t>.</w:t>
      </w:r>
    </w:p>
  </w:footnote>
  <w:footnote w:id="38">
    <w:p w14:paraId="38F8756A" w14:textId="032912C9" w:rsidR="00BE3681" w:rsidRPr="00980DA6" w:rsidRDefault="00BE3681">
      <w:pPr>
        <w:pStyle w:val="FootnoteText"/>
        <w:rPr>
          <w:sz w:val="16"/>
          <w:szCs w:val="16"/>
          <w:lang w:val="en-AU"/>
        </w:rPr>
      </w:pPr>
      <w:r w:rsidRPr="00980DA6">
        <w:rPr>
          <w:rStyle w:val="FootnoteReference"/>
          <w:sz w:val="16"/>
          <w:szCs w:val="16"/>
        </w:rPr>
        <w:footnoteRef/>
      </w:r>
      <w:r w:rsidR="005627A6" w:rsidRPr="00980DA6">
        <w:rPr>
          <w:sz w:val="16"/>
          <w:szCs w:val="16"/>
        </w:rPr>
        <w:t xml:space="preserve"> </w:t>
      </w:r>
      <w:r w:rsidR="00F8424C" w:rsidRPr="00980DA6">
        <w:rPr>
          <w:sz w:val="16"/>
          <w:szCs w:val="16"/>
        </w:rPr>
        <w:t>Arthington</w:t>
      </w:r>
      <w:r w:rsidR="00DB7334" w:rsidRPr="00980DA6">
        <w:rPr>
          <w:sz w:val="16"/>
          <w:szCs w:val="16"/>
        </w:rPr>
        <w:t>, A.</w:t>
      </w:r>
      <w:r w:rsidR="009F7589">
        <w:rPr>
          <w:sz w:val="16"/>
          <w:szCs w:val="16"/>
        </w:rPr>
        <w:t>,</w:t>
      </w:r>
      <w:r w:rsidR="00DB7334" w:rsidRPr="00980DA6">
        <w:rPr>
          <w:sz w:val="16"/>
          <w:szCs w:val="16"/>
        </w:rPr>
        <w:t xml:space="preserve"> </w:t>
      </w:r>
      <w:r w:rsidR="001762BB" w:rsidRPr="00980DA6">
        <w:rPr>
          <w:sz w:val="16"/>
          <w:szCs w:val="16"/>
        </w:rPr>
        <w:t>(</w:t>
      </w:r>
      <w:r w:rsidR="00DB7334" w:rsidRPr="00980DA6">
        <w:rPr>
          <w:sz w:val="16"/>
          <w:szCs w:val="16"/>
        </w:rPr>
        <w:t>2012</w:t>
      </w:r>
      <w:r w:rsidR="001762BB" w:rsidRPr="00980DA6">
        <w:rPr>
          <w:sz w:val="16"/>
          <w:szCs w:val="16"/>
        </w:rPr>
        <w:t>)</w:t>
      </w:r>
      <w:r w:rsidR="00DB7334" w:rsidRPr="00980DA6">
        <w:rPr>
          <w:sz w:val="16"/>
          <w:szCs w:val="16"/>
        </w:rPr>
        <w:t xml:space="preserve">, </w:t>
      </w:r>
      <w:r w:rsidR="001762BB" w:rsidRPr="00980DA6">
        <w:rPr>
          <w:sz w:val="16"/>
          <w:szCs w:val="16"/>
        </w:rPr>
        <w:t>‘</w:t>
      </w:r>
      <w:r w:rsidR="00DB7334" w:rsidRPr="00980DA6">
        <w:rPr>
          <w:sz w:val="16"/>
          <w:szCs w:val="16"/>
        </w:rPr>
        <w:t>Environmental Flows: Saving Rivers in the Third Millennium</w:t>
      </w:r>
      <w:r w:rsidR="001762BB" w:rsidRPr="00980DA6">
        <w:rPr>
          <w:sz w:val="16"/>
          <w:szCs w:val="16"/>
        </w:rPr>
        <w:t xml:space="preserve">’, </w:t>
      </w:r>
      <w:r w:rsidR="00FE3BE0" w:rsidRPr="00980DA6">
        <w:rPr>
          <w:i/>
          <w:iCs/>
          <w:sz w:val="16"/>
          <w:szCs w:val="16"/>
        </w:rPr>
        <w:t>University of California Press</w:t>
      </w:r>
      <w:r w:rsidR="002B2ECF" w:rsidRPr="00980DA6">
        <w:rPr>
          <w:i/>
          <w:iCs/>
          <w:sz w:val="16"/>
          <w:szCs w:val="16"/>
        </w:rPr>
        <w:t>.</w:t>
      </w:r>
    </w:p>
  </w:footnote>
  <w:footnote w:id="39">
    <w:p w14:paraId="6BB5F10C" w14:textId="67609048" w:rsidR="00BE3681" w:rsidRPr="00980DA6" w:rsidRDefault="00BE3681" w:rsidP="00CF2401">
      <w:pPr>
        <w:pStyle w:val="FootnoteText"/>
        <w:rPr>
          <w:sz w:val="16"/>
          <w:szCs w:val="16"/>
          <w:lang w:val="en-AU"/>
        </w:rPr>
      </w:pPr>
      <w:r w:rsidRPr="00980DA6">
        <w:rPr>
          <w:rStyle w:val="FootnoteReference"/>
          <w:sz w:val="16"/>
          <w:szCs w:val="16"/>
        </w:rPr>
        <w:footnoteRef/>
      </w:r>
      <w:r w:rsidRPr="00980DA6">
        <w:rPr>
          <w:sz w:val="16"/>
          <w:szCs w:val="16"/>
        </w:rPr>
        <w:t xml:space="preserve"> </w:t>
      </w:r>
      <w:r w:rsidR="00637BBA" w:rsidRPr="00980DA6">
        <w:rPr>
          <w:sz w:val="16"/>
          <w:szCs w:val="16"/>
        </w:rPr>
        <w:t>Arthington</w:t>
      </w:r>
      <w:r w:rsidR="00185F0C" w:rsidRPr="00980DA6">
        <w:rPr>
          <w:sz w:val="16"/>
          <w:szCs w:val="16"/>
        </w:rPr>
        <w:t>, A</w:t>
      </w:r>
      <w:r w:rsidR="00637BBA" w:rsidRPr="00980DA6">
        <w:rPr>
          <w:sz w:val="16"/>
          <w:szCs w:val="16"/>
        </w:rPr>
        <w:t>.</w:t>
      </w:r>
      <w:r w:rsidR="009F7589">
        <w:rPr>
          <w:sz w:val="16"/>
          <w:szCs w:val="16"/>
        </w:rPr>
        <w:t>,</w:t>
      </w:r>
      <w:r w:rsidR="00637BBA" w:rsidRPr="00980DA6">
        <w:rPr>
          <w:sz w:val="16"/>
          <w:szCs w:val="16"/>
        </w:rPr>
        <w:t xml:space="preserve"> (2014), ‘Environmental flows or a natural, hybrid and novel riverine ecosystems in a changing world</w:t>
      </w:r>
      <w:r w:rsidR="003F546D" w:rsidRPr="00980DA6">
        <w:rPr>
          <w:sz w:val="16"/>
          <w:szCs w:val="16"/>
        </w:rPr>
        <w:t xml:space="preserve">,’ </w:t>
      </w:r>
      <w:r w:rsidR="003F546D" w:rsidRPr="00980DA6">
        <w:rPr>
          <w:i/>
          <w:iCs/>
          <w:sz w:val="16"/>
          <w:szCs w:val="16"/>
        </w:rPr>
        <w:t>Frontiers in Ecology and the Environment</w:t>
      </w:r>
      <w:r w:rsidR="00B54D10" w:rsidRPr="00980DA6">
        <w:rPr>
          <w:sz w:val="16"/>
          <w:szCs w:val="16"/>
        </w:rPr>
        <w:t>, 12</w:t>
      </w:r>
      <w:r w:rsidR="00CF2401" w:rsidRPr="00980DA6">
        <w:rPr>
          <w:sz w:val="16"/>
          <w:szCs w:val="16"/>
        </w:rPr>
        <w:t xml:space="preserve">(8): 446-473, </w:t>
      </w:r>
      <w:hyperlink r:id="rId4" w:history="1">
        <w:r w:rsidR="002B7DD7" w:rsidRPr="00776C99">
          <w:rPr>
            <w:rStyle w:val="Hyperlink"/>
            <w:sz w:val="16"/>
            <w:szCs w:val="16"/>
          </w:rPr>
          <w:t>https://doi.org/10.1890/130134</w:t>
        </w:r>
      </w:hyperlink>
      <w:r w:rsidR="002B7DD7">
        <w:rPr>
          <w:sz w:val="16"/>
          <w:szCs w:val="16"/>
        </w:rPr>
        <w:t xml:space="preserve">. </w:t>
      </w:r>
    </w:p>
  </w:footnote>
  <w:footnote w:id="40">
    <w:p w14:paraId="0577C50A" w14:textId="5286489D" w:rsidR="00A30246" w:rsidRPr="00980DA6" w:rsidRDefault="00A30246" w:rsidP="00AF30BC">
      <w:pPr>
        <w:pStyle w:val="FootnoteText"/>
        <w:jc w:val="left"/>
        <w:rPr>
          <w:sz w:val="16"/>
          <w:szCs w:val="16"/>
          <w:highlight w:val="yellow"/>
          <w:lang w:val="en-AU"/>
        </w:rPr>
      </w:pPr>
      <w:r w:rsidRPr="00980DA6">
        <w:rPr>
          <w:rStyle w:val="FootnoteReference"/>
          <w:sz w:val="16"/>
          <w:szCs w:val="16"/>
        </w:rPr>
        <w:footnoteRef/>
      </w:r>
      <w:r w:rsidRPr="00980DA6">
        <w:rPr>
          <w:sz w:val="16"/>
          <w:szCs w:val="16"/>
        </w:rPr>
        <w:t xml:space="preserve"> </w:t>
      </w:r>
      <w:r w:rsidR="00AF30BC" w:rsidRPr="00980DA6">
        <w:rPr>
          <w:sz w:val="16"/>
          <w:szCs w:val="16"/>
          <w:lang w:val="en-AU"/>
        </w:rPr>
        <w:t>McGuire, A and Pittock, J.</w:t>
      </w:r>
      <w:r w:rsidR="009F7589">
        <w:rPr>
          <w:sz w:val="16"/>
          <w:szCs w:val="16"/>
          <w:lang w:val="en-AU"/>
        </w:rPr>
        <w:t>,</w:t>
      </w:r>
      <w:r w:rsidR="00AF30BC" w:rsidRPr="00980DA6">
        <w:rPr>
          <w:sz w:val="16"/>
          <w:szCs w:val="16"/>
          <w:lang w:val="en-AU"/>
        </w:rPr>
        <w:t xml:space="preserve"> (2025) Environmental flows in the upper Murrumbidgee River: evaluating flow delivery and governance to inform future environmental flow agreements.  </w:t>
      </w:r>
      <w:r w:rsidR="00AF30BC" w:rsidRPr="00980DA6">
        <w:rPr>
          <w:i/>
          <w:sz w:val="16"/>
          <w:szCs w:val="16"/>
          <w:lang w:val="en-AU"/>
        </w:rPr>
        <w:t>Marine &amp; Freshwater Research</w:t>
      </w:r>
      <w:r w:rsidR="00AF30BC" w:rsidRPr="00980DA6">
        <w:rPr>
          <w:sz w:val="16"/>
          <w:szCs w:val="16"/>
          <w:lang w:val="en-AU"/>
        </w:rPr>
        <w:t> 76. </w:t>
      </w:r>
      <w:hyperlink r:id="rId5">
        <w:r w:rsidR="00AF30BC" w:rsidRPr="00980DA6">
          <w:rPr>
            <w:rStyle w:val="Hyperlink"/>
            <w:sz w:val="16"/>
            <w:szCs w:val="16"/>
            <w:lang w:val="en-AU"/>
          </w:rPr>
          <w:t>https://doi.org/10.1071/MF24286.</w:t>
        </w:r>
      </w:hyperlink>
      <w:r w:rsidR="00AF30BC" w:rsidRPr="00980DA6">
        <w:rPr>
          <w:sz w:val="16"/>
          <w:szCs w:val="16"/>
          <w:lang w:val="en-AU"/>
        </w:rPr>
        <w:t xml:space="preserve"> </w:t>
      </w:r>
    </w:p>
  </w:footnote>
  <w:footnote w:id="41">
    <w:p w14:paraId="6B046579" w14:textId="751E01CE" w:rsidR="0028333B" w:rsidRPr="00242F07" w:rsidRDefault="0028333B" w:rsidP="009F7589">
      <w:pPr>
        <w:pStyle w:val="FootnoteText"/>
        <w:jc w:val="left"/>
        <w:rPr>
          <w:sz w:val="18"/>
          <w:szCs w:val="18"/>
          <w:lang w:val="en-AU"/>
        </w:rPr>
      </w:pPr>
      <w:r>
        <w:rPr>
          <w:rStyle w:val="FootnoteReference"/>
        </w:rPr>
        <w:footnoteRef/>
      </w:r>
      <w:r>
        <w:t xml:space="preserve"> </w:t>
      </w:r>
      <w:r w:rsidR="00242F07" w:rsidRPr="009F7589">
        <w:rPr>
          <w:sz w:val="16"/>
          <w:szCs w:val="16"/>
        </w:rPr>
        <w:t>Snowy Scientific Committee</w:t>
      </w:r>
      <w:r w:rsidR="009F7589">
        <w:rPr>
          <w:sz w:val="16"/>
          <w:szCs w:val="16"/>
        </w:rPr>
        <w:t>,</w:t>
      </w:r>
      <w:r w:rsidR="00242F07" w:rsidRPr="009F7589">
        <w:rPr>
          <w:sz w:val="16"/>
          <w:szCs w:val="16"/>
        </w:rPr>
        <w:t xml:space="preserve"> (2010), ‘the Adequacy of environmental releases to the upper Murrumbidgee River,’ </w:t>
      </w:r>
      <w:hyperlink r:id="rId6" w:history="1">
        <w:r w:rsidR="009F7589" w:rsidRPr="009F7589">
          <w:rPr>
            <w:rStyle w:val="Hyperlink"/>
            <w:sz w:val="16"/>
            <w:szCs w:val="16"/>
          </w:rPr>
          <w:t>https://publications.water.nsw.gov.au/watergroupjspui/bitstream/100/3281/1/Snowy_Scientific_Committee_2010_-_The_adequacy_of_environmental_flows_to_the_upper_Murrumbidgee.pdf</w:t>
        </w:r>
      </w:hyperlink>
      <w:r w:rsidR="009F7589" w:rsidRPr="009F7589">
        <w:rPr>
          <w:sz w:val="16"/>
          <w:szCs w:val="16"/>
        </w:rPr>
        <w:t xml:space="preserve"> </w:t>
      </w:r>
    </w:p>
  </w:footnote>
  <w:footnote w:id="42">
    <w:p w14:paraId="47251CDF" w14:textId="0563427C" w:rsidR="001914A2" w:rsidRPr="00980DA6" w:rsidRDefault="001914A2">
      <w:pPr>
        <w:pStyle w:val="FootnoteText"/>
        <w:rPr>
          <w:i/>
          <w:iCs/>
          <w:sz w:val="16"/>
          <w:szCs w:val="16"/>
          <w:lang w:val="en-AU"/>
        </w:rPr>
      </w:pPr>
      <w:r w:rsidRPr="00980DA6">
        <w:rPr>
          <w:rStyle w:val="FootnoteReference"/>
          <w:sz w:val="16"/>
          <w:szCs w:val="16"/>
        </w:rPr>
        <w:footnoteRef/>
      </w:r>
      <w:r w:rsidRPr="00980DA6">
        <w:rPr>
          <w:sz w:val="16"/>
          <w:szCs w:val="16"/>
        </w:rPr>
        <w:t xml:space="preserve"> </w:t>
      </w:r>
      <w:r w:rsidRPr="00980DA6">
        <w:rPr>
          <w:sz w:val="16"/>
          <w:szCs w:val="16"/>
          <w:lang w:val="en-AU"/>
        </w:rPr>
        <w:t xml:space="preserve">Bender, </w:t>
      </w:r>
      <w:r w:rsidR="007624EC" w:rsidRPr="00980DA6">
        <w:rPr>
          <w:sz w:val="16"/>
          <w:szCs w:val="16"/>
          <w:lang w:val="en-AU"/>
        </w:rPr>
        <w:t>I et al.</w:t>
      </w:r>
      <w:r w:rsidR="009F7589">
        <w:rPr>
          <w:sz w:val="16"/>
          <w:szCs w:val="16"/>
          <w:lang w:val="en-AU"/>
        </w:rPr>
        <w:t>,</w:t>
      </w:r>
      <w:r w:rsidR="007624EC" w:rsidRPr="00980DA6">
        <w:rPr>
          <w:sz w:val="16"/>
          <w:szCs w:val="16"/>
          <w:lang w:val="en-AU"/>
        </w:rPr>
        <w:t xml:space="preserve"> (</w:t>
      </w:r>
      <w:r w:rsidR="000A7B80" w:rsidRPr="00980DA6">
        <w:rPr>
          <w:sz w:val="16"/>
          <w:szCs w:val="16"/>
          <w:lang w:val="en-AU"/>
        </w:rPr>
        <w:t>2022</w:t>
      </w:r>
      <w:r w:rsidR="007624EC" w:rsidRPr="00980DA6">
        <w:rPr>
          <w:sz w:val="16"/>
          <w:szCs w:val="16"/>
          <w:lang w:val="en-AU"/>
        </w:rPr>
        <w:t>)</w:t>
      </w:r>
      <w:r w:rsidR="000A7B80" w:rsidRPr="00980DA6">
        <w:rPr>
          <w:sz w:val="16"/>
          <w:szCs w:val="16"/>
          <w:lang w:val="en-AU"/>
        </w:rPr>
        <w:t xml:space="preserve">, </w:t>
      </w:r>
      <w:r w:rsidR="007624EC" w:rsidRPr="00980DA6">
        <w:rPr>
          <w:sz w:val="16"/>
          <w:szCs w:val="16"/>
          <w:lang w:val="en-AU"/>
        </w:rPr>
        <w:t>‘</w:t>
      </w:r>
      <w:r w:rsidR="000A7B80" w:rsidRPr="00980DA6">
        <w:rPr>
          <w:sz w:val="16"/>
          <w:szCs w:val="16"/>
          <w:lang w:val="en-AU"/>
        </w:rPr>
        <w:t>Snowy River environmental flows post-2022: lessons to be lear</w:t>
      </w:r>
      <w:r w:rsidR="005872F2" w:rsidRPr="00980DA6">
        <w:rPr>
          <w:sz w:val="16"/>
          <w:szCs w:val="16"/>
          <w:lang w:val="en-AU"/>
        </w:rPr>
        <w:t>n</w:t>
      </w:r>
      <w:r w:rsidR="007624EC" w:rsidRPr="00980DA6">
        <w:rPr>
          <w:sz w:val="16"/>
          <w:szCs w:val="16"/>
          <w:lang w:val="en-AU"/>
        </w:rPr>
        <w:t>t</w:t>
      </w:r>
      <w:r w:rsidR="00D02C17" w:rsidRPr="00980DA6">
        <w:rPr>
          <w:sz w:val="16"/>
          <w:szCs w:val="16"/>
          <w:lang w:val="en-AU"/>
        </w:rPr>
        <w:t xml:space="preserve">,’ </w:t>
      </w:r>
      <w:r w:rsidR="00605F14" w:rsidRPr="00980DA6">
        <w:rPr>
          <w:i/>
          <w:iCs/>
          <w:sz w:val="16"/>
          <w:szCs w:val="16"/>
          <w:lang w:val="en-AU"/>
        </w:rPr>
        <w:t>M</w:t>
      </w:r>
      <w:r w:rsidR="00D02C17" w:rsidRPr="00980DA6">
        <w:rPr>
          <w:i/>
          <w:iCs/>
          <w:sz w:val="16"/>
          <w:szCs w:val="16"/>
          <w:lang w:val="en-AU"/>
        </w:rPr>
        <w:t xml:space="preserve">arine and </w:t>
      </w:r>
      <w:r w:rsidR="00605F14" w:rsidRPr="00980DA6">
        <w:rPr>
          <w:i/>
          <w:iCs/>
          <w:sz w:val="16"/>
          <w:szCs w:val="16"/>
          <w:lang w:val="en-AU"/>
        </w:rPr>
        <w:t>Freshwater Research</w:t>
      </w:r>
      <w:r w:rsidR="003644CB" w:rsidRPr="00980DA6">
        <w:rPr>
          <w:i/>
          <w:iCs/>
          <w:sz w:val="16"/>
          <w:szCs w:val="16"/>
          <w:lang w:val="en-AU"/>
        </w:rPr>
        <w:t xml:space="preserve">, </w:t>
      </w:r>
      <w:r w:rsidR="003644CB" w:rsidRPr="00980DA6">
        <w:rPr>
          <w:sz w:val="16"/>
          <w:szCs w:val="16"/>
          <w:lang w:val="en-AU"/>
        </w:rPr>
        <w:t>74 (4): 454-</w:t>
      </w:r>
      <w:r w:rsidR="00527E76" w:rsidRPr="00980DA6">
        <w:rPr>
          <w:sz w:val="16"/>
          <w:szCs w:val="16"/>
          <w:lang w:val="en-AU"/>
        </w:rPr>
        <w:t>468.</w:t>
      </w:r>
      <w:r w:rsidR="00527E76" w:rsidRPr="00980DA6">
        <w:rPr>
          <w:rFonts w:eastAsiaTheme="minorHAnsi"/>
          <w:kern w:val="2"/>
          <w:sz w:val="16"/>
          <w:szCs w:val="16"/>
          <w:lang w:val="en-AU" w:eastAsia="en-US"/>
          <w14:ligatures w14:val="standardContextual"/>
        </w:rPr>
        <w:t xml:space="preserve"> </w:t>
      </w:r>
      <w:hyperlink r:id="rId7" w:tgtFrame="_blank" w:history="1">
        <w:r w:rsidR="00527E76" w:rsidRPr="00980DA6">
          <w:rPr>
            <w:rStyle w:val="Hyperlink"/>
            <w:sz w:val="16"/>
            <w:szCs w:val="16"/>
            <w:lang w:val="en-AU"/>
          </w:rPr>
          <w:t>https://doi.org/10.1071/MF21209</w:t>
        </w:r>
      </w:hyperlink>
      <w:r w:rsidR="00527E76" w:rsidRPr="00980DA6">
        <w:rPr>
          <w:sz w:val="16"/>
          <w:szCs w:val="16"/>
          <w:lang w:val="en-AU"/>
        </w:rPr>
        <w:t>.</w:t>
      </w:r>
    </w:p>
  </w:footnote>
  <w:footnote w:id="43">
    <w:p w14:paraId="0F7126D3" w14:textId="72C4B9F1" w:rsidR="6332CC80" w:rsidRPr="00CC7A58" w:rsidRDefault="6332CC80" w:rsidP="00D15226">
      <w:pPr>
        <w:pStyle w:val="FootnoteText"/>
        <w:jc w:val="left"/>
        <w:rPr>
          <w:lang w:val="en-AU"/>
        </w:rPr>
      </w:pPr>
      <w:r w:rsidRPr="00980DA6">
        <w:rPr>
          <w:rStyle w:val="FootnoteReference"/>
          <w:sz w:val="16"/>
          <w:szCs w:val="16"/>
          <w:lang w:val="en-AU"/>
        </w:rPr>
        <w:footnoteRef/>
      </w:r>
      <w:r w:rsidRPr="00980DA6">
        <w:rPr>
          <w:sz w:val="16"/>
          <w:szCs w:val="16"/>
          <w:lang w:val="en-AU"/>
        </w:rPr>
        <w:t xml:space="preserve"> NSW DCCEEW</w:t>
      </w:r>
      <w:r w:rsidR="009F7589">
        <w:rPr>
          <w:sz w:val="16"/>
          <w:szCs w:val="16"/>
          <w:lang w:val="en-AU"/>
        </w:rPr>
        <w:t>,</w:t>
      </w:r>
      <w:r w:rsidRPr="00980DA6">
        <w:rPr>
          <w:sz w:val="16"/>
          <w:szCs w:val="16"/>
          <w:lang w:val="en-AU"/>
        </w:rPr>
        <w:t xml:space="preserve"> (2025), </w:t>
      </w:r>
      <w:r w:rsidR="00AF30BC" w:rsidRPr="00980DA6">
        <w:rPr>
          <w:sz w:val="16"/>
          <w:szCs w:val="16"/>
          <w:lang w:val="en-AU"/>
        </w:rPr>
        <w:t>‘</w:t>
      </w:r>
      <w:r w:rsidRPr="00980DA6">
        <w:rPr>
          <w:sz w:val="16"/>
          <w:szCs w:val="16"/>
          <w:lang w:val="en-AU"/>
        </w:rPr>
        <w:t>Agreed operating protocol for the trial of flexible Snowy Montane River Increased Flows from Tantangara Dam</w:t>
      </w:r>
      <w:r w:rsidR="00AF30BC" w:rsidRPr="00980DA6">
        <w:rPr>
          <w:sz w:val="16"/>
          <w:szCs w:val="16"/>
          <w:lang w:val="en-AU"/>
        </w:rPr>
        <w:t>’</w:t>
      </w:r>
      <w:r w:rsidRPr="00980DA6">
        <w:rPr>
          <w:sz w:val="16"/>
          <w:szCs w:val="16"/>
          <w:lang w:val="en-AU"/>
        </w:rPr>
        <w:t>, www.water.dcceew.nsw.gov.au/sites/default/files/2025-07/operating-protocol-flexible-SMRIF-releases.pdf.</w:t>
      </w:r>
    </w:p>
  </w:footnote>
  <w:footnote w:id="44">
    <w:p w14:paraId="69FB2CF4" w14:textId="5CB5616B" w:rsidR="6332CC80" w:rsidRPr="006E0E53" w:rsidRDefault="6332CC80" w:rsidP="00D15226">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East Gippsland Catchment Management Network</w:t>
      </w:r>
      <w:r w:rsidR="00980DA6">
        <w:rPr>
          <w:sz w:val="16"/>
          <w:szCs w:val="16"/>
          <w:lang w:val="en-AU"/>
        </w:rPr>
        <w:t>,</w:t>
      </w:r>
      <w:r w:rsidRPr="006E0E53">
        <w:rPr>
          <w:sz w:val="16"/>
          <w:szCs w:val="16"/>
          <w:lang w:val="en-AU"/>
        </w:rPr>
        <w:t xml:space="preserve"> (2026), </w:t>
      </w:r>
      <w:r w:rsidR="00980DA6">
        <w:rPr>
          <w:sz w:val="16"/>
          <w:szCs w:val="16"/>
          <w:lang w:val="en-AU"/>
        </w:rPr>
        <w:t>‘</w:t>
      </w:r>
      <w:r w:rsidRPr="006E0E53">
        <w:rPr>
          <w:sz w:val="16"/>
          <w:szCs w:val="16"/>
          <w:lang w:val="en-AU"/>
        </w:rPr>
        <w:t>Submission to the Independent Review of the Snowy Water Inquiry Outcomes Implementation Deed</w:t>
      </w:r>
      <w:r w:rsidR="00980DA6">
        <w:rPr>
          <w:sz w:val="16"/>
          <w:szCs w:val="16"/>
          <w:lang w:val="en-AU"/>
        </w:rPr>
        <w:t>’</w:t>
      </w:r>
      <w:r w:rsidRPr="006E0E53">
        <w:rPr>
          <w:sz w:val="16"/>
          <w:szCs w:val="16"/>
          <w:lang w:val="en-AU"/>
        </w:rPr>
        <w:t xml:space="preserve">: 31-32. </w:t>
      </w:r>
      <w:hyperlink r:id="rId8" w:history="1">
        <w:r w:rsidRPr="006E0E53">
          <w:rPr>
            <w:rStyle w:val="Hyperlink"/>
            <w:sz w:val="16"/>
            <w:szCs w:val="16"/>
            <w:lang w:val="en-AU"/>
          </w:rPr>
          <w:t>https://consult.dcceew.gov.au/swioid-independent-review/new-survey/view/124</w:t>
        </w:r>
      </w:hyperlink>
      <w:r w:rsidRPr="006E0E53">
        <w:rPr>
          <w:sz w:val="16"/>
          <w:szCs w:val="16"/>
          <w:lang w:val="en-AU"/>
        </w:rPr>
        <w:t xml:space="preserve">. </w:t>
      </w:r>
    </w:p>
  </w:footnote>
  <w:footnote w:id="45">
    <w:p w14:paraId="4B88A604" w14:textId="7B8CA40A" w:rsidR="6332CC80" w:rsidRPr="00CC7A58" w:rsidRDefault="6332CC80" w:rsidP="00D15226">
      <w:pPr>
        <w:pStyle w:val="FootnoteText"/>
        <w:jc w:val="left"/>
        <w:rPr>
          <w:lang w:val="en-AU"/>
        </w:rPr>
      </w:pPr>
      <w:r w:rsidRPr="006E0E53">
        <w:rPr>
          <w:rStyle w:val="FootnoteReference"/>
          <w:sz w:val="16"/>
          <w:szCs w:val="16"/>
          <w:lang w:val="en-AU"/>
        </w:rPr>
        <w:footnoteRef/>
      </w:r>
      <w:r w:rsidRPr="006E0E53">
        <w:rPr>
          <w:sz w:val="16"/>
          <w:szCs w:val="16"/>
          <w:lang w:val="en-AU"/>
        </w:rPr>
        <w:t xml:space="preserve"> Commonwealth DCCEEW (2026), </w:t>
      </w:r>
      <w:r w:rsidR="00980DA6">
        <w:rPr>
          <w:sz w:val="16"/>
          <w:szCs w:val="16"/>
          <w:lang w:val="en-AU"/>
        </w:rPr>
        <w:t>‘</w:t>
      </w:r>
      <w:r w:rsidRPr="006E0E53">
        <w:rPr>
          <w:sz w:val="16"/>
          <w:szCs w:val="16"/>
          <w:lang w:val="en-AU"/>
        </w:rPr>
        <w:t>Independent Review Panel meeting Snowy River communities</w:t>
      </w:r>
      <w:r w:rsidR="00980DA6">
        <w:rPr>
          <w:sz w:val="16"/>
          <w:szCs w:val="16"/>
          <w:lang w:val="en-AU"/>
        </w:rPr>
        <w:t>’</w:t>
      </w:r>
      <w:r w:rsidRPr="006E0E53">
        <w:rPr>
          <w:sz w:val="16"/>
          <w:szCs w:val="16"/>
          <w:lang w:val="en-AU"/>
        </w:rPr>
        <w:t>, www.dcceew.gov.au/about/news/independent-review-panel-snowy-river-communities.</w:t>
      </w:r>
    </w:p>
  </w:footnote>
  <w:footnote w:id="46">
    <w:p w14:paraId="4AFEF3EF" w14:textId="5FC90015" w:rsidR="6332CC80" w:rsidRPr="006A4E82" w:rsidRDefault="6332CC80" w:rsidP="00D15226">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w:t>
      </w:r>
      <w:r w:rsidR="00BB4779">
        <w:rPr>
          <w:sz w:val="16"/>
          <w:szCs w:val="16"/>
          <w:lang w:val="en-AU"/>
        </w:rPr>
        <w:t>Australian Government Bur</w:t>
      </w:r>
      <w:r w:rsidR="005F5F88">
        <w:rPr>
          <w:sz w:val="16"/>
          <w:szCs w:val="16"/>
          <w:lang w:val="en-AU"/>
        </w:rPr>
        <w:t>eau of Meteorology, (June 2026), ‘</w:t>
      </w:r>
      <w:r w:rsidR="00964607">
        <w:rPr>
          <w:sz w:val="16"/>
          <w:szCs w:val="16"/>
          <w:lang w:val="en-AU"/>
        </w:rPr>
        <w:t xml:space="preserve">Multi-year rainfall deficiencies,’ </w:t>
      </w:r>
      <w:r w:rsidR="00964607">
        <w:rPr>
          <w:i/>
          <w:iCs/>
          <w:sz w:val="16"/>
          <w:szCs w:val="16"/>
          <w:lang w:val="en-AU"/>
        </w:rPr>
        <w:t>Drought</w:t>
      </w:r>
      <w:r w:rsidR="00CA59E0">
        <w:rPr>
          <w:i/>
          <w:iCs/>
          <w:sz w:val="16"/>
          <w:szCs w:val="16"/>
          <w:lang w:val="en-AU"/>
        </w:rPr>
        <w:t xml:space="preserve"> – Rainfall deficiencies and water availability</w:t>
      </w:r>
      <w:r w:rsidR="006E6983">
        <w:rPr>
          <w:i/>
          <w:iCs/>
          <w:sz w:val="16"/>
          <w:szCs w:val="16"/>
          <w:lang w:val="en-AU"/>
        </w:rPr>
        <w:t xml:space="preserve">, </w:t>
      </w:r>
      <w:hyperlink r:id="rId9" w:history="1">
        <w:r w:rsidR="006A4E82" w:rsidRPr="006A4E82">
          <w:rPr>
            <w:rStyle w:val="Hyperlink"/>
            <w:sz w:val="16"/>
            <w:szCs w:val="16"/>
            <w:lang w:val="en-AU"/>
          </w:rPr>
          <w:t>https://www.bom.gov.au/climate/drought/</w:t>
        </w:r>
      </w:hyperlink>
      <w:r w:rsidR="006A4E82" w:rsidRPr="006A4E82">
        <w:rPr>
          <w:sz w:val="16"/>
          <w:szCs w:val="16"/>
          <w:lang w:val="en-AU"/>
        </w:rPr>
        <w:t xml:space="preserve">. </w:t>
      </w:r>
    </w:p>
  </w:footnote>
  <w:footnote w:id="47">
    <w:p w14:paraId="26BEE0D0" w14:textId="422D4129" w:rsidR="00274D90" w:rsidRPr="006A4E82" w:rsidRDefault="00274D90" w:rsidP="00400736">
      <w:pPr>
        <w:pStyle w:val="FootnoteText"/>
        <w:jc w:val="left"/>
        <w:rPr>
          <w:sz w:val="16"/>
          <w:szCs w:val="16"/>
          <w:lang w:val="en-AU"/>
        </w:rPr>
      </w:pPr>
      <w:r>
        <w:rPr>
          <w:rStyle w:val="FootnoteReference"/>
        </w:rPr>
        <w:footnoteRef/>
      </w:r>
      <w:r>
        <w:t xml:space="preserve"> </w:t>
      </w:r>
      <w:r w:rsidR="00EA3649" w:rsidRPr="006A4E82">
        <w:rPr>
          <w:sz w:val="16"/>
          <w:szCs w:val="16"/>
          <w:lang w:val="en-AU"/>
        </w:rPr>
        <w:t xml:space="preserve">East Gippsland Catchment Management Authority, (2023), ‘The Snowy River and Estuary,’ </w:t>
      </w:r>
      <w:r w:rsidR="006C642D" w:rsidRPr="006A4E82">
        <w:rPr>
          <w:sz w:val="16"/>
          <w:szCs w:val="16"/>
          <w:lang w:val="en-AU"/>
        </w:rPr>
        <w:t>https://storymaps.arcgis.com/stories/5b1a0aebe3c9431698930ea5894fdc29.</w:t>
      </w:r>
    </w:p>
  </w:footnote>
  <w:footnote w:id="48">
    <w:p w14:paraId="34970C7D" w14:textId="07AB7D40" w:rsidR="6332CC80" w:rsidRPr="006E0E53" w:rsidRDefault="6332CC80" w:rsidP="00D15226">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w:t>
      </w:r>
      <w:r w:rsidR="0043580F" w:rsidRPr="006E0E53">
        <w:rPr>
          <w:sz w:val="16"/>
          <w:szCs w:val="16"/>
          <w:lang w:val="en-AU"/>
        </w:rPr>
        <w:t>Australian Government Department of Climate Change, the Environment, Energy and Water</w:t>
      </w:r>
      <w:r w:rsidR="0043580F">
        <w:rPr>
          <w:sz w:val="16"/>
          <w:szCs w:val="16"/>
          <w:lang w:val="en-AU"/>
        </w:rPr>
        <w:t xml:space="preserve"> (DCCEEW)</w:t>
      </w:r>
      <w:r w:rsidR="0043580F" w:rsidRPr="006E0E53">
        <w:rPr>
          <w:sz w:val="16"/>
          <w:szCs w:val="16"/>
          <w:lang w:val="en-AU"/>
        </w:rPr>
        <w:t xml:space="preserve"> (2025)</w:t>
      </w:r>
      <w:r w:rsidR="0043580F">
        <w:rPr>
          <w:sz w:val="16"/>
          <w:szCs w:val="16"/>
          <w:lang w:val="en-AU"/>
        </w:rPr>
        <w:t>,</w:t>
      </w:r>
      <w:r w:rsidR="0043580F" w:rsidRPr="006E0E53">
        <w:rPr>
          <w:sz w:val="16"/>
          <w:szCs w:val="16"/>
          <w:lang w:val="en-AU"/>
        </w:rPr>
        <w:t xml:space="preserve"> </w:t>
      </w:r>
      <w:r w:rsidR="0043580F">
        <w:rPr>
          <w:sz w:val="16"/>
          <w:szCs w:val="16"/>
          <w:lang w:val="en-AU"/>
        </w:rPr>
        <w:t>‘</w:t>
      </w:r>
      <w:r w:rsidR="0043580F" w:rsidRPr="006E0E53">
        <w:rPr>
          <w:sz w:val="16"/>
          <w:szCs w:val="16"/>
          <w:lang w:val="en-AU"/>
        </w:rPr>
        <w:t>Snowy Water Inquiry Outcomes Implementation Deed Review Issues Analysis</w:t>
      </w:r>
      <w:r w:rsidR="0043580F">
        <w:rPr>
          <w:sz w:val="16"/>
          <w:szCs w:val="16"/>
          <w:lang w:val="en-AU"/>
        </w:rPr>
        <w:t>’</w:t>
      </w:r>
      <w:r w:rsidR="0043580F" w:rsidRPr="006E0E53">
        <w:rPr>
          <w:sz w:val="16"/>
          <w:szCs w:val="16"/>
          <w:lang w:val="en-AU"/>
        </w:rPr>
        <w:t>:</w:t>
      </w:r>
      <w:r w:rsidR="0043580F" w:rsidRPr="00CC7A58">
        <w:rPr>
          <w:sz w:val="18"/>
          <w:szCs w:val="18"/>
          <w:lang w:val="en-AU"/>
        </w:rPr>
        <w:t xml:space="preserve"> </w:t>
      </w:r>
      <w:r w:rsidR="0043580F">
        <w:rPr>
          <w:sz w:val="16"/>
          <w:szCs w:val="16"/>
          <w:lang w:val="en-AU"/>
        </w:rPr>
        <w:t xml:space="preserve">16, </w:t>
      </w:r>
      <w:hyperlink r:id="rId10" w:history="1">
        <w:r w:rsidR="0043580F" w:rsidRPr="00776C99">
          <w:rPr>
            <w:rStyle w:val="Hyperlink"/>
            <w:sz w:val="16"/>
            <w:szCs w:val="16"/>
          </w:rPr>
          <w:t>https://www.dcceew.gov.au/sites/default/files/documents/review-issues-analysis-snowy-water-inquiry-outcomes-implementation-deed.pdf</w:t>
        </w:r>
      </w:hyperlink>
      <w:r w:rsidR="0043580F">
        <w:rPr>
          <w:sz w:val="16"/>
          <w:szCs w:val="16"/>
        </w:rPr>
        <w:t>.</w:t>
      </w:r>
    </w:p>
  </w:footnote>
  <w:footnote w:id="49">
    <w:p w14:paraId="5AB9FF0D" w14:textId="0C0B4EE0" w:rsidR="6332CC80" w:rsidRPr="00CC7A58" w:rsidRDefault="6332CC80" w:rsidP="00D15226">
      <w:pPr>
        <w:pStyle w:val="FootnoteText"/>
        <w:rPr>
          <w:lang w:val="en-AU"/>
        </w:rPr>
      </w:pPr>
      <w:r w:rsidRPr="006E0E53">
        <w:rPr>
          <w:rStyle w:val="FootnoteReference"/>
          <w:sz w:val="16"/>
          <w:szCs w:val="16"/>
          <w:lang w:val="en-AU"/>
        </w:rPr>
        <w:footnoteRef/>
      </w:r>
      <w:r w:rsidRPr="006E0E53">
        <w:rPr>
          <w:sz w:val="16"/>
          <w:szCs w:val="16"/>
          <w:lang w:val="en-AU"/>
        </w:rPr>
        <w:t xml:space="preserve"> </w:t>
      </w:r>
      <w:r w:rsidR="00991134" w:rsidRPr="006E0E53">
        <w:rPr>
          <w:sz w:val="16"/>
          <w:szCs w:val="16"/>
          <w:lang w:val="en-AU"/>
        </w:rPr>
        <w:t>Australian Government Department of Climate Change, the Environment, Energy and Water</w:t>
      </w:r>
      <w:r w:rsidR="00991134">
        <w:rPr>
          <w:sz w:val="16"/>
          <w:szCs w:val="16"/>
          <w:lang w:val="en-AU"/>
        </w:rPr>
        <w:t xml:space="preserve"> (DCCEEW)</w:t>
      </w:r>
      <w:r w:rsidR="00991134" w:rsidRPr="006E0E53">
        <w:rPr>
          <w:sz w:val="16"/>
          <w:szCs w:val="16"/>
          <w:lang w:val="en-AU"/>
        </w:rPr>
        <w:t xml:space="preserve"> (2025)</w:t>
      </w:r>
      <w:r w:rsidR="00991134">
        <w:rPr>
          <w:sz w:val="16"/>
          <w:szCs w:val="16"/>
          <w:lang w:val="en-AU"/>
        </w:rPr>
        <w:t>,</w:t>
      </w:r>
      <w:r w:rsidR="00991134" w:rsidRPr="006E0E53">
        <w:rPr>
          <w:sz w:val="16"/>
          <w:szCs w:val="16"/>
          <w:lang w:val="en-AU"/>
        </w:rPr>
        <w:t xml:space="preserve"> </w:t>
      </w:r>
      <w:r w:rsidR="00991134">
        <w:rPr>
          <w:sz w:val="16"/>
          <w:szCs w:val="16"/>
          <w:lang w:val="en-AU"/>
        </w:rPr>
        <w:t>‘</w:t>
      </w:r>
      <w:r w:rsidR="00991134" w:rsidRPr="006E0E53">
        <w:rPr>
          <w:sz w:val="16"/>
          <w:szCs w:val="16"/>
          <w:lang w:val="en-AU"/>
        </w:rPr>
        <w:t>Snowy Water Inquiry Outcomes Implementation Deed Review Issues Analysis</w:t>
      </w:r>
      <w:r w:rsidR="00991134">
        <w:rPr>
          <w:sz w:val="16"/>
          <w:szCs w:val="16"/>
          <w:lang w:val="en-AU"/>
        </w:rPr>
        <w:t>’</w:t>
      </w:r>
      <w:r w:rsidR="00991134" w:rsidRPr="006E0E53">
        <w:rPr>
          <w:sz w:val="16"/>
          <w:szCs w:val="16"/>
          <w:lang w:val="en-AU"/>
        </w:rPr>
        <w:t>:</w:t>
      </w:r>
      <w:r w:rsidR="00991134" w:rsidRPr="00CC7A58">
        <w:rPr>
          <w:sz w:val="18"/>
          <w:szCs w:val="18"/>
          <w:lang w:val="en-AU"/>
        </w:rPr>
        <w:t xml:space="preserve"> </w:t>
      </w:r>
      <w:r w:rsidR="00991134" w:rsidRPr="006E0E53">
        <w:rPr>
          <w:sz w:val="16"/>
          <w:szCs w:val="16"/>
          <w:lang w:val="en-AU"/>
        </w:rPr>
        <w:t>1</w:t>
      </w:r>
      <w:r w:rsidR="00991134">
        <w:rPr>
          <w:sz w:val="16"/>
          <w:szCs w:val="16"/>
          <w:lang w:val="en-AU"/>
        </w:rPr>
        <w:t xml:space="preserve">5, </w:t>
      </w:r>
      <w:hyperlink r:id="rId11" w:history="1">
        <w:r w:rsidR="00991134" w:rsidRPr="00776C99">
          <w:rPr>
            <w:rStyle w:val="Hyperlink"/>
            <w:sz w:val="16"/>
            <w:szCs w:val="16"/>
          </w:rPr>
          <w:t>https://www.dcceew.gov.au/sites/default/files/documents/review-issues-analysis-snowy-water-inquiry-outcomes-implementation-deed.pdf</w:t>
        </w:r>
      </w:hyperlink>
      <w:r w:rsidR="00991134">
        <w:rPr>
          <w:sz w:val="16"/>
          <w:szCs w:val="16"/>
        </w:rPr>
        <w:t>.</w:t>
      </w:r>
    </w:p>
  </w:footnote>
  <w:footnote w:id="50">
    <w:p w14:paraId="7ECD77F8" w14:textId="7A1272F3" w:rsidR="001817CF" w:rsidRPr="00CC7A58" w:rsidRDefault="001817CF" w:rsidP="6332CC80">
      <w:pPr>
        <w:pStyle w:val="FootnoteText"/>
        <w:jc w:val="left"/>
        <w:rPr>
          <w:lang w:val="en-AU"/>
        </w:rPr>
      </w:pPr>
      <w:r w:rsidRPr="006E0E53">
        <w:rPr>
          <w:rStyle w:val="FootnoteReference"/>
          <w:sz w:val="16"/>
          <w:szCs w:val="16"/>
          <w:lang w:val="en-AU"/>
        </w:rPr>
        <w:footnoteRef/>
      </w:r>
      <w:r w:rsidR="6332CC80" w:rsidRPr="006E0E53">
        <w:rPr>
          <w:sz w:val="16"/>
          <w:szCs w:val="16"/>
          <w:lang w:val="en-AU"/>
        </w:rPr>
        <w:t xml:space="preserve"> Australian Government Department of Climate Change, the Environment, Energy and Water (2025) Snowy Water Inquiry Outcomes Implementation Deed Review Issues Analysis:</w:t>
      </w:r>
      <w:r w:rsidR="6332CC80" w:rsidRPr="00CC7A58">
        <w:rPr>
          <w:sz w:val="18"/>
          <w:szCs w:val="18"/>
          <w:lang w:val="en-AU"/>
        </w:rPr>
        <w:t xml:space="preserve"> </w:t>
      </w:r>
      <w:r w:rsidR="6332CC80" w:rsidRPr="006E0E53">
        <w:rPr>
          <w:sz w:val="16"/>
          <w:szCs w:val="16"/>
          <w:lang w:val="en-AU"/>
        </w:rPr>
        <w:t>11</w:t>
      </w:r>
      <w:r w:rsidR="005D004C">
        <w:rPr>
          <w:sz w:val="16"/>
          <w:szCs w:val="16"/>
          <w:lang w:val="en-AU"/>
        </w:rPr>
        <w:t xml:space="preserve">, </w:t>
      </w:r>
      <w:hyperlink r:id="rId12" w:history="1">
        <w:r w:rsidR="005D004C" w:rsidRPr="00776C99">
          <w:rPr>
            <w:rStyle w:val="Hyperlink"/>
            <w:sz w:val="16"/>
            <w:szCs w:val="16"/>
          </w:rPr>
          <w:t>https://www.dcceew.gov.au/sites/default/files/documents/review-issues-analysis-snowy-water-inquiry-outcomes-implementation-deed.pdf</w:t>
        </w:r>
      </w:hyperlink>
    </w:p>
  </w:footnote>
  <w:footnote w:id="51">
    <w:p w14:paraId="7877AAF9" w14:textId="76182453" w:rsidR="6332CC80" w:rsidRPr="006E0E53" w:rsidRDefault="6332CC80" w:rsidP="00C401CB">
      <w:pPr>
        <w:pStyle w:val="FootnoteText"/>
        <w:rPr>
          <w:sz w:val="16"/>
          <w:szCs w:val="16"/>
        </w:rPr>
      </w:pPr>
      <w:r w:rsidRPr="006E0E53">
        <w:rPr>
          <w:rStyle w:val="FootnoteReference"/>
          <w:sz w:val="16"/>
          <w:szCs w:val="16"/>
          <w:lang w:val="en-AU"/>
        </w:rPr>
        <w:footnoteRef/>
      </w:r>
      <w:r w:rsidRPr="006E0E53">
        <w:rPr>
          <w:sz w:val="16"/>
          <w:szCs w:val="16"/>
          <w:lang w:val="en-AU"/>
        </w:rPr>
        <w:t xml:space="preserve"> </w:t>
      </w:r>
      <w:r w:rsidR="005D004C">
        <w:rPr>
          <w:sz w:val="16"/>
          <w:szCs w:val="16"/>
          <w:lang w:val="en-AU"/>
        </w:rPr>
        <w:t xml:space="preserve">Australian Government Bureau of Meteorology, (June 2026), ‘Multi-year rainfall deficiencies,’ </w:t>
      </w:r>
      <w:r w:rsidR="005D004C">
        <w:rPr>
          <w:i/>
          <w:iCs/>
          <w:sz w:val="16"/>
          <w:szCs w:val="16"/>
          <w:lang w:val="en-AU"/>
        </w:rPr>
        <w:t xml:space="preserve">Drought – Rainfall deficiencies and water availability, </w:t>
      </w:r>
      <w:hyperlink r:id="rId13" w:history="1">
        <w:r w:rsidR="005D004C" w:rsidRPr="006A4E82">
          <w:rPr>
            <w:rStyle w:val="Hyperlink"/>
            <w:sz w:val="16"/>
            <w:szCs w:val="16"/>
            <w:lang w:val="en-AU"/>
          </w:rPr>
          <w:t>https://www.bom.gov.au/climate/drought/</w:t>
        </w:r>
      </w:hyperlink>
      <w:r w:rsidR="005D004C" w:rsidRPr="006A4E82">
        <w:rPr>
          <w:sz w:val="16"/>
          <w:szCs w:val="16"/>
          <w:lang w:val="en-AU"/>
        </w:rPr>
        <w:t>.</w:t>
      </w:r>
    </w:p>
  </w:footnote>
  <w:footnote w:id="52">
    <w:p w14:paraId="271BDBBF" w14:textId="0A8726AF" w:rsidR="6332CC80" w:rsidRPr="006E0E53" w:rsidRDefault="6332CC80" w:rsidP="00C401CB">
      <w:pPr>
        <w:pStyle w:val="FootnoteText"/>
        <w:jc w:val="left"/>
        <w:rPr>
          <w:sz w:val="16"/>
          <w:szCs w:val="16"/>
        </w:rPr>
      </w:pPr>
      <w:r w:rsidRPr="006E0E53">
        <w:rPr>
          <w:rStyle w:val="FootnoteReference"/>
          <w:sz w:val="16"/>
          <w:szCs w:val="16"/>
          <w:lang w:val="en-AU"/>
        </w:rPr>
        <w:footnoteRef/>
      </w:r>
      <w:r w:rsidRPr="006E0E53">
        <w:rPr>
          <w:sz w:val="16"/>
          <w:szCs w:val="16"/>
          <w:lang w:val="en-AU"/>
        </w:rPr>
        <w:t xml:space="preserve"> </w:t>
      </w:r>
      <w:r w:rsidR="001C186C" w:rsidRPr="006E0E53">
        <w:rPr>
          <w:sz w:val="16"/>
          <w:szCs w:val="16"/>
          <w:lang w:val="en-AU"/>
        </w:rPr>
        <w:t>Stakeholder Advisory Group (May 2026), Restoring the Upper Murrumbidgee, Improving Flows, Balancing Interests - Initial Report from the Stakeholder Advisory Group to the Independent Review Panel.</w:t>
      </w:r>
    </w:p>
  </w:footnote>
  <w:footnote w:id="53">
    <w:p w14:paraId="4B8CDDDD" w14:textId="5AEFBFEF" w:rsidR="6332CC80" w:rsidRPr="004903C5" w:rsidRDefault="6332CC80" w:rsidP="00C401CB">
      <w:pPr>
        <w:pStyle w:val="FootnoteText"/>
        <w:jc w:val="left"/>
      </w:pPr>
      <w:r w:rsidRPr="006E0E53">
        <w:rPr>
          <w:rStyle w:val="FootnoteReference"/>
          <w:sz w:val="16"/>
          <w:szCs w:val="16"/>
          <w:lang w:val="en-AU"/>
        </w:rPr>
        <w:footnoteRef/>
      </w:r>
      <w:r w:rsidRPr="006E0E53">
        <w:rPr>
          <w:sz w:val="16"/>
          <w:szCs w:val="16"/>
          <w:lang w:val="en-AU"/>
        </w:rPr>
        <w:t xml:space="preserve"> </w:t>
      </w:r>
      <w:r w:rsidR="00502E4C">
        <w:rPr>
          <w:sz w:val="16"/>
          <w:szCs w:val="16"/>
          <w:lang w:val="en-AU"/>
        </w:rPr>
        <w:t xml:space="preserve">Australian Government </w:t>
      </w:r>
      <w:r w:rsidR="00AD3AFE" w:rsidRPr="006E0E53">
        <w:rPr>
          <w:sz w:val="16"/>
          <w:szCs w:val="16"/>
          <w:lang w:val="en-AU"/>
        </w:rPr>
        <w:t>DCCEEW (</w:t>
      </w:r>
      <w:r w:rsidR="00293866" w:rsidRPr="006E0E53">
        <w:rPr>
          <w:sz w:val="16"/>
          <w:szCs w:val="16"/>
          <w:lang w:val="en-AU"/>
        </w:rPr>
        <w:t>2026), Issues Consultation: Independent Review of the Snowy Water Inquiry Outcomes Implementation Deed</w:t>
      </w:r>
      <w:r w:rsidR="00B76802" w:rsidRPr="006E0E53">
        <w:rPr>
          <w:sz w:val="16"/>
          <w:szCs w:val="16"/>
          <w:lang w:val="en-AU"/>
        </w:rPr>
        <w:t xml:space="preserve">, Summary of Public Consultation. </w:t>
      </w:r>
      <w:r w:rsidR="00837F51" w:rsidRPr="006E0E53">
        <w:rPr>
          <w:sz w:val="16"/>
          <w:szCs w:val="16"/>
          <w:lang w:val="en-AU"/>
        </w:rPr>
        <w:t>www.dcceew.gov.au/sites/default/files/documents/issues-consultation-ind-review-snowy-water-inquiry-summary-report.pdf.</w:t>
      </w:r>
    </w:p>
  </w:footnote>
  <w:footnote w:id="54">
    <w:p w14:paraId="58FEEA8E" w14:textId="7974F4D9" w:rsidR="004469CB" w:rsidRPr="006E0E53" w:rsidRDefault="004469CB" w:rsidP="006E0E53">
      <w:pPr>
        <w:pStyle w:val="FootnoteText"/>
        <w:jc w:val="left"/>
        <w:rPr>
          <w:sz w:val="16"/>
          <w:szCs w:val="16"/>
          <w:lang w:val="en-AU"/>
        </w:rPr>
      </w:pPr>
      <w:r w:rsidRPr="006E0E53">
        <w:rPr>
          <w:rStyle w:val="FootnoteReference"/>
          <w:sz w:val="16"/>
          <w:szCs w:val="16"/>
        </w:rPr>
        <w:footnoteRef/>
      </w:r>
      <w:r w:rsidRPr="006E0E53">
        <w:rPr>
          <w:sz w:val="16"/>
          <w:szCs w:val="16"/>
        </w:rPr>
        <w:t xml:space="preserve"> </w:t>
      </w:r>
      <w:r w:rsidRPr="006E0E53">
        <w:rPr>
          <w:sz w:val="16"/>
          <w:szCs w:val="16"/>
          <w:lang w:val="en-AU"/>
        </w:rPr>
        <w:t xml:space="preserve">Annual release targets, and compliance with previous year release targets for environmental releases from the Snowy Scheme are publicly reported in Snowy Hydro’s </w:t>
      </w:r>
      <w:r w:rsidR="00F929D6" w:rsidRPr="006E0E53">
        <w:rPr>
          <w:sz w:val="16"/>
          <w:szCs w:val="16"/>
          <w:lang w:val="en-AU"/>
        </w:rPr>
        <w:t>public AWOPs</w:t>
      </w:r>
      <w:r w:rsidRPr="006E0E53">
        <w:rPr>
          <w:sz w:val="16"/>
          <w:szCs w:val="16"/>
          <w:lang w:val="en-AU"/>
        </w:rPr>
        <w:t>.</w:t>
      </w:r>
    </w:p>
  </w:footnote>
  <w:footnote w:id="55">
    <w:p w14:paraId="10A252D1" w14:textId="78638FDD" w:rsidR="00864018" w:rsidRPr="006E0E53" w:rsidRDefault="00864018" w:rsidP="006E0E53">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w:t>
      </w:r>
      <w:r w:rsidR="00715AED" w:rsidRPr="006E0E53">
        <w:rPr>
          <w:sz w:val="16"/>
          <w:szCs w:val="16"/>
          <w:lang w:val="en-AU"/>
        </w:rPr>
        <w:t xml:space="preserve">Bender I et al. (2022) ‘Snowy River environmental flows post-2002: lessons to be learnt’, </w:t>
      </w:r>
      <w:r w:rsidR="00715AED" w:rsidRPr="0022721C">
        <w:rPr>
          <w:i/>
          <w:iCs/>
          <w:sz w:val="16"/>
          <w:szCs w:val="16"/>
          <w:lang w:val="en-AU"/>
        </w:rPr>
        <w:t>Marine and Freshwater Research</w:t>
      </w:r>
      <w:r w:rsidR="0022721C">
        <w:rPr>
          <w:i/>
          <w:iCs/>
          <w:sz w:val="16"/>
          <w:szCs w:val="16"/>
          <w:lang w:val="en-AU"/>
        </w:rPr>
        <w:t>,</w:t>
      </w:r>
      <w:r w:rsidR="00715AED" w:rsidRPr="0022721C">
        <w:rPr>
          <w:i/>
          <w:iCs/>
          <w:sz w:val="16"/>
          <w:szCs w:val="16"/>
          <w:lang w:val="en-AU"/>
        </w:rPr>
        <w:t xml:space="preserve"> 73</w:t>
      </w:r>
      <w:r w:rsidR="00715AED" w:rsidRPr="006E0E53">
        <w:rPr>
          <w:sz w:val="16"/>
          <w:szCs w:val="16"/>
          <w:lang w:val="en-AU"/>
        </w:rPr>
        <w:t>(4), 545. doi:10.1071/MF21209</w:t>
      </w:r>
      <w:r w:rsidR="00400736">
        <w:rPr>
          <w:sz w:val="16"/>
          <w:szCs w:val="16"/>
          <w:lang w:val="en-AU"/>
        </w:rPr>
        <w:t>.</w:t>
      </w:r>
    </w:p>
  </w:footnote>
  <w:footnote w:id="56">
    <w:p w14:paraId="6738E341" w14:textId="2E5278AA" w:rsidR="00044D42" w:rsidRPr="006E0E53" w:rsidRDefault="00044D42" w:rsidP="006E0E53">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w:t>
      </w:r>
      <w:r w:rsidR="00A760E6" w:rsidRPr="006E0E53">
        <w:rPr>
          <w:sz w:val="16"/>
          <w:szCs w:val="16"/>
          <w:lang w:val="en-AU"/>
        </w:rPr>
        <w:t xml:space="preserve">Bender I et al. (2022) ‘Snowy River environmental flows post-2002: lessons to be learnt’, </w:t>
      </w:r>
      <w:r w:rsidR="00A760E6" w:rsidRPr="0022721C">
        <w:rPr>
          <w:i/>
          <w:iCs/>
          <w:sz w:val="16"/>
          <w:szCs w:val="16"/>
          <w:lang w:val="en-AU"/>
        </w:rPr>
        <w:t>Marine and Freshwater Research</w:t>
      </w:r>
      <w:r w:rsidR="0022721C">
        <w:rPr>
          <w:i/>
          <w:iCs/>
          <w:sz w:val="16"/>
          <w:szCs w:val="16"/>
          <w:lang w:val="en-AU"/>
        </w:rPr>
        <w:t>,</w:t>
      </w:r>
      <w:r w:rsidR="00A760E6" w:rsidRPr="0022721C">
        <w:rPr>
          <w:i/>
          <w:iCs/>
          <w:sz w:val="16"/>
          <w:szCs w:val="16"/>
          <w:lang w:val="en-AU"/>
        </w:rPr>
        <w:t xml:space="preserve"> 73</w:t>
      </w:r>
      <w:r w:rsidR="00A760E6" w:rsidRPr="006E0E53">
        <w:rPr>
          <w:sz w:val="16"/>
          <w:szCs w:val="16"/>
          <w:lang w:val="en-AU"/>
        </w:rPr>
        <w:t>(4), 545. doi:10.1071/MF21209</w:t>
      </w:r>
      <w:r w:rsidR="00400736">
        <w:rPr>
          <w:sz w:val="16"/>
          <w:szCs w:val="16"/>
          <w:lang w:val="en-AU"/>
        </w:rPr>
        <w:t>.</w:t>
      </w:r>
    </w:p>
  </w:footnote>
  <w:footnote w:id="57">
    <w:p w14:paraId="6F48B4ED" w14:textId="5C3C412E" w:rsidR="00D910F7" w:rsidRPr="006E0E53" w:rsidRDefault="00D910F7" w:rsidP="006E0E53">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w:t>
      </w:r>
      <w:r w:rsidR="00197CDF" w:rsidRPr="006E0E53">
        <w:rPr>
          <w:sz w:val="16"/>
          <w:szCs w:val="16"/>
          <w:lang w:val="en-AU"/>
        </w:rPr>
        <w:t>NSW Department of Industry</w:t>
      </w:r>
      <w:r w:rsidR="00861C6F" w:rsidRPr="006E0E53">
        <w:rPr>
          <w:sz w:val="16"/>
          <w:szCs w:val="16"/>
          <w:lang w:val="en-AU"/>
        </w:rPr>
        <w:t xml:space="preserve"> (2018)</w:t>
      </w:r>
      <w:r w:rsidR="00197CDF" w:rsidRPr="006E0E53">
        <w:rPr>
          <w:sz w:val="16"/>
          <w:szCs w:val="16"/>
          <w:lang w:val="en-AU"/>
        </w:rPr>
        <w:t>, ‘Ten-year review of the Snowy water licence – Final Report</w:t>
      </w:r>
      <w:r w:rsidR="00861C6F" w:rsidRPr="006E0E53">
        <w:rPr>
          <w:sz w:val="16"/>
          <w:szCs w:val="16"/>
          <w:lang w:val="en-AU"/>
        </w:rPr>
        <w:t xml:space="preserve">,’ </w:t>
      </w:r>
      <w:r w:rsidR="00EA7BD4" w:rsidRPr="006E0E53">
        <w:rPr>
          <w:sz w:val="16"/>
          <w:szCs w:val="16"/>
          <w:lang w:val="en-AU"/>
        </w:rPr>
        <w:t>www.water.dcceew.nsw.gov.au/sites/default/files/2025-07/ten-year-review-of-the-snowy-water-licence-final-report.pdf.</w:t>
      </w:r>
    </w:p>
  </w:footnote>
  <w:footnote w:id="58">
    <w:p w14:paraId="5D951423" w14:textId="18A6B7BD" w:rsidR="00182597" w:rsidRPr="00182597" w:rsidRDefault="00182597" w:rsidP="00502E4C">
      <w:pPr>
        <w:pStyle w:val="FootnoteText"/>
        <w:jc w:val="left"/>
        <w:rPr>
          <w:lang w:val="en-AU"/>
        </w:rPr>
      </w:pPr>
      <w:r>
        <w:rPr>
          <w:rStyle w:val="FootnoteReference"/>
        </w:rPr>
        <w:footnoteRef/>
      </w:r>
      <w:r>
        <w:t xml:space="preserve"> </w:t>
      </w:r>
      <w:r w:rsidR="00502E4C" w:rsidRPr="006E0E53">
        <w:rPr>
          <w:sz w:val="16"/>
          <w:szCs w:val="16"/>
          <w:lang w:val="en-AU"/>
        </w:rPr>
        <w:t xml:space="preserve">Australian Government </w:t>
      </w:r>
      <w:r w:rsidR="00502E4C">
        <w:rPr>
          <w:sz w:val="16"/>
          <w:szCs w:val="16"/>
          <w:lang w:val="en-AU"/>
        </w:rPr>
        <w:t xml:space="preserve">DCCEEW </w:t>
      </w:r>
      <w:r w:rsidR="00502E4C" w:rsidRPr="006E0E53">
        <w:rPr>
          <w:sz w:val="16"/>
          <w:szCs w:val="16"/>
          <w:lang w:val="en-AU"/>
        </w:rPr>
        <w:t xml:space="preserve">(2025) </w:t>
      </w:r>
      <w:r w:rsidR="00502E4C">
        <w:rPr>
          <w:sz w:val="16"/>
          <w:szCs w:val="16"/>
          <w:lang w:val="en-AU"/>
        </w:rPr>
        <w:t>‘</w:t>
      </w:r>
      <w:r w:rsidR="00502E4C" w:rsidRPr="006E0E53">
        <w:rPr>
          <w:sz w:val="16"/>
          <w:szCs w:val="16"/>
          <w:lang w:val="en-AU"/>
        </w:rPr>
        <w:t>Snowy Water Inquiry Outcomes Implementation Deed Review Issues Analysis:</w:t>
      </w:r>
      <w:r w:rsidR="00502E4C" w:rsidRPr="00CC7A58">
        <w:rPr>
          <w:sz w:val="18"/>
          <w:szCs w:val="18"/>
          <w:lang w:val="en-AU"/>
        </w:rPr>
        <w:t xml:space="preserve"> </w:t>
      </w:r>
      <w:r w:rsidR="00502E4C" w:rsidRPr="006E0E53">
        <w:rPr>
          <w:sz w:val="16"/>
          <w:szCs w:val="16"/>
          <w:lang w:val="en-AU"/>
        </w:rPr>
        <w:t>1</w:t>
      </w:r>
      <w:r w:rsidR="00502E4C">
        <w:rPr>
          <w:sz w:val="16"/>
          <w:szCs w:val="16"/>
          <w:lang w:val="en-AU"/>
        </w:rPr>
        <w:t xml:space="preserve">8, </w:t>
      </w:r>
      <w:hyperlink r:id="rId14" w:history="1">
        <w:r w:rsidR="00502E4C" w:rsidRPr="00776C99">
          <w:rPr>
            <w:rStyle w:val="Hyperlink"/>
            <w:sz w:val="16"/>
            <w:szCs w:val="16"/>
          </w:rPr>
          <w:t>https://www.dcceew.gov.au/sites/default/files/documents/review-issues-analysis-snowy-water-inquiry-outcomes-implementation-deed.pdf</w:t>
        </w:r>
      </w:hyperlink>
      <w:r w:rsidR="00502E4C">
        <w:rPr>
          <w:sz w:val="16"/>
          <w:szCs w:val="16"/>
        </w:rPr>
        <w:t>.</w:t>
      </w:r>
    </w:p>
  </w:footnote>
  <w:footnote w:id="59">
    <w:p w14:paraId="7583173E" w14:textId="45C792C0" w:rsidR="00D910F7" w:rsidRPr="00CC7A58" w:rsidRDefault="00D910F7" w:rsidP="006E0E53">
      <w:pPr>
        <w:pStyle w:val="FootnoteText"/>
        <w:jc w:val="left"/>
        <w:rPr>
          <w:lang w:val="en-AU"/>
        </w:rPr>
      </w:pPr>
      <w:r w:rsidRPr="005C4A20">
        <w:rPr>
          <w:rStyle w:val="FootnoteReference"/>
          <w:lang w:val="en-AU"/>
        </w:rPr>
        <w:footnoteRef/>
      </w:r>
      <w:r w:rsidRPr="006E0E53">
        <w:rPr>
          <w:sz w:val="16"/>
          <w:szCs w:val="16"/>
          <w:lang w:val="en-AU"/>
        </w:rPr>
        <w:t xml:space="preserve"> </w:t>
      </w:r>
      <w:r w:rsidR="00400736" w:rsidRPr="006E0E53">
        <w:rPr>
          <w:sz w:val="16"/>
          <w:szCs w:val="16"/>
          <w:lang w:val="en-AU"/>
        </w:rPr>
        <w:t xml:space="preserve">Australian Government </w:t>
      </w:r>
      <w:r w:rsidR="00400736">
        <w:rPr>
          <w:sz w:val="16"/>
          <w:szCs w:val="16"/>
          <w:lang w:val="en-AU"/>
        </w:rPr>
        <w:t xml:space="preserve">DCCEEW </w:t>
      </w:r>
      <w:r w:rsidR="00400736" w:rsidRPr="006E0E53">
        <w:rPr>
          <w:sz w:val="16"/>
          <w:szCs w:val="16"/>
          <w:lang w:val="en-AU"/>
        </w:rPr>
        <w:t xml:space="preserve">(2025) </w:t>
      </w:r>
      <w:r w:rsidR="00400736">
        <w:rPr>
          <w:sz w:val="16"/>
          <w:szCs w:val="16"/>
          <w:lang w:val="en-AU"/>
        </w:rPr>
        <w:t>‘</w:t>
      </w:r>
      <w:r w:rsidR="00400736" w:rsidRPr="006E0E53">
        <w:rPr>
          <w:sz w:val="16"/>
          <w:szCs w:val="16"/>
          <w:lang w:val="en-AU"/>
        </w:rPr>
        <w:t>Snowy Water Inquiry Outcomes Implementation Deed Review Issues Analysis:</w:t>
      </w:r>
      <w:r w:rsidR="00400736" w:rsidRPr="00CC7A58">
        <w:rPr>
          <w:sz w:val="18"/>
          <w:szCs w:val="18"/>
          <w:lang w:val="en-AU"/>
        </w:rPr>
        <w:t xml:space="preserve"> </w:t>
      </w:r>
      <w:r w:rsidR="00400736" w:rsidRPr="006E0E53">
        <w:rPr>
          <w:sz w:val="16"/>
          <w:szCs w:val="16"/>
          <w:lang w:val="en-AU"/>
        </w:rPr>
        <w:t>1</w:t>
      </w:r>
      <w:r w:rsidR="00400736">
        <w:rPr>
          <w:sz w:val="16"/>
          <w:szCs w:val="16"/>
          <w:lang w:val="en-AU"/>
        </w:rPr>
        <w:t xml:space="preserve">8, </w:t>
      </w:r>
      <w:hyperlink r:id="rId15" w:history="1">
        <w:r w:rsidR="00400736" w:rsidRPr="00776C99">
          <w:rPr>
            <w:rStyle w:val="Hyperlink"/>
            <w:sz w:val="16"/>
            <w:szCs w:val="16"/>
          </w:rPr>
          <w:t>https://www.dcceew.gov.au/sites/default/files/documents/review-issues-analysis-snowy-water-inquiry-outcomes-implementation-deed.pdf</w:t>
        </w:r>
      </w:hyperlink>
      <w:r w:rsidR="00400736">
        <w:rPr>
          <w:sz w:val="16"/>
          <w:szCs w:val="16"/>
        </w:rPr>
        <w:t>.</w:t>
      </w:r>
    </w:p>
  </w:footnote>
  <w:footnote w:id="60">
    <w:p w14:paraId="5925D553" w14:textId="2D0EAC91" w:rsidR="00AB3771" w:rsidRPr="00400736" w:rsidRDefault="00AB3771">
      <w:pPr>
        <w:pStyle w:val="FootnoteText"/>
        <w:rPr>
          <w:lang w:val="en-AU"/>
        </w:rPr>
      </w:pPr>
      <w:r>
        <w:rPr>
          <w:rStyle w:val="FootnoteReference"/>
        </w:rPr>
        <w:footnoteRef/>
      </w:r>
      <w:r>
        <w:t xml:space="preserve"> </w:t>
      </w:r>
      <w:r w:rsidR="00400736" w:rsidRPr="006E0E53">
        <w:rPr>
          <w:sz w:val="16"/>
          <w:szCs w:val="16"/>
          <w:lang w:val="en-AU"/>
        </w:rPr>
        <w:t>East Gippsland Catchment Management Network</w:t>
      </w:r>
      <w:r w:rsidR="00400736">
        <w:rPr>
          <w:sz w:val="16"/>
          <w:szCs w:val="16"/>
          <w:lang w:val="en-AU"/>
        </w:rPr>
        <w:t>,</w:t>
      </w:r>
      <w:r w:rsidR="00400736" w:rsidRPr="006E0E53">
        <w:rPr>
          <w:sz w:val="16"/>
          <w:szCs w:val="16"/>
          <w:lang w:val="en-AU"/>
        </w:rPr>
        <w:t xml:space="preserve"> (2026), </w:t>
      </w:r>
      <w:r w:rsidR="00400736">
        <w:rPr>
          <w:sz w:val="16"/>
          <w:szCs w:val="16"/>
          <w:lang w:val="en-AU"/>
        </w:rPr>
        <w:t>‘</w:t>
      </w:r>
      <w:r w:rsidR="00400736" w:rsidRPr="006E0E53">
        <w:rPr>
          <w:sz w:val="16"/>
          <w:szCs w:val="16"/>
          <w:lang w:val="en-AU"/>
        </w:rPr>
        <w:t>Submission to the Independent Review of the Snowy Water Inquiry Outcomes Implementation Deed</w:t>
      </w:r>
      <w:r w:rsidR="00400736">
        <w:rPr>
          <w:sz w:val="16"/>
          <w:szCs w:val="16"/>
          <w:lang w:val="en-AU"/>
        </w:rPr>
        <w:t>’</w:t>
      </w:r>
      <w:r w:rsidR="00400736" w:rsidRPr="006E0E53">
        <w:rPr>
          <w:sz w:val="16"/>
          <w:szCs w:val="16"/>
          <w:lang w:val="en-AU"/>
        </w:rPr>
        <w:t xml:space="preserve">: 31-32. </w:t>
      </w:r>
      <w:hyperlink r:id="rId16" w:history="1">
        <w:r w:rsidR="00400736" w:rsidRPr="006E0E53">
          <w:rPr>
            <w:rStyle w:val="Hyperlink"/>
            <w:sz w:val="16"/>
            <w:szCs w:val="16"/>
            <w:lang w:val="en-AU"/>
          </w:rPr>
          <w:t>https://consult.dcceew.gov.au/swioid-independent-review/new-survey/view/124</w:t>
        </w:r>
      </w:hyperlink>
      <w:r w:rsidR="00400736" w:rsidRPr="006E0E53">
        <w:rPr>
          <w:sz w:val="16"/>
          <w:szCs w:val="16"/>
          <w:lang w:val="en-AU"/>
        </w:rPr>
        <w:t>.</w:t>
      </w:r>
    </w:p>
  </w:footnote>
  <w:footnote w:id="61">
    <w:p w14:paraId="399535DD" w14:textId="5E6A60E6" w:rsidR="00C8399B" w:rsidRPr="00400736" w:rsidRDefault="00C8399B">
      <w:pPr>
        <w:pStyle w:val="FootnoteText"/>
        <w:rPr>
          <w:lang w:val="en-AU"/>
        </w:rPr>
      </w:pPr>
      <w:r w:rsidRPr="006E0E53">
        <w:rPr>
          <w:rStyle w:val="FootnoteReference"/>
          <w:sz w:val="16"/>
          <w:szCs w:val="16"/>
          <w:lang w:val="en-AU"/>
        </w:rPr>
        <w:footnoteRef/>
      </w:r>
      <w:r w:rsidRPr="006E0E53">
        <w:rPr>
          <w:sz w:val="16"/>
          <w:szCs w:val="16"/>
          <w:lang w:val="en-AU"/>
        </w:rPr>
        <w:t xml:space="preserve"> </w:t>
      </w:r>
      <w:r w:rsidR="00400736" w:rsidRPr="006E0E53">
        <w:rPr>
          <w:sz w:val="16"/>
          <w:szCs w:val="16"/>
          <w:lang w:val="en-AU"/>
        </w:rPr>
        <w:t>East Gippsland Catchment Management Network</w:t>
      </w:r>
      <w:r w:rsidR="00400736">
        <w:rPr>
          <w:sz w:val="16"/>
          <w:szCs w:val="16"/>
          <w:lang w:val="en-AU"/>
        </w:rPr>
        <w:t>,</w:t>
      </w:r>
      <w:r w:rsidR="00400736" w:rsidRPr="006E0E53">
        <w:rPr>
          <w:sz w:val="16"/>
          <w:szCs w:val="16"/>
          <w:lang w:val="en-AU"/>
        </w:rPr>
        <w:t xml:space="preserve"> (2026), </w:t>
      </w:r>
      <w:r w:rsidR="00400736">
        <w:rPr>
          <w:sz w:val="16"/>
          <w:szCs w:val="16"/>
          <w:lang w:val="en-AU"/>
        </w:rPr>
        <w:t>‘</w:t>
      </w:r>
      <w:r w:rsidR="00400736" w:rsidRPr="006E0E53">
        <w:rPr>
          <w:sz w:val="16"/>
          <w:szCs w:val="16"/>
          <w:lang w:val="en-AU"/>
        </w:rPr>
        <w:t>Submission to the Independent Review of the Snowy Water Inquiry Outcomes Implementation Deed</w:t>
      </w:r>
      <w:r w:rsidR="00400736">
        <w:rPr>
          <w:sz w:val="16"/>
          <w:szCs w:val="16"/>
          <w:lang w:val="en-AU"/>
        </w:rPr>
        <w:t>’</w:t>
      </w:r>
      <w:r w:rsidR="00400736" w:rsidRPr="006E0E53">
        <w:rPr>
          <w:sz w:val="16"/>
          <w:szCs w:val="16"/>
          <w:lang w:val="en-AU"/>
        </w:rPr>
        <w:t xml:space="preserve">: 31-32. </w:t>
      </w:r>
      <w:hyperlink r:id="rId17" w:history="1">
        <w:r w:rsidR="00400736" w:rsidRPr="006E0E53">
          <w:rPr>
            <w:rStyle w:val="Hyperlink"/>
            <w:sz w:val="16"/>
            <w:szCs w:val="16"/>
            <w:lang w:val="en-AU"/>
          </w:rPr>
          <w:t>https://consult.dcceew.gov.au/swioid-independent-review/new-survey/view/124</w:t>
        </w:r>
      </w:hyperlink>
      <w:r w:rsidR="00400736" w:rsidRPr="006E0E53">
        <w:rPr>
          <w:sz w:val="16"/>
          <w:szCs w:val="16"/>
          <w:lang w:val="en-AU"/>
        </w:rPr>
        <w:t>.</w:t>
      </w:r>
    </w:p>
  </w:footnote>
  <w:footnote w:id="62">
    <w:p w14:paraId="2E94EACC" w14:textId="6CBC8338" w:rsidR="00502E4C" w:rsidRPr="00502E4C" w:rsidRDefault="00502E4C" w:rsidP="008D2369">
      <w:pPr>
        <w:pStyle w:val="FootnoteText"/>
        <w:jc w:val="left"/>
        <w:rPr>
          <w:lang w:val="en-AU"/>
        </w:rPr>
      </w:pPr>
      <w:r>
        <w:rPr>
          <w:rStyle w:val="FootnoteReference"/>
        </w:rPr>
        <w:footnoteRef/>
      </w:r>
      <w:r>
        <w:t xml:space="preserve"> </w:t>
      </w:r>
      <w:r w:rsidR="000A3391" w:rsidRPr="008D2369">
        <w:rPr>
          <w:sz w:val="16"/>
          <w:szCs w:val="16"/>
        </w:rPr>
        <w:t>Knight, P</w:t>
      </w:r>
      <w:r w:rsidR="008D2369">
        <w:rPr>
          <w:sz w:val="16"/>
          <w:szCs w:val="16"/>
        </w:rPr>
        <w:t>,</w:t>
      </w:r>
      <w:r w:rsidR="000A3391" w:rsidRPr="008D2369">
        <w:rPr>
          <w:sz w:val="16"/>
          <w:szCs w:val="16"/>
        </w:rPr>
        <w:t xml:space="preserve"> (2026), ‘Snowy River Cultural Values and Community Expectations</w:t>
      </w:r>
      <w:r w:rsidR="008D2369">
        <w:rPr>
          <w:sz w:val="16"/>
          <w:szCs w:val="16"/>
        </w:rPr>
        <w:t>,</w:t>
      </w:r>
      <w:r w:rsidR="00943522" w:rsidRPr="008D2369">
        <w:rPr>
          <w:sz w:val="16"/>
          <w:szCs w:val="16"/>
        </w:rPr>
        <w:t xml:space="preserve">’ </w:t>
      </w:r>
      <w:r w:rsidR="00FD0E94" w:rsidRPr="008D2369">
        <w:rPr>
          <w:i/>
          <w:iCs/>
          <w:sz w:val="16"/>
          <w:szCs w:val="16"/>
        </w:rPr>
        <w:t>Community Perspectives Arising from the SWIOID Review</w:t>
      </w:r>
      <w:r w:rsidR="008D2369" w:rsidRPr="008D2369">
        <w:rPr>
          <w:sz w:val="16"/>
          <w:szCs w:val="16"/>
        </w:rPr>
        <w:t xml:space="preserve">. </w:t>
      </w:r>
      <w:hyperlink r:id="rId18" w:history="1">
        <w:r w:rsidR="0020624B" w:rsidRPr="00776C99">
          <w:rPr>
            <w:rStyle w:val="Hyperlink"/>
            <w:sz w:val="16"/>
            <w:szCs w:val="16"/>
          </w:rPr>
          <w:t>https://www.dcceew.gov.au/sites/default/files/documents/snowy-river-cultural-values-community-expectations.pdf</w:t>
        </w:r>
      </w:hyperlink>
      <w:r w:rsidR="0020624B">
        <w:rPr>
          <w:sz w:val="16"/>
          <w:szCs w:val="16"/>
        </w:rPr>
        <w:t xml:space="preserve"> </w:t>
      </w:r>
    </w:p>
  </w:footnote>
  <w:footnote w:id="63">
    <w:p w14:paraId="6ECAAFE3" w14:textId="704F742B" w:rsidR="00502E4C" w:rsidRPr="00502E4C" w:rsidRDefault="00502E4C">
      <w:pPr>
        <w:pStyle w:val="FootnoteText"/>
        <w:rPr>
          <w:lang w:val="en-AU"/>
        </w:rPr>
      </w:pPr>
      <w:r>
        <w:rPr>
          <w:rStyle w:val="FootnoteReference"/>
        </w:rPr>
        <w:footnoteRef/>
      </w:r>
      <w:r>
        <w:t xml:space="preserve"> </w:t>
      </w:r>
      <w:r w:rsidR="0020624B" w:rsidRPr="008D2369">
        <w:rPr>
          <w:sz w:val="16"/>
          <w:szCs w:val="16"/>
        </w:rPr>
        <w:t>Knight, P</w:t>
      </w:r>
      <w:r w:rsidR="0020624B">
        <w:rPr>
          <w:sz w:val="16"/>
          <w:szCs w:val="16"/>
        </w:rPr>
        <w:t>,</w:t>
      </w:r>
      <w:r w:rsidR="0020624B" w:rsidRPr="008D2369">
        <w:rPr>
          <w:sz w:val="16"/>
          <w:szCs w:val="16"/>
        </w:rPr>
        <w:t xml:space="preserve"> (2026), ‘Snowy River Cultural Values and Community Expectations</w:t>
      </w:r>
      <w:r w:rsidR="0020624B">
        <w:rPr>
          <w:sz w:val="16"/>
          <w:szCs w:val="16"/>
        </w:rPr>
        <w:t>,</w:t>
      </w:r>
      <w:r w:rsidR="0020624B" w:rsidRPr="008D2369">
        <w:rPr>
          <w:sz w:val="16"/>
          <w:szCs w:val="16"/>
        </w:rPr>
        <w:t xml:space="preserve">’ </w:t>
      </w:r>
      <w:r w:rsidR="0020624B" w:rsidRPr="008D2369">
        <w:rPr>
          <w:i/>
          <w:iCs/>
          <w:sz w:val="16"/>
          <w:szCs w:val="16"/>
        </w:rPr>
        <w:t>Community Perspectives Arising from the SWIOID Review</w:t>
      </w:r>
      <w:r w:rsidR="0020624B" w:rsidRPr="008D2369">
        <w:rPr>
          <w:sz w:val="16"/>
          <w:szCs w:val="16"/>
        </w:rPr>
        <w:t xml:space="preserve">. </w:t>
      </w:r>
      <w:hyperlink r:id="rId19" w:history="1">
        <w:r w:rsidR="0020624B" w:rsidRPr="00776C99">
          <w:rPr>
            <w:rStyle w:val="Hyperlink"/>
            <w:sz w:val="16"/>
            <w:szCs w:val="16"/>
          </w:rPr>
          <w:t>https://www.dcceew.gov.au/sites/default/files/documents/snowy-river-cultural-values-community-expectations.pdf</w:t>
        </w:r>
      </w:hyperlink>
    </w:p>
  </w:footnote>
  <w:footnote w:id="64">
    <w:p w14:paraId="2C461829" w14:textId="4AC6093C" w:rsidR="00C92A07" w:rsidRPr="00C92A07" w:rsidRDefault="00C92A07" w:rsidP="00C92A07">
      <w:pPr>
        <w:rPr>
          <w:i/>
          <w:sz w:val="18"/>
          <w:szCs w:val="18"/>
        </w:rPr>
      </w:pPr>
      <w:r>
        <w:rPr>
          <w:rStyle w:val="FootnoteReference"/>
        </w:rPr>
        <w:footnoteRef/>
      </w:r>
      <w:r>
        <w:t xml:space="preserve"> </w:t>
      </w:r>
      <w:r w:rsidRPr="007C0AB3">
        <w:rPr>
          <w:i/>
          <w:sz w:val="18"/>
          <w:szCs w:val="18"/>
        </w:rPr>
        <w:t>Annual volume released for environmental flows to the Snowy River compared to targets in the Deed</w:t>
      </w:r>
      <w:r w:rsidR="00B55767">
        <w:rPr>
          <w:i/>
          <w:sz w:val="18"/>
          <w:szCs w:val="18"/>
        </w:rPr>
        <w:t xml:space="preserve">, </w:t>
      </w:r>
      <w:r w:rsidRPr="007C0AB3">
        <w:rPr>
          <w:i/>
          <w:sz w:val="18"/>
          <w:szCs w:val="18"/>
        </w:rPr>
        <w:t xml:space="preserve">adapted from Bender et al (2020) ‘Snowy River environmental flows post-2002: lessons to be learnt’, </w:t>
      </w:r>
      <w:r w:rsidRPr="007C0AB3">
        <w:rPr>
          <w:i/>
          <w:iCs/>
          <w:sz w:val="18"/>
          <w:szCs w:val="18"/>
        </w:rPr>
        <w:t>Marine and Freshwater Research, 73</w:t>
      </w:r>
      <w:r w:rsidRPr="007C0AB3">
        <w:rPr>
          <w:i/>
          <w:sz w:val="18"/>
          <w:szCs w:val="18"/>
        </w:rPr>
        <w:t>(4). doi:10.1071/MF21209; subsequent data from Snowy Hydro Annual Water Operating Plans, 2020</w:t>
      </w:r>
      <w:r w:rsidRPr="007C0AB3">
        <w:rPr>
          <w:i/>
          <w:sz w:val="18"/>
          <w:szCs w:val="18"/>
        </w:rPr>
        <w:noBreakHyphen/>
        <w:t>21 to 2025</w:t>
      </w:r>
      <w:r w:rsidRPr="007C0AB3">
        <w:rPr>
          <w:i/>
          <w:sz w:val="18"/>
          <w:szCs w:val="18"/>
        </w:rPr>
        <w:noBreakHyphen/>
        <w:t>26</w:t>
      </w:r>
      <w:r>
        <w:rPr>
          <w:i/>
          <w:sz w:val="18"/>
          <w:szCs w:val="18"/>
        </w:rPr>
        <w:t>.</w:t>
      </w:r>
    </w:p>
  </w:footnote>
  <w:footnote w:id="65">
    <w:p w14:paraId="62FD79F8" w14:textId="77777777" w:rsidR="00247114" w:rsidRPr="006E0E53" w:rsidRDefault="00247114" w:rsidP="00247114">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This figure excludes Tantangara Dam inflows diverted from the Goodradigbee River, via the Goodradigbee Aqueduct.</w:t>
      </w:r>
    </w:p>
  </w:footnote>
  <w:footnote w:id="66">
    <w:p w14:paraId="1BB29255" w14:textId="7504356D" w:rsidR="00FF7029" w:rsidRPr="00FF7029" w:rsidRDefault="00FF7029" w:rsidP="00183658">
      <w:pPr>
        <w:pStyle w:val="FootnoteText"/>
        <w:jc w:val="left"/>
        <w:rPr>
          <w:lang w:val="en-AU"/>
        </w:rPr>
      </w:pPr>
      <w:r>
        <w:rPr>
          <w:rStyle w:val="FootnoteReference"/>
        </w:rPr>
        <w:footnoteRef/>
      </w:r>
      <w:r>
        <w:t xml:space="preserve"> </w:t>
      </w:r>
      <w:r w:rsidR="00722394" w:rsidRPr="00183658">
        <w:rPr>
          <w:sz w:val="16"/>
          <w:szCs w:val="16"/>
        </w:rPr>
        <w:t>ACT</w:t>
      </w:r>
      <w:r w:rsidR="000E7C40" w:rsidRPr="00183658">
        <w:rPr>
          <w:sz w:val="16"/>
          <w:szCs w:val="16"/>
        </w:rPr>
        <w:t xml:space="preserve"> Government Office of Water, Environment Planning and Sustainable Development Directorate</w:t>
      </w:r>
      <w:r w:rsidR="00183658" w:rsidRPr="00183658">
        <w:rPr>
          <w:sz w:val="16"/>
          <w:szCs w:val="16"/>
        </w:rPr>
        <w:t xml:space="preserve"> </w:t>
      </w:r>
      <w:r w:rsidR="000E7C40" w:rsidRPr="00183658">
        <w:rPr>
          <w:sz w:val="16"/>
          <w:szCs w:val="16"/>
          <w:lang w:val="en-AU"/>
        </w:rPr>
        <w:t>(2025), ‘Assessment of potable, non-potable and environmental water indicators: ACT Water Security Vulnerability Assessment Technical</w:t>
      </w:r>
      <w:r w:rsidR="00183658">
        <w:rPr>
          <w:sz w:val="18"/>
          <w:szCs w:val="18"/>
          <w:lang w:val="en-AU"/>
        </w:rPr>
        <w:t>.</w:t>
      </w:r>
      <w:r w:rsidR="00B03017">
        <w:rPr>
          <w:sz w:val="18"/>
          <w:szCs w:val="18"/>
          <w:lang w:val="en-AU"/>
        </w:rPr>
        <w:t xml:space="preserve"> </w:t>
      </w:r>
      <w:hyperlink r:id="rId20" w:history="1">
        <w:r w:rsidR="00B03017" w:rsidRPr="00B03017">
          <w:rPr>
            <w:rStyle w:val="Hyperlink"/>
            <w:sz w:val="16"/>
            <w:szCs w:val="16"/>
            <w:lang w:val="en-AU"/>
          </w:rPr>
          <w:t>https://www.act.gov.au/__data/assets/pdf_file/0011/2868455/ACT-Water-Security-Vulnerability-Assessment-Technical-Report-2025.pdf</w:t>
        </w:r>
      </w:hyperlink>
      <w:r w:rsidR="00B03017" w:rsidRPr="00B03017">
        <w:rPr>
          <w:sz w:val="16"/>
          <w:szCs w:val="16"/>
          <w:lang w:val="en-AU"/>
        </w:rPr>
        <w:t xml:space="preserve">. </w:t>
      </w:r>
    </w:p>
  </w:footnote>
  <w:footnote w:id="67">
    <w:p w14:paraId="3C2FAF02" w14:textId="38D6F97B" w:rsidR="00B7080C" w:rsidRPr="00B7080C" w:rsidRDefault="00B7080C" w:rsidP="00B03017">
      <w:pPr>
        <w:pStyle w:val="FootnoteText"/>
        <w:jc w:val="left"/>
        <w:rPr>
          <w:lang w:val="en-AU"/>
        </w:rPr>
      </w:pPr>
      <w:r>
        <w:rPr>
          <w:rStyle w:val="FootnoteReference"/>
        </w:rPr>
        <w:footnoteRef/>
      </w:r>
      <w:r>
        <w:t xml:space="preserve"> </w:t>
      </w:r>
      <w:r w:rsidR="00B03017" w:rsidRPr="00183658">
        <w:rPr>
          <w:sz w:val="16"/>
          <w:szCs w:val="16"/>
        </w:rPr>
        <w:t xml:space="preserve">ACT Government Office of Water, Environment Planning and Sustainable Development Directorate </w:t>
      </w:r>
      <w:r w:rsidR="00B03017" w:rsidRPr="00183658">
        <w:rPr>
          <w:sz w:val="16"/>
          <w:szCs w:val="16"/>
          <w:lang w:val="en-AU"/>
        </w:rPr>
        <w:t>(2025), ‘Assessment of potable, non-potable and environmental water indicators: ACT Water Security Vulnerability Assessment Technical</w:t>
      </w:r>
      <w:r w:rsidR="00B03017">
        <w:rPr>
          <w:sz w:val="18"/>
          <w:szCs w:val="18"/>
          <w:lang w:val="en-AU"/>
        </w:rPr>
        <w:t xml:space="preserve">. </w:t>
      </w:r>
      <w:hyperlink r:id="rId21" w:history="1">
        <w:r w:rsidR="00B03017" w:rsidRPr="00B03017">
          <w:rPr>
            <w:rStyle w:val="Hyperlink"/>
            <w:sz w:val="16"/>
            <w:szCs w:val="16"/>
            <w:lang w:val="en-AU"/>
          </w:rPr>
          <w:t>https://www.act.gov.au/__data/assets/pdf_file/0011/2868455/ACT-Water-Security-Vulnerability-Assessment-Technical-Report-2025.pdf</w:t>
        </w:r>
      </w:hyperlink>
      <w:r w:rsidR="00B03017" w:rsidRPr="00B03017">
        <w:rPr>
          <w:sz w:val="16"/>
          <w:szCs w:val="16"/>
          <w:lang w:val="en-AU"/>
        </w:rPr>
        <w:t>.</w:t>
      </w:r>
    </w:p>
  </w:footnote>
  <w:footnote w:id="68">
    <w:p w14:paraId="6E491908" w14:textId="77777777" w:rsidR="00B03017" w:rsidRPr="006E0E53" w:rsidRDefault="00B03017" w:rsidP="00B03017">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First Nations Advisory Group (April 2026), </w:t>
      </w:r>
      <w:r>
        <w:rPr>
          <w:sz w:val="16"/>
          <w:szCs w:val="16"/>
          <w:lang w:val="en-AU"/>
        </w:rPr>
        <w:t>‘</w:t>
      </w:r>
      <w:r w:rsidRPr="006E0E53">
        <w:rPr>
          <w:sz w:val="16"/>
          <w:szCs w:val="16"/>
          <w:lang w:val="en-AU"/>
        </w:rPr>
        <w:t>From Advisory to Custodianship – Cultural Recommendations to the Independent Review Panel</w:t>
      </w:r>
      <w:r>
        <w:rPr>
          <w:sz w:val="16"/>
          <w:szCs w:val="16"/>
          <w:lang w:val="en-AU"/>
        </w:rPr>
        <w:t>’.</w:t>
      </w:r>
      <w:r w:rsidRPr="006E0E53">
        <w:rPr>
          <w:sz w:val="16"/>
          <w:szCs w:val="16"/>
          <w:lang w:val="en-AU"/>
        </w:rPr>
        <w:t xml:space="preserve"> </w:t>
      </w:r>
    </w:p>
  </w:footnote>
  <w:footnote w:id="69">
    <w:p w14:paraId="277AD9CA" w14:textId="77D6A265" w:rsidR="00B7080C" w:rsidRPr="00B03017" w:rsidRDefault="00B7080C" w:rsidP="00B03017">
      <w:pPr>
        <w:pStyle w:val="FootnoteText"/>
        <w:jc w:val="left"/>
        <w:rPr>
          <w:sz w:val="16"/>
          <w:szCs w:val="16"/>
          <w:lang w:val="en-AU"/>
        </w:rPr>
      </w:pPr>
      <w:r>
        <w:rPr>
          <w:rStyle w:val="FootnoteReference"/>
        </w:rPr>
        <w:footnoteRef/>
      </w:r>
      <w:r>
        <w:t xml:space="preserve"> </w:t>
      </w:r>
      <w:r w:rsidR="00B03017" w:rsidRPr="006E0E53">
        <w:rPr>
          <w:sz w:val="16"/>
          <w:szCs w:val="16"/>
          <w:lang w:val="en-AU"/>
        </w:rPr>
        <w:t>Stakeholder Advisory Group (May 2026), Restoring the Upper Murrumbidgee, Improving Flows, Balancing Interests - Initial Report from the Stakeholder Advisory Group to the Independent Review Panel</w:t>
      </w:r>
      <w:r w:rsidR="00B03017">
        <w:rPr>
          <w:sz w:val="16"/>
          <w:szCs w:val="16"/>
          <w:lang w:val="en-AU"/>
        </w:rPr>
        <w:t>.</w:t>
      </w:r>
    </w:p>
  </w:footnote>
  <w:footnote w:id="70">
    <w:p w14:paraId="23528FD1" w14:textId="63FB48B7" w:rsidR="002B3CB3" w:rsidRPr="006E0E53" w:rsidRDefault="002B3CB3" w:rsidP="002B3CB3">
      <w:pPr>
        <w:pStyle w:val="FootnoteText"/>
        <w:rPr>
          <w:sz w:val="16"/>
          <w:szCs w:val="16"/>
          <w:lang w:val="en-AU"/>
        </w:rPr>
      </w:pPr>
      <w:r w:rsidRPr="006E0E53">
        <w:rPr>
          <w:rStyle w:val="FootnoteReference"/>
          <w:sz w:val="16"/>
          <w:szCs w:val="16"/>
          <w:lang w:val="en-AU"/>
        </w:rPr>
        <w:footnoteRef/>
      </w:r>
      <w:r w:rsidRPr="006E0E53">
        <w:rPr>
          <w:sz w:val="16"/>
          <w:szCs w:val="16"/>
          <w:lang w:val="en-AU"/>
        </w:rPr>
        <w:t xml:space="preserve"> Studies conducted by ACTEW (now Icon Water) in 2013 and Marsden Jacobs and Fluvial Systems for ACTEW in 2005</w:t>
      </w:r>
      <w:r w:rsidR="007C1DDE">
        <w:rPr>
          <w:sz w:val="16"/>
          <w:szCs w:val="16"/>
          <w:lang w:val="en-AU"/>
        </w:rPr>
        <w:t>.</w:t>
      </w:r>
      <w:r w:rsidRPr="006E0E53">
        <w:rPr>
          <w:sz w:val="16"/>
          <w:szCs w:val="16"/>
          <w:lang w:val="en-AU"/>
        </w:rPr>
        <w:t xml:space="preserve"> </w:t>
      </w:r>
    </w:p>
  </w:footnote>
  <w:footnote w:id="71">
    <w:p w14:paraId="316403CB" w14:textId="799E2154" w:rsidR="002B3CB3" w:rsidRPr="00BE749C" w:rsidRDefault="002B3CB3" w:rsidP="002B3CB3">
      <w:pPr>
        <w:pStyle w:val="FootnoteText"/>
        <w:rPr>
          <w:lang w:val="en-AU"/>
        </w:rPr>
      </w:pPr>
      <w:r w:rsidRPr="006E0E53">
        <w:rPr>
          <w:rStyle w:val="FootnoteReference"/>
          <w:sz w:val="16"/>
          <w:szCs w:val="16"/>
          <w:lang w:val="en-AU"/>
        </w:rPr>
        <w:footnoteRef/>
      </w:r>
      <w:r w:rsidRPr="006E0E53">
        <w:rPr>
          <w:sz w:val="16"/>
          <w:szCs w:val="16"/>
          <w:lang w:val="en-AU"/>
        </w:rPr>
        <w:t xml:space="preserve"> Technical note on a proposed methodology for estimating water used by the upper Murrumbidgee River for the Drought Operating Framework</w:t>
      </w:r>
      <w:r w:rsidR="007C1DDE">
        <w:rPr>
          <w:sz w:val="16"/>
          <w:szCs w:val="16"/>
          <w:lang w:val="en-AU"/>
        </w:rPr>
        <w:t>.</w:t>
      </w:r>
    </w:p>
  </w:footnote>
  <w:footnote w:id="72">
    <w:p w14:paraId="5FF8B0C9" w14:textId="7806562F" w:rsidR="00B406EA" w:rsidRPr="006E0E53" w:rsidRDefault="00B406EA" w:rsidP="00A47CA0">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w:t>
      </w:r>
      <w:r w:rsidR="00AF4909" w:rsidRPr="006E0E53">
        <w:rPr>
          <w:sz w:val="16"/>
          <w:szCs w:val="16"/>
          <w:lang w:val="en-AU"/>
        </w:rPr>
        <w:t xml:space="preserve">First Nations Advisory Group (April 2026), </w:t>
      </w:r>
      <w:r w:rsidR="00AF4909">
        <w:rPr>
          <w:sz w:val="16"/>
          <w:szCs w:val="16"/>
          <w:lang w:val="en-AU"/>
        </w:rPr>
        <w:t>‘</w:t>
      </w:r>
      <w:r w:rsidR="00AF4909" w:rsidRPr="006E0E53">
        <w:rPr>
          <w:sz w:val="16"/>
          <w:szCs w:val="16"/>
          <w:lang w:val="en-AU"/>
        </w:rPr>
        <w:t>From Advisory to Custodianship – Cultural Recommendations to the Independent Review Panel</w:t>
      </w:r>
      <w:r w:rsidR="00AF4909">
        <w:rPr>
          <w:sz w:val="16"/>
          <w:szCs w:val="16"/>
          <w:lang w:val="en-AU"/>
        </w:rPr>
        <w:t>’.</w:t>
      </w:r>
    </w:p>
  </w:footnote>
  <w:footnote w:id="73">
    <w:p w14:paraId="35E81A1C" w14:textId="08359694" w:rsidR="00B406EA" w:rsidRPr="006E0E53" w:rsidRDefault="00B406EA" w:rsidP="00A47CA0">
      <w:pPr>
        <w:pStyle w:val="FootnoteText"/>
        <w:jc w:val="left"/>
        <w:rPr>
          <w:sz w:val="16"/>
          <w:szCs w:val="16"/>
          <w:lang w:val="en-AU"/>
        </w:rPr>
      </w:pPr>
      <w:r w:rsidRPr="006E0E53">
        <w:rPr>
          <w:rStyle w:val="FootnoteReference"/>
          <w:sz w:val="16"/>
          <w:szCs w:val="16"/>
          <w:lang w:val="en-AU"/>
        </w:rPr>
        <w:footnoteRef/>
      </w:r>
      <w:r w:rsidRPr="006E0E53">
        <w:rPr>
          <w:sz w:val="16"/>
          <w:szCs w:val="16"/>
          <w:lang w:val="en-AU"/>
        </w:rPr>
        <w:t xml:space="preserve"> </w:t>
      </w:r>
      <w:r w:rsidR="008552D0" w:rsidRPr="008D2369">
        <w:rPr>
          <w:sz w:val="16"/>
          <w:szCs w:val="16"/>
        </w:rPr>
        <w:t>Knight, P</w:t>
      </w:r>
      <w:r w:rsidR="008552D0">
        <w:rPr>
          <w:sz w:val="16"/>
          <w:szCs w:val="16"/>
        </w:rPr>
        <w:t>,</w:t>
      </w:r>
      <w:r w:rsidR="008552D0" w:rsidRPr="008D2369">
        <w:rPr>
          <w:sz w:val="16"/>
          <w:szCs w:val="16"/>
        </w:rPr>
        <w:t xml:space="preserve"> (2026), ‘Snowy River Cultural Values and Community Expectations</w:t>
      </w:r>
      <w:r w:rsidR="008552D0">
        <w:rPr>
          <w:sz w:val="16"/>
          <w:szCs w:val="16"/>
        </w:rPr>
        <w:t>,</w:t>
      </w:r>
      <w:r w:rsidR="008552D0" w:rsidRPr="008D2369">
        <w:rPr>
          <w:sz w:val="16"/>
          <w:szCs w:val="16"/>
        </w:rPr>
        <w:t xml:space="preserve">’ </w:t>
      </w:r>
      <w:r w:rsidR="008552D0" w:rsidRPr="008D2369">
        <w:rPr>
          <w:i/>
          <w:iCs/>
          <w:sz w:val="16"/>
          <w:szCs w:val="16"/>
        </w:rPr>
        <w:t>Community Perspectives Arising from the SWIOID Review</w:t>
      </w:r>
      <w:r w:rsidR="008552D0" w:rsidRPr="008D2369">
        <w:rPr>
          <w:sz w:val="16"/>
          <w:szCs w:val="16"/>
        </w:rPr>
        <w:t xml:space="preserve">. </w:t>
      </w:r>
      <w:hyperlink r:id="rId22" w:history="1">
        <w:r w:rsidR="008552D0" w:rsidRPr="00776C99">
          <w:rPr>
            <w:rStyle w:val="Hyperlink"/>
            <w:sz w:val="16"/>
            <w:szCs w:val="16"/>
          </w:rPr>
          <w:t>https://www.dcceew.gov.au/sites/default/files/documents/snowy-river-cultural-values-community-expectations.pdf</w:t>
        </w:r>
      </w:hyperlink>
    </w:p>
  </w:footnote>
  <w:footnote w:id="74">
    <w:p w14:paraId="1FC431F9" w14:textId="23BCBA35" w:rsidR="1E751BE8" w:rsidRPr="00D506D0" w:rsidRDefault="1E751BE8" w:rsidP="00A47CA0">
      <w:pPr>
        <w:pStyle w:val="FootnoteText"/>
        <w:jc w:val="left"/>
        <w:rPr>
          <w:lang w:val="en-AU"/>
        </w:rPr>
      </w:pPr>
      <w:r w:rsidRPr="006E0E53">
        <w:rPr>
          <w:rStyle w:val="FootnoteReference"/>
          <w:sz w:val="16"/>
          <w:szCs w:val="16"/>
          <w:lang w:val="en-AU"/>
        </w:rPr>
        <w:footnoteRef/>
      </w:r>
      <w:r w:rsidR="00A47CA0">
        <w:rPr>
          <w:sz w:val="16"/>
          <w:szCs w:val="16"/>
          <w:lang w:val="en-AU"/>
        </w:rPr>
        <w:t xml:space="preserve"> Australian Government </w:t>
      </w:r>
      <w:r w:rsidR="00A47CA0" w:rsidRPr="006E0E53">
        <w:rPr>
          <w:sz w:val="16"/>
          <w:szCs w:val="16"/>
          <w:lang w:val="en-AU"/>
        </w:rPr>
        <w:t xml:space="preserve">DCCEEW (2026), Issues Consultation: Independent Review of the Snowy Water Inquiry Outcomes Implementation Deed, Summary of Public Consultation. </w:t>
      </w:r>
      <w:hyperlink r:id="rId23" w:history="1">
        <w:r w:rsidR="00A47CA0" w:rsidRPr="00776C99">
          <w:rPr>
            <w:rStyle w:val="Hyperlink"/>
            <w:sz w:val="16"/>
            <w:szCs w:val="16"/>
            <w:lang w:val="en-AU"/>
          </w:rPr>
          <w:t>www.dcceew.gov.au/sites/default/files/documents/issues-consultation-ind-review-snowy-water-inquiry-summary-report.pdf</w:t>
        </w:r>
      </w:hyperlink>
      <w:r w:rsidR="00A47CA0" w:rsidRPr="006E0E53">
        <w:rPr>
          <w:sz w:val="16"/>
          <w:szCs w:val="16"/>
          <w:lang w:val="en-AU"/>
        </w:rPr>
        <w:t>.</w:t>
      </w:r>
      <w:r w:rsidR="00A47CA0">
        <w:rPr>
          <w:sz w:val="16"/>
          <w:szCs w:val="16"/>
          <w:lang w:val="en-AU"/>
        </w:rPr>
        <w:t xml:space="preserve"> </w:t>
      </w:r>
    </w:p>
  </w:footnote>
  <w:footnote w:id="75">
    <w:p w14:paraId="194E0394" w14:textId="201D0DB0" w:rsidR="00FE7691" w:rsidRPr="00715EBD" w:rsidRDefault="00FE7691" w:rsidP="00FE7691">
      <w:pPr>
        <w:pStyle w:val="FootnoteText"/>
        <w:rPr>
          <w:sz w:val="16"/>
          <w:szCs w:val="16"/>
          <w:lang w:val="en-AU"/>
        </w:rPr>
      </w:pPr>
      <w:r w:rsidRPr="00715EBD">
        <w:rPr>
          <w:rStyle w:val="FootnoteReference"/>
          <w:sz w:val="16"/>
          <w:szCs w:val="16"/>
          <w:lang w:val="en-AU"/>
        </w:rPr>
        <w:footnoteRef/>
      </w:r>
      <w:r w:rsidRPr="00715EBD">
        <w:rPr>
          <w:sz w:val="16"/>
          <w:szCs w:val="16"/>
          <w:lang w:val="en-AU"/>
        </w:rPr>
        <w:t xml:space="preserve"> Henry, A</w:t>
      </w:r>
      <w:r w:rsidR="004C3ACD">
        <w:rPr>
          <w:sz w:val="16"/>
          <w:szCs w:val="16"/>
          <w:lang w:val="en-AU"/>
        </w:rPr>
        <w:t xml:space="preserve"> et al</w:t>
      </w:r>
      <w:r w:rsidRPr="00715EBD">
        <w:rPr>
          <w:sz w:val="16"/>
          <w:szCs w:val="16"/>
          <w:lang w:val="en-AU"/>
        </w:rPr>
        <w:t xml:space="preserve">. (2016), </w:t>
      </w:r>
      <w:r w:rsidRPr="00715EBD">
        <w:rPr>
          <w:i/>
          <w:sz w:val="16"/>
          <w:szCs w:val="16"/>
          <w:lang w:val="en-AU"/>
        </w:rPr>
        <w:t>The Value of Landcare to the Australian Community</w:t>
      </w:r>
      <w:r w:rsidRPr="00715EBD">
        <w:rPr>
          <w:sz w:val="16"/>
          <w:szCs w:val="16"/>
          <w:lang w:val="en-AU"/>
        </w:rPr>
        <w:t xml:space="preserve">, Landcare NSW. </w:t>
      </w:r>
    </w:p>
    <w:p w14:paraId="60EBFD56" w14:textId="77777777" w:rsidR="00FE7691" w:rsidRPr="000C3422" w:rsidRDefault="00FE7691" w:rsidP="00FE7691">
      <w:pPr>
        <w:pStyle w:val="FootnoteText"/>
        <w:rPr>
          <w:lang w:val="en-AU"/>
        </w:rPr>
      </w:pPr>
    </w:p>
  </w:footnote>
  <w:footnote w:id="76">
    <w:p w14:paraId="10B0964B" w14:textId="37A8603C" w:rsidR="000053AA" w:rsidRPr="00715EBD" w:rsidRDefault="000053AA" w:rsidP="005424A5">
      <w:pPr>
        <w:pStyle w:val="FootnoteText"/>
        <w:jc w:val="left"/>
        <w:rPr>
          <w:sz w:val="16"/>
          <w:szCs w:val="16"/>
          <w:lang w:val="en-AU"/>
        </w:rPr>
      </w:pPr>
      <w:r w:rsidRPr="00715EBD">
        <w:rPr>
          <w:rStyle w:val="FootnoteReference"/>
          <w:sz w:val="16"/>
          <w:szCs w:val="16"/>
          <w:lang w:val="en-AU"/>
        </w:rPr>
        <w:footnoteRef/>
      </w:r>
      <w:r w:rsidR="009B518B" w:rsidRPr="00715EBD">
        <w:rPr>
          <w:sz w:val="16"/>
          <w:szCs w:val="16"/>
          <w:lang w:val="en-AU"/>
        </w:rPr>
        <w:t xml:space="preserve"> </w:t>
      </w:r>
      <w:r w:rsidR="007C63FC">
        <w:rPr>
          <w:sz w:val="16"/>
          <w:szCs w:val="16"/>
          <w:lang w:val="en-AU"/>
        </w:rPr>
        <w:t>‘Intergovernmental Agreement on a National Water I</w:t>
      </w:r>
      <w:r w:rsidR="005424A5">
        <w:rPr>
          <w:sz w:val="16"/>
          <w:szCs w:val="16"/>
          <w:lang w:val="en-AU"/>
        </w:rPr>
        <w:t xml:space="preserve">nitiative (2004), </w:t>
      </w:r>
      <w:hyperlink r:id="rId24" w:history="1">
        <w:r w:rsidR="005424A5" w:rsidRPr="00776C99">
          <w:rPr>
            <w:rStyle w:val="Hyperlink"/>
            <w:sz w:val="16"/>
            <w:szCs w:val="16"/>
            <w:lang w:val="en-AU"/>
          </w:rPr>
          <w:t>https://www.dcceew.gov.au/sites/default/files/sitecollectiondocuments/water/Intergovernmental-Agreement-on-a-national-water-initiative.pdf</w:t>
        </w:r>
      </w:hyperlink>
      <w:r w:rsidR="005424A5">
        <w:rPr>
          <w:sz w:val="16"/>
          <w:szCs w:val="16"/>
          <w:lang w:val="en-AU"/>
        </w:rPr>
        <w:t xml:space="preserve">. </w:t>
      </w:r>
    </w:p>
  </w:footnote>
  <w:footnote w:id="77">
    <w:p w14:paraId="35EC6C93" w14:textId="77777777" w:rsidR="00121907" w:rsidRPr="00B205D6" w:rsidRDefault="00121907" w:rsidP="00121907">
      <w:pPr>
        <w:pStyle w:val="FootnoteText"/>
        <w:rPr>
          <w:lang w:val="en-AU"/>
        </w:rPr>
      </w:pPr>
      <w:r w:rsidRPr="00715EBD">
        <w:rPr>
          <w:rStyle w:val="FootnoteReference"/>
          <w:sz w:val="16"/>
          <w:szCs w:val="16"/>
          <w:lang w:val="en-AU"/>
        </w:rPr>
        <w:footnoteRef/>
      </w:r>
      <w:r w:rsidRPr="00715EBD">
        <w:rPr>
          <w:sz w:val="16"/>
          <w:szCs w:val="16"/>
          <w:lang w:val="en-AU"/>
        </w:rPr>
        <w:t xml:space="preserve"> The latest 2024-25 report can be found here: </w:t>
      </w:r>
      <w:hyperlink r:id="rId25" w:history="1">
        <w:r w:rsidRPr="00715EBD">
          <w:rPr>
            <w:rStyle w:val="Hyperlink"/>
            <w:sz w:val="16"/>
            <w:szCs w:val="16"/>
            <w:lang w:val="en-AU"/>
          </w:rPr>
          <w:t>ACT and Region Catchment Management Coordination Group Annual Report 2024-25</w:t>
        </w:r>
      </w:hyperlink>
      <w:r w:rsidRPr="00715EBD">
        <w:rPr>
          <w:sz w:val="16"/>
          <w:szCs w:val="16"/>
          <w:lang w:val="en-AU"/>
        </w:rPr>
        <w:t>.</w:t>
      </w:r>
    </w:p>
  </w:footnote>
  <w:footnote w:id="78">
    <w:p w14:paraId="5D7EFDE8" w14:textId="46A67DF2" w:rsidR="00F3366C" w:rsidRPr="00B03017" w:rsidRDefault="00F3366C" w:rsidP="00B03017">
      <w:pPr>
        <w:pStyle w:val="FootnoteText"/>
        <w:jc w:val="left"/>
        <w:rPr>
          <w:sz w:val="16"/>
          <w:szCs w:val="16"/>
          <w:lang w:val="en-AU"/>
        </w:rPr>
      </w:pPr>
      <w:r w:rsidRPr="00715EBD">
        <w:rPr>
          <w:rStyle w:val="FootnoteReference"/>
          <w:sz w:val="16"/>
          <w:szCs w:val="16"/>
        </w:rPr>
        <w:footnoteRef/>
      </w:r>
      <w:r w:rsidRPr="00715EBD">
        <w:rPr>
          <w:sz w:val="16"/>
          <w:szCs w:val="16"/>
        </w:rPr>
        <w:t xml:space="preserve"> </w:t>
      </w:r>
      <w:r w:rsidR="00B03017" w:rsidRPr="006E0E53">
        <w:rPr>
          <w:sz w:val="16"/>
          <w:szCs w:val="16"/>
          <w:lang w:val="en-AU"/>
        </w:rPr>
        <w:t xml:space="preserve">Stakeholder Advisory Group (May 2026), Restoring the Upper Murrumbidgee, Improving Flows, Balancing Interests - Initial Report from the Stakeholder Advisory Group to the Independent Review Panel: </w:t>
      </w:r>
      <w:r w:rsidR="00B03017">
        <w:rPr>
          <w:sz w:val="16"/>
          <w:szCs w:val="16"/>
          <w:lang w:val="en-AU"/>
        </w:rPr>
        <w:t>20.</w:t>
      </w:r>
    </w:p>
  </w:footnote>
  <w:footnote w:id="79">
    <w:p w14:paraId="1AB93DD1" w14:textId="568FA94C" w:rsidR="0085356D" w:rsidRPr="00715EBD" w:rsidRDefault="0085356D" w:rsidP="00B03017">
      <w:pPr>
        <w:pStyle w:val="FootnoteText"/>
        <w:jc w:val="left"/>
        <w:rPr>
          <w:sz w:val="16"/>
          <w:szCs w:val="16"/>
          <w:lang w:val="en-AU"/>
        </w:rPr>
      </w:pPr>
      <w:r w:rsidRPr="00715EBD">
        <w:rPr>
          <w:rStyle w:val="FootnoteReference"/>
          <w:sz w:val="16"/>
          <w:szCs w:val="16"/>
        </w:rPr>
        <w:footnoteRef/>
      </w:r>
      <w:r w:rsidR="00B03017">
        <w:rPr>
          <w:sz w:val="16"/>
          <w:szCs w:val="16"/>
          <w:lang w:val="en-AU"/>
        </w:rPr>
        <w:t xml:space="preserve"> </w:t>
      </w:r>
      <w:r w:rsidR="00B03017" w:rsidRPr="006E0E53">
        <w:rPr>
          <w:sz w:val="16"/>
          <w:szCs w:val="16"/>
          <w:lang w:val="en-AU"/>
        </w:rPr>
        <w:t xml:space="preserve">Stakeholder Advisory Group (May 2026), Restoring the Upper Murrumbidgee, Improving Flows, Balancing Interests - Initial Report from the Stakeholder Advisory Group to the Independent Review Panel: </w:t>
      </w:r>
      <w:r w:rsidR="00B03017">
        <w:rPr>
          <w:sz w:val="16"/>
          <w:szCs w:val="16"/>
          <w:lang w:val="en-AU"/>
        </w:rPr>
        <w:t>22</w:t>
      </w:r>
      <w:r w:rsidRPr="00715EBD">
        <w:rPr>
          <w:sz w:val="16"/>
          <w:szCs w:val="16"/>
          <w:lang w:val="en-AU"/>
        </w:rPr>
        <w:t>.</w:t>
      </w:r>
    </w:p>
  </w:footnote>
  <w:footnote w:id="80">
    <w:p w14:paraId="0A45E96C" w14:textId="5F2D41C3" w:rsidR="00E33BFD" w:rsidRPr="00CC7A58" w:rsidRDefault="00E33BFD">
      <w:pPr>
        <w:pStyle w:val="FootnoteText"/>
        <w:rPr>
          <w:lang w:val="en-AU"/>
        </w:rPr>
      </w:pPr>
      <w:r w:rsidRPr="00715EBD">
        <w:rPr>
          <w:rStyle w:val="FootnoteReference"/>
          <w:sz w:val="16"/>
          <w:szCs w:val="16"/>
        </w:rPr>
        <w:footnoteRef/>
      </w:r>
      <w:r w:rsidRPr="00715EBD">
        <w:rPr>
          <w:sz w:val="16"/>
          <w:szCs w:val="16"/>
        </w:rPr>
        <w:t xml:space="preserve"> </w:t>
      </w:r>
      <w:r w:rsidR="00A935E9" w:rsidRPr="006E0E53">
        <w:rPr>
          <w:sz w:val="16"/>
          <w:szCs w:val="16"/>
          <w:lang w:val="en-AU"/>
        </w:rPr>
        <w:t>First Nations Advisory Group (April 2026), From Advisory to Custodianship – Cultural Recommendations to the Independent Review Panel</w:t>
      </w:r>
      <w:r w:rsidR="00A935E9">
        <w:rPr>
          <w:sz w:val="16"/>
          <w:szCs w:val="16"/>
          <w:lang w:val="en-AU"/>
        </w:rPr>
        <w:t>.</w:t>
      </w:r>
    </w:p>
  </w:footnote>
  <w:footnote w:id="81">
    <w:p w14:paraId="21020AA3" w14:textId="3FBB0F5E" w:rsidR="00BB7025" w:rsidRPr="00CC7A58" w:rsidRDefault="00BB7025">
      <w:pPr>
        <w:pStyle w:val="FootnoteText"/>
        <w:rPr>
          <w:lang w:val="en-AU"/>
        </w:rPr>
      </w:pPr>
      <w:r w:rsidRPr="00715EBD">
        <w:rPr>
          <w:rStyle w:val="FootnoteReference"/>
          <w:sz w:val="16"/>
          <w:szCs w:val="16"/>
        </w:rPr>
        <w:footnoteRef/>
      </w:r>
      <w:r w:rsidRPr="00715EBD">
        <w:rPr>
          <w:sz w:val="16"/>
          <w:szCs w:val="16"/>
        </w:rPr>
        <w:t xml:space="preserve"> </w:t>
      </w:r>
      <w:r w:rsidR="00746A68" w:rsidRPr="00715EBD">
        <w:rPr>
          <w:sz w:val="16"/>
          <w:szCs w:val="16"/>
        </w:rPr>
        <w:t>Snowy Hydro submission to Issues Consultation Report</w:t>
      </w:r>
      <w:r w:rsidR="00066C53" w:rsidRPr="00715EBD">
        <w:rPr>
          <w:sz w:val="16"/>
          <w:szCs w:val="16"/>
        </w:rPr>
        <w:t xml:space="preserve"> (2026)</w:t>
      </w:r>
      <w:r w:rsidR="00D758B6" w:rsidRPr="00715EBD">
        <w:rPr>
          <w:sz w:val="16"/>
          <w:szCs w:val="16"/>
        </w:rPr>
        <w:t xml:space="preserve">. </w:t>
      </w:r>
      <w:r w:rsidR="00066C53" w:rsidRPr="00715EBD">
        <w:rPr>
          <w:sz w:val="16"/>
          <w:szCs w:val="16"/>
        </w:rPr>
        <w:t>https://consult.dcceew.gov.au/swioid-independent-review/new-survey/view/127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1276" w14:textId="77777777" w:rsidR="006B1CD4" w:rsidRDefault="006B1CD4">
    <w:pPr>
      <w:pStyle w:val="Header"/>
    </w:pPr>
    <w:r w:rsidRPr="00815756">
      <w:rPr>
        <w:noProof/>
      </w:rPr>
      <mc:AlternateContent>
        <mc:Choice Requires="wps">
          <w:drawing>
            <wp:anchor distT="0" distB="0" distL="0" distR="0" simplePos="0" relativeHeight="251658242" behindDoc="0" locked="0" layoutInCell="1" allowOverlap="1" wp14:anchorId="28C58CBD" wp14:editId="3DB50A00">
              <wp:simplePos x="635" y="635"/>
              <wp:positionH relativeFrom="page">
                <wp:align>center</wp:align>
              </wp:positionH>
              <wp:positionV relativeFrom="page">
                <wp:align>top</wp:align>
              </wp:positionV>
              <wp:extent cx="622300" cy="405765"/>
              <wp:effectExtent l="0" t="0" r="6350" b="13335"/>
              <wp:wrapNone/>
              <wp:docPr id="11470284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0DB1528E" w14:textId="77777777" w:rsidR="006B1CD4" w:rsidRPr="00815756" w:rsidRDefault="006B1CD4" w:rsidP="00C36AB0">
                          <w:pPr>
                            <w:spacing w:after="0"/>
                            <w:rPr>
                              <w:rFonts w:ascii="Aptos" w:eastAsia="Aptos" w:hAnsi="Aptos" w:cs="Aptos"/>
                              <w:color w:val="FF0000"/>
                            </w:rPr>
                          </w:pPr>
                          <w:r w:rsidRPr="00815756">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C58CBD" id="_x0000_t202" coordsize="21600,21600" o:spt="202" path="m,l,21600r21600,l21600,xe">
              <v:stroke joinstyle="miter"/>
              <v:path gradientshapeok="t" o:connecttype="rect"/>
            </v:shapetype>
            <v:shape id="Text Box 3" o:spid="_x0000_s1054" type="#_x0000_t202" alt="OFFICIAL" style="position:absolute;left:0;text-align:left;margin-left:0;margin-top:0;width:49pt;height:31.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Hx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" filled="f" stroked="f">
              <v:textbox style="mso-fit-shape-to-text:t" inset="0,15pt,0,0">
                <w:txbxContent>
                  <w:p w14:paraId="0DB1528E" w14:textId="77777777" w:rsidR="006B1CD4" w:rsidRPr="00815756" w:rsidRDefault="006B1CD4" w:rsidP="00C36AB0">
                    <w:pPr>
                      <w:spacing w:after="0"/>
                      <w:rPr>
                        <w:rFonts w:ascii="Aptos" w:eastAsia="Aptos" w:hAnsi="Aptos" w:cs="Aptos"/>
                        <w:color w:val="FF0000"/>
                      </w:rPr>
                    </w:pPr>
                    <w:r w:rsidRPr="00815756">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1FAC" w14:textId="6AAD75C2" w:rsidR="00C36AB0" w:rsidRPr="007A37AE" w:rsidRDefault="00C36AB0">
    <w:pPr>
      <w:pStyle w:val="Header"/>
    </w:pPr>
    <w:r w:rsidRPr="0014462E">
      <w:rPr>
        <w:noProof/>
      </w:rPr>
      <mc:AlternateContent>
        <mc:Choice Requires="wps">
          <w:drawing>
            <wp:anchor distT="0" distB="0" distL="0" distR="0" simplePos="0" relativeHeight="251658240" behindDoc="0" locked="0" layoutInCell="1" allowOverlap="1" wp14:anchorId="1B8B83B9" wp14:editId="19ADB8A4">
              <wp:simplePos x="635" y="635"/>
              <wp:positionH relativeFrom="page">
                <wp:align>center</wp:align>
              </wp:positionH>
              <wp:positionV relativeFrom="page">
                <wp:align>top</wp:align>
              </wp:positionV>
              <wp:extent cx="622300" cy="405765"/>
              <wp:effectExtent l="0" t="0" r="6350" b="13335"/>
              <wp:wrapNone/>
              <wp:docPr id="525241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0D3252D0" w14:textId="5E9FB028" w:rsidR="00C36AB0" w:rsidRPr="00CC7A58" w:rsidRDefault="00C36AB0" w:rsidP="00C36AB0">
                          <w:pPr>
                            <w:spacing w:after="0"/>
                            <w:rPr>
                              <w:rFonts w:ascii="Aptos" w:eastAsia="Aptos" w:hAnsi="Aptos" w:cs="Aptos"/>
                              <w:color w:val="FF0000"/>
                            </w:rPr>
                          </w:pPr>
                          <w:r w:rsidRPr="00CC7A58">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B83B9" id="_x0000_t202" coordsize="21600,21600" o:spt="202" path="m,l,21600r21600,l21600,xe">
              <v:stroke joinstyle="miter"/>
              <v:path gradientshapeok="t" o:connecttype="rect"/>
            </v:shapetype>
            <v:shape id="_x0000_s1056" type="#_x0000_t202" alt="OFFICIAL" style="position:absolute;left:0;text-align:left;margin-left:0;margin-top:0;width:49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" filled="f" stroked="f">
              <v:textbox style="mso-fit-shape-to-text:t" inset="0,15pt,0,0">
                <w:txbxContent>
                  <w:p w14:paraId="0D3252D0" w14:textId="5E9FB028" w:rsidR="00C36AB0" w:rsidRPr="00CC7A58" w:rsidRDefault="00C36AB0" w:rsidP="00C36AB0">
                    <w:pPr>
                      <w:spacing w:after="0"/>
                      <w:rPr>
                        <w:rFonts w:ascii="Aptos" w:eastAsia="Aptos" w:hAnsi="Aptos" w:cs="Aptos"/>
                        <w:color w:val="FF0000"/>
                      </w:rPr>
                    </w:pPr>
                    <w:r w:rsidRPr="00CC7A58">
                      <w:rPr>
                        <w:rFonts w:ascii="Aptos" w:eastAsia="Aptos" w:hAnsi="Aptos" w:cs="Aptos"/>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029F" w14:textId="77777777" w:rsidR="002638A9" w:rsidRPr="007A37AE" w:rsidRDefault="002638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551F" w14:textId="77777777" w:rsidR="002638A9" w:rsidRPr="007A37AE" w:rsidRDefault="002638A9">
    <w:pPr>
      <w:pStyle w:val="Header"/>
    </w:pPr>
  </w:p>
</w:hdr>
</file>

<file path=word/intelligence2.xml><?xml version="1.0" encoding="utf-8"?>
<int2:intelligence xmlns:int2="http://schemas.microsoft.com/office/intelligence/2020/intelligence" xmlns:oel="http://schemas.microsoft.com/office/2019/extlst">
  <int2:observations>
    <int2:textHash int2:hashCode="fR9QQgVr9UA8v2" int2:id="0699hAxC">
      <int2:state int2:value="Rejected" int2:type="spell"/>
    </int2:textHash>
    <int2:textHash int2:hashCode="WyoELzgngwQFOm" int2:id="0WBZqKhb">
      <int2:state int2:value="Rejected" int2:type="spell"/>
    </int2:textHash>
    <int2:textHash int2:hashCode="eTgvJBPfdPbXoj" int2:id="1xBm8qvj">
      <int2:state int2:value="Rejected" int2:type="spell"/>
    </int2:textHash>
    <int2:textHash int2:hashCode="+pNm/ebWppG0dr" int2:id="53bMNu2H">
      <int2:state int2:value="Rejected" int2:type="spell"/>
    </int2:textHash>
    <int2:textHash int2:hashCode="WqmLuunq7MM6SX" int2:id="5TflVpON">
      <int2:state int2:value="Rejected" int2:type="spell"/>
    </int2:textHash>
    <int2:textHash int2:hashCode="oSzqsdHTpDmDU4" int2:id="5eKfDwuE">
      <int2:state int2:value="Rejected" int2:type="spell"/>
    </int2:textHash>
    <int2:textHash int2:hashCode="WzlSRj9zgrPeuV" int2:id="6gTbI2ix">
      <int2:state int2:value="Rejected" int2:type="spell"/>
    </int2:textHash>
    <int2:textHash int2:hashCode="xEp6tzaAqkkc4l" int2:id="6i1gq6mN">
      <int2:state int2:value="Rejected" int2:type="spell"/>
    </int2:textHash>
    <int2:textHash int2:hashCode="RuCiFoPldQ+ar1" int2:id="8Mr9WBUj">
      <int2:state int2:value="Rejected" int2:type="spell"/>
    </int2:textHash>
    <int2:textHash int2:hashCode="Zgw6xYKW7eWf04" int2:id="8WJb3yyU">
      <int2:state int2:value="Rejected" int2:type="spell"/>
    </int2:textHash>
    <int2:textHash int2:hashCode="XdHgvDqh8YHWtb" int2:id="93yfXO6O">
      <int2:state int2:value="Rejected" int2:type="spell"/>
    </int2:textHash>
    <int2:textHash int2:hashCode="Z1JvyLmsE3wVsH" int2:id="CNaoUIWe">
      <int2:state int2:value="Rejected" int2:type="spell"/>
    </int2:textHash>
    <int2:textHash int2:hashCode="6lHO6Jr7RQEf9p" int2:id="CRcqrf7z">
      <int2:state int2:value="Rejected" int2:type="spell"/>
    </int2:textHash>
    <int2:textHash int2:hashCode="3A/Ct6uwB/K6bB" int2:id="DJvZuvdv">
      <int2:state int2:value="Rejected" int2:type="spell"/>
    </int2:textHash>
    <int2:textHash int2:hashCode="l4pW6zs8tU2Pk1" int2:id="DwxXIohC">
      <int2:state int2:value="Rejected" int2:type="spell"/>
    </int2:textHash>
    <int2:textHash int2:hashCode="Dujexo0ahm11JL" int2:id="FiV4PCl5">
      <int2:state int2:value="Rejected" int2:type="spell"/>
    </int2:textHash>
    <int2:textHash int2:hashCode="vuC/9HPUg1fm0P" int2:id="H93Krffp">
      <int2:state int2:value="Rejected" int2:type="spell"/>
    </int2:textHash>
    <int2:textHash int2:hashCode="lBHKTs+l/yVmtH" int2:id="HEnZj7qs">
      <int2:state int2:value="Rejected" int2:type="spell"/>
    </int2:textHash>
    <int2:textHash int2:hashCode="eXMv+623xmIMgY" int2:id="HY4ifSef">
      <int2:state int2:value="Rejected" int2:type="spell"/>
    </int2:textHash>
    <int2:textHash int2:hashCode="xj6a+sVe+rIte8" int2:id="HcRjZSlS">
      <int2:state int2:value="Rejected" int2:type="spell"/>
    </int2:textHash>
    <int2:textHash int2:hashCode="fwrgcFtE7NyXUe" int2:id="KwCN0GiA">
      <int2:state int2:value="Rejected" int2:type="spell"/>
    </int2:textHash>
    <int2:textHash int2:hashCode="mRy27C4yz6M9Hw" int2:id="LJV8TP6V">
      <int2:state int2:value="Rejected" int2:type="spell"/>
    </int2:textHash>
    <int2:textHash int2:hashCode="COC/GUezw/eF9p" int2:id="Lwy3ZeLO">
      <int2:state int2:value="Rejected" int2:type="spell"/>
    </int2:textHash>
    <int2:textHash int2:hashCode="FpTiOQ54omPoD3" int2:id="MVHxj2Re">
      <int2:state int2:value="Rejected" int2:type="spell"/>
    </int2:textHash>
    <int2:textHash int2:hashCode="vIcCBJiBbGp/4G" int2:id="MudXQr74">
      <int2:state int2:value="Rejected" int2:type="spell"/>
    </int2:textHash>
    <int2:textHash int2:hashCode="qCBPLbAS5te6cU" int2:id="NGwPlBFg">
      <int2:state int2:value="Rejected" int2:type="spell"/>
    </int2:textHash>
    <int2:textHash int2:hashCode="e3+TZqNgMaC5Vf" int2:id="NnsN5ych">
      <int2:state int2:value="Rejected" int2:type="style"/>
    </int2:textHash>
    <int2:textHash int2:hashCode="5POYVYeMaTl4C5" int2:id="NvrNOPWu">
      <int2:state int2:value="Rejected" int2:type="spell"/>
    </int2:textHash>
    <int2:textHash int2:hashCode="4gbeVmnI5z0zY4" int2:id="OBNldU06">
      <int2:state int2:value="Rejected" int2:type="spell"/>
    </int2:textHash>
    <int2:textHash int2:hashCode="A0Yzh9MUYCRqqz" int2:id="Okv4fvJo">
      <int2:state int2:value="Rejected" int2:type="spell"/>
    </int2:textHash>
    <int2:textHash int2:hashCode="PTYybZkAX5H+qN" int2:id="Pa8ZJnWS">
      <int2:state int2:value="Rejected" int2:type="spell"/>
    </int2:textHash>
    <int2:textHash int2:hashCode="amwSYwc2hSDSqP" int2:id="PolvnBAd">
      <int2:state int2:value="Rejected" int2:type="spell"/>
    </int2:textHash>
    <int2:textHash int2:hashCode="tsRZi0sx6We2yA" int2:id="QHr10paT">
      <int2:state int2:value="Rejected" int2:type="spell"/>
    </int2:textHash>
    <int2:textHash int2:hashCode="cnh2gJvam5MQqZ" int2:id="QYRG7RzA">
      <int2:state int2:value="Rejected" int2:type="spell"/>
    </int2:textHash>
    <int2:textHash int2:hashCode="1YGqIUZ3U1WsII" int2:id="QsDSe1jj">
      <int2:state int2:value="Rejected" int2:type="spell"/>
    </int2:textHash>
    <int2:textHash int2:hashCode="8LWReia2TWK+TB" int2:id="RaFnoLLG">
      <int2:state int2:value="Rejected" int2:type="spell"/>
    </int2:textHash>
    <int2:textHash int2:hashCode="QlFNi8VOCtCEJm" int2:id="RpWMiZ6t">
      <int2:state int2:value="Rejected" int2:type="spell"/>
    </int2:textHash>
    <int2:textHash int2:hashCode="I06Mt0iQUc7KEW" int2:id="RyrwHFeo">
      <int2:state int2:value="Rejected" int2:type="spell"/>
    </int2:textHash>
    <int2:textHash int2:hashCode="poQR86nakNEPhU" int2:id="SRHj0Kjp">
      <int2:state int2:value="Rejected" int2:type="spell"/>
    </int2:textHash>
    <int2:textHash int2:hashCode="c7amyc8ZpohxR3" int2:id="SzQlVQKj">
      <int2:state int2:value="Rejected" int2:type="spell"/>
    </int2:textHash>
    <int2:textHash int2:hashCode="fS38WUHs0AZMZf" int2:id="TTxlMUbT">
      <int2:state int2:value="Rejected" int2:type="spell"/>
    </int2:textHash>
    <int2:textHash int2:hashCode="A5VPFrum/z2vl8" int2:id="TZNKwnbo">
      <int2:state int2:value="Rejected" int2:type="spell"/>
    </int2:textHash>
    <int2:textHash int2:hashCode="R5h2kJ3P5gsuWK" int2:id="UH3RTneG">
      <int2:state int2:value="Rejected" int2:type="spell"/>
    </int2:textHash>
    <int2:textHash int2:hashCode="2LsVLTcc9iaHXj" int2:id="UWvNsGlL">
      <int2:state int2:value="Rejected" int2:type="spell"/>
    </int2:textHash>
    <int2:textHash int2:hashCode="mZY6c/LZcW6io3" int2:id="VrebaELo">
      <int2:state int2:value="Rejected" int2:type="spell"/>
    </int2:textHash>
    <int2:textHash int2:hashCode="rE5zXHJWBxlNTM" int2:id="WCfzk8gs">
      <int2:state int2:value="Rejected" int2:type="spell"/>
    </int2:textHash>
    <int2:textHash int2:hashCode="oQ2I4pTJPKHVXd" int2:id="XHN1igjY">
      <int2:state int2:value="Rejected" int2:type="spell"/>
    </int2:textHash>
    <int2:textHash int2:hashCode="B74u8Rj+rWyMLw" int2:id="aQoaP9XN">
      <int2:state int2:value="Rejected" int2:type="spell"/>
    </int2:textHash>
    <int2:textHash int2:hashCode="v4rQUWyEVKk5pL" int2:id="b4g5pX0V">
      <int2:state int2:value="Rejected" int2:type="spell"/>
    </int2:textHash>
    <int2:textHash int2:hashCode="E3hRKvex2pcKmm" int2:id="c6Ifhyou">
      <int2:state int2:value="Rejected" int2:type="spell"/>
    </int2:textHash>
    <int2:textHash int2:hashCode="QYZ34dItVAVH6h" int2:id="cFEJniBG">
      <int2:state int2:value="Rejected" int2:type="spell"/>
    </int2:textHash>
    <int2:textHash int2:hashCode="JTEnbWHi5ro+l2" int2:id="e2Jpaj1U">
      <int2:state int2:value="Rejected" int2:type="spell"/>
    </int2:textHash>
    <int2:textHash int2:hashCode="3MvOYkSldrMOQv" int2:id="hAJi8hI5">
      <int2:state int2:value="Rejected" int2:type="spell"/>
    </int2:textHash>
    <int2:textHash int2:hashCode="IvqDghpylx5r1J" int2:id="i9AMitOi">
      <int2:state int2:value="Rejected" int2:type="spell"/>
    </int2:textHash>
    <int2:textHash int2:hashCode="jhzG5iu5M6UC6R" int2:id="i9rzJouM">
      <int2:state int2:value="Rejected" int2:type="spell"/>
    </int2:textHash>
    <int2:textHash int2:hashCode="ZtAnZJrOv4HfdF" int2:id="kijAZNRg">
      <int2:state int2:value="Rejected" int2:type="spell"/>
    </int2:textHash>
    <int2:textHash int2:hashCode="GnfUFiJMu+d6Q5" int2:id="nWUGLYrb">
      <int2:state int2:value="Rejected" int2:type="style"/>
    </int2:textHash>
    <int2:textHash int2:hashCode="/f2RgbDqUPG4oM" int2:id="pIg75Dlv">
      <int2:state int2:value="Rejected" int2:type="spell"/>
    </int2:textHash>
    <int2:textHash int2:hashCode="3gLVLx8SrQccbT" int2:id="pguiN81k">
      <int2:state int2:value="Rejected" int2:type="spell"/>
    </int2:textHash>
    <int2:textHash int2:hashCode="K5k3SIcfUZsfuT" int2:id="q5irBUIU">
      <int2:state int2:value="Rejected" int2:type="spell"/>
    </int2:textHash>
    <int2:textHash int2:hashCode="0+WJuA1Ez5q1Uj" int2:id="qe9OWLhl">
      <int2:state int2:value="Rejected" int2:type="spell"/>
    </int2:textHash>
    <int2:textHash int2:hashCode="Emdo+9AQ7cvVwt" int2:id="tOKzA34m">
      <int2:state int2:value="Rejected" int2:type="spell"/>
    </int2:textHash>
    <int2:textHash int2:hashCode="Gx6d0yRuI2asoW" int2:id="u4oMKErV">
      <int2:state int2:value="Rejected" int2:type="spell"/>
    </int2:textHash>
    <int2:textHash int2:hashCode="730e+n+icENqbd" int2:id="wDllftcN">
      <int2:state int2:value="Rejected" int2:type="spell"/>
    </int2:textHash>
    <int2:textHash int2:hashCode="yNgK9eaWjw/MQR" int2:id="x9b33vDC">
      <int2:state int2:value="Rejected" int2:type="spell"/>
    </int2:textHash>
    <int2:textHash int2:hashCode="LUf1Qg2nT1WhrP" int2:id="xxok18QH">
      <int2:state int2:value="Rejected" int2:type="spell"/>
    </int2:textHash>
    <int2:textHash int2:hashCode="l61Wef0+jD89Mw" int2:id="yWDWzOnh">
      <int2:state int2:value="Rejected" int2:type="spell"/>
    </int2:textHash>
    <int2:textHash int2:hashCode="vWpWV+2saRtyDC" int2:id="yfwZUUbP">
      <int2:state int2:value="Rejected" int2:type="spell"/>
    </int2:textHash>
    <int2:textHash int2:hashCode="QC6LSlY8opJOv+" int2:id="z9CAk4F1">
      <int2:state int2:value="Rejected" int2:type="spell"/>
    </int2:textHash>
    <int2:bookmark int2:bookmarkName="_Int_4zs3a0YL" int2:invalidationBookmarkName="" int2:hashCode="rjt77VU/VtQl3k" int2:id="Nq7iLyjq">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C407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C94CB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303A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C8AF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D260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624B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B640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58331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84C2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2A76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968C"/>
    <w:multiLevelType w:val="hybridMultilevel"/>
    <w:tmpl w:val="9A788D86"/>
    <w:lvl w:ilvl="0" w:tplc="CD4EB5D6">
      <w:start w:val="1"/>
      <w:numFmt w:val="bullet"/>
      <w:lvlText w:val=""/>
      <w:lvlJc w:val="left"/>
      <w:pPr>
        <w:ind w:left="720" w:hanging="360"/>
      </w:pPr>
      <w:rPr>
        <w:rFonts w:ascii="Symbol" w:hAnsi="Symbol" w:hint="default"/>
      </w:rPr>
    </w:lvl>
    <w:lvl w:ilvl="1" w:tplc="7842DE22">
      <w:start w:val="1"/>
      <w:numFmt w:val="bullet"/>
      <w:lvlText w:val="o"/>
      <w:lvlJc w:val="left"/>
      <w:pPr>
        <w:ind w:left="1440" w:hanging="360"/>
      </w:pPr>
      <w:rPr>
        <w:rFonts w:ascii="Courier New" w:hAnsi="Courier New" w:hint="default"/>
      </w:rPr>
    </w:lvl>
    <w:lvl w:ilvl="2" w:tplc="471EC268">
      <w:start w:val="1"/>
      <w:numFmt w:val="bullet"/>
      <w:lvlText w:val=""/>
      <w:lvlJc w:val="left"/>
      <w:pPr>
        <w:ind w:left="2160" w:hanging="360"/>
      </w:pPr>
      <w:rPr>
        <w:rFonts w:ascii="Wingdings" w:hAnsi="Wingdings" w:hint="default"/>
      </w:rPr>
    </w:lvl>
    <w:lvl w:ilvl="3" w:tplc="91AE655C">
      <w:start w:val="1"/>
      <w:numFmt w:val="bullet"/>
      <w:lvlText w:val=""/>
      <w:lvlJc w:val="left"/>
      <w:pPr>
        <w:ind w:left="2880" w:hanging="360"/>
      </w:pPr>
      <w:rPr>
        <w:rFonts w:ascii="Symbol" w:hAnsi="Symbol" w:hint="default"/>
      </w:rPr>
    </w:lvl>
    <w:lvl w:ilvl="4" w:tplc="E118FCCC">
      <w:start w:val="1"/>
      <w:numFmt w:val="bullet"/>
      <w:lvlText w:val="o"/>
      <w:lvlJc w:val="left"/>
      <w:pPr>
        <w:ind w:left="3600" w:hanging="360"/>
      </w:pPr>
      <w:rPr>
        <w:rFonts w:ascii="Courier New" w:hAnsi="Courier New" w:hint="default"/>
      </w:rPr>
    </w:lvl>
    <w:lvl w:ilvl="5" w:tplc="C22CBCC8">
      <w:start w:val="1"/>
      <w:numFmt w:val="bullet"/>
      <w:lvlText w:val=""/>
      <w:lvlJc w:val="left"/>
      <w:pPr>
        <w:ind w:left="4320" w:hanging="360"/>
      </w:pPr>
      <w:rPr>
        <w:rFonts w:ascii="Wingdings" w:hAnsi="Wingdings" w:hint="default"/>
      </w:rPr>
    </w:lvl>
    <w:lvl w:ilvl="6" w:tplc="CF70A612">
      <w:start w:val="1"/>
      <w:numFmt w:val="bullet"/>
      <w:lvlText w:val=""/>
      <w:lvlJc w:val="left"/>
      <w:pPr>
        <w:ind w:left="5040" w:hanging="360"/>
      </w:pPr>
      <w:rPr>
        <w:rFonts w:ascii="Symbol" w:hAnsi="Symbol" w:hint="default"/>
      </w:rPr>
    </w:lvl>
    <w:lvl w:ilvl="7" w:tplc="AE3819FC">
      <w:start w:val="1"/>
      <w:numFmt w:val="bullet"/>
      <w:lvlText w:val="o"/>
      <w:lvlJc w:val="left"/>
      <w:pPr>
        <w:ind w:left="5760" w:hanging="360"/>
      </w:pPr>
      <w:rPr>
        <w:rFonts w:ascii="Courier New" w:hAnsi="Courier New" w:hint="default"/>
      </w:rPr>
    </w:lvl>
    <w:lvl w:ilvl="8" w:tplc="21C4D67C">
      <w:start w:val="1"/>
      <w:numFmt w:val="bullet"/>
      <w:lvlText w:val=""/>
      <w:lvlJc w:val="left"/>
      <w:pPr>
        <w:ind w:left="6480" w:hanging="360"/>
      </w:pPr>
      <w:rPr>
        <w:rFonts w:ascii="Wingdings" w:hAnsi="Wingdings" w:hint="default"/>
      </w:rPr>
    </w:lvl>
  </w:abstractNum>
  <w:abstractNum w:abstractNumId="11" w15:restartNumberingAfterBreak="0">
    <w:nsid w:val="01A24554"/>
    <w:multiLevelType w:val="hybridMultilevel"/>
    <w:tmpl w:val="F17A8B04"/>
    <w:lvl w:ilvl="0" w:tplc="3DE6175E">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1A54D43"/>
    <w:multiLevelType w:val="hybridMultilevel"/>
    <w:tmpl w:val="6C881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1DC7AC2"/>
    <w:multiLevelType w:val="hybridMultilevel"/>
    <w:tmpl w:val="4D0C1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7A3BF4"/>
    <w:multiLevelType w:val="hybridMultilevel"/>
    <w:tmpl w:val="73D88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8F4A60"/>
    <w:multiLevelType w:val="hybridMultilevel"/>
    <w:tmpl w:val="ECDECA1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2EC5053"/>
    <w:multiLevelType w:val="hybridMultilevel"/>
    <w:tmpl w:val="832CD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59C59B0"/>
    <w:multiLevelType w:val="hybridMultilevel"/>
    <w:tmpl w:val="D6DA16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62A1F7C"/>
    <w:multiLevelType w:val="multilevel"/>
    <w:tmpl w:val="05005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2C78C2"/>
    <w:multiLevelType w:val="hybridMultilevel"/>
    <w:tmpl w:val="F4307892"/>
    <w:lvl w:ilvl="0" w:tplc="1F1033AA">
      <w:start w:val="1"/>
      <w:numFmt w:val="bullet"/>
      <w:lvlText w:val=""/>
      <w:lvlJc w:val="left"/>
      <w:pPr>
        <w:ind w:left="720" w:hanging="360"/>
      </w:pPr>
      <w:rPr>
        <w:rFonts w:ascii="Symbol" w:hAnsi="Symbol" w:hint="default"/>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CB46B8"/>
    <w:multiLevelType w:val="hybridMultilevel"/>
    <w:tmpl w:val="98A47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6EF2CA0"/>
    <w:multiLevelType w:val="hybridMultilevel"/>
    <w:tmpl w:val="7A0A4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833417B"/>
    <w:multiLevelType w:val="hybridMultilevel"/>
    <w:tmpl w:val="B8A40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8416673"/>
    <w:multiLevelType w:val="hybridMultilevel"/>
    <w:tmpl w:val="4D7CFB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A7E2817"/>
    <w:multiLevelType w:val="multilevel"/>
    <w:tmpl w:val="E00E1D6A"/>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630545"/>
    <w:multiLevelType w:val="multilevel"/>
    <w:tmpl w:val="AE0C817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0D257E06"/>
    <w:multiLevelType w:val="hybridMultilevel"/>
    <w:tmpl w:val="ED7A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EB7311"/>
    <w:multiLevelType w:val="hybridMultilevel"/>
    <w:tmpl w:val="672208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F044405"/>
    <w:multiLevelType w:val="hybridMultilevel"/>
    <w:tmpl w:val="9236BF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F3D3A6C"/>
    <w:multiLevelType w:val="hybridMultilevel"/>
    <w:tmpl w:val="6F6038CE"/>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0F893655"/>
    <w:multiLevelType w:val="hybridMultilevel"/>
    <w:tmpl w:val="D8C803A4"/>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10E8486E"/>
    <w:multiLevelType w:val="multilevel"/>
    <w:tmpl w:val="306AA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10FB1AB2"/>
    <w:multiLevelType w:val="hybridMultilevel"/>
    <w:tmpl w:val="B72E0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16D47DD"/>
    <w:multiLevelType w:val="hybridMultilevel"/>
    <w:tmpl w:val="ABE2A232"/>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2CC58B4"/>
    <w:multiLevelType w:val="hybridMultilevel"/>
    <w:tmpl w:val="58B6A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34A1EC8"/>
    <w:multiLevelType w:val="hybridMultilevel"/>
    <w:tmpl w:val="4F24A3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4832093"/>
    <w:multiLevelType w:val="multilevel"/>
    <w:tmpl w:val="B08677EA"/>
    <w:lvl w:ilvl="0">
      <w:start w:val="1"/>
      <w:numFmt w:val="decimal"/>
      <w:lvlText w:val="%1."/>
      <w:lvlJc w:val="left"/>
      <w:pPr>
        <w:tabs>
          <w:tab w:val="num" w:pos="360"/>
        </w:tabs>
        <w:ind w:left="360" w:hanging="360"/>
      </w:pPr>
      <w:rPr>
        <w:rFonts w:hint="default"/>
        <w:sz w:val="18"/>
        <w:szCs w:val="16"/>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15010E3E"/>
    <w:multiLevelType w:val="hybridMultilevel"/>
    <w:tmpl w:val="0C6E2846"/>
    <w:lvl w:ilvl="0" w:tplc="3DE6175E">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156A4983"/>
    <w:multiLevelType w:val="multilevel"/>
    <w:tmpl w:val="9A96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6835F9"/>
    <w:multiLevelType w:val="multilevel"/>
    <w:tmpl w:val="9A96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6C63A3"/>
    <w:multiLevelType w:val="hybridMultilevel"/>
    <w:tmpl w:val="73B45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6F03991"/>
    <w:multiLevelType w:val="hybridMultilevel"/>
    <w:tmpl w:val="496A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74F60E1"/>
    <w:multiLevelType w:val="hybridMultilevel"/>
    <w:tmpl w:val="BC3CC1D6"/>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7E57189"/>
    <w:multiLevelType w:val="hybridMultilevel"/>
    <w:tmpl w:val="E2800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91E552C"/>
    <w:multiLevelType w:val="hybridMultilevel"/>
    <w:tmpl w:val="795C6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9633237"/>
    <w:multiLevelType w:val="hybridMultilevel"/>
    <w:tmpl w:val="36EA3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9822DAE"/>
    <w:multiLevelType w:val="hybridMultilevel"/>
    <w:tmpl w:val="FFFFFFFF"/>
    <w:lvl w:ilvl="0" w:tplc="D63EA77E">
      <w:start w:val="1"/>
      <w:numFmt w:val="bullet"/>
      <w:lvlText w:val=""/>
      <w:lvlJc w:val="left"/>
      <w:pPr>
        <w:ind w:left="720" w:hanging="360"/>
      </w:pPr>
      <w:rPr>
        <w:rFonts w:ascii="Symbol" w:hAnsi="Symbol" w:hint="default"/>
      </w:rPr>
    </w:lvl>
    <w:lvl w:ilvl="1" w:tplc="01CC6B36">
      <w:start w:val="1"/>
      <w:numFmt w:val="bullet"/>
      <w:lvlText w:val="o"/>
      <w:lvlJc w:val="left"/>
      <w:pPr>
        <w:ind w:left="1440" w:hanging="360"/>
      </w:pPr>
      <w:rPr>
        <w:rFonts w:ascii="Courier New" w:hAnsi="Courier New" w:hint="default"/>
      </w:rPr>
    </w:lvl>
    <w:lvl w:ilvl="2" w:tplc="82C89960">
      <w:start w:val="1"/>
      <w:numFmt w:val="bullet"/>
      <w:lvlText w:val=""/>
      <w:lvlJc w:val="left"/>
      <w:pPr>
        <w:ind w:left="2160" w:hanging="360"/>
      </w:pPr>
      <w:rPr>
        <w:rFonts w:ascii="Wingdings" w:hAnsi="Wingdings" w:hint="default"/>
      </w:rPr>
    </w:lvl>
    <w:lvl w:ilvl="3" w:tplc="7AA8DCF2">
      <w:start w:val="1"/>
      <w:numFmt w:val="bullet"/>
      <w:lvlText w:val=""/>
      <w:lvlJc w:val="left"/>
      <w:pPr>
        <w:ind w:left="2880" w:hanging="360"/>
      </w:pPr>
      <w:rPr>
        <w:rFonts w:ascii="Symbol" w:hAnsi="Symbol" w:hint="default"/>
      </w:rPr>
    </w:lvl>
    <w:lvl w:ilvl="4" w:tplc="C1EE53B6">
      <w:start w:val="1"/>
      <w:numFmt w:val="bullet"/>
      <w:lvlText w:val="o"/>
      <w:lvlJc w:val="left"/>
      <w:pPr>
        <w:ind w:left="3600" w:hanging="360"/>
      </w:pPr>
      <w:rPr>
        <w:rFonts w:ascii="Courier New" w:hAnsi="Courier New" w:hint="default"/>
      </w:rPr>
    </w:lvl>
    <w:lvl w:ilvl="5" w:tplc="006CAF6C">
      <w:start w:val="1"/>
      <w:numFmt w:val="bullet"/>
      <w:lvlText w:val=""/>
      <w:lvlJc w:val="left"/>
      <w:pPr>
        <w:ind w:left="4320" w:hanging="360"/>
      </w:pPr>
      <w:rPr>
        <w:rFonts w:ascii="Wingdings" w:hAnsi="Wingdings" w:hint="default"/>
      </w:rPr>
    </w:lvl>
    <w:lvl w:ilvl="6" w:tplc="67583120">
      <w:start w:val="1"/>
      <w:numFmt w:val="bullet"/>
      <w:lvlText w:val=""/>
      <w:lvlJc w:val="left"/>
      <w:pPr>
        <w:ind w:left="5040" w:hanging="360"/>
      </w:pPr>
      <w:rPr>
        <w:rFonts w:ascii="Symbol" w:hAnsi="Symbol" w:hint="default"/>
      </w:rPr>
    </w:lvl>
    <w:lvl w:ilvl="7" w:tplc="DF463370">
      <w:start w:val="1"/>
      <w:numFmt w:val="bullet"/>
      <w:lvlText w:val="o"/>
      <w:lvlJc w:val="left"/>
      <w:pPr>
        <w:ind w:left="5760" w:hanging="360"/>
      </w:pPr>
      <w:rPr>
        <w:rFonts w:ascii="Courier New" w:hAnsi="Courier New" w:hint="default"/>
      </w:rPr>
    </w:lvl>
    <w:lvl w:ilvl="8" w:tplc="9A7E64BA">
      <w:start w:val="1"/>
      <w:numFmt w:val="bullet"/>
      <w:lvlText w:val=""/>
      <w:lvlJc w:val="left"/>
      <w:pPr>
        <w:ind w:left="6480" w:hanging="360"/>
      </w:pPr>
      <w:rPr>
        <w:rFonts w:ascii="Wingdings" w:hAnsi="Wingdings" w:hint="default"/>
      </w:rPr>
    </w:lvl>
  </w:abstractNum>
  <w:abstractNum w:abstractNumId="47" w15:restartNumberingAfterBreak="0">
    <w:nsid w:val="19E23BB6"/>
    <w:multiLevelType w:val="hybridMultilevel"/>
    <w:tmpl w:val="D5969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A235CFC"/>
    <w:multiLevelType w:val="hybridMultilevel"/>
    <w:tmpl w:val="16F4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B152C16"/>
    <w:multiLevelType w:val="hybridMultilevel"/>
    <w:tmpl w:val="029452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B182258"/>
    <w:multiLevelType w:val="hybridMultilevel"/>
    <w:tmpl w:val="C0925C92"/>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B357591"/>
    <w:multiLevelType w:val="hybridMultilevel"/>
    <w:tmpl w:val="07C21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CA06B97"/>
    <w:multiLevelType w:val="hybridMultilevel"/>
    <w:tmpl w:val="EDEAD172"/>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1D701836"/>
    <w:multiLevelType w:val="hybridMultilevel"/>
    <w:tmpl w:val="F2928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E0A0D18"/>
    <w:multiLevelType w:val="hybridMultilevel"/>
    <w:tmpl w:val="1B7A7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E4F009C"/>
    <w:multiLevelType w:val="hybridMultilevel"/>
    <w:tmpl w:val="16866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F483617"/>
    <w:multiLevelType w:val="hybridMultilevel"/>
    <w:tmpl w:val="70C84C3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1FF409D9"/>
    <w:multiLevelType w:val="hybridMultilevel"/>
    <w:tmpl w:val="1AD0E0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0686CBC"/>
    <w:multiLevelType w:val="hybridMultilevel"/>
    <w:tmpl w:val="5BEC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134C5A7"/>
    <w:multiLevelType w:val="hybridMultilevel"/>
    <w:tmpl w:val="FFFFFFFF"/>
    <w:lvl w:ilvl="0" w:tplc="6B866094">
      <w:start w:val="1"/>
      <w:numFmt w:val="bullet"/>
      <w:lvlText w:val="·"/>
      <w:lvlJc w:val="left"/>
      <w:pPr>
        <w:ind w:left="720" w:hanging="360"/>
      </w:pPr>
      <w:rPr>
        <w:rFonts w:ascii="Symbol" w:hAnsi="Symbol" w:hint="default"/>
      </w:rPr>
    </w:lvl>
    <w:lvl w:ilvl="1" w:tplc="85BE6000">
      <w:start w:val="1"/>
      <w:numFmt w:val="bullet"/>
      <w:lvlText w:val="o"/>
      <w:lvlJc w:val="left"/>
      <w:pPr>
        <w:ind w:left="1440" w:hanging="360"/>
      </w:pPr>
      <w:rPr>
        <w:rFonts w:ascii="Courier New" w:hAnsi="Courier New" w:hint="default"/>
      </w:rPr>
    </w:lvl>
    <w:lvl w:ilvl="2" w:tplc="4EC2E570">
      <w:start w:val="1"/>
      <w:numFmt w:val="bullet"/>
      <w:lvlText w:val=""/>
      <w:lvlJc w:val="left"/>
      <w:pPr>
        <w:ind w:left="2160" w:hanging="360"/>
      </w:pPr>
      <w:rPr>
        <w:rFonts w:ascii="Wingdings" w:hAnsi="Wingdings" w:hint="default"/>
      </w:rPr>
    </w:lvl>
    <w:lvl w:ilvl="3" w:tplc="B42CAD62">
      <w:start w:val="1"/>
      <w:numFmt w:val="bullet"/>
      <w:lvlText w:val=""/>
      <w:lvlJc w:val="left"/>
      <w:pPr>
        <w:ind w:left="2880" w:hanging="360"/>
      </w:pPr>
      <w:rPr>
        <w:rFonts w:ascii="Symbol" w:hAnsi="Symbol" w:hint="default"/>
      </w:rPr>
    </w:lvl>
    <w:lvl w:ilvl="4" w:tplc="1C925D76">
      <w:start w:val="1"/>
      <w:numFmt w:val="bullet"/>
      <w:lvlText w:val="o"/>
      <w:lvlJc w:val="left"/>
      <w:pPr>
        <w:ind w:left="3600" w:hanging="360"/>
      </w:pPr>
      <w:rPr>
        <w:rFonts w:ascii="Courier New" w:hAnsi="Courier New" w:hint="default"/>
      </w:rPr>
    </w:lvl>
    <w:lvl w:ilvl="5" w:tplc="129EA4C4">
      <w:start w:val="1"/>
      <w:numFmt w:val="bullet"/>
      <w:lvlText w:val=""/>
      <w:lvlJc w:val="left"/>
      <w:pPr>
        <w:ind w:left="4320" w:hanging="360"/>
      </w:pPr>
      <w:rPr>
        <w:rFonts w:ascii="Wingdings" w:hAnsi="Wingdings" w:hint="default"/>
      </w:rPr>
    </w:lvl>
    <w:lvl w:ilvl="6" w:tplc="88F6B68C">
      <w:start w:val="1"/>
      <w:numFmt w:val="bullet"/>
      <w:lvlText w:val=""/>
      <w:lvlJc w:val="left"/>
      <w:pPr>
        <w:ind w:left="5040" w:hanging="360"/>
      </w:pPr>
      <w:rPr>
        <w:rFonts w:ascii="Symbol" w:hAnsi="Symbol" w:hint="default"/>
      </w:rPr>
    </w:lvl>
    <w:lvl w:ilvl="7" w:tplc="8E08493A">
      <w:start w:val="1"/>
      <w:numFmt w:val="bullet"/>
      <w:lvlText w:val="o"/>
      <w:lvlJc w:val="left"/>
      <w:pPr>
        <w:ind w:left="5760" w:hanging="360"/>
      </w:pPr>
      <w:rPr>
        <w:rFonts w:ascii="Courier New" w:hAnsi="Courier New" w:hint="default"/>
      </w:rPr>
    </w:lvl>
    <w:lvl w:ilvl="8" w:tplc="87A4FE0E">
      <w:start w:val="1"/>
      <w:numFmt w:val="bullet"/>
      <w:lvlText w:val=""/>
      <w:lvlJc w:val="left"/>
      <w:pPr>
        <w:ind w:left="6480" w:hanging="360"/>
      </w:pPr>
      <w:rPr>
        <w:rFonts w:ascii="Wingdings" w:hAnsi="Wingdings" w:hint="default"/>
      </w:rPr>
    </w:lvl>
  </w:abstractNum>
  <w:abstractNum w:abstractNumId="60" w15:restartNumberingAfterBreak="0">
    <w:nsid w:val="21A0316E"/>
    <w:multiLevelType w:val="hybridMultilevel"/>
    <w:tmpl w:val="F3C44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1FA2745"/>
    <w:multiLevelType w:val="hybridMultilevel"/>
    <w:tmpl w:val="D4A8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201414C"/>
    <w:multiLevelType w:val="hybridMultilevel"/>
    <w:tmpl w:val="62720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2103EB"/>
    <w:multiLevelType w:val="hybridMultilevel"/>
    <w:tmpl w:val="2110CE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227801AF"/>
    <w:multiLevelType w:val="hybridMultilevel"/>
    <w:tmpl w:val="A72CD2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4005859"/>
    <w:multiLevelType w:val="hybridMultilevel"/>
    <w:tmpl w:val="5038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6A83D1D"/>
    <w:multiLevelType w:val="hybridMultilevel"/>
    <w:tmpl w:val="8242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801739C"/>
    <w:multiLevelType w:val="multilevel"/>
    <w:tmpl w:val="C3820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29195A12"/>
    <w:multiLevelType w:val="hybridMultilevel"/>
    <w:tmpl w:val="945AB732"/>
    <w:lvl w:ilvl="0" w:tplc="45E82BDA">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2ADF6044"/>
    <w:multiLevelType w:val="hybridMultilevel"/>
    <w:tmpl w:val="BFDAB7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B1C0505"/>
    <w:multiLevelType w:val="hybridMultilevel"/>
    <w:tmpl w:val="CBB44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B396243"/>
    <w:multiLevelType w:val="hybridMultilevel"/>
    <w:tmpl w:val="21E22DF4"/>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2B9C3B1F"/>
    <w:multiLevelType w:val="hybridMultilevel"/>
    <w:tmpl w:val="E5B6146A"/>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2D3A51EE"/>
    <w:multiLevelType w:val="hybridMultilevel"/>
    <w:tmpl w:val="AF20E5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E5C3574"/>
    <w:multiLevelType w:val="hybridMultilevel"/>
    <w:tmpl w:val="283850EE"/>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EED68A6"/>
    <w:multiLevelType w:val="hybridMultilevel"/>
    <w:tmpl w:val="EE04C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0C5364E"/>
    <w:multiLevelType w:val="hybridMultilevel"/>
    <w:tmpl w:val="C2E8E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12D4157"/>
    <w:multiLevelType w:val="hybridMultilevel"/>
    <w:tmpl w:val="D118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26D2E99"/>
    <w:multiLevelType w:val="hybridMultilevel"/>
    <w:tmpl w:val="E4703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36C691C"/>
    <w:multiLevelType w:val="hybridMultilevel"/>
    <w:tmpl w:val="47027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42F2270"/>
    <w:multiLevelType w:val="hybridMultilevel"/>
    <w:tmpl w:val="BF7ED0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35AE02FF"/>
    <w:multiLevelType w:val="hybridMultilevel"/>
    <w:tmpl w:val="4CB8ACA2"/>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61A42FA"/>
    <w:multiLevelType w:val="hybridMultilevel"/>
    <w:tmpl w:val="46163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6FD48C7"/>
    <w:multiLevelType w:val="hybridMultilevel"/>
    <w:tmpl w:val="8ED4FA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72F4456"/>
    <w:multiLevelType w:val="hybridMultilevel"/>
    <w:tmpl w:val="D7B82912"/>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8891565"/>
    <w:multiLevelType w:val="hybridMultilevel"/>
    <w:tmpl w:val="D0C01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9D01205"/>
    <w:multiLevelType w:val="multilevel"/>
    <w:tmpl w:val="3018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3A8F3E63"/>
    <w:multiLevelType w:val="hybridMultilevel"/>
    <w:tmpl w:val="2876A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BEB7124"/>
    <w:multiLevelType w:val="multilevel"/>
    <w:tmpl w:val="690C7A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2131F9"/>
    <w:multiLevelType w:val="hybridMultilevel"/>
    <w:tmpl w:val="D73EF4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10D49C6"/>
    <w:multiLevelType w:val="hybridMultilevel"/>
    <w:tmpl w:val="C5C6B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1982F8F"/>
    <w:multiLevelType w:val="hybridMultilevel"/>
    <w:tmpl w:val="5F1E797E"/>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1DCF768"/>
    <w:multiLevelType w:val="hybridMultilevel"/>
    <w:tmpl w:val="FFFFFFFF"/>
    <w:lvl w:ilvl="0" w:tplc="25A0BEA4">
      <w:start w:val="1"/>
      <w:numFmt w:val="bullet"/>
      <w:lvlText w:val=""/>
      <w:lvlJc w:val="left"/>
      <w:pPr>
        <w:ind w:left="720" w:hanging="360"/>
      </w:pPr>
      <w:rPr>
        <w:rFonts w:ascii="Symbol" w:hAnsi="Symbol" w:hint="default"/>
      </w:rPr>
    </w:lvl>
    <w:lvl w:ilvl="1" w:tplc="0ACA502C">
      <w:start w:val="1"/>
      <w:numFmt w:val="bullet"/>
      <w:lvlText w:val="o"/>
      <w:lvlJc w:val="left"/>
      <w:pPr>
        <w:ind w:left="1440" w:hanging="360"/>
      </w:pPr>
      <w:rPr>
        <w:rFonts w:ascii="Courier New" w:hAnsi="Courier New" w:hint="default"/>
      </w:rPr>
    </w:lvl>
    <w:lvl w:ilvl="2" w:tplc="284649D4">
      <w:start w:val="1"/>
      <w:numFmt w:val="bullet"/>
      <w:lvlText w:val=""/>
      <w:lvlJc w:val="left"/>
      <w:pPr>
        <w:ind w:left="2160" w:hanging="360"/>
      </w:pPr>
      <w:rPr>
        <w:rFonts w:ascii="Wingdings" w:hAnsi="Wingdings" w:hint="default"/>
      </w:rPr>
    </w:lvl>
    <w:lvl w:ilvl="3" w:tplc="9C18AD9A">
      <w:start w:val="1"/>
      <w:numFmt w:val="bullet"/>
      <w:lvlText w:val=""/>
      <w:lvlJc w:val="left"/>
      <w:pPr>
        <w:ind w:left="2880" w:hanging="360"/>
      </w:pPr>
      <w:rPr>
        <w:rFonts w:ascii="Symbol" w:hAnsi="Symbol" w:hint="default"/>
      </w:rPr>
    </w:lvl>
    <w:lvl w:ilvl="4" w:tplc="9A6EED86">
      <w:start w:val="1"/>
      <w:numFmt w:val="bullet"/>
      <w:lvlText w:val="o"/>
      <w:lvlJc w:val="left"/>
      <w:pPr>
        <w:ind w:left="3600" w:hanging="360"/>
      </w:pPr>
      <w:rPr>
        <w:rFonts w:ascii="Courier New" w:hAnsi="Courier New" w:hint="default"/>
      </w:rPr>
    </w:lvl>
    <w:lvl w:ilvl="5" w:tplc="E26CCA84">
      <w:start w:val="1"/>
      <w:numFmt w:val="bullet"/>
      <w:lvlText w:val=""/>
      <w:lvlJc w:val="left"/>
      <w:pPr>
        <w:ind w:left="4320" w:hanging="360"/>
      </w:pPr>
      <w:rPr>
        <w:rFonts w:ascii="Wingdings" w:hAnsi="Wingdings" w:hint="default"/>
      </w:rPr>
    </w:lvl>
    <w:lvl w:ilvl="6" w:tplc="A60EFFCC">
      <w:start w:val="1"/>
      <w:numFmt w:val="bullet"/>
      <w:lvlText w:val=""/>
      <w:lvlJc w:val="left"/>
      <w:pPr>
        <w:ind w:left="5040" w:hanging="360"/>
      </w:pPr>
      <w:rPr>
        <w:rFonts w:ascii="Symbol" w:hAnsi="Symbol" w:hint="default"/>
      </w:rPr>
    </w:lvl>
    <w:lvl w:ilvl="7" w:tplc="DC7AC4B6">
      <w:start w:val="1"/>
      <w:numFmt w:val="bullet"/>
      <w:lvlText w:val="o"/>
      <w:lvlJc w:val="left"/>
      <w:pPr>
        <w:ind w:left="5760" w:hanging="360"/>
      </w:pPr>
      <w:rPr>
        <w:rFonts w:ascii="Courier New" w:hAnsi="Courier New" w:hint="default"/>
      </w:rPr>
    </w:lvl>
    <w:lvl w:ilvl="8" w:tplc="F192F5D8">
      <w:start w:val="1"/>
      <w:numFmt w:val="bullet"/>
      <w:lvlText w:val=""/>
      <w:lvlJc w:val="left"/>
      <w:pPr>
        <w:ind w:left="6480" w:hanging="360"/>
      </w:pPr>
      <w:rPr>
        <w:rFonts w:ascii="Wingdings" w:hAnsi="Wingdings" w:hint="default"/>
      </w:rPr>
    </w:lvl>
  </w:abstractNum>
  <w:abstractNum w:abstractNumId="93" w15:restartNumberingAfterBreak="0">
    <w:nsid w:val="41FA53D6"/>
    <w:multiLevelType w:val="hybridMultilevel"/>
    <w:tmpl w:val="6108D0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23D525B"/>
    <w:multiLevelType w:val="hybridMultilevel"/>
    <w:tmpl w:val="95321478"/>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4332220A"/>
    <w:multiLevelType w:val="hybridMultilevel"/>
    <w:tmpl w:val="3D2E5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406539C"/>
    <w:multiLevelType w:val="multilevel"/>
    <w:tmpl w:val="FE187078"/>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5A7843"/>
    <w:multiLevelType w:val="hybridMultilevel"/>
    <w:tmpl w:val="CAD6E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50F2001"/>
    <w:multiLevelType w:val="hybridMultilevel"/>
    <w:tmpl w:val="EE8C2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6C36308"/>
    <w:multiLevelType w:val="multilevel"/>
    <w:tmpl w:val="3858D52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15:restartNumberingAfterBreak="0">
    <w:nsid w:val="49546F62"/>
    <w:multiLevelType w:val="hybridMultilevel"/>
    <w:tmpl w:val="354C341A"/>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1" w15:restartNumberingAfterBreak="0">
    <w:nsid w:val="4AE33BF4"/>
    <w:multiLevelType w:val="hybridMultilevel"/>
    <w:tmpl w:val="A4BAFD86"/>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BFE2767"/>
    <w:multiLevelType w:val="hybridMultilevel"/>
    <w:tmpl w:val="C1E60D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4CA81755"/>
    <w:multiLevelType w:val="hybridMultilevel"/>
    <w:tmpl w:val="ACD260B4"/>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CA81779"/>
    <w:multiLevelType w:val="hybridMultilevel"/>
    <w:tmpl w:val="5484A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CDCB283"/>
    <w:multiLevelType w:val="hybridMultilevel"/>
    <w:tmpl w:val="FFFFFFFF"/>
    <w:lvl w:ilvl="0" w:tplc="53822CD8">
      <w:start w:val="1"/>
      <w:numFmt w:val="lowerLetter"/>
      <w:lvlText w:val="%1."/>
      <w:lvlJc w:val="left"/>
      <w:pPr>
        <w:ind w:left="720" w:hanging="360"/>
      </w:pPr>
    </w:lvl>
    <w:lvl w:ilvl="1" w:tplc="9E8E3886">
      <w:start w:val="1"/>
      <w:numFmt w:val="lowerLetter"/>
      <w:lvlText w:val="%2."/>
      <w:lvlJc w:val="left"/>
      <w:pPr>
        <w:ind w:left="1440" w:hanging="360"/>
      </w:pPr>
    </w:lvl>
    <w:lvl w:ilvl="2" w:tplc="E990FA72">
      <w:start w:val="1"/>
      <w:numFmt w:val="lowerRoman"/>
      <w:lvlText w:val="%3."/>
      <w:lvlJc w:val="right"/>
      <w:pPr>
        <w:ind w:left="2160" w:hanging="180"/>
      </w:pPr>
    </w:lvl>
    <w:lvl w:ilvl="3" w:tplc="8E1A1C6A">
      <w:start w:val="1"/>
      <w:numFmt w:val="decimal"/>
      <w:lvlText w:val="%4."/>
      <w:lvlJc w:val="left"/>
      <w:pPr>
        <w:ind w:left="2880" w:hanging="360"/>
      </w:pPr>
    </w:lvl>
    <w:lvl w:ilvl="4" w:tplc="88EE7D30">
      <w:start w:val="1"/>
      <w:numFmt w:val="lowerLetter"/>
      <w:lvlText w:val="%5."/>
      <w:lvlJc w:val="left"/>
      <w:pPr>
        <w:ind w:left="3600" w:hanging="360"/>
      </w:pPr>
    </w:lvl>
    <w:lvl w:ilvl="5" w:tplc="08283434">
      <w:start w:val="1"/>
      <w:numFmt w:val="lowerRoman"/>
      <w:lvlText w:val="%6."/>
      <w:lvlJc w:val="right"/>
      <w:pPr>
        <w:ind w:left="4320" w:hanging="180"/>
      </w:pPr>
    </w:lvl>
    <w:lvl w:ilvl="6" w:tplc="12CA1906">
      <w:start w:val="1"/>
      <w:numFmt w:val="decimal"/>
      <w:lvlText w:val="%7."/>
      <w:lvlJc w:val="left"/>
      <w:pPr>
        <w:ind w:left="5040" w:hanging="360"/>
      </w:pPr>
    </w:lvl>
    <w:lvl w:ilvl="7" w:tplc="7F0C6A70">
      <w:start w:val="1"/>
      <w:numFmt w:val="lowerLetter"/>
      <w:lvlText w:val="%8."/>
      <w:lvlJc w:val="left"/>
      <w:pPr>
        <w:ind w:left="5760" w:hanging="360"/>
      </w:pPr>
    </w:lvl>
    <w:lvl w:ilvl="8" w:tplc="C434711C">
      <w:start w:val="1"/>
      <w:numFmt w:val="lowerRoman"/>
      <w:lvlText w:val="%9."/>
      <w:lvlJc w:val="right"/>
      <w:pPr>
        <w:ind w:left="6480" w:hanging="180"/>
      </w:pPr>
    </w:lvl>
  </w:abstractNum>
  <w:abstractNum w:abstractNumId="106" w15:restartNumberingAfterBreak="0">
    <w:nsid w:val="4D4E7666"/>
    <w:multiLevelType w:val="hybridMultilevel"/>
    <w:tmpl w:val="F66C5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E1B2783"/>
    <w:multiLevelType w:val="hybridMultilevel"/>
    <w:tmpl w:val="2A708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F1D6402"/>
    <w:multiLevelType w:val="hybridMultilevel"/>
    <w:tmpl w:val="F37A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F5E7EBB"/>
    <w:multiLevelType w:val="hybridMultilevel"/>
    <w:tmpl w:val="31AC0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0014B5F"/>
    <w:multiLevelType w:val="hybridMultilevel"/>
    <w:tmpl w:val="8EAAABC8"/>
    <w:lvl w:ilvl="0" w:tplc="A0E6134A">
      <w:start w:val="1"/>
      <w:numFmt w:val="decimal"/>
      <w:lvlText w:val="%1."/>
      <w:lvlJc w:val="left"/>
      <w:pPr>
        <w:ind w:left="720" w:hanging="360"/>
      </w:pPr>
    </w:lvl>
    <w:lvl w:ilvl="1" w:tplc="3DE6175E">
      <w:start w:val="1"/>
      <w:numFmt w:val="lowerLetter"/>
      <w:lvlText w:val="%2."/>
      <w:lvlJc w:val="left"/>
      <w:pPr>
        <w:ind w:left="1440" w:hanging="360"/>
      </w:pPr>
    </w:lvl>
    <w:lvl w:ilvl="2" w:tplc="E0547266">
      <w:start w:val="1"/>
      <w:numFmt w:val="lowerRoman"/>
      <w:lvlText w:val="%3."/>
      <w:lvlJc w:val="right"/>
      <w:pPr>
        <w:ind w:left="2160" w:hanging="180"/>
      </w:pPr>
    </w:lvl>
    <w:lvl w:ilvl="3" w:tplc="1310C29A">
      <w:start w:val="1"/>
      <w:numFmt w:val="decimal"/>
      <w:lvlText w:val="%4."/>
      <w:lvlJc w:val="left"/>
      <w:pPr>
        <w:ind w:left="2880" w:hanging="360"/>
      </w:pPr>
    </w:lvl>
    <w:lvl w:ilvl="4" w:tplc="1F6E4ADA">
      <w:start w:val="1"/>
      <w:numFmt w:val="lowerLetter"/>
      <w:lvlText w:val="%5."/>
      <w:lvlJc w:val="left"/>
      <w:pPr>
        <w:ind w:left="3600" w:hanging="360"/>
      </w:pPr>
    </w:lvl>
    <w:lvl w:ilvl="5" w:tplc="FA32140E">
      <w:start w:val="1"/>
      <w:numFmt w:val="lowerRoman"/>
      <w:lvlText w:val="%6."/>
      <w:lvlJc w:val="right"/>
      <w:pPr>
        <w:ind w:left="4320" w:hanging="180"/>
      </w:pPr>
    </w:lvl>
    <w:lvl w:ilvl="6" w:tplc="C188F632">
      <w:start w:val="1"/>
      <w:numFmt w:val="decimal"/>
      <w:lvlText w:val="%7."/>
      <w:lvlJc w:val="left"/>
      <w:pPr>
        <w:ind w:left="5040" w:hanging="360"/>
      </w:pPr>
    </w:lvl>
    <w:lvl w:ilvl="7" w:tplc="615A2C6A">
      <w:start w:val="1"/>
      <w:numFmt w:val="lowerLetter"/>
      <w:lvlText w:val="%8."/>
      <w:lvlJc w:val="left"/>
      <w:pPr>
        <w:ind w:left="5760" w:hanging="360"/>
      </w:pPr>
    </w:lvl>
    <w:lvl w:ilvl="8" w:tplc="27B4A244">
      <w:start w:val="1"/>
      <w:numFmt w:val="lowerRoman"/>
      <w:lvlText w:val="%9."/>
      <w:lvlJc w:val="right"/>
      <w:pPr>
        <w:ind w:left="6480" w:hanging="180"/>
      </w:pPr>
    </w:lvl>
  </w:abstractNum>
  <w:abstractNum w:abstractNumId="111" w15:restartNumberingAfterBreak="0">
    <w:nsid w:val="501B6C59"/>
    <w:multiLevelType w:val="hybridMultilevel"/>
    <w:tmpl w:val="B6EAD410"/>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508B30C0"/>
    <w:multiLevelType w:val="hybridMultilevel"/>
    <w:tmpl w:val="CF3EF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09E7B37"/>
    <w:multiLevelType w:val="hybridMultilevel"/>
    <w:tmpl w:val="70FC155A"/>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4" w15:restartNumberingAfterBreak="0">
    <w:nsid w:val="514803F4"/>
    <w:multiLevelType w:val="hybridMultilevel"/>
    <w:tmpl w:val="AABA2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14F08A5"/>
    <w:multiLevelType w:val="hybridMultilevel"/>
    <w:tmpl w:val="C6D8D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22E6923"/>
    <w:multiLevelType w:val="hybridMultilevel"/>
    <w:tmpl w:val="57BA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25B3A46"/>
    <w:multiLevelType w:val="hybridMultilevel"/>
    <w:tmpl w:val="C3426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2873F9B"/>
    <w:multiLevelType w:val="hybridMultilevel"/>
    <w:tmpl w:val="B82E6AE0"/>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9" w15:restartNumberingAfterBreak="0">
    <w:nsid w:val="53495C8B"/>
    <w:multiLevelType w:val="hybridMultilevel"/>
    <w:tmpl w:val="1D665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6E029AE"/>
    <w:multiLevelType w:val="hybridMultilevel"/>
    <w:tmpl w:val="6EC4D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71D4EAE"/>
    <w:multiLevelType w:val="hybridMultilevel"/>
    <w:tmpl w:val="9A30C74C"/>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2" w15:restartNumberingAfterBreak="0">
    <w:nsid w:val="572A2C6A"/>
    <w:multiLevelType w:val="hybridMultilevel"/>
    <w:tmpl w:val="1264F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A2D4A27"/>
    <w:multiLevelType w:val="hybridMultilevel"/>
    <w:tmpl w:val="9C563B2E"/>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5B3722CE"/>
    <w:multiLevelType w:val="hybridMultilevel"/>
    <w:tmpl w:val="FAFC38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5B72728F"/>
    <w:multiLevelType w:val="hybridMultilevel"/>
    <w:tmpl w:val="55AC3A2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BD13D25"/>
    <w:multiLevelType w:val="multilevel"/>
    <w:tmpl w:val="35EACC04"/>
    <w:lvl w:ilvl="0">
      <w:start w:val="1"/>
      <w:numFmt w:val="bullet"/>
      <w:lvlText w:val=""/>
      <w:lvlJc w:val="left"/>
      <w:pPr>
        <w:ind w:left="1770" w:hanging="525"/>
      </w:pPr>
      <w:rPr>
        <w:rFonts w:ascii="Symbol" w:hAnsi="Symbol" w:hint="default"/>
      </w:rPr>
    </w:lvl>
    <w:lvl w:ilvl="1">
      <w:start w:val="1"/>
      <w:numFmt w:val="decimal"/>
      <w:lvlText w:val="%1.%2"/>
      <w:lvlJc w:val="left"/>
      <w:pPr>
        <w:ind w:left="1965" w:hanging="720"/>
      </w:pPr>
      <w:rPr>
        <w:rFonts w:hint="default"/>
      </w:rPr>
    </w:lvl>
    <w:lvl w:ilvl="2">
      <w:start w:val="1"/>
      <w:numFmt w:val="decimal"/>
      <w:lvlText w:val="%1.%2.%3"/>
      <w:lvlJc w:val="left"/>
      <w:pPr>
        <w:ind w:left="2325" w:hanging="1080"/>
      </w:pPr>
      <w:rPr>
        <w:rFonts w:hint="default"/>
      </w:rPr>
    </w:lvl>
    <w:lvl w:ilvl="3">
      <w:start w:val="1"/>
      <w:numFmt w:val="decimal"/>
      <w:lvlText w:val="%1.%2.%3.%4"/>
      <w:lvlJc w:val="left"/>
      <w:pPr>
        <w:ind w:left="2685" w:hanging="1440"/>
      </w:pPr>
      <w:rPr>
        <w:rFonts w:hint="default"/>
      </w:rPr>
    </w:lvl>
    <w:lvl w:ilvl="4">
      <w:start w:val="1"/>
      <w:numFmt w:val="decimal"/>
      <w:lvlText w:val="%1.%2.%3.%4.%5"/>
      <w:lvlJc w:val="left"/>
      <w:pPr>
        <w:ind w:left="3045" w:hanging="1800"/>
      </w:pPr>
      <w:rPr>
        <w:rFonts w:hint="default"/>
      </w:rPr>
    </w:lvl>
    <w:lvl w:ilvl="5">
      <w:start w:val="1"/>
      <w:numFmt w:val="decimal"/>
      <w:lvlText w:val="%1.%2.%3.%4.%5.%6"/>
      <w:lvlJc w:val="left"/>
      <w:pPr>
        <w:ind w:left="3045" w:hanging="1800"/>
      </w:pPr>
      <w:rPr>
        <w:rFonts w:hint="default"/>
      </w:rPr>
    </w:lvl>
    <w:lvl w:ilvl="6">
      <w:start w:val="1"/>
      <w:numFmt w:val="decimal"/>
      <w:lvlText w:val="%1.%2.%3.%4.%5.%6.%7"/>
      <w:lvlJc w:val="left"/>
      <w:pPr>
        <w:ind w:left="3405" w:hanging="2160"/>
      </w:pPr>
      <w:rPr>
        <w:rFonts w:hint="default"/>
      </w:rPr>
    </w:lvl>
    <w:lvl w:ilvl="7">
      <w:start w:val="1"/>
      <w:numFmt w:val="decimal"/>
      <w:lvlText w:val="%1.%2.%3.%4.%5.%6.%7.%8"/>
      <w:lvlJc w:val="left"/>
      <w:pPr>
        <w:ind w:left="3765" w:hanging="2520"/>
      </w:pPr>
      <w:rPr>
        <w:rFonts w:hint="default"/>
      </w:rPr>
    </w:lvl>
    <w:lvl w:ilvl="8">
      <w:start w:val="1"/>
      <w:numFmt w:val="decimal"/>
      <w:lvlText w:val="%1.%2.%3.%4.%5.%6.%7.%8.%9"/>
      <w:lvlJc w:val="left"/>
      <w:pPr>
        <w:ind w:left="4125" w:hanging="2880"/>
      </w:pPr>
      <w:rPr>
        <w:rFonts w:hint="default"/>
      </w:rPr>
    </w:lvl>
  </w:abstractNum>
  <w:abstractNum w:abstractNumId="127" w15:restartNumberingAfterBreak="0">
    <w:nsid w:val="5C2F4430"/>
    <w:multiLevelType w:val="hybridMultilevel"/>
    <w:tmpl w:val="5A004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CA165F2"/>
    <w:multiLevelType w:val="hybridMultilevel"/>
    <w:tmpl w:val="FE0CB402"/>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9" w15:restartNumberingAfterBreak="0">
    <w:nsid w:val="5CFC0776"/>
    <w:multiLevelType w:val="hybridMultilevel"/>
    <w:tmpl w:val="D604DB1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5F54646A"/>
    <w:multiLevelType w:val="hybridMultilevel"/>
    <w:tmpl w:val="187A4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F63287C"/>
    <w:multiLevelType w:val="hybridMultilevel"/>
    <w:tmpl w:val="ADAC3780"/>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2" w15:restartNumberingAfterBreak="0">
    <w:nsid w:val="60ED427F"/>
    <w:multiLevelType w:val="hybridMultilevel"/>
    <w:tmpl w:val="D8C0BF1E"/>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3" w15:restartNumberingAfterBreak="0">
    <w:nsid w:val="613B6539"/>
    <w:multiLevelType w:val="hybridMultilevel"/>
    <w:tmpl w:val="C324DA48"/>
    <w:lvl w:ilvl="0" w:tplc="A0DEFC7C">
      <w:start w:val="1"/>
      <w:numFmt w:val="decimal"/>
      <w:lvlText w:val="%1."/>
      <w:lvlJc w:val="left"/>
      <w:pPr>
        <w:ind w:left="780" w:hanging="420"/>
      </w:pPr>
      <w:rPr>
        <w:rFonts w:hint="default"/>
        <w:sz w:val="5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24B1A3F"/>
    <w:multiLevelType w:val="hybridMultilevel"/>
    <w:tmpl w:val="48E00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2F6470E"/>
    <w:multiLevelType w:val="hybridMultilevel"/>
    <w:tmpl w:val="2D28D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63394BD3"/>
    <w:multiLevelType w:val="hybridMultilevel"/>
    <w:tmpl w:val="625CE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4D03FE8"/>
    <w:multiLevelType w:val="hybridMultilevel"/>
    <w:tmpl w:val="AC968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4D92031"/>
    <w:multiLevelType w:val="hybridMultilevel"/>
    <w:tmpl w:val="5FFE2C74"/>
    <w:lvl w:ilvl="0" w:tplc="3DE6175E">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9" w15:restartNumberingAfterBreak="0">
    <w:nsid w:val="66742F71"/>
    <w:multiLevelType w:val="hybridMultilevel"/>
    <w:tmpl w:val="97C86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8375937"/>
    <w:multiLevelType w:val="hybridMultilevel"/>
    <w:tmpl w:val="A0EE36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8E15B84"/>
    <w:multiLevelType w:val="hybridMultilevel"/>
    <w:tmpl w:val="1FE4F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B655297"/>
    <w:multiLevelType w:val="hybridMultilevel"/>
    <w:tmpl w:val="85FE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C4F555A"/>
    <w:multiLevelType w:val="hybridMultilevel"/>
    <w:tmpl w:val="31FE3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C5840C0"/>
    <w:multiLevelType w:val="hybridMultilevel"/>
    <w:tmpl w:val="A47471A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CB645CA"/>
    <w:multiLevelType w:val="hybridMultilevel"/>
    <w:tmpl w:val="351E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6CB764F1"/>
    <w:multiLevelType w:val="hybridMultilevel"/>
    <w:tmpl w:val="825C8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D51108D"/>
    <w:multiLevelType w:val="hybridMultilevel"/>
    <w:tmpl w:val="FFFFFFFF"/>
    <w:lvl w:ilvl="0" w:tplc="1BA61BBC">
      <w:start w:val="1"/>
      <w:numFmt w:val="lowerLetter"/>
      <w:lvlText w:val="%1."/>
      <w:lvlJc w:val="left"/>
      <w:pPr>
        <w:ind w:left="720" w:hanging="360"/>
      </w:pPr>
    </w:lvl>
    <w:lvl w:ilvl="1" w:tplc="43548482">
      <w:start w:val="1"/>
      <w:numFmt w:val="lowerLetter"/>
      <w:lvlText w:val="%2."/>
      <w:lvlJc w:val="left"/>
      <w:pPr>
        <w:ind w:left="1440" w:hanging="360"/>
      </w:pPr>
    </w:lvl>
    <w:lvl w:ilvl="2" w:tplc="F3E07BF2">
      <w:start w:val="1"/>
      <w:numFmt w:val="lowerRoman"/>
      <w:lvlText w:val="%3."/>
      <w:lvlJc w:val="right"/>
      <w:pPr>
        <w:ind w:left="2160" w:hanging="180"/>
      </w:pPr>
    </w:lvl>
    <w:lvl w:ilvl="3" w:tplc="4EDCE332">
      <w:start w:val="1"/>
      <w:numFmt w:val="decimal"/>
      <w:lvlText w:val="%4."/>
      <w:lvlJc w:val="left"/>
      <w:pPr>
        <w:ind w:left="2880" w:hanging="360"/>
      </w:pPr>
    </w:lvl>
    <w:lvl w:ilvl="4" w:tplc="B18E224C">
      <w:start w:val="1"/>
      <w:numFmt w:val="lowerLetter"/>
      <w:lvlText w:val="%5."/>
      <w:lvlJc w:val="left"/>
      <w:pPr>
        <w:ind w:left="3600" w:hanging="360"/>
      </w:pPr>
    </w:lvl>
    <w:lvl w:ilvl="5" w:tplc="0792AA2A">
      <w:start w:val="1"/>
      <w:numFmt w:val="lowerRoman"/>
      <w:lvlText w:val="%6."/>
      <w:lvlJc w:val="right"/>
      <w:pPr>
        <w:ind w:left="4320" w:hanging="180"/>
      </w:pPr>
    </w:lvl>
    <w:lvl w:ilvl="6" w:tplc="82D21580">
      <w:start w:val="1"/>
      <w:numFmt w:val="decimal"/>
      <w:lvlText w:val="%7."/>
      <w:lvlJc w:val="left"/>
      <w:pPr>
        <w:ind w:left="5040" w:hanging="360"/>
      </w:pPr>
    </w:lvl>
    <w:lvl w:ilvl="7" w:tplc="4F7CBBD0">
      <w:start w:val="1"/>
      <w:numFmt w:val="lowerLetter"/>
      <w:lvlText w:val="%8."/>
      <w:lvlJc w:val="left"/>
      <w:pPr>
        <w:ind w:left="5760" w:hanging="360"/>
      </w:pPr>
    </w:lvl>
    <w:lvl w:ilvl="8" w:tplc="92DC9F06">
      <w:start w:val="1"/>
      <w:numFmt w:val="lowerRoman"/>
      <w:lvlText w:val="%9."/>
      <w:lvlJc w:val="right"/>
      <w:pPr>
        <w:ind w:left="6480" w:hanging="180"/>
      </w:pPr>
    </w:lvl>
  </w:abstractNum>
  <w:abstractNum w:abstractNumId="148" w15:restartNumberingAfterBreak="0">
    <w:nsid w:val="6DDE1E20"/>
    <w:multiLevelType w:val="hybridMultilevel"/>
    <w:tmpl w:val="D2A0C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0FD6B33"/>
    <w:multiLevelType w:val="hybridMultilevel"/>
    <w:tmpl w:val="BB0AE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1563E66"/>
    <w:multiLevelType w:val="hybridMultilevel"/>
    <w:tmpl w:val="AE626CBA"/>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32A5EE1"/>
    <w:multiLevelType w:val="hybridMultilevel"/>
    <w:tmpl w:val="473426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4DD17DD"/>
    <w:multiLevelType w:val="hybridMultilevel"/>
    <w:tmpl w:val="5E043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4F06237"/>
    <w:multiLevelType w:val="hybridMultilevel"/>
    <w:tmpl w:val="6ACC96B6"/>
    <w:lvl w:ilvl="0" w:tplc="F6641BB4">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59A5A3D"/>
    <w:multiLevelType w:val="hybridMultilevel"/>
    <w:tmpl w:val="335EE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5A105A6"/>
    <w:multiLevelType w:val="hybridMultilevel"/>
    <w:tmpl w:val="E3409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76544E6C"/>
    <w:multiLevelType w:val="hybridMultilevel"/>
    <w:tmpl w:val="A72E0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6E32678"/>
    <w:multiLevelType w:val="hybridMultilevel"/>
    <w:tmpl w:val="1D942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78A4389"/>
    <w:multiLevelType w:val="hybridMultilevel"/>
    <w:tmpl w:val="52D64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86A44A5"/>
    <w:multiLevelType w:val="hybridMultilevel"/>
    <w:tmpl w:val="7C50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79C12D13"/>
    <w:multiLevelType w:val="hybridMultilevel"/>
    <w:tmpl w:val="E9806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9E772B0"/>
    <w:multiLevelType w:val="hybridMultilevel"/>
    <w:tmpl w:val="2BDE6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7BB532F8"/>
    <w:multiLevelType w:val="hybridMultilevel"/>
    <w:tmpl w:val="2FA087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BD27D20"/>
    <w:multiLevelType w:val="hybridMultilevel"/>
    <w:tmpl w:val="0F06D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7C6A5105"/>
    <w:multiLevelType w:val="hybridMultilevel"/>
    <w:tmpl w:val="EE221B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7D45249B"/>
    <w:multiLevelType w:val="hybridMultilevel"/>
    <w:tmpl w:val="1098D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7D6F519A"/>
    <w:multiLevelType w:val="multilevel"/>
    <w:tmpl w:val="C90C74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E107074"/>
    <w:multiLevelType w:val="hybridMultilevel"/>
    <w:tmpl w:val="9EA4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E3E7CDB"/>
    <w:multiLevelType w:val="hybridMultilevel"/>
    <w:tmpl w:val="FFFFFFFF"/>
    <w:lvl w:ilvl="0" w:tplc="A9B2843A">
      <w:start w:val="1"/>
      <w:numFmt w:val="bullet"/>
      <w:lvlText w:val=""/>
      <w:lvlJc w:val="left"/>
      <w:pPr>
        <w:ind w:left="720" w:hanging="360"/>
      </w:pPr>
      <w:rPr>
        <w:rFonts w:ascii="Symbol" w:hAnsi="Symbol" w:hint="default"/>
      </w:rPr>
    </w:lvl>
    <w:lvl w:ilvl="1" w:tplc="4F6A19DE">
      <w:start w:val="1"/>
      <w:numFmt w:val="bullet"/>
      <w:lvlText w:val="o"/>
      <w:lvlJc w:val="left"/>
      <w:pPr>
        <w:ind w:left="1440" w:hanging="360"/>
      </w:pPr>
      <w:rPr>
        <w:rFonts w:ascii="Courier New" w:hAnsi="Courier New" w:hint="default"/>
      </w:rPr>
    </w:lvl>
    <w:lvl w:ilvl="2" w:tplc="D4426CD6">
      <w:start w:val="1"/>
      <w:numFmt w:val="bullet"/>
      <w:lvlText w:val=""/>
      <w:lvlJc w:val="left"/>
      <w:pPr>
        <w:ind w:left="2160" w:hanging="360"/>
      </w:pPr>
      <w:rPr>
        <w:rFonts w:ascii="Wingdings" w:hAnsi="Wingdings" w:hint="default"/>
      </w:rPr>
    </w:lvl>
    <w:lvl w:ilvl="3" w:tplc="A76094E4">
      <w:start w:val="1"/>
      <w:numFmt w:val="bullet"/>
      <w:lvlText w:val=""/>
      <w:lvlJc w:val="left"/>
      <w:pPr>
        <w:ind w:left="2880" w:hanging="360"/>
      </w:pPr>
      <w:rPr>
        <w:rFonts w:ascii="Symbol" w:hAnsi="Symbol" w:hint="default"/>
      </w:rPr>
    </w:lvl>
    <w:lvl w:ilvl="4" w:tplc="524240E0">
      <w:start w:val="1"/>
      <w:numFmt w:val="bullet"/>
      <w:lvlText w:val="o"/>
      <w:lvlJc w:val="left"/>
      <w:pPr>
        <w:ind w:left="3600" w:hanging="360"/>
      </w:pPr>
      <w:rPr>
        <w:rFonts w:ascii="Courier New" w:hAnsi="Courier New" w:hint="default"/>
      </w:rPr>
    </w:lvl>
    <w:lvl w:ilvl="5" w:tplc="3B4C34CE">
      <w:start w:val="1"/>
      <w:numFmt w:val="bullet"/>
      <w:lvlText w:val=""/>
      <w:lvlJc w:val="left"/>
      <w:pPr>
        <w:ind w:left="4320" w:hanging="360"/>
      </w:pPr>
      <w:rPr>
        <w:rFonts w:ascii="Wingdings" w:hAnsi="Wingdings" w:hint="default"/>
      </w:rPr>
    </w:lvl>
    <w:lvl w:ilvl="6" w:tplc="09BCF19A">
      <w:start w:val="1"/>
      <w:numFmt w:val="bullet"/>
      <w:lvlText w:val=""/>
      <w:lvlJc w:val="left"/>
      <w:pPr>
        <w:ind w:left="5040" w:hanging="360"/>
      </w:pPr>
      <w:rPr>
        <w:rFonts w:ascii="Symbol" w:hAnsi="Symbol" w:hint="default"/>
      </w:rPr>
    </w:lvl>
    <w:lvl w:ilvl="7" w:tplc="6B005104">
      <w:start w:val="1"/>
      <w:numFmt w:val="bullet"/>
      <w:lvlText w:val="o"/>
      <w:lvlJc w:val="left"/>
      <w:pPr>
        <w:ind w:left="5760" w:hanging="360"/>
      </w:pPr>
      <w:rPr>
        <w:rFonts w:ascii="Courier New" w:hAnsi="Courier New" w:hint="default"/>
      </w:rPr>
    </w:lvl>
    <w:lvl w:ilvl="8" w:tplc="889AEB1E">
      <w:start w:val="1"/>
      <w:numFmt w:val="bullet"/>
      <w:lvlText w:val=""/>
      <w:lvlJc w:val="left"/>
      <w:pPr>
        <w:ind w:left="6480" w:hanging="360"/>
      </w:pPr>
      <w:rPr>
        <w:rFonts w:ascii="Wingdings" w:hAnsi="Wingdings" w:hint="default"/>
      </w:rPr>
    </w:lvl>
  </w:abstractNum>
  <w:abstractNum w:abstractNumId="169" w15:restartNumberingAfterBreak="0">
    <w:nsid w:val="7F6A59C2"/>
    <w:multiLevelType w:val="hybridMultilevel"/>
    <w:tmpl w:val="6590C3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87922164">
    <w:abstractNumId w:val="110"/>
  </w:num>
  <w:num w:numId="2" w16cid:durableId="402291768">
    <w:abstractNumId w:val="18"/>
  </w:num>
  <w:num w:numId="3" w16cid:durableId="1133984980">
    <w:abstractNumId w:val="88"/>
  </w:num>
  <w:num w:numId="4" w16cid:durableId="1895004652">
    <w:abstractNumId w:val="168"/>
  </w:num>
  <w:num w:numId="5" w16cid:durableId="1940334929">
    <w:abstractNumId w:val="39"/>
  </w:num>
  <w:num w:numId="6" w16cid:durableId="1658875858">
    <w:abstractNumId w:val="70"/>
  </w:num>
  <w:num w:numId="7" w16cid:durableId="2089110650">
    <w:abstractNumId w:val="93"/>
  </w:num>
  <w:num w:numId="8" w16cid:durableId="1558661824">
    <w:abstractNumId w:val="157"/>
  </w:num>
  <w:num w:numId="9" w16cid:durableId="925841385">
    <w:abstractNumId w:val="63"/>
  </w:num>
  <w:num w:numId="10" w16cid:durableId="1991518855">
    <w:abstractNumId w:val="80"/>
  </w:num>
  <w:num w:numId="11" w16cid:durableId="559169234">
    <w:abstractNumId w:val="102"/>
  </w:num>
  <w:num w:numId="12" w16cid:durableId="1332181201">
    <w:abstractNumId w:val="77"/>
  </w:num>
  <w:num w:numId="13" w16cid:durableId="119039328">
    <w:abstractNumId w:val="30"/>
  </w:num>
  <w:num w:numId="14" w16cid:durableId="1219242051">
    <w:abstractNumId w:val="98"/>
  </w:num>
  <w:num w:numId="15" w16cid:durableId="1599289863">
    <w:abstractNumId w:val="109"/>
  </w:num>
  <w:num w:numId="16" w16cid:durableId="1097210380">
    <w:abstractNumId w:val="143"/>
  </w:num>
  <w:num w:numId="17" w16cid:durableId="793673531">
    <w:abstractNumId w:val="108"/>
  </w:num>
  <w:num w:numId="18" w16cid:durableId="1545022328">
    <w:abstractNumId w:val="122"/>
  </w:num>
  <w:num w:numId="19" w16cid:durableId="1386486361">
    <w:abstractNumId w:val="14"/>
  </w:num>
  <w:num w:numId="20" w16cid:durableId="1357272588">
    <w:abstractNumId w:val="104"/>
  </w:num>
  <w:num w:numId="21" w16cid:durableId="336079949">
    <w:abstractNumId w:val="166"/>
  </w:num>
  <w:num w:numId="22" w16cid:durableId="1628704342">
    <w:abstractNumId w:val="66"/>
  </w:num>
  <w:num w:numId="23" w16cid:durableId="426854607">
    <w:abstractNumId w:val="130"/>
  </w:num>
  <w:num w:numId="24" w16cid:durableId="422534439">
    <w:abstractNumId w:val="165"/>
  </w:num>
  <w:num w:numId="25" w16cid:durableId="637103592">
    <w:abstractNumId w:val="79"/>
  </w:num>
  <w:num w:numId="26" w16cid:durableId="909193879">
    <w:abstractNumId w:val="161"/>
  </w:num>
  <w:num w:numId="27" w16cid:durableId="591016675">
    <w:abstractNumId w:val="135"/>
  </w:num>
  <w:num w:numId="28" w16cid:durableId="1019548285">
    <w:abstractNumId w:val="22"/>
  </w:num>
  <w:num w:numId="29" w16cid:durableId="113259315">
    <w:abstractNumId w:val="134"/>
  </w:num>
  <w:num w:numId="30" w16cid:durableId="754396613">
    <w:abstractNumId w:val="26"/>
  </w:num>
  <w:num w:numId="31" w16cid:durableId="2099055951">
    <w:abstractNumId w:val="95"/>
  </w:num>
  <w:num w:numId="32" w16cid:durableId="1277368353">
    <w:abstractNumId w:val="117"/>
  </w:num>
  <w:num w:numId="33" w16cid:durableId="2025201202">
    <w:abstractNumId w:val="53"/>
  </w:num>
  <w:num w:numId="34" w16cid:durableId="1714039014">
    <w:abstractNumId w:val="90"/>
  </w:num>
  <w:num w:numId="35" w16cid:durableId="245117108">
    <w:abstractNumId w:val="48"/>
  </w:num>
  <w:num w:numId="36" w16cid:durableId="1778678644">
    <w:abstractNumId w:val="120"/>
  </w:num>
  <w:num w:numId="37" w16cid:durableId="195775599">
    <w:abstractNumId w:val="40"/>
  </w:num>
  <w:num w:numId="38" w16cid:durableId="1559129749">
    <w:abstractNumId w:val="44"/>
  </w:num>
  <w:num w:numId="39" w16cid:durableId="1203789124">
    <w:abstractNumId w:val="133"/>
  </w:num>
  <w:num w:numId="40" w16cid:durableId="963385624">
    <w:abstractNumId w:val="142"/>
  </w:num>
  <w:num w:numId="41" w16cid:durableId="427847173">
    <w:abstractNumId w:val="21"/>
  </w:num>
  <w:num w:numId="42" w16cid:durableId="595137373">
    <w:abstractNumId w:val="36"/>
  </w:num>
  <w:num w:numId="43" w16cid:durableId="1828327822">
    <w:abstractNumId w:val="68"/>
  </w:num>
  <w:num w:numId="44" w16cid:durableId="451020620">
    <w:abstractNumId w:val="56"/>
  </w:num>
  <w:num w:numId="45" w16cid:durableId="33893855">
    <w:abstractNumId w:val="148"/>
  </w:num>
  <w:num w:numId="46" w16cid:durableId="64885812">
    <w:abstractNumId w:val="87"/>
  </w:num>
  <w:num w:numId="47" w16cid:durableId="749347599">
    <w:abstractNumId w:val="54"/>
  </w:num>
  <w:num w:numId="48" w16cid:durableId="133184088">
    <w:abstractNumId w:val="20"/>
  </w:num>
  <w:num w:numId="49" w16cid:durableId="1359576473">
    <w:abstractNumId w:val="85"/>
  </w:num>
  <w:num w:numId="50" w16cid:durableId="101384995">
    <w:abstractNumId w:val="154"/>
  </w:num>
  <w:num w:numId="51" w16cid:durableId="659383136">
    <w:abstractNumId w:val="51"/>
  </w:num>
  <w:num w:numId="52" w16cid:durableId="1486507091">
    <w:abstractNumId w:val="116"/>
  </w:num>
  <w:num w:numId="53" w16cid:durableId="171992620">
    <w:abstractNumId w:val="145"/>
  </w:num>
  <w:num w:numId="54" w16cid:durableId="2087801907">
    <w:abstractNumId w:val="167"/>
  </w:num>
  <w:num w:numId="55" w16cid:durableId="1477382215">
    <w:abstractNumId w:val="61"/>
  </w:num>
  <w:num w:numId="56" w16cid:durableId="1473016291">
    <w:abstractNumId w:val="152"/>
  </w:num>
  <w:num w:numId="57" w16cid:durableId="143206061">
    <w:abstractNumId w:val="158"/>
  </w:num>
  <w:num w:numId="58" w16cid:durableId="492840905">
    <w:abstractNumId w:val="156"/>
  </w:num>
  <w:num w:numId="59" w16cid:durableId="1276905654">
    <w:abstractNumId w:val="112"/>
  </w:num>
  <w:num w:numId="60" w16cid:durableId="590243134">
    <w:abstractNumId w:val="82"/>
  </w:num>
  <w:num w:numId="61" w16cid:durableId="1458403167">
    <w:abstractNumId w:val="119"/>
  </w:num>
  <w:num w:numId="62" w16cid:durableId="224024138">
    <w:abstractNumId w:val="60"/>
  </w:num>
  <w:num w:numId="63" w16cid:durableId="829907220">
    <w:abstractNumId w:val="159"/>
  </w:num>
  <w:num w:numId="64" w16cid:durableId="2094622672">
    <w:abstractNumId w:val="115"/>
  </w:num>
  <w:num w:numId="65" w16cid:durableId="2042440630">
    <w:abstractNumId w:val="34"/>
  </w:num>
  <w:num w:numId="66" w16cid:durableId="76170331">
    <w:abstractNumId w:val="58"/>
  </w:num>
  <w:num w:numId="67" w16cid:durableId="637032951">
    <w:abstractNumId w:val="25"/>
  </w:num>
  <w:num w:numId="68" w16cid:durableId="416436973">
    <w:abstractNumId w:val="31"/>
  </w:num>
  <w:num w:numId="69" w16cid:durableId="1804077784">
    <w:abstractNumId w:val="76"/>
  </w:num>
  <w:num w:numId="70" w16cid:durableId="2124886106">
    <w:abstractNumId w:val="86"/>
  </w:num>
  <w:num w:numId="71" w16cid:durableId="1753967295">
    <w:abstractNumId w:val="67"/>
  </w:num>
  <w:num w:numId="72" w16cid:durableId="944969290">
    <w:abstractNumId w:val="127"/>
  </w:num>
  <w:num w:numId="73" w16cid:durableId="573273320">
    <w:abstractNumId w:val="97"/>
  </w:num>
  <w:num w:numId="74" w16cid:durableId="1878664521">
    <w:abstractNumId w:val="47"/>
  </w:num>
  <w:num w:numId="75" w16cid:durableId="967318834">
    <w:abstractNumId w:val="75"/>
  </w:num>
  <w:num w:numId="76" w16cid:durableId="2100058598">
    <w:abstractNumId w:val="43"/>
  </w:num>
  <w:num w:numId="77" w16cid:durableId="1446924452">
    <w:abstractNumId w:val="149"/>
  </w:num>
  <w:num w:numId="78" w16cid:durableId="1546018377">
    <w:abstractNumId w:val="59"/>
  </w:num>
  <w:num w:numId="79" w16cid:durableId="1895190923">
    <w:abstractNumId w:val="147"/>
  </w:num>
  <w:num w:numId="80" w16cid:durableId="81100047">
    <w:abstractNumId w:val="105"/>
  </w:num>
  <w:num w:numId="81" w16cid:durableId="712922466">
    <w:abstractNumId w:val="114"/>
  </w:num>
  <w:num w:numId="82" w16cid:durableId="1077166191">
    <w:abstractNumId w:val="45"/>
  </w:num>
  <w:num w:numId="83" w16cid:durableId="1656834769">
    <w:abstractNumId w:val="160"/>
  </w:num>
  <w:num w:numId="84" w16cid:durableId="549997709">
    <w:abstractNumId w:val="32"/>
  </w:num>
  <w:num w:numId="85" w16cid:durableId="1441753975">
    <w:abstractNumId w:val="16"/>
  </w:num>
  <w:num w:numId="86" w16cid:durableId="1889874589">
    <w:abstractNumId w:val="146"/>
  </w:num>
  <w:num w:numId="87" w16cid:durableId="797604152">
    <w:abstractNumId w:val="62"/>
  </w:num>
  <w:num w:numId="88" w16cid:durableId="804080893">
    <w:abstractNumId w:val="106"/>
  </w:num>
  <w:num w:numId="89" w16cid:durableId="1017655523">
    <w:abstractNumId w:val="65"/>
  </w:num>
  <w:num w:numId="90" w16cid:durableId="572617151">
    <w:abstractNumId w:val="13"/>
  </w:num>
  <w:num w:numId="91" w16cid:durableId="1443377601">
    <w:abstractNumId w:val="12"/>
  </w:num>
  <w:num w:numId="92" w16cid:durableId="1713771234">
    <w:abstractNumId w:val="55"/>
  </w:num>
  <w:num w:numId="93" w16cid:durableId="2088385123">
    <w:abstractNumId w:val="41"/>
  </w:num>
  <w:num w:numId="94" w16cid:durableId="870534535">
    <w:abstractNumId w:val="141"/>
  </w:num>
  <w:num w:numId="95" w16cid:durableId="1377657617">
    <w:abstractNumId w:val="99"/>
  </w:num>
  <w:num w:numId="96" w16cid:durableId="19554932">
    <w:abstractNumId w:val="92"/>
  </w:num>
  <w:num w:numId="97" w16cid:durableId="146674289">
    <w:abstractNumId w:val="46"/>
  </w:num>
  <w:num w:numId="98" w16cid:durableId="69736549">
    <w:abstractNumId w:val="10"/>
  </w:num>
  <w:num w:numId="99" w16cid:durableId="396707756">
    <w:abstractNumId w:val="137"/>
  </w:num>
  <w:num w:numId="100" w16cid:durableId="2137483973">
    <w:abstractNumId w:val="107"/>
  </w:num>
  <w:num w:numId="101" w16cid:durableId="550851011">
    <w:abstractNumId w:val="136"/>
  </w:num>
  <w:num w:numId="102" w16cid:durableId="2045448506">
    <w:abstractNumId w:val="126"/>
  </w:num>
  <w:num w:numId="103" w16cid:durableId="751777995">
    <w:abstractNumId w:val="19"/>
  </w:num>
  <w:num w:numId="104" w16cid:durableId="933394129">
    <w:abstractNumId w:val="74"/>
  </w:num>
  <w:num w:numId="105" w16cid:durableId="649287026">
    <w:abstractNumId w:val="103"/>
  </w:num>
  <w:num w:numId="106" w16cid:durableId="615600187">
    <w:abstractNumId w:val="84"/>
  </w:num>
  <w:num w:numId="107" w16cid:durableId="193424188">
    <w:abstractNumId w:val="81"/>
  </w:num>
  <w:num w:numId="108" w16cid:durableId="405998382">
    <w:abstractNumId w:val="150"/>
  </w:num>
  <w:num w:numId="109" w16cid:durableId="1859588236">
    <w:abstractNumId w:val="153"/>
  </w:num>
  <w:num w:numId="110" w16cid:durableId="642974800">
    <w:abstractNumId w:val="42"/>
  </w:num>
  <w:num w:numId="111" w16cid:durableId="777606021">
    <w:abstractNumId w:val="101"/>
  </w:num>
  <w:num w:numId="112" w16cid:durableId="1760321773">
    <w:abstractNumId w:val="91"/>
  </w:num>
  <w:num w:numId="113" w16cid:durableId="1353260455">
    <w:abstractNumId w:val="131"/>
  </w:num>
  <w:num w:numId="114" w16cid:durableId="1575241755">
    <w:abstractNumId w:val="52"/>
  </w:num>
  <w:num w:numId="115" w16cid:durableId="836312310">
    <w:abstractNumId w:val="138"/>
  </w:num>
  <w:num w:numId="116" w16cid:durableId="1204488799">
    <w:abstractNumId w:val="128"/>
  </w:num>
  <w:num w:numId="117" w16cid:durableId="1364940998">
    <w:abstractNumId w:val="111"/>
  </w:num>
  <w:num w:numId="118" w16cid:durableId="2113545531">
    <w:abstractNumId w:val="71"/>
  </w:num>
  <w:num w:numId="119" w16cid:durableId="1255817050">
    <w:abstractNumId w:val="100"/>
  </w:num>
  <w:num w:numId="120" w16cid:durableId="1825244038">
    <w:abstractNumId w:val="123"/>
  </w:num>
  <w:num w:numId="121" w16cid:durableId="867716137">
    <w:abstractNumId w:val="37"/>
  </w:num>
  <w:num w:numId="122" w16cid:durableId="1129013183">
    <w:abstractNumId w:val="132"/>
  </w:num>
  <w:num w:numId="123" w16cid:durableId="1516260315">
    <w:abstractNumId w:val="118"/>
  </w:num>
  <w:num w:numId="124" w16cid:durableId="2073893477">
    <w:abstractNumId w:val="29"/>
  </w:num>
  <w:num w:numId="125" w16cid:durableId="1325812816">
    <w:abstractNumId w:val="50"/>
  </w:num>
  <w:num w:numId="126" w16cid:durableId="1171600228">
    <w:abstractNumId w:val="94"/>
  </w:num>
  <w:num w:numId="127" w16cid:durableId="69810726">
    <w:abstractNumId w:val="11"/>
  </w:num>
  <w:num w:numId="128" w16cid:durableId="913394497">
    <w:abstractNumId w:val="113"/>
  </w:num>
  <w:num w:numId="129" w16cid:durableId="1212574229">
    <w:abstractNumId w:val="72"/>
  </w:num>
  <w:num w:numId="130" w16cid:durableId="616104204">
    <w:abstractNumId w:val="121"/>
  </w:num>
  <w:num w:numId="131" w16cid:durableId="835267439">
    <w:abstractNumId w:val="163"/>
  </w:num>
  <w:num w:numId="132" w16cid:durableId="768815676">
    <w:abstractNumId w:val="124"/>
  </w:num>
  <w:num w:numId="133" w16cid:durableId="1204976345">
    <w:abstractNumId w:val="78"/>
  </w:num>
  <w:num w:numId="134" w16cid:durableId="343829380">
    <w:abstractNumId w:val="139"/>
  </w:num>
  <w:num w:numId="135" w16cid:durableId="2015305242">
    <w:abstractNumId w:val="38"/>
  </w:num>
  <w:num w:numId="136" w16cid:durableId="1995914200">
    <w:abstractNumId w:val="24"/>
  </w:num>
  <w:num w:numId="137" w16cid:durableId="152643661">
    <w:abstractNumId w:val="96"/>
  </w:num>
  <w:num w:numId="138" w16cid:durableId="449276356">
    <w:abstractNumId w:val="33"/>
  </w:num>
  <w:num w:numId="139" w16cid:durableId="1810245337">
    <w:abstractNumId w:val="23"/>
  </w:num>
  <w:num w:numId="140" w16cid:durableId="1043944156">
    <w:abstractNumId w:val="27"/>
  </w:num>
  <w:num w:numId="141" w16cid:durableId="853955982">
    <w:abstractNumId w:val="169"/>
  </w:num>
  <w:num w:numId="142" w16cid:durableId="113715328">
    <w:abstractNumId w:val="144"/>
  </w:num>
  <w:num w:numId="143" w16cid:durableId="1366950912">
    <w:abstractNumId w:val="69"/>
  </w:num>
  <w:num w:numId="144" w16cid:durableId="1664895395">
    <w:abstractNumId w:val="83"/>
  </w:num>
  <w:num w:numId="145" w16cid:durableId="1797984499">
    <w:abstractNumId w:val="140"/>
  </w:num>
  <w:num w:numId="146" w16cid:durableId="863327545">
    <w:abstractNumId w:val="64"/>
  </w:num>
  <w:num w:numId="147" w16cid:durableId="2010061975">
    <w:abstractNumId w:val="35"/>
  </w:num>
  <w:num w:numId="148" w16cid:durableId="1333097916">
    <w:abstractNumId w:val="162"/>
  </w:num>
  <w:num w:numId="149" w16cid:durableId="2055735936">
    <w:abstractNumId w:val="28"/>
  </w:num>
  <w:num w:numId="150" w16cid:durableId="1781294039">
    <w:abstractNumId w:val="155"/>
  </w:num>
  <w:num w:numId="151" w16cid:durableId="1968924871">
    <w:abstractNumId w:val="125"/>
  </w:num>
  <w:num w:numId="152" w16cid:durableId="1273053878">
    <w:abstractNumId w:val="17"/>
  </w:num>
  <w:num w:numId="153" w16cid:durableId="1864853578">
    <w:abstractNumId w:val="49"/>
  </w:num>
  <w:num w:numId="154" w16cid:durableId="95367460">
    <w:abstractNumId w:val="151"/>
  </w:num>
  <w:num w:numId="155" w16cid:durableId="837383942">
    <w:abstractNumId w:val="15"/>
  </w:num>
  <w:num w:numId="156" w16cid:durableId="1035621981">
    <w:abstractNumId w:val="164"/>
  </w:num>
  <w:num w:numId="157" w16cid:durableId="2087873617">
    <w:abstractNumId w:val="73"/>
  </w:num>
  <w:num w:numId="158" w16cid:durableId="1521818333">
    <w:abstractNumId w:val="89"/>
  </w:num>
  <w:num w:numId="159" w16cid:durableId="1398166390">
    <w:abstractNumId w:val="57"/>
  </w:num>
  <w:num w:numId="160" w16cid:durableId="158932872">
    <w:abstractNumId w:val="129"/>
  </w:num>
  <w:num w:numId="161" w16cid:durableId="1991209578">
    <w:abstractNumId w:val="9"/>
  </w:num>
  <w:num w:numId="162" w16cid:durableId="428505627">
    <w:abstractNumId w:val="7"/>
  </w:num>
  <w:num w:numId="163" w16cid:durableId="7409893">
    <w:abstractNumId w:val="6"/>
  </w:num>
  <w:num w:numId="164" w16cid:durableId="242297486">
    <w:abstractNumId w:val="5"/>
  </w:num>
  <w:num w:numId="165" w16cid:durableId="198858243">
    <w:abstractNumId w:val="4"/>
  </w:num>
  <w:num w:numId="166" w16cid:durableId="1221403646">
    <w:abstractNumId w:val="8"/>
  </w:num>
  <w:num w:numId="167" w16cid:durableId="1898861504">
    <w:abstractNumId w:val="3"/>
  </w:num>
  <w:num w:numId="168" w16cid:durableId="2017880803">
    <w:abstractNumId w:val="2"/>
  </w:num>
  <w:num w:numId="169" w16cid:durableId="998389690">
    <w:abstractNumId w:val="1"/>
  </w:num>
  <w:num w:numId="170" w16cid:durableId="1539705550">
    <w:abstractNumId w:val="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F6"/>
    <w:rsid w:val="00000147"/>
    <w:rsid w:val="0000019C"/>
    <w:rsid w:val="000004A3"/>
    <w:rsid w:val="000006DC"/>
    <w:rsid w:val="00000760"/>
    <w:rsid w:val="000007C2"/>
    <w:rsid w:val="0000151A"/>
    <w:rsid w:val="0000167D"/>
    <w:rsid w:val="0000175A"/>
    <w:rsid w:val="000017FB"/>
    <w:rsid w:val="000019F6"/>
    <w:rsid w:val="00001AD4"/>
    <w:rsid w:val="00001DE5"/>
    <w:rsid w:val="0000205E"/>
    <w:rsid w:val="0000210B"/>
    <w:rsid w:val="0000264F"/>
    <w:rsid w:val="000029D1"/>
    <w:rsid w:val="00002AD0"/>
    <w:rsid w:val="00002CC7"/>
    <w:rsid w:val="00002ED6"/>
    <w:rsid w:val="00002F80"/>
    <w:rsid w:val="00003200"/>
    <w:rsid w:val="00003217"/>
    <w:rsid w:val="000032BC"/>
    <w:rsid w:val="00003652"/>
    <w:rsid w:val="000037ED"/>
    <w:rsid w:val="0000384F"/>
    <w:rsid w:val="00003E14"/>
    <w:rsid w:val="00003E53"/>
    <w:rsid w:val="00003F60"/>
    <w:rsid w:val="00003F82"/>
    <w:rsid w:val="0000408C"/>
    <w:rsid w:val="0000435D"/>
    <w:rsid w:val="000043ED"/>
    <w:rsid w:val="000044FD"/>
    <w:rsid w:val="000045E3"/>
    <w:rsid w:val="000047CD"/>
    <w:rsid w:val="00004AB4"/>
    <w:rsid w:val="00004B55"/>
    <w:rsid w:val="00004DCD"/>
    <w:rsid w:val="000051BB"/>
    <w:rsid w:val="000053AA"/>
    <w:rsid w:val="00005525"/>
    <w:rsid w:val="000055CD"/>
    <w:rsid w:val="000055FF"/>
    <w:rsid w:val="0000569B"/>
    <w:rsid w:val="000056F9"/>
    <w:rsid w:val="000057C1"/>
    <w:rsid w:val="000058F2"/>
    <w:rsid w:val="00005B0F"/>
    <w:rsid w:val="00005E33"/>
    <w:rsid w:val="00005EAA"/>
    <w:rsid w:val="00005F23"/>
    <w:rsid w:val="0000612F"/>
    <w:rsid w:val="00006336"/>
    <w:rsid w:val="00006393"/>
    <w:rsid w:val="00006478"/>
    <w:rsid w:val="00006809"/>
    <w:rsid w:val="00006838"/>
    <w:rsid w:val="00006AC3"/>
    <w:rsid w:val="00006D16"/>
    <w:rsid w:val="000070D3"/>
    <w:rsid w:val="0000720C"/>
    <w:rsid w:val="000072C9"/>
    <w:rsid w:val="00007357"/>
    <w:rsid w:val="000074EE"/>
    <w:rsid w:val="000075EA"/>
    <w:rsid w:val="0000762F"/>
    <w:rsid w:val="00007778"/>
    <w:rsid w:val="000077EB"/>
    <w:rsid w:val="000077FA"/>
    <w:rsid w:val="00007911"/>
    <w:rsid w:val="00007C50"/>
    <w:rsid w:val="00007E95"/>
    <w:rsid w:val="000100C2"/>
    <w:rsid w:val="000101F6"/>
    <w:rsid w:val="000102CC"/>
    <w:rsid w:val="00010470"/>
    <w:rsid w:val="00010484"/>
    <w:rsid w:val="000105D4"/>
    <w:rsid w:val="00010638"/>
    <w:rsid w:val="00010A65"/>
    <w:rsid w:val="00010AED"/>
    <w:rsid w:val="00010B90"/>
    <w:rsid w:val="00010D9A"/>
    <w:rsid w:val="00010EA1"/>
    <w:rsid w:val="00010F9F"/>
    <w:rsid w:val="00011008"/>
    <w:rsid w:val="000114EF"/>
    <w:rsid w:val="00011799"/>
    <w:rsid w:val="00011879"/>
    <w:rsid w:val="000119B3"/>
    <w:rsid w:val="00011DCC"/>
    <w:rsid w:val="00011E05"/>
    <w:rsid w:val="00011FC4"/>
    <w:rsid w:val="0001216A"/>
    <w:rsid w:val="00012205"/>
    <w:rsid w:val="000122B4"/>
    <w:rsid w:val="0001236B"/>
    <w:rsid w:val="00012505"/>
    <w:rsid w:val="00012517"/>
    <w:rsid w:val="000125DC"/>
    <w:rsid w:val="0001282F"/>
    <w:rsid w:val="00012A63"/>
    <w:rsid w:val="00012A7C"/>
    <w:rsid w:val="00012AF4"/>
    <w:rsid w:val="00012B6D"/>
    <w:rsid w:val="00012CF6"/>
    <w:rsid w:val="00012D3A"/>
    <w:rsid w:val="00012E42"/>
    <w:rsid w:val="00012F22"/>
    <w:rsid w:val="00012F5D"/>
    <w:rsid w:val="00012FDF"/>
    <w:rsid w:val="00013244"/>
    <w:rsid w:val="00013359"/>
    <w:rsid w:val="0001344C"/>
    <w:rsid w:val="00013496"/>
    <w:rsid w:val="0001355E"/>
    <w:rsid w:val="000136DA"/>
    <w:rsid w:val="000137B0"/>
    <w:rsid w:val="0001383C"/>
    <w:rsid w:val="0001386A"/>
    <w:rsid w:val="000139D7"/>
    <w:rsid w:val="00013CB5"/>
    <w:rsid w:val="00013D80"/>
    <w:rsid w:val="00013E14"/>
    <w:rsid w:val="00013EC2"/>
    <w:rsid w:val="00013F13"/>
    <w:rsid w:val="00013F23"/>
    <w:rsid w:val="000140AC"/>
    <w:rsid w:val="00014249"/>
    <w:rsid w:val="0001458D"/>
    <w:rsid w:val="000146E4"/>
    <w:rsid w:val="000146FA"/>
    <w:rsid w:val="0001473B"/>
    <w:rsid w:val="00014806"/>
    <w:rsid w:val="0001493C"/>
    <w:rsid w:val="000149B4"/>
    <w:rsid w:val="00014A1A"/>
    <w:rsid w:val="00014A2D"/>
    <w:rsid w:val="00014AD4"/>
    <w:rsid w:val="00014B2E"/>
    <w:rsid w:val="000150ED"/>
    <w:rsid w:val="0001515A"/>
    <w:rsid w:val="0001557E"/>
    <w:rsid w:val="0001566F"/>
    <w:rsid w:val="0001583C"/>
    <w:rsid w:val="000159B6"/>
    <w:rsid w:val="00015AEF"/>
    <w:rsid w:val="00015B36"/>
    <w:rsid w:val="00015C73"/>
    <w:rsid w:val="00015E05"/>
    <w:rsid w:val="00015EEA"/>
    <w:rsid w:val="00015F7F"/>
    <w:rsid w:val="00016017"/>
    <w:rsid w:val="000160CD"/>
    <w:rsid w:val="00016120"/>
    <w:rsid w:val="0001612A"/>
    <w:rsid w:val="000161C3"/>
    <w:rsid w:val="0001626F"/>
    <w:rsid w:val="000164A0"/>
    <w:rsid w:val="000165CD"/>
    <w:rsid w:val="00016787"/>
    <w:rsid w:val="000167AA"/>
    <w:rsid w:val="0001683B"/>
    <w:rsid w:val="0001684C"/>
    <w:rsid w:val="000168AA"/>
    <w:rsid w:val="00016B4A"/>
    <w:rsid w:val="00016B8A"/>
    <w:rsid w:val="00016DEE"/>
    <w:rsid w:val="00016E02"/>
    <w:rsid w:val="00017009"/>
    <w:rsid w:val="0001704A"/>
    <w:rsid w:val="000170CB"/>
    <w:rsid w:val="00017130"/>
    <w:rsid w:val="00017362"/>
    <w:rsid w:val="00017550"/>
    <w:rsid w:val="000176A4"/>
    <w:rsid w:val="00017772"/>
    <w:rsid w:val="000177CD"/>
    <w:rsid w:val="00017800"/>
    <w:rsid w:val="00017805"/>
    <w:rsid w:val="00017A25"/>
    <w:rsid w:val="00017A94"/>
    <w:rsid w:val="00017AD0"/>
    <w:rsid w:val="00017B14"/>
    <w:rsid w:val="00017C5F"/>
    <w:rsid w:val="00017CD0"/>
    <w:rsid w:val="00017DD2"/>
    <w:rsid w:val="00017E56"/>
    <w:rsid w:val="00017E84"/>
    <w:rsid w:val="00017EEE"/>
    <w:rsid w:val="0001B0B1"/>
    <w:rsid w:val="0002030E"/>
    <w:rsid w:val="000205E3"/>
    <w:rsid w:val="00020997"/>
    <w:rsid w:val="00020CA4"/>
    <w:rsid w:val="00020D7F"/>
    <w:rsid w:val="00020DB2"/>
    <w:rsid w:val="00020E52"/>
    <w:rsid w:val="00020F0B"/>
    <w:rsid w:val="00020F6B"/>
    <w:rsid w:val="000212BC"/>
    <w:rsid w:val="0002130C"/>
    <w:rsid w:val="00021463"/>
    <w:rsid w:val="000217F2"/>
    <w:rsid w:val="00021A71"/>
    <w:rsid w:val="00021B06"/>
    <w:rsid w:val="00021B3E"/>
    <w:rsid w:val="00021C54"/>
    <w:rsid w:val="00021D6E"/>
    <w:rsid w:val="00021DBC"/>
    <w:rsid w:val="00021E17"/>
    <w:rsid w:val="0002236A"/>
    <w:rsid w:val="00022665"/>
    <w:rsid w:val="00022914"/>
    <w:rsid w:val="00022A26"/>
    <w:rsid w:val="00022BE2"/>
    <w:rsid w:val="00022DFD"/>
    <w:rsid w:val="00022F7D"/>
    <w:rsid w:val="00023024"/>
    <w:rsid w:val="000230A5"/>
    <w:rsid w:val="000230C2"/>
    <w:rsid w:val="00023195"/>
    <w:rsid w:val="000231FA"/>
    <w:rsid w:val="00023574"/>
    <w:rsid w:val="000236E0"/>
    <w:rsid w:val="00023B77"/>
    <w:rsid w:val="00023C4C"/>
    <w:rsid w:val="00023FDD"/>
    <w:rsid w:val="00024269"/>
    <w:rsid w:val="000243B1"/>
    <w:rsid w:val="000245DE"/>
    <w:rsid w:val="00024833"/>
    <w:rsid w:val="00024888"/>
    <w:rsid w:val="00024A69"/>
    <w:rsid w:val="00024D1C"/>
    <w:rsid w:val="00024D76"/>
    <w:rsid w:val="00024E31"/>
    <w:rsid w:val="00024ED0"/>
    <w:rsid w:val="00025259"/>
    <w:rsid w:val="00025279"/>
    <w:rsid w:val="00025313"/>
    <w:rsid w:val="0002536B"/>
    <w:rsid w:val="000257BE"/>
    <w:rsid w:val="00025A2F"/>
    <w:rsid w:val="00025B60"/>
    <w:rsid w:val="00025CC4"/>
    <w:rsid w:val="00025EC5"/>
    <w:rsid w:val="0002609D"/>
    <w:rsid w:val="00026137"/>
    <w:rsid w:val="00026322"/>
    <w:rsid w:val="00026325"/>
    <w:rsid w:val="000265A5"/>
    <w:rsid w:val="000267DE"/>
    <w:rsid w:val="00026810"/>
    <w:rsid w:val="000268D5"/>
    <w:rsid w:val="00026910"/>
    <w:rsid w:val="0002693C"/>
    <w:rsid w:val="00026BF3"/>
    <w:rsid w:val="00026D1C"/>
    <w:rsid w:val="00026F4B"/>
    <w:rsid w:val="0002751E"/>
    <w:rsid w:val="0002754B"/>
    <w:rsid w:val="000275AC"/>
    <w:rsid w:val="000275DE"/>
    <w:rsid w:val="00027850"/>
    <w:rsid w:val="00027BDA"/>
    <w:rsid w:val="00027F2E"/>
    <w:rsid w:val="0002B6A7"/>
    <w:rsid w:val="00030011"/>
    <w:rsid w:val="000301EE"/>
    <w:rsid w:val="00030390"/>
    <w:rsid w:val="00030A64"/>
    <w:rsid w:val="00030A96"/>
    <w:rsid w:val="00030BF4"/>
    <w:rsid w:val="00030C20"/>
    <w:rsid w:val="00030C48"/>
    <w:rsid w:val="00030D66"/>
    <w:rsid w:val="00031074"/>
    <w:rsid w:val="0003123B"/>
    <w:rsid w:val="00031401"/>
    <w:rsid w:val="00031407"/>
    <w:rsid w:val="0003145E"/>
    <w:rsid w:val="0003149F"/>
    <w:rsid w:val="00031585"/>
    <w:rsid w:val="000316D2"/>
    <w:rsid w:val="000317A0"/>
    <w:rsid w:val="00031ADB"/>
    <w:rsid w:val="00031BD4"/>
    <w:rsid w:val="00031C38"/>
    <w:rsid w:val="00031C60"/>
    <w:rsid w:val="00031D2F"/>
    <w:rsid w:val="00031F76"/>
    <w:rsid w:val="00031FAD"/>
    <w:rsid w:val="00031FFB"/>
    <w:rsid w:val="00032102"/>
    <w:rsid w:val="00032112"/>
    <w:rsid w:val="0003217D"/>
    <w:rsid w:val="00032226"/>
    <w:rsid w:val="0003239C"/>
    <w:rsid w:val="000325F3"/>
    <w:rsid w:val="000328D9"/>
    <w:rsid w:val="00032DF8"/>
    <w:rsid w:val="00033021"/>
    <w:rsid w:val="00033174"/>
    <w:rsid w:val="0003344B"/>
    <w:rsid w:val="000334F2"/>
    <w:rsid w:val="00033968"/>
    <w:rsid w:val="00033985"/>
    <w:rsid w:val="00033C59"/>
    <w:rsid w:val="00033CAF"/>
    <w:rsid w:val="00033D0C"/>
    <w:rsid w:val="00033D7F"/>
    <w:rsid w:val="00033DDF"/>
    <w:rsid w:val="00033DFB"/>
    <w:rsid w:val="00033F96"/>
    <w:rsid w:val="0003405C"/>
    <w:rsid w:val="000340AE"/>
    <w:rsid w:val="00034140"/>
    <w:rsid w:val="000342F1"/>
    <w:rsid w:val="00034310"/>
    <w:rsid w:val="0003452A"/>
    <w:rsid w:val="00034715"/>
    <w:rsid w:val="00034AF2"/>
    <w:rsid w:val="00034C4A"/>
    <w:rsid w:val="00034C7D"/>
    <w:rsid w:val="00034E54"/>
    <w:rsid w:val="00034E56"/>
    <w:rsid w:val="00034EB7"/>
    <w:rsid w:val="00034F34"/>
    <w:rsid w:val="00035089"/>
    <w:rsid w:val="00035184"/>
    <w:rsid w:val="000353D1"/>
    <w:rsid w:val="000353FD"/>
    <w:rsid w:val="000354E0"/>
    <w:rsid w:val="00035681"/>
    <w:rsid w:val="000356CA"/>
    <w:rsid w:val="00035A18"/>
    <w:rsid w:val="00035C13"/>
    <w:rsid w:val="00035E53"/>
    <w:rsid w:val="00035F24"/>
    <w:rsid w:val="00035F64"/>
    <w:rsid w:val="00036371"/>
    <w:rsid w:val="00036528"/>
    <w:rsid w:val="000367E5"/>
    <w:rsid w:val="00036947"/>
    <w:rsid w:val="00036A3E"/>
    <w:rsid w:val="00036CDD"/>
    <w:rsid w:val="00036DD3"/>
    <w:rsid w:val="00036FC8"/>
    <w:rsid w:val="0003712F"/>
    <w:rsid w:val="0003791B"/>
    <w:rsid w:val="00037A4C"/>
    <w:rsid w:val="00037C88"/>
    <w:rsid w:val="00037D29"/>
    <w:rsid w:val="00037E58"/>
    <w:rsid w:val="00040182"/>
    <w:rsid w:val="00040502"/>
    <w:rsid w:val="000406AC"/>
    <w:rsid w:val="00040775"/>
    <w:rsid w:val="000407AE"/>
    <w:rsid w:val="000408BD"/>
    <w:rsid w:val="00040937"/>
    <w:rsid w:val="00040A38"/>
    <w:rsid w:val="00040B67"/>
    <w:rsid w:val="00040C5A"/>
    <w:rsid w:val="00040DD5"/>
    <w:rsid w:val="00040E33"/>
    <w:rsid w:val="00040F4D"/>
    <w:rsid w:val="000410EC"/>
    <w:rsid w:val="000411C1"/>
    <w:rsid w:val="00041256"/>
    <w:rsid w:val="000412E1"/>
    <w:rsid w:val="0004149B"/>
    <w:rsid w:val="000416EC"/>
    <w:rsid w:val="00041737"/>
    <w:rsid w:val="000419D3"/>
    <w:rsid w:val="00041A53"/>
    <w:rsid w:val="00041EBF"/>
    <w:rsid w:val="00042179"/>
    <w:rsid w:val="00042373"/>
    <w:rsid w:val="000425E2"/>
    <w:rsid w:val="0004269F"/>
    <w:rsid w:val="00042808"/>
    <w:rsid w:val="000429E5"/>
    <w:rsid w:val="00042AB3"/>
    <w:rsid w:val="00042BD6"/>
    <w:rsid w:val="00042EA5"/>
    <w:rsid w:val="000433E5"/>
    <w:rsid w:val="000433FB"/>
    <w:rsid w:val="0004354C"/>
    <w:rsid w:val="00043747"/>
    <w:rsid w:val="0004377F"/>
    <w:rsid w:val="0004381B"/>
    <w:rsid w:val="00043B2F"/>
    <w:rsid w:val="00043EB3"/>
    <w:rsid w:val="00043F95"/>
    <w:rsid w:val="00044077"/>
    <w:rsid w:val="0004415D"/>
    <w:rsid w:val="000444ED"/>
    <w:rsid w:val="00044735"/>
    <w:rsid w:val="000448F4"/>
    <w:rsid w:val="00044A37"/>
    <w:rsid w:val="00044D42"/>
    <w:rsid w:val="00044EC5"/>
    <w:rsid w:val="0004569E"/>
    <w:rsid w:val="0004594A"/>
    <w:rsid w:val="00045A8E"/>
    <w:rsid w:val="00045CA3"/>
    <w:rsid w:val="00045CE2"/>
    <w:rsid w:val="00046196"/>
    <w:rsid w:val="00046281"/>
    <w:rsid w:val="000462AE"/>
    <w:rsid w:val="0004636E"/>
    <w:rsid w:val="000463EC"/>
    <w:rsid w:val="000464D7"/>
    <w:rsid w:val="0004660F"/>
    <w:rsid w:val="00046815"/>
    <w:rsid w:val="00046840"/>
    <w:rsid w:val="00046A05"/>
    <w:rsid w:val="00046C41"/>
    <w:rsid w:val="00046D13"/>
    <w:rsid w:val="00046D3A"/>
    <w:rsid w:val="00046D81"/>
    <w:rsid w:val="000471FB"/>
    <w:rsid w:val="00047215"/>
    <w:rsid w:val="0004725B"/>
    <w:rsid w:val="000474C6"/>
    <w:rsid w:val="000474E8"/>
    <w:rsid w:val="0004758F"/>
    <w:rsid w:val="00047624"/>
    <w:rsid w:val="00047AF0"/>
    <w:rsid w:val="00047B3D"/>
    <w:rsid w:val="00047C45"/>
    <w:rsid w:val="00047C49"/>
    <w:rsid w:val="00047DD8"/>
    <w:rsid w:val="00047EAA"/>
    <w:rsid w:val="00047FF3"/>
    <w:rsid w:val="00050044"/>
    <w:rsid w:val="0005007B"/>
    <w:rsid w:val="000501C0"/>
    <w:rsid w:val="00050567"/>
    <w:rsid w:val="00050673"/>
    <w:rsid w:val="0005070C"/>
    <w:rsid w:val="00050EB5"/>
    <w:rsid w:val="00050EB6"/>
    <w:rsid w:val="00050F9D"/>
    <w:rsid w:val="00051759"/>
    <w:rsid w:val="0005178F"/>
    <w:rsid w:val="0005185C"/>
    <w:rsid w:val="00051985"/>
    <w:rsid w:val="00051A10"/>
    <w:rsid w:val="00051BA8"/>
    <w:rsid w:val="00051DD6"/>
    <w:rsid w:val="00052002"/>
    <w:rsid w:val="0005213F"/>
    <w:rsid w:val="000521B3"/>
    <w:rsid w:val="000521D9"/>
    <w:rsid w:val="0005226A"/>
    <w:rsid w:val="000522B8"/>
    <w:rsid w:val="000523FA"/>
    <w:rsid w:val="0005248B"/>
    <w:rsid w:val="000524CB"/>
    <w:rsid w:val="0005262C"/>
    <w:rsid w:val="00052733"/>
    <w:rsid w:val="000527E3"/>
    <w:rsid w:val="00052894"/>
    <w:rsid w:val="00052953"/>
    <w:rsid w:val="000529AD"/>
    <w:rsid w:val="00052B48"/>
    <w:rsid w:val="00052C06"/>
    <w:rsid w:val="00052F0E"/>
    <w:rsid w:val="000532EF"/>
    <w:rsid w:val="000533B0"/>
    <w:rsid w:val="000535A2"/>
    <w:rsid w:val="00053979"/>
    <w:rsid w:val="00053A2D"/>
    <w:rsid w:val="00053BB4"/>
    <w:rsid w:val="00053D75"/>
    <w:rsid w:val="00053DD9"/>
    <w:rsid w:val="00053E01"/>
    <w:rsid w:val="000542ED"/>
    <w:rsid w:val="0005452A"/>
    <w:rsid w:val="0005466F"/>
    <w:rsid w:val="00054893"/>
    <w:rsid w:val="00054A5F"/>
    <w:rsid w:val="00054C36"/>
    <w:rsid w:val="00054F2E"/>
    <w:rsid w:val="00055136"/>
    <w:rsid w:val="00055175"/>
    <w:rsid w:val="00055324"/>
    <w:rsid w:val="000553FC"/>
    <w:rsid w:val="00055448"/>
    <w:rsid w:val="0005552D"/>
    <w:rsid w:val="00055603"/>
    <w:rsid w:val="00055652"/>
    <w:rsid w:val="0005566F"/>
    <w:rsid w:val="00055850"/>
    <w:rsid w:val="00055B46"/>
    <w:rsid w:val="00055CCB"/>
    <w:rsid w:val="00055E8C"/>
    <w:rsid w:val="00055F82"/>
    <w:rsid w:val="00055FF6"/>
    <w:rsid w:val="000560D7"/>
    <w:rsid w:val="0005638C"/>
    <w:rsid w:val="00056545"/>
    <w:rsid w:val="0005662C"/>
    <w:rsid w:val="0005674B"/>
    <w:rsid w:val="0005689B"/>
    <w:rsid w:val="0005699B"/>
    <w:rsid w:val="00056C39"/>
    <w:rsid w:val="00056ED0"/>
    <w:rsid w:val="000570B1"/>
    <w:rsid w:val="0005725A"/>
    <w:rsid w:val="0005730A"/>
    <w:rsid w:val="000573AF"/>
    <w:rsid w:val="00057537"/>
    <w:rsid w:val="00057D0E"/>
    <w:rsid w:val="00059403"/>
    <w:rsid w:val="000602DC"/>
    <w:rsid w:val="000604EB"/>
    <w:rsid w:val="00060545"/>
    <w:rsid w:val="000605F7"/>
    <w:rsid w:val="00060748"/>
    <w:rsid w:val="00060755"/>
    <w:rsid w:val="00060A02"/>
    <w:rsid w:val="00060D76"/>
    <w:rsid w:val="00060FD7"/>
    <w:rsid w:val="0006123B"/>
    <w:rsid w:val="0006133A"/>
    <w:rsid w:val="00061428"/>
    <w:rsid w:val="0006142F"/>
    <w:rsid w:val="000618B3"/>
    <w:rsid w:val="00061C0F"/>
    <w:rsid w:val="00061ED6"/>
    <w:rsid w:val="00061F41"/>
    <w:rsid w:val="00062338"/>
    <w:rsid w:val="0006258C"/>
    <w:rsid w:val="000626F8"/>
    <w:rsid w:val="00062751"/>
    <w:rsid w:val="0006290D"/>
    <w:rsid w:val="00062FB3"/>
    <w:rsid w:val="00063564"/>
    <w:rsid w:val="0006377E"/>
    <w:rsid w:val="00063788"/>
    <w:rsid w:val="00063936"/>
    <w:rsid w:val="00063B88"/>
    <w:rsid w:val="00063CD0"/>
    <w:rsid w:val="00063DED"/>
    <w:rsid w:val="00063F73"/>
    <w:rsid w:val="000641C3"/>
    <w:rsid w:val="000645DB"/>
    <w:rsid w:val="00064645"/>
    <w:rsid w:val="00064659"/>
    <w:rsid w:val="00064668"/>
    <w:rsid w:val="00064A14"/>
    <w:rsid w:val="00064A79"/>
    <w:rsid w:val="00064A7B"/>
    <w:rsid w:val="00064B31"/>
    <w:rsid w:val="00064BAF"/>
    <w:rsid w:val="00064DB2"/>
    <w:rsid w:val="000650BF"/>
    <w:rsid w:val="0006514E"/>
    <w:rsid w:val="00065657"/>
    <w:rsid w:val="000657A1"/>
    <w:rsid w:val="000657D9"/>
    <w:rsid w:val="00065837"/>
    <w:rsid w:val="00065886"/>
    <w:rsid w:val="00065FB8"/>
    <w:rsid w:val="00066202"/>
    <w:rsid w:val="00066589"/>
    <w:rsid w:val="000665B2"/>
    <w:rsid w:val="0006686D"/>
    <w:rsid w:val="00066AE8"/>
    <w:rsid w:val="00066BED"/>
    <w:rsid w:val="00066C53"/>
    <w:rsid w:val="00066C97"/>
    <w:rsid w:val="00066CBF"/>
    <w:rsid w:val="00066E9E"/>
    <w:rsid w:val="0006733B"/>
    <w:rsid w:val="000678FD"/>
    <w:rsid w:val="0006792D"/>
    <w:rsid w:val="00067B37"/>
    <w:rsid w:val="00067BCF"/>
    <w:rsid w:val="0007078F"/>
    <w:rsid w:val="00070938"/>
    <w:rsid w:val="00070B0F"/>
    <w:rsid w:val="00070B23"/>
    <w:rsid w:val="00070BAE"/>
    <w:rsid w:val="00070EFC"/>
    <w:rsid w:val="000713A5"/>
    <w:rsid w:val="0007145C"/>
    <w:rsid w:val="0007146F"/>
    <w:rsid w:val="00071799"/>
    <w:rsid w:val="000718A7"/>
    <w:rsid w:val="00071A4B"/>
    <w:rsid w:val="00071C2B"/>
    <w:rsid w:val="00071D3D"/>
    <w:rsid w:val="00072086"/>
    <w:rsid w:val="00072217"/>
    <w:rsid w:val="0007243A"/>
    <w:rsid w:val="000724DB"/>
    <w:rsid w:val="000728F3"/>
    <w:rsid w:val="000729FC"/>
    <w:rsid w:val="00072A1F"/>
    <w:rsid w:val="00072B92"/>
    <w:rsid w:val="00072C13"/>
    <w:rsid w:val="00072DB6"/>
    <w:rsid w:val="00072F1E"/>
    <w:rsid w:val="00073062"/>
    <w:rsid w:val="000731D2"/>
    <w:rsid w:val="000733A7"/>
    <w:rsid w:val="000733AB"/>
    <w:rsid w:val="00073661"/>
    <w:rsid w:val="000736B3"/>
    <w:rsid w:val="000736BE"/>
    <w:rsid w:val="000736D0"/>
    <w:rsid w:val="0007372F"/>
    <w:rsid w:val="00073748"/>
    <w:rsid w:val="0007376B"/>
    <w:rsid w:val="000737A8"/>
    <w:rsid w:val="000737F2"/>
    <w:rsid w:val="00073850"/>
    <w:rsid w:val="00073AA3"/>
    <w:rsid w:val="00073CD2"/>
    <w:rsid w:val="00073CE6"/>
    <w:rsid w:val="00073D8D"/>
    <w:rsid w:val="00074051"/>
    <w:rsid w:val="0007427A"/>
    <w:rsid w:val="000742CF"/>
    <w:rsid w:val="0007439B"/>
    <w:rsid w:val="000744B7"/>
    <w:rsid w:val="00074596"/>
    <w:rsid w:val="000747CB"/>
    <w:rsid w:val="0007485A"/>
    <w:rsid w:val="00074E09"/>
    <w:rsid w:val="00074E82"/>
    <w:rsid w:val="0007506D"/>
    <w:rsid w:val="00075103"/>
    <w:rsid w:val="0007522F"/>
    <w:rsid w:val="000752B1"/>
    <w:rsid w:val="000752E5"/>
    <w:rsid w:val="00075417"/>
    <w:rsid w:val="000754AE"/>
    <w:rsid w:val="00075594"/>
    <w:rsid w:val="00075782"/>
    <w:rsid w:val="0007590F"/>
    <w:rsid w:val="00075C20"/>
    <w:rsid w:val="00075C94"/>
    <w:rsid w:val="00075CAE"/>
    <w:rsid w:val="00075F9A"/>
    <w:rsid w:val="0007601A"/>
    <w:rsid w:val="000760B4"/>
    <w:rsid w:val="000760D2"/>
    <w:rsid w:val="000761DA"/>
    <w:rsid w:val="00076246"/>
    <w:rsid w:val="00076476"/>
    <w:rsid w:val="0007673D"/>
    <w:rsid w:val="000767C2"/>
    <w:rsid w:val="00076CC0"/>
    <w:rsid w:val="00076E1C"/>
    <w:rsid w:val="00077071"/>
    <w:rsid w:val="000770AE"/>
    <w:rsid w:val="00077190"/>
    <w:rsid w:val="00077196"/>
    <w:rsid w:val="000772DD"/>
    <w:rsid w:val="000772E5"/>
    <w:rsid w:val="00077670"/>
    <w:rsid w:val="000778A0"/>
    <w:rsid w:val="000778BD"/>
    <w:rsid w:val="000778E2"/>
    <w:rsid w:val="00077999"/>
    <w:rsid w:val="00077A20"/>
    <w:rsid w:val="00077D04"/>
    <w:rsid w:val="00080023"/>
    <w:rsid w:val="000800CD"/>
    <w:rsid w:val="000800D7"/>
    <w:rsid w:val="00080230"/>
    <w:rsid w:val="000802F4"/>
    <w:rsid w:val="00080315"/>
    <w:rsid w:val="0008041B"/>
    <w:rsid w:val="00080955"/>
    <w:rsid w:val="000809A7"/>
    <w:rsid w:val="00080A78"/>
    <w:rsid w:val="00080C5B"/>
    <w:rsid w:val="00080DCF"/>
    <w:rsid w:val="00080F92"/>
    <w:rsid w:val="000810EF"/>
    <w:rsid w:val="000812E8"/>
    <w:rsid w:val="00081489"/>
    <w:rsid w:val="00081675"/>
    <w:rsid w:val="000819D4"/>
    <w:rsid w:val="00081B56"/>
    <w:rsid w:val="00081B8F"/>
    <w:rsid w:val="00081BB5"/>
    <w:rsid w:val="00081CAD"/>
    <w:rsid w:val="00081CBD"/>
    <w:rsid w:val="00081D4B"/>
    <w:rsid w:val="00081DA4"/>
    <w:rsid w:val="00081EFF"/>
    <w:rsid w:val="00081F4F"/>
    <w:rsid w:val="0008206F"/>
    <w:rsid w:val="00082191"/>
    <w:rsid w:val="00082193"/>
    <w:rsid w:val="000822CE"/>
    <w:rsid w:val="000824A7"/>
    <w:rsid w:val="0008252D"/>
    <w:rsid w:val="00082B20"/>
    <w:rsid w:val="00082B6C"/>
    <w:rsid w:val="00082C02"/>
    <w:rsid w:val="00082E73"/>
    <w:rsid w:val="00082F94"/>
    <w:rsid w:val="0008334F"/>
    <w:rsid w:val="0008338C"/>
    <w:rsid w:val="00083635"/>
    <w:rsid w:val="000836B8"/>
    <w:rsid w:val="00083740"/>
    <w:rsid w:val="00083B5F"/>
    <w:rsid w:val="00083D85"/>
    <w:rsid w:val="000843C3"/>
    <w:rsid w:val="00084592"/>
    <w:rsid w:val="000848CC"/>
    <w:rsid w:val="00084B06"/>
    <w:rsid w:val="00084CF7"/>
    <w:rsid w:val="00084D60"/>
    <w:rsid w:val="00084DC0"/>
    <w:rsid w:val="00084F9E"/>
    <w:rsid w:val="00084FB7"/>
    <w:rsid w:val="00085353"/>
    <w:rsid w:val="0008537D"/>
    <w:rsid w:val="00085AE5"/>
    <w:rsid w:val="00085CCB"/>
    <w:rsid w:val="00085D3F"/>
    <w:rsid w:val="00085DBF"/>
    <w:rsid w:val="00085E91"/>
    <w:rsid w:val="00085FA0"/>
    <w:rsid w:val="00086004"/>
    <w:rsid w:val="000865EC"/>
    <w:rsid w:val="00086793"/>
    <w:rsid w:val="000868C0"/>
    <w:rsid w:val="00086A03"/>
    <w:rsid w:val="00086ACD"/>
    <w:rsid w:val="00086BF8"/>
    <w:rsid w:val="00086F2A"/>
    <w:rsid w:val="00087077"/>
    <w:rsid w:val="0008753C"/>
    <w:rsid w:val="00087620"/>
    <w:rsid w:val="00087684"/>
    <w:rsid w:val="0008780E"/>
    <w:rsid w:val="0008795D"/>
    <w:rsid w:val="00087AD1"/>
    <w:rsid w:val="00087B5A"/>
    <w:rsid w:val="00087B69"/>
    <w:rsid w:val="00087DCC"/>
    <w:rsid w:val="00087E59"/>
    <w:rsid w:val="000900CA"/>
    <w:rsid w:val="00090233"/>
    <w:rsid w:val="0009081A"/>
    <w:rsid w:val="00090B34"/>
    <w:rsid w:val="00090B39"/>
    <w:rsid w:val="00090E7C"/>
    <w:rsid w:val="00090E9E"/>
    <w:rsid w:val="00090F00"/>
    <w:rsid w:val="0009120A"/>
    <w:rsid w:val="00091267"/>
    <w:rsid w:val="00091371"/>
    <w:rsid w:val="00091573"/>
    <w:rsid w:val="0009185F"/>
    <w:rsid w:val="000918A9"/>
    <w:rsid w:val="00091C21"/>
    <w:rsid w:val="00091CEC"/>
    <w:rsid w:val="00091D2A"/>
    <w:rsid w:val="00091D51"/>
    <w:rsid w:val="00091D86"/>
    <w:rsid w:val="00092194"/>
    <w:rsid w:val="000921BD"/>
    <w:rsid w:val="000922EC"/>
    <w:rsid w:val="0009237A"/>
    <w:rsid w:val="00092381"/>
    <w:rsid w:val="0009247E"/>
    <w:rsid w:val="0009254B"/>
    <w:rsid w:val="0009264C"/>
    <w:rsid w:val="00092E63"/>
    <w:rsid w:val="00092F40"/>
    <w:rsid w:val="00092FAB"/>
    <w:rsid w:val="00093076"/>
    <w:rsid w:val="000931EA"/>
    <w:rsid w:val="000932E6"/>
    <w:rsid w:val="000934C9"/>
    <w:rsid w:val="000934E3"/>
    <w:rsid w:val="00093AA1"/>
    <w:rsid w:val="00093BE7"/>
    <w:rsid w:val="00093E52"/>
    <w:rsid w:val="000940E8"/>
    <w:rsid w:val="00094179"/>
    <w:rsid w:val="00094275"/>
    <w:rsid w:val="000942E3"/>
    <w:rsid w:val="0009430B"/>
    <w:rsid w:val="0009434A"/>
    <w:rsid w:val="00094359"/>
    <w:rsid w:val="000947E7"/>
    <w:rsid w:val="00094863"/>
    <w:rsid w:val="000948C1"/>
    <w:rsid w:val="00094C5E"/>
    <w:rsid w:val="0009535A"/>
    <w:rsid w:val="000953C3"/>
    <w:rsid w:val="00095505"/>
    <w:rsid w:val="000956E6"/>
    <w:rsid w:val="00095AE7"/>
    <w:rsid w:val="00095C87"/>
    <w:rsid w:val="00095DC1"/>
    <w:rsid w:val="00095DD0"/>
    <w:rsid w:val="00096019"/>
    <w:rsid w:val="000961A4"/>
    <w:rsid w:val="00096451"/>
    <w:rsid w:val="000968A3"/>
    <w:rsid w:val="00096A40"/>
    <w:rsid w:val="000970AD"/>
    <w:rsid w:val="00097145"/>
    <w:rsid w:val="00097232"/>
    <w:rsid w:val="000972E8"/>
    <w:rsid w:val="0009731F"/>
    <w:rsid w:val="00097354"/>
    <w:rsid w:val="00097741"/>
    <w:rsid w:val="00097A38"/>
    <w:rsid w:val="00097CF9"/>
    <w:rsid w:val="00097D9A"/>
    <w:rsid w:val="00097E72"/>
    <w:rsid w:val="0009B392"/>
    <w:rsid w:val="000A015A"/>
    <w:rsid w:val="000A026B"/>
    <w:rsid w:val="000A02B0"/>
    <w:rsid w:val="000A0494"/>
    <w:rsid w:val="000A0518"/>
    <w:rsid w:val="000A06CC"/>
    <w:rsid w:val="000A07C0"/>
    <w:rsid w:val="000A0931"/>
    <w:rsid w:val="000A099B"/>
    <w:rsid w:val="000A0A58"/>
    <w:rsid w:val="000A0F7D"/>
    <w:rsid w:val="000A109A"/>
    <w:rsid w:val="000A10C0"/>
    <w:rsid w:val="000A1157"/>
    <w:rsid w:val="000A124E"/>
    <w:rsid w:val="000A1293"/>
    <w:rsid w:val="000A149B"/>
    <w:rsid w:val="000A14CB"/>
    <w:rsid w:val="000A165B"/>
    <w:rsid w:val="000A166F"/>
    <w:rsid w:val="000A16BF"/>
    <w:rsid w:val="000A181C"/>
    <w:rsid w:val="000A1BDC"/>
    <w:rsid w:val="000A1C2B"/>
    <w:rsid w:val="000A1DEA"/>
    <w:rsid w:val="000A2081"/>
    <w:rsid w:val="000A2091"/>
    <w:rsid w:val="000A20B4"/>
    <w:rsid w:val="000A2134"/>
    <w:rsid w:val="000A2671"/>
    <w:rsid w:val="000A2A03"/>
    <w:rsid w:val="000A2B2C"/>
    <w:rsid w:val="000A2D9A"/>
    <w:rsid w:val="000A2F99"/>
    <w:rsid w:val="000A3214"/>
    <w:rsid w:val="000A3391"/>
    <w:rsid w:val="000A339C"/>
    <w:rsid w:val="000A33CF"/>
    <w:rsid w:val="000A3688"/>
    <w:rsid w:val="000A371B"/>
    <w:rsid w:val="000A3A71"/>
    <w:rsid w:val="000A3B15"/>
    <w:rsid w:val="000A3B54"/>
    <w:rsid w:val="000A3B99"/>
    <w:rsid w:val="000A3C32"/>
    <w:rsid w:val="000A3CA0"/>
    <w:rsid w:val="000A3CA2"/>
    <w:rsid w:val="000A40E1"/>
    <w:rsid w:val="000A41F2"/>
    <w:rsid w:val="000A4356"/>
    <w:rsid w:val="000A43C5"/>
    <w:rsid w:val="000A4419"/>
    <w:rsid w:val="000A4633"/>
    <w:rsid w:val="000A48C2"/>
    <w:rsid w:val="000A4BA0"/>
    <w:rsid w:val="000A512B"/>
    <w:rsid w:val="000A5160"/>
    <w:rsid w:val="000A58F7"/>
    <w:rsid w:val="000A5926"/>
    <w:rsid w:val="000A5FE5"/>
    <w:rsid w:val="000A6230"/>
    <w:rsid w:val="000A6364"/>
    <w:rsid w:val="000A6652"/>
    <w:rsid w:val="000A67F2"/>
    <w:rsid w:val="000A6B95"/>
    <w:rsid w:val="000A6FA7"/>
    <w:rsid w:val="000A7060"/>
    <w:rsid w:val="000A70D9"/>
    <w:rsid w:val="000A71CD"/>
    <w:rsid w:val="000A7251"/>
    <w:rsid w:val="000A7361"/>
    <w:rsid w:val="000A7496"/>
    <w:rsid w:val="000A7668"/>
    <w:rsid w:val="000A766C"/>
    <w:rsid w:val="000A788E"/>
    <w:rsid w:val="000A7925"/>
    <w:rsid w:val="000A7A31"/>
    <w:rsid w:val="000A7B80"/>
    <w:rsid w:val="000B0134"/>
    <w:rsid w:val="000B0185"/>
    <w:rsid w:val="000B0233"/>
    <w:rsid w:val="000B0411"/>
    <w:rsid w:val="000B041D"/>
    <w:rsid w:val="000B0538"/>
    <w:rsid w:val="000B0A78"/>
    <w:rsid w:val="000B0C08"/>
    <w:rsid w:val="000B0C7C"/>
    <w:rsid w:val="000B0EA9"/>
    <w:rsid w:val="000B1028"/>
    <w:rsid w:val="000B104B"/>
    <w:rsid w:val="000B1095"/>
    <w:rsid w:val="000B111B"/>
    <w:rsid w:val="000B1162"/>
    <w:rsid w:val="000B19E3"/>
    <w:rsid w:val="000B1A03"/>
    <w:rsid w:val="000B1A08"/>
    <w:rsid w:val="000B1ACC"/>
    <w:rsid w:val="000B2031"/>
    <w:rsid w:val="000B2388"/>
    <w:rsid w:val="000B2AAA"/>
    <w:rsid w:val="000B2AB8"/>
    <w:rsid w:val="000B2BBC"/>
    <w:rsid w:val="000B2C54"/>
    <w:rsid w:val="000B2E3C"/>
    <w:rsid w:val="000B2EC6"/>
    <w:rsid w:val="000B2ECA"/>
    <w:rsid w:val="000B3267"/>
    <w:rsid w:val="000B3347"/>
    <w:rsid w:val="000B3445"/>
    <w:rsid w:val="000B34E7"/>
    <w:rsid w:val="000B36FA"/>
    <w:rsid w:val="000B37E2"/>
    <w:rsid w:val="000B37E3"/>
    <w:rsid w:val="000B3A22"/>
    <w:rsid w:val="000B3DF2"/>
    <w:rsid w:val="000B3E3C"/>
    <w:rsid w:val="000B3F66"/>
    <w:rsid w:val="000B3F8E"/>
    <w:rsid w:val="000B3FB7"/>
    <w:rsid w:val="000B40E7"/>
    <w:rsid w:val="000B41D6"/>
    <w:rsid w:val="000B4232"/>
    <w:rsid w:val="000B44FD"/>
    <w:rsid w:val="000B45AE"/>
    <w:rsid w:val="000B47BC"/>
    <w:rsid w:val="000B4BFB"/>
    <w:rsid w:val="000B4EA6"/>
    <w:rsid w:val="000B51F6"/>
    <w:rsid w:val="000B547C"/>
    <w:rsid w:val="000B57EE"/>
    <w:rsid w:val="000B57F5"/>
    <w:rsid w:val="000B59E3"/>
    <w:rsid w:val="000B5A9B"/>
    <w:rsid w:val="000B5AB4"/>
    <w:rsid w:val="000B5C27"/>
    <w:rsid w:val="000B5C6F"/>
    <w:rsid w:val="000B5FE3"/>
    <w:rsid w:val="000B61DA"/>
    <w:rsid w:val="000B62D0"/>
    <w:rsid w:val="000B6739"/>
    <w:rsid w:val="000B67D8"/>
    <w:rsid w:val="000B6B88"/>
    <w:rsid w:val="000B6B8F"/>
    <w:rsid w:val="000B6E30"/>
    <w:rsid w:val="000B73A7"/>
    <w:rsid w:val="000B7634"/>
    <w:rsid w:val="000B7705"/>
    <w:rsid w:val="000B77A9"/>
    <w:rsid w:val="000B785C"/>
    <w:rsid w:val="000B7BBC"/>
    <w:rsid w:val="000B7F32"/>
    <w:rsid w:val="000C0486"/>
    <w:rsid w:val="000C0575"/>
    <w:rsid w:val="000C0775"/>
    <w:rsid w:val="000C07F2"/>
    <w:rsid w:val="000C0E8A"/>
    <w:rsid w:val="000C0F2B"/>
    <w:rsid w:val="000C11D6"/>
    <w:rsid w:val="000C11F3"/>
    <w:rsid w:val="000C145F"/>
    <w:rsid w:val="000C1559"/>
    <w:rsid w:val="000C163D"/>
    <w:rsid w:val="000C1863"/>
    <w:rsid w:val="000C191E"/>
    <w:rsid w:val="000C1ACD"/>
    <w:rsid w:val="000C1B50"/>
    <w:rsid w:val="000C1B8A"/>
    <w:rsid w:val="000C1DC8"/>
    <w:rsid w:val="000C1F26"/>
    <w:rsid w:val="000C2044"/>
    <w:rsid w:val="000C2061"/>
    <w:rsid w:val="000C20CC"/>
    <w:rsid w:val="000C2136"/>
    <w:rsid w:val="000C24CD"/>
    <w:rsid w:val="000C2566"/>
    <w:rsid w:val="000C257C"/>
    <w:rsid w:val="000C2594"/>
    <w:rsid w:val="000C267C"/>
    <w:rsid w:val="000C26C1"/>
    <w:rsid w:val="000C279D"/>
    <w:rsid w:val="000C27AD"/>
    <w:rsid w:val="000C2862"/>
    <w:rsid w:val="000C29F5"/>
    <w:rsid w:val="000C2A23"/>
    <w:rsid w:val="000C2B24"/>
    <w:rsid w:val="000C2B45"/>
    <w:rsid w:val="000C2E96"/>
    <w:rsid w:val="000C3023"/>
    <w:rsid w:val="000C304E"/>
    <w:rsid w:val="000C31E7"/>
    <w:rsid w:val="000C3685"/>
    <w:rsid w:val="000C3A72"/>
    <w:rsid w:val="000C3B67"/>
    <w:rsid w:val="000C3C50"/>
    <w:rsid w:val="000C3C67"/>
    <w:rsid w:val="000C3D38"/>
    <w:rsid w:val="000C3D75"/>
    <w:rsid w:val="000C408E"/>
    <w:rsid w:val="000C418B"/>
    <w:rsid w:val="000C41B1"/>
    <w:rsid w:val="000C424D"/>
    <w:rsid w:val="000C42BB"/>
    <w:rsid w:val="000C4541"/>
    <w:rsid w:val="000C45BF"/>
    <w:rsid w:val="000C48F9"/>
    <w:rsid w:val="000C4ADB"/>
    <w:rsid w:val="000C4AE4"/>
    <w:rsid w:val="000C4C74"/>
    <w:rsid w:val="000C4D4B"/>
    <w:rsid w:val="000C4E3B"/>
    <w:rsid w:val="000C4FC0"/>
    <w:rsid w:val="000C501A"/>
    <w:rsid w:val="000C5024"/>
    <w:rsid w:val="000C53BC"/>
    <w:rsid w:val="000C569D"/>
    <w:rsid w:val="000C57F7"/>
    <w:rsid w:val="000C5C41"/>
    <w:rsid w:val="000C5DB7"/>
    <w:rsid w:val="000C5EA5"/>
    <w:rsid w:val="000C5EC7"/>
    <w:rsid w:val="000C610F"/>
    <w:rsid w:val="000C628C"/>
    <w:rsid w:val="000C6683"/>
    <w:rsid w:val="000C6827"/>
    <w:rsid w:val="000C6973"/>
    <w:rsid w:val="000C6A2B"/>
    <w:rsid w:val="000C6D16"/>
    <w:rsid w:val="000C6E0F"/>
    <w:rsid w:val="000C71B6"/>
    <w:rsid w:val="000C727E"/>
    <w:rsid w:val="000C74DC"/>
    <w:rsid w:val="000C7A33"/>
    <w:rsid w:val="000C7A40"/>
    <w:rsid w:val="000C7B6E"/>
    <w:rsid w:val="000C7CB6"/>
    <w:rsid w:val="000D0030"/>
    <w:rsid w:val="000D02F6"/>
    <w:rsid w:val="000D0319"/>
    <w:rsid w:val="000D04CD"/>
    <w:rsid w:val="000D05A9"/>
    <w:rsid w:val="000D0678"/>
    <w:rsid w:val="000D0877"/>
    <w:rsid w:val="000D0E73"/>
    <w:rsid w:val="000D0EF3"/>
    <w:rsid w:val="000D0FCA"/>
    <w:rsid w:val="000D0FD9"/>
    <w:rsid w:val="000D1009"/>
    <w:rsid w:val="000D1182"/>
    <w:rsid w:val="000D1814"/>
    <w:rsid w:val="000D194C"/>
    <w:rsid w:val="000D1A2B"/>
    <w:rsid w:val="000D1B30"/>
    <w:rsid w:val="000D1C00"/>
    <w:rsid w:val="000D1C4A"/>
    <w:rsid w:val="000D1C94"/>
    <w:rsid w:val="000D1CA2"/>
    <w:rsid w:val="000D1F48"/>
    <w:rsid w:val="000D1FED"/>
    <w:rsid w:val="000D2062"/>
    <w:rsid w:val="000D2161"/>
    <w:rsid w:val="000D222A"/>
    <w:rsid w:val="000D2371"/>
    <w:rsid w:val="000D2429"/>
    <w:rsid w:val="000D24F0"/>
    <w:rsid w:val="000D24FC"/>
    <w:rsid w:val="000D255C"/>
    <w:rsid w:val="000D25C7"/>
    <w:rsid w:val="000D25CF"/>
    <w:rsid w:val="000D2B13"/>
    <w:rsid w:val="000D2B51"/>
    <w:rsid w:val="000D2CB2"/>
    <w:rsid w:val="000D3113"/>
    <w:rsid w:val="000D315F"/>
    <w:rsid w:val="000D3312"/>
    <w:rsid w:val="000D389D"/>
    <w:rsid w:val="000D39BC"/>
    <w:rsid w:val="000D3B70"/>
    <w:rsid w:val="000D3CD3"/>
    <w:rsid w:val="000D3DAE"/>
    <w:rsid w:val="000D3EB8"/>
    <w:rsid w:val="000D3F83"/>
    <w:rsid w:val="000D3FBF"/>
    <w:rsid w:val="000D3FD0"/>
    <w:rsid w:val="000D41FF"/>
    <w:rsid w:val="000D436A"/>
    <w:rsid w:val="000D4454"/>
    <w:rsid w:val="000D4743"/>
    <w:rsid w:val="000D47D4"/>
    <w:rsid w:val="000D4CF5"/>
    <w:rsid w:val="000D4E6A"/>
    <w:rsid w:val="000D4EEA"/>
    <w:rsid w:val="000D51B7"/>
    <w:rsid w:val="000D528A"/>
    <w:rsid w:val="000D57A5"/>
    <w:rsid w:val="000D57EB"/>
    <w:rsid w:val="000D5D02"/>
    <w:rsid w:val="000D5F2E"/>
    <w:rsid w:val="000D6035"/>
    <w:rsid w:val="000D6093"/>
    <w:rsid w:val="000D6158"/>
    <w:rsid w:val="000D628E"/>
    <w:rsid w:val="000D6332"/>
    <w:rsid w:val="000D642A"/>
    <w:rsid w:val="000D660C"/>
    <w:rsid w:val="000D6670"/>
    <w:rsid w:val="000D66A1"/>
    <w:rsid w:val="000D67FD"/>
    <w:rsid w:val="000D6998"/>
    <w:rsid w:val="000D69FE"/>
    <w:rsid w:val="000D6D44"/>
    <w:rsid w:val="000D6EF5"/>
    <w:rsid w:val="000D6F80"/>
    <w:rsid w:val="000D7071"/>
    <w:rsid w:val="000D7407"/>
    <w:rsid w:val="000D785F"/>
    <w:rsid w:val="000D7901"/>
    <w:rsid w:val="000D7BB1"/>
    <w:rsid w:val="000D7D42"/>
    <w:rsid w:val="000D7E52"/>
    <w:rsid w:val="000D7E5E"/>
    <w:rsid w:val="000E0021"/>
    <w:rsid w:val="000E0152"/>
    <w:rsid w:val="000E02FF"/>
    <w:rsid w:val="000E0446"/>
    <w:rsid w:val="000E05FA"/>
    <w:rsid w:val="000E0620"/>
    <w:rsid w:val="000E0799"/>
    <w:rsid w:val="000E0828"/>
    <w:rsid w:val="000E085C"/>
    <w:rsid w:val="000E0897"/>
    <w:rsid w:val="000E0A3C"/>
    <w:rsid w:val="000E0BB5"/>
    <w:rsid w:val="000E0D36"/>
    <w:rsid w:val="000E1064"/>
    <w:rsid w:val="000E1209"/>
    <w:rsid w:val="000E1229"/>
    <w:rsid w:val="000E1245"/>
    <w:rsid w:val="000E14C1"/>
    <w:rsid w:val="000E14F2"/>
    <w:rsid w:val="000E1C83"/>
    <w:rsid w:val="000E1D13"/>
    <w:rsid w:val="000E1DCC"/>
    <w:rsid w:val="000E1F7E"/>
    <w:rsid w:val="000E2126"/>
    <w:rsid w:val="000E2145"/>
    <w:rsid w:val="000E21A4"/>
    <w:rsid w:val="000E21D6"/>
    <w:rsid w:val="000E22CB"/>
    <w:rsid w:val="000E23FC"/>
    <w:rsid w:val="000E2472"/>
    <w:rsid w:val="000E2B5D"/>
    <w:rsid w:val="000E2CC1"/>
    <w:rsid w:val="000E2E22"/>
    <w:rsid w:val="000E2F38"/>
    <w:rsid w:val="000E30C5"/>
    <w:rsid w:val="000E34DA"/>
    <w:rsid w:val="000E36A1"/>
    <w:rsid w:val="000E3792"/>
    <w:rsid w:val="000E37B3"/>
    <w:rsid w:val="000E3A46"/>
    <w:rsid w:val="000E3ACA"/>
    <w:rsid w:val="000E3B25"/>
    <w:rsid w:val="000E3B81"/>
    <w:rsid w:val="000E3CD8"/>
    <w:rsid w:val="000E3D71"/>
    <w:rsid w:val="000E3DFB"/>
    <w:rsid w:val="000E3E3B"/>
    <w:rsid w:val="000E3EE5"/>
    <w:rsid w:val="000E3F1F"/>
    <w:rsid w:val="000E41B2"/>
    <w:rsid w:val="000E42B7"/>
    <w:rsid w:val="000E4597"/>
    <w:rsid w:val="000E47E2"/>
    <w:rsid w:val="000E48A6"/>
    <w:rsid w:val="000E48FE"/>
    <w:rsid w:val="000E4975"/>
    <w:rsid w:val="000E499E"/>
    <w:rsid w:val="000E4AD9"/>
    <w:rsid w:val="000E4E53"/>
    <w:rsid w:val="000E4E98"/>
    <w:rsid w:val="000E4FA7"/>
    <w:rsid w:val="000E4FE7"/>
    <w:rsid w:val="000E5038"/>
    <w:rsid w:val="000E5180"/>
    <w:rsid w:val="000E524C"/>
    <w:rsid w:val="000E54B6"/>
    <w:rsid w:val="000E573B"/>
    <w:rsid w:val="000E575F"/>
    <w:rsid w:val="000E581A"/>
    <w:rsid w:val="000E593F"/>
    <w:rsid w:val="000E5A69"/>
    <w:rsid w:val="000E5AFA"/>
    <w:rsid w:val="000E5D9B"/>
    <w:rsid w:val="000E6159"/>
    <w:rsid w:val="000E64A6"/>
    <w:rsid w:val="000E64A7"/>
    <w:rsid w:val="000E660C"/>
    <w:rsid w:val="000E6806"/>
    <w:rsid w:val="000E698A"/>
    <w:rsid w:val="000E6D32"/>
    <w:rsid w:val="000E6F7C"/>
    <w:rsid w:val="000E700B"/>
    <w:rsid w:val="000E7042"/>
    <w:rsid w:val="000E7286"/>
    <w:rsid w:val="000E72D8"/>
    <w:rsid w:val="000E74BB"/>
    <w:rsid w:val="000E75E5"/>
    <w:rsid w:val="000E75F2"/>
    <w:rsid w:val="000E76DF"/>
    <w:rsid w:val="000E77E6"/>
    <w:rsid w:val="000E7A84"/>
    <w:rsid w:val="000E7AEB"/>
    <w:rsid w:val="000E7BD1"/>
    <w:rsid w:val="000E7C00"/>
    <w:rsid w:val="000E7C40"/>
    <w:rsid w:val="000E7ED1"/>
    <w:rsid w:val="000E7ED2"/>
    <w:rsid w:val="000E7FC0"/>
    <w:rsid w:val="000F00D6"/>
    <w:rsid w:val="000F04DD"/>
    <w:rsid w:val="000F051D"/>
    <w:rsid w:val="000F076A"/>
    <w:rsid w:val="000F07E3"/>
    <w:rsid w:val="000F0856"/>
    <w:rsid w:val="000F08C9"/>
    <w:rsid w:val="000F0CA8"/>
    <w:rsid w:val="000F0DDB"/>
    <w:rsid w:val="000F0F7D"/>
    <w:rsid w:val="000F1088"/>
    <w:rsid w:val="000F11BB"/>
    <w:rsid w:val="000F13EA"/>
    <w:rsid w:val="000F1844"/>
    <w:rsid w:val="000F1B01"/>
    <w:rsid w:val="000F1B66"/>
    <w:rsid w:val="000F1C01"/>
    <w:rsid w:val="000F1C3B"/>
    <w:rsid w:val="000F21D7"/>
    <w:rsid w:val="000F2366"/>
    <w:rsid w:val="000F2400"/>
    <w:rsid w:val="000F2478"/>
    <w:rsid w:val="000F254C"/>
    <w:rsid w:val="000F268D"/>
    <w:rsid w:val="000F2A6B"/>
    <w:rsid w:val="000F2B4A"/>
    <w:rsid w:val="000F2C80"/>
    <w:rsid w:val="000F2DCE"/>
    <w:rsid w:val="000F2E05"/>
    <w:rsid w:val="000F31D7"/>
    <w:rsid w:val="000F351E"/>
    <w:rsid w:val="000F36D3"/>
    <w:rsid w:val="000F3966"/>
    <w:rsid w:val="000F39DB"/>
    <w:rsid w:val="000F3B04"/>
    <w:rsid w:val="000F3B4F"/>
    <w:rsid w:val="000F3BC1"/>
    <w:rsid w:val="000F3BE2"/>
    <w:rsid w:val="000F3F49"/>
    <w:rsid w:val="000F4063"/>
    <w:rsid w:val="000F4312"/>
    <w:rsid w:val="000F4379"/>
    <w:rsid w:val="000F4385"/>
    <w:rsid w:val="000F43D6"/>
    <w:rsid w:val="000F43ED"/>
    <w:rsid w:val="000F4702"/>
    <w:rsid w:val="000F4B5D"/>
    <w:rsid w:val="000F4BF9"/>
    <w:rsid w:val="000F4C92"/>
    <w:rsid w:val="000F4FEB"/>
    <w:rsid w:val="000F52EA"/>
    <w:rsid w:val="000F5339"/>
    <w:rsid w:val="000F55B7"/>
    <w:rsid w:val="000F572B"/>
    <w:rsid w:val="000F5896"/>
    <w:rsid w:val="000F5A34"/>
    <w:rsid w:val="000F5DE0"/>
    <w:rsid w:val="000F5E68"/>
    <w:rsid w:val="000F61DD"/>
    <w:rsid w:val="000F61EA"/>
    <w:rsid w:val="000F66A9"/>
    <w:rsid w:val="000F684B"/>
    <w:rsid w:val="000F6AB0"/>
    <w:rsid w:val="000F6AEC"/>
    <w:rsid w:val="000F6B0C"/>
    <w:rsid w:val="000F6BBD"/>
    <w:rsid w:val="000F6D4E"/>
    <w:rsid w:val="000F6EA0"/>
    <w:rsid w:val="000F6EE1"/>
    <w:rsid w:val="000F708B"/>
    <w:rsid w:val="000F71FB"/>
    <w:rsid w:val="000F731B"/>
    <w:rsid w:val="000F7369"/>
    <w:rsid w:val="000F73BE"/>
    <w:rsid w:val="000F7483"/>
    <w:rsid w:val="000F752B"/>
    <w:rsid w:val="000F76EB"/>
    <w:rsid w:val="000F7787"/>
    <w:rsid w:val="000F7AA5"/>
    <w:rsid w:val="000F7E10"/>
    <w:rsid w:val="000F7FCE"/>
    <w:rsid w:val="001000D6"/>
    <w:rsid w:val="001005C0"/>
    <w:rsid w:val="00100942"/>
    <w:rsid w:val="0010097C"/>
    <w:rsid w:val="001009A8"/>
    <w:rsid w:val="001009CC"/>
    <w:rsid w:val="00100A7F"/>
    <w:rsid w:val="00100BEA"/>
    <w:rsid w:val="00100D27"/>
    <w:rsid w:val="00100DDE"/>
    <w:rsid w:val="0010109E"/>
    <w:rsid w:val="00101491"/>
    <w:rsid w:val="001017AD"/>
    <w:rsid w:val="00101CB1"/>
    <w:rsid w:val="00101D85"/>
    <w:rsid w:val="00101EA7"/>
    <w:rsid w:val="00101FC9"/>
    <w:rsid w:val="00101FD5"/>
    <w:rsid w:val="00102141"/>
    <w:rsid w:val="00102475"/>
    <w:rsid w:val="001027A9"/>
    <w:rsid w:val="0010280F"/>
    <w:rsid w:val="001028D4"/>
    <w:rsid w:val="00102C52"/>
    <w:rsid w:val="00102CFD"/>
    <w:rsid w:val="00102DDD"/>
    <w:rsid w:val="00102F06"/>
    <w:rsid w:val="00103506"/>
    <w:rsid w:val="00103A6F"/>
    <w:rsid w:val="00103C90"/>
    <w:rsid w:val="0010410B"/>
    <w:rsid w:val="001045EE"/>
    <w:rsid w:val="0010474A"/>
    <w:rsid w:val="001048F9"/>
    <w:rsid w:val="00104AB8"/>
    <w:rsid w:val="00104C09"/>
    <w:rsid w:val="00105184"/>
    <w:rsid w:val="0010518A"/>
    <w:rsid w:val="001051E2"/>
    <w:rsid w:val="0010541A"/>
    <w:rsid w:val="001054AC"/>
    <w:rsid w:val="00105541"/>
    <w:rsid w:val="001055D0"/>
    <w:rsid w:val="001055FD"/>
    <w:rsid w:val="001056B6"/>
    <w:rsid w:val="0010595A"/>
    <w:rsid w:val="001059A2"/>
    <w:rsid w:val="00105A4D"/>
    <w:rsid w:val="00105ADD"/>
    <w:rsid w:val="00105AE1"/>
    <w:rsid w:val="00105BB6"/>
    <w:rsid w:val="00105C04"/>
    <w:rsid w:val="00105C86"/>
    <w:rsid w:val="00105D67"/>
    <w:rsid w:val="00105F41"/>
    <w:rsid w:val="00105FE2"/>
    <w:rsid w:val="00106410"/>
    <w:rsid w:val="0010644F"/>
    <w:rsid w:val="00106A77"/>
    <w:rsid w:val="00106E96"/>
    <w:rsid w:val="00106F7A"/>
    <w:rsid w:val="0010728E"/>
    <w:rsid w:val="001072D9"/>
    <w:rsid w:val="00107493"/>
    <w:rsid w:val="001077F3"/>
    <w:rsid w:val="00107AD9"/>
    <w:rsid w:val="00107BCD"/>
    <w:rsid w:val="00107D95"/>
    <w:rsid w:val="00107EF0"/>
    <w:rsid w:val="00110578"/>
    <w:rsid w:val="001106E2"/>
    <w:rsid w:val="00110AF3"/>
    <w:rsid w:val="00110F14"/>
    <w:rsid w:val="00111039"/>
    <w:rsid w:val="00111103"/>
    <w:rsid w:val="00111204"/>
    <w:rsid w:val="00111321"/>
    <w:rsid w:val="00111558"/>
    <w:rsid w:val="00111660"/>
    <w:rsid w:val="0011167C"/>
    <w:rsid w:val="001118C8"/>
    <w:rsid w:val="001118D1"/>
    <w:rsid w:val="00111CEB"/>
    <w:rsid w:val="00111DD3"/>
    <w:rsid w:val="00112324"/>
    <w:rsid w:val="00112348"/>
    <w:rsid w:val="00112430"/>
    <w:rsid w:val="001124F5"/>
    <w:rsid w:val="00112590"/>
    <w:rsid w:val="00112874"/>
    <w:rsid w:val="00112961"/>
    <w:rsid w:val="001129C1"/>
    <w:rsid w:val="00113180"/>
    <w:rsid w:val="0011327E"/>
    <w:rsid w:val="001134A2"/>
    <w:rsid w:val="001134E1"/>
    <w:rsid w:val="00113792"/>
    <w:rsid w:val="00113A02"/>
    <w:rsid w:val="00113C10"/>
    <w:rsid w:val="00113CAB"/>
    <w:rsid w:val="00113D60"/>
    <w:rsid w:val="00113EA3"/>
    <w:rsid w:val="00113F6C"/>
    <w:rsid w:val="001142BB"/>
    <w:rsid w:val="00114627"/>
    <w:rsid w:val="001146AE"/>
    <w:rsid w:val="001146F6"/>
    <w:rsid w:val="00114A81"/>
    <w:rsid w:val="00114B2E"/>
    <w:rsid w:val="00114CC6"/>
    <w:rsid w:val="00114E11"/>
    <w:rsid w:val="00115097"/>
    <w:rsid w:val="0011546E"/>
    <w:rsid w:val="001155EB"/>
    <w:rsid w:val="0011578B"/>
    <w:rsid w:val="001157BB"/>
    <w:rsid w:val="00115979"/>
    <w:rsid w:val="0011599F"/>
    <w:rsid w:val="00115B32"/>
    <w:rsid w:val="00115B96"/>
    <w:rsid w:val="00115BD6"/>
    <w:rsid w:val="00115C4B"/>
    <w:rsid w:val="001162F2"/>
    <w:rsid w:val="00116395"/>
    <w:rsid w:val="001163F4"/>
    <w:rsid w:val="00116801"/>
    <w:rsid w:val="001168DF"/>
    <w:rsid w:val="00116B7E"/>
    <w:rsid w:val="00116D09"/>
    <w:rsid w:val="00116F3F"/>
    <w:rsid w:val="001173E8"/>
    <w:rsid w:val="0011751F"/>
    <w:rsid w:val="00117650"/>
    <w:rsid w:val="00117703"/>
    <w:rsid w:val="0011776A"/>
    <w:rsid w:val="0011780D"/>
    <w:rsid w:val="0011797D"/>
    <w:rsid w:val="00117A3D"/>
    <w:rsid w:val="00117A98"/>
    <w:rsid w:val="00117D6E"/>
    <w:rsid w:val="001200FC"/>
    <w:rsid w:val="00120104"/>
    <w:rsid w:val="0012015B"/>
    <w:rsid w:val="00120371"/>
    <w:rsid w:val="001203E4"/>
    <w:rsid w:val="001204A4"/>
    <w:rsid w:val="0012056B"/>
    <w:rsid w:val="001205D1"/>
    <w:rsid w:val="001209DE"/>
    <w:rsid w:val="00120CD8"/>
    <w:rsid w:val="00120E97"/>
    <w:rsid w:val="00120F46"/>
    <w:rsid w:val="0012170B"/>
    <w:rsid w:val="00121768"/>
    <w:rsid w:val="00121907"/>
    <w:rsid w:val="001219FD"/>
    <w:rsid w:val="00121A4C"/>
    <w:rsid w:val="00121A92"/>
    <w:rsid w:val="00121BAC"/>
    <w:rsid w:val="00121ECD"/>
    <w:rsid w:val="00121FCA"/>
    <w:rsid w:val="00122082"/>
    <w:rsid w:val="001220FC"/>
    <w:rsid w:val="00122378"/>
    <w:rsid w:val="00122490"/>
    <w:rsid w:val="001229F2"/>
    <w:rsid w:val="00122A04"/>
    <w:rsid w:val="00122A1A"/>
    <w:rsid w:val="00122AF2"/>
    <w:rsid w:val="00122CE3"/>
    <w:rsid w:val="00122DFF"/>
    <w:rsid w:val="00122F35"/>
    <w:rsid w:val="00122FD9"/>
    <w:rsid w:val="001230B1"/>
    <w:rsid w:val="001234C7"/>
    <w:rsid w:val="001235FA"/>
    <w:rsid w:val="0012361E"/>
    <w:rsid w:val="00123817"/>
    <w:rsid w:val="00123833"/>
    <w:rsid w:val="00123864"/>
    <w:rsid w:val="001239B1"/>
    <w:rsid w:val="001239CE"/>
    <w:rsid w:val="00123AB2"/>
    <w:rsid w:val="00123CE8"/>
    <w:rsid w:val="00123DDA"/>
    <w:rsid w:val="00124455"/>
    <w:rsid w:val="001245F8"/>
    <w:rsid w:val="001245FC"/>
    <w:rsid w:val="0012466C"/>
    <w:rsid w:val="00124A10"/>
    <w:rsid w:val="00124ABA"/>
    <w:rsid w:val="00124C59"/>
    <w:rsid w:val="00124DE8"/>
    <w:rsid w:val="00124E29"/>
    <w:rsid w:val="00124ED7"/>
    <w:rsid w:val="00124FA9"/>
    <w:rsid w:val="00124FB3"/>
    <w:rsid w:val="001250CB"/>
    <w:rsid w:val="001250E5"/>
    <w:rsid w:val="001252CD"/>
    <w:rsid w:val="001255A9"/>
    <w:rsid w:val="001257F3"/>
    <w:rsid w:val="0012588E"/>
    <w:rsid w:val="001258D7"/>
    <w:rsid w:val="00125985"/>
    <w:rsid w:val="00125A58"/>
    <w:rsid w:val="0012603B"/>
    <w:rsid w:val="00126245"/>
    <w:rsid w:val="0012635D"/>
    <w:rsid w:val="0012643D"/>
    <w:rsid w:val="001264D1"/>
    <w:rsid w:val="00126586"/>
    <w:rsid w:val="001268C7"/>
    <w:rsid w:val="0012692E"/>
    <w:rsid w:val="001269B0"/>
    <w:rsid w:val="00126A70"/>
    <w:rsid w:val="00126C40"/>
    <w:rsid w:val="00126CAB"/>
    <w:rsid w:val="00126D03"/>
    <w:rsid w:val="00127020"/>
    <w:rsid w:val="0012707E"/>
    <w:rsid w:val="0012731C"/>
    <w:rsid w:val="001274A2"/>
    <w:rsid w:val="001279F0"/>
    <w:rsid w:val="00127A1E"/>
    <w:rsid w:val="00127A73"/>
    <w:rsid w:val="00127C27"/>
    <w:rsid w:val="00127E7E"/>
    <w:rsid w:val="00127EC0"/>
    <w:rsid w:val="00127F02"/>
    <w:rsid w:val="00127F8A"/>
    <w:rsid w:val="00127FD8"/>
    <w:rsid w:val="00130226"/>
    <w:rsid w:val="0013027D"/>
    <w:rsid w:val="001302E0"/>
    <w:rsid w:val="00130915"/>
    <w:rsid w:val="00130B53"/>
    <w:rsid w:val="00130CAB"/>
    <w:rsid w:val="00130E6D"/>
    <w:rsid w:val="001311F9"/>
    <w:rsid w:val="00131270"/>
    <w:rsid w:val="00131341"/>
    <w:rsid w:val="0013145F"/>
    <w:rsid w:val="00131615"/>
    <w:rsid w:val="00131752"/>
    <w:rsid w:val="00131815"/>
    <w:rsid w:val="0013192F"/>
    <w:rsid w:val="00131A8F"/>
    <w:rsid w:val="00131C4B"/>
    <w:rsid w:val="00131F0A"/>
    <w:rsid w:val="00132134"/>
    <w:rsid w:val="001325F7"/>
    <w:rsid w:val="0013270E"/>
    <w:rsid w:val="00132719"/>
    <w:rsid w:val="0013276A"/>
    <w:rsid w:val="001329B2"/>
    <w:rsid w:val="00132A23"/>
    <w:rsid w:val="00132AB9"/>
    <w:rsid w:val="00132C4D"/>
    <w:rsid w:val="00132C79"/>
    <w:rsid w:val="00132E12"/>
    <w:rsid w:val="00132FC1"/>
    <w:rsid w:val="00133145"/>
    <w:rsid w:val="0013328A"/>
    <w:rsid w:val="001332A8"/>
    <w:rsid w:val="00133354"/>
    <w:rsid w:val="001334CA"/>
    <w:rsid w:val="0013350C"/>
    <w:rsid w:val="00133648"/>
    <w:rsid w:val="00133760"/>
    <w:rsid w:val="00133B54"/>
    <w:rsid w:val="00133C7E"/>
    <w:rsid w:val="00133DA6"/>
    <w:rsid w:val="00133E2A"/>
    <w:rsid w:val="00133EF9"/>
    <w:rsid w:val="00133F32"/>
    <w:rsid w:val="00133F4D"/>
    <w:rsid w:val="0013412D"/>
    <w:rsid w:val="0013419A"/>
    <w:rsid w:val="00134214"/>
    <w:rsid w:val="001343A8"/>
    <w:rsid w:val="001343A9"/>
    <w:rsid w:val="00134439"/>
    <w:rsid w:val="00134639"/>
    <w:rsid w:val="00134696"/>
    <w:rsid w:val="001346DE"/>
    <w:rsid w:val="001347F6"/>
    <w:rsid w:val="001349C2"/>
    <w:rsid w:val="00135219"/>
    <w:rsid w:val="0013562A"/>
    <w:rsid w:val="00135845"/>
    <w:rsid w:val="0013586C"/>
    <w:rsid w:val="001358F9"/>
    <w:rsid w:val="001359B8"/>
    <w:rsid w:val="00135A1B"/>
    <w:rsid w:val="00135C1D"/>
    <w:rsid w:val="00135D63"/>
    <w:rsid w:val="00135E6B"/>
    <w:rsid w:val="00135FC2"/>
    <w:rsid w:val="00136026"/>
    <w:rsid w:val="00136072"/>
    <w:rsid w:val="001360E5"/>
    <w:rsid w:val="00136105"/>
    <w:rsid w:val="00136151"/>
    <w:rsid w:val="0013638A"/>
    <w:rsid w:val="001363D4"/>
    <w:rsid w:val="001363F9"/>
    <w:rsid w:val="001364C2"/>
    <w:rsid w:val="00136566"/>
    <w:rsid w:val="001366EE"/>
    <w:rsid w:val="0013674B"/>
    <w:rsid w:val="0013685C"/>
    <w:rsid w:val="00136B3B"/>
    <w:rsid w:val="00136D4F"/>
    <w:rsid w:val="00136F0F"/>
    <w:rsid w:val="00137269"/>
    <w:rsid w:val="001372FC"/>
    <w:rsid w:val="001374F3"/>
    <w:rsid w:val="0013798C"/>
    <w:rsid w:val="00137B5E"/>
    <w:rsid w:val="00137DA1"/>
    <w:rsid w:val="00137E81"/>
    <w:rsid w:val="00137F76"/>
    <w:rsid w:val="00140028"/>
    <w:rsid w:val="0014009D"/>
    <w:rsid w:val="001400B3"/>
    <w:rsid w:val="00140179"/>
    <w:rsid w:val="0014029A"/>
    <w:rsid w:val="001405BA"/>
    <w:rsid w:val="00140CD2"/>
    <w:rsid w:val="00140FB1"/>
    <w:rsid w:val="00140FF0"/>
    <w:rsid w:val="00141011"/>
    <w:rsid w:val="001411A5"/>
    <w:rsid w:val="001412D3"/>
    <w:rsid w:val="0014132C"/>
    <w:rsid w:val="0014132E"/>
    <w:rsid w:val="00141401"/>
    <w:rsid w:val="00141829"/>
    <w:rsid w:val="001419FE"/>
    <w:rsid w:val="00141AE7"/>
    <w:rsid w:val="00141B0C"/>
    <w:rsid w:val="00141ED1"/>
    <w:rsid w:val="00141F4E"/>
    <w:rsid w:val="00141F51"/>
    <w:rsid w:val="00142288"/>
    <w:rsid w:val="001423B7"/>
    <w:rsid w:val="00142532"/>
    <w:rsid w:val="00142807"/>
    <w:rsid w:val="00142832"/>
    <w:rsid w:val="001429CD"/>
    <w:rsid w:val="00142A28"/>
    <w:rsid w:val="00142B26"/>
    <w:rsid w:val="00142B97"/>
    <w:rsid w:val="00142BD7"/>
    <w:rsid w:val="00142C7D"/>
    <w:rsid w:val="00142F5D"/>
    <w:rsid w:val="00142FE3"/>
    <w:rsid w:val="00143063"/>
    <w:rsid w:val="001430AA"/>
    <w:rsid w:val="001432EC"/>
    <w:rsid w:val="00143371"/>
    <w:rsid w:val="00143493"/>
    <w:rsid w:val="001434B8"/>
    <w:rsid w:val="001437B4"/>
    <w:rsid w:val="001438BB"/>
    <w:rsid w:val="00143DDA"/>
    <w:rsid w:val="00143DF9"/>
    <w:rsid w:val="00143F2A"/>
    <w:rsid w:val="00143F5F"/>
    <w:rsid w:val="00143FB6"/>
    <w:rsid w:val="0014446C"/>
    <w:rsid w:val="0014462E"/>
    <w:rsid w:val="001447B1"/>
    <w:rsid w:val="0014484E"/>
    <w:rsid w:val="00144AED"/>
    <w:rsid w:val="0014525E"/>
    <w:rsid w:val="0014535E"/>
    <w:rsid w:val="001456BB"/>
    <w:rsid w:val="00145781"/>
    <w:rsid w:val="001457DC"/>
    <w:rsid w:val="00145AD8"/>
    <w:rsid w:val="00145D41"/>
    <w:rsid w:val="00145E19"/>
    <w:rsid w:val="00145F4D"/>
    <w:rsid w:val="00145F8D"/>
    <w:rsid w:val="00146084"/>
    <w:rsid w:val="0014652C"/>
    <w:rsid w:val="001468F4"/>
    <w:rsid w:val="00146990"/>
    <w:rsid w:val="00146BB2"/>
    <w:rsid w:val="00146C17"/>
    <w:rsid w:val="00146C73"/>
    <w:rsid w:val="00146D28"/>
    <w:rsid w:val="00146DCE"/>
    <w:rsid w:val="00146E59"/>
    <w:rsid w:val="00146F89"/>
    <w:rsid w:val="0014703E"/>
    <w:rsid w:val="00147158"/>
    <w:rsid w:val="00147202"/>
    <w:rsid w:val="00147322"/>
    <w:rsid w:val="001477AB"/>
    <w:rsid w:val="0014782D"/>
    <w:rsid w:val="00147A98"/>
    <w:rsid w:val="00147A9A"/>
    <w:rsid w:val="00147DB9"/>
    <w:rsid w:val="00147DFE"/>
    <w:rsid w:val="00148295"/>
    <w:rsid w:val="0015050E"/>
    <w:rsid w:val="0015066A"/>
    <w:rsid w:val="00150685"/>
    <w:rsid w:val="00150D6C"/>
    <w:rsid w:val="00150D76"/>
    <w:rsid w:val="001510A5"/>
    <w:rsid w:val="00151908"/>
    <w:rsid w:val="00151991"/>
    <w:rsid w:val="00151CA4"/>
    <w:rsid w:val="00151D8C"/>
    <w:rsid w:val="00151F69"/>
    <w:rsid w:val="00152041"/>
    <w:rsid w:val="0015205D"/>
    <w:rsid w:val="00152208"/>
    <w:rsid w:val="001522BA"/>
    <w:rsid w:val="00152374"/>
    <w:rsid w:val="0015253B"/>
    <w:rsid w:val="001529CC"/>
    <w:rsid w:val="00152C59"/>
    <w:rsid w:val="00152CBF"/>
    <w:rsid w:val="00152EC6"/>
    <w:rsid w:val="0015314B"/>
    <w:rsid w:val="00153219"/>
    <w:rsid w:val="0015324E"/>
    <w:rsid w:val="00153471"/>
    <w:rsid w:val="00153573"/>
    <w:rsid w:val="001535F1"/>
    <w:rsid w:val="00153702"/>
    <w:rsid w:val="00153866"/>
    <w:rsid w:val="001538D6"/>
    <w:rsid w:val="00153940"/>
    <w:rsid w:val="00153992"/>
    <w:rsid w:val="00153C8B"/>
    <w:rsid w:val="00153DCA"/>
    <w:rsid w:val="00153E7A"/>
    <w:rsid w:val="00153E9C"/>
    <w:rsid w:val="0015401C"/>
    <w:rsid w:val="001546A3"/>
    <w:rsid w:val="00154854"/>
    <w:rsid w:val="00154861"/>
    <w:rsid w:val="00154A08"/>
    <w:rsid w:val="00154A55"/>
    <w:rsid w:val="00154B0C"/>
    <w:rsid w:val="00154CFA"/>
    <w:rsid w:val="00154DE3"/>
    <w:rsid w:val="00154F6C"/>
    <w:rsid w:val="00154F9E"/>
    <w:rsid w:val="001550EB"/>
    <w:rsid w:val="001552A5"/>
    <w:rsid w:val="001552BB"/>
    <w:rsid w:val="001552D0"/>
    <w:rsid w:val="001552EE"/>
    <w:rsid w:val="00155360"/>
    <w:rsid w:val="001553C1"/>
    <w:rsid w:val="00155595"/>
    <w:rsid w:val="0015559E"/>
    <w:rsid w:val="001555DE"/>
    <w:rsid w:val="00155764"/>
    <w:rsid w:val="001558F4"/>
    <w:rsid w:val="00155CD7"/>
    <w:rsid w:val="00155CDB"/>
    <w:rsid w:val="001560A9"/>
    <w:rsid w:val="00156296"/>
    <w:rsid w:val="0015641A"/>
    <w:rsid w:val="001566F4"/>
    <w:rsid w:val="001568AC"/>
    <w:rsid w:val="00156974"/>
    <w:rsid w:val="00156BAA"/>
    <w:rsid w:val="00156CFC"/>
    <w:rsid w:val="00156F7B"/>
    <w:rsid w:val="00156F96"/>
    <w:rsid w:val="00157011"/>
    <w:rsid w:val="0015708E"/>
    <w:rsid w:val="0015719C"/>
    <w:rsid w:val="001571ED"/>
    <w:rsid w:val="00157439"/>
    <w:rsid w:val="001574A4"/>
    <w:rsid w:val="00157562"/>
    <w:rsid w:val="001575E9"/>
    <w:rsid w:val="00157608"/>
    <w:rsid w:val="0015775A"/>
    <w:rsid w:val="00157A36"/>
    <w:rsid w:val="00157B3B"/>
    <w:rsid w:val="00157D16"/>
    <w:rsid w:val="00157F1E"/>
    <w:rsid w:val="0016002F"/>
    <w:rsid w:val="001602C4"/>
    <w:rsid w:val="0016044E"/>
    <w:rsid w:val="001606B5"/>
    <w:rsid w:val="001608DD"/>
    <w:rsid w:val="00160B85"/>
    <w:rsid w:val="00160DA1"/>
    <w:rsid w:val="00161158"/>
    <w:rsid w:val="0016155A"/>
    <w:rsid w:val="00161B55"/>
    <w:rsid w:val="00161B6B"/>
    <w:rsid w:val="00161B79"/>
    <w:rsid w:val="00161CF3"/>
    <w:rsid w:val="00161F95"/>
    <w:rsid w:val="00161F9B"/>
    <w:rsid w:val="00161FB2"/>
    <w:rsid w:val="0016212A"/>
    <w:rsid w:val="00162360"/>
    <w:rsid w:val="00162613"/>
    <w:rsid w:val="00162723"/>
    <w:rsid w:val="001629FD"/>
    <w:rsid w:val="00162AB4"/>
    <w:rsid w:val="00162AE6"/>
    <w:rsid w:val="00162B8A"/>
    <w:rsid w:val="00162C34"/>
    <w:rsid w:val="00162C8E"/>
    <w:rsid w:val="00162D1B"/>
    <w:rsid w:val="00162EFE"/>
    <w:rsid w:val="00162FBD"/>
    <w:rsid w:val="00163098"/>
    <w:rsid w:val="00163133"/>
    <w:rsid w:val="001631DA"/>
    <w:rsid w:val="0016324D"/>
    <w:rsid w:val="0016350E"/>
    <w:rsid w:val="001635F5"/>
    <w:rsid w:val="00163624"/>
    <w:rsid w:val="001639AA"/>
    <w:rsid w:val="00163C1C"/>
    <w:rsid w:val="00164065"/>
    <w:rsid w:val="00164096"/>
    <w:rsid w:val="0016417D"/>
    <w:rsid w:val="0016419F"/>
    <w:rsid w:val="0016431D"/>
    <w:rsid w:val="0016442E"/>
    <w:rsid w:val="00164496"/>
    <w:rsid w:val="0016468F"/>
    <w:rsid w:val="001650DA"/>
    <w:rsid w:val="00165182"/>
    <w:rsid w:val="001652AE"/>
    <w:rsid w:val="0016552A"/>
    <w:rsid w:val="0016585A"/>
    <w:rsid w:val="001658D4"/>
    <w:rsid w:val="00165B9F"/>
    <w:rsid w:val="00165C27"/>
    <w:rsid w:val="00165F89"/>
    <w:rsid w:val="001660D3"/>
    <w:rsid w:val="001662B6"/>
    <w:rsid w:val="0016684E"/>
    <w:rsid w:val="001669AF"/>
    <w:rsid w:val="00166D52"/>
    <w:rsid w:val="00166F34"/>
    <w:rsid w:val="00166F8D"/>
    <w:rsid w:val="00167046"/>
    <w:rsid w:val="0016730F"/>
    <w:rsid w:val="001674A7"/>
    <w:rsid w:val="001676BC"/>
    <w:rsid w:val="00167881"/>
    <w:rsid w:val="001679B3"/>
    <w:rsid w:val="001679EA"/>
    <w:rsid w:val="001679F8"/>
    <w:rsid w:val="00167A19"/>
    <w:rsid w:val="00167B6E"/>
    <w:rsid w:val="00167BC6"/>
    <w:rsid w:val="00167CBD"/>
    <w:rsid w:val="00167CE4"/>
    <w:rsid w:val="00167FAD"/>
    <w:rsid w:val="001700D5"/>
    <w:rsid w:val="0017027D"/>
    <w:rsid w:val="00170555"/>
    <w:rsid w:val="00170687"/>
    <w:rsid w:val="00170B1B"/>
    <w:rsid w:val="00170EA0"/>
    <w:rsid w:val="00170EED"/>
    <w:rsid w:val="00170F56"/>
    <w:rsid w:val="00170FAF"/>
    <w:rsid w:val="00170FF7"/>
    <w:rsid w:val="001710E6"/>
    <w:rsid w:val="001711BA"/>
    <w:rsid w:val="001711DE"/>
    <w:rsid w:val="00171456"/>
    <w:rsid w:val="001714F1"/>
    <w:rsid w:val="0017158F"/>
    <w:rsid w:val="001716FC"/>
    <w:rsid w:val="00171E0A"/>
    <w:rsid w:val="00171EFE"/>
    <w:rsid w:val="0017203E"/>
    <w:rsid w:val="0017221D"/>
    <w:rsid w:val="0017230C"/>
    <w:rsid w:val="00172343"/>
    <w:rsid w:val="0017245C"/>
    <w:rsid w:val="00172783"/>
    <w:rsid w:val="00172789"/>
    <w:rsid w:val="00172801"/>
    <w:rsid w:val="00172840"/>
    <w:rsid w:val="001728CF"/>
    <w:rsid w:val="001729CE"/>
    <w:rsid w:val="00172A7F"/>
    <w:rsid w:val="00172B08"/>
    <w:rsid w:val="00172CDA"/>
    <w:rsid w:val="00172DA6"/>
    <w:rsid w:val="00172E0B"/>
    <w:rsid w:val="00172E3D"/>
    <w:rsid w:val="00172FD8"/>
    <w:rsid w:val="001730E9"/>
    <w:rsid w:val="0017314F"/>
    <w:rsid w:val="0017315D"/>
    <w:rsid w:val="001733A6"/>
    <w:rsid w:val="00173552"/>
    <w:rsid w:val="001735BF"/>
    <w:rsid w:val="0017374D"/>
    <w:rsid w:val="00173907"/>
    <w:rsid w:val="00173A59"/>
    <w:rsid w:val="00173D57"/>
    <w:rsid w:val="00173D5C"/>
    <w:rsid w:val="00173DE0"/>
    <w:rsid w:val="00173E63"/>
    <w:rsid w:val="00173EF0"/>
    <w:rsid w:val="00174033"/>
    <w:rsid w:val="00174167"/>
    <w:rsid w:val="00174195"/>
    <w:rsid w:val="00174216"/>
    <w:rsid w:val="00174521"/>
    <w:rsid w:val="00174545"/>
    <w:rsid w:val="001746AE"/>
    <w:rsid w:val="00174798"/>
    <w:rsid w:val="001747BD"/>
    <w:rsid w:val="00174A75"/>
    <w:rsid w:val="00174C07"/>
    <w:rsid w:val="00174C0C"/>
    <w:rsid w:val="00174C56"/>
    <w:rsid w:val="00174E38"/>
    <w:rsid w:val="00175259"/>
    <w:rsid w:val="00175264"/>
    <w:rsid w:val="00175583"/>
    <w:rsid w:val="00175603"/>
    <w:rsid w:val="0017588B"/>
    <w:rsid w:val="001758C2"/>
    <w:rsid w:val="00175BD4"/>
    <w:rsid w:val="00175C0F"/>
    <w:rsid w:val="00175E10"/>
    <w:rsid w:val="001762BB"/>
    <w:rsid w:val="00176384"/>
    <w:rsid w:val="0017641E"/>
    <w:rsid w:val="0017647D"/>
    <w:rsid w:val="00176651"/>
    <w:rsid w:val="00176A61"/>
    <w:rsid w:val="00176AA8"/>
    <w:rsid w:val="00176FA0"/>
    <w:rsid w:val="00177046"/>
    <w:rsid w:val="0017704D"/>
    <w:rsid w:val="001770F9"/>
    <w:rsid w:val="001771EC"/>
    <w:rsid w:val="00177348"/>
    <w:rsid w:val="00177673"/>
    <w:rsid w:val="00177790"/>
    <w:rsid w:val="001777E1"/>
    <w:rsid w:val="00177813"/>
    <w:rsid w:val="00177860"/>
    <w:rsid w:val="00177900"/>
    <w:rsid w:val="00177AC8"/>
    <w:rsid w:val="00177B91"/>
    <w:rsid w:val="00177BF6"/>
    <w:rsid w:val="00177C6E"/>
    <w:rsid w:val="00177D97"/>
    <w:rsid w:val="00177EB2"/>
    <w:rsid w:val="00177EBD"/>
    <w:rsid w:val="00180465"/>
    <w:rsid w:val="00180585"/>
    <w:rsid w:val="001805B9"/>
    <w:rsid w:val="001805D8"/>
    <w:rsid w:val="00180ECC"/>
    <w:rsid w:val="0018103E"/>
    <w:rsid w:val="00181197"/>
    <w:rsid w:val="00181277"/>
    <w:rsid w:val="001812B1"/>
    <w:rsid w:val="001812E8"/>
    <w:rsid w:val="00181785"/>
    <w:rsid w:val="001817CF"/>
    <w:rsid w:val="0018188D"/>
    <w:rsid w:val="00181A6A"/>
    <w:rsid w:val="00181AE0"/>
    <w:rsid w:val="00181AFD"/>
    <w:rsid w:val="00181B8E"/>
    <w:rsid w:val="00181E8E"/>
    <w:rsid w:val="0018212F"/>
    <w:rsid w:val="001821A9"/>
    <w:rsid w:val="001822A4"/>
    <w:rsid w:val="001822B0"/>
    <w:rsid w:val="00182580"/>
    <w:rsid w:val="00182597"/>
    <w:rsid w:val="001826A0"/>
    <w:rsid w:val="00182733"/>
    <w:rsid w:val="00182B09"/>
    <w:rsid w:val="00182C9D"/>
    <w:rsid w:val="00182F83"/>
    <w:rsid w:val="00183060"/>
    <w:rsid w:val="00183139"/>
    <w:rsid w:val="001834AE"/>
    <w:rsid w:val="001834F7"/>
    <w:rsid w:val="00183658"/>
    <w:rsid w:val="001837A0"/>
    <w:rsid w:val="00183890"/>
    <w:rsid w:val="001838F5"/>
    <w:rsid w:val="001838F6"/>
    <w:rsid w:val="00183975"/>
    <w:rsid w:val="00183976"/>
    <w:rsid w:val="001839C4"/>
    <w:rsid w:val="00183A2C"/>
    <w:rsid w:val="00183AEC"/>
    <w:rsid w:val="0018404C"/>
    <w:rsid w:val="0018417A"/>
    <w:rsid w:val="001841CC"/>
    <w:rsid w:val="0018427C"/>
    <w:rsid w:val="00184402"/>
    <w:rsid w:val="00184425"/>
    <w:rsid w:val="0018442C"/>
    <w:rsid w:val="0018449B"/>
    <w:rsid w:val="0018450F"/>
    <w:rsid w:val="001848C2"/>
    <w:rsid w:val="00184A57"/>
    <w:rsid w:val="00184E74"/>
    <w:rsid w:val="00184ECB"/>
    <w:rsid w:val="0018515A"/>
    <w:rsid w:val="00185287"/>
    <w:rsid w:val="001854D2"/>
    <w:rsid w:val="001857FF"/>
    <w:rsid w:val="00185B18"/>
    <w:rsid w:val="00185F0C"/>
    <w:rsid w:val="00186107"/>
    <w:rsid w:val="00186140"/>
    <w:rsid w:val="001864AF"/>
    <w:rsid w:val="001864B7"/>
    <w:rsid w:val="00186710"/>
    <w:rsid w:val="001868AF"/>
    <w:rsid w:val="00186958"/>
    <w:rsid w:val="00186AB6"/>
    <w:rsid w:val="00186C1F"/>
    <w:rsid w:val="00186FCF"/>
    <w:rsid w:val="00187913"/>
    <w:rsid w:val="00187BC4"/>
    <w:rsid w:val="00187D5A"/>
    <w:rsid w:val="00187F3A"/>
    <w:rsid w:val="00187FA6"/>
    <w:rsid w:val="001900E6"/>
    <w:rsid w:val="0019025A"/>
    <w:rsid w:val="00190268"/>
    <w:rsid w:val="0019026A"/>
    <w:rsid w:val="001902E0"/>
    <w:rsid w:val="001907B2"/>
    <w:rsid w:val="00190804"/>
    <w:rsid w:val="00190A81"/>
    <w:rsid w:val="00190C83"/>
    <w:rsid w:val="00190E4D"/>
    <w:rsid w:val="00190F7B"/>
    <w:rsid w:val="00191085"/>
    <w:rsid w:val="001911A3"/>
    <w:rsid w:val="0019133E"/>
    <w:rsid w:val="00191350"/>
    <w:rsid w:val="001914A2"/>
    <w:rsid w:val="001915F7"/>
    <w:rsid w:val="0019164F"/>
    <w:rsid w:val="001917A5"/>
    <w:rsid w:val="001917C0"/>
    <w:rsid w:val="001917EA"/>
    <w:rsid w:val="00191894"/>
    <w:rsid w:val="00191C77"/>
    <w:rsid w:val="00191C8E"/>
    <w:rsid w:val="00191DC1"/>
    <w:rsid w:val="00191EC6"/>
    <w:rsid w:val="00191F32"/>
    <w:rsid w:val="00192162"/>
    <w:rsid w:val="001921E4"/>
    <w:rsid w:val="00192213"/>
    <w:rsid w:val="00192407"/>
    <w:rsid w:val="001925CC"/>
    <w:rsid w:val="00192BFD"/>
    <w:rsid w:val="00192FCF"/>
    <w:rsid w:val="0019320F"/>
    <w:rsid w:val="0019321D"/>
    <w:rsid w:val="001932C8"/>
    <w:rsid w:val="00193485"/>
    <w:rsid w:val="001935B1"/>
    <w:rsid w:val="001935CE"/>
    <w:rsid w:val="001937FC"/>
    <w:rsid w:val="00193842"/>
    <w:rsid w:val="00193880"/>
    <w:rsid w:val="00193928"/>
    <w:rsid w:val="00193C24"/>
    <w:rsid w:val="00193F77"/>
    <w:rsid w:val="001941F6"/>
    <w:rsid w:val="0019437F"/>
    <w:rsid w:val="00194495"/>
    <w:rsid w:val="00194507"/>
    <w:rsid w:val="00194647"/>
    <w:rsid w:val="001947F8"/>
    <w:rsid w:val="00194832"/>
    <w:rsid w:val="001948E2"/>
    <w:rsid w:val="00194973"/>
    <w:rsid w:val="00194D20"/>
    <w:rsid w:val="00194D93"/>
    <w:rsid w:val="0019502D"/>
    <w:rsid w:val="0019507E"/>
    <w:rsid w:val="00195107"/>
    <w:rsid w:val="001954A8"/>
    <w:rsid w:val="00195578"/>
    <w:rsid w:val="0019587A"/>
    <w:rsid w:val="00195B11"/>
    <w:rsid w:val="00195D2B"/>
    <w:rsid w:val="00195D46"/>
    <w:rsid w:val="00195DAC"/>
    <w:rsid w:val="00196074"/>
    <w:rsid w:val="0019610E"/>
    <w:rsid w:val="0019623A"/>
    <w:rsid w:val="001964F7"/>
    <w:rsid w:val="001965DB"/>
    <w:rsid w:val="001966BD"/>
    <w:rsid w:val="001966EA"/>
    <w:rsid w:val="00196824"/>
    <w:rsid w:val="001969D4"/>
    <w:rsid w:val="001969FD"/>
    <w:rsid w:val="001969FE"/>
    <w:rsid w:val="00196A5C"/>
    <w:rsid w:val="00196BD8"/>
    <w:rsid w:val="00196CAA"/>
    <w:rsid w:val="00196CD3"/>
    <w:rsid w:val="00196D1F"/>
    <w:rsid w:val="00196D5A"/>
    <w:rsid w:val="00196E2C"/>
    <w:rsid w:val="00196FC3"/>
    <w:rsid w:val="001970B6"/>
    <w:rsid w:val="001971A4"/>
    <w:rsid w:val="001971CA"/>
    <w:rsid w:val="001974BC"/>
    <w:rsid w:val="00197515"/>
    <w:rsid w:val="001976B2"/>
    <w:rsid w:val="00197C5A"/>
    <w:rsid w:val="00197CDF"/>
    <w:rsid w:val="00197DAF"/>
    <w:rsid w:val="00197F24"/>
    <w:rsid w:val="00197FE9"/>
    <w:rsid w:val="001A0519"/>
    <w:rsid w:val="001A0583"/>
    <w:rsid w:val="001A06CB"/>
    <w:rsid w:val="001A06D2"/>
    <w:rsid w:val="001A0942"/>
    <w:rsid w:val="001A0989"/>
    <w:rsid w:val="001A0A5B"/>
    <w:rsid w:val="001A0B55"/>
    <w:rsid w:val="001A103F"/>
    <w:rsid w:val="001A11FE"/>
    <w:rsid w:val="001A16B6"/>
    <w:rsid w:val="001A18DD"/>
    <w:rsid w:val="001A1945"/>
    <w:rsid w:val="001A1A69"/>
    <w:rsid w:val="001A1BC8"/>
    <w:rsid w:val="001A1BE5"/>
    <w:rsid w:val="001A1DA8"/>
    <w:rsid w:val="001A1E0C"/>
    <w:rsid w:val="001A1E1D"/>
    <w:rsid w:val="001A20B1"/>
    <w:rsid w:val="001A215F"/>
    <w:rsid w:val="001A23B3"/>
    <w:rsid w:val="001A2835"/>
    <w:rsid w:val="001A28BA"/>
    <w:rsid w:val="001A2AD6"/>
    <w:rsid w:val="001A2B0B"/>
    <w:rsid w:val="001A2B43"/>
    <w:rsid w:val="001A2B5B"/>
    <w:rsid w:val="001A2C00"/>
    <w:rsid w:val="001A2D4C"/>
    <w:rsid w:val="001A2D86"/>
    <w:rsid w:val="001A2E76"/>
    <w:rsid w:val="001A325D"/>
    <w:rsid w:val="001A329F"/>
    <w:rsid w:val="001A32EE"/>
    <w:rsid w:val="001A34E8"/>
    <w:rsid w:val="001A35AF"/>
    <w:rsid w:val="001A36B5"/>
    <w:rsid w:val="001A38E4"/>
    <w:rsid w:val="001A3AB2"/>
    <w:rsid w:val="001A3AC1"/>
    <w:rsid w:val="001A3ECC"/>
    <w:rsid w:val="001A4214"/>
    <w:rsid w:val="001A4529"/>
    <w:rsid w:val="001A456C"/>
    <w:rsid w:val="001A46E8"/>
    <w:rsid w:val="001A4757"/>
    <w:rsid w:val="001A4964"/>
    <w:rsid w:val="001A4B33"/>
    <w:rsid w:val="001A4C01"/>
    <w:rsid w:val="001A4C9E"/>
    <w:rsid w:val="001A4E01"/>
    <w:rsid w:val="001A4F6D"/>
    <w:rsid w:val="001A503F"/>
    <w:rsid w:val="001A52A4"/>
    <w:rsid w:val="001A5423"/>
    <w:rsid w:val="001A5429"/>
    <w:rsid w:val="001A54EE"/>
    <w:rsid w:val="001A589F"/>
    <w:rsid w:val="001A59D3"/>
    <w:rsid w:val="001A5ADE"/>
    <w:rsid w:val="001A6382"/>
    <w:rsid w:val="001A6393"/>
    <w:rsid w:val="001A64B6"/>
    <w:rsid w:val="001A693A"/>
    <w:rsid w:val="001A6967"/>
    <w:rsid w:val="001A6992"/>
    <w:rsid w:val="001A6B60"/>
    <w:rsid w:val="001A6DB1"/>
    <w:rsid w:val="001A6F5E"/>
    <w:rsid w:val="001A70DA"/>
    <w:rsid w:val="001A7279"/>
    <w:rsid w:val="001A748B"/>
    <w:rsid w:val="001A7513"/>
    <w:rsid w:val="001A76DF"/>
    <w:rsid w:val="001A772D"/>
    <w:rsid w:val="001A774C"/>
    <w:rsid w:val="001A7808"/>
    <w:rsid w:val="001A799D"/>
    <w:rsid w:val="001A79A6"/>
    <w:rsid w:val="001A7B6F"/>
    <w:rsid w:val="001A7DBC"/>
    <w:rsid w:val="001B0093"/>
    <w:rsid w:val="001B042B"/>
    <w:rsid w:val="001B049D"/>
    <w:rsid w:val="001B04A4"/>
    <w:rsid w:val="001B06E9"/>
    <w:rsid w:val="001B080A"/>
    <w:rsid w:val="001B09B3"/>
    <w:rsid w:val="001B09BA"/>
    <w:rsid w:val="001B09FE"/>
    <w:rsid w:val="001B0AF2"/>
    <w:rsid w:val="001B0BF6"/>
    <w:rsid w:val="001B126F"/>
    <w:rsid w:val="001B12E0"/>
    <w:rsid w:val="001B1424"/>
    <w:rsid w:val="001B1473"/>
    <w:rsid w:val="001B1495"/>
    <w:rsid w:val="001B1532"/>
    <w:rsid w:val="001B17DB"/>
    <w:rsid w:val="001B19CC"/>
    <w:rsid w:val="001B1C16"/>
    <w:rsid w:val="001B1D56"/>
    <w:rsid w:val="001B1E75"/>
    <w:rsid w:val="001B1EBE"/>
    <w:rsid w:val="001B1F38"/>
    <w:rsid w:val="001B1FBB"/>
    <w:rsid w:val="001B2018"/>
    <w:rsid w:val="001B2047"/>
    <w:rsid w:val="001B208B"/>
    <w:rsid w:val="001B2339"/>
    <w:rsid w:val="001B234C"/>
    <w:rsid w:val="001B23F1"/>
    <w:rsid w:val="001B28AA"/>
    <w:rsid w:val="001B29AA"/>
    <w:rsid w:val="001B2A8C"/>
    <w:rsid w:val="001B2C76"/>
    <w:rsid w:val="001B2CF3"/>
    <w:rsid w:val="001B2EA7"/>
    <w:rsid w:val="001B3224"/>
    <w:rsid w:val="001B349F"/>
    <w:rsid w:val="001B34DC"/>
    <w:rsid w:val="001B3647"/>
    <w:rsid w:val="001B3916"/>
    <w:rsid w:val="001B3B32"/>
    <w:rsid w:val="001B3C10"/>
    <w:rsid w:val="001B3F3A"/>
    <w:rsid w:val="001B41BE"/>
    <w:rsid w:val="001B42EB"/>
    <w:rsid w:val="001B446B"/>
    <w:rsid w:val="001B4586"/>
    <w:rsid w:val="001B4656"/>
    <w:rsid w:val="001B47F6"/>
    <w:rsid w:val="001B48BA"/>
    <w:rsid w:val="001B4925"/>
    <w:rsid w:val="001B4AA5"/>
    <w:rsid w:val="001B4BBF"/>
    <w:rsid w:val="001B4C16"/>
    <w:rsid w:val="001B4C29"/>
    <w:rsid w:val="001B4EC6"/>
    <w:rsid w:val="001B50E6"/>
    <w:rsid w:val="001B543B"/>
    <w:rsid w:val="001B55E4"/>
    <w:rsid w:val="001B562D"/>
    <w:rsid w:val="001B56DE"/>
    <w:rsid w:val="001B5754"/>
    <w:rsid w:val="001B57BB"/>
    <w:rsid w:val="001B584D"/>
    <w:rsid w:val="001B5876"/>
    <w:rsid w:val="001B58FE"/>
    <w:rsid w:val="001B5AE0"/>
    <w:rsid w:val="001B5CA8"/>
    <w:rsid w:val="001B5DC4"/>
    <w:rsid w:val="001B6168"/>
    <w:rsid w:val="001B61D5"/>
    <w:rsid w:val="001B62B7"/>
    <w:rsid w:val="001B64CD"/>
    <w:rsid w:val="001B6B1D"/>
    <w:rsid w:val="001B6C02"/>
    <w:rsid w:val="001B6CC4"/>
    <w:rsid w:val="001B6D4C"/>
    <w:rsid w:val="001B6EB4"/>
    <w:rsid w:val="001B73E0"/>
    <w:rsid w:val="001B7579"/>
    <w:rsid w:val="001B75E9"/>
    <w:rsid w:val="001B78A6"/>
    <w:rsid w:val="001B7A4A"/>
    <w:rsid w:val="001B7B25"/>
    <w:rsid w:val="001B7BF4"/>
    <w:rsid w:val="001B7BFE"/>
    <w:rsid w:val="001B7D34"/>
    <w:rsid w:val="001B7E43"/>
    <w:rsid w:val="001C00AD"/>
    <w:rsid w:val="001C01D5"/>
    <w:rsid w:val="001C0260"/>
    <w:rsid w:val="001C02E8"/>
    <w:rsid w:val="001C0491"/>
    <w:rsid w:val="001C06B5"/>
    <w:rsid w:val="001C0716"/>
    <w:rsid w:val="001C07FD"/>
    <w:rsid w:val="001C0B94"/>
    <w:rsid w:val="001C1081"/>
    <w:rsid w:val="001C1163"/>
    <w:rsid w:val="001C1279"/>
    <w:rsid w:val="001C1590"/>
    <w:rsid w:val="001C165F"/>
    <w:rsid w:val="001C16FD"/>
    <w:rsid w:val="001C186C"/>
    <w:rsid w:val="001C1AF1"/>
    <w:rsid w:val="001C1BCD"/>
    <w:rsid w:val="001C1CCE"/>
    <w:rsid w:val="001C1E4C"/>
    <w:rsid w:val="001C201D"/>
    <w:rsid w:val="001C24C0"/>
    <w:rsid w:val="001C2745"/>
    <w:rsid w:val="001C279F"/>
    <w:rsid w:val="001C2A8D"/>
    <w:rsid w:val="001C2C62"/>
    <w:rsid w:val="001C2D1E"/>
    <w:rsid w:val="001C2FE8"/>
    <w:rsid w:val="001C305D"/>
    <w:rsid w:val="001C31F0"/>
    <w:rsid w:val="001C325B"/>
    <w:rsid w:val="001C32B9"/>
    <w:rsid w:val="001C3323"/>
    <w:rsid w:val="001C366B"/>
    <w:rsid w:val="001C372A"/>
    <w:rsid w:val="001C37B9"/>
    <w:rsid w:val="001C3847"/>
    <w:rsid w:val="001C3911"/>
    <w:rsid w:val="001C3BA8"/>
    <w:rsid w:val="001C3BC1"/>
    <w:rsid w:val="001C3BF0"/>
    <w:rsid w:val="001C3D9B"/>
    <w:rsid w:val="001C3DFF"/>
    <w:rsid w:val="001C3E5C"/>
    <w:rsid w:val="001C4753"/>
    <w:rsid w:val="001C47A0"/>
    <w:rsid w:val="001C495A"/>
    <w:rsid w:val="001C497A"/>
    <w:rsid w:val="001C4A3C"/>
    <w:rsid w:val="001C529C"/>
    <w:rsid w:val="001C556F"/>
    <w:rsid w:val="001C577D"/>
    <w:rsid w:val="001C596E"/>
    <w:rsid w:val="001C5A27"/>
    <w:rsid w:val="001C5C73"/>
    <w:rsid w:val="001C5DF4"/>
    <w:rsid w:val="001C5E75"/>
    <w:rsid w:val="001C5EB2"/>
    <w:rsid w:val="001C6014"/>
    <w:rsid w:val="001C6051"/>
    <w:rsid w:val="001C61A0"/>
    <w:rsid w:val="001C6400"/>
    <w:rsid w:val="001C644B"/>
    <w:rsid w:val="001C647F"/>
    <w:rsid w:val="001C6516"/>
    <w:rsid w:val="001C66A3"/>
    <w:rsid w:val="001C6762"/>
    <w:rsid w:val="001C68CF"/>
    <w:rsid w:val="001C6B02"/>
    <w:rsid w:val="001C6BA6"/>
    <w:rsid w:val="001C6F71"/>
    <w:rsid w:val="001C6FFE"/>
    <w:rsid w:val="001C707B"/>
    <w:rsid w:val="001C737C"/>
    <w:rsid w:val="001C739F"/>
    <w:rsid w:val="001C7660"/>
    <w:rsid w:val="001C7729"/>
    <w:rsid w:val="001C7847"/>
    <w:rsid w:val="001C7DDE"/>
    <w:rsid w:val="001D0146"/>
    <w:rsid w:val="001D02AD"/>
    <w:rsid w:val="001D0360"/>
    <w:rsid w:val="001D05DE"/>
    <w:rsid w:val="001D05E6"/>
    <w:rsid w:val="001D0819"/>
    <w:rsid w:val="001D08D2"/>
    <w:rsid w:val="001D09DD"/>
    <w:rsid w:val="001D0B2A"/>
    <w:rsid w:val="001D0C6F"/>
    <w:rsid w:val="001D0D6A"/>
    <w:rsid w:val="001D0D72"/>
    <w:rsid w:val="001D0EF4"/>
    <w:rsid w:val="001D0F0C"/>
    <w:rsid w:val="001D1199"/>
    <w:rsid w:val="001D1270"/>
    <w:rsid w:val="001D14D7"/>
    <w:rsid w:val="001D15F3"/>
    <w:rsid w:val="001D161A"/>
    <w:rsid w:val="001D186A"/>
    <w:rsid w:val="001D1B02"/>
    <w:rsid w:val="001D1B58"/>
    <w:rsid w:val="001D1C8D"/>
    <w:rsid w:val="001D1E46"/>
    <w:rsid w:val="001D204D"/>
    <w:rsid w:val="001D21E8"/>
    <w:rsid w:val="001D221E"/>
    <w:rsid w:val="001D2307"/>
    <w:rsid w:val="001D2623"/>
    <w:rsid w:val="001D2885"/>
    <w:rsid w:val="001D28A0"/>
    <w:rsid w:val="001D29C9"/>
    <w:rsid w:val="001D2BCA"/>
    <w:rsid w:val="001D2D1A"/>
    <w:rsid w:val="001D2E8A"/>
    <w:rsid w:val="001D2E9F"/>
    <w:rsid w:val="001D3425"/>
    <w:rsid w:val="001D3680"/>
    <w:rsid w:val="001D3916"/>
    <w:rsid w:val="001D3B04"/>
    <w:rsid w:val="001D3EC7"/>
    <w:rsid w:val="001D3FF3"/>
    <w:rsid w:val="001D41A2"/>
    <w:rsid w:val="001D43E4"/>
    <w:rsid w:val="001D448F"/>
    <w:rsid w:val="001D48AE"/>
    <w:rsid w:val="001D48FB"/>
    <w:rsid w:val="001D4ABC"/>
    <w:rsid w:val="001D4BC4"/>
    <w:rsid w:val="001D4C07"/>
    <w:rsid w:val="001D4C29"/>
    <w:rsid w:val="001D4C95"/>
    <w:rsid w:val="001D4D3F"/>
    <w:rsid w:val="001D4E02"/>
    <w:rsid w:val="001D4F0E"/>
    <w:rsid w:val="001D5242"/>
    <w:rsid w:val="001D538E"/>
    <w:rsid w:val="001D546E"/>
    <w:rsid w:val="001D54E7"/>
    <w:rsid w:val="001D55EC"/>
    <w:rsid w:val="001D56CC"/>
    <w:rsid w:val="001D57CB"/>
    <w:rsid w:val="001D5DDB"/>
    <w:rsid w:val="001D5E68"/>
    <w:rsid w:val="001D5F60"/>
    <w:rsid w:val="001D65DC"/>
    <w:rsid w:val="001D6833"/>
    <w:rsid w:val="001D68A3"/>
    <w:rsid w:val="001D6C9D"/>
    <w:rsid w:val="001D6CC9"/>
    <w:rsid w:val="001D70F1"/>
    <w:rsid w:val="001D70FE"/>
    <w:rsid w:val="001D7164"/>
    <w:rsid w:val="001D72C2"/>
    <w:rsid w:val="001D73FB"/>
    <w:rsid w:val="001D74A7"/>
    <w:rsid w:val="001D75F6"/>
    <w:rsid w:val="001D7A0D"/>
    <w:rsid w:val="001D7BCB"/>
    <w:rsid w:val="001D7E3F"/>
    <w:rsid w:val="001D7F5A"/>
    <w:rsid w:val="001E0080"/>
    <w:rsid w:val="001E028F"/>
    <w:rsid w:val="001E042A"/>
    <w:rsid w:val="001E046B"/>
    <w:rsid w:val="001E0477"/>
    <w:rsid w:val="001E04CA"/>
    <w:rsid w:val="001E0685"/>
    <w:rsid w:val="001E07AB"/>
    <w:rsid w:val="001E0B25"/>
    <w:rsid w:val="001E0D4A"/>
    <w:rsid w:val="001E0D5D"/>
    <w:rsid w:val="001E0D88"/>
    <w:rsid w:val="001E10AD"/>
    <w:rsid w:val="001E13A0"/>
    <w:rsid w:val="001E13EC"/>
    <w:rsid w:val="001E1503"/>
    <w:rsid w:val="001E18D5"/>
    <w:rsid w:val="001E1A37"/>
    <w:rsid w:val="001E1B85"/>
    <w:rsid w:val="001E1D9A"/>
    <w:rsid w:val="001E1FBD"/>
    <w:rsid w:val="001E2012"/>
    <w:rsid w:val="001E207F"/>
    <w:rsid w:val="001E2159"/>
    <w:rsid w:val="001E22D6"/>
    <w:rsid w:val="001E23AE"/>
    <w:rsid w:val="001E2747"/>
    <w:rsid w:val="001E2755"/>
    <w:rsid w:val="001E28C9"/>
    <w:rsid w:val="001E2A74"/>
    <w:rsid w:val="001E2B77"/>
    <w:rsid w:val="001E2B7A"/>
    <w:rsid w:val="001E2D67"/>
    <w:rsid w:val="001E2EBD"/>
    <w:rsid w:val="001E3101"/>
    <w:rsid w:val="001E31DA"/>
    <w:rsid w:val="001E342F"/>
    <w:rsid w:val="001E3568"/>
    <w:rsid w:val="001E37A5"/>
    <w:rsid w:val="001E3887"/>
    <w:rsid w:val="001E3B2F"/>
    <w:rsid w:val="001E3E56"/>
    <w:rsid w:val="001E3E6B"/>
    <w:rsid w:val="001E4269"/>
    <w:rsid w:val="001E45A7"/>
    <w:rsid w:val="001E45B1"/>
    <w:rsid w:val="001E463F"/>
    <w:rsid w:val="001E478F"/>
    <w:rsid w:val="001E4ADB"/>
    <w:rsid w:val="001E4D4E"/>
    <w:rsid w:val="001E4DFD"/>
    <w:rsid w:val="001E4E7F"/>
    <w:rsid w:val="001E4F05"/>
    <w:rsid w:val="001E5105"/>
    <w:rsid w:val="001E528C"/>
    <w:rsid w:val="001E53D5"/>
    <w:rsid w:val="001E54BE"/>
    <w:rsid w:val="001E555B"/>
    <w:rsid w:val="001E5768"/>
    <w:rsid w:val="001E5B1F"/>
    <w:rsid w:val="001E5B51"/>
    <w:rsid w:val="001E5C8A"/>
    <w:rsid w:val="001E5CCA"/>
    <w:rsid w:val="001E5E37"/>
    <w:rsid w:val="001E5E4C"/>
    <w:rsid w:val="001E5E76"/>
    <w:rsid w:val="001E5F56"/>
    <w:rsid w:val="001E6021"/>
    <w:rsid w:val="001E60ED"/>
    <w:rsid w:val="001E6327"/>
    <w:rsid w:val="001E6382"/>
    <w:rsid w:val="001E68BC"/>
    <w:rsid w:val="001E6D1B"/>
    <w:rsid w:val="001E6F27"/>
    <w:rsid w:val="001E6F38"/>
    <w:rsid w:val="001E6FEB"/>
    <w:rsid w:val="001E7141"/>
    <w:rsid w:val="001E715A"/>
    <w:rsid w:val="001E7373"/>
    <w:rsid w:val="001E742D"/>
    <w:rsid w:val="001E7683"/>
    <w:rsid w:val="001E76F6"/>
    <w:rsid w:val="001E7795"/>
    <w:rsid w:val="001E7992"/>
    <w:rsid w:val="001E7AAB"/>
    <w:rsid w:val="001E7B46"/>
    <w:rsid w:val="001E7E14"/>
    <w:rsid w:val="001E7E91"/>
    <w:rsid w:val="001E7EE0"/>
    <w:rsid w:val="001E7F79"/>
    <w:rsid w:val="001E7FF4"/>
    <w:rsid w:val="001F0059"/>
    <w:rsid w:val="001F0085"/>
    <w:rsid w:val="001F0483"/>
    <w:rsid w:val="001F09F9"/>
    <w:rsid w:val="001F0E6D"/>
    <w:rsid w:val="001F0EF6"/>
    <w:rsid w:val="001F11B6"/>
    <w:rsid w:val="001F137F"/>
    <w:rsid w:val="001F1420"/>
    <w:rsid w:val="001F1537"/>
    <w:rsid w:val="001F18A8"/>
    <w:rsid w:val="001F199C"/>
    <w:rsid w:val="001F19DE"/>
    <w:rsid w:val="001F1B6A"/>
    <w:rsid w:val="001F1C2B"/>
    <w:rsid w:val="001F1E85"/>
    <w:rsid w:val="001F1E8B"/>
    <w:rsid w:val="001F1FC0"/>
    <w:rsid w:val="001F1FC4"/>
    <w:rsid w:val="001F2224"/>
    <w:rsid w:val="001F235F"/>
    <w:rsid w:val="001F243F"/>
    <w:rsid w:val="001F26C0"/>
    <w:rsid w:val="001F26CD"/>
    <w:rsid w:val="001F28D5"/>
    <w:rsid w:val="001F2912"/>
    <w:rsid w:val="001F2A4D"/>
    <w:rsid w:val="001F2A55"/>
    <w:rsid w:val="001F2AAF"/>
    <w:rsid w:val="001F2BA0"/>
    <w:rsid w:val="001F2CC6"/>
    <w:rsid w:val="001F2CDB"/>
    <w:rsid w:val="001F2D9A"/>
    <w:rsid w:val="001F2E8E"/>
    <w:rsid w:val="001F2FB3"/>
    <w:rsid w:val="001F30D9"/>
    <w:rsid w:val="001F3313"/>
    <w:rsid w:val="001F3538"/>
    <w:rsid w:val="001F36FE"/>
    <w:rsid w:val="001F37F3"/>
    <w:rsid w:val="001F38B2"/>
    <w:rsid w:val="001F38FE"/>
    <w:rsid w:val="001F3BB9"/>
    <w:rsid w:val="001F3CB4"/>
    <w:rsid w:val="001F3E56"/>
    <w:rsid w:val="001F3F06"/>
    <w:rsid w:val="001F3F91"/>
    <w:rsid w:val="001F3FB3"/>
    <w:rsid w:val="001F4022"/>
    <w:rsid w:val="001F4168"/>
    <w:rsid w:val="001F42EC"/>
    <w:rsid w:val="001F4368"/>
    <w:rsid w:val="001F4432"/>
    <w:rsid w:val="001F4514"/>
    <w:rsid w:val="001F466D"/>
    <w:rsid w:val="001F4743"/>
    <w:rsid w:val="001F4B51"/>
    <w:rsid w:val="001F4B72"/>
    <w:rsid w:val="001F4E53"/>
    <w:rsid w:val="001F4F09"/>
    <w:rsid w:val="001F50FB"/>
    <w:rsid w:val="001F515C"/>
    <w:rsid w:val="001F5160"/>
    <w:rsid w:val="001F518E"/>
    <w:rsid w:val="001F528A"/>
    <w:rsid w:val="001F529E"/>
    <w:rsid w:val="001F53E8"/>
    <w:rsid w:val="001F563B"/>
    <w:rsid w:val="001F573C"/>
    <w:rsid w:val="001F5899"/>
    <w:rsid w:val="001F5E55"/>
    <w:rsid w:val="001F6023"/>
    <w:rsid w:val="001F6058"/>
    <w:rsid w:val="001F64B2"/>
    <w:rsid w:val="001F6A74"/>
    <w:rsid w:val="001F6CBB"/>
    <w:rsid w:val="001F6D17"/>
    <w:rsid w:val="001F6FBA"/>
    <w:rsid w:val="001F7067"/>
    <w:rsid w:val="001F716D"/>
    <w:rsid w:val="001F718B"/>
    <w:rsid w:val="001F737F"/>
    <w:rsid w:val="001F7387"/>
    <w:rsid w:val="001F73D5"/>
    <w:rsid w:val="001F7417"/>
    <w:rsid w:val="001F7449"/>
    <w:rsid w:val="001F7494"/>
    <w:rsid w:val="001F7495"/>
    <w:rsid w:val="001F7507"/>
    <w:rsid w:val="001F7540"/>
    <w:rsid w:val="001F780A"/>
    <w:rsid w:val="001F7B1C"/>
    <w:rsid w:val="001F7FE5"/>
    <w:rsid w:val="002003CB"/>
    <w:rsid w:val="00200590"/>
    <w:rsid w:val="00200670"/>
    <w:rsid w:val="00200ACD"/>
    <w:rsid w:val="00200C7F"/>
    <w:rsid w:val="00200F37"/>
    <w:rsid w:val="00200F51"/>
    <w:rsid w:val="00200F71"/>
    <w:rsid w:val="002010D1"/>
    <w:rsid w:val="00201366"/>
    <w:rsid w:val="0020136A"/>
    <w:rsid w:val="002013D9"/>
    <w:rsid w:val="00201602"/>
    <w:rsid w:val="0020164E"/>
    <w:rsid w:val="002016B5"/>
    <w:rsid w:val="00201709"/>
    <w:rsid w:val="002017F8"/>
    <w:rsid w:val="00201AF4"/>
    <w:rsid w:val="00201BA5"/>
    <w:rsid w:val="00201CBC"/>
    <w:rsid w:val="00201CD1"/>
    <w:rsid w:val="00201E8E"/>
    <w:rsid w:val="0020237F"/>
    <w:rsid w:val="00202460"/>
    <w:rsid w:val="0020251E"/>
    <w:rsid w:val="00202706"/>
    <w:rsid w:val="00202814"/>
    <w:rsid w:val="00202B53"/>
    <w:rsid w:val="00202B9A"/>
    <w:rsid w:val="00202CAE"/>
    <w:rsid w:val="00202D03"/>
    <w:rsid w:val="00202FE7"/>
    <w:rsid w:val="002033BA"/>
    <w:rsid w:val="002035F2"/>
    <w:rsid w:val="0020364D"/>
    <w:rsid w:val="002036C9"/>
    <w:rsid w:val="0020390B"/>
    <w:rsid w:val="00203AEF"/>
    <w:rsid w:val="00203CDC"/>
    <w:rsid w:val="0020406B"/>
    <w:rsid w:val="00204178"/>
    <w:rsid w:val="002041DA"/>
    <w:rsid w:val="00204211"/>
    <w:rsid w:val="00204225"/>
    <w:rsid w:val="0020423C"/>
    <w:rsid w:val="00204595"/>
    <w:rsid w:val="002045FE"/>
    <w:rsid w:val="0020476A"/>
    <w:rsid w:val="0020489F"/>
    <w:rsid w:val="00204B2B"/>
    <w:rsid w:val="002051FC"/>
    <w:rsid w:val="00205222"/>
    <w:rsid w:val="00205388"/>
    <w:rsid w:val="00205472"/>
    <w:rsid w:val="00205474"/>
    <w:rsid w:val="00205497"/>
    <w:rsid w:val="002056BC"/>
    <w:rsid w:val="002057E2"/>
    <w:rsid w:val="00205A39"/>
    <w:rsid w:val="00205A43"/>
    <w:rsid w:val="00205B8E"/>
    <w:rsid w:val="00205E11"/>
    <w:rsid w:val="00205E9E"/>
    <w:rsid w:val="00205F74"/>
    <w:rsid w:val="00206223"/>
    <w:rsid w:val="0020624B"/>
    <w:rsid w:val="002062D2"/>
    <w:rsid w:val="002063EE"/>
    <w:rsid w:val="00206588"/>
    <w:rsid w:val="002067E2"/>
    <w:rsid w:val="00206BD1"/>
    <w:rsid w:val="00206C85"/>
    <w:rsid w:val="0020734D"/>
    <w:rsid w:val="00207480"/>
    <w:rsid w:val="002075BC"/>
    <w:rsid w:val="00207904"/>
    <w:rsid w:val="00207A5C"/>
    <w:rsid w:val="00207E0B"/>
    <w:rsid w:val="00207E1B"/>
    <w:rsid w:val="00207F01"/>
    <w:rsid w:val="00210061"/>
    <w:rsid w:val="00210144"/>
    <w:rsid w:val="002101E8"/>
    <w:rsid w:val="002102E5"/>
    <w:rsid w:val="00210575"/>
    <w:rsid w:val="00210897"/>
    <w:rsid w:val="00210DFF"/>
    <w:rsid w:val="00210E64"/>
    <w:rsid w:val="002112B7"/>
    <w:rsid w:val="00211371"/>
    <w:rsid w:val="00211445"/>
    <w:rsid w:val="00211644"/>
    <w:rsid w:val="002116D3"/>
    <w:rsid w:val="00211736"/>
    <w:rsid w:val="00211767"/>
    <w:rsid w:val="00211950"/>
    <w:rsid w:val="00211D72"/>
    <w:rsid w:val="00211EED"/>
    <w:rsid w:val="00212004"/>
    <w:rsid w:val="0021209A"/>
    <w:rsid w:val="00212222"/>
    <w:rsid w:val="00212327"/>
    <w:rsid w:val="00212386"/>
    <w:rsid w:val="00212562"/>
    <w:rsid w:val="00212876"/>
    <w:rsid w:val="00212A08"/>
    <w:rsid w:val="00212A22"/>
    <w:rsid w:val="00212D08"/>
    <w:rsid w:val="00212E09"/>
    <w:rsid w:val="00213055"/>
    <w:rsid w:val="0021310E"/>
    <w:rsid w:val="00213137"/>
    <w:rsid w:val="002131BC"/>
    <w:rsid w:val="00213251"/>
    <w:rsid w:val="00213392"/>
    <w:rsid w:val="00213688"/>
    <w:rsid w:val="0021374F"/>
    <w:rsid w:val="002139B5"/>
    <w:rsid w:val="002139C5"/>
    <w:rsid w:val="00213A48"/>
    <w:rsid w:val="00213B96"/>
    <w:rsid w:val="00213CEA"/>
    <w:rsid w:val="00214045"/>
    <w:rsid w:val="00214245"/>
    <w:rsid w:val="00214596"/>
    <w:rsid w:val="002148E9"/>
    <w:rsid w:val="00214926"/>
    <w:rsid w:val="00214D5A"/>
    <w:rsid w:val="00214EA0"/>
    <w:rsid w:val="002150D0"/>
    <w:rsid w:val="00215146"/>
    <w:rsid w:val="002154D8"/>
    <w:rsid w:val="00215618"/>
    <w:rsid w:val="00215620"/>
    <w:rsid w:val="0021563D"/>
    <w:rsid w:val="0021568E"/>
    <w:rsid w:val="002158DD"/>
    <w:rsid w:val="002159F2"/>
    <w:rsid w:val="00215A46"/>
    <w:rsid w:val="00215E68"/>
    <w:rsid w:val="00216312"/>
    <w:rsid w:val="0021647F"/>
    <w:rsid w:val="002165D4"/>
    <w:rsid w:val="002166D9"/>
    <w:rsid w:val="00216BFA"/>
    <w:rsid w:val="00216D6E"/>
    <w:rsid w:val="00216DFD"/>
    <w:rsid w:val="00216E2E"/>
    <w:rsid w:val="002171AF"/>
    <w:rsid w:val="002175B9"/>
    <w:rsid w:val="002177F3"/>
    <w:rsid w:val="00217935"/>
    <w:rsid w:val="00217987"/>
    <w:rsid w:val="00217988"/>
    <w:rsid w:val="002179E0"/>
    <w:rsid w:val="00217C1C"/>
    <w:rsid w:val="00217C2D"/>
    <w:rsid w:val="00217C5A"/>
    <w:rsid w:val="00217D24"/>
    <w:rsid w:val="00217E6A"/>
    <w:rsid w:val="00217EDD"/>
    <w:rsid w:val="00217EF2"/>
    <w:rsid w:val="00217FF4"/>
    <w:rsid w:val="002203A1"/>
    <w:rsid w:val="002203EB"/>
    <w:rsid w:val="002204AE"/>
    <w:rsid w:val="002206BE"/>
    <w:rsid w:val="0022099D"/>
    <w:rsid w:val="00220A05"/>
    <w:rsid w:val="00220BD4"/>
    <w:rsid w:val="00220C64"/>
    <w:rsid w:val="00220EAB"/>
    <w:rsid w:val="00220ECD"/>
    <w:rsid w:val="00220F19"/>
    <w:rsid w:val="002212EF"/>
    <w:rsid w:val="00221424"/>
    <w:rsid w:val="0022145F"/>
    <w:rsid w:val="002214A9"/>
    <w:rsid w:val="00221641"/>
    <w:rsid w:val="002219D8"/>
    <w:rsid w:val="00221DC8"/>
    <w:rsid w:val="0022217A"/>
    <w:rsid w:val="002221F5"/>
    <w:rsid w:val="00222236"/>
    <w:rsid w:val="002224C2"/>
    <w:rsid w:val="002225A4"/>
    <w:rsid w:val="0022277B"/>
    <w:rsid w:val="00222A40"/>
    <w:rsid w:val="00222B21"/>
    <w:rsid w:val="00222B98"/>
    <w:rsid w:val="00222CEC"/>
    <w:rsid w:val="00222D71"/>
    <w:rsid w:val="00222D92"/>
    <w:rsid w:val="00222F4A"/>
    <w:rsid w:val="00223283"/>
    <w:rsid w:val="002234D2"/>
    <w:rsid w:val="002234FE"/>
    <w:rsid w:val="0022364F"/>
    <w:rsid w:val="002238AB"/>
    <w:rsid w:val="00223C64"/>
    <w:rsid w:val="00223E30"/>
    <w:rsid w:val="00224156"/>
    <w:rsid w:val="002241DC"/>
    <w:rsid w:val="00224236"/>
    <w:rsid w:val="00224274"/>
    <w:rsid w:val="00224504"/>
    <w:rsid w:val="00224641"/>
    <w:rsid w:val="002247E4"/>
    <w:rsid w:val="00224C85"/>
    <w:rsid w:val="00224C86"/>
    <w:rsid w:val="00224CF8"/>
    <w:rsid w:val="00224DB0"/>
    <w:rsid w:val="00224F63"/>
    <w:rsid w:val="00225009"/>
    <w:rsid w:val="00225321"/>
    <w:rsid w:val="002253AF"/>
    <w:rsid w:val="00225460"/>
    <w:rsid w:val="00225690"/>
    <w:rsid w:val="002256FA"/>
    <w:rsid w:val="002258CB"/>
    <w:rsid w:val="00225E78"/>
    <w:rsid w:val="00225F0A"/>
    <w:rsid w:val="00226472"/>
    <w:rsid w:val="00226532"/>
    <w:rsid w:val="0022657E"/>
    <w:rsid w:val="002265B6"/>
    <w:rsid w:val="002265F4"/>
    <w:rsid w:val="00226621"/>
    <w:rsid w:val="0022676A"/>
    <w:rsid w:val="002267B4"/>
    <w:rsid w:val="002268E0"/>
    <w:rsid w:val="0022694F"/>
    <w:rsid w:val="00226C5A"/>
    <w:rsid w:val="00226EBB"/>
    <w:rsid w:val="00226F16"/>
    <w:rsid w:val="00226FF6"/>
    <w:rsid w:val="002270B0"/>
    <w:rsid w:val="0022721C"/>
    <w:rsid w:val="00227220"/>
    <w:rsid w:val="00227419"/>
    <w:rsid w:val="002276C9"/>
    <w:rsid w:val="0022797F"/>
    <w:rsid w:val="00227CC7"/>
    <w:rsid w:val="00227EAF"/>
    <w:rsid w:val="00227F17"/>
    <w:rsid w:val="00227FD4"/>
    <w:rsid w:val="0022C466"/>
    <w:rsid w:val="0023001E"/>
    <w:rsid w:val="0023013D"/>
    <w:rsid w:val="002301AB"/>
    <w:rsid w:val="002303C4"/>
    <w:rsid w:val="00230588"/>
    <w:rsid w:val="00230619"/>
    <w:rsid w:val="002306C1"/>
    <w:rsid w:val="002306D9"/>
    <w:rsid w:val="00230AD8"/>
    <w:rsid w:val="00230DD2"/>
    <w:rsid w:val="002311DE"/>
    <w:rsid w:val="002312B0"/>
    <w:rsid w:val="002313EC"/>
    <w:rsid w:val="00231835"/>
    <w:rsid w:val="0023185C"/>
    <w:rsid w:val="00231862"/>
    <w:rsid w:val="002318E0"/>
    <w:rsid w:val="00231994"/>
    <w:rsid w:val="00231C99"/>
    <w:rsid w:val="00231CA1"/>
    <w:rsid w:val="002327AC"/>
    <w:rsid w:val="002329EA"/>
    <w:rsid w:val="00232A08"/>
    <w:rsid w:val="00232B3A"/>
    <w:rsid w:val="00232C8B"/>
    <w:rsid w:val="00232DF8"/>
    <w:rsid w:val="00232E87"/>
    <w:rsid w:val="002330C5"/>
    <w:rsid w:val="002334AB"/>
    <w:rsid w:val="002336F4"/>
    <w:rsid w:val="002337C1"/>
    <w:rsid w:val="002339EC"/>
    <w:rsid w:val="00233A80"/>
    <w:rsid w:val="00233B1D"/>
    <w:rsid w:val="00233E58"/>
    <w:rsid w:val="002340F0"/>
    <w:rsid w:val="002341FE"/>
    <w:rsid w:val="00234242"/>
    <w:rsid w:val="0023438F"/>
    <w:rsid w:val="00234690"/>
    <w:rsid w:val="002346B5"/>
    <w:rsid w:val="0023486F"/>
    <w:rsid w:val="0023487C"/>
    <w:rsid w:val="00234891"/>
    <w:rsid w:val="002348E1"/>
    <w:rsid w:val="0023491E"/>
    <w:rsid w:val="002349CD"/>
    <w:rsid w:val="00234B1D"/>
    <w:rsid w:val="00234DFE"/>
    <w:rsid w:val="0023506E"/>
    <w:rsid w:val="00235098"/>
    <w:rsid w:val="00235444"/>
    <w:rsid w:val="00235491"/>
    <w:rsid w:val="002355A9"/>
    <w:rsid w:val="00235A91"/>
    <w:rsid w:val="00235CB5"/>
    <w:rsid w:val="00235D6C"/>
    <w:rsid w:val="00235EF6"/>
    <w:rsid w:val="00236117"/>
    <w:rsid w:val="00236339"/>
    <w:rsid w:val="00236911"/>
    <w:rsid w:val="00236980"/>
    <w:rsid w:val="002369BA"/>
    <w:rsid w:val="00236BE4"/>
    <w:rsid w:val="0023703A"/>
    <w:rsid w:val="00237263"/>
    <w:rsid w:val="002372DD"/>
    <w:rsid w:val="002374F2"/>
    <w:rsid w:val="002377D5"/>
    <w:rsid w:val="00237A5B"/>
    <w:rsid w:val="00237B6D"/>
    <w:rsid w:val="00237C1B"/>
    <w:rsid w:val="00237D00"/>
    <w:rsid w:val="00237EC7"/>
    <w:rsid w:val="00237FD4"/>
    <w:rsid w:val="00240261"/>
    <w:rsid w:val="0024042E"/>
    <w:rsid w:val="0024059C"/>
    <w:rsid w:val="002405A3"/>
    <w:rsid w:val="0024062D"/>
    <w:rsid w:val="002407C6"/>
    <w:rsid w:val="00240A58"/>
    <w:rsid w:val="00240BEF"/>
    <w:rsid w:val="00240C1D"/>
    <w:rsid w:val="00240CAC"/>
    <w:rsid w:val="00240CAE"/>
    <w:rsid w:val="00240F4D"/>
    <w:rsid w:val="00241147"/>
    <w:rsid w:val="002411C3"/>
    <w:rsid w:val="0024133E"/>
    <w:rsid w:val="002418CE"/>
    <w:rsid w:val="00241987"/>
    <w:rsid w:val="00241A68"/>
    <w:rsid w:val="00241E62"/>
    <w:rsid w:val="00241E6D"/>
    <w:rsid w:val="002423DC"/>
    <w:rsid w:val="00242470"/>
    <w:rsid w:val="00242474"/>
    <w:rsid w:val="00242481"/>
    <w:rsid w:val="002424D7"/>
    <w:rsid w:val="002426EA"/>
    <w:rsid w:val="002428BE"/>
    <w:rsid w:val="00242A70"/>
    <w:rsid w:val="00242C15"/>
    <w:rsid w:val="00242DD9"/>
    <w:rsid w:val="00242F07"/>
    <w:rsid w:val="00242F70"/>
    <w:rsid w:val="00243019"/>
    <w:rsid w:val="002430FF"/>
    <w:rsid w:val="00243239"/>
    <w:rsid w:val="00243368"/>
    <w:rsid w:val="00243451"/>
    <w:rsid w:val="002437E5"/>
    <w:rsid w:val="00243887"/>
    <w:rsid w:val="002439DF"/>
    <w:rsid w:val="00243CC1"/>
    <w:rsid w:val="00243EB4"/>
    <w:rsid w:val="002440D9"/>
    <w:rsid w:val="00244117"/>
    <w:rsid w:val="0024417B"/>
    <w:rsid w:val="0024438A"/>
    <w:rsid w:val="0024441B"/>
    <w:rsid w:val="00244636"/>
    <w:rsid w:val="0024467F"/>
    <w:rsid w:val="00244B00"/>
    <w:rsid w:val="00244F7F"/>
    <w:rsid w:val="0024510C"/>
    <w:rsid w:val="002451BD"/>
    <w:rsid w:val="002451C8"/>
    <w:rsid w:val="002452DE"/>
    <w:rsid w:val="002452E8"/>
    <w:rsid w:val="002454C2"/>
    <w:rsid w:val="0024550C"/>
    <w:rsid w:val="002455E0"/>
    <w:rsid w:val="00245745"/>
    <w:rsid w:val="002457DE"/>
    <w:rsid w:val="002458A8"/>
    <w:rsid w:val="00245A1C"/>
    <w:rsid w:val="00245CE8"/>
    <w:rsid w:val="00245E40"/>
    <w:rsid w:val="00245F63"/>
    <w:rsid w:val="002460F1"/>
    <w:rsid w:val="00246114"/>
    <w:rsid w:val="00246400"/>
    <w:rsid w:val="002465CA"/>
    <w:rsid w:val="0024663C"/>
    <w:rsid w:val="002466C1"/>
    <w:rsid w:val="002466ED"/>
    <w:rsid w:val="00246A55"/>
    <w:rsid w:val="00246D26"/>
    <w:rsid w:val="00247044"/>
    <w:rsid w:val="00247114"/>
    <w:rsid w:val="0024711E"/>
    <w:rsid w:val="00247136"/>
    <w:rsid w:val="0024717F"/>
    <w:rsid w:val="00247250"/>
    <w:rsid w:val="0024736A"/>
    <w:rsid w:val="0024737D"/>
    <w:rsid w:val="002473B0"/>
    <w:rsid w:val="00247964"/>
    <w:rsid w:val="00247B59"/>
    <w:rsid w:val="00247D93"/>
    <w:rsid w:val="00247E0C"/>
    <w:rsid w:val="0024EF30"/>
    <w:rsid w:val="0025001C"/>
    <w:rsid w:val="002504F9"/>
    <w:rsid w:val="00250620"/>
    <w:rsid w:val="00250820"/>
    <w:rsid w:val="00250AA4"/>
    <w:rsid w:val="00250B3E"/>
    <w:rsid w:val="00250B47"/>
    <w:rsid w:val="00250C64"/>
    <w:rsid w:val="00250CE8"/>
    <w:rsid w:val="00250FD4"/>
    <w:rsid w:val="00250FE9"/>
    <w:rsid w:val="00250FF6"/>
    <w:rsid w:val="0025128A"/>
    <w:rsid w:val="002512E8"/>
    <w:rsid w:val="002514C0"/>
    <w:rsid w:val="002515EF"/>
    <w:rsid w:val="00251602"/>
    <w:rsid w:val="0025169D"/>
    <w:rsid w:val="002517BB"/>
    <w:rsid w:val="0025185B"/>
    <w:rsid w:val="002519C1"/>
    <w:rsid w:val="00251A30"/>
    <w:rsid w:val="00251ADD"/>
    <w:rsid w:val="00251B32"/>
    <w:rsid w:val="00251BD7"/>
    <w:rsid w:val="00251C5D"/>
    <w:rsid w:val="00251C8F"/>
    <w:rsid w:val="00251CBD"/>
    <w:rsid w:val="00251D0F"/>
    <w:rsid w:val="00251D3C"/>
    <w:rsid w:val="00251E6B"/>
    <w:rsid w:val="00251ECE"/>
    <w:rsid w:val="00251F84"/>
    <w:rsid w:val="00252144"/>
    <w:rsid w:val="00252524"/>
    <w:rsid w:val="002525C9"/>
    <w:rsid w:val="0025269B"/>
    <w:rsid w:val="0025285C"/>
    <w:rsid w:val="00252941"/>
    <w:rsid w:val="00252A09"/>
    <w:rsid w:val="00252A70"/>
    <w:rsid w:val="00252ABD"/>
    <w:rsid w:val="00253030"/>
    <w:rsid w:val="0025315E"/>
    <w:rsid w:val="00253573"/>
    <w:rsid w:val="00253593"/>
    <w:rsid w:val="00253888"/>
    <w:rsid w:val="00253FBD"/>
    <w:rsid w:val="00254021"/>
    <w:rsid w:val="00254237"/>
    <w:rsid w:val="00254403"/>
    <w:rsid w:val="00254AD0"/>
    <w:rsid w:val="00255149"/>
    <w:rsid w:val="00255596"/>
    <w:rsid w:val="00255656"/>
    <w:rsid w:val="00255743"/>
    <w:rsid w:val="002557A8"/>
    <w:rsid w:val="002559AA"/>
    <w:rsid w:val="00255A02"/>
    <w:rsid w:val="00255AB1"/>
    <w:rsid w:val="00255B3E"/>
    <w:rsid w:val="00255B79"/>
    <w:rsid w:val="00255D49"/>
    <w:rsid w:val="00256050"/>
    <w:rsid w:val="00256241"/>
    <w:rsid w:val="002567F7"/>
    <w:rsid w:val="00256905"/>
    <w:rsid w:val="00256AF9"/>
    <w:rsid w:val="0025712E"/>
    <w:rsid w:val="002572C0"/>
    <w:rsid w:val="00257830"/>
    <w:rsid w:val="002578D9"/>
    <w:rsid w:val="00257AAE"/>
    <w:rsid w:val="00257C49"/>
    <w:rsid w:val="00257C5B"/>
    <w:rsid w:val="00257D96"/>
    <w:rsid w:val="002600FF"/>
    <w:rsid w:val="00260345"/>
    <w:rsid w:val="00260348"/>
    <w:rsid w:val="0026074D"/>
    <w:rsid w:val="002608F8"/>
    <w:rsid w:val="002609EB"/>
    <w:rsid w:val="00260A21"/>
    <w:rsid w:val="00260E02"/>
    <w:rsid w:val="002610A7"/>
    <w:rsid w:val="0026118F"/>
    <w:rsid w:val="00261357"/>
    <w:rsid w:val="00261400"/>
    <w:rsid w:val="0026142D"/>
    <w:rsid w:val="002617D3"/>
    <w:rsid w:val="002617E1"/>
    <w:rsid w:val="00261962"/>
    <w:rsid w:val="002619B3"/>
    <w:rsid w:val="00261A19"/>
    <w:rsid w:val="00261ABE"/>
    <w:rsid w:val="00261FC3"/>
    <w:rsid w:val="00262053"/>
    <w:rsid w:val="002620A4"/>
    <w:rsid w:val="0026235A"/>
    <w:rsid w:val="002623A9"/>
    <w:rsid w:val="002623E2"/>
    <w:rsid w:val="0026248C"/>
    <w:rsid w:val="002625A2"/>
    <w:rsid w:val="0026275A"/>
    <w:rsid w:val="00262825"/>
    <w:rsid w:val="0026294B"/>
    <w:rsid w:val="002629DE"/>
    <w:rsid w:val="00262AF4"/>
    <w:rsid w:val="00262B12"/>
    <w:rsid w:val="00262B2B"/>
    <w:rsid w:val="00262C96"/>
    <w:rsid w:val="00262FD9"/>
    <w:rsid w:val="002631B0"/>
    <w:rsid w:val="002634E3"/>
    <w:rsid w:val="00263523"/>
    <w:rsid w:val="00263628"/>
    <w:rsid w:val="00263675"/>
    <w:rsid w:val="002638A9"/>
    <w:rsid w:val="002639AF"/>
    <w:rsid w:val="00263AD2"/>
    <w:rsid w:val="00263B0F"/>
    <w:rsid w:val="00263FD6"/>
    <w:rsid w:val="00264085"/>
    <w:rsid w:val="002640EB"/>
    <w:rsid w:val="0026414D"/>
    <w:rsid w:val="00264438"/>
    <w:rsid w:val="002645AF"/>
    <w:rsid w:val="0026469D"/>
    <w:rsid w:val="00264B67"/>
    <w:rsid w:val="00264BB2"/>
    <w:rsid w:val="00264C6D"/>
    <w:rsid w:val="00264D90"/>
    <w:rsid w:val="00264FCC"/>
    <w:rsid w:val="00265030"/>
    <w:rsid w:val="0026521F"/>
    <w:rsid w:val="00265376"/>
    <w:rsid w:val="002656E8"/>
    <w:rsid w:val="002659C0"/>
    <w:rsid w:val="00265A74"/>
    <w:rsid w:val="00265B1D"/>
    <w:rsid w:val="00265DFD"/>
    <w:rsid w:val="00265FBB"/>
    <w:rsid w:val="0026608D"/>
    <w:rsid w:val="00266111"/>
    <w:rsid w:val="00266239"/>
    <w:rsid w:val="002664EC"/>
    <w:rsid w:val="002665EE"/>
    <w:rsid w:val="00266728"/>
    <w:rsid w:val="00266ADB"/>
    <w:rsid w:val="00266C7C"/>
    <w:rsid w:val="00266CD7"/>
    <w:rsid w:val="00266D49"/>
    <w:rsid w:val="00266F30"/>
    <w:rsid w:val="002670C3"/>
    <w:rsid w:val="002674C2"/>
    <w:rsid w:val="002676A9"/>
    <w:rsid w:val="0026770A"/>
    <w:rsid w:val="00267733"/>
    <w:rsid w:val="00267AB1"/>
    <w:rsid w:val="00267B17"/>
    <w:rsid w:val="00267BC4"/>
    <w:rsid w:val="00267DE4"/>
    <w:rsid w:val="00267F2A"/>
    <w:rsid w:val="0027005E"/>
    <w:rsid w:val="00270062"/>
    <w:rsid w:val="002701AA"/>
    <w:rsid w:val="0027024A"/>
    <w:rsid w:val="00270392"/>
    <w:rsid w:val="002703E1"/>
    <w:rsid w:val="002703F9"/>
    <w:rsid w:val="00270497"/>
    <w:rsid w:val="0027062F"/>
    <w:rsid w:val="0027064D"/>
    <w:rsid w:val="0027069E"/>
    <w:rsid w:val="002706AB"/>
    <w:rsid w:val="002709EB"/>
    <w:rsid w:val="00270B4A"/>
    <w:rsid w:val="00270ED6"/>
    <w:rsid w:val="00270F93"/>
    <w:rsid w:val="002710FC"/>
    <w:rsid w:val="0027124D"/>
    <w:rsid w:val="00271289"/>
    <w:rsid w:val="002712B3"/>
    <w:rsid w:val="002712D3"/>
    <w:rsid w:val="00271315"/>
    <w:rsid w:val="00271531"/>
    <w:rsid w:val="002715A7"/>
    <w:rsid w:val="0027161E"/>
    <w:rsid w:val="0027167A"/>
    <w:rsid w:val="00271D6D"/>
    <w:rsid w:val="00271D83"/>
    <w:rsid w:val="002720A2"/>
    <w:rsid w:val="002720AB"/>
    <w:rsid w:val="00272385"/>
    <w:rsid w:val="00272479"/>
    <w:rsid w:val="00272791"/>
    <w:rsid w:val="00272B48"/>
    <w:rsid w:val="00272CCF"/>
    <w:rsid w:val="00272DFD"/>
    <w:rsid w:val="00272E0A"/>
    <w:rsid w:val="00272F7E"/>
    <w:rsid w:val="0027308A"/>
    <w:rsid w:val="002732A6"/>
    <w:rsid w:val="002736B3"/>
    <w:rsid w:val="002736D9"/>
    <w:rsid w:val="002739A3"/>
    <w:rsid w:val="002739F9"/>
    <w:rsid w:val="00273B59"/>
    <w:rsid w:val="00273B60"/>
    <w:rsid w:val="00273BA1"/>
    <w:rsid w:val="00273D81"/>
    <w:rsid w:val="00273F96"/>
    <w:rsid w:val="00274109"/>
    <w:rsid w:val="0027410F"/>
    <w:rsid w:val="0027455E"/>
    <w:rsid w:val="002745C5"/>
    <w:rsid w:val="002745F4"/>
    <w:rsid w:val="0027489C"/>
    <w:rsid w:val="00274907"/>
    <w:rsid w:val="00274C9A"/>
    <w:rsid w:val="00274D90"/>
    <w:rsid w:val="00274DEB"/>
    <w:rsid w:val="00274E9E"/>
    <w:rsid w:val="00274F3D"/>
    <w:rsid w:val="00275027"/>
    <w:rsid w:val="00275108"/>
    <w:rsid w:val="00275179"/>
    <w:rsid w:val="0027531D"/>
    <w:rsid w:val="002753C5"/>
    <w:rsid w:val="00275457"/>
    <w:rsid w:val="00275A8F"/>
    <w:rsid w:val="00275CC5"/>
    <w:rsid w:val="00275E14"/>
    <w:rsid w:val="00275F40"/>
    <w:rsid w:val="00275F4E"/>
    <w:rsid w:val="00275F6C"/>
    <w:rsid w:val="00276192"/>
    <w:rsid w:val="00276348"/>
    <w:rsid w:val="002763BB"/>
    <w:rsid w:val="002764C4"/>
    <w:rsid w:val="0027673E"/>
    <w:rsid w:val="00276B69"/>
    <w:rsid w:val="00276D7B"/>
    <w:rsid w:val="00276DDA"/>
    <w:rsid w:val="00276E0F"/>
    <w:rsid w:val="00276E4F"/>
    <w:rsid w:val="00277095"/>
    <w:rsid w:val="0027734F"/>
    <w:rsid w:val="00277464"/>
    <w:rsid w:val="00277849"/>
    <w:rsid w:val="002778AF"/>
    <w:rsid w:val="0027790A"/>
    <w:rsid w:val="00277967"/>
    <w:rsid w:val="00277A5E"/>
    <w:rsid w:val="00277B13"/>
    <w:rsid w:val="00277C79"/>
    <w:rsid w:val="00277DCF"/>
    <w:rsid w:val="00277F5B"/>
    <w:rsid w:val="00280161"/>
    <w:rsid w:val="00280221"/>
    <w:rsid w:val="0028044D"/>
    <w:rsid w:val="002805DE"/>
    <w:rsid w:val="0028069A"/>
    <w:rsid w:val="00280724"/>
    <w:rsid w:val="0028076F"/>
    <w:rsid w:val="00280978"/>
    <w:rsid w:val="002809E7"/>
    <w:rsid w:val="00280AFE"/>
    <w:rsid w:val="00280B95"/>
    <w:rsid w:val="00280BCF"/>
    <w:rsid w:val="002810D6"/>
    <w:rsid w:val="00281115"/>
    <w:rsid w:val="0028139A"/>
    <w:rsid w:val="002813FB"/>
    <w:rsid w:val="00281726"/>
    <w:rsid w:val="0028177D"/>
    <w:rsid w:val="00281794"/>
    <w:rsid w:val="00281A5D"/>
    <w:rsid w:val="00281DFC"/>
    <w:rsid w:val="00281F45"/>
    <w:rsid w:val="00282018"/>
    <w:rsid w:val="002820DE"/>
    <w:rsid w:val="00282205"/>
    <w:rsid w:val="00282746"/>
    <w:rsid w:val="002827C0"/>
    <w:rsid w:val="0028290C"/>
    <w:rsid w:val="00282AC0"/>
    <w:rsid w:val="00282CA3"/>
    <w:rsid w:val="00282E9F"/>
    <w:rsid w:val="00282EB1"/>
    <w:rsid w:val="00283259"/>
    <w:rsid w:val="0028333B"/>
    <w:rsid w:val="00283353"/>
    <w:rsid w:val="002833EB"/>
    <w:rsid w:val="002834B7"/>
    <w:rsid w:val="002834CA"/>
    <w:rsid w:val="002834E5"/>
    <w:rsid w:val="0028354C"/>
    <w:rsid w:val="00283556"/>
    <w:rsid w:val="0028357F"/>
    <w:rsid w:val="00283726"/>
    <w:rsid w:val="0028384A"/>
    <w:rsid w:val="00283993"/>
    <w:rsid w:val="00283A75"/>
    <w:rsid w:val="00283D96"/>
    <w:rsid w:val="00283FE0"/>
    <w:rsid w:val="0028421F"/>
    <w:rsid w:val="00284974"/>
    <w:rsid w:val="00284A0E"/>
    <w:rsid w:val="00284A9C"/>
    <w:rsid w:val="00284B6F"/>
    <w:rsid w:val="00284C22"/>
    <w:rsid w:val="00284CED"/>
    <w:rsid w:val="00284EA4"/>
    <w:rsid w:val="002851F0"/>
    <w:rsid w:val="0028523C"/>
    <w:rsid w:val="002852C7"/>
    <w:rsid w:val="0028531C"/>
    <w:rsid w:val="0028553F"/>
    <w:rsid w:val="00285787"/>
    <w:rsid w:val="0028598D"/>
    <w:rsid w:val="002859A1"/>
    <w:rsid w:val="00285D0F"/>
    <w:rsid w:val="00285EE8"/>
    <w:rsid w:val="00286001"/>
    <w:rsid w:val="00286267"/>
    <w:rsid w:val="002862F9"/>
    <w:rsid w:val="00286346"/>
    <w:rsid w:val="00286682"/>
    <w:rsid w:val="0028693B"/>
    <w:rsid w:val="0028696E"/>
    <w:rsid w:val="00286983"/>
    <w:rsid w:val="00286AA1"/>
    <w:rsid w:val="00286D6A"/>
    <w:rsid w:val="00286F50"/>
    <w:rsid w:val="002871E9"/>
    <w:rsid w:val="002872E8"/>
    <w:rsid w:val="0028751A"/>
    <w:rsid w:val="002876FD"/>
    <w:rsid w:val="00287701"/>
    <w:rsid w:val="002879F0"/>
    <w:rsid w:val="00287BB2"/>
    <w:rsid w:val="00290086"/>
    <w:rsid w:val="00290190"/>
    <w:rsid w:val="002903BE"/>
    <w:rsid w:val="00290776"/>
    <w:rsid w:val="0029080D"/>
    <w:rsid w:val="00290B4C"/>
    <w:rsid w:val="00290DC4"/>
    <w:rsid w:val="002911D5"/>
    <w:rsid w:val="0029123B"/>
    <w:rsid w:val="002912E8"/>
    <w:rsid w:val="0029141A"/>
    <w:rsid w:val="00291503"/>
    <w:rsid w:val="00291750"/>
    <w:rsid w:val="002919B9"/>
    <w:rsid w:val="00291C98"/>
    <w:rsid w:val="00291D37"/>
    <w:rsid w:val="00291D61"/>
    <w:rsid w:val="00291FEE"/>
    <w:rsid w:val="0029218A"/>
    <w:rsid w:val="002922FD"/>
    <w:rsid w:val="00292699"/>
    <w:rsid w:val="00292900"/>
    <w:rsid w:val="0029296F"/>
    <w:rsid w:val="00292BB2"/>
    <w:rsid w:val="00292C70"/>
    <w:rsid w:val="00292DDC"/>
    <w:rsid w:val="00292E78"/>
    <w:rsid w:val="00292EE1"/>
    <w:rsid w:val="002930B5"/>
    <w:rsid w:val="00293387"/>
    <w:rsid w:val="002933B1"/>
    <w:rsid w:val="00293508"/>
    <w:rsid w:val="00293548"/>
    <w:rsid w:val="002935FB"/>
    <w:rsid w:val="00293829"/>
    <w:rsid w:val="0029384E"/>
    <w:rsid w:val="00293866"/>
    <w:rsid w:val="00293A96"/>
    <w:rsid w:val="00293B5A"/>
    <w:rsid w:val="00294003"/>
    <w:rsid w:val="00294040"/>
    <w:rsid w:val="00294111"/>
    <w:rsid w:val="00294195"/>
    <w:rsid w:val="00294269"/>
    <w:rsid w:val="00294334"/>
    <w:rsid w:val="00294391"/>
    <w:rsid w:val="0029444F"/>
    <w:rsid w:val="0029449C"/>
    <w:rsid w:val="0029479D"/>
    <w:rsid w:val="00294821"/>
    <w:rsid w:val="00294C51"/>
    <w:rsid w:val="00294EDB"/>
    <w:rsid w:val="002950E5"/>
    <w:rsid w:val="00295143"/>
    <w:rsid w:val="0029516B"/>
    <w:rsid w:val="002951BF"/>
    <w:rsid w:val="002953CD"/>
    <w:rsid w:val="002955E1"/>
    <w:rsid w:val="002958AD"/>
    <w:rsid w:val="00295ABB"/>
    <w:rsid w:val="00295B9B"/>
    <w:rsid w:val="00295D75"/>
    <w:rsid w:val="00295E3B"/>
    <w:rsid w:val="00295EC5"/>
    <w:rsid w:val="0029629A"/>
    <w:rsid w:val="0029633C"/>
    <w:rsid w:val="002966B7"/>
    <w:rsid w:val="00296772"/>
    <w:rsid w:val="0029699B"/>
    <w:rsid w:val="002969E3"/>
    <w:rsid w:val="00296B4E"/>
    <w:rsid w:val="00296CD2"/>
    <w:rsid w:val="00296DD1"/>
    <w:rsid w:val="0029735C"/>
    <w:rsid w:val="0029747D"/>
    <w:rsid w:val="00297528"/>
    <w:rsid w:val="00297565"/>
    <w:rsid w:val="00297804"/>
    <w:rsid w:val="00297AAF"/>
    <w:rsid w:val="00297CFA"/>
    <w:rsid w:val="00297EB4"/>
    <w:rsid w:val="002A0149"/>
    <w:rsid w:val="002A0631"/>
    <w:rsid w:val="002A0BB2"/>
    <w:rsid w:val="002A0C2F"/>
    <w:rsid w:val="002A0CCE"/>
    <w:rsid w:val="002A0D19"/>
    <w:rsid w:val="002A0EA9"/>
    <w:rsid w:val="002A0FAE"/>
    <w:rsid w:val="002A1267"/>
    <w:rsid w:val="002A12E4"/>
    <w:rsid w:val="002A12F6"/>
    <w:rsid w:val="002A1488"/>
    <w:rsid w:val="002A15BC"/>
    <w:rsid w:val="002A1767"/>
    <w:rsid w:val="002A1786"/>
    <w:rsid w:val="002A18F5"/>
    <w:rsid w:val="002A19B3"/>
    <w:rsid w:val="002A1E77"/>
    <w:rsid w:val="002A1FB0"/>
    <w:rsid w:val="002A2315"/>
    <w:rsid w:val="002A24A8"/>
    <w:rsid w:val="002A24D0"/>
    <w:rsid w:val="002A28AD"/>
    <w:rsid w:val="002A296C"/>
    <w:rsid w:val="002A2BF7"/>
    <w:rsid w:val="002A2CAD"/>
    <w:rsid w:val="002A2F8A"/>
    <w:rsid w:val="002A3208"/>
    <w:rsid w:val="002A32CB"/>
    <w:rsid w:val="002A3682"/>
    <w:rsid w:val="002A3739"/>
    <w:rsid w:val="002A37AB"/>
    <w:rsid w:val="002A3B52"/>
    <w:rsid w:val="002A3C3A"/>
    <w:rsid w:val="002A3E07"/>
    <w:rsid w:val="002A40B3"/>
    <w:rsid w:val="002A40F2"/>
    <w:rsid w:val="002A46A0"/>
    <w:rsid w:val="002A46D8"/>
    <w:rsid w:val="002A474F"/>
    <w:rsid w:val="002A476E"/>
    <w:rsid w:val="002A476F"/>
    <w:rsid w:val="002A4929"/>
    <w:rsid w:val="002A4EAA"/>
    <w:rsid w:val="002A4EBA"/>
    <w:rsid w:val="002A50AC"/>
    <w:rsid w:val="002A524E"/>
    <w:rsid w:val="002A52B5"/>
    <w:rsid w:val="002A5663"/>
    <w:rsid w:val="002A578F"/>
    <w:rsid w:val="002A5920"/>
    <w:rsid w:val="002A5962"/>
    <w:rsid w:val="002A5B18"/>
    <w:rsid w:val="002A5B23"/>
    <w:rsid w:val="002A6041"/>
    <w:rsid w:val="002A6266"/>
    <w:rsid w:val="002A62E0"/>
    <w:rsid w:val="002A65EF"/>
    <w:rsid w:val="002A66C3"/>
    <w:rsid w:val="002A678D"/>
    <w:rsid w:val="002A68F4"/>
    <w:rsid w:val="002A6A5D"/>
    <w:rsid w:val="002A7543"/>
    <w:rsid w:val="002A7563"/>
    <w:rsid w:val="002A7566"/>
    <w:rsid w:val="002A756A"/>
    <w:rsid w:val="002A76B2"/>
    <w:rsid w:val="002A7E61"/>
    <w:rsid w:val="002A7F0C"/>
    <w:rsid w:val="002A7F75"/>
    <w:rsid w:val="002B08A1"/>
    <w:rsid w:val="002B08C3"/>
    <w:rsid w:val="002B08CE"/>
    <w:rsid w:val="002B0A78"/>
    <w:rsid w:val="002B0B51"/>
    <w:rsid w:val="002B0DCD"/>
    <w:rsid w:val="002B0E16"/>
    <w:rsid w:val="002B0FB3"/>
    <w:rsid w:val="002B10DB"/>
    <w:rsid w:val="002B144B"/>
    <w:rsid w:val="002B14CC"/>
    <w:rsid w:val="002B1630"/>
    <w:rsid w:val="002B18AB"/>
    <w:rsid w:val="002B18AD"/>
    <w:rsid w:val="002B18C8"/>
    <w:rsid w:val="002B1936"/>
    <w:rsid w:val="002B1C6C"/>
    <w:rsid w:val="002B1CB3"/>
    <w:rsid w:val="002B1EC0"/>
    <w:rsid w:val="002B2408"/>
    <w:rsid w:val="002B253E"/>
    <w:rsid w:val="002B2645"/>
    <w:rsid w:val="002B28A1"/>
    <w:rsid w:val="002B2BFC"/>
    <w:rsid w:val="002B2ECF"/>
    <w:rsid w:val="002B3109"/>
    <w:rsid w:val="002B31E2"/>
    <w:rsid w:val="002B3246"/>
    <w:rsid w:val="002B33AB"/>
    <w:rsid w:val="002B33D4"/>
    <w:rsid w:val="002B34A8"/>
    <w:rsid w:val="002B359A"/>
    <w:rsid w:val="002B35D8"/>
    <w:rsid w:val="002B36F1"/>
    <w:rsid w:val="002B38EA"/>
    <w:rsid w:val="002B398B"/>
    <w:rsid w:val="002B399A"/>
    <w:rsid w:val="002B3B7B"/>
    <w:rsid w:val="002B3C69"/>
    <w:rsid w:val="002B3CB3"/>
    <w:rsid w:val="002B3CC8"/>
    <w:rsid w:val="002B3D3D"/>
    <w:rsid w:val="002B3E90"/>
    <w:rsid w:val="002B42A2"/>
    <w:rsid w:val="002B45E5"/>
    <w:rsid w:val="002B4613"/>
    <w:rsid w:val="002B4697"/>
    <w:rsid w:val="002B4725"/>
    <w:rsid w:val="002B478E"/>
    <w:rsid w:val="002B47A3"/>
    <w:rsid w:val="002B4855"/>
    <w:rsid w:val="002B49FC"/>
    <w:rsid w:val="002B4E35"/>
    <w:rsid w:val="002B4EAA"/>
    <w:rsid w:val="002B4FB6"/>
    <w:rsid w:val="002B52C8"/>
    <w:rsid w:val="002B5422"/>
    <w:rsid w:val="002B55D1"/>
    <w:rsid w:val="002B5648"/>
    <w:rsid w:val="002B5679"/>
    <w:rsid w:val="002B5BB1"/>
    <w:rsid w:val="002B5BF8"/>
    <w:rsid w:val="002B5C38"/>
    <w:rsid w:val="002B5C9E"/>
    <w:rsid w:val="002B5E70"/>
    <w:rsid w:val="002B5E7B"/>
    <w:rsid w:val="002B61C4"/>
    <w:rsid w:val="002B61F5"/>
    <w:rsid w:val="002B6253"/>
    <w:rsid w:val="002B62C3"/>
    <w:rsid w:val="002B6524"/>
    <w:rsid w:val="002B6C1E"/>
    <w:rsid w:val="002B6D90"/>
    <w:rsid w:val="002B6E1A"/>
    <w:rsid w:val="002B6E1B"/>
    <w:rsid w:val="002B6EE0"/>
    <w:rsid w:val="002B6FFB"/>
    <w:rsid w:val="002B712D"/>
    <w:rsid w:val="002B731D"/>
    <w:rsid w:val="002B7333"/>
    <w:rsid w:val="002B7378"/>
    <w:rsid w:val="002B7789"/>
    <w:rsid w:val="002B7B3D"/>
    <w:rsid w:val="002B7C71"/>
    <w:rsid w:val="002B7DD7"/>
    <w:rsid w:val="002B7FA6"/>
    <w:rsid w:val="002B7FB7"/>
    <w:rsid w:val="002C010F"/>
    <w:rsid w:val="002C033B"/>
    <w:rsid w:val="002C0370"/>
    <w:rsid w:val="002C074A"/>
    <w:rsid w:val="002C08D3"/>
    <w:rsid w:val="002C096F"/>
    <w:rsid w:val="002C0E1B"/>
    <w:rsid w:val="002C0E3E"/>
    <w:rsid w:val="002C11EF"/>
    <w:rsid w:val="002C138F"/>
    <w:rsid w:val="002C13D8"/>
    <w:rsid w:val="002C1587"/>
    <w:rsid w:val="002C1685"/>
    <w:rsid w:val="002C191F"/>
    <w:rsid w:val="002C1A53"/>
    <w:rsid w:val="002C1C8E"/>
    <w:rsid w:val="002C1D9C"/>
    <w:rsid w:val="002C1ED1"/>
    <w:rsid w:val="002C1F76"/>
    <w:rsid w:val="002C207B"/>
    <w:rsid w:val="002C21BE"/>
    <w:rsid w:val="002C2208"/>
    <w:rsid w:val="002C263A"/>
    <w:rsid w:val="002C27FD"/>
    <w:rsid w:val="002C28C9"/>
    <w:rsid w:val="002C28D8"/>
    <w:rsid w:val="002C29DF"/>
    <w:rsid w:val="002C2A43"/>
    <w:rsid w:val="002C2C21"/>
    <w:rsid w:val="002C2D10"/>
    <w:rsid w:val="002C2D17"/>
    <w:rsid w:val="002C2D94"/>
    <w:rsid w:val="002C2E1F"/>
    <w:rsid w:val="002C3161"/>
    <w:rsid w:val="002C3259"/>
    <w:rsid w:val="002C33D7"/>
    <w:rsid w:val="002C34AB"/>
    <w:rsid w:val="002C34E5"/>
    <w:rsid w:val="002C35DD"/>
    <w:rsid w:val="002C3697"/>
    <w:rsid w:val="002C3787"/>
    <w:rsid w:val="002C38D8"/>
    <w:rsid w:val="002C398F"/>
    <w:rsid w:val="002C3ADA"/>
    <w:rsid w:val="002C3DE4"/>
    <w:rsid w:val="002C41AD"/>
    <w:rsid w:val="002C45AA"/>
    <w:rsid w:val="002C4708"/>
    <w:rsid w:val="002C479C"/>
    <w:rsid w:val="002C47BB"/>
    <w:rsid w:val="002C47E6"/>
    <w:rsid w:val="002C48F0"/>
    <w:rsid w:val="002C4AC8"/>
    <w:rsid w:val="002C4B4A"/>
    <w:rsid w:val="002C4C41"/>
    <w:rsid w:val="002C4D96"/>
    <w:rsid w:val="002C5393"/>
    <w:rsid w:val="002C53C6"/>
    <w:rsid w:val="002C54EB"/>
    <w:rsid w:val="002C5550"/>
    <w:rsid w:val="002C55BF"/>
    <w:rsid w:val="002C57C7"/>
    <w:rsid w:val="002C587D"/>
    <w:rsid w:val="002C591F"/>
    <w:rsid w:val="002C5A5C"/>
    <w:rsid w:val="002C5DF4"/>
    <w:rsid w:val="002C5E12"/>
    <w:rsid w:val="002C5F6B"/>
    <w:rsid w:val="002C5FBD"/>
    <w:rsid w:val="002C6004"/>
    <w:rsid w:val="002C6036"/>
    <w:rsid w:val="002C6104"/>
    <w:rsid w:val="002C6370"/>
    <w:rsid w:val="002C646A"/>
    <w:rsid w:val="002C651D"/>
    <w:rsid w:val="002C65A8"/>
    <w:rsid w:val="002C67CC"/>
    <w:rsid w:val="002C6832"/>
    <w:rsid w:val="002C6878"/>
    <w:rsid w:val="002C6910"/>
    <w:rsid w:val="002C69D2"/>
    <w:rsid w:val="002C6B73"/>
    <w:rsid w:val="002C6C76"/>
    <w:rsid w:val="002C70F2"/>
    <w:rsid w:val="002C744C"/>
    <w:rsid w:val="002C7568"/>
    <w:rsid w:val="002C7933"/>
    <w:rsid w:val="002C79F4"/>
    <w:rsid w:val="002C7A89"/>
    <w:rsid w:val="002C7ABD"/>
    <w:rsid w:val="002C7ACF"/>
    <w:rsid w:val="002C7E06"/>
    <w:rsid w:val="002C7E9F"/>
    <w:rsid w:val="002D009C"/>
    <w:rsid w:val="002D035F"/>
    <w:rsid w:val="002D058C"/>
    <w:rsid w:val="002D07B5"/>
    <w:rsid w:val="002D0833"/>
    <w:rsid w:val="002D09AE"/>
    <w:rsid w:val="002D103A"/>
    <w:rsid w:val="002D12EB"/>
    <w:rsid w:val="002D17B5"/>
    <w:rsid w:val="002D1B3F"/>
    <w:rsid w:val="002D1D44"/>
    <w:rsid w:val="002D20C9"/>
    <w:rsid w:val="002D2233"/>
    <w:rsid w:val="002D2304"/>
    <w:rsid w:val="002D2611"/>
    <w:rsid w:val="002D2712"/>
    <w:rsid w:val="002D287D"/>
    <w:rsid w:val="002D2DCD"/>
    <w:rsid w:val="002D2DCE"/>
    <w:rsid w:val="002D2E24"/>
    <w:rsid w:val="002D30F6"/>
    <w:rsid w:val="002D34C8"/>
    <w:rsid w:val="002D356B"/>
    <w:rsid w:val="002D358E"/>
    <w:rsid w:val="002D36A9"/>
    <w:rsid w:val="002D3773"/>
    <w:rsid w:val="002D3A00"/>
    <w:rsid w:val="002D3BED"/>
    <w:rsid w:val="002D3CE5"/>
    <w:rsid w:val="002D3E4A"/>
    <w:rsid w:val="002D420B"/>
    <w:rsid w:val="002D44D3"/>
    <w:rsid w:val="002D46AB"/>
    <w:rsid w:val="002D49D6"/>
    <w:rsid w:val="002D4CA5"/>
    <w:rsid w:val="002D4EEC"/>
    <w:rsid w:val="002D4F4A"/>
    <w:rsid w:val="002D4FDC"/>
    <w:rsid w:val="002D5100"/>
    <w:rsid w:val="002D53B9"/>
    <w:rsid w:val="002D53EE"/>
    <w:rsid w:val="002D5602"/>
    <w:rsid w:val="002D57AF"/>
    <w:rsid w:val="002D5840"/>
    <w:rsid w:val="002D588B"/>
    <w:rsid w:val="002D58FE"/>
    <w:rsid w:val="002D595A"/>
    <w:rsid w:val="002D5A01"/>
    <w:rsid w:val="002D5A23"/>
    <w:rsid w:val="002D5B2E"/>
    <w:rsid w:val="002D5B7C"/>
    <w:rsid w:val="002D5C49"/>
    <w:rsid w:val="002D5C6B"/>
    <w:rsid w:val="002D5DAB"/>
    <w:rsid w:val="002D6240"/>
    <w:rsid w:val="002D64CA"/>
    <w:rsid w:val="002D64D3"/>
    <w:rsid w:val="002D6525"/>
    <w:rsid w:val="002D65CA"/>
    <w:rsid w:val="002D6730"/>
    <w:rsid w:val="002D69BC"/>
    <w:rsid w:val="002D6AD3"/>
    <w:rsid w:val="002D6E09"/>
    <w:rsid w:val="002D6F45"/>
    <w:rsid w:val="002D7123"/>
    <w:rsid w:val="002D72F7"/>
    <w:rsid w:val="002D74ED"/>
    <w:rsid w:val="002D7654"/>
    <w:rsid w:val="002D76D1"/>
    <w:rsid w:val="002D77B3"/>
    <w:rsid w:val="002D7803"/>
    <w:rsid w:val="002D7C55"/>
    <w:rsid w:val="002D7CCD"/>
    <w:rsid w:val="002E0264"/>
    <w:rsid w:val="002E02F8"/>
    <w:rsid w:val="002E0330"/>
    <w:rsid w:val="002E03F9"/>
    <w:rsid w:val="002E0541"/>
    <w:rsid w:val="002E0560"/>
    <w:rsid w:val="002E056B"/>
    <w:rsid w:val="002E0688"/>
    <w:rsid w:val="002E06D3"/>
    <w:rsid w:val="002E071E"/>
    <w:rsid w:val="002E07CA"/>
    <w:rsid w:val="002E08BD"/>
    <w:rsid w:val="002E0996"/>
    <w:rsid w:val="002E0D6B"/>
    <w:rsid w:val="002E1119"/>
    <w:rsid w:val="002E1317"/>
    <w:rsid w:val="002E1515"/>
    <w:rsid w:val="002E161F"/>
    <w:rsid w:val="002E1670"/>
    <w:rsid w:val="002E1882"/>
    <w:rsid w:val="002E1885"/>
    <w:rsid w:val="002E1A9C"/>
    <w:rsid w:val="002E1B52"/>
    <w:rsid w:val="002E1C37"/>
    <w:rsid w:val="002E1C79"/>
    <w:rsid w:val="002E1DEC"/>
    <w:rsid w:val="002E1E9E"/>
    <w:rsid w:val="002E1EBC"/>
    <w:rsid w:val="002E1F34"/>
    <w:rsid w:val="002E1F4E"/>
    <w:rsid w:val="002E200D"/>
    <w:rsid w:val="002E209C"/>
    <w:rsid w:val="002E212B"/>
    <w:rsid w:val="002E21D1"/>
    <w:rsid w:val="002E2682"/>
    <w:rsid w:val="002E27BD"/>
    <w:rsid w:val="002E27E5"/>
    <w:rsid w:val="002E2934"/>
    <w:rsid w:val="002E29C5"/>
    <w:rsid w:val="002E3038"/>
    <w:rsid w:val="002E3104"/>
    <w:rsid w:val="002E31A2"/>
    <w:rsid w:val="002E3294"/>
    <w:rsid w:val="002E34CD"/>
    <w:rsid w:val="002E34F1"/>
    <w:rsid w:val="002E3604"/>
    <w:rsid w:val="002E377F"/>
    <w:rsid w:val="002E3790"/>
    <w:rsid w:val="002E3A45"/>
    <w:rsid w:val="002E4035"/>
    <w:rsid w:val="002E4708"/>
    <w:rsid w:val="002E47C5"/>
    <w:rsid w:val="002E48E8"/>
    <w:rsid w:val="002E4B42"/>
    <w:rsid w:val="002E4E94"/>
    <w:rsid w:val="002E4F51"/>
    <w:rsid w:val="002E4FA2"/>
    <w:rsid w:val="002E5054"/>
    <w:rsid w:val="002E50BC"/>
    <w:rsid w:val="002E5263"/>
    <w:rsid w:val="002E5351"/>
    <w:rsid w:val="002E55FE"/>
    <w:rsid w:val="002E562B"/>
    <w:rsid w:val="002E5684"/>
    <w:rsid w:val="002E57DA"/>
    <w:rsid w:val="002E5A95"/>
    <w:rsid w:val="002E5E69"/>
    <w:rsid w:val="002E5EAF"/>
    <w:rsid w:val="002E6177"/>
    <w:rsid w:val="002E6337"/>
    <w:rsid w:val="002E6338"/>
    <w:rsid w:val="002E6440"/>
    <w:rsid w:val="002E64F0"/>
    <w:rsid w:val="002E661D"/>
    <w:rsid w:val="002E679C"/>
    <w:rsid w:val="002E6904"/>
    <w:rsid w:val="002E6A2B"/>
    <w:rsid w:val="002E6AA3"/>
    <w:rsid w:val="002E6B41"/>
    <w:rsid w:val="002E6E70"/>
    <w:rsid w:val="002E6F95"/>
    <w:rsid w:val="002E70CA"/>
    <w:rsid w:val="002E71F8"/>
    <w:rsid w:val="002E728A"/>
    <w:rsid w:val="002E7431"/>
    <w:rsid w:val="002E7501"/>
    <w:rsid w:val="002E77EC"/>
    <w:rsid w:val="002E7A87"/>
    <w:rsid w:val="002E7BFB"/>
    <w:rsid w:val="002E7E15"/>
    <w:rsid w:val="002E7E2C"/>
    <w:rsid w:val="002F001A"/>
    <w:rsid w:val="002F0253"/>
    <w:rsid w:val="002F0328"/>
    <w:rsid w:val="002F03A0"/>
    <w:rsid w:val="002F04A0"/>
    <w:rsid w:val="002F07D8"/>
    <w:rsid w:val="002F093F"/>
    <w:rsid w:val="002F0AED"/>
    <w:rsid w:val="002F0B00"/>
    <w:rsid w:val="002F0C6D"/>
    <w:rsid w:val="002F0E39"/>
    <w:rsid w:val="002F0E56"/>
    <w:rsid w:val="002F0E86"/>
    <w:rsid w:val="002F11DD"/>
    <w:rsid w:val="002F129A"/>
    <w:rsid w:val="002F146C"/>
    <w:rsid w:val="002F15A8"/>
    <w:rsid w:val="002F1641"/>
    <w:rsid w:val="002F16AA"/>
    <w:rsid w:val="002F16B4"/>
    <w:rsid w:val="002F1713"/>
    <w:rsid w:val="002F171C"/>
    <w:rsid w:val="002F17E1"/>
    <w:rsid w:val="002F17FD"/>
    <w:rsid w:val="002F189F"/>
    <w:rsid w:val="002F1A61"/>
    <w:rsid w:val="002F1B4E"/>
    <w:rsid w:val="002F1B75"/>
    <w:rsid w:val="002F1C04"/>
    <w:rsid w:val="002F1CFF"/>
    <w:rsid w:val="002F1DB4"/>
    <w:rsid w:val="002F1EB5"/>
    <w:rsid w:val="002F1F04"/>
    <w:rsid w:val="002F205C"/>
    <w:rsid w:val="002F2155"/>
    <w:rsid w:val="002F21E4"/>
    <w:rsid w:val="002F2206"/>
    <w:rsid w:val="002F2435"/>
    <w:rsid w:val="002F24E4"/>
    <w:rsid w:val="002F26F0"/>
    <w:rsid w:val="002F272D"/>
    <w:rsid w:val="002F2933"/>
    <w:rsid w:val="002F29B2"/>
    <w:rsid w:val="002F2B4A"/>
    <w:rsid w:val="002F2CE9"/>
    <w:rsid w:val="002F2D01"/>
    <w:rsid w:val="002F2F12"/>
    <w:rsid w:val="002F313A"/>
    <w:rsid w:val="002F31FC"/>
    <w:rsid w:val="002F3202"/>
    <w:rsid w:val="002F362B"/>
    <w:rsid w:val="002F36A5"/>
    <w:rsid w:val="002F3723"/>
    <w:rsid w:val="002F38F0"/>
    <w:rsid w:val="002F3A0E"/>
    <w:rsid w:val="002F3F7A"/>
    <w:rsid w:val="002F41C1"/>
    <w:rsid w:val="002F41D4"/>
    <w:rsid w:val="002F41DD"/>
    <w:rsid w:val="002F4214"/>
    <w:rsid w:val="002F4235"/>
    <w:rsid w:val="002F42B3"/>
    <w:rsid w:val="002F44D7"/>
    <w:rsid w:val="002F48AD"/>
    <w:rsid w:val="002F48CF"/>
    <w:rsid w:val="002F48F1"/>
    <w:rsid w:val="002F490D"/>
    <w:rsid w:val="002F49EB"/>
    <w:rsid w:val="002F4A99"/>
    <w:rsid w:val="002F4A9C"/>
    <w:rsid w:val="002F4BC2"/>
    <w:rsid w:val="002F4CD2"/>
    <w:rsid w:val="002F4F22"/>
    <w:rsid w:val="002F51E1"/>
    <w:rsid w:val="002F5213"/>
    <w:rsid w:val="002F5385"/>
    <w:rsid w:val="002F5629"/>
    <w:rsid w:val="002F570D"/>
    <w:rsid w:val="002F576C"/>
    <w:rsid w:val="002F5B57"/>
    <w:rsid w:val="002F5BC6"/>
    <w:rsid w:val="002F6455"/>
    <w:rsid w:val="002F646D"/>
    <w:rsid w:val="002F6954"/>
    <w:rsid w:val="002F6A20"/>
    <w:rsid w:val="002F6A21"/>
    <w:rsid w:val="002F6AA2"/>
    <w:rsid w:val="002F6B4A"/>
    <w:rsid w:val="002F6D43"/>
    <w:rsid w:val="002F6D59"/>
    <w:rsid w:val="002F6DF2"/>
    <w:rsid w:val="002F6F80"/>
    <w:rsid w:val="002F6FFD"/>
    <w:rsid w:val="002F7110"/>
    <w:rsid w:val="002F7177"/>
    <w:rsid w:val="002F7255"/>
    <w:rsid w:val="002F72A7"/>
    <w:rsid w:val="002F74BB"/>
    <w:rsid w:val="002F7577"/>
    <w:rsid w:val="002F7615"/>
    <w:rsid w:val="002F78BB"/>
    <w:rsid w:val="002F79AE"/>
    <w:rsid w:val="0030000D"/>
    <w:rsid w:val="00300118"/>
    <w:rsid w:val="00300188"/>
    <w:rsid w:val="0030043A"/>
    <w:rsid w:val="003005BD"/>
    <w:rsid w:val="0030065E"/>
    <w:rsid w:val="003006B4"/>
    <w:rsid w:val="00300A2B"/>
    <w:rsid w:val="00300B08"/>
    <w:rsid w:val="00300B17"/>
    <w:rsid w:val="00300E86"/>
    <w:rsid w:val="00300EC2"/>
    <w:rsid w:val="0030117A"/>
    <w:rsid w:val="00301243"/>
    <w:rsid w:val="003012A4"/>
    <w:rsid w:val="0030137F"/>
    <w:rsid w:val="00301432"/>
    <w:rsid w:val="00301523"/>
    <w:rsid w:val="00301756"/>
    <w:rsid w:val="003017AF"/>
    <w:rsid w:val="003017E1"/>
    <w:rsid w:val="003019A7"/>
    <w:rsid w:val="00301A2F"/>
    <w:rsid w:val="00301A79"/>
    <w:rsid w:val="00301E8A"/>
    <w:rsid w:val="00301F1F"/>
    <w:rsid w:val="0030214F"/>
    <w:rsid w:val="003022FA"/>
    <w:rsid w:val="00302571"/>
    <w:rsid w:val="0030260C"/>
    <w:rsid w:val="00302743"/>
    <w:rsid w:val="0030279C"/>
    <w:rsid w:val="003027CC"/>
    <w:rsid w:val="00302C10"/>
    <w:rsid w:val="00302DD8"/>
    <w:rsid w:val="00303149"/>
    <w:rsid w:val="00303328"/>
    <w:rsid w:val="00303618"/>
    <w:rsid w:val="00303628"/>
    <w:rsid w:val="003038F4"/>
    <w:rsid w:val="00303915"/>
    <w:rsid w:val="0030395A"/>
    <w:rsid w:val="00303C39"/>
    <w:rsid w:val="00303FBA"/>
    <w:rsid w:val="00304018"/>
    <w:rsid w:val="00304178"/>
    <w:rsid w:val="00304481"/>
    <w:rsid w:val="00304493"/>
    <w:rsid w:val="00304577"/>
    <w:rsid w:val="003049CB"/>
    <w:rsid w:val="00304E3D"/>
    <w:rsid w:val="00305293"/>
    <w:rsid w:val="003052E5"/>
    <w:rsid w:val="003053FC"/>
    <w:rsid w:val="00305717"/>
    <w:rsid w:val="00305841"/>
    <w:rsid w:val="00305956"/>
    <w:rsid w:val="00305D46"/>
    <w:rsid w:val="00305D60"/>
    <w:rsid w:val="00305F6E"/>
    <w:rsid w:val="00306141"/>
    <w:rsid w:val="003061D2"/>
    <w:rsid w:val="00306266"/>
    <w:rsid w:val="0030626F"/>
    <w:rsid w:val="00306390"/>
    <w:rsid w:val="00306469"/>
    <w:rsid w:val="003064DB"/>
    <w:rsid w:val="003065CF"/>
    <w:rsid w:val="0030673C"/>
    <w:rsid w:val="0030680A"/>
    <w:rsid w:val="00306955"/>
    <w:rsid w:val="00306BC1"/>
    <w:rsid w:val="00306C8D"/>
    <w:rsid w:val="00306CA4"/>
    <w:rsid w:val="00306E81"/>
    <w:rsid w:val="00306FDE"/>
    <w:rsid w:val="003073E7"/>
    <w:rsid w:val="00307474"/>
    <w:rsid w:val="00307681"/>
    <w:rsid w:val="003079FB"/>
    <w:rsid w:val="00307B79"/>
    <w:rsid w:val="00307D93"/>
    <w:rsid w:val="00307E34"/>
    <w:rsid w:val="00307EA7"/>
    <w:rsid w:val="00310117"/>
    <w:rsid w:val="00310276"/>
    <w:rsid w:val="003104D0"/>
    <w:rsid w:val="00310533"/>
    <w:rsid w:val="003105B8"/>
    <w:rsid w:val="00310B34"/>
    <w:rsid w:val="00310C7C"/>
    <w:rsid w:val="00310DC9"/>
    <w:rsid w:val="00311092"/>
    <w:rsid w:val="00311322"/>
    <w:rsid w:val="003119AC"/>
    <w:rsid w:val="00311E16"/>
    <w:rsid w:val="00311EBB"/>
    <w:rsid w:val="0031239F"/>
    <w:rsid w:val="00312446"/>
    <w:rsid w:val="003124C4"/>
    <w:rsid w:val="0031278C"/>
    <w:rsid w:val="003129E1"/>
    <w:rsid w:val="003129E6"/>
    <w:rsid w:val="00312BF6"/>
    <w:rsid w:val="00313024"/>
    <w:rsid w:val="003130D9"/>
    <w:rsid w:val="0031323A"/>
    <w:rsid w:val="0031329F"/>
    <w:rsid w:val="003138CD"/>
    <w:rsid w:val="00313C4D"/>
    <w:rsid w:val="00313C6F"/>
    <w:rsid w:val="00313F54"/>
    <w:rsid w:val="003142DD"/>
    <w:rsid w:val="00314303"/>
    <w:rsid w:val="0031446C"/>
    <w:rsid w:val="00314777"/>
    <w:rsid w:val="00314854"/>
    <w:rsid w:val="00314958"/>
    <w:rsid w:val="00314991"/>
    <w:rsid w:val="00314B2E"/>
    <w:rsid w:val="00314BC9"/>
    <w:rsid w:val="00314C33"/>
    <w:rsid w:val="00314D53"/>
    <w:rsid w:val="00314ED5"/>
    <w:rsid w:val="00314FE0"/>
    <w:rsid w:val="0031513E"/>
    <w:rsid w:val="003151A5"/>
    <w:rsid w:val="003151DE"/>
    <w:rsid w:val="0031548E"/>
    <w:rsid w:val="00315A6D"/>
    <w:rsid w:val="00315EE9"/>
    <w:rsid w:val="00316025"/>
    <w:rsid w:val="00316107"/>
    <w:rsid w:val="00316233"/>
    <w:rsid w:val="003163FA"/>
    <w:rsid w:val="0031640A"/>
    <w:rsid w:val="003165FA"/>
    <w:rsid w:val="0031665B"/>
    <w:rsid w:val="00316755"/>
    <w:rsid w:val="00316909"/>
    <w:rsid w:val="003169C8"/>
    <w:rsid w:val="00316A68"/>
    <w:rsid w:val="00316B00"/>
    <w:rsid w:val="00316B0E"/>
    <w:rsid w:val="00316D3C"/>
    <w:rsid w:val="00316DBF"/>
    <w:rsid w:val="00317086"/>
    <w:rsid w:val="003170B2"/>
    <w:rsid w:val="00317140"/>
    <w:rsid w:val="003174E8"/>
    <w:rsid w:val="00317710"/>
    <w:rsid w:val="003177BA"/>
    <w:rsid w:val="003177EE"/>
    <w:rsid w:val="00317B2C"/>
    <w:rsid w:val="00317C14"/>
    <w:rsid w:val="00317C9A"/>
    <w:rsid w:val="00317DA2"/>
    <w:rsid w:val="0032016D"/>
    <w:rsid w:val="003201D4"/>
    <w:rsid w:val="00320430"/>
    <w:rsid w:val="003204CB"/>
    <w:rsid w:val="0032055E"/>
    <w:rsid w:val="003208BA"/>
    <w:rsid w:val="003209B5"/>
    <w:rsid w:val="00320B5E"/>
    <w:rsid w:val="003211B8"/>
    <w:rsid w:val="0032142B"/>
    <w:rsid w:val="00321453"/>
    <w:rsid w:val="0032149C"/>
    <w:rsid w:val="003214ED"/>
    <w:rsid w:val="00321616"/>
    <w:rsid w:val="00321851"/>
    <w:rsid w:val="00321889"/>
    <w:rsid w:val="003218B0"/>
    <w:rsid w:val="00321A41"/>
    <w:rsid w:val="00321A9D"/>
    <w:rsid w:val="00321D9C"/>
    <w:rsid w:val="00322029"/>
    <w:rsid w:val="00322078"/>
    <w:rsid w:val="003220CA"/>
    <w:rsid w:val="0032212D"/>
    <w:rsid w:val="00322544"/>
    <w:rsid w:val="003225B2"/>
    <w:rsid w:val="0032269C"/>
    <w:rsid w:val="003228AA"/>
    <w:rsid w:val="00322D2F"/>
    <w:rsid w:val="00322DC1"/>
    <w:rsid w:val="00322F37"/>
    <w:rsid w:val="00322FC2"/>
    <w:rsid w:val="003230B6"/>
    <w:rsid w:val="00323720"/>
    <w:rsid w:val="00323B15"/>
    <w:rsid w:val="00323BC2"/>
    <w:rsid w:val="00323C70"/>
    <w:rsid w:val="00323C7C"/>
    <w:rsid w:val="00323E0B"/>
    <w:rsid w:val="00323FE1"/>
    <w:rsid w:val="0032401F"/>
    <w:rsid w:val="003245B3"/>
    <w:rsid w:val="003245BB"/>
    <w:rsid w:val="00324607"/>
    <w:rsid w:val="00324716"/>
    <w:rsid w:val="0032477F"/>
    <w:rsid w:val="00324AA6"/>
    <w:rsid w:val="00324BFE"/>
    <w:rsid w:val="00324CC2"/>
    <w:rsid w:val="00324E39"/>
    <w:rsid w:val="00324E6B"/>
    <w:rsid w:val="003251AB"/>
    <w:rsid w:val="003254BC"/>
    <w:rsid w:val="00325861"/>
    <w:rsid w:val="003258E1"/>
    <w:rsid w:val="0032595B"/>
    <w:rsid w:val="003259FD"/>
    <w:rsid w:val="00325A79"/>
    <w:rsid w:val="00325A80"/>
    <w:rsid w:val="00325E6A"/>
    <w:rsid w:val="003260EA"/>
    <w:rsid w:val="00326213"/>
    <w:rsid w:val="0032644B"/>
    <w:rsid w:val="00326456"/>
    <w:rsid w:val="003264B1"/>
    <w:rsid w:val="0032687B"/>
    <w:rsid w:val="00326888"/>
    <w:rsid w:val="00326931"/>
    <w:rsid w:val="00326CB4"/>
    <w:rsid w:val="00326E3A"/>
    <w:rsid w:val="00326F23"/>
    <w:rsid w:val="0032702B"/>
    <w:rsid w:val="003270E8"/>
    <w:rsid w:val="00327365"/>
    <w:rsid w:val="003274EA"/>
    <w:rsid w:val="00327B08"/>
    <w:rsid w:val="00327FBC"/>
    <w:rsid w:val="00327FE1"/>
    <w:rsid w:val="00330176"/>
    <w:rsid w:val="003301C6"/>
    <w:rsid w:val="00330305"/>
    <w:rsid w:val="0033037B"/>
    <w:rsid w:val="003305B0"/>
    <w:rsid w:val="00330752"/>
    <w:rsid w:val="00330802"/>
    <w:rsid w:val="00330828"/>
    <w:rsid w:val="003309DB"/>
    <w:rsid w:val="00330FE3"/>
    <w:rsid w:val="003310EB"/>
    <w:rsid w:val="00331161"/>
    <w:rsid w:val="003311C9"/>
    <w:rsid w:val="003311FE"/>
    <w:rsid w:val="00331486"/>
    <w:rsid w:val="00331664"/>
    <w:rsid w:val="003318C8"/>
    <w:rsid w:val="00331BBA"/>
    <w:rsid w:val="00331C6B"/>
    <w:rsid w:val="00331CAD"/>
    <w:rsid w:val="00331E1D"/>
    <w:rsid w:val="00331F3F"/>
    <w:rsid w:val="0033239C"/>
    <w:rsid w:val="003324A1"/>
    <w:rsid w:val="00332915"/>
    <w:rsid w:val="00332927"/>
    <w:rsid w:val="00332A70"/>
    <w:rsid w:val="00332B43"/>
    <w:rsid w:val="00332D90"/>
    <w:rsid w:val="00332DB2"/>
    <w:rsid w:val="00332E53"/>
    <w:rsid w:val="0033332D"/>
    <w:rsid w:val="00333674"/>
    <w:rsid w:val="00333837"/>
    <w:rsid w:val="003338DE"/>
    <w:rsid w:val="00333B87"/>
    <w:rsid w:val="00333E00"/>
    <w:rsid w:val="00333EDD"/>
    <w:rsid w:val="00333F82"/>
    <w:rsid w:val="003347CD"/>
    <w:rsid w:val="00334A0B"/>
    <w:rsid w:val="00334C65"/>
    <w:rsid w:val="00334ED2"/>
    <w:rsid w:val="00335101"/>
    <w:rsid w:val="00335155"/>
    <w:rsid w:val="00335371"/>
    <w:rsid w:val="0033546D"/>
    <w:rsid w:val="00335600"/>
    <w:rsid w:val="0033561C"/>
    <w:rsid w:val="00335A40"/>
    <w:rsid w:val="00335C1F"/>
    <w:rsid w:val="0033600D"/>
    <w:rsid w:val="00336130"/>
    <w:rsid w:val="0033631B"/>
    <w:rsid w:val="00336407"/>
    <w:rsid w:val="0033644B"/>
    <w:rsid w:val="003364A6"/>
    <w:rsid w:val="003364B7"/>
    <w:rsid w:val="003365E7"/>
    <w:rsid w:val="003367FF"/>
    <w:rsid w:val="00336AA0"/>
    <w:rsid w:val="00336ACE"/>
    <w:rsid w:val="00336B08"/>
    <w:rsid w:val="00336B3E"/>
    <w:rsid w:val="00336B87"/>
    <w:rsid w:val="00336B8C"/>
    <w:rsid w:val="00336D6D"/>
    <w:rsid w:val="00336E23"/>
    <w:rsid w:val="00336E9F"/>
    <w:rsid w:val="003370D6"/>
    <w:rsid w:val="003371C2"/>
    <w:rsid w:val="00337295"/>
    <w:rsid w:val="00337472"/>
    <w:rsid w:val="003375D9"/>
    <w:rsid w:val="003375F5"/>
    <w:rsid w:val="0033761B"/>
    <w:rsid w:val="003376DE"/>
    <w:rsid w:val="0033777C"/>
    <w:rsid w:val="003378E0"/>
    <w:rsid w:val="00337AE9"/>
    <w:rsid w:val="00337CA9"/>
    <w:rsid w:val="0033D866"/>
    <w:rsid w:val="0034037B"/>
    <w:rsid w:val="0034050B"/>
    <w:rsid w:val="00340696"/>
    <w:rsid w:val="00340698"/>
    <w:rsid w:val="00340754"/>
    <w:rsid w:val="00340806"/>
    <w:rsid w:val="00340B6F"/>
    <w:rsid w:val="00340B80"/>
    <w:rsid w:val="00340C18"/>
    <w:rsid w:val="00340C78"/>
    <w:rsid w:val="00340CA0"/>
    <w:rsid w:val="00340E84"/>
    <w:rsid w:val="0034100B"/>
    <w:rsid w:val="0034125E"/>
    <w:rsid w:val="00341302"/>
    <w:rsid w:val="003413BB"/>
    <w:rsid w:val="00341406"/>
    <w:rsid w:val="0034145C"/>
    <w:rsid w:val="00341525"/>
    <w:rsid w:val="00341707"/>
    <w:rsid w:val="003418CA"/>
    <w:rsid w:val="0034193F"/>
    <w:rsid w:val="00341C47"/>
    <w:rsid w:val="00342010"/>
    <w:rsid w:val="00342064"/>
    <w:rsid w:val="0034209F"/>
    <w:rsid w:val="003421E8"/>
    <w:rsid w:val="00342420"/>
    <w:rsid w:val="00342522"/>
    <w:rsid w:val="0034258A"/>
    <w:rsid w:val="0034266D"/>
    <w:rsid w:val="00342789"/>
    <w:rsid w:val="00342994"/>
    <w:rsid w:val="00342A12"/>
    <w:rsid w:val="00342AC9"/>
    <w:rsid w:val="00342B31"/>
    <w:rsid w:val="00342D38"/>
    <w:rsid w:val="00342EC3"/>
    <w:rsid w:val="00342FEF"/>
    <w:rsid w:val="003432D3"/>
    <w:rsid w:val="003433EF"/>
    <w:rsid w:val="003435BF"/>
    <w:rsid w:val="003438E3"/>
    <w:rsid w:val="00343931"/>
    <w:rsid w:val="00343962"/>
    <w:rsid w:val="00343990"/>
    <w:rsid w:val="00343B61"/>
    <w:rsid w:val="00343FA1"/>
    <w:rsid w:val="00343FB8"/>
    <w:rsid w:val="003441B1"/>
    <w:rsid w:val="00344209"/>
    <w:rsid w:val="0034422F"/>
    <w:rsid w:val="003442AD"/>
    <w:rsid w:val="003448D6"/>
    <w:rsid w:val="00344AE0"/>
    <w:rsid w:val="00344B64"/>
    <w:rsid w:val="00344C43"/>
    <w:rsid w:val="00344E75"/>
    <w:rsid w:val="003450A6"/>
    <w:rsid w:val="00345362"/>
    <w:rsid w:val="00345374"/>
    <w:rsid w:val="003454A9"/>
    <w:rsid w:val="00345725"/>
    <w:rsid w:val="0034585A"/>
    <w:rsid w:val="0034590A"/>
    <w:rsid w:val="00345BFC"/>
    <w:rsid w:val="00345CE3"/>
    <w:rsid w:val="00345E13"/>
    <w:rsid w:val="003464E5"/>
    <w:rsid w:val="00346817"/>
    <w:rsid w:val="00346BA4"/>
    <w:rsid w:val="00346BE8"/>
    <w:rsid w:val="00346CF2"/>
    <w:rsid w:val="00346D4B"/>
    <w:rsid w:val="00346E34"/>
    <w:rsid w:val="00346F2A"/>
    <w:rsid w:val="00347355"/>
    <w:rsid w:val="003476EE"/>
    <w:rsid w:val="003477F3"/>
    <w:rsid w:val="00347C6A"/>
    <w:rsid w:val="0035001B"/>
    <w:rsid w:val="0035001C"/>
    <w:rsid w:val="003500FB"/>
    <w:rsid w:val="00350194"/>
    <w:rsid w:val="0035021A"/>
    <w:rsid w:val="0035021D"/>
    <w:rsid w:val="003502AE"/>
    <w:rsid w:val="0035030F"/>
    <w:rsid w:val="003503FF"/>
    <w:rsid w:val="003504FC"/>
    <w:rsid w:val="003506AB"/>
    <w:rsid w:val="003507B8"/>
    <w:rsid w:val="003507EE"/>
    <w:rsid w:val="003508AE"/>
    <w:rsid w:val="00350A34"/>
    <w:rsid w:val="00350CD4"/>
    <w:rsid w:val="00351134"/>
    <w:rsid w:val="003512AB"/>
    <w:rsid w:val="003512B8"/>
    <w:rsid w:val="003512CD"/>
    <w:rsid w:val="00351394"/>
    <w:rsid w:val="00351425"/>
    <w:rsid w:val="00351600"/>
    <w:rsid w:val="00351A8C"/>
    <w:rsid w:val="00351C85"/>
    <w:rsid w:val="00351D5E"/>
    <w:rsid w:val="00351F91"/>
    <w:rsid w:val="003521DB"/>
    <w:rsid w:val="0035229D"/>
    <w:rsid w:val="0035236C"/>
    <w:rsid w:val="00352374"/>
    <w:rsid w:val="00352468"/>
    <w:rsid w:val="00352482"/>
    <w:rsid w:val="0035279F"/>
    <w:rsid w:val="003527AC"/>
    <w:rsid w:val="003529AD"/>
    <w:rsid w:val="00352A48"/>
    <w:rsid w:val="00352DB2"/>
    <w:rsid w:val="00352FB7"/>
    <w:rsid w:val="003531F5"/>
    <w:rsid w:val="00353284"/>
    <w:rsid w:val="003539BC"/>
    <w:rsid w:val="00353AA5"/>
    <w:rsid w:val="00353D56"/>
    <w:rsid w:val="00354157"/>
    <w:rsid w:val="003544DA"/>
    <w:rsid w:val="003546F8"/>
    <w:rsid w:val="003547D6"/>
    <w:rsid w:val="003549B9"/>
    <w:rsid w:val="00354A7A"/>
    <w:rsid w:val="00354BB3"/>
    <w:rsid w:val="00354C46"/>
    <w:rsid w:val="00354D04"/>
    <w:rsid w:val="00354D6D"/>
    <w:rsid w:val="00354E25"/>
    <w:rsid w:val="003550B7"/>
    <w:rsid w:val="0035587B"/>
    <w:rsid w:val="00355A05"/>
    <w:rsid w:val="00355B70"/>
    <w:rsid w:val="00355BFF"/>
    <w:rsid w:val="00355C9E"/>
    <w:rsid w:val="00355D21"/>
    <w:rsid w:val="0035618E"/>
    <w:rsid w:val="0035620B"/>
    <w:rsid w:val="003565FE"/>
    <w:rsid w:val="003566BD"/>
    <w:rsid w:val="003566DF"/>
    <w:rsid w:val="003568C6"/>
    <w:rsid w:val="0035692F"/>
    <w:rsid w:val="00356AE9"/>
    <w:rsid w:val="00356B3C"/>
    <w:rsid w:val="00356D09"/>
    <w:rsid w:val="00356ED1"/>
    <w:rsid w:val="00356F48"/>
    <w:rsid w:val="00357065"/>
    <w:rsid w:val="003570FA"/>
    <w:rsid w:val="0035711F"/>
    <w:rsid w:val="00357315"/>
    <w:rsid w:val="00357349"/>
    <w:rsid w:val="003573D0"/>
    <w:rsid w:val="003576A7"/>
    <w:rsid w:val="003579B6"/>
    <w:rsid w:val="00357C57"/>
    <w:rsid w:val="00357C68"/>
    <w:rsid w:val="00357CE3"/>
    <w:rsid w:val="00357D5C"/>
    <w:rsid w:val="00360005"/>
    <w:rsid w:val="00360091"/>
    <w:rsid w:val="003601A6"/>
    <w:rsid w:val="003603EA"/>
    <w:rsid w:val="003604AC"/>
    <w:rsid w:val="0036077A"/>
    <w:rsid w:val="003607FB"/>
    <w:rsid w:val="003608B1"/>
    <w:rsid w:val="003609B8"/>
    <w:rsid w:val="00360A8E"/>
    <w:rsid w:val="00360B54"/>
    <w:rsid w:val="00360BDD"/>
    <w:rsid w:val="00360D9F"/>
    <w:rsid w:val="00360DB6"/>
    <w:rsid w:val="00360F71"/>
    <w:rsid w:val="003610A6"/>
    <w:rsid w:val="003611AD"/>
    <w:rsid w:val="00361291"/>
    <w:rsid w:val="003612F7"/>
    <w:rsid w:val="0036140D"/>
    <w:rsid w:val="00361419"/>
    <w:rsid w:val="00361691"/>
    <w:rsid w:val="0036196D"/>
    <w:rsid w:val="003619D0"/>
    <w:rsid w:val="00361A49"/>
    <w:rsid w:val="00361ACC"/>
    <w:rsid w:val="00361B16"/>
    <w:rsid w:val="00361C15"/>
    <w:rsid w:val="00361C70"/>
    <w:rsid w:val="00362295"/>
    <w:rsid w:val="003622A6"/>
    <w:rsid w:val="0036248E"/>
    <w:rsid w:val="003624B0"/>
    <w:rsid w:val="0036277F"/>
    <w:rsid w:val="003627D8"/>
    <w:rsid w:val="00362915"/>
    <w:rsid w:val="0036297E"/>
    <w:rsid w:val="00362BA7"/>
    <w:rsid w:val="00362CDA"/>
    <w:rsid w:val="00362D82"/>
    <w:rsid w:val="00363074"/>
    <w:rsid w:val="00363291"/>
    <w:rsid w:val="0036331D"/>
    <w:rsid w:val="0036335D"/>
    <w:rsid w:val="0036337D"/>
    <w:rsid w:val="003638A8"/>
    <w:rsid w:val="00363A73"/>
    <w:rsid w:val="00363B0C"/>
    <w:rsid w:val="00364022"/>
    <w:rsid w:val="003641D7"/>
    <w:rsid w:val="00364242"/>
    <w:rsid w:val="0036447F"/>
    <w:rsid w:val="003644CB"/>
    <w:rsid w:val="00364508"/>
    <w:rsid w:val="0036461D"/>
    <w:rsid w:val="00364A15"/>
    <w:rsid w:val="00364AD1"/>
    <w:rsid w:val="00364B73"/>
    <w:rsid w:val="00364D62"/>
    <w:rsid w:val="00364ED9"/>
    <w:rsid w:val="00364F1D"/>
    <w:rsid w:val="00365086"/>
    <w:rsid w:val="0036545E"/>
    <w:rsid w:val="0036550A"/>
    <w:rsid w:val="0036566C"/>
    <w:rsid w:val="0036595D"/>
    <w:rsid w:val="00365A1C"/>
    <w:rsid w:val="00365ACB"/>
    <w:rsid w:val="00365AF4"/>
    <w:rsid w:val="00365E02"/>
    <w:rsid w:val="0036622F"/>
    <w:rsid w:val="0036665F"/>
    <w:rsid w:val="003668F0"/>
    <w:rsid w:val="00366A2F"/>
    <w:rsid w:val="00366F92"/>
    <w:rsid w:val="0036702E"/>
    <w:rsid w:val="00367192"/>
    <w:rsid w:val="003671A7"/>
    <w:rsid w:val="003671FD"/>
    <w:rsid w:val="00367265"/>
    <w:rsid w:val="00367380"/>
    <w:rsid w:val="003673DF"/>
    <w:rsid w:val="00367598"/>
    <w:rsid w:val="0036770D"/>
    <w:rsid w:val="00367800"/>
    <w:rsid w:val="0036787D"/>
    <w:rsid w:val="00367965"/>
    <w:rsid w:val="00367C1A"/>
    <w:rsid w:val="00367CA7"/>
    <w:rsid w:val="00367E03"/>
    <w:rsid w:val="00367F44"/>
    <w:rsid w:val="00370282"/>
    <w:rsid w:val="003702BE"/>
    <w:rsid w:val="003708B8"/>
    <w:rsid w:val="00370976"/>
    <w:rsid w:val="00370BE7"/>
    <w:rsid w:val="00370F72"/>
    <w:rsid w:val="00370FE7"/>
    <w:rsid w:val="003712A9"/>
    <w:rsid w:val="0037169F"/>
    <w:rsid w:val="003717B2"/>
    <w:rsid w:val="00371A1A"/>
    <w:rsid w:val="00371B9A"/>
    <w:rsid w:val="00371BDA"/>
    <w:rsid w:val="00371D23"/>
    <w:rsid w:val="00371E46"/>
    <w:rsid w:val="00372082"/>
    <w:rsid w:val="00372087"/>
    <w:rsid w:val="00372187"/>
    <w:rsid w:val="003721F6"/>
    <w:rsid w:val="00372526"/>
    <w:rsid w:val="00372640"/>
    <w:rsid w:val="0037294E"/>
    <w:rsid w:val="00372986"/>
    <w:rsid w:val="003729DC"/>
    <w:rsid w:val="00372AC6"/>
    <w:rsid w:val="00372C1C"/>
    <w:rsid w:val="00372C68"/>
    <w:rsid w:val="00372CA6"/>
    <w:rsid w:val="00372E38"/>
    <w:rsid w:val="00372EC3"/>
    <w:rsid w:val="00372F69"/>
    <w:rsid w:val="003731EE"/>
    <w:rsid w:val="003734F9"/>
    <w:rsid w:val="003737A8"/>
    <w:rsid w:val="0037380A"/>
    <w:rsid w:val="003738F0"/>
    <w:rsid w:val="00373A29"/>
    <w:rsid w:val="00373A6A"/>
    <w:rsid w:val="00373CDF"/>
    <w:rsid w:val="003740E4"/>
    <w:rsid w:val="00374330"/>
    <w:rsid w:val="0037444F"/>
    <w:rsid w:val="003744F4"/>
    <w:rsid w:val="003746E6"/>
    <w:rsid w:val="00374E94"/>
    <w:rsid w:val="00374EA5"/>
    <w:rsid w:val="00374F12"/>
    <w:rsid w:val="003750E4"/>
    <w:rsid w:val="003754DF"/>
    <w:rsid w:val="00375537"/>
    <w:rsid w:val="00375543"/>
    <w:rsid w:val="00375AF1"/>
    <w:rsid w:val="00375C9E"/>
    <w:rsid w:val="00375D2E"/>
    <w:rsid w:val="00375E6E"/>
    <w:rsid w:val="00375E6F"/>
    <w:rsid w:val="0037627B"/>
    <w:rsid w:val="003763A9"/>
    <w:rsid w:val="00376660"/>
    <w:rsid w:val="0037697A"/>
    <w:rsid w:val="00376992"/>
    <w:rsid w:val="00376AB6"/>
    <w:rsid w:val="00376C30"/>
    <w:rsid w:val="00376D42"/>
    <w:rsid w:val="00376ED7"/>
    <w:rsid w:val="00377104"/>
    <w:rsid w:val="00377160"/>
    <w:rsid w:val="0037716F"/>
    <w:rsid w:val="003774E6"/>
    <w:rsid w:val="003775A7"/>
    <w:rsid w:val="00377878"/>
    <w:rsid w:val="00377AE1"/>
    <w:rsid w:val="00377B90"/>
    <w:rsid w:val="00380071"/>
    <w:rsid w:val="003801A8"/>
    <w:rsid w:val="00380665"/>
    <w:rsid w:val="003806AF"/>
    <w:rsid w:val="003807DF"/>
    <w:rsid w:val="003808BE"/>
    <w:rsid w:val="00380D71"/>
    <w:rsid w:val="003812B2"/>
    <w:rsid w:val="0038132D"/>
    <w:rsid w:val="003813BE"/>
    <w:rsid w:val="00381872"/>
    <w:rsid w:val="003818C7"/>
    <w:rsid w:val="00381986"/>
    <w:rsid w:val="00381CFD"/>
    <w:rsid w:val="003820AF"/>
    <w:rsid w:val="0038220B"/>
    <w:rsid w:val="0038221C"/>
    <w:rsid w:val="003822BB"/>
    <w:rsid w:val="00382330"/>
    <w:rsid w:val="0038237B"/>
    <w:rsid w:val="003827B8"/>
    <w:rsid w:val="00382802"/>
    <w:rsid w:val="00382850"/>
    <w:rsid w:val="003828EE"/>
    <w:rsid w:val="003829B4"/>
    <w:rsid w:val="00382A11"/>
    <w:rsid w:val="00382BEC"/>
    <w:rsid w:val="00382C2F"/>
    <w:rsid w:val="00382C94"/>
    <w:rsid w:val="00382E20"/>
    <w:rsid w:val="00382E85"/>
    <w:rsid w:val="00382EE8"/>
    <w:rsid w:val="00382F90"/>
    <w:rsid w:val="003830CC"/>
    <w:rsid w:val="00383195"/>
    <w:rsid w:val="003831FD"/>
    <w:rsid w:val="00383237"/>
    <w:rsid w:val="0038336A"/>
    <w:rsid w:val="00383374"/>
    <w:rsid w:val="003833C5"/>
    <w:rsid w:val="003835B9"/>
    <w:rsid w:val="0038361E"/>
    <w:rsid w:val="00383686"/>
    <w:rsid w:val="0038383B"/>
    <w:rsid w:val="00383B01"/>
    <w:rsid w:val="00383F45"/>
    <w:rsid w:val="00383F49"/>
    <w:rsid w:val="00383F7E"/>
    <w:rsid w:val="003841BA"/>
    <w:rsid w:val="003843E2"/>
    <w:rsid w:val="003843EF"/>
    <w:rsid w:val="00384873"/>
    <w:rsid w:val="003849D4"/>
    <w:rsid w:val="003849EC"/>
    <w:rsid w:val="00384A6A"/>
    <w:rsid w:val="00384C19"/>
    <w:rsid w:val="00384C6B"/>
    <w:rsid w:val="00384CE7"/>
    <w:rsid w:val="00384CEE"/>
    <w:rsid w:val="00384F8A"/>
    <w:rsid w:val="00385046"/>
    <w:rsid w:val="0038523B"/>
    <w:rsid w:val="00385369"/>
    <w:rsid w:val="00385386"/>
    <w:rsid w:val="003853C6"/>
    <w:rsid w:val="003854AD"/>
    <w:rsid w:val="003854D7"/>
    <w:rsid w:val="00385735"/>
    <w:rsid w:val="0038596C"/>
    <w:rsid w:val="003859DE"/>
    <w:rsid w:val="00385A7A"/>
    <w:rsid w:val="00385BDA"/>
    <w:rsid w:val="00385CDC"/>
    <w:rsid w:val="00386163"/>
    <w:rsid w:val="003867A8"/>
    <w:rsid w:val="00386819"/>
    <w:rsid w:val="00386827"/>
    <w:rsid w:val="00386D3F"/>
    <w:rsid w:val="00386DF0"/>
    <w:rsid w:val="00386EFC"/>
    <w:rsid w:val="0038739E"/>
    <w:rsid w:val="00387459"/>
    <w:rsid w:val="0038754B"/>
    <w:rsid w:val="003876F4"/>
    <w:rsid w:val="00387825"/>
    <w:rsid w:val="003878A1"/>
    <w:rsid w:val="003878D2"/>
    <w:rsid w:val="003878EB"/>
    <w:rsid w:val="00387AC5"/>
    <w:rsid w:val="00387B99"/>
    <w:rsid w:val="00387BF5"/>
    <w:rsid w:val="00387C16"/>
    <w:rsid w:val="00387D6E"/>
    <w:rsid w:val="00390227"/>
    <w:rsid w:val="003905B8"/>
    <w:rsid w:val="003905DA"/>
    <w:rsid w:val="003906B2"/>
    <w:rsid w:val="00390733"/>
    <w:rsid w:val="00390BEF"/>
    <w:rsid w:val="00390D69"/>
    <w:rsid w:val="00390DAC"/>
    <w:rsid w:val="00390DBF"/>
    <w:rsid w:val="0039124F"/>
    <w:rsid w:val="00391290"/>
    <w:rsid w:val="003915AA"/>
    <w:rsid w:val="00391704"/>
    <w:rsid w:val="003917AA"/>
    <w:rsid w:val="0039184E"/>
    <w:rsid w:val="00391869"/>
    <w:rsid w:val="00391909"/>
    <w:rsid w:val="00391932"/>
    <w:rsid w:val="003919C5"/>
    <w:rsid w:val="00391B64"/>
    <w:rsid w:val="00391BE6"/>
    <w:rsid w:val="00391CE8"/>
    <w:rsid w:val="00391D1C"/>
    <w:rsid w:val="00391DA6"/>
    <w:rsid w:val="00391EF9"/>
    <w:rsid w:val="003925DA"/>
    <w:rsid w:val="003925E6"/>
    <w:rsid w:val="00392660"/>
    <w:rsid w:val="00392991"/>
    <w:rsid w:val="00392ACD"/>
    <w:rsid w:val="00392C9E"/>
    <w:rsid w:val="00392D37"/>
    <w:rsid w:val="00392D49"/>
    <w:rsid w:val="00392EFB"/>
    <w:rsid w:val="00393042"/>
    <w:rsid w:val="003935B0"/>
    <w:rsid w:val="0039368E"/>
    <w:rsid w:val="00393994"/>
    <w:rsid w:val="00393AB2"/>
    <w:rsid w:val="00393ADB"/>
    <w:rsid w:val="00393B2B"/>
    <w:rsid w:val="0039410F"/>
    <w:rsid w:val="0039424C"/>
    <w:rsid w:val="00394508"/>
    <w:rsid w:val="0039483D"/>
    <w:rsid w:val="00394D4E"/>
    <w:rsid w:val="00394E3E"/>
    <w:rsid w:val="00394E8C"/>
    <w:rsid w:val="00394F56"/>
    <w:rsid w:val="003950E4"/>
    <w:rsid w:val="003952A2"/>
    <w:rsid w:val="00395355"/>
    <w:rsid w:val="003954D9"/>
    <w:rsid w:val="00395659"/>
    <w:rsid w:val="00395757"/>
    <w:rsid w:val="00395907"/>
    <w:rsid w:val="00395B05"/>
    <w:rsid w:val="00395BAC"/>
    <w:rsid w:val="00395C1A"/>
    <w:rsid w:val="00395E9B"/>
    <w:rsid w:val="003961F8"/>
    <w:rsid w:val="00396468"/>
    <w:rsid w:val="00396525"/>
    <w:rsid w:val="003967F1"/>
    <w:rsid w:val="003969C6"/>
    <w:rsid w:val="00396C4F"/>
    <w:rsid w:val="00396C56"/>
    <w:rsid w:val="00396D7B"/>
    <w:rsid w:val="00396F73"/>
    <w:rsid w:val="00396FA9"/>
    <w:rsid w:val="0039702E"/>
    <w:rsid w:val="0039708B"/>
    <w:rsid w:val="003970DD"/>
    <w:rsid w:val="0039713F"/>
    <w:rsid w:val="0039729D"/>
    <w:rsid w:val="0039761C"/>
    <w:rsid w:val="00397647"/>
    <w:rsid w:val="00397AD5"/>
    <w:rsid w:val="00397CB1"/>
    <w:rsid w:val="00397D24"/>
    <w:rsid w:val="00397FED"/>
    <w:rsid w:val="003A0184"/>
    <w:rsid w:val="003A020B"/>
    <w:rsid w:val="003A067E"/>
    <w:rsid w:val="003A07A7"/>
    <w:rsid w:val="003A0931"/>
    <w:rsid w:val="003A0C60"/>
    <w:rsid w:val="003A0E2B"/>
    <w:rsid w:val="003A0E6C"/>
    <w:rsid w:val="003A0F9C"/>
    <w:rsid w:val="003A0FF0"/>
    <w:rsid w:val="003A1320"/>
    <w:rsid w:val="003A1604"/>
    <w:rsid w:val="003A19E4"/>
    <w:rsid w:val="003A1ADE"/>
    <w:rsid w:val="003A1AFA"/>
    <w:rsid w:val="003A1D9F"/>
    <w:rsid w:val="003A1F0D"/>
    <w:rsid w:val="003A2129"/>
    <w:rsid w:val="003A237D"/>
    <w:rsid w:val="003A25AA"/>
    <w:rsid w:val="003A2601"/>
    <w:rsid w:val="003A2A5C"/>
    <w:rsid w:val="003A2AF6"/>
    <w:rsid w:val="003A2B28"/>
    <w:rsid w:val="003A2C6E"/>
    <w:rsid w:val="003A2D44"/>
    <w:rsid w:val="003A315A"/>
    <w:rsid w:val="003A35D2"/>
    <w:rsid w:val="003A38B4"/>
    <w:rsid w:val="003A3935"/>
    <w:rsid w:val="003A393F"/>
    <w:rsid w:val="003A3B0A"/>
    <w:rsid w:val="003A3B78"/>
    <w:rsid w:val="003A3E3E"/>
    <w:rsid w:val="003A4055"/>
    <w:rsid w:val="003A4255"/>
    <w:rsid w:val="003A458C"/>
    <w:rsid w:val="003A4660"/>
    <w:rsid w:val="003A4877"/>
    <w:rsid w:val="003A4901"/>
    <w:rsid w:val="003A49EC"/>
    <w:rsid w:val="003A4C11"/>
    <w:rsid w:val="003A4E05"/>
    <w:rsid w:val="003A4F83"/>
    <w:rsid w:val="003A4FD7"/>
    <w:rsid w:val="003A4FFD"/>
    <w:rsid w:val="003A52CA"/>
    <w:rsid w:val="003A53D0"/>
    <w:rsid w:val="003A540C"/>
    <w:rsid w:val="003A54E5"/>
    <w:rsid w:val="003A54F4"/>
    <w:rsid w:val="003A5513"/>
    <w:rsid w:val="003A55A4"/>
    <w:rsid w:val="003A57B7"/>
    <w:rsid w:val="003A588E"/>
    <w:rsid w:val="003A5A23"/>
    <w:rsid w:val="003A5B69"/>
    <w:rsid w:val="003A5C90"/>
    <w:rsid w:val="003A5DCA"/>
    <w:rsid w:val="003A62D3"/>
    <w:rsid w:val="003A64D4"/>
    <w:rsid w:val="003A6991"/>
    <w:rsid w:val="003A6A3D"/>
    <w:rsid w:val="003A6C61"/>
    <w:rsid w:val="003A6D29"/>
    <w:rsid w:val="003A7081"/>
    <w:rsid w:val="003A7101"/>
    <w:rsid w:val="003A7141"/>
    <w:rsid w:val="003A7290"/>
    <w:rsid w:val="003A730A"/>
    <w:rsid w:val="003A74E2"/>
    <w:rsid w:val="003A7779"/>
    <w:rsid w:val="003A787A"/>
    <w:rsid w:val="003A78E9"/>
    <w:rsid w:val="003A7955"/>
    <w:rsid w:val="003A79AB"/>
    <w:rsid w:val="003A7F0A"/>
    <w:rsid w:val="003A7F53"/>
    <w:rsid w:val="003B00CF"/>
    <w:rsid w:val="003B014F"/>
    <w:rsid w:val="003B0240"/>
    <w:rsid w:val="003B0264"/>
    <w:rsid w:val="003B0375"/>
    <w:rsid w:val="003B09A2"/>
    <w:rsid w:val="003B0AB9"/>
    <w:rsid w:val="003B0C6B"/>
    <w:rsid w:val="003B0DA0"/>
    <w:rsid w:val="003B0F84"/>
    <w:rsid w:val="003B0F97"/>
    <w:rsid w:val="003B0FD3"/>
    <w:rsid w:val="003B10A0"/>
    <w:rsid w:val="003B10A7"/>
    <w:rsid w:val="003B10D9"/>
    <w:rsid w:val="003B12A4"/>
    <w:rsid w:val="003B1349"/>
    <w:rsid w:val="003B1370"/>
    <w:rsid w:val="003B160B"/>
    <w:rsid w:val="003B1790"/>
    <w:rsid w:val="003B1CC7"/>
    <w:rsid w:val="003B1D63"/>
    <w:rsid w:val="003B2327"/>
    <w:rsid w:val="003B240F"/>
    <w:rsid w:val="003B243C"/>
    <w:rsid w:val="003B24D0"/>
    <w:rsid w:val="003B2634"/>
    <w:rsid w:val="003B2974"/>
    <w:rsid w:val="003B29DB"/>
    <w:rsid w:val="003B2AF9"/>
    <w:rsid w:val="003B2B5F"/>
    <w:rsid w:val="003B2DA0"/>
    <w:rsid w:val="003B2FEF"/>
    <w:rsid w:val="003B322C"/>
    <w:rsid w:val="003B32DD"/>
    <w:rsid w:val="003B3395"/>
    <w:rsid w:val="003B33EF"/>
    <w:rsid w:val="003B3476"/>
    <w:rsid w:val="003B3486"/>
    <w:rsid w:val="003B3552"/>
    <w:rsid w:val="003B3600"/>
    <w:rsid w:val="003B375E"/>
    <w:rsid w:val="003B3948"/>
    <w:rsid w:val="003B3953"/>
    <w:rsid w:val="003B3975"/>
    <w:rsid w:val="003B39B4"/>
    <w:rsid w:val="003B39FE"/>
    <w:rsid w:val="003B3AB3"/>
    <w:rsid w:val="003B3AF0"/>
    <w:rsid w:val="003B3BBE"/>
    <w:rsid w:val="003B3D5C"/>
    <w:rsid w:val="003B3E85"/>
    <w:rsid w:val="003B3E9B"/>
    <w:rsid w:val="003B3F4F"/>
    <w:rsid w:val="003B4284"/>
    <w:rsid w:val="003B447F"/>
    <w:rsid w:val="003B452A"/>
    <w:rsid w:val="003B4746"/>
    <w:rsid w:val="003B47AA"/>
    <w:rsid w:val="003B490A"/>
    <w:rsid w:val="003B49B9"/>
    <w:rsid w:val="003B49C8"/>
    <w:rsid w:val="003B49D5"/>
    <w:rsid w:val="003B5028"/>
    <w:rsid w:val="003B52AA"/>
    <w:rsid w:val="003B5382"/>
    <w:rsid w:val="003B5496"/>
    <w:rsid w:val="003B56B2"/>
    <w:rsid w:val="003B5F25"/>
    <w:rsid w:val="003B5FCE"/>
    <w:rsid w:val="003B619D"/>
    <w:rsid w:val="003B63AC"/>
    <w:rsid w:val="003B66A1"/>
    <w:rsid w:val="003B689B"/>
    <w:rsid w:val="003B69AF"/>
    <w:rsid w:val="003B6A84"/>
    <w:rsid w:val="003B6AA1"/>
    <w:rsid w:val="003B6B47"/>
    <w:rsid w:val="003B6C7A"/>
    <w:rsid w:val="003B6C90"/>
    <w:rsid w:val="003B6D08"/>
    <w:rsid w:val="003B6D2D"/>
    <w:rsid w:val="003B6DF4"/>
    <w:rsid w:val="003B7059"/>
    <w:rsid w:val="003B70B5"/>
    <w:rsid w:val="003B7437"/>
    <w:rsid w:val="003B76CE"/>
    <w:rsid w:val="003B77A4"/>
    <w:rsid w:val="003B77B0"/>
    <w:rsid w:val="003B7BC7"/>
    <w:rsid w:val="003B7C21"/>
    <w:rsid w:val="003B7DFB"/>
    <w:rsid w:val="003B7FDC"/>
    <w:rsid w:val="003C00F4"/>
    <w:rsid w:val="003C0249"/>
    <w:rsid w:val="003C02DE"/>
    <w:rsid w:val="003C048D"/>
    <w:rsid w:val="003C05CF"/>
    <w:rsid w:val="003C062E"/>
    <w:rsid w:val="003C0793"/>
    <w:rsid w:val="003C0803"/>
    <w:rsid w:val="003C0988"/>
    <w:rsid w:val="003C0E6D"/>
    <w:rsid w:val="003C10C0"/>
    <w:rsid w:val="003C13EF"/>
    <w:rsid w:val="003C1522"/>
    <w:rsid w:val="003C15BB"/>
    <w:rsid w:val="003C1704"/>
    <w:rsid w:val="003C1E31"/>
    <w:rsid w:val="003C1F70"/>
    <w:rsid w:val="003C1F8C"/>
    <w:rsid w:val="003C205E"/>
    <w:rsid w:val="003C234C"/>
    <w:rsid w:val="003C252B"/>
    <w:rsid w:val="003C28CA"/>
    <w:rsid w:val="003C28FF"/>
    <w:rsid w:val="003C2C0B"/>
    <w:rsid w:val="003C2C3A"/>
    <w:rsid w:val="003C2CE7"/>
    <w:rsid w:val="003C2D5E"/>
    <w:rsid w:val="003C2E81"/>
    <w:rsid w:val="003C2EE7"/>
    <w:rsid w:val="003C2FD9"/>
    <w:rsid w:val="003C315D"/>
    <w:rsid w:val="003C331C"/>
    <w:rsid w:val="003C331E"/>
    <w:rsid w:val="003C3346"/>
    <w:rsid w:val="003C3495"/>
    <w:rsid w:val="003C35F1"/>
    <w:rsid w:val="003C36D2"/>
    <w:rsid w:val="003C370B"/>
    <w:rsid w:val="003C3831"/>
    <w:rsid w:val="003C39D4"/>
    <w:rsid w:val="003C3A30"/>
    <w:rsid w:val="003C3A85"/>
    <w:rsid w:val="003C3C07"/>
    <w:rsid w:val="003C3DAA"/>
    <w:rsid w:val="003C3DBC"/>
    <w:rsid w:val="003C3EC1"/>
    <w:rsid w:val="003C3F9A"/>
    <w:rsid w:val="003C4086"/>
    <w:rsid w:val="003C43BC"/>
    <w:rsid w:val="003C451B"/>
    <w:rsid w:val="003C45AE"/>
    <w:rsid w:val="003C4660"/>
    <w:rsid w:val="003C4818"/>
    <w:rsid w:val="003C4A94"/>
    <w:rsid w:val="003C4C59"/>
    <w:rsid w:val="003C4D42"/>
    <w:rsid w:val="003C4DDE"/>
    <w:rsid w:val="003C4EA7"/>
    <w:rsid w:val="003C50B2"/>
    <w:rsid w:val="003C51E3"/>
    <w:rsid w:val="003C5365"/>
    <w:rsid w:val="003C5379"/>
    <w:rsid w:val="003C5380"/>
    <w:rsid w:val="003C539D"/>
    <w:rsid w:val="003C53E9"/>
    <w:rsid w:val="003C5480"/>
    <w:rsid w:val="003C5541"/>
    <w:rsid w:val="003C5545"/>
    <w:rsid w:val="003C55A1"/>
    <w:rsid w:val="003C58DE"/>
    <w:rsid w:val="003C59F7"/>
    <w:rsid w:val="003C5C28"/>
    <w:rsid w:val="003C5D0F"/>
    <w:rsid w:val="003C5EE2"/>
    <w:rsid w:val="003C637A"/>
    <w:rsid w:val="003C63D8"/>
    <w:rsid w:val="003C6607"/>
    <w:rsid w:val="003C674D"/>
    <w:rsid w:val="003C6881"/>
    <w:rsid w:val="003C68D1"/>
    <w:rsid w:val="003C6A73"/>
    <w:rsid w:val="003C6D07"/>
    <w:rsid w:val="003C6DEF"/>
    <w:rsid w:val="003C6E90"/>
    <w:rsid w:val="003C6F60"/>
    <w:rsid w:val="003C6FAF"/>
    <w:rsid w:val="003C7175"/>
    <w:rsid w:val="003C723A"/>
    <w:rsid w:val="003C72E2"/>
    <w:rsid w:val="003C736E"/>
    <w:rsid w:val="003C73AA"/>
    <w:rsid w:val="003C7712"/>
    <w:rsid w:val="003C7775"/>
    <w:rsid w:val="003C7798"/>
    <w:rsid w:val="003C779B"/>
    <w:rsid w:val="003C7826"/>
    <w:rsid w:val="003C795A"/>
    <w:rsid w:val="003C7966"/>
    <w:rsid w:val="003C7A55"/>
    <w:rsid w:val="003C7A5B"/>
    <w:rsid w:val="003C7B2C"/>
    <w:rsid w:val="003C7C3C"/>
    <w:rsid w:val="003C7C44"/>
    <w:rsid w:val="003C7FCD"/>
    <w:rsid w:val="003D026A"/>
    <w:rsid w:val="003D0333"/>
    <w:rsid w:val="003D0C01"/>
    <w:rsid w:val="003D0CF6"/>
    <w:rsid w:val="003D0E53"/>
    <w:rsid w:val="003D0EA2"/>
    <w:rsid w:val="003D0F47"/>
    <w:rsid w:val="003D1189"/>
    <w:rsid w:val="003D15BE"/>
    <w:rsid w:val="003D16CB"/>
    <w:rsid w:val="003D1709"/>
    <w:rsid w:val="003D19A9"/>
    <w:rsid w:val="003D1BCF"/>
    <w:rsid w:val="003D1C71"/>
    <w:rsid w:val="003D1F2E"/>
    <w:rsid w:val="003D205A"/>
    <w:rsid w:val="003D20C4"/>
    <w:rsid w:val="003D21F6"/>
    <w:rsid w:val="003D2365"/>
    <w:rsid w:val="003D2368"/>
    <w:rsid w:val="003D2439"/>
    <w:rsid w:val="003D24FF"/>
    <w:rsid w:val="003D271C"/>
    <w:rsid w:val="003D2939"/>
    <w:rsid w:val="003D29FE"/>
    <w:rsid w:val="003D2A74"/>
    <w:rsid w:val="003D2B20"/>
    <w:rsid w:val="003D2F1D"/>
    <w:rsid w:val="003D3068"/>
    <w:rsid w:val="003D3146"/>
    <w:rsid w:val="003D31A7"/>
    <w:rsid w:val="003D373B"/>
    <w:rsid w:val="003D388A"/>
    <w:rsid w:val="003D3DEC"/>
    <w:rsid w:val="003D3EB9"/>
    <w:rsid w:val="003D3FE5"/>
    <w:rsid w:val="003D40FE"/>
    <w:rsid w:val="003D4122"/>
    <w:rsid w:val="003D41AF"/>
    <w:rsid w:val="003D4314"/>
    <w:rsid w:val="003D439D"/>
    <w:rsid w:val="003D46B2"/>
    <w:rsid w:val="003D46DE"/>
    <w:rsid w:val="003D46FF"/>
    <w:rsid w:val="003D4878"/>
    <w:rsid w:val="003D493D"/>
    <w:rsid w:val="003D49A1"/>
    <w:rsid w:val="003D49CB"/>
    <w:rsid w:val="003D49D1"/>
    <w:rsid w:val="003D4D7D"/>
    <w:rsid w:val="003D4EDE"/>
    <w:rsid w:val="003D5127"/>
    <w:rsid w:val="003D5524"/>
    <w:rsid w:val="003D5A4A"/>
    <w:rsid w:val="003D5BF9"/>
    <w:rsid w:val="003D5C1D"/>
    <w:rsid w:val="003D5D86"/>
    <w:rsid w:val="003D5FB6"/>
    <w:rsid w:val="003D62BB"/>
    <w:rsid w:val="003D645D"/>
    <w:rsid w:val="003D6551"/>
    <w:rsid w:val="003D661E"/>
    <w:rsid w:val="003D6808"/>
    <w:rsid w:val="003D691C"/>
    <w:rsid w:val="003D6A0A"/>
    <w:rsid w:val="003D6AB6"/>
    <w:rsid w:val="003D6D3E"/>
    <w:rsid w:val="003D6EE5"/>
    <w:rsid w:val="003D6EED"/>
    <w:rsid w:val="003D6FDF"/>
    <w:rsid w:val="003D6FE7"/>
    <w:rsid w:val="003D7005"/>
    <w:rsid w:val="003D715D"/>
    <w:rsid w:val="003D7244"/>
    <w:rsid w:val="003D7278"/>
    <w:rsid w:val="003D72E9"/>
    <w:rsid w:val="003D76D3"/>
    <w:rsid w:val="003D776E"/>
    <w:rsid w:val="003D7952"/>
    <w:rsid w:val="003D7D6E"/>
    <w:rsid w:val="003E0015"/>
    <w:rsid w:val="003E08A3"/>
    <w:rsid w:val="003E0974"/>
    <w:rsid w:val="003E0B73"/>
    <w:rsid w:val="003E0C67"/>
    <w:rsid w:val="003E1249"/>
    <w:rsid w:val="003E12F4"/>
    <w:rsid w:val="003E1394"/>
    <w:rsid w:val="003E13A6"/>
    <w:rsid w:val="003E13CF"/>
    <w:rsid w:val="003E178C"/>
    <w:rsid w:val="003E1832"/>
    <w:rsid w:val="003E1A54"/>
    <w:rsid w:val="003E1DBC"/>
    <w:rsid w:val="003E1F26"/>
    <w:rsid w:val="003E201D"/>
    <w:rsid w:val="003E20D8"/>
    <w:rsid w:val="003E224D"/>
    <w:rsid w:val="003E241B"/>
    <w:rsid w:val="003E25E3"/>
    <w:rsid w:val="003E2791"/>
    <w:rsid w:val="003E29B1"/>
    <w:rsid w:val="003E2B4B"/>
    <w:rsid w:val="003E2BD2"/>
    <w:rsid w:val="003E2C0A"/>
    <w:rsid w:val="003E2C12"/>
    <w:rsid w:val="003E2C98"/>
    <w:rsid w:val="003E2E0A"/>
    <w:rsid w:val="003E2F3B"/>
    <w:rsid w:val="003E30F7"/>
    <w:rsid w:val="003E32D0"/>
    <w:rsid w:val="003E334D"/>
    <w:rsid w:val="003E3361"/>
    <w:rsid w:val="003E336A"/>
    <w:rsid w:val="003E3399"/>
    <w:rsid w:val="003E33D0"/>
    <w:rsid w:val="003E361F"/>
    <w:rsid w:val="003E3744"/>
    <w:rsid w:val="003E3965"/>
    <w:rsid w:val="003E3A16"/>
    <w:rsid w:val="003E3B89"/>
    <w:rsid w:val="003E3BFF"/>
    <w:rsid w:val="003E3D87"/>
    <w:rsid w:val="003E401F"/>
    <w:rsid w:val="003E43FC"/>
    <w:rsid w:val="003E44DB"/>
    <w:rsid w:val="003E4693"/>
    <w:rsid w:val="003E46E8"/>
    <w:rsid w:val="003E472B"/>
    <w:rsid w:val="003E49FE"/>
    <w:rsid w:val="003E4AE8"/>
    <w:rsid w:val="003E4BD0"/>
    <w:rsid w:val="003E5165"/>
    <w:rsid w:val="003E5751"/>
    <w:rsid w:val="003E575D"/>
    <w:rsid w:val="003E57C6"/>
    <w:rsid w:val="003E5822"/>
    <w:rsid w:val="003E5927"/>
    <w:rsid w:val="003E5A9F"/>
    <w:rsid w:val="003E5AB1"/>
    <w:rsid w:val="003E5B4A"/>
    <w:rsid w:val="003E5BCE"/>
    <w:rsid w:val="003E5BD8"/>
    <w:rsid w:val="003E5D13"/>
    <w:rsid w:val="003E5DEF"/>
    <w:rsid w:val="003E610E"/>
    <w:rsid w:val="003E6249"/>
    <w:rsid w:val="003E62A7"/>
    <w:rsid w:val="003E69A3"/>
    <w:rsid w:val="003E69C4"/>
    <w:rsid w:val="003E6A5D"/>
    <w:rsid w:val="003E6CE1"/>
    <w:rsid w:val="003E6ED0"/>
    <w:rsid w:val="003E7357"/>
    <w:rsid w:val="003E73DB"/>
    <w:rsid w:val="003E7544"/>
    <w:rsid w:val="003E75A5"/>
    <w:rsid w:val="003E7654"/>
    <w:rsid w:val="003E7770"/>
    <w:rsid w:val="003E7793"/>
    <w:rsid w:val="003E7894"/>
    <w:rsid w:val="003E78A0"/>
    <w:rsid w:val="003F0100"/>
    <w:rsid w:val="003F0358"/>
    <w:rsid w:val="003F03B2"/>
    <w:rsid w:val="003F04FA"/>
    <w:rsid w:val="003F056B"/>
    <w:rsid w:val="003F06FE"/>
    <w:rsid w:val="003F08AF"/>
    <w:rsid w:val="003F08F6"/>
    <w:rsid w:val="003F0C87"/>
    <w:rsid w:val="003F0D3E"/>
    <w:rsid w:val="003F1254"/>
    <w:rsid w:val="003F1261"/>
    <w:rsid w:val="003F1364"/>
    <w:rsid w:val="003F17DE"/>
    <w:rsid w:val="003F1B73"/>
    <w:rsid w:val="003F1C80"/>
    <w:rsid w:val="003F1E3E"/>
    <w:rsid w:val="003F1EC4"/>
    <w:rsid w:val="003F1F70"/>
    <w:rsid w:val="003F2332"/>
    <w:rsid w:val="003F2377"/>
    <w:rsid w:val="003F2401"/>
    <w:rsid w:val="003F2502"/>
    <w:rsid w:val="003F2505"/>
    <w:rsid w:val="003F2653"/>
    <w:rsid w:val="003F29A9"/>
    <w:rsid w:val="003F302D"/>
    <w:rsid w:val="003F31BD"/>
    <w:rsid w:val="003F3209"/>
    <w:rsid w:val="003F35AF"/>
    <w:rsid w:val="003F3B32"/>
    <w:rsid w:val="003F3C25"/>
    <w:rsid w:val="003F3C48"/>
    <w:rsid w:val="003F3EDD"/>
    <w:rsid w:val="003F4313"/>
    <w:rsid w:val="003F43CF"/>
    <w:rsid w:val="003F469C"/>
    <w:rsid w:val="003F4833"/>
    <w:rsid w:val="003F48AE"/>
    <w:rsid w:val="003F48EF"/>
    <w:rsid w:val="003F4A7D"/>
    <w:rsid w:val="003F4A9F"/>
    <w:rsid w:val="003F4BAB"/>
    <w:rsid w:val="003F4BDE"/>
    <w:rsid w:val="003F4BE9"/>
    <w:rsid w:val="003F4C18"/>
    <w:rsid w:val="003F4DAB"/>
    <w:rsid w:val="003F50E0"/>
    <w:rsid w:val="003F5200"/>
    <w:rsid w:val="003F521C"/>
    <w:rsid w:val="003F532D"/>
    <w:rsid w:val="003F546D"/>
    <w:rsid w:val="003F558D"/>
    <w:rsid w:val="003F5627"/>
    <w:rsid w:val="003F57FD"/>
    <w:rsid w:val="003F58B8"/>
    <w:rsid w:val="003F5905"/>
    <w:rsid w:val="003F5D5D"/>
    <w:rsid w:val="003F5FB1"/>
    <w:rsid w:val="003F6219"/>
    <w:rsid w:val="003F62E9"/>
    <w:rsid w:val="003F62F2"/>
    <w:rsid w:val="003F6346"/>
    <w:rsid w:val="003F6562"/>
    <w:rsid w:val="003F6784"/>
    <w:rsid w:val="003F6BFC"/>
    <w:rsid w:val="003F6D3E"/>
    <w:rsid w:val="003F6EDA"/>
    <w:rsid w:val="003F6F66"/>
    <w:rsid w:val="003F6F6E"/>
    <w:rsid w:val="003F6FB2"/>
    <w:rsid w:val="003F70BB"/>
    <w:rsid w:val="003F714C"/>
    <w:rsid w:val="003F719C"/>
    <w:rsid w:val="003F71B5"/>
    <w:rsid w:val="003F71C7"/>
    <w:rsid w:val="003F71DF"/>
    <w:rsid w:val="003F74D6"/>
    <w:rsid w:val="003F762F"/>
    <w:rsid w:val="003F76AE"/>
    <w:rsid w:val="003F776A"/>
    <w:rsid w:val="003F77B8"/>
    <w:rsid w:val="003F793A"/>
    <w:rsid w:val="003F79F7"/>
    <w:rsid w:val="003F7B7C"/>
    <w:rsid w:val="003F7C82"/>
    <w:rsid w:val="003F7D7E"/>
    <w:rsid w:val="003F7F00"/>
    <w:rsid w:val="003F7F06"/>
    <w:rsid w:val="003FCC72"/>
    <w:rsid w:val="004000AA"/>
    <w:rsid w:val="00400123"/>
    <w:rsid w:val="004003A3"/>
    <w:rsid w:val="004004EB"/>
    <w:rsid w:val="0040057D"/>
    <w:rsid w:val="00400587"/>
    <w:rsid w:val="004006B9"/>
    <w:rsid w:val="00400736"/>
    <w:rsid w:val="00400823"/>
    <w:rsid w:val="004008C5"/>
    <w:rsid w:val="00400902"/>
    <w:rsid w:val="004009DD"/>
    <w:rsid w:val="00400AAE"/>
    <w:rsid w:val="00400ABD"/>
    <w:rsid w:val="00400BA7"/>
    <w:rsid w:val="00400D6F"/>
    <w:rsid w:val="0040101E"/>
    <w:rsid w:val="00401036"/>
    <w:rsid w:val="00401157"/>
    <w:rsid w:val="004011D5"/>
    <w:rsid w:val="004011DF"/>
    <w:rsid w:val="0040133B"/>
    <w:rsid w:val="00401455"/>
    <w:rsid w:val="00401557"/>
    <w:rsid w:val="0040165C"/>
    <w:rsid w:val="0040165E"/>
    <w:rsid w:val="004016B6"/>
    <w:rsid w:val="0040171F"/>
    <w:rsid w:val="00401A57"/>
    <w:rsid w:val="00401AEC"/>
    <w:rsid w:val="00401C72"/>
    <w:rsid w:val="00401D83"/>
    <w:rsid w:val="00401F75"/>
    <w:rsid w:val="00401FB8"/>
    <w:rsid w:val="004027CC"/>
    <w:rsid w:val="004028CA"/>
    <w:rsid w:val="004029C1"/>
    <w:rsid w:val="00402A4A"/>
    <w:rsid w:val="00402B04"/>
    <w:rsid w:val="00402C29"/>
    <w:rsid w:val="00402ED8"/>
    <w:rsid w:val="0040321F"/>
    <w:rsid w:val="0040325E"/>
    <w:rsid w:val="0040330A"/>
    <w:rsid w:val="00403323"/>
    <w:rsid w:val="004036C8"/>
    <w:rsid w:val="004036D8"/>
    <w:rsid w:val="00403868"/>
    <w:rsid w:val="00403BE9"/>
    <w:rsid w:val="00403C7C"/>
    <w:rsid w:val="00403CBA"/>
    <w:rsid w:val="00403D0B"/>
    <w:rsid w:val="00403DEA"/>
    <w:rsid w:val="00403ECC"/>
    <w:rsid w:val="00403F2E"/>
    <w:rsid w:val="0040421A"/>
    <w:rsid w:val="0040438B"/>
    <w:rsid w:val="004043BB"/>
    <w:rsid w:val="0040443F"/>
    <w:rsid w:val="00404516"/>
    <w:rsid w:val="0040464C"/>
    <w:rsid w:val="0040484E"/>
    <w:rsid w:val="004048D2"/>
    <w:rsid w:val="0040494E"/>
    <w:rsid w:val="00404971"/>
    <w:rsid w:val="004049EC"/>
    <w:rsid w:val="00404AF3"/>
    <w:rsid w:val="00404AFF"/>
    <w:rsid w:val="00404F10"/>
    <w:rsid w:val="0040500D"/>
    <w:rsid w:val="00405058"/>
    <w:rsid w:val="004052DE"/>
    <w:rsid w:val="00405315"/>
    <w:rsid w:val="00405624"/>
    <w:rsid w:val="004056A5"/>
    <w:rsid w:val="004058B2"/>
    <w:rsid w:val="00405CE3"/>
    <w:rsid w:val="00405DB6"/>
    <w:rsid w:val="00405E17"/>
    <w:rsid w:val="00405E64"/>
    <w:rsid w:val="00405EAC"/>
    <w:rsid w:val="00405EF2"/>
    <w:rsid w:val="00405F47"/>
    <w:rsid w:val="00406048"/>
    <w:rsid w:val="004066C0"/>
    <w:rsid w:val="004066E2"/>
    <w:rsid w:val="00406918"/>
    <w:rsid w:val="0040693B"/>
    <w:rsid w:val="0040694B"/>
    <w:rsid w:val="004069CE"/>
    <w:rsid w:val="00406A12"/>
    <w:rsid w:val="00406BB5"/>
    <w:rsid w:val="00406CA5"/>
    <w:rsid w:val="00406D1C"/>
    <w:rsid w:val="0040706D"/>
    <w:rsid w:val="004070DE"/>
    <w:rsid w:val="0040733B"/>
    <w:rsid w:val="004076CC"/>
    <w:rsid w:val="00407749"/>
    <w:rsid w:val="00407A43"/>
    <w:rsid w:val="00407C66"/>
    <w:rsid w:val="00407CB8"/>
    <w:rsid w:val="00407E61"/>
    <w:rsid w:val="0041002C"/>
    <w:rsid w:val="004101DD"/>
    <w:rsid w:val="004101E0"/>
    <w:rsid w:val="0041071D"/>
    <w:rsid w:val="00410846"/>
    <w:rsid w:val="004109CE"/>
    <w:rsid w:val="00410BF7"/>
    <w:rsid w:val="00410C25"/>
    <w:rsid w:val="00410D19"/>
    <w:rsid w:val="00410D99"/>
    <w:rsid w:val="00410E9D"/>
    <w:rsid w:val="0041124C"/>
    <w:rsid w:val="00411351"/>
    <w:rsid w:val="00411419"/>
    <w:rsid w:val="0041148E"/>
    <w:rsid w:val="0041168C"/>
    <w:rsid w:val="004117BB"/>
    <w:rsid w:val="0041184C"/>
    <w:rsid w:val="00411855"/>
    <w:rsid w:val="004118C4"/>
    <w:rsid w:val="00411999"/>
    <w:rsid w:val="00411D37"/>
    <w:rsid w:val="00411E1C"/>
    <w:rsid w:val="00411E5A"/>
    <w:rsid w:val="0041211E"/>
    <w:rsid w:val="004124D3"/>
    <w:rsid w:val="004125C5"/>
    <w:rsid w:val="004126C1"/>
    <w:rsid w:val="0041273A"/>
    <w:rsid w:val="00412993"/>
    <w:rsid w:val="00412A5B"/>
    <w:rsid w:val="00412A88"/>
    <w:rsid w:val="00412D67"/>
    <w:rsid w:val="00412D88"/>
    <w:rsid w:val="004131C6"/>
    <w:rsid w:val="0041336B"/>
    <w:rsid w:val="004135FC"/>
    <w:rsid w:val="0041374B"/>
    <w:rsid w:val="00413B67"/>
    <w:rsid w:val="004141C9"/>
    <w:rsid w:val="00414670"/>
    <w:rsid w:val="00414726"/>
    <w:rsid w:val="00414BC4"/>
    <w:rsid w:val="00414C15"/>
    <w:rsid w:val="00414C45"/>
    <w:rsid w:val="00414DC7"/>
    <w:rsid w:val="00415004"/>
    <w:rsid w:val="00415202"/>
    <w:rsid w:val="0041525F"/>
    <w:rsid w:val="00415407"/>
    <w:rsid w:val="00415585"/>
    <w:rsid w:val="0041574C"/>
    <w:rsid w:val="00415B4E"/>
    <w:rsid w:val="00415BB6"/>
    <w:rsid w:val="00415CAC"/>
    <w:rsid w:val="00415F64"/>
    <w:rsid w:val="004160D4"/>
    <w:rsid w:val="004160E7"/>
    <w:rsid w:val="0041615F"/>
    <w:rsid w:val="004161C9"/>
    <w:rsid w:val="004161E2"/>
    <w:rsid w:val="004164F3"/>
    <w:rsid w:val="00416B41"/>
    <w:rsid w:val="00416DB4"/>
    <w:rsid w:val="00416E99"/>
    <w:rsid w:val="00416FAB"/>
    <w:rsid w:val="00417063"/>
    <w:rsid w:val="0041725F"/>
    <w:rsid w:val="00417329"/>
    <w:rsid w:val="0041733B"/>
    <w:rsid w:val="004174BD"/>
    <w:rsid w:val="0041764F"/>
    <w:rsid w:val="004176DC"/>
    <w:rsid w:val="004176E1"/>
    <w:rsid w:val="004176E7"/>
    <w:rsid w:val="004178AE"/>
    <w:rsid w:val="0041790D"/>
    <w:rsid w:val="0041791A"/>
    <w:rsid w:val="004179ED"/>
    <w:rsid w:val="004179F1"/>
    <w:rsid w:val="00417A98"/>
    <w:rsid w:val="00417AC4"/>
    <w:rsid w:val="00417CB6"/>
    <w:rsid w:val="00417DD3"/>
    <w:rsid w:val="0041F776"/>
    <w:rsid w:val="0042001C"/>
    <w:rsid w:val="00420262"/>
    <w:rsid w:val="0042099D"/>
    <w:rsid w:val="00420C3B"/>
    <w:rsid w:val="00420CCD"/>
    <w:rsid w:val="00420F82"/>
    <w:rsid w:val="00420FA0"/>
    <w:rsid w:val="004210A0"/>
    <w:rsid w:val="0042114F"/>
    <w:rsid w:val="00421720"/>
    <w:rsid w:val="00421961"/>
    <w:rsid w:val="00421C13"/>
    <w:rsid w:val="00421C51"/>
    <w:rsid w:val="00421C82"/>
    <w:rsid w:val="00421F22"/>
    <w:rsid w:val="00422504"/>
    <w:rsid w:val="004225A4"/>
    <w:rsid w:val="0042273E"/>
    <w:rsid w:val="00422765"/>
    <w:rsid w:val="0042282E"/>
    <w:rsid w:val="00422859"/>
    <w:rsid w:val="00422972"/>
    <w:rsid w:val="00422B7E"/>
    <w:rsid w:val="00422C04"/>
    <w:rsid w:val="00422CDC"/>
    <w:rsid w:val="00422D22"/>
    <w:rsid w:val="00422F8C"/>
    <w:rsid w:val="0042305D"/>
    <w:rsid w:val="00423158"/>
    <w:rsid w:val="00423172"/>
    <w:rsid w:val="00423278"/>
    <w:rsid w:val="0042388B"/>
    <w:rsid w:val="004238F1"/>
    <w:rsid w:val="00423AB6"/>
    <w:rsid w:val="00423AE2"/>
    <w:rsid w:val="00423C3F"/>
    <w:rsid w:val="00423D04"/>
    <w:rsid w:val="00423D9E"/>
    <w:rsid w:val="00423E45"/>
    <w:rsid w:val="00423FF0"/>
    <w:rsid w:val="00423FFD"/>
    <w:rsid w:val="00424321"/>
    <w:rsid w:val="00424630"/>
    <w:rsid w:val="00424973"/>
    <w:rsid w:val="00424A32"/>
    <w:rsid w:val="00424DA0"/>
    <w:rsid w:val="0042519A"/>
    <w:rsid w:val="00425291"/>
    <w:rsid w:val="004252DA"/>
    <w:rsid w:val="00425579"/>
    <w:rsid w:val="004255A1"/>
    <w:rsid w:val="0042589E"/>
    <w:rsid w:val="004258EE"/>
    <w:rsid w:val="00425CC3"/>
    <w:rsid w:val="00425E78"/>
    <w:rsid w:val="00425F73"/>
    <w:rsid w:val="00425F7B"/>
    <w:rsid w:val="00425FA6"/>
    <w:rsid w:val="00426069"/>
    <w:rsid w:val="00426D08"/>
    <w:rsid w:val="00426E8B"/>
    <w:rsid w:val="00426F19"/>
    <w:rsid w:val="00427562"/>
    <w:rsid w:val="00427F83"/>
    <w:rsid w:val="004301B9"/>
    <w:rsid w:val="0043023A"/>
    <w:rsid w:val="0043038A"/>
    <w:rsid w:val="00430684"/>
    <w:rsid w:val="00430873"/>
    <w:rsid w:val="00430962"/>
    <w:rsid w:val="00430A16"/>
    <w:rsid w:val="00430B2D"/>
    <w:rsid w:val="00430B9C"/>
    <w:rsid w:val="00430D07"/>
    <w:rsid w:val="00430DF1"/>
    <w:rsid w:val="00430E0C"/>
    <w:rsid w:val="00430F53"/>
    <w:rsid w:val="00430F87"/>
    <w:rsid w:val="00431051"/>
    <w:rsid w:val="0043135D"/>
    <w:rsid w:val="004313DE"/>
    <w:rsid w:val="004314B5"/>
    <w:rsid w:val="00431530"/>
    <w:rsid w:val="00431629"/>
    <w:rsid w:val="00431662"/>
    <w:rsid w:val="00431678"/>
    <w:rsid w:val="00431849"/>
    <w:rsid w:val="00431888"/>
    <w:rsid w:val="0043188D"/>
    <w:rsid w:val="00431895"/>
    <w:rsid w:val="004318E7"/>
    <w:rsid w:val="00431B1A"/>
    <w:rsid w:val="00431B8C"/>
    <w:rsid w:val="00431FB5"/>
    <w:rsid w:val="004321DF"/>
    <w:rsid w:val="0043256F"/>
    <w:rsid w:val="00432586"/>
    <w:rsid w:val="004326B3"/>
    <w:rsid w:val="0043284C"/>
    <w:rsid w:val="00432BEC"/>
    <w:rsid w:val="00432E5E"/>
    <w:rsid w:val="00433009"/>
    <w:rsid w:val="004336A1"/>
    <w:rsid w:val="004336B8"/>
    <w:rsid w:val="00433B12"/>
    <w:rsid w:val="00433C02"/>
    <w:rsid w:val="00433C1E"/>
    <w:rsid w:val="00433C31"/>
    <w:rsid w:val="00433D02"/>
    <w:rsid w:val="00433DC2"/>
    <w:rsid w:val="00433EF3"/>
    <w:rsid w:val="00433F78"/>
    <w:rsid w:val="00434157"/>
    <w:rsid w:val="00434208"/>
    <w:rsid w:val="004342BD"/>
    <w:rsid w:val="004343EE"/>
    <w:rsid w:val="00434508"/>
    <w:rsid w:val="00434543"/>
    <w:rsid w:val="00434641"/>
    <w:rsid w:val="00434735"/>
    <w:rsid w:val="0043485A"/>
    <w:rsid w:val="004348D5"/>
    <w:rsid w:val="00434C57"/>
    <w:rsid w:val="00434F62"/>
    <w:rsid w:val="004352B1"/>
    <w:rsid w:val="004354EA"/>
    <w:rsid w:val="0043563B"/>
    <w:rsid w:val="0043567C"/>
    <w:rsid w:val="0043580F"/>
    <w:rsid w:val="00435A8A"/>
    <w:rsid w:val="00435B31"/>
    <w:rsid w:val="00435C3C"/>
    <w:rsid w:val="00435E1D"/>
    <w:rsid w:val="00435EA3"/>
    <w:rsid w:val="004360C2"/>
    <w:rsid w:val="004361A3"/>
    <w:rsid w:val="004361F8"/>
    <w:rsid w:val="004362FE"/>
    <w:rsid w:val="004364D1"/>
    <w:rsid w:val="00436641"/>
    <w:rsid w:val="00436765"/>
    <w:rsid w:val="00436829"/>
    <w:rsid w:val="00436BA1"/>
    <w:rsid w:val="00436DE2"/>
    <w:rsid w:val="00437140"/>
    <w:rsid w:val="004372D9"/>
    <w:rsid w:val="004375A8"/>
    <w:rsid w:val="004377B6"/>
    <w:rsid w:val="0043781B"/>
    <w:rsid w:val="004379DF"/>
    <w:rsid w:val="004379FA"/>
    <w:rsid w:val="00437BCB"/>
    <w:rsid w:val="00437E39"/>
    <w:rsid w:val="00437F89"/>
    <w:rsid w:val="0044003A"/>
    <w:rsid w:val="004400F8"/>
    <w:rsid w:val="00440291"/>
    <w:rsid w:val="004405BC"/>
    <w:rsid w:val="0044061E"/>
    <w:rsid w:val="0044065E"/>
    <w:rsid w:val="00440874"/>
    <w:rsid w:val="00440995"/>
    <w:rsid w:val="00440C0A"/>
    <w:rsid w:val="00440C41"/>
    <w:rsid w:val="00440DD4"/>
    <w:rsid w:val="00440FA3"/>
    <w:rsid w:val="00440FF7"/>
    <w:rsid w:val="004411E2"/>
    <w:rsid w:val="00441500"/>
    <w:rsid w:val="004419D3"/>
    <w:rsid w:val="00441A02"/>
    <w:rsid w:val="00441B49"/>
    <w:rsid w:val="00441C5F"/>
    <w:rsid w:val="00441D86"/>
    <w:rsid w:val="00441F04"/>
    <w:rsid w:val="00442064"/>
    <w:rsid w:val="0044213A"/>
    <w:rsid w:val="0044237C"/>
    <w:rsid w:val="004423C0"/>
    <w:rsid w:val="00442477"/>
    <w:rsid w:val="00442664"/>
    <w:rsid w:val="00442699"/>
    <w:rsid w:val="004427F3"/>
    <w:rsid w:val="00442C85"/>
    <w:rsid w:val="00442CBD"/>
    <w:rsid w:val="00442EC3"/>
    <w:rsid w:val="00442F0B"/>
    <w:rsid w:val="00443328"/>
    <w:rsid w:val="00443B10"/>
    <w:rsid w:val="00443BCA"/>
    <w:rsid w:val="00443CD3"/>
    <w:rsid w:val="00443DAB"/>
    <w:rsid w:val="00443DD7"/>
    <w:rsid w:val="00443E71"/>
    <w:rsid w:val="00443F9F"/>
    <w:rsid w:val="00443FD6"/>
    <w:rsid w:val="0044411B"/>
    <w:rsid w:val="00444176"/>
    <w:rsid w:val="004441E5"/>
    <w:rsid w:val="004449D9"/>
    <w:rsid w:val="004449FD"/>
    <w:rsid w:val="0044518A"/>
    <w:rsid w:val="00445267"/>
    <w:rsid w:val="004452B4"/>
    <w:rsid w:val="0044539E"/>
    <w:rsid w:val="004453A9"/>
    <w:rsid w:val="00445733"/>
    <w:rsid w:val="00445763"/>
    <w:rsid w:val="00445819"/>
    <w:rsid w:val="00445A5E"/>
    <w:rsid w:val="00445BB4"/>
    <w:rsid w:val="00445C4D"/>
    <w:rsid w:val="00445C4F"/>
    <w:rsid w:val="00445C75"/>
    <w:rsid w:val="00446052"/>
    <w:rsid w:val="0044628C"/>
    <w:rsid w:val="00446894"/>
    <w:rsid w:val="0044695D"/>
    <w:rsid w:val="00446986"/>
    <w:rsid w:val="004469CB"/>
    <w:rsid w:val="00446A9F"/>
    <w:rsid w:val="00446B98"/>
    <w:rsid w:val="00446BB4"/>
    <w:rsid w:val="00446CAA"/>
    <w:rsid w:val="00446EE6"/>
    <w:rsid w:val="00446F89"/>
    <w:rsid w:val="00447069"/>
    <w:rsid w:val="0044718A"/>
    <w:rsid w:val="004472F2"/>
    <w:rsid w:val="00447373"/>
    <w:rsid w:val="004473C6"/>
    <w:rsid w:val="004476EB"/>
    <w:rsid w:val="00447833"/>
    <w:rsid w:val="00447A83"/>
    <w:rsid w:val="00447AB0"/>
    <w:rsid w:val="00447AC3"/>
    <w:rsid w:val="00447B10"/>
    <w:rsid w:val="00447DC9"/>
    <w:rsid w:val="00447EB9"/>
    <w:rsid w:val="00447F1F"/>
    <w:rsid w:val="00450063"/>
    <w:rsid w:val="0045017F"/>
    <w:rsid w:val="00450233"/>
    <w:rsid w:val="00450240"/>
    <w:rsid w:val="00450380"/>
    <w:rsid w:val="00450446"/>
    <w:rsid w:val="004506D9"/>
    <w:rsid w:val="004507FB"/>
    <w:rsid w:val="0045099F"/>
    <w:rsid w:val="00450B98"/>
    <w:rsid w:val="00450D4A"/>
    <w:rsid w:val="00450E54"/>
    <w:rsid w:val="00450E9C"/>
    <w:rsid w:val="00450EFD"/>
    <w:rsid w:val="004510B4"/>
    <w:rsid w:val="0045125F"/>
    <w:rsid w:val="00451578"/>
    <w:rsid w:val="004516C2"/>
    <w:rsid w:val="00451807"/>
    <w:rsid w:val="00451992"/>
    <w:rsid w:val="00451B42"/>
    <w:rsid w:val="00451BB3"/>
    <w:rsid w:val="00451CC8"/>
    <w:rsid w:val="00451EB1"/>
    <w:rsid w:val="00451ED8"/>
    <w:rsid w:val="00451F4B"/>
    <w:rsid w:val="00452295"/>
    <w:rsid w:val="004524AD"/>
    <w:rsid w:val="004527C7"/>
    <w:rsid w:val="004527CD"/>
    <w:rsid w:val="00452898"/>
    <w:rsid w:val="00452899"/>
    <w:rsid w:val="004529FD"/>
    <w:rsid w:val="00452C02"/>
    <w:rsid w:val="00452CE0"/>
    <w:rsid w:val="00453208"/>
    <w:rsid w:val="004536BF"/>
    <w:rsid w:val="004538E0"/>
    <w:rsid w:val="00453921"/>
    <w:rsid w:val="00453A02"/>
    <w:rsid w:val="00453FCF"/>
    <w:rsid w:val="00453FD4"/>
    <w:rsid w:val="0045421C"/>
    <w:rsid w:val="004542AE"/>
    <w:rsid w:val="00454679"/>
    <w:rsid w:val="0045473A"/>
    <w:rsid w:val="00454B97"/>
    <w:rsid w:val="00454C88"/>
    <w:rsid w:val="0045519B"/>
    <w:rsid w:val="00455236"/>
    <w:rsid w:val="004553FD"/>
    <w:rsid w:val="00455452"/>
    <w:rsid w:val="004558A8"/>
    <w:rsid w:val="00455B85"/>
    <w:rsid w:val="00455CD7"/>
    <w:rsid w:val="00455EBA"/>
    <w:rsid w:val="00455ECA"/>
    <w:rsid w:val="00456028"/>
    <w:rsid w:val="0045644F"/>
    <w:rsid w:val="0045686A"/>
    <w:rsid w:val="004568DE"/>
    <w:rsid w:val="0045696B"/>
    <w:rsid w:val="004569F7"/>
    <w:rsid w:val="004569FF"/>
    <w:rsid w:val="00456B24"/>
    <w:rsid w:val="00456BE5"/>
    <w:rsid w:val="00456C0C"/>
    <w:rsid w:val="00456C9A"/>
    <w:rsid w:val="004574E0"/>
    <w:rsid w:val="004578BF"/>
    <w:rsid w:val="004578E7"/>
    <w:rsid w:val="00457921"/>
    <w:rsid w:val="00457B98"/>
    <w:rsid w:val="00457CE7"/>
    <w:rsid w:val="00460518"/>
    <w:rsid w:val="0046070E"/>
    <w:rsid w:val="00460783"/>
    <w:rsid w:val="00460842"/>
    <w:rsid w:val="00460989"/>
    <w:rsid w:val="00460E79"/>
    <w:rsid w:val="00460E8B"/>
    <w:rsid w:val="00460F1A"/>
    <w:rsid w:val="00460F1D"/>
    <w:rsid w:val="00461033"/>
    <w:rsid w:val="004614F0"/>
    <w:rsid w:val="0046164F"/>
    <w:rsid w:val="00461B92"/>
    <w:rsid w:val="00461BDC"/>
    <w:rsid w:val="00461EB7"/>
    <w:rsid w:val="00461FF9"/>
    <w:rsid w:val="004625B1"/>
    <w:rsid w:val="00462706"/>
    <w:rsid w:val="00462734"/>
    <w:rsid w:val="004627A8"/>
    <w:rsid w:val="0046282B"/>
    <w:rsid w:val="00462835"/>
    <w:rsid w:val="00462AF6"/>
    <w:rsid w:val="00462B91"/>
    <w:rsid w:val="00462C73"/>
    <w:rsid w:val="00462F89"/>
    <w:rsid w:val="00462FB4"/>
    <w:rsid w:val="004630BD"/>
    <w:rsid w:val="004631C8"/>
    <w:rsid w:val="004634D7"/>
    <w:rsid w:val="0046362D"/>
    <w:rsid w:val="004637D1"/>
    <w:rsid w:val="00463815"/>
    <w:rsid w:val="00463D78"/>
    <w:rsid w:val="00463F1B"/>
    <w:rsid w:val="004643D6"/>
    <w:rsid w:val="004644CC"/>
    <w:rsid w:val="004644E3"/>
    <w:rsid w:val="004645D2"/>
    <w:rsid w:val="0046473E"/>
    <w:rsid w:val="004647E5"/>
    <w:rsid w:val="00464B53"/>
    <w:rsid w:val="0046509F"/>
    <w:rsid w:val="0046538A"/>
    <w:rsid w:val="0046544C"/>
    <w:rsid w:val="00465747"/>
    <w:rsid w:val="004658AE"/>
    <w:rsid w:val="00465BBB"/>
    <w:rsid w:val="00465FB5"/>
    <w:rsid w:val="00466084"/>
    <w:rsid w:val="00466201"/>
    <w:rsid w:val="00466429"/>
    <w:rsid w:val="004665AC"/>
    <w:rsid w:val="004665B8"/>
    <w:rsid w:val="00466828"/>
    <w:rsid w:val="00466A9D"/>
    <w:rsid w:val="00466AFA"/>
    <w:rsid w:val="00466CDB"/>
    <w:rsid w:val="00466D17"/>
    <w:rsid w:val="004670A2"/>
    <w:rsid w:val="004671A5"/>
    <w:rsid w:val="00467227"/>
    <w:rsid w:val="0046726F"/>
    <w:rsid w:val="00467318"/>
    <w:rsid w:val="00467821"/>
    <w:rsid w:val="00467A1C"/>
    <w:rsid w:val="00467C21"/>
    <w:rsid w:val="00467D02"/>
    <w:rsid w:val="00467D8C"/>
    <w:rsid w:val="00470175"/>
    <w:rsid w:val="004702C6"/>
    <w:rsid w:val="00470301"/>
    <w:rsid w:val="004705CD"/>
    <w:rsid w:val="004706B6"/>
    <w:rsid w:val="004706CC"/>
    <w:rsid w:val="00470AFE"/>
    <w:rsid w:val="00470BE0"/>
    <w:rsid w:val="00470CFD"/>
    <w:rsid w:val="00470E5F"/>
    <w:rsid w:val="00471060"/>
    <w:rsid w:val="0047116D"/>
    <w:rsid w:val="00471187"/>
    <w:rsid w:val="0047123B"/>
    <w:rsid w:val="00471273"/>
    <w:rsid w:val="004714BF"/>
    <w:rsid w:val="00471608"/>
    <w:rsid w:val="0047165B"/>
    <w:rsid w:val="004716C8"/>
    <w:rsid w:val="004718C9"/>
    <w:rsid w:val="00471959"/>
    <w:rsid w:val="004719BA"/>
    <w:rsid w:val="004719D3"/>
    <w:rsid w:val="00471A36"/>
    <w:rsid w:val="00471A61"/>
    <w:rsid w:val="00471B49"/>
    <w:rsid w:val="00471C98"/>
    <w:rsid w:val="00471D4A"/>
    <w:rsid w:val="00472071"/>
    <w:rsid w:val="004720FA"/>
    <w:rsid w:val="004721EB"/>
    <w:rsid w:val="00472431"/>
    <w:rsid w:val="00472461"/>
    <w:rsid w:val="0047254E"/>
    <w:rsid w:val="0047257B"/>
    <w:rsid w:val="004725C7"/>
    <w:rsid w:val="00472647"/>
    <w:rsid w:val="00472969"/>
    <w:rsid w:val="004729B6"/>
    <w:rsid w:val="00472AEE"/>
    <w:rsid w:val="00472DB1"/>
    <w:rsid w:val="00472DCF"/>
    <w:rsid w:val="00472F63"/>
    <w:rsid w:val="00473334"/>
    <w:rsid w:val="00473645"/>
    <w:rsid w:val="00473898"/>
    <w:rsid w:val="00473AB4"/>
    <w:rsid w:val="00473C44"/>
    <w:rsid w:val="00473FBF"/>
    <w:rsid w:val="004740C1"/>
    <w:rsid w:val="0047412B"/>
    <w:rsid w:val="004742C8"/>
    <w:rsid w:val="00474364"/>
    <w:rsid w:val="00474521"/>
    <w:rsid w:val="00474716"/>
    <w:rsid w:val="0047471E"/>
    <w:rsid w:val="004747F6"/>
    <w:rsid w:val="004749A6"/>
    <w:rsid w:val="00474AE7"/>
    <w:rsid w:val="00474AFC"/>
    <w:rsid w:val="00474B6C"/>
    <w:rsid w:val="00474C94"/>
    <w:rsid w:val="00474D68"/>
    <w:rsid w:val="00474E11"/>
    <w:rsid w:val="00474FE6"/>
    <w:rsid w:val="00475A14"/>
    <w:rsid w:val="00475CF8"/>
    <w:rsid w:val="00475DF2"/>
    <w:rsid w:val="004761BB"/>
    <w:rsid w:val="004762A1"/>
    <w:rsid w:val="004764DC"/>
    <w:rsid w:val="00476513"/>
    <w:rsid w:val="00476686"/>
    <w:rsid w:val="0047676F"/>
    <w:rsid w:val="0047694F"/>
    <w:rsid w:val="00476A70"/>
    <w:rsid w:val="00476B0B"/>
    <w:rsid w:val="00476B7C"/>
    <w:rsid w:val="00476C48"/>
    <w:rsid w:val="004770E2"/>
    <w:rsid w:val="004772C0"/>
    <w:rsid w:val="00477315"/>
    <w:rsid w:val="00477375"/>
    <w:rsid w:val="004773A8"/>
    <w:rsid w:val="0047742A"/>
    <w:rsid w:val="00477510"/>
    <w:rsid w:val="00477776"/>
    <w:rsid w:val="004777AD"/>
    <w:rsid w:val="00477877"/>
    <w:rsid w:val="00477913"/>
    <w:rsid w:val="0047793D"/>
    <w:rsid w:val="00477AF4"/>
    <w:rsid w:val="00477BFE"/>
    <w:rsid w:val="00477C93"/>
    <w:rsid w:val="00477CD9"/>
    <w:rsid w:val="00477DA0"/>
    <w:rsid w:val="00477F39"/>
    <w:rsid w:val="004800AD"/>
    <w:rsid w:val="00480326"/>
    <w:rsid w:val="004803D5"/>
    <w:rsid w:val="0048054D"/>
    <w:rsid w:val="00480702"/>
    <w:rsid w:val="004807E3"/>
    <w:rsid w:val="0048093B"/>
    <w:rsid w:val="00480A3B"/>
    <w:rsid w:val="00480AE8"/>
    <w:rsid w:val="00480B10"/>
    <w:rsid w:val="00480B78"/>
    <w:rsid w:val="00480C63"/>
    <w:rsid w:val="00480E24"/>
    <w:rsid w:val="00480E4B"/>
    <w:rsid w:val="00480ED5"/>
    <w:rsid w:val="00481076"/>
    <w:rsid w:val="004810B8"/>
    <w:rsid w:val="004810EB"/>
    <w:rsid w:val="004814BE"/>
    <w:rsid w:val="004815B6"/>
    <w:rsid w:val="004818D4"/>
    <w:rsid w:val="004818D9"/>
    <w:rsid w:val="00481A20"/>
    <w:rsid w:val="00481C03"/>
    <w:rsid w:val="00481D7C"/>
    <w:rsid w:val="00481EBB"/>
    <w:rsid w:val="00481ECF"/>
    <w:rsid w:val="00482041"/>
    <w:rsid w:val="00482485"/>
    <w:rsid w:val="00482486"/>
    <w:rsid w:val="004824C3"/>
    <w:rsid w:val="00482602"/>
    <w:rsid w:val="00482689"/>
    <w:rsid w:val="00482A5B"/>
    <w:rsid w:val="00482AC2"/>
    <w:rsid w:val="00482CB4"/>
    <w:rsid w:val="00482E96"/>
    <w:rsid w:val="00482FAF"/>
    <w:rsid w:val="004830AD"/>
    <w:rsid w:val="0048312D"/>
    <w:rsid w:val="00483423"/>
    <w:rsid w:val="0048385E"/>
    <w:rsid w:val="004838EE"/>
    <w:rsid w:val="004838F0"/>
    <w:rsid w:val="00483B95"/>
    <w:rsid w:val="00483CB5"/>
    <w:rsid w:val="00483E47"/>
    <w:rsid w:val="00484142"/>
    <w:rsid w:val="004841DC"/>
    <w:rsid w:val="004843E5"/>
    <w:rsid w:val="00484496"/>
    <w:rsid w:val="004844FC"/>
    <w:rsid w:val="0048452A"/>
    <w:rsid w:val="0048477B"/>
    <w:rsid w:val="00484789"/>
    <w:rsid w:val="00484821"/>
    <w:rsid w:val="004848AF"/>
    <w:rsid w:val="004848F1"/>
    <w:rsid w:val="00484B9F"/>
    <w:rsid w:val="00484BE6"/>
    <w:rsid w:val="00484E8D"/>
    <w:rsid w:val="00485090"/>
    <w:rsid w:val="0048525B"/>
    <w:rsid w:val="00485295"/>
    <w:rsid w:val="004852D8"/>
    <w:rsid w:val="0048547A"/>
    <w:rsid w:val="004855E2"/>
    <w:rsid w:val="004855F5"/>
    <w:rsid w:val="00485623"/>
    <w:rsid w:val="004857C8"/>
    <w:rsid w:val="00485845"/>
    <w:rsid w:val="00485943"/>
    <w:rsid w:val="00485CD8"/>
    <w:rsid w:val="00485F4C"/>
    <w:rsid w:val="004861CE"/>
    <w:rsid w:val="004864D7"/>
    <w:rsid w:val="004864FF"/>
    <w:rsid w:val="004867F2"/>
    <w:rsid w:val="00486824"/>
    <w:rsid w:val="0048706C"/>
    <w:rsid w:val="004870F4"/>
    <w:rsid w:val="004870FC"/>
    <w:rsid w:val="00487159"/>
    <w:rsid w:val="004872BB"/>
    <w:rsid w:val="0048751A"/>
    <w:rsid w:val="004876E6"/>
    <w:rsid w:val="00487783"/>
    <w:rsid w:val="00487795"/>
    <w:rsid w:val="004877FB"/>
    <w:rsid w:val="00487C6E"/>
    <w:rsid w:val="00487C93"/>
    <w:rsid w:val="00487CCB"/>
    <w:rsid w:val="00487DEF"/>
    <w:rsid w:val="004902AE"/>
    <w:rsid w:val="004902FF"/>
    <w:rsid w:val="0049036E"/>
    <w:rsid w:val="004903C5"/>
    <w:rsid w:val="00490509"/>
    <w:rsid w:val="004905F3"/>
    <w:rsid w:val="004907CE"/>
    <w:rsid w:val="004909E6"/>
    <w:rsid w:val="00490AA0"/>
    <w:rsid w:val="00490B27"/>
    <w:rsid w:val="00490B32"/>
    <w:rsid w:val="00490CE4"/>
    <w:rsid w:val="00490F39"/>
    <w:rsid w:val="00491031"/>
    <w:rsid w:val="004911D3"/>
    <w:rsid w:val="00491260"/>
    <w:rsid w:val="004912B8"/>
    <w:rsid w:val="0049132B"/>
    <w:rsid w:val="00491493"/>
    <w:rsid w:val="004914B7"/>
    <w:rsid w:val="0049162E"/>
    <w:rsid w:val="0049187A"/>
    <w:rsid w:val="004919F8"/>
    <w:rsid w:val="00491A24"/>
    <w:rsid w:val="00491A5F"/>
    <w:rsid w:val="00491A71"/>
    <w:rsid w:val="00491BA1"/>
    <w:rsid w:val="00491C1E"/>
    <w:rsid w:val="00491E0A"/>
    <w:rsid w:val="004924E4"/>
    <w:rsid w:val="0049250E"/>
    <w:rsid w:val="004925B5"/>
    <w:rsid w:val="004929D7"/>
    <w:rsid w:val="00492AB4"/>
    <w:rsid w:val="00492C58"/>
    <w:rsid w:val="00492FC0"/>
    <w:rsid w:val="0049324F"/>
    <w:rsid w:val="00493430"/>
    <w:rsid w:val="00493509"/>
    <w:rsid w:val="00493573"/>
    <w:rsid w:val="004936A9"/>
    <w:rsid w:val="004937E0"/>
    <w:rsid w:val="0049390C"/>
    <w:rsid w:val="004939FA"/>
    <w:rsid w:val="00493CD0"/>
    <w:rsid w:val="00493CD6"/>
    <w:rsid w:val="00493E0A"/>
    <w:rsid w:val="00493EFF"/>
    <w:rsid w:val="0049412F"/>
    <w:rsid w:val="00494513"/>
    <w:rsid w:val="004946E7"/>
    <w:rsid w:val="004947D2"/>
    <w:rsid w:val="00494808"/>
    <w:rsid w:val="00494860"/>
    <w:rsid w:val="004949A7"/>
    <w:rsid w:val="00494CA0"/>
    <w:rsid w:val="00494DE0"/>
    <w:rsid w:val="00494E72"/>
    <w:rsid w:val="00494E89"/>
    <w:rsid w:val="00494EEE"/>
    <w:rsid w:val="00494F2C"/>
    <w:rsid w:val="00495119"/>
    <w:rsid w:val="0049533C"/>
    <w:rsid w:val="004954F5"/>
    <w:rsid w:val="00495647"/>
    <w:rsid w:val="00495769"/>
    <w:rsid w:val="0049583C"/>
    <w:rsid w:val="00495872"/>
    <w:rsid w:val="0049587B"/>
    <w:rsid w:val="00495A09"/>
    <w:rsid w:val="00495A42"/>
    <w:rsid w:val="00495BEB"/>
    <w:rsid w:val="0049607F"/>
    <w:rsid w:val="004961A5"/>
    <w:rsid w:val="004961B8"/>
    <w:rsid w:val="00496244"/>
    <w:rsid w:val="004962AF"/>
    <w:rsid w:val="0049642F"/>
    <w:rsid w:val="00496463"/>
    <w:rsid w:val="004965D9"/>
    <w:rsid w:val="00496613"/>
    <w:rsid w:val="00496652"/>
    <w:rsid w:val="00496935"/>
    <w:rsid w:val="00496AE8"/>
    <w:rsid w:val="00496AFA"/>
    <w:rsid w:val="00496BA6"/>
    <w:rsid w:val="00496CC0"/>
    <w:rsid w:val="00496CFE"/>
    <w:rsid w:val="00496D23"/>
    <w:rsid w:val="00496D55"/>
    <w:rsid w:val="00497050"/>
    <w:rsid w:val="004971F9"/>
    <w:rsid w:val="004972A5"/>
    <w:rsid w:val="00497319"/>
    <w:rsid w:val="004976B7"/>
    <w:rsid w:val="004976E3"/>
    <w:rsid w:val="00497845"/>
    <w:rsid w:val="004978BD"/>
    <w:rsid w:val="00497A37"/>
    <w:rsid w:val="00497B53"/>
    <w:rsid w:val="00497E89"/>
    <w:rsid w:val="004A0545"/>
    <w:rsid w:val="004A0BAA"/>
    <w:rsid w:val="004A0E00"/>
    <w:rsid w:val="004A0E23"/>
    <w:rsid w:val="004A0E9F"/>
    <w:rsid w:val="004A106A"/>
    <w:rsid w:val="004A11FB"/>
    <w:rsid w:val="004A1587"/>
    <w:rsid w:val="004A1BDF"/>
    <w:rsid w:val="004A1EFC"/>
    <w:rsid w:val="004A1F8B"/>
    <w:rsid w:val="004A1FAB"/>
    <w:rsid w:val="004A1FAE"/>
    <w:rsid w:val="004A2185"/>
    <w:rsid w:val="004A2385"/>
    <w:rsid w:val="004A25CE"/>
    <w:rsid w:val="004A276D"/>
    <w:rsid w:val="004A27CB"/>
    <w:rsid w:val="004A27DA"/>
    <w:rsid w:val="004A280C"/>
    <w:rsid w:val="004A2AD9"/>
    <w:rsid w:val="004A2EF4"/>
    <w:rsid w:val="004A2F9E"/>
    <w:rsid w:val="004A31BF"/>
    <w:rsid w:val="004A3534"/>
    <w:rsid w:val="004A364C"/>
    <w:rsid w:val="004A37D5"/>
    <w:rsid w:val="004A3888"/>
    <w:rsid w:val="004A39A9"/>
    <w:rsid w:val="004A3AF4"/>
    <w:rsid w:val="004A3C22"/>
    <w:rsid w:val="004A3C67"/>
    <w:rsid w:val="004A3C9C"/>
    <w:rsid w:val="004A3CEE"/>
    <w:rsid w:val="004A3D3A"/>
    <w:rsid w:val="004A3EB2"/>
    <w:rsid w:val="004A4185"/>
    <w:rsid w:val="004A4299"/>
    <w:rsid w:val="004A43D0"/>
    <w:rsid w:val="004A46FF"/>
    <w:rsid w:val="004A4717"/>
    <w:rsid w:val="004A493D"/>
    <w:rsid w:val="004A49A3"/>
    <w:rsid w:val="004A4A4E"/>
    <w:rsid w:val="004A4A9A"/>
    <w:rsid w:val="004A4AB9"/>
    <w:rsid w:val="004A4B41"/>
    <w:rsid w:val="004A4B93"/>
    <w:rsid w:val="004A4EEA"/>
    <w:rsid w:val="004A503F"/>
    <w:rsid w:val="004A50AC"/>
    <w:rsid w:val="004A519A"/>
    <w:rsid w:val="004A51BB"/>
    <w:rsid w:val="004A53A3"/>
    <w:rsid w:val="004A53C9"/>
    <w:rsid w:val="004A5491"/>
    <w:rsid w:val="004A54A5"/>
    <w:rsid w:val="004A5567"/>
    <w:rsid w:val="004A5662"/>
    <w:rsid w:val="004A56AB"/>
    <w:rsid w:val="004A5897"/>
    <w:rsid w:val="004A59EB"/>
    <w:rsid w:val="004A5CAB"/>
    <w:rsid w:val="004A5D2A"/>
    <w:rsid w:val="004A5D62"/>
    <w:rsid w:val="004A5D88"/>
    <w:rsid w:val="004A61C3"/>
    <w:rsid w:val="004A61CA"/>
    <w:rsid w:val="004A632B"/>
    <w:rsid w:val="004A633A"/>
    <w:rsid w:val="004A64BC"/>
    <w:rsid w:val="004A64FB"/>
    <w:rsid w:val="004A65E2"/>
    <w:rsid w:val="004A66A2"/>
    <w:rsid w:val="004A6819"/>
    <w:rsid w:val="004A688D"/>
    <w:rsid w:val="004A6D62"/>
    <w:rsid w:val="004A6F1C"/>
    <w:rsid w:val="004A7250"/>
    <w:rsid w:val="004A74D5"/>
    <w:rsid w:val="004A74F1"/>
    <w:rsid w:val="004A78C8"/>
    <w:rsid w:val="004A79D7"/>
    <w:rsid w:val="004A7AC6"/>
    <w:rsid w:val="004A7B54"/>
    <w:rsid w:val="004A7C2B"/>
    <w:rsid w:val="004A7E9F"/>
    <w:rsid w:val="004A7FA7"/>
    <w:rsid w:val="004B0053"/>
    <w:rsid w:val="004B00DA"/>
    <w:rsid w:val="004B01DA"/>
    <w:rsid w:val="004B023D"/>
    <w:rsid w:val="004B03FD"/>
    <w:rsid w:val="004B05AF"/>
    <w:rsid w:val="004B05EA"/>
    <w:rsid w:val="004B06A9"/>
    <w:rsid w:val="004B0811"/>
    <w:rsid w:val="004B08E5"/>
    <w:rsid w:val="004B0A3C"/>
    <w:rsid w:val="004B0CB3"/>
    <w:rsid w:val="004B13AF"/>
    <w:rsid w:val="004B13C9"/>
    <w:rsid w:val="004B14EF"/>
    <w:rsid w:val="004B165E"/>
    <w:rsid w:val="004B177E"/>
    <w:rsid w:val="004B17AA"/>
    <w:rsid w:val="004B1A54"/>
    <w:rsid w:val="004B1C67"/>
    <w:rsid w:val="004B1E98"/>
    <w:rsid w:val="004B20DA"/>
    <w:rsid w:val="004B21B0"/>
    <w:rsid w:val="004B220C"/>
    <w:rsid w:val="004B2319"/>
    <w:rsid w:val="004B24F8"/>
    <w:rsid w:val="004B2707"/>
    <w:rsid w:val="004B27D0"/>
    <w:rsid w:val="004B27FD"/>
    <w:rsid w:val="004B28B1"/>
    <w:rsid w:val="004B2A4E"/>
    <w:rsid w:val="004B2C99"/>
    <w:rsid w:val="004B2DC4"/>
    <w:rsid w:val="004B2E7A"/>
    <w:rsid w:val="004B2F3E"/>
    <w:rsid w:val="004B3215"/>
    <w:rsid w:val="004B3589"/>
    <w:rsid w:val="004B3664"/>
    <w:rsid w:val="004B37C1"/>
    <w:rsid w:val="004B40A1"/>
    <w:rsid w:val="004B421F"/>
    <w:rsid w:val="004B4312"/>
    <w:rsid w:val="004B4327"/>
    <w:rsid w:val="004B43C0"/>
    <w:rsid w:val="004B4475"/>
    <w:rsid w:val="004B4805"/>
    <w:rsid w:val="004B4AF1"/>
    <w:rsid w:val="004B4B88"/>
    <w:rsid w:val="004B4E76"/>
    <w:rsid w:val="004B4FB6"/>
    <w:rsid w:val="004B5016"/>
    <w:rsid w:val="004B509B"/>
    <w:rsid w:val="004B511B"/>
    <w:rsid w:val="004B5157"/>
    <w:rsid w:val="004B51C6"/>
    <w:rsid w:val="004B5445"/>
    <w:rsid w:val="004B56E6"/>
    <w:rsid w:val="004B5725"/>
    <w:rsid w:val="004B5847"/>
    <w:rsid w:val="004B591B"/>
    <w:rsid w:val="004B5A96"/>
    <w:rsid w:val="004B5EC8"/>
    <w:rsid w:val="004B5FE7"/>
    <w:rsid w:val="004B5FF8"/>
    <w:rsid w:val="004B61C5"/>
    <w:rsid w:val="004B66D4"/>
    <w:rsid w:val="004B6719"/>
    <w:rsid w:val="004B687C"/>
    <w:rsid w:val="004B68FC"/>
    <w:rsid w:val="004B697A"/>
    <w:rsid w:val="004B697F"/>
    <w:rsid w:val="004B6985"/>
    <w:rsid w:val="004B6A42"/>
    <w:rsid w:val="004B6AEC"/>
    <w:rsid w:val="004B6BB2"/>
    <w:rsid w:val="004B72B5"/>
    <w:rsid w:val="004B7671"/>
    <w:rsid w:val="004B76DB"/>
    <w:rsid w:val="004B7722"/>
    <w:rsid w:val="004B7A27"/>
    <w:rsid w:val="004B7B2A"/>
    <w:rsid w:val="004B7C3D"/>
    <w:rsid w:val="004B7CBC"/>
    <w:rsid w:val="004B7CDD"/>
    <w:rsid w:val="004B7D3A"/>
    <w:rsid w:val="004B7E17"/>
    <w:rsid w:val="004B7F85"/>
    <w:rsid w:val="004C01BD"/>
    <w:rsid w:val="004C061B"/>
    <w:rsid w:val="004C08A7"/>
    <w:rsid w:val="004C09A1"/>
    <w:rsid w:val="004C0BDA"/>
    <w:rsid w:val="004C0D73"/>
    <w:rsid w:val="004C0D9A"/>
    <w:rsid w:val="004C0E73"/>
    <w:rsid w:val="004C0FAA"/>
    <w:rsid w:val="004C1095"/>
    <w:rsid w:val="004C1186"/>
    <w:rsid w:val="004C129C"/>
    <w:rsid w:val="004C13D9"/>
    <w:rsid w:val="004C158D"/>
    <w:rsid w:val="004C1796"/>
    <w:rsid w:val="004C19D6"/>
    <w:rsid w:val="004C1A2A"/>
    <w:rsid w:val="004C1A2B"/>
    <w:rsid w:val="004C1CA7"/>
    <w:rsid w:val="004C1D99"/>
    <w:rsid w:val="004C1D9A"/>
    <w:rsid w:val="004C2220"/>
    <w:rsid w:val="004C24C3"/>
    <w:rsid w:val="004C25B9"/>
    <w:rsid w:val="004C266A"/>
    <w:rsid w:val="004C269D"/>
    <w:rsid w:val="004C274A"/>
    <w:rsid w:val="004C2849"/>
    <w:rsid w:val="004C29CF"/>
    <w:rsid w:val="004C2BC8"/>
    <w:rsid w:val="004C2DC4"/>
    <w:rsid w:val="004C2E45"/>
    <w:rsid w:val="004C3058"/>
    <w:rsid w:val="004C3087"/>
    <w:rsid w:val="004C31E4"/>
    <w:rsid w:val="004C3398"/>
    <w:rsid w:val="004C34E8"/>
    <w:rsid w:val="004C35A2"/>
    <w:rsid w:val="004C373E"/>
    <w:rsid w:val="004C3ACD"/>
    <w:rsid w:val="004C3AF3"/>
    <w:rsid w:val="004C3BEB"/>
    <w:rsid w:val="004C3C92"/>
    <w:rsid w:val="004C3CA4"/>
    <w:rsid w:val="004C4251"/>
    <w:rsid w:val="004C44B0"/>
    <w:rsid w:val="004C4658"/>
    <w:rsid w:val="004C4847"/>
    <w:rsid w:val="004C4929"/>
    <w:rsid w:val="004C4AAC"/>
    <w:rsid w:val="004C4C64"/>
    <w:rsid w:val="004C4E83"/>
    <w:rsid w:val="004C50AC"/>
    <w:rsid w:val="004C51E9"/>
    <w:rsid w:val="004C5435"/>
    <w:rsid w:val="004C55E7"/>
    <w:rsid w:val="004C56C9"/>
    <w:rsid w:val="004C5968"/>
    <w:rsid w:val="004C596D"/>
    <w:rsid w:val="004C5E06"/>
    <w:rsid w:val="004C5F7C"/>
    <w:rsid w:val="004C6031"/>
    <w:rsid w:val="004C61EB"/>
    <w:rsid w:val="004C6ACC"/>
    <w:rsid w:val="004C6CBE"/>
    <w:rsid w:val="004C70E2"/>
    <w:rsid w:val="004C71F2"/>
    <w:rsid w:val="004C72D5"/>
    <w:rsid w:val="004C7C9D"/>
    <w:rsid w:val="004D01D2"/>
    <w:rsid w:val="004D0359"/>
    <w:rsid w:val="004D03AB"/>
    <w:rsid w:val="004D0450"/>
    <w:rsid w:val="004D04BA"/>
    <w:rsid w:val="004D04DA"/>
    <w:rsid w:val="004D0712"/>
    <w:rsid w:val="004D07C5"/>
    <w:rsid w:val="004D0D64"/>
    <w:rsid w:val="004D1009"/>
    <w:rsid w:val="004D11D0"/>
    <w:rsid w:val="004D12A7"/>
    <w:rsid w:val="004D1368"/>
    <w:rsid w:val="004D1412"/>
    <w:rsid w:val="004D1A12"/>
    <w:rsid w:val="004D1A76"/>
    <w:rsid w:val="004D1B62"/>
    <w:rsid w:val="004D1C29"/>
    <w:rsid w:val="004D1EDF"/>
    <w:rsid w:val="004D1F2B"/>
    <w:rsid w:val="004D204C"/>
    <w:rsid w:val="004D21BA"/>
    <w:rsid w:val="004D2430"/>
    <w:rsid w:val="004D2473"/>
    <w:rsid w:val="004D24CB"/>
    <w:rsid w:val="004D2525"/>
    <w:rsid w:val="004D2534"/>
    <w:rsid w:val="004D28C4"/>
    <w:rsid w:val="004D2A3E"/>
    <w:rsid w:val="004D2ACD"/>
    <w:rsid w:val="004D2ADE"/>
    <w:rsid w:val="004D2E47"/>
    <w:rsid w:val="004D2F07"/>
    <w:rsid w:val="004D30BA"/>
    <w:rsid w:val="004D3150"/>
    <w:rsid w:val="004D3154"/>
    <w:rsid w:val="004D37C1"/>
    <w:rsid w:val="004D38A1"/>
    <w:rsid w:val="004D39E6"/>
    <w:rsid w:val="004D3A1E"/>
    <w:rsid w:val="004D3B44"/>
    <w:rsid w:val="004D3F9D"/>
    <w:rsid w:val="004D3FB5"/>
    <w:rsid w:val="004D41C6"/>
    <w:rsid w:val="004D43C6"/>
    <w:rsid w:val="004D44F2"/>
    <w:rsid w:val="004D486A"/>
    <w:rsid w:val="004D48C2"/>
    <w:rsid w:val="004D48D8"/>
    <w:rsid w:val="004D4A8C"/>
    <w:rsid w:val="004D4CB1"/>
    <w:rsid w:val="004D4D10"/>
    <w:rsid w:val="004D4D79"/>
    <w:rsid w:val="004D4DA8"/>
    <w:rsid w:val="004D5106"/>
    <w:rsid w:val="004D52D0"/>
    <w:rsid w:val="004D5390"/>
    <w:rsid w:val="004D54E1"/>
    <w:rsid w:val="004D5736"/>
    <w:rsid w:val="004D57CA"/>
    <w:rsid w:val="004D5B38"/>
    <w:rsid w:val="004D5C7D"/>
    <w:rsid w:val="004D5C87"/>
    <w:rsid w:val="004D5F1D"/>
    <w:rsid w:val="004D5FBC"/>
    <w:rsid w:val="004D625F"/>
    <w:rsid w:val="004D65B2"/>
    <w:rsid w:val="004D6636"/>
    <w:rsid w:val="004D6757"/>
    <w:rsid w:val="004D6798"/>
    <w:rsid w:val="004D69D8"/>
    <w:rsid w:val="004D6CC6"/>
    <w:rsid w:val="004D6E61"/>
    <w:rsid w:val="004D6E9C"/>
    <w:rsid w:val="004D7045"/>
    <w:rsid w:val="004D7185"/>
    <w:rsid w:val="004D7546"/>
    <w:rsid w:val="004D768E"/>
    <w:rsid w:val="004D7778"/>
    <w:rsid w:val="004D799B"/>
    <w:rsid w:val="004D7ACB"/>
    <w:rsid w:val="004D7E59"/>
    <w:rsid w:val="004D7E8C"/>
    <w:rsid w:val="004D7F2A"/>
    <w:rsid w:val="004D7FCD"/>
    <w:rsid w:val="004E0734"/>
    <w:rsid w:val="004E0806"/>
    <w:rsid w:val="004E08B6"/>
    <w:rsid w:val="004E0B90"/>
    <w:rsid w:val="004E0D23"/>
    <w:rsid w:val="004E152D"/>
    <w:rsid w:val="004E1657"/>
    <w:rsid w:val="004E176C"/>
    <w:rsid w:val="004E17C5"/>
    <w:rsid w:val="004E18BD"/>
    <w:rsid w:val="004E18D8"/>
    <w:rsid w:val="004E1A95"/>
    <w:rsid w:val="004E1CCD"/>
    <w:rsid w:val="004E1E3F"/>
    <w:rsid w:val="004E1FE3"/>
    <w:rsid w:val="004E205F"/>
    <w:rsid w:val="004E26DB"/>
    <w:rsid w:val="004E2719"/>
    <w:rsid w:val="004E27A9"/>
    <w:rsid w:val="004E2871"/>
    <w:rsid w:val="004E2BB5"/>
    <w:rsid w:val="004E2F7E"/>
    <w:rsid w:val="004E2FFA"/>
    <w:rsid w:val="004E303F"/>
    <w:rsid w:val="004E3115"/>
    <w:rsid w:val="004E322F"/>
    <w:rsid w:val="004E32E8"/>
    <w:rsid w:val="004E34AE"/>
    <w:rsid w:val="004E36B0"/>
    <w:rsid w:val="004E3846"/>
    <w:rsid w:val="004E38BC"/>
    <w:rsid w:val="004E3A37"/>
    <w:rsid w:val="004E3E14"/>
    <w:rsid w:val="004E3E4A"/>
    <w:rsid w:val="004E3E8F"/>
    <w:rsid w:val="004E3F09"/>
    <w:rsid w:val="004E4005"/>
    <w:rsid w:val="004E4009"/>
    <w:rsid w:val="004E4368"/>
    <w:rsid w:val="004E436B"/>
    <w:rsid w:val="004E44A8"/>
    <w:rsid w:val="004E44BB"/>
    <w:rsid w:val="004E46FE"/>
    <w:rsid w:val="004E4AB1"/>
    <w:rsid w:val="004E4B34"/>
    <w:rsid w:val="004E4D56"/>
    <w:rsid w:val="004E4D99"/>
    <w:rsid w:val="004E4DB8"/>
    <w:rsid w:val="004E4DB9"/>
    <w:rsid w:val="004E4E1E"/>
    <w:rsid w:val="004E4EB2"/>
    <w:rsid w:val="004E4F68"/>
    <w:rsid w:val="004E4F6F"/>
    <w:rsid w:val="004E51C9"/>
    <w:rsid w:val="004E51CF"/>
    <w:rsid w:val="004E52CD"/>
    <w:rsid w:val="004E5401"/>
    <w:rsid w:val="004E545D"/>
    <w:rsid w:val="004E5683"/>
    <w:rsid w:val="004E58B2"/>
    <w:rsid w:val="004E5AF1"/>
    <w:rsid w:val="004E5C47"/>
    <w:rsid w:val="004E5D0C"/>
    <w:rsid w:val="004E5D7D"/>
    <w:rsid w:val="004E5E66"/>
    <w:rsid w:val="004E5FAE"/>
    <w:rsid w:val="004E61B7"/>
    <w:rsid w:val="004E62F6"/>
    <w:rsid w:val="004E64AD"/>
    <w:rsid w:val="004E660D"/>
    <w:rsid w:val="004E6919"/>
    <w:rsid w:val="004E6AA7"/>
    <w:rsid w:val="004E6CEB"/>
    <w:rsid w:val="004E6D47"/>
    <w:rsid w:val="004E6DC9"/>
    <w:rsid w:val="004E6DD0"/>
    <w:rsid w:val="004E6FFF"/>
    <w:rsid w:val="004E7051"/>
    <w:rsid w:val="004E7259"/>
    <w:rsid w:val="004E7DCC"/>
    <w:rsid w:val="004E7E6F"/>
    <w:rsid w:val="004F009F"/>
    <w:rsid w:val="004F013A"/>
    <w:rsid w:val="004F0357"/>
    <w:rsid w:val="004F0694"/>
    <w:rsid w:val="004F07D7"/>
    <w:rsid w:val="004F0914"/>
    <w:rsid w:val="004F0C1D"/>
    <w:rsid w:val="004F0F61"/>
    <w:rsid w:val="004F1020"/>
    <w:rsid w:val="004F1035"/>
    <w:rsid w:val="004F11DD"/>
    <w:rsid w:val="004F1264"/>
    <w:rsid w:val="004F1556"/>
    <w:rsid w:val="004F17EB"/>
    <w:rsid w:val="004F1834"/>
    <w:rsid w:val="004F1DA2"/>
    <w:rsid w:val="004F1F4D"/>
    <w:rsid w:val="004F2103"/>
    <w:rsid w:val="004F2118"/>
    <w:rsid w:val="004F21FF"/>
    <w:rsid w:val="004F22C5"/>
    <w:rsid w:val="004F23F1"/>
    <w:rsid w:val="004F264F"/>
    <w:rsid w:val="004F2A19"/>
    <w:rsid w:val="004F2BE9"/>
    <w:rsid w:val="004F2C11"/>
    <w:rsid w:val="004F304A"/>
    <w:rsid w:val="004F3067"/>
    <w:rsid w:val="004F3183"/>
    <w:rsid w:val="004F32DC"/>
    <w:rsid w:val="004F33FC"/>
    <w:rsid w:val="004F3433"/>
    <w:rsid w:val="004F3570"/>
    <w:rsid w:val="004F3574"/>
    <w:rsid w:val="004F3834"/>
    <w:rsid w:val="004F3A7D"/>
    <w:rsid w:val="004F3B5C"/>
    <w:rsid w:val="004F3C23"/>
    <w:rsid w:val="004F3CFA"/>
    <w:rsid w:val="004F4122"/>
    <w:rsid w:val="004F42DE"/>
    <w:rsid w:val="004F42EE"/>
    <w:rsid w:val="004F4940"/>
    <w:rsid w:val="004F4D46"/>
    <w:rsid w:val="004F4DA6"/>
    <w:rsid w:val="004F4DD4"/>
    <w:rsid w:val="004F4DED"/>
    <w:rsid w:val="004F4E6A"/>
    <w:rsid w:val="004F4EA1"/>
    <w:rsid w:val="004F4F65"/>
    <w:rsid w:val="004F4FA8"/>
    <w:rsid w:val="004F501A"/>
    <w:rsid w:val="004F5172"/>
    <w:rsid w:val="004F529B"/>
    <w:rsid w:val="004F53BC"/>
    <w:rsid w:val="004F5421"/>
    <w:rsid w:val="004F5455"/>
    <w:rsid w:val="004F54BF"/>
    <w:rsid w:val="004F5542"/>
    <w:rsid w:val="004F554A"/>
    <w:rsid w:val="004F55CA"/>
    <w:rsid w:val="004F5694"/>
    <w:rsid w:val="004F5719"/>
    <w:rsid w:val="004F58A6"/>
    <w:rsid w:val="004F58DD"/>
    <w:rsid w:val="004F5A39"/>
    <w:rsid w:val="004F5BBE"/>
    <w:rsid w:val="004F5E86"/>
    <w:rsid w:val="004F5FA3"/>
    <w:rsid w:val="004F622A"/>
    <w:rsid w:val="004F623E"/>
    <w:rsid w:val="004F62F9"/>
    <w:rsid w:val="004F6387"/>
    <w:rsid w:val="004F6623"/>
    <w:rsid w:val="004F6949"/>
    <w:rsid w:val="004F6AAD"/>
    <w:rsid w:val="004F6B00"/>
    <w:rsid w:val="004F6C2A"/>
    <w:rsid w:val="004F6C2C"/>
    <w:rsid w:val="004F6F2A"/>
    <w:rsid w:val="004F7156"/>
    <w:rsid w:val="004F73F2"/>
    <w:rsid w:val="004F75B6"/>
    <w:rsid w:val="004F79A5"/>
    <w:rsid w:val="004F7B23"/>
    <w:rsid w:val="004F7DBC"/>
    <w:rsid w:val="004F7F24"/>
    <w:rsid w:val="0050008B"/>
    <w:rsid w:val="005000A1"/>
    <w:rsid w:val="005000C9"/>
    <w:rsid w:val="005001BB"/>
    <w:rsid w:val="0050031A"/>
    <w:rsid w:val="00500618"/>
    <w:rsid w:val="005006A0"/>
    <w:rsid w:val="00500777"/>
    <w:rsid w:val="0050082A"/>
    <w:rsid w:val="00500831"/>
    <w:rsid w:val="00500B49"/>
    <w:rsid w:val="0050122F"/>
    <w:rsid w:val="005013B7"/>
    <w:rsid w:val="005013BC"/>
    <w:rsid w:val="00501556"/>
    <w:rsid w:val="005015F7"/>
    <w:rsid w:val="00501BB4"/>
    <w:rsid w:val="00501C51"/>
    <w:rsid w:val="00501CE9"/>
    <w:rsid w:val="005021AB"/>
    <w:rsid w:val="005022C6"/>
    <w:rsid w:val="005023BA"/>
    <w:rsid w:val="00502ACA"/>
    <w:rsid w:val="00502CC6"/>
    <w:rsid w:val="00502E4C"/>
    <w:rsid w:val="00503271"/>
    <w:rsid w:val="0050339D"/>
    <w:rsid w:val="005034F9"/>
    <w:rsid w:val="00503530"/>
    <w:rsid w:val="00503571"/>
    <w:rsid w:val="00503593"/>
    <w:rsid w:val="005035CD"/>
    <w:rsid w:val="00503618"/>
    <w:rsid w:val="0050369D"/>
    <w:rsid w:val="005036D6"/>
    <w:rsid w:val="00503986"/>
    <w:rsid w:val="00503F34"/>
    <w:rsid w:val="00504141"/>
    <w:rsid w:val="00504317"/>
    <w:rsid w:val="005043BA"/>
    <w:rsid w:val="0050456A"/>
    <w:rsid w:val="00504597"/>
    <w:rsid w:val="005049AD"/>
    <w:rsid w:val="00504ABC"/>
    <w:rsid w:val="00504CE1"/>
    <w:rsid w:val="00504CEB"/>
    <w:rsid w:val="00504D2C"/>
    <w:rsid w:val="00504DD7"/>
    <w:rsid w:val="00504E48"/>
    <w:rsid w:val="00504F83"/>
    <w:rsid w:val="00505098"/>
    <w:rsid w:val="005051F0"/>
    <w:rsid w:val="00505272"/>
    <w:rsid w:val="005052FC"/>
    <w:rsid w:val="00505464"/>
    <w:rsid w:val="005054B8"/>
    <w:rsid w:val="005055C1"/>
    <w:rsid w:val="00505752"/>
    <w:rsid w:val="005059E6"/>
    <w:rsid w:val="00505DAB"/>
    <w:rsid w:val="005060D6"/>
    <w:rsid w:val="00506111"/>
    <w:rsid w:val="00506641"/>
    <w:rsid w:val="0050665C"/>
    <w:rsid w:val="005071B4"/>
    <w:rsid w:val="00507841"/>
    <w:rsid w:val="00507849"/>
    <w:rsid w:val="00507960"/>
    <w:rsid w:val="00507A23"/>
    <w:rsid w:val="00507AC0"/>
    <w:rsid w:val="00507DAE"/>
    <w:rsid w:val="00507DAF"/>
    <w:rsid w:val="0050C4B3"/>
    <w:rsid w:val="00510134"/>
    <w:rsid w:val="00510221"/>
    <w:rsid w:val="00510476"/>
    <w:rsid w:val="005106E2"/>
    <w:rsid w:val="0051083A"/>
    <w:rsid w:val="0051084A"/>
    <w:rsid w:val="005109D0"/>
    <w:rsid w:val="005109F0"/>
    <w:rsid w:val="00511190"/>
    <w:rsid w:val="005111B1"/>
    <w:rsid w:val="005111D2"/>
    <w:rsid w:val="005113A5"/>
    <w:rsid w:val="00511564"/>
    <w:rsid w:val="0051168F"/>
    <w:rsid w:val="0051180F"/>
    <w:rsid w:val="00511A0B"/>
    <w:rsid w:val="00511B22"/>
    <w:rsid w:val="00511BB6"/>
    <w:rsid w:val="00511C00"/>
    <w:rsid w:val="00511F52"/>
    <w:rsid w:val="00511F77"/>
    <w:rsid w:val="005122D4"/>
    <w:rsid w:val="0051254A"/>
    <w:rsid w:val="005125CD"/>
    <w:rsid w:val="00512A39"/>
    <w:rsid w:val="00512AD5"/>
    <w:rsid w:val="00512B9F"/>
    <w:rsid w:val="00512D62"/>
    <w:rsid w:val="00512E25"/>
    <w:rsid w:val="00512E79"/>
    <w:rsid w:val="005132E2"/>
    <w:rsid w:val="0051330E"/>
    <w:rsid w:val="005134BE"/>
    <w:rsid w:val="0051352B"/>
    <w:rsid w:val="0051387F"/>
    <w:rsid w:val="005138CB"/>
    <w:rsid w:val="00513AD4"/>
    <w:rsid w:val="00513D90"/>
    <w:rsid w:val="00514066"/>
    <w:rsid w:val="0051407D"/>
    <w:rsid w:val="005140E6"/>
    <w:rsid w:val="005142F4"/>
    <w:rsid w:val="00514417"/>
    <w:rsid w:val="005144F6"/>
    <w:rsid w:val="00514618"/>
    <w:rsid w:val="0051480C"/>
    <w:rsid w:val="00514918"/>
    <w:rsid w:val="00514B76"/>
    <w:rsid w:val="005150A8"/>
    <w:rsid w:val="00515222"/>
    <w:rsid w:val="0051523A"/>
    <w:rsid w:val="0051548D"/>
    <w:rsid w:val="0051551A"/>
    <w:rsid w:val="0051552C"/>
    <w:rsid w:val="00515622"/>
    <w:rsid w:val="00515799"/>
    <w:rsid w:val="005157EE"/>
    <w:rsid w:val="005159F1"/>
    <w:rsid w:val="00515E2F"/>
    <w:rsid w:val="00515F50"/>
    <w:rsid w:val="00516316"/>
    <w:rsid w:val="00516426"/>
    <w:rsid w:val="00516521"/>
    <w:rsid w:val="00516574"/>
    <w:rsid w:val="0051682A"/>
    <w:rsid w:val="005168CA"/>
    <w:rsid w:val="00516936"/>
    <w:rsid w:val="00516A4C"/>
    <w:rsid w:val="00516ACA"/>
    <w:rsid w:val="00516B29"/>
    <w:rsid w:val="00516CB2"/>
    <w:rsid w:val="00516F6E"/>
    <w:rsid w:val="005170AA"/>
    <w:rsid w:val="005170C4"/>
    <w:rsid w:val="0051739B"/>
    <w:rsid w:val="0051742C"/>
    <w:rsid w:val="005174DB"/>
    <w:rsid w:val="00517695"/>
    <w:rsid w:val="005179C6"/>
    <w:rsid w:val="005201CA"/>
    <w:rsid w:val="005203F3"/>
    <w:rsid w:val="0052046E"/>
    <w:rsid w:val="00520566"/>
    <w:rsid w:val="00520830"/>
    <w:rsid w:val="00520908"/>
    <w:rsid w:val="00520CBA"/>
    <w:rsid w:val="00520E33"/>
    <w:rsid w:val="00520EED"/>
    <w:rsid w:val="0052153B"/>
    <w:rsid w:val="00521551"/>
    <w:rsid w:val="005215B1"/>
    <w:rsid w:val="00521610"/>
    <w:rsid w:val="00521616"/>
    <w:rsid w:val="0052186A"/>
    <w:rsid w:val="00521933"/>
    <w:rsid w:val="00521BBE"/>
    <w:rsid w:val="00521C99"/>
    <w:rsid w:val="00521CF3"/>
    <w:rsid w:val="005220B9"/>
    <w:rsid w:val="0052217B"/>
    <w:rsid w:val="00522230"/>
    <w:rsid w:val="00522688"/>
    <w:rsid w:val="005227A9"/>
    <w:rsid w:val="005227C3"/>
    <w:rsid w:val="00522B46"/>
    <w:rsid w:val="00522C44"/>
    <w:rsid w:val="00522FC8"/>
    <w:rsid w:val="00523180"/>
    <w:rsid w:val="00523331"/>
    <w:rsid w:val="005233E4"/>
    <w:rsid w:val="00523570"/>
    <w:rsid w:val="0052361D"/>
    <w:rsid w:val="00523893"/>
    <w:rsid w:val="00523B58"/>
    <w:rsid w:val="00523B68"/>
    <w:rsid w:val="00523B7F"/>
    <w:rsid w:val="00523D15"/>
    <w:rsid w:val="00523E14"/>
    <w:rsid w:val="00523F7B"/>
    <w:rsid w:val="0052405B"/>
    <w:rsid w:val="0052415F"/>
    <w:rsid w:val="005243AB"/>
    <w:rsid w:val="00524751"/>
    <w:rsid w:val="00524767"/>
    <w:rsid w:val="005248AA"/>
    <w:rsid w:val="005248C1"/>
    <w:rsid w:val="00524902"/>
    <w:rsid w:val="00524B95"/>
    <w:rsid w:val="00524BC3"/>
    <w:rsid w:val="00524C38"/>
    <w:rsid w:val="00524E6C"/>
    <w:rsid w:val="00525316"/>
    <w:rsid w:val="00525338"/>
    <w:rsid w:val="00525401"/>
    <w:rsid w:val="0052574F"/>
    <w:rsid w:val="00525860"/>
    <w:rsid w:val="00525872"/>
    <w:rsid w:val="005258E2"/>
    <w:rsid w:val="00525B3D"/>
    <w:rsid w:val="00525C0E"/>
    <w:rsid w:val="00525D7A"/>
    <w:rsid w:val="00525D8D"/>
    <w:rsid w:val="00525E35"/>
    <w:rsid w:val="00525FC1"/>
    <w:rsid w:val="00526003"/>
    <w:rsid w:val="005265FD"/>
    <w:rsid w:val="00526712"/>
    <w:rsid w:val="005267E6"/>
    <w:rsid w:val="00526E36"/>
    <w:rsid w:val="00526E8A"/>
    <w:rsid w:val="00526EC9"/>
    <w:rsid w:val="00526F00"/>
    <w:rsid w:val="00526F61"/>
    <w:rsid w:val="00526F6B"/>
    <w:rsid w:val="00527541"/>
    <w:rsid w:val="00527812"/>
    <w:rsid w:val="00527C69"/>
    <w:rsid w:val="00527E63"/>
    <w:rsid w:val="00527E76"/>
    <w:rsid w:val="0053008F"/>
    <w:rsid w:val="005300A7"/>
    <w:rsid w:val="0053011D"/>
    <w:rsid w:val="005304EB"/>
    <w:rsid w:val="00530553"/>
    <w:rsid w:val="00530581"/>
    <w:rsid w:val="00530627"/>
    <w:rsid w:val="00530647"/>
    <w:rsid w:val="005308E0"/>
    <w:rsid w:val="00530A04"/>
    <w:rsid w:val="00530A96"/>
    <w:rsid w:val="00530B5E"/>
    <w:rsid w:val="00530CEE"/>
    <w:rsid w:val="00530FCC"/>
    <w:rsid w:val="0053102C"/>
    <w:rsid w:val="005310AE"/>
    <w:rsid w:val="005311CB"/>
    <w:rsid w:val="005316A7"/>
    <w:rsid w:val="005316BD"/>
    <w:rsid w:val="00531726"/>
    <w:rsid w:val="00531B3F"/>
    <w:rsid w:val="00531BBB"/>
    <w:rsid w:val="00531D94"/>
    <w:rsid w:val="00531DBF"/>
    <w:rsid w:val="00531E20"/>
    <w:rsid w:val="00531FD8"/>
    <w:rsid w:val="005320D9"/>
    <w:rsid w:val="00532253"/>
    <w:rsid w:val="005325C0"/>
    <w:rsid w:val="00532822"/>
    <w:rsid w:val="00532837"/>
    <w:rsid w:val="0053296C"/>
    <w:rsid w:val="005329BD"/>
    <w:rsid w:val="00532AD7"/>
    <w:rsid w:val="00532AF8"/>
    <w:rsid w:val="00532D32"/>
    <w:rsid w:val="00532E60"/>
    <w:rsid w:val="005330BC"/>
    <w:rsid w:val="00533266"/>
    <w:rsid w:val="00533466"/>
    <w:rsid w:val="005334F3"/>
    <w:rsid w:val="0053360C"/>
    <w:rsid w:val="0053389D"/>
    <w:rsid w:val="00533927"/>
    <w:rsid w:val="00533D57"/>
    <w:rsid w:val="00533DAC"/>
    <w:rsid w:val="00533E0B"/>
    <w:rsid w:val="00533E14"/>
    <w:rsid w:val="00533E21"/>
    <w:rsid w:val="00533E52"/>
    <w:rsid w:val="00533E81"/>
    <w:rsid w:val="00533F1D"/>
    <w:rsid w:val="00533FA7"/>
    <w:rsid w:val="00533FBA"/>
    <w:rsid w:val="00534574"/>
    <w:rsid w:val="0053462A"/>
    <w:rsid w:val="00534734"/>
    <w:rsid w:val="005347D8"/>
    <w:rsid w:val="005349A9"/>
    <w:rsid w:val="00534BC6"/>
    <w:rsid w:val="00534D36"/>
    <w:rsid w:val="00534DBC"/>
    <w:rsid w:val="00534E83"/>
    <w:rsid w:val="00534F05"/>
    <w:rsid w:val="00534FD5"/>
    <w:rsid w:val="00535102"/>
    <w:rsid w:val="00535146"/>
    <w:rsid w:val="005352B3"/>
    <w:rsid w:val="00535328"/>
    <w:rsid w:val="005355D6"/>
    <w:rsid w:val="005357B2"/>
    <w:rsid w:val="0053580E"/>
    <w:rsid w:val="0053590E"/>
    <w:rsid w:val="00535A40"/>
    <w:rsid w:val="00535AE2"/>
    <w:rsid w:val="00535BFE"/>
    <w:rsid w:val="00535C3B"/>
    <w:rsid w:val="00535C81"/>
    <w:rsid w:val="00535E17"/>
    <w:rsid w:val="00535E8E"/>
    <w:rsid w:val="00536090"/>
    <w:rsid w:val="005360A0"/>
    <w:rsid w:val="00536148"/>
    <w:rsid w:val="005361F9"/>
    <w:rsid w:val="005363B0"/>
    <w:rsid w:val="005365F6"/>
    <w:rsid w:val="00536763"/>
    <w:rsid w:val="005367DD"/>
    <w:rsid w:val="0053690F"/>
    <w:rsid w:val="005369FF"/>
    <w:rsid w:val="00536AAE"/>
    <w:rsid w:val="00536BE9"/>
    <w:rsid w:val="00536C21"/>
    <w:rsid w:val="00536CA5"/>
    <w:rsid w:val="00536F81"/>
    <w:rsid w:val="00537137"/>
    <w:rsid w:val="00537427"/>
    <w:rsid w:val="00537555"/>
    <w:rsid w:val="0053776C"/>
    <w:rsid w:val="005379B6"/>
    <w:rsid w:val="00537F9C"/>
    <w:rsid w:val="0054000F"/>
    <w:rsid w:val="005401B7"/>
    <w:rsid w:val="0054045F"/>
    <w:rsid w:val="0054050B"/>
    <w:rsid w:val="00540753"/>
    <w:rsid w:val="0054080D"/>
    <w:rsid w:val="0054087E"/>
    <w:rsid w:val="005409AD"/>
    <w:rsid w:val="00540B3E"/>
    <w:rsid w:val="00540DE9"/>
    <w:rsid w:val="00540DFF"/>
    <w:rsid w:val="00540E23"/>
    <w:rsid w:val="00540ECD"/>
    <w:rsid w:val="005410F9"/>
    <w:rsid w:val="00541250"/>
    <w:rsid w:val="00541326"/>
    <w:rsid w:val="0054132F"/>
    <w:rsid w:val="00541381"/>
    <w:rsid w:val="0054149A"/>
    <w:rsid w:val="005414B4"/>
    <w:rsid w:val="005415AB"/>
    <w:rsid w:val="0054169F"/>
    <w:rsid w:val="00541708"/>
    <w:rsid w:val="0054176F"/>
    <w:rsid w:val="005417FE"/>
    <w:rsid w:val="00541857"/>
    <w:rsid w:val="00541881"/>
    <w:rsid w:val="00541CEE"/>
    <w:rsid w:val="00541E4B"/>
    <w:rsid w:val="005422AA"/>
    <w:rsid w:val="0054247A"/>
    <w:rsid w:val="005424A5"/>
    <w:rsid w:val="00542665"/>
    <w:rsid w:val="00542709"/>
    <w:rsid w:val="0054274D"/>
    <w:rsid w:val="00542797"/>
    <w:rsid w:val="005429C1"/>
    <w:rsid w:val="00542A32"/>
    <w:rsid w:val="00542AC9"/>
    <w:rsid w:val="00542D5C"/>
    <w:rsid w:val="00542D6B"/>
    <w:rsid w:val="00542DEE"/>
    <w:rsid w:val="005431C9"/>
    <w:rsid w:val="005432C7"/>
    <w:rsid w:val="005433B0"/>
    <w:rsid w:val="0054366B"/>
    <w:rsid w:val="00543779"/>
    <w:rsid w:val="00543788"/>
    <w:rsid w:val="005437A5"/>
    <w:rsid w:val="005438FC"/>
    <w:rsid w:val="005439FC"/>
    <w:rsid w:val="00543A66"/>
    <w:rsid w:val="00543AEE"/>
    <w:rsid w:val="00543B43"/>
    <w:rsid w:val="00544233"/>
    <w:rsid w:val="00544439"/>
    <w:rsid w:val="00544468"/>
    <w:rsid w:val="00544481"/>
    <w:rsid w:val="00544564"/>
    <w:rsid w:val="005445AF"/>
    <w:rsid w:val="0054467C"/>
    <w:rsid w:val="00544807"/>
    <w:rsid w:val="00544BD4"/>
    <w:rsid w:val="005453B5"/>
    <w:rsid w:val="00545573"/>
    <w:rsid w:val="0054587C"/>
    <w:rsid w:val="00545913"/>
    <w:rsid w:val="00545BE2"/>
    <w:rsid w:val="00545C5E"/>
    <w:rsid w:val="00545E4E"/>
    <w:rsid w:val="00545EA5"/>
    <w:rsid w:val="005460A2"/>
    <w:rsid w:val="00546182"/>
    <w:rsid w:val="005461AC"/>
    <w:rsid w:val="005462A0"/>
    <w:rsid w:val="005463F8"/>
    <w:rsid w:val="00546453"/>
    <w:rsid w:val="00546549"/>
    <w:rsid w:val="0054683C"/>
    <w:rsid w:val="00546D90"/>
    <w:rsid w:val="00546DF8"/>
    <w:rsid w:val="00546EA3"/>
    <w:rsid w:val="00546FB4"/>
    <w:rsid w:val="005471FD"/>
    <w:rsid w:val="0054723E"/>
    <w:rsid w:val="00547306"/>
    <w:rsid w:val="00547444"/>
    <w:rsid w:val="0054766D"/>
    <w:rsid w:val="00547673"/>
    <w:rsid w:val="0054767B"/>
    <w:rsid w:val="00547773"/>
    <w:rsid w:val="00547A38"/>
    <w:rsid w:val="00547ACB"/>
    <w:rsid w:val="00547B7E"/>
    <w:rsid w:val="00547BD2"/>
    <w:rsid w:val="00547E89"/>
    <w:rsid w:val="00547F5B"/>
    <w:rsid w:val="00547F5F"/>
    <w:rsid w:val="00550085"/>
    <w:rsid w:val="005500BE"/>
    <w:rsid w:val="005501B3"/>
    <w:rsid w:val="00550575"/>
    <w:rsid w:val="005505E2"/>
    <w:rsid w:val="005507A7"/>
    <w:rsid w:val="005508DE"/>
    <w:rsid w:val="005509C0"/>
    <w:rsid w:val="00550BDB"/>
    <w:rsid w:val="00550CD7"/>
    <w:rsid w:val="00550DD5"/>
    <w:rsid w:val="00550E4A"/>
    <w:rsid w:val="00550E83"/>
    <w:rsid w:val="00550FE2"/>
    <w:rsid w:val="0055102F"/>
    <w:rsid w:val="005514A6"/>
    <w:rsid w:val="0055185C"/>
    <w:rsid w:val="005519E5"/>
    <w:rsid w:val="005519EC"/>
    <w:rsid w:val="00551A17"/>
    <w:rsid w:val="00551EE0"/>
    <w:rsid w:val="00552147"/>
    <w:rsid w:val="005522F5"/>
    <w:rsid w:val="0055232B"/>
    <w:rsid w:val="00552334"/>
    <w:rsid w:val="0055242B"/>
    <w:rsid w:val="005526CF"/>
    <w:rsid w:val="0055277C"/>
    <w:rsid w:val="00552A6E"/>
    <w:rsid w:val="00552AD2"/>
    <w:rsid w:val="00552B7F"/>
    <w:rsid w:val="00552C02"/>
    <w:rsid w:val="00552F4D"/>
    <w:rsid w:val="00552F73"/>
    <w:rsid w:val="00553077"/>
    <w:rsid w:val="005530BD"/>
    <w:rsid w:val="00553199"/>
    <w:rsid w:val="005532AB"/>
    <w:rsid w:val="00553569"/>
    <w:rsid w:val="005535F9"/>
    <w:rsid w:val="005535FA"/>
    <w:rsid w:val="005536C0"/>
    <w:rsid w:val="005537D0"/>
    <w:rsid w:val="00553939"/>
    <w:rsid w:val="00553EBE"/>
    <w:rsid w:val="00553F99"/>
    <w:rsid w:val="005543B3"/>
    <w:rsid w:val="00554533"/>
    <w:rsid w:val="00554587"/>
    <w:rsid w:val="00554AF2"/>
    <w:rsid w:val="00554B86"/>
    <w:rsid w:val="00554BFB"/>
    <w:rsid w:val="00554DAA"/>
    <w:rsid w:val="00555121"/>
    <w:rsid w:val="0055515A"/>
    <w:rsid w:val="0055524C"/>
    <w:rsid w:val="00555879"/>
    <w:rsid w:val="005558B3"/>
    <w:rsid w:val="00555B6E"/>
    <w:rsid w:val="00555BAC"/>
    <w:rsid w:val="00555DE2"/>
    <w:rsid w:val="00555E94"/>
    <w:rsid w:val="00555F0F"/>
    <w:rsid w:val="00556110"/>
    <w:rsid w:val="005561A1"/>
    <w:rsid w:val="00556262"/>
    <w:rsid w:val="00556503"/>
    <w:rsid w:val="00556603"/>
    <w:rsid w:val="00556ACF"/>
    <w:rsid w:val="00556C3C"/>
    <w:rsid w:val="00556E8F"/>
    <w:rsid w:val="00557001"/>
    <w:rsid w:val="005575B2"/>
    <w:rsid w:val="0055785A"/>
    <w:rsid w:val="00557949"/>
    <w:rsid w:val="00557B97"/>
    <w:rsid w:val="00557D01"/>
    <w:rsid w:val="00557EAC"/>
    <w:rsid w:val="0056014F"/>
    <w:rsid w:val="00560453"/>
    <w:rsid w:val="005604F7"/>
    <w:rsid w:val="005606DF"/>
    <w:rsid w:val="005608F0"/>
    <w:rsid w:val="00560909"/>
    <w:rsid w:val="00560C56"/>
    <w:rsid w:val="00560E14"/>
    <w:rsid w:val="00560E4E"/>
    <w:rsid w:val="00560F99"/>
    <w:rsid w:val="00560FC3"/>
    <w:rsid w:val="00561034"/>
    <w:rsid w:val="00561181"/>
    <w:rsid w:val="0056127C"/>
    <w:rsid w:val="0056170C"/>
    <w:rsid w:val="00561745"/>
    <w:rsid w:val="00561827"/>
    <w:rsid w:val="00561C4F"/>
    <w:rsid w:val="00561CD2"/>
    <w:rsid w:val="00561D18"/>
    <w:rsid w:val="00561EDE"/>
    <w:rsid w:val="00562181"/>
    <w:rsid w:val="0056222D"/>
    <w:rsid w:val="0056223E"/>
    <w:rsid w:val="00562515"/>
    <w:rsid w:val="00562700"/>
    <w:rsid w:val="00562729"/>
    <w:rsid w:val="00562785"/>
    <w:rsid w:val="005627A6"/>
    <w:rsid w:val="005628CB"/>
    <w:rsid w:val="005628EB"/>
    <w:rsid w:val="00562B75"/>
    <w:rsid w:val="00562BEE"/>
    <w:rsid w:val="00562C8A"/>
    <w:rsid w:val="00562CF1"/>
    <w:rsid w:val="00562D10"/>
    <w:rsid w:val="00562D44"/>
    <w:rsid w:val="00562D45"/>
    <w:rsid w:val="00562E2A"/>
    <w:rsid w:val="00562F27"/>
    <w:rsid w:val="0056309F"/>
    <w:rsid w:val="005630A9"/>
    <w:rsid w:val="005633F4"/>
    <w:rsid w:val="0056374E"/>
    <w:rsid w:val="00563889"/>
    <w:rsid w:val="005638D2"/>
    <w:rsid w:val="00563928"/>
    <w:rsid w:val="00563C0B"/>
    <w:rsid w:val="00563C34"/>
    <w:rsid w:val="00563D4F"/>
    <w:rsid w:val="00563FCC"/>
    <w:rsid w:val="005642AE"/>
    <w:rsid w:val="005642E5"/>
    <w:rsid w:val="00564567"/>
    <w:rsid w:val="00564629"/>
    <w:rsid w:val="005646F0"/>
    <w:rsid w:val="00564747"/>
    <w:rsid w:val="005649FB"/>
    <w:rsid w:val="00564A2F"/>
    <w:rsid w:val="00564AE1"/>
    <w:rsid w:val="00564BA8"/>
    <w:rsid w:val="00564C8A"/>
    <w:rsid w:val="00564CE4"/>
    <w:rsid w:val="00564E64"/>
    <w:rsid w:val="00564FF1"/>
    <w:rsid w:val="00565029"/>
    <w:rsid w:val="00565054"/>
    <w:rsid w:val="005652B5"/>
    <w:rsid w:val="0056594B"/>
    <w:rsid w:val="0056597A"/>
    <w:rsid w:val="00565A16"/>
    <w:rsid w:val="00565BCF"/>
    <w:rsid w:val="00565CBE"/>
    <w:rsid w:val="00565E1B"/>
    <w:rsid w:val="0056620A"/>
    <w:rsid w:val="00566243"/>
    <w:rsid w:val="0056651D"/>
    <w:rsid w:val="0056682D"/>
    <w:rsid w:val="0056687B"/>
    <w:rsid w:val="00566A7B"/>
    <w:rsid w:val="00566EFD"/>
    <w:rsid w:val="00566F04"/>
    <w:rsid w:val="00566F96"/>
    <w:rsid w:val="00566FF7"/>
    <w:rsid w:val="00567092"/>
    <w:rsid w:val="005670B4"/>
    <w:rsid w:val="005672AF"/>
    <w:rsid w:val="005673D7"/>
    <w:rsid w:val="005676E5"/>
    <w:rsid w:val="00567750"/>
    <w:rsid w:val="005678BD"/>
    <w:rsid w:val="0056799B"/>
    <w:rsid w:val="005679B9"/>
    <w:rsid w:val="00567B4F"/>
    <w:rsid w:val="00567D38"/>
    <w:rsid w:val="00567F5C"/>
    <w:rsid w:val="00567F66"/>
    <w:rsid w:val="00570088"/>
    <w:rsid w:val="00570122"/>
    <w:rsid w:val="00570344"/>
    <w:rsid w:val="0057046A"/>
    <w:rsid w:val="00570492"/>
    <w:rsid w:val="00570720"/>
    <w:rsid w:val="00570782"/>
    <w:rsid w:val="00570823"/>
    <w:rsid w:val="00570874"/>
    <w:rsid w:val="005709D1"/>
    <w:rsid w:val="00570A69"/>
    <w:rsid w:val="00570BB1"/>
    <w:rsid w:val="00570C42"/>
    <w:rsid w:val="00570FB0"/>
    <w:rsid w:val="00570FD6"/>
    <w:rsid w:val="00571315"/>
    <w:rsid w:val="005714DB"/>
    <w:rsid w:val="005715B4"/>
    <w:rsid w:val="005715E7"/>
    <w:rsid w:val="00571650"/>
    <w:rsid w:val="00571744"/>
    <w:rsid w:val="00571930"/>
    <w:rsid w:val="005719C8"/>
    <w:rsid w:val="00571B14"/>
    <w:rsid w:val="00571B1E"/>
    <w:rsid w:val="00571E7B"/>
    <w:rsid w:val="00571FF2"/>
    <w:rsid w:val="00571FF8"/>
    <w:rsid w:val="005720FA"/>
    <w:rsid w:val="00572373"/>
    <w:rsid w:val="005723BC"/>
    <w:rsid w:val="0057252E"/>
    <w:rsid w:val="00572675"/>
    <w:rsid w:val="005729EC"/>
    <w:rsid w:val="00572D28"/>
    <w:rsid w:val="00572DA2"/>
    <w:rsid w:val="005730F3"/>
    <w:rsid w:val="00573477"/>
    <w:rsid w:val="00573479"/>
    <w:rsid w:val="00573834"/>
    <w:rsid w:val="0057390D"/>
    <w:rsid w:val="0057395F"/>
    <w:rsid w:val="00573A07"/>
    <w:rsid w:val="00573A4F"/>
    <w:rsid w:val="00573DF5"/>
    <w:rsid w:val="00573EDE"/>
    <w:rsid w:val="0057446B"/>
    <w:rsid w:val="005744AB"/>
    <w:rsid w:val="005744C3"/>
    <w:rsid w:val="00574741"/>
    <w:rsid w:val="005747A1"/>
    <w:rsid w:val="00574B95"/>
    <w:rsid w:val="00574BE9"/>
    <w:rsid w:val="00574C1F"/>
    <w:rsid w:val="00574EB7"/>
    <w:rsid w:val="00574F6B"/>
    <w:rsid w:val="00574F9A"/>
    <w:rsid w:val="00575020"/>
    <w:rsid w:val="0057538F"/>
    <w:rsid w:val="005754A3"/>
    <w:rsid w:val="005755FB"/>
    <w:rsid w:val="00575732"/>
    <w:rsid w:val="0057574F"/>
    <w:rsid w:val="005758E6"/>
    <w:rsid w:val="00575B63"/>
    <w:rsid w:val="00575C78"/>
    <w:rsid w:val="00575D8E"/>
    <w:rsid w:val="00575DCA"/>
    <w:rsid w:val="00575DF8"/>
    <w:rsid w:val="00575E1A"/>
    <w:rsid w:val="00575ECB"/>
    <w:rsid w:val="00575F71"/>
    <w:rsid w:val="005760CE"/>
    <w:rsid w:val="0057610D"/>
    <w:rsid w:val="00576494"/>
    <w:rsid w:val="0057649C"/>
    <w:rsid w:val="00576563"/>
    <w:rsid w:val="005766AA"/>
    <w:rsid w:val="00576A21"/>
    <w:rsid w:val="00576FBF"/>
    <w:rsid w:val="00577015"/>
    <w:rsid w:val="00577040"/>
    <w:rsid w:val="00577290"/>
    <w:rsid w:val="005773B3"/>
    <w:rsid w:val="005774D4"/>
    <w:rsid w:val="00577560"/>
    <w:rsid w:val="005776FB"/>
    <w:rsid w:val="0057774B"/>
    <w:rsid w:val="00577A1C"/>
    <w:rsid w:val="00577B2D"/>
    <w:rsid w:val="00577C4A"/>
    <w:rsid w:val="00577CE4"/>
    <w:rsid w:val="00577D06"/>
    <w:rsid w:val="00577D3E"/>
    <w:rsid w:val="00577E39"/>
    <w:rsid w:val="00577E78"/>
    <w:rsid w:val="00577F30"/>
    <w:rsid w:val="00577F59"/>
    <w:rsid w:val="00577FB8"/>
    <w:rsid w:val="00580361"/>
    <w:rsid w:val="0058045C"/>
    <w:rsid w:val="0058046E"/>
    <w:rsid w:val="0058054A"/>
    <w:rsid w:val="005805D9"/>
    <w:rsid w:val="00580618"/>
    <w:rsid w:val="005806C5"/>
    <w:rsid w:val="005806E6"/>
    <w:rsid w:val="0058094B"/>
    <w:rsid w:val="00580AE3"/>
    <w:rsid w:val="00580BEE"/>
    <w:rsid w:val="00580D68"/>
    <w:rsid w:val="00580DE6"/>
    <w:rsid w:val="005812A2"/>
    <w:rsid w:val="005812A8"/>
    <w:rsid w:val="005812D7"/>
    <w:rsid w:val="00581395"/>
    <w:rsid w:val="005814E0"/>
    <w:rsid w:val="005818AC"/>
    <w:rsid w:val="00581942"/>
    <w:rsid w:val="00581A5E"/>
    <w:rsid w:val="00581D1B"/>
    <w:rsid w:val="00581E1D"/>
    <w:rsid w:val="00581FDA"/>
    <w:rsid w:val="005820B9"/>
    <w:rsid w:val="0058215F"/>
    <w:rsid w:val="00582179"/>
    <w:rsid w:val="00582340"/>
    <w:rsid w:val="00582457"/>
    <w:rsid w:val="00582612"/>
    <w:rsid w:val="00582696"/>
    <w:rsid w:val="005826DF"/>
    <w:rsid w:val="00582729"/>
    <w:rsid w:val="00582917"/>
    <w:rsid w:val="00582CF1"/>
    <w:rsid w:val="00582D74"/>
    <w:rsid w:val="00582F18"/>
    <w:rsid w:val="005832AB"/>
    <w:rsid w:val="005837C9"/>
    <w:rsid w:val="00583984"/>
    <w:rsid w:val="005839EA"/>
    <w:rsid w:val="00583A1B"/>
    <w:rsid w:val="00583A79"/>
    <w:rsid w:val="00583B42"/>
    <w:rsid w:val="00583C4A"/>
    <w:rsid w:val="00583ECD"/>
    <w:rsid w:val="00584029"/>
    <w:rsid w:val="0058435F"/>
    <w:rsid w:val="0058442F"/>
    <w:rsid w:val="005844B7"/>
    <w:rsid w:val="005845CF"/>
    <w:rsid w:val="005848E7"/>
    <w:rsid w:val="00584A4F"/>
    <w:rsid w:val="00584CCD"/>
    <w:rsid w:val="00584D89"/>
    <w:rsid w:val="00584E67"/>
    <w:rsid w:val="00584F52"/>
    <w:rsid w:val="005850E9"/>
    <w:rsid w:val="005851FF"/>
    <w:rsid w:val="005854B0"/>
    <w:rsid w:val="005855F3"/>
    <w:rsid w:val="0058568F"/>
    <w:rsid w:val="00585927"/>
    <w:rsid w:val="005859B5"/>
    <w:rsid w:val="00585E85"/>
    <w:rsid w:val="00585F8F"/>
    <w:rsid w:val="005861FC"/>
    <w:rsid w:val="0058621E"/>
    <w:rsid w:val="00586230"/>
    <w:rsid w:val="00586238"/>
    <w:rsid w:val="00586380"/>
    <w:rsid w:val="00586398"/>
    <w:rsid w:val="00586570"/>
    <w:rsid w:val="0058665C"/>
    <w:rsid w:val="00586C05"/>
    <w:rsid w:val="00586D55"/>
    <w:rsid w:val="00586D74"/>
    <w:rsid w:val="00586F25"/>
    <w:rsid w:val="00587112"/>
    <w:rsid w:val="0058724C"/>
    <w:rsid w:val="005872F2"/>
    <w:rsid w:val="00587468"/>
    <w:rsid w:val="0058791D"/>
    <w:rsid w:val="00587AF8"/>
    <w:rsid w:val="00587B62"/>
    <w:rsid w:val="00587DAE"/>
    <w:rsid w:val="00587DC8"/>
    <w:rsid w:val="00587E6F"/>
    <w:rsid w:val="00587EE1"/>
    <w:rsid w:val="00587F69"/>
    <w:rsid w:val="00587FDB"/>
    <w:rsid w:val="00590047"/>
    <w:rsid w:val="005900CF"/>
    <w:rsid w:val="0059034D"/>
    <w:rsid w:val="0059039A"/>
    <w:rsid w:val="005905FD"/>
    <w:rsid w:val="0059068A"/>
    <w:rsid w:val="005907FC"/>
    <w:rsid w:val="00590806"/>
    <w:rsid w:val="0059098B"/>
    <w:rsid w:val="00590D30"/>
    <w:rsid w:val="00590FA5"/>
    <w:rsid w:val="005911C9"/>
    <w:rsid w:val="005911E1"/>
    <w:rsid w:val="00591200"/>
    <w:rsid w:val="00591299"/>
    <w:rsid w:val="00591417"/>
    <w:rsid w:val="00591885"/>
    <w:rsid w:val="005918EA"/>
    <w:rsid w:val="0059196A"/>
    <w:rsid w:val="00591BB8"/>
    <w:rsid w:val="00591CEA"/>
    <w:rsid w:val="00591E67"/>
    <w:rsid w:val="00592048"/>
    <w:rsid w:val="00592084"/>
    <w:rsid w:val="005920D6"/>
    <w:rsid w:val="005920E2"/>
    <w:rsid w:val="005922E1"/>
    <w:rsid w:val="0059238C"/>
    <w:rsid w:val="005923C7"/>
    <w:rsid w:val="00592453"/>
    <w:rsid w:val="00592475"/>
    <w:rsid w:val="005925A8"/>
    <w:rsid w:val="00592703"/>
    <w:rsid w:val="00592899"/>
    <w:rsid w:val="00592918"/>
    <w:rsid w:val="00592A41"/>
    <w:rsid w:val="00592B0E"/>
    <w:rsid w:val="00592B13"/>
    <w:rsid w:val="005930EF"/>
    <w:rsid w:val="00593199"/>
    <w:rsid w:val="0059322A"/>
    <w:rsid w:val="0059328F"/>
    <w:rsid w:val="005932BF"/>
    <w:rsid w:val="005933B2"/>
    <w:rsid w:val="00593405"/>
    <w:rsid w:val="00593518"/>
    <w:rsid w:val="00593595"/>
    <w:rsid w:val="00593871"/>
    <w:rsid w:val="005939C5"/>
    <w:rsid w:val="00593AB1"/>
    <w:rsid w:val="005940BE"/>
    <w:rsid w:val="0059421D"/>
    <w:rsid w:val="0059435E"/>
    <w:rsid w:val="005943B9"/>
    <w:rsid w:val="005944C0"/>
    <w:rsid w:val="0059492B"/>
    <w:rsid w:val="005949F7"/>
    <w:rsid w:val="00594B32"/>
    <w:rsid w:val="00594D15"/>
    <w:rsid w:val="00594EB3"/>
    <w:rsid w:val="00594F36"/>
    <w:rsid w:val="00594F42"/>
    <w:rsid w:val="00594FB7"/>
    <w:rsid w:val="005952BE"/>
    <w:rsid w:val="0059553F"/>
    <w:rsid w:val="005955A3"/>
    <w:rsid w:val="005957B7"/>
    <w:rsid w:val="005957D6"/>
    <w:rsid w:val="005957F2"/>
    <w:rsid w:val="00595882"/>
    <w:rsid w:val="0059589E"/>
    <w:rsid w:val="00595C0F"/>
    <w:rsid w:val="00595C1A"/>
    <w:rsid w:val="00595FB7"/>
    <w:rsid w:val="00595FDB"/>
    <w:rsid w:val="00595FF6"/>
    <w:rsid w:val="0059633E"/>
    <w:rsid w:val="00596354"/>
    <w:rsid w:val="00596637"/>
    <w:rsid w:val="00596846"/>
    <w:rsid w:val="005969E5"/>
    <w:rsid w:val="00596B0F"/>
    <w:rsid w:val="00596CDD"/>
    <w:rsid w:val="00596E3A"/>
    <w:rsid w:val="00596E49"/>
    <w:rsid w:val="00596F65"/>
    <w:rsid w:val="00596FF4"/>
    <w:rsid w:val="00597091"/>
    <w:rsid w:val="00597169"/>
    <w:rsid w:val="0059744C"/>
    <w:rsid w:val="00597626"/>
    <w:rsid w:val="00597662"/>
    <w:rsid w:val="00597862"/>
    <w:rsid w:val="00597B26"/>
    <w:rsid w:val="00597BD5"/>
    <w:rsid w:val="00597E67"/>
    <w:rsid w:val="00597EE1"/>
    <w:rsid w:val="00597F32"/>
    <w:rsid w:val="005A0821"/>
    <w:rsid w:val="005A08A1"/>
    <w:rsid w:val="005A091C"/>
    <w:rsid w:val="005A0AE3"/>
    <w:rsid w:val="005A0BD7"/>
    <w:rsid w:val="005A0BFD"/>
    <w:rsid w:val="005A0DA6"/>
    <w:rsid w:val="005A101E"/>
    <w:rsid w:val="005A114C"/>
    <w:rsid w:val="005A12E9"/>
    <w:rsid w:val="005A1340"/>
    <w:rsid w:val="005A14F3"/>
    <w:rsid w:val="005A16F2"/>
    <w:rsid w:val="005A19BA"/>
    <w:rsid w:val="005A19D9"/>
    <w:rsid w:val="005A19E8"/>
    <w:rsid w:val="005A1CDC"/>
    <w:rsid w:val="005A1D41"/>
    <w:rsid w:val="005A1EDB"/>
    <w:rsid w:val="005A2181"/>
    <w:rsid w:val="005A21D7"/>
    <w:rsid w:val="005A2269"/>
    <w:rsid w:val="005A2593"/>
    <w:rsid w:val="005A2883"/>
    <w:rsid w:val="005A2931"/>
    <w:rsid w:val="005A2A27"/>
    <w:rsid w:val="005A2BA4"/>
    <w:rsid w:val="005A2C42"/>
    <w:rsid w:val="005A2D86"/>
    <w:rsid w:val="005A2F74"/>
    <w:rsid w:val="005A300D"/>
    <w:rsid w:val="005A31C8"/>
    <w:rsid w:val="005A32D6"/>
    <w:rsid w:val="005A336B"/>
    <w:rsid w:val="005A362A"/>
    <w:rsid w:val="005A36DB"/>
    <w:rsid w:val="005A3905"/>
    <w:rsid w:val="005A3A78"/>
    <w:rsid w:val="005A3C0C"/>
    <w:rsid w:val="005A3CDA"/>
    <w:rsid w:val="005A3E60"/>
    <w:rsid w:val="005A3EAC"/>
    <w:rsid w:val="005A410A"/>
    <w:rsid w:val="005A4198"/>
    <w:rsid w:val="005A428F"/>
    <w:rsid w:val="005A43A1"/>
    <w:rsid w:val="005A4456"/>
    <w:rsid w:val="005A4B03"/>
    <w:rsid w:val="005A4B60"/>
    <w:rsid w:val="005A4C28"/>
    <w:rsid w:val="005A4DCF"/>
    <w:rsid w:val="005A5328"/>
    <w:rsid w:val="005A547E"/>
    <w:rsid w:val="005A5639"/>
    <w:rsid w:val="005A5AF3"/>
    <w:rsid w:val="005A5B4B"/>
    <w:rsid w:val="005A5B84"/>
    <w:rsid w:val="005A5CD2"/>
    <w:rsid w:val="005A5D0E"/>
    <w:rsid w:val="005A5D24"/>
    <w:rsid w:val="005A5FE7"/>
    <w:rsid w:val="005A6096"/>
    <w:rsid w:val="005A60AE"/>
    <w:rsid w:val="005A6B64"/>
    <w:rsid w:val="005A6C71"/>
    <w:rsid w:val="005A6CC2"/>
    <w:rsid w:val="005A6D61"/>
    <w:rsid w:val="005A6FAB"/>
    <w:rsid w:val="005A6FD3"/>
    <w:rsid w:val="005A70F6"/>
    <w:rsid w:val="005A71A9"/>
    <w:rsid w:val="005A7339"/>
    <w:rsid w:val="005A748A"/>
    <w:rsid w:val="005A75C4"/>
    <w:rsid w:val="005A77AB"/>
    <w:rsid w:val="005A780A"/>
    <w:rsid w:val="005A7AFB"/>
    <w:rsid w:val="005A7DB8"/>
    <w:rsid w:val="005A7E1A"/>
    <w:rsid w:val="005B0085"/>
    <w:rsid w:val="005B0192"/>
    <w:rsid w:val="005B0200"/>
    <w:rsid w:val="005B035F"/>
    <w:rsid w:val="005B03BE"/>
    <w:rsid w:val="005B03EA"/>
    <w:rsid w:val="005B04CC"/>
    <w:rsid w:val="005B0523"/>
    <w:rsid w:val="005B07CB"/>
    <w:rsid w:val="005B08C7"/>
    <w:rsid w:val="005B0BA7"/>
    <w:rsid w:val="005B0CF0"/>
    <w:rsid w:val="005B0E8E"/>
    <w:rsid w:val="005B0F55"/>
    <w:rsid w:val="005B0FDE"/>
    <w:rsid w:val="005B120E"/>
    <w:rsid w:val="005B12BE"/>
    <w:rsid w:val="005B13FA"/>
    <w:rsid w:val="005B14EB"/>
    <w:rsid w:val="005B1519"/>
    <w:rsid w:val="005B1534"/>
    <w:rsid w:val="005B1A91"/>
    <w:rsid w:val="005B1C2D"/>
    <w:rsid w:val="005B1C32"/>
    <w:rsid w:val="005B1CB2"/>
    <w:rsid w:val="005B1D90"/>
    <w:rsid w:val="005B1E78"/>
    <w:rsid w:val="005B202C"/>
    <w:rsid w:val="005B226A"/>
    <w:rsid w:val="005B2321"/>
    <w:rsid w:val="005B23F1"/>
    <w:rsid w:val="005B24B9"/>
    <w:rsid w:val="005B2608"/>
    <w:rsid w:val="005B26CC"/>
    <w:rsid w:val="005B2718"/>
    <w:rsid w:val="005B2753"/>
    <w:rsid w:val="005B2852"/>
    <w:rsid w:val="005B2870"/>
    <w:rsid w:val="005B2A8B"/>
    <w:rsid w:val="005B2B82"/>
    <w:rsid w:val="005B2EA8"/>
    <w:rsid w:val="005B2FDF"/>
    <w:rsid w:val="005B3007"/>
    <w:rsid w:val="005B3304"/>
    <w:rsid w:val="005B3528"/>
    <w:rsid w:val="005B3B44"/>
    <w:rsid w:val="005B3CC8"/>
    <w:rsid w:val="005B3D28"/>
    <w:rsid w:val="005B3DAC"/>
    <w:rsid w:val="005B3DE0"/>
    <w:rsid w:val="005B3E22"/>
    <w:rsid w:val="005B3FB3"/>
    <w:rsid w:val="005B3FEE"/>
    <w:rsid w:val="005B4338"/>
    <w:rsid w:val="005B4349"/>
    <w:rsid w:val="005B43B8"/>
    <w:rsid w:val="005B441C"/>
    <w:rsid w:val="005B4459"/>
    <w:rsid w:val="005B4538"/>
    <w:rsid w:val="005B45AD"/>
    <w:rsid w:val="005B4644"/>
    <w:rsid w:val="005B4848"/>
    <w:rsid w:val="005B48C7"/>
    <w:rsid w:val="005B4917"/>
    <w:rsid w:val="005B4A9F"/>
    <w:rsid w:val="005B4B22"/>
    <w:rsid w:val="005B4B43"/>
    <w:rsid w:val="005B4B59"/>
    <w:rsid w:val="005B4BCC"/>
    <w:rsid w:val="005B4C9F"/>
    <w:rsid w:val="005B4DEC"/>
    <w:rsid w:val="005B4E59"/>
    <w:rsid w:val="005B508D"/>
    <w:rsid w:val="005B5325"/>
    <w:rsid w:val="005B5540"/>
    <w:rsid w:val="005B57FA"/>
    <w:rsid w:val="005B58B5"/>
    <w:rsid w:val="005B59FF"/>
    <w:rsid w:val="005B5BC5"/>
    <w:rsid w:val="005B5EF1"/>
    <w:rsid w:val="005B61F4"/>
    <w:rsid w:val="005B63A5"/>
    <w:rsid w:val="005B65A4"/>
    <w:rsid w:val="005B66D0"/>
    <w:rsid w:val="005B6778"/>
    <w:rsid w:val="005B67E7"/>
    <w:rsid w:val="005B6871"/>
    <w:rsid w:val="005B68EC"/>
    <w:rsid w:val="005B69E8"/>
    <w:rsid w:val="005B6A8F"/>
    <w:rsid w:val="005B6AF7"/>
    <w:rsid w:val="005B6B45"/>
    <w:rsid w:val="005B6C8D"/>
    <w:rsid w:val="005B6E4F"/>
    <w:rsid w:val="005B6F17"/>
    <w:rsid w:val="005B6F35"/>
    <w:rsid w:val="005B7113"/>
    <w:rsid w:val="005B7129"/>
    <w:rsid w:val="005B735A"/>
    <w:rsid w:val="005B74A8"/>
    <w:rsid w:val="005B75D6"/>
    <w:rsid w:val="005B7785"/>
    <w:rsid w:val="005B7904"/>
    <w:rsid w:val="005B7ECC"/>
    <w:rsid w:val="005C0200"/>
    <w:rsid w:val="005C023E"/>
    <w:rsid w:val="005C02B1"/>
    <w:rsid w:val="005C0422"/>
    <w:rsid w:val="005C070B"/>
    <w:rsid w:val="005C075F"/>
    <w:rsid w:val="005C086E"/>
    <w:rsid w:val="005C08B4"/>
    <w:rsid w:val="005C097A"/>
    <w:rsid w:val="005C0ACD"/>
    <w:rsid w:val="005C0CC7"/>
    <w:rsid w:val="005C0CEF"/>
    <w:rsid w:val="005C0D18"/>
    <w:rsid w:val="005C0DB8"/>
    <w:rsid w:val="005C0E21"/>
    <w:rsid w:val="005C0F29"/>
    <w:rsid w:val="005C107B"/>
    <w:rsid w:val="005C124B"/>
    <w:rsid w:val="005C1355"/>
    <w:rsid w:val="005C15DA"/>
    <w:rsid w:val="005C18C9"/>
    <w:rsid w:val="005C1A35"/>
    <w:rsid w:val="005C1C11"/>
    <w:rsid w:val="005C214D"/>
    <w:rsid w:val="005C24B5"/>
    <w:rsid w:val="005C25A1"/>
    <w:rsid w:val="005C279C"/>
    <w:rsid w:val="005C28C1"/>
    <w:rsid w:val="005C2902"/>
    <w:rsid w:val="005C2912"/>
    <w:rsid w:val="005C299C"/>
    <w:rsid w:val="005C2B37"/>
    <w:rsid w:val="005C2BB1"/>
    <w:rsid w:val="005C2D07"/>
    <w:rsid w:val="005C35AF"/>
    <w:rsid w:val="005C378A"/>
    <w:rsid w:val="005C37A6"/>
    <w:rsid w:val="005C3BFD"/>
    <w:rsid w:val="005C3E09"/>
    <w:rsid w:val="005C3E40"/>
    <w:rsid w:val="005C3F32"/>
    <w:rsid w:val="005C4074"/>
    <w:rsid w:val="005C40B6"/>
    <w:rsid w:val="005C4523"/>
    <w:rsid w:val="005C48D7"/>
    <w:rsid w:val="005C4A20"/>
    <w:rsid w:val="005C4D2C"/>
    <w:rsid w:val="005C4D67"/>
    <w:rsid w:val="005C4FAB"/>
    <w:rsid w:val="005C521B"/>
    <w:rsid w:val="005C5273"/>
    <w:rsid w:val="005C52B0"/>
    <w:rsid w:val="005C5453"/>
    <w:rsid w:val="005C5455"/>
    <w:rsid w:val="005C551D"/>
    <w:rsid w:val="005C55C9"/>
    <w:rsid w:val="005C5834"/>
    <w:rsid w:val="005C5850"/>
    <w:rsid w:val="005C5A00"/>
    <w:rsid w:val="005C5D5E"/>
    <w:rsid w:val="005C610B"/>
    <w:rsid w:val="005C612B"/>
    <w:rsid w:val="005C6144"/>
    <w:rsid w:val="005C643B"/>
    <w:rsid w:val="005C6745"/>
    <w:rsid w:val="005C6BE0"/>
    <w:rsid w:val="005C6D09"/>
    <w:rsid w:val="005C6D2A"/>
    <w:rsid w:val="005C70FF"/>
    <w:rsid w:val="005C71EE"/>
    <w:rsid w:val="005C725F"/>
    <w:rsid w:val="005C73A4"/>
    <w:rsid w:val="005C78AC"/>
    <w:rsid w:val="005C7977"/>
    <w:rsid w:val="005C7ABA"/>
    <w:rsid w:val="005C7CD4"/>
    <w:rsid w:val="005D002C"/>
    <w:rsid w:val="005D004C"/>
    <w:rsid w:val="005D00F4"/>
    <w:rsid w:val="005D01D8"/>
    <w:rsid w:val="005D03C8"/>
    <w:rsid w:val="005D0462"/>
    <w:rsid w:val="005D0532"/>
    <w:rsid w:val="005D06F8"/>
    <w:rsid w:val="005D09FA"/>
    <w:rsid w:val="005D0A51"/>
    <w:rsid w:val="005D0FAE"/>
    <w:rsid w:val="005D15EE"/>
    <w:rsid w:val="005D16FF"/>
    <w:rsid w:val="005D17AA"/>
    <w:rsid w:val="005D17F0"/>
    <w:rsid w:val="005D183F"/>
    <w:rsid w:val="005D1A29"/>
    <w:rsid w:val="005D1ABA"/>
    <w:rsid w:val="005D1C7A"/>
    <w:rsid w:val="005D2387"/>
    <w:rsid w:val="005D23AA"/>
    <w:rsid w:val="005D278C"/>
    <w:rsid w:val="005D2A9C"/>
    <w:rsid w:val="005D2E16"/>
    <w:rsid w:val="005D30A5"/>
    <w:rsid w:val="005D3240"/>
    <w:rsid w:val="005D325A"/>
    <w:rsid w:val="005D3629"/>
    <w:rsid w:val="005D370A"/>
    <w:rsid w:val="005D3835"/>
    <w:rsid w:val="005D3A59"/>
    <w:rsid w:val="005D3A8A"/>
    <w:rsid w:val="005D3B31"/>
    <w:rsid w:val="005D3BEF"/>
    <w:rsid w:val="005D3E22"/>
    <w:rsid w:val="005D4814"/>
    <w:rsid w:val="005D48AE"/>
    <w:rsid w:val="005D4956"/>
    <w:rsid w:val="005D49BF"/>
    <w:rsid w:val="005D4B19"/>
    <w:rsid w:val="005D4D88"/>
    <w:rsid w:val="005D4FC2"/>
    <w:rsid w:val="005D5128"/>
    <w:rsid w:val="005D522B"/>
    <w:rsid w:val="005D55AC"/>
    <w:rsid w:val="005D55FD"/>
    <w:rsid w:val="005D56E7"/>
    <w:rsid w:val="005D57BC"/>
    <w:rsid w:val="005D5872"/>
    <w:rsid w:val="005D59AF"/>
    <w:rsid w:val="005D5A3A"/>
    <w:rsid w:val="005D5B2B"/>
    <w:rsid w:val="005D5BCC"/>
    <w:rsid w:val="005D5E5E"/>
    <w:rsid w:val="005D641D"/>
    <w:rsid w:val="005D6448"/>
    <w:rsid w:val="005D648B"/>
    <w:rsid w:val="005D6646"/>
    <w:rsid w:val="005D6688"/>
    <w:rsid w:val="005D66D4"/>
    <w:rsid w:val="005D67D1"/>
    <w:rsid w:val="005D680C"/>
    <w:rsid w:val="005D68EC"/>
    <w:rsid w:val="005D69EC"/>
    <w:rsid w:val="005D6C80"/>
    <w:rsid w:val="005D6CFB"/>
    <w:rsid w:val="005D6E02"/>
    <w:rsid w:val="005D6F0F"/>
    <w:rsid w:val="005D6F8F"/>
    <w:rsid w:val="005D72E3"/>
    <w:rsid w:val="005D7353"/>
    <w:rsid w:val="005D752B"/>
    <w:rsid w:val="005D7803"/>
    <w:rsid w:val="005D7807"/>
    <w:rsid w:val="005D7878"/>
    <w:rsid w:val="005D78C9"/>
    <w:rsid w:val="005D7A7F"/>
    <w:rsid w:val="005D7B43"/>
    <w:rsid w:val="005D7C62"/>
    <w:rsid w:val="005D7CBD"/>
    <w:rsid w:val="005E0030"/>
    <w:rsid w:val="005E0216"/>
    <w:rsid w:val="005E02C1"/>
    <w:rsid w:val="005E0346"/>
    <w:rsid w:val="005E03B4"/>
    <w:rsid w:val="005E049F"/>
    <w:rsid w:val="005E05A6"/>
    <w:rsid w:val="005E06F4"/>
    <w:rsid w:val="005E077D"/>
    <w:rsid w:val="005E0795"/>
    <w:rsid w:val="005E08B6"/>
    <w:rsid w:val="005E099E"/>
    <w:rsid w:val="005E0D78"/>
    <w:rsid w:val="005E0DB6"/>
    <w:rsid w:val="005E0F56"/>
    <w:rsid w:val="005E0FBD"/>
    <w:rsid w:val="005E1113"/>
    <w:rsid w:val="005E118C"/>
    <w:rsid w:val="005E120E"/>
    <w:rsid w:val="005E1210"/>
    <w:rsid w:val="005E1298"/>
    <w:rsid w:val="005E13D6"/>
    <w:rsid w:val="005E1668"/>
    <w:rsid w:val="005E16BC"/>
    <w:rsid w:val="005E1730"/>
    <w:rsid w:val="005E184A"/>
    <w:rsid w:val="005E1C11"/>
    <w:rsid w:val="005E1C5A"/>
    <w:rsid w:val="005E1D95"/>
    <w:rsid w:val="005E1FE6"/>
    <w:rsid w:val="005E2019"/>
    <w:rsid w:val="005E20AF"/>
    <w:rsid w:val="005E2122"/>
    <w:rsid w:val="005E216F"/>
    <w:rsid w:val="005E27D1"/>
    <w:rsid w:val="005E2C31"/>
    <w:rsid w:val="005E2C6A"/>
    <w:rsid w:val="005E2CC6"/>
    <w:rsid w:val="005E2CC7"/>
    <w:rsid w:val="005E2E10"/>
    <w:rsid w:val="005E303C"/>
    <w:rsid w:val="005E3291"/>
    <w:rsid w:val="005E339B"/>
    <w:rsid w:val="005E372F"/>
    <w:rsid w:val="005E38DC"/>
    <w:rsid w:val="005E3C4C"/>
    <w:rsid w:val="005E4087"/>
    <w:rsid w:val="005E40C4"/>
    <w:rsid w:val="005E41EE"/>
    <w:rsid w:val="005E4443"/>
    <w:rsid w:val="005E45F6"/>
    <w:rsid w:val="005E4942"/>
    <w:rsid w:val="005E4979"/>
    <w:rsid w:val="005E4B27"/>
    <w:rsid w:val="005E4B96"/>
    <w:rsid w:val="005E4C2D"/>
    <w:rsid w:val="005E4C4C"/>
    <w:rsid w:val="005E4D26"/>
    <w:rsid w:val="005E4F3F"/>
    <w:rsid w:val="005E4F95"/>
    <w:rsid w:val="005E5251"/>
    <w:rsid w:val="005E58F8"/>
    <w:rsid w:val="005E5A56"/>
    <w:rsid w:val="005E5D4A"/>
    <w:rsid w:val="005E611D"/>
    <w:rsid w:val="005E634E"/>
    <w:rsid w:val="005E636C"/>
    <w:rsid w:val="005E63DD"/>
    <w:rsid w:val="005E68A5"/>
    <w:rsid w:val="005E6BA5"/>
    <w:rsid w:val="005E6C43"/>
    <w:rsid w:val="005E7106"/>
    <w:rsid w:val="005E73A2"/>
    <w:rsid w:val="005E73A9"/>
    <w:rsid w:val="005E7712"/>
    <w:rsid w:val="005E77EE"/>
    <w:rsid w:val="005E7840"/>
    <w:rsid w:val="005E7950"/>
    <w:rsid w:val="005E79FE"/>
    <w:rsid w:val="005E7A9F"/>
    <w:rsid w:val="005E7BB3"/>
    <w:rsid w:val="005E7D7E"/>
    <w:rsid w:val="005E7E36"/>
    <w:rsid w:val="005E7EA3"/>
    <w:rsid w:val="005F0065"/>
    <w:rsid w:val="005F0078"/>
    <w:rsid w:val="005F0342"/>
    <w:rsid w:val="005F0563"/>
    <w:rsid w:val="005F0727"/>
    <w:rsid w:val="005F0A5F"/>
    <w:rsid w:val="005F0D90"/>
    <w:rsid w:val="005F0FAD"/>
    <w:rsid w:val="005F11DF"/>
    <w:rsid w:val="005F12FD"/>
    <w:rsid w:val="005F1368"/>
    <w:rsid w:val="005F14C2"/>
    <w:rsid w:val="005F1530"/>
    <w:rsid w:val="005F17B3"/>
    <w:rsid w:val="005F194F"/>
    <w:rsid w:val="005F1A33"/>
    <w:rsid w:val="005F1B39"/>
    <w:rsid w:val="005F1CE4"/>
    <w:rsid w:val="005F1E4A"/>
    <w:rsid w:val="005F1F49"/>
    <w:rsid w:val="005F22BD"/>
    <w:rsid w:val="005F254D"/>
    <w:rsid w:val="005F257F"/>
    <w:rsid w:val="005F26B0"/>
    <w:rsid w:val="005F26C0"/>
    <w:rsid w:val="005F2760"/>
    <w:rsid w:val="005F2922"/>
    <w:rsid w:val="005F299B"/>
    <w:rsid w:val="005F29C7"/>
    <w:rsid w:val="005F2CD2"/>
    <w:rsid w:val="005F31F3"/>
    <w:rsid w:val="005F334F"/>
    <w:rsid w:val="005F34A7"/>
    <w:rsid w:val="005F34D2"/>
    <w:rsid w:val="005F34EA"/>
    <w:rsid w:val="005F36CC"/>
    <w:rsid w:val="005F387F"/>
    <w:rsid w:val="005F3932"/>
    <w:rsid w:val="005F3BAE"/>
    <w:rsid w:val="005F3BC4"/>
    <w:rsid w:val="005F3D96"/>
    <w:rsid w:val="005F3F65"/>
    <w:rsid w:val="005F3F6E"/>
    <w:rsid w:val="005F4213"/>
    <w:rsid w:val="005F42F8"/>
    <w:rsid w:val="005F430F"/>
    <w:rsid w:val="005F4325"/>
    <w:rsid w:val="005F43DA"/>
    <w:rsid w:val="005F46A8"/>
    <w:rsid w:val="005F4C42"/>
    <w:rsid w:val="005F4D9D"/>
    <w:rsid w:val="005F4EA2"/>
    <w:rsid w:val="005F4FE0"/>
    <w:rsid w:val="005F5173"/>
    <w:rsid w:val="005F51AF"/>
    <w:rsid w:val="005F55F1"/>
    <w:rsid w:val="005F5625"/>
    <w:rsid w:val="005F5658"/>
    <w:rsid w:val="005F57A2"/>
    <w:rsid w:val="005F59B6"/>
    <w:rsid w:val="005F59D5"/>
    <w:rsid w:val="005F5B02"/>
    <w:rsid w:val="005F5BC4"/>
    <w:rsid w:val="005F5F88"/>
    <w:rsid w:val="005F5FB2"/>
    <w:rsid w:val="005F64F5"/>
    <w:rsid w:val="005F65CD"/>
    <w:rsid w:val="005F6641"/>
    <w:rsid w:val="005F6672"/>
    <w:rsid w:val="005F6C0F"/>
    <w:rsid w:val="005F6C35"/>
    <w:rsid w:val="005F6C64"/>
    <w:rsid w:val="005F6D42"/>
    <w:rsid w:val="005F6DB0"/>
    <w:rsid w:val="005F7012"/>
    <w:rsid w:val="005F719E"/>
    <w:rsid w:val="005F728D"/>
    <w:rsid w:val="005F7323"/>
    <w:rsid w:val="005F7665"/>
    <w:rsid w:val="005F79A4"/>
    <w:rsid w:val="005F79A8"/>
    <w:rsid w:val="005F7B01"/>
    <w:rsid w:val="005F7CD7"/>
    <w:rsid w:val="005F7E9D"/>
    <w:rsid w:val="005F7F14"/>
    <w:rsid w:val="005F7F3D"/>
    <w:rsid w:val="0060033B"/>
    <w:rsid w:val="006005C7"/>
    <w:rsid w:val="006006F8"/>
    <w:rsid w:val="00600723"/>
    <w:rsid w:val="0060082C"/>
    <w:rsid w:val="0060082E"/>
    <w:rsid w:val="006009EC"/>
    <w:rsid w:val="00600AD0"/>
    <w:rsid w:val="00600AEE"/>
    <w:rsid w:val="00600B0B"/>
    <w:rsid w:val="00600C53"/>
    <w:rsid w:val="00601357"/>
    <w:rsid w:val="00601509"/>
    <w:rsid w:val="0060152D"/>
    <w:rsid w:val="006015CD"/>
    <w:rsid w:val="00601723"/>
    <w:rsid w:val="0060188D"/>
    <w:rsid w:val="00601CD8"/>
    <w:rsid w:val="00601D6F"/>
    <w:rsid w:val="00602261"/>
    <w:rsid w:val="0060232D"/>
    <w:rsid w:val="00602514"/>
    <w:rsid w:val="006026C2"/>
    <w:rsid w:val="0060287F"/>
    <w:rsid w:val="00602951"/>
    <w:rsid w:val="00602B9D"/>
    <w:rsid w:val="00602E5E"/>
    <w:rsid w:val="00603003"/>
    <w:rsid w:val="006036CF"/>
    <w:rsid w:val="006036FE"/>
    <w:rsid w:val="00603707"/>
    <w:rsid w:val="00603757"/>
    <w:rsid w:val="006037E4"/>
    <w:rsid w:val="00603851"/>
    <w:rsid w:val="00603AB6"/>
    <w:rsid w:val="00603E25"/>
    <w:rsid w:val="00603E75"/>
    <w:rsid w:val="00604039"/>
    <w:rsid w:val="006043FE"/>
    <w:rsid w:val="006048F2"/>
    <w:rsid w:val="006049F0"/>
    <w:rsid w:val="00604C17"/>
    <w:rsid w:val="00604C3D"/>
    <w:rsid w:val="00604CCF"/>
    <w:rsid w:val="00604E53"/>
    <w:rsid w:val="00605134"/>
    <w:rsid w:val="00605183"/>
    <w:rsid w:val="006053C0"/>
    <w:rsid w:val="006054CC"/>
    <w:rsid w:val="00605619"/>
    <w:rsid w:val="00605674"/>
    <w:rsid w:val="006057FF"/>
    <w:rsid w:val="00605DC5"/>
    <w:rsid w:val="00605F14"/>
    <w:rsid w:val="00605FC7"/>
    <w:rsid w:val="0060653F"/>
    <w:rsid w:val="0060677F"/>
    <w:rsid w:val="00606B09"/>
    <w:rsid w:val="0060723F"/>
    <w:rsid w:val="006072A7"/>
    <w:rsid w:val="00607478"/>
    <w:rsid w:val="006076C4"/>
    <w:rsid w:val="00607789"/>
    <w:rsid w:val="00607B55"/>
    <w:rsid w:val="00607C3F"/>
    <w:rsid w:val="00607C47"/>
    <w:rsid w:val="00607F15"/>
    <w:rsid w:val="0061002F"/>
    <w:rsid w:val="006100C9"/>
    <w:rsid w:val="00610366"/>
    <w:rsid w:val="0061043D"/>
    <w:rsid w:val="006105F5"/>
    <w:rsid w:val="006106C2"/>
    <w:rsid w:val="00610A0F"/>
    <w:rsid w:val="00610A51"/>
    <w:rsid w:val="00610A9A"/>
    <w:rsid w:val="00610C70"/>
    <w:rsid w:val="00610D1E"/>
    <w:rsid w:val="00610E9E"/>
    <w:rsid w:val="00610F3D"/>
    <w:rsid w:val="00611202"/>
    <w:rsid w:val="006112D7"/>
    <w:rsid w:val="006112DE"/>
    <w:rsid w:val="006113D3"/>
    <w:rsid w:val="00611432"/>
    <w:rsid w:val="00611640"/>
    <w:rsid w:val="006116D6"/>
    <w:rsid w:val="006119D4"/>
    <w:rsid w:val="006119F1"/>
    <w:rsid w:val="00611CDF"/>
    <w:rsid w:val="00611D2B"/>
    <w:rsid w:val="00611E02"/>
    <w:rsid w:val="00611E22"/>
    <w:rsid w:val="00611E8E"/>
    <w:rsid w:val="00611ED9"/>
    <w:rsid w:val="0061213C"/>
    <w:rsid w:val="0061222F"/>
    <w:rsid w:val="006122DE"/>
    <w:rsid w:val="006123B5"/>
    <w:rsid w:val="00612648"/>
    <w:rsid w:val="006126AE"/>
    <w:rsid w:val="0061297B"/>
    <w:rsid w:val="00612A08"/>
    <w:rsid w:val="00612A99"/>
    <w:rsid w:val="00612B3B"/>
    <w:rsid w:val="00612BB2"/>
    <w:rsid w:val="00612DAE"/>
    <w:rsid w:val="00612E48"/>
    <w:rsid w:val="00613065"/>
    <w:rsid w:val="0061321D"/>
    <w:rsid w:val="00613280"/>
    <w:rsid w:val="0061333F"/>
    <w:rsid w:val="0061346D"/>
    <w:rsid w:val="0061349A"/>
    <w:rsid w:val="00613DE7"/>
    <w:rsid w:val="00613F5D"/>
    <w:rsid w:val="0061405F"/>
    <w:rsid w:val="006140DB"/>
    <w:rsid w:val="006144E7"/>
    <w:rsid w:val="0061462C"/>
    <w:rsid w:val="0061466D"/>
    <w:rsid w:val="00614690"/>
    <w:rsid w:val="006146F2"/>
    <w:rsid w:val="0061484A"/>
    <w:rsid w:val="00614A2F"/>
    <w:rsid w:val="00614B10"/>
    <w:rsid w:val="00614B37"/>
    <w:rsid w:val="00614EBB"/>
    <w:rsid w:val="00614F10"/>
    <w:rsid w:val="00614FBC"/>
    <w:rsid w:val="006150F4"/>
    <w:rsid w:val="006152EA"/>
    <w:rsid w:val="00615411"/>
    <w:rsid w:val="006155F3"/>
    <w:rsid w:val="00615709"/>
    <w:rsid w:val="006158E4"/>
    <w:rsid w:val="00615998"/>
    <w:rsid w:val="00615A58"/>
    <w:rsid w:val="00615C76"/>
    <w:rsid w:val="00615E55"/>
    <w:rsid w:val="00615F9F"/>
    <w:rsid w:val="0061681B"/>
    <w:rsid w:val="00616C8A"/>
    <w:rsid w:val="00616DB6"/>
    <w:rsid w:val="00616E3F"/>
    <w:rsid w:val="00616E4E"/>
    <w:rsid w:val="00617455"/>
    <w:rsid w:val="00617822"/>
    <w:rsid w:val="00617A3A"/>
    <w:rsid w:val="00617B70"/>
    <w:rsid w:val="00617C75"/>
    <w:rsid w:val="00617EAE"/>
    <w:rsid w:val="00617FDF"/>
    <w:rsid w:val="006200CE"/>
    <w:rsid w:val="0062016D"/>
    <w:rsid w:val="006202ED"/>
    <w:rsid w:val="00620398"/>
    <w:rsid w:val="006203BB"/>
    <w:rsid w:val="00620795"/>
    <w:rsid w:val="00620959"/>
    <w:rsid w:val="00620990"/>
    <w:rsid w:val="00620BCF"/>
    <w:rsid w:val="00620DD3"/>
    <w:rsid w:val="00620F0C"/>
    <w:rsid w:val="00620FC0"/>
    <w:rsid w:val="0062111A"/>
    <w:rsid w:val="0062153F"/>
    <w:rsid w:val="00621630"/>
    <w:rsid w:val="006217AC"/>
    <w:rsid w:val="006217CB"/>
    <w:rsid w:val="0062180E"/>
    <w:rsid w:val="00622006"/>
    <w:rsid w:val="00622024"/>
    <w:rsid w:val="006220A8"/>
    <w:rsid w:val="00622656"/>
    <w:rsid w:val="00622827"/>
    <w:rsid w:val="006228BB"/>
    <w:rsid w:val="006228DE"/>
    <w:rsid w:val="006229CC"/>
    <w:rsid w:val="00622AC7"/>
    <w:rsid w:val="00622B11"/>
    <w:rsid w:val="00622BCC"/>
    <w:rsid w:val="00622F8F"/>
    <w:rsid w:val="006230EA"/>
    <w:rsid w:val="006232B5"/>
    <w:rsid w:val="006236FF"/>
    <w:rsid w:val="006238F5"/>
    <w:rsid w:val="006239AD"/>
    <w:rsid w:val="006239E2"/>
    <w:rsid w:val="00623A29"/>
    <w:rsid w:val="006242C1"/>
    <w:rsid w:val="0062434D"/>
    <w:rsid w:val="006245A5"/>
    <w:rsid w:val="00624676"/>
    <w:rsid w:val="006247AE"/>
    <w:rsid w:val="00624A4A"/>
    <w:rsid w:val="00624AE5"/>
    <w:rsid w:val="00624AF8"/>
    <w:rsid w:val="00624C85"/>
    <w:rsid w:val="00624D85"/>
    <w:rsid w:val="00624E45"/>
    <w:rsid w:val="00625192"/>
    <w:rsid w:val="00625395"/>
    <w:rsid w:val="006253F1"/>
    <w:rsid w:val="006254A0"/>
    <w:rsid w:val="006256BF"/>
    <w:rsid w:val="006258A0"/>
    <w:rsid w:val="006259B3"/>
    <w:rsid w:val="00625BD8"/>
    <w:rsid w:val="00625E28"/>
    <w:rsid w:val="00625E6C"/>
    <w:rsid w:val="006260B9"/>
    <w:rsid w:val="00626246"/>
    <w:rsid w:val="00626606"/>
    <w:rsid w:val="006266BD"/>
    <w:rsid w:val="00626715"/>
    <w:rsid w:val="006267B2"/>
    <w:rsid w:val="00626917"/>
    <w:rsid w:val="0062695B"/>
    <w:rsid w:val="00626AE4"/>
    <w:rsid w:val="00626BB1"/>
    <w:rsid w:val="00626D3B"/>
    <w:rsid w:val="00626D77"/>
    <w:rsid w:val="00626E58"/>
    <w:rsid w:val="00627020"/>
    <w:rsid w:val="006273E3"/>
    <w:rsid w:val="00627814"/>
    <w:rsid w:val="00627918"/>
    <w:rsid w:val="006279A4"/>
    <w:rsid w:val="006279C0"/>
    <w:rsid w:val="00627C26"/>
    <w:rsid w:val="00627C2B"/>
    <w:rsid w:val="00627CB1"/>
    <w:rsid w:val="00627CB8"/>
    <w:rsid w:val="00627E54"/>
    <w:rsid w:val="006302C6"/>
    <w:rsid w:val="0063049F"/>
    <w:rsid w:val="00630593"/>
    <w:rsid w:val="00630675"/>
    <w:rsid w:val="006307E4"/>
    <w:rsid w:val="00630D6A"/>
    <w:rsid w:val="00630DAC"/>
    <w:rsid w:val="00630E86"/>
    <w:rsid w:val="00630E8A"/>
    <w:rsid w:val="006311B3"/>
    <w:rsid w:val="006314DB"/>
    <w:rsid w:val="0063179D"/>
    <w:rsid w:val="006317A8"/>
    <w:rsid w:val="00631941"/>
    <w:rsid w:val="00631AAB"/>
    <w:rsid w:val="00631C14"/>
    <w:rsid w:val="00631E47"/>
    <w:rsid w:val="00632078"/>
    <w:rsid w:val="006321A8"/>
    <w:rsid w:val="006322D3"/>
    <w:rsid w:val="0063239F"/>
    <w:rsid w:val="006328BA"/>
    <w:rsid w:val="0063293D"/>
    <w:rsid w:val="006329C4"/>
    <w:rsid w:val="00632ABC"/>
    <w:rsid w:val="00632AF3"/>
    <w:rsid w:val="00632D3E"/>
    <w:rsid w:val="00632FEF"/>
    <w:rsid w:val="00633295"/>
    <w:rsid w:val="00633374"/>
    <w:rsid w:val="006333B8"/>
    <w:rsid w:val="00633712"/>
    <w:rsid w:val="0063394F"/>
    <w:rsid w:val="00633E64"/>
    <w:rsid w:val="00633FC4"/>
    <w:rsid w:val="0063401A"/>
    <w:rsid w:val="006346E0"/>
    <w:rsid w:val="00634719"/>
    <w:rsid w:val="006347E8"/>
    <w:rsid w:val="00634851"/>
    <w:rsid w:val="00634A44"/>
    <w:rsid w:val="00634A61"/>
    <w:rsid w:val="00634C75"/>
    <w:rsid w:val="00634CB9"/>
    <w:rsid w:val="0063526B"/>
    <w:rsid w:val="006353F8"/>
    <w:rsid w:val="0063545B"/>
    <w:rsid w:val="00635545"/>
    <w:rsid w:val="0063581A"/>
    <w:rsid w:val="0063594E"/>
    <w:rsid w:val="00635A13"/>
    <w:rsid w:val="00635AB7"/>
    <w:rsid w:val="00635ADE"/>
    <w:rsid w:val="00635B50"/>
    <w:rsid w:val="00635D9E"/>
    <w:rsid w:val="00635D9F"/>
    <w:rsid w:val="00635DD8"/>
    <w:rsid w:val="00635EF5"/>
    <w:rsid w:val="00635FA3"/>
    <w:rsid w:val="0063605C"/>
    <w:rsid w:val="0063606F"/>
    <w:rsid w:val="006362BF"/>
    <w:rsid w:val="006362FF"/>
    <w:rsid w:val="0063637A"/>
    <w:rsid w:val="006364D9"/>
    <w:rsid w:val="0063654F"/>
    <w:rsid w:val="00636607"/>
    <w:rsid w:val="0063661E"/>
    <w:rsid w:val="00636704"/>
    <w:rsid w:val="00636839"/>
    <w:rsid w:val="006369D4"/>
    <w:rsid w:val="00636A0E"/>
    <w:rsid w:val="00636ACA"/>
    <w:rsid w:val="00636B24"/>
    <w:rsid w:val="006371F9"/>
    <w:rsid w:val="006372F2"/>
    <w:rsid w:val="006373FF"/>
    <w:rsid w:val="00637426"/>
    <w:rsid w:val="006374D6"/>
    <w:rsid w:val="006377A3"/>
    <w:rsid w:val="006378B4"/>
    <w:rsid w:val="00637A77"/>
    <w:rsid w:val="00637B5E"/>
    <w:rsid w:val="00637BBA"/>
    <w:rsid w:val="00637D3B"/>
    <w:rsid w:val="00637F14"/>
    <w:rsid w:val="00640044"/>
    <w:rsid w:val="006400B6"/>
    <w:rsid w:val="00640132"/>
    <w:rsid w:val="00640178"/>
    <w:rsid w:val="00640254"/>
    <w:rsid w:val="006402EC"/>
    <w:rsid w:val="00640534"/>
    <w:rsid w:val="0064062F"/>
    <w:rsid w:val="006407C0"/>
    <w:rsid w:val="006408A0"/>
    <w:rsid w:val="00640BF9"/>
    <w:rsid w:val="00640C42"/>
    <w:rsid w:val="00640CF9"/>
    <w:rsid w:val="00640D0D"/>
    <w:rsid w:val="00640D5A"/>
    <w:rsid w:val="00640DC4"/>
    <w:rsid w:val="00640F42"/>
    <w:rsid w:val="00640F80"/>
    <w:rsid w:val="00641026"/>
    <w:rsid w:val="0064123C"/>
    <w:rsid w:val="00641306"/>
    <w:rsid w:val="00641564"/>
    <w:rsid w:val="0064174B"/>
    <w:rsid w:val="006419A0"/>
    <w:rsid w:val="00641A00"/>
    <w:rsid w:val="00641A2C"/>
    <w:rsid w:val="00641A6D"/>
    <w:rsid w:val="00641A82"/>
    <w:rsid w:val="00641A94"/>
    <w:rsid w:val="00641C97"/>
    <w:rsid w:val="00641EFA"/>
    <w:rsid w:val="00642082"/>
    <w:rsid w:val="0064220B"/>
    <w:rsid w:val="0064232F"/>
    <w:rsid w:val="006425C5"/>
    <w:rsid w:val="006425F2"/>
    <w:rsid w:val="00642608"/>
    <w:rsid w:val="006426D7"/>
    <w:rsid w:val="006426E6"/>
    <w:rsid w:val="00642825"/>
    <w:rsid w:val="0064295F"/>
    <w:rsid w:val="006429A9"/>
    <w:rsid w:val="006429E9"/>
    <w:rsid w:val="00642B59"/>
    <w:rsid w:val="00642ECB"/>
    <w:rsid w:val="00643313"/>
    <w:rsid w:val="006437BB"/>
    <w:rsid w:val="0064387F"/>
    <w:rsid w:val="00643DFD"/>
    <w:rsid w:val="00643E68"/>
    <w:rsid w:val="00644249"/>
    <w:rsid w:val="0064431D"/>
    <w:rsid w:val="0064434B"/>
    <w:rsid w:val="006443BF"/>
    <w:rsid w:val="006445DF"/>
    <w:rsid w:val="00644966"/>
    <w:rsid w:val="00644AEB"/>
    <w:rsid w:val="00644BA9"/>
    <w:rsid w:val="00644E7A"/>
    <w:rsid w:val="00644E7F"/>
    <w:rsid w:val="00644EAD"/>
    <w:rsid w:val="00644F7B"/>
    <w:rsid w:val="0064511D"/>
    <w:rsid w:val="006451B0"/>
    <w:rsid w:val="00645471"/>
    <w:rsid w:val="00645520"/>
    <w:rsid w:val="00645563"/>
    <w:rsid w:val="0064576C"/>
    <w:rsid w:val="00645846"/>
    <w:rsid w:val="00645C4D"/>
    <w:rsid w:val="00645DD1"/>
    <w:rsid w:val="00645DDC"/>
    <w:rsid w:val="00645EF8"/>
    <w:rsid w:val="00645FFA"/>
    <w:rsid w:val="006464C6"/>
    <w:rsid w:val="0064670F"/>
    <w:rsid w:val="00646977"/>
    <w:rsid w:val="00646B16"/>
    <w:rsid w:val="00646C90"/>
    <w:rsid w:val="00646CA4"/>
    <w:rsid w:val="00646DA8"/>
    <w:rsid w:val="00646E67"/>
    <w:rsid w:val="00646E77"/>
    <w:rsid w:val="00647200"/>
    <w:rsid w:val="006474B3"/>
    <w:rsid w:val="006474C8"/>
    <w:rsid w:val="006474E5"/>
    <w:rsid w:val="006475DB"/>
    <w:rsid w:val="00647729"/>
    <w:rsid w:val="006478F9"/>
    <w:rsid w:val="00647D6A"/>
    <w:rsid w:val="00647DE7"/>
    <w:rsid w:val="00647F5D"/>
    <w:rsid w:val="006500BA"/>
    <w:rsid w:val="00650139"/>
    <w:rsid w:val="00650486"/>
    <w:rsid w:val="00650668"/>
    <w:rsid w:val="00650A40"/>
    <w:rsid w:val="00650AA6"/>
    <w:rsid w:val="00650BB2"/>
    <w:rsid w:val="00650FE5"/>
    <w:rsid w:val="00651013"/>
    <w:rsid w:val="00651092"/>
    <w:rsid w:val="006510A5"/>
    <w:rsid w:val="0065114F"/>
    <w:rsid w:val="0065116B"/>
    <w:rsid w:val="00651253"/>
    <w:rsid w:val="006513B7"/>
    <w:rsid w:val="0065154B"/>
    <w:rsid w:val="006518A5"/>
    <w:rsid w:val="006518DD"/>
    <w:rsid w:val="00651951"/>
    <w:rsid w:val="00651BB2"/>
    <w:rsid w:val="00651DD0"/>
    <w:rsid w:val="00651F59"/>
    <w:rsid w:val="00652131"/>
    <w:rsid w:val="00652216"/>
    <w:rsid w:val="006523F8"/>
    <w:rsid w:val="0065276C"/>
    <w:rsid w:val="006529E5"/>
    <w:rsid w:val="00652C31"/>
    <w:rsid w:val="00652E8C"/>
    <w:rsid w:val="006531DA"/>
    <w:rsid w:val="0065323B"/>
    <w:rsid w:val="0065329C"/>
    <w:rsid w:val="006532E6"/>
    <w:rsid w:val="00653452"/>
    <w:rsid w:val="006534F3"/>
    <w:rsid w:val="00653668"/>
    <w:rsid w:val="006537BE"/>
    <w:rsid w:val="0065384C"/>
    <w:rsid w:val="0065390F"/>
    <w:rsid w:val="006539D0"/>
    <w:rsid w:val="00653A75"/>
    <w:rsid w:val="00653C58"/>
    <w:rsid w:val="00653D8A"/>
    <w:rsid w:val="00653DC8"/>
    <w:rsid w:val="00653DD2"/>
    <w:rsid w:val="00653E5B"/>
    <w:rsid w:val="00653F7A"/>
    <w:rsid w:val="00654011"/>
    <w:rsid w:val="006541DB"/>
    <w:rsid w:val="006544B7"/>
    <w:rsid w:val="0065451F"/>
    <w:rsid w:val="006545CB"/>
    <w:rsid w:val="006548AB"/>
    <w:rsid w:val="006548DE"/>
    <w:rsid w:val="006549B8"/>
    <w:rsid w:val="00654A1A"/>
    <w:rsid w:val="00654E9E"/>
    <w:rsid w:val="00654EA1"/>
    <w:rsid w:val="006552C7"/>
    <w:rsid w:val="006555F9"/>
    <w:rsid w:val="006557BF"/>
    <w:rsid w:val="006558AC"/>
    <w:rsid w:val="0065591D"/>
    <w:rsid w:val="00655C06"/>
    <w:rsid w:val="00655D64"/>
    <w:rsid w:val="00655D9F"/>
    <w:rsid w:val="00655E07"/>
    <w:rsid w:val="00655F9B"/>
    <w:rsid w:val="00656036"/>
    <w:rsid w:val="0065618C"/>
    <w:rsid w:val="00656518"/>
    <w:rsid w:val="0065653E"/>
    <w:rsid w:val="00656601"/>
    <w:rsid w:val="006566E4"/>
    <w:rsid w:val="00656D43"/>
    <w:rsid w:val="00656E37"/>
    <w:rsid w:val="00656EA9"/>
    <w:rsid w:val="00657023"/>
    <w:rsid w:val="0065702F"/>
    <w:rsid w:val="0065705A"/>
    <w:rsid w:val="006572D9"/>
    <w:rsid w:val="00657730"/>
    <w:rsid w:val="006579FA"/>
    <w:rsid w:val="00657BA8"/>
    <w:rsid w:val="00657D0C"/>
    <w:rsid w:val="0066004F"/>
    <w:rsid w:val="00660073"/>
    <w:rsid w:val="006600CD"/>
    <w:rsid w:val="0066031C"/>
    <w:rsid w:val="00660529"/>
    <w:rsid w:val="00660557"/>
    <w:rsid w:val="00660562"/>
    <w:rsid w:val="006606DD"/>
    <w:rsid w:val="006607BD"/>
    <w:rsid w:val="00660AF3"/>
    <w:rsid w:val="00660B9E"/>
    <w:rsid w:val="00660C36"/>
    <w:rsid w:val="00660D02"/>
    <w:rsid w:val="00660D7D"/>
    <w:rsid w:val="00660E09"/>
    <w:rsid w:val="00660ED7"/>
    <w:rsid w:val="00660F11"/>
    <w:rsid w:val="0066121A"/>
    <w:rsid w:val="0066131C"/>
    <w:rsid w:val="006613DA"/>
    <w:rsid w:val="00661523"/>
    <w:rsid w:val="006617DF"/>
    <w:rsid w:val="006618B6"/>
    <w:rsid w:val="00661A50"/>
    <w:rsid w:val="00661AAA"/>
    <w:rsid w:val="00661AE5"/>
    <w:rsid w:val="00661C12"/>
    <w:rsid w:val="00661C7C"/>
    <w:rsid w:val="00661FC4"/>
    <w:rsid w:val="00662048"/>
    <w:rsid w:val="0066205A"/>
    <w:rsid w:val="0066230E"/>
    <w:rsid w:val="00662540"/>
    <w:rsid w:val="0066285D"/>
    <w:rsid w:val="00662A86"/>
    <w:rsid w:val="00662BE7"/>
    <w:rsid w:val="00662BFB"/>
    <w:rsid w:val="00662C7E"/>
    <w:rsid w:val="00662D91"/>
    <w:rsid w:val="006630C7"/>
    <w:rsid w:val="006632D6"/>
    <w:rsid w:val="006635E2"/>
    <w:rsid w:val="0066365B"/>
    <w:rsid w:val="006636A8"/>
    <w:rsid w:val="006636BD"/>
    <w:rsid w:val="006636E9"/>
    <w:rsid w:val="0066372A"/>
    <w:rsid w:val="0066374B"/>
    <w:rsid w:val="00663847"/>
    <w:rsid w:val="006639FC"/>
    <w:rsid w:val="00663AF3"/>
    <w:rsid w:val="00663CF6"/>
    <w:rsid w:val="006642C3"/>
    <w:rsid w:val="006646FE"/>
    <w:rsid w:val="00664900"/>
    <w:rsid w:val="00664B10"/>
    <w:rsid w:val="00664B78"/>
    <w:rsid w:val="00664E99"/>
    <w:rsid w:val="00664ECA"/>
    <w:rsid w:val="0066500F"/>
    <w:rsid w:val="00665153"/>
    <w:rsid w:val="006651BE"/>
    <w:rsid w:val="00665304"/>
    <w:rsid w:val="006654CF"/>
    <w:rsid w:val="0066568C"/>
    <w:rsid w:val="00665882"/>
    <w:rsid w:val="0066590B"/>
    <w:rsid w:val="00665B5D"/>
    <w:rsid w:val="00665E2F"/>
    <w:rsid w:val="00665E36"/>
    <w:rsid w:val="00665E73"/>
    <w:rsid w:val="0066636A"/>
    <w:rsid w:val="006666C2"/>
    <w:rsid w:val="00666CDE"/>
    <w:rsid w:val="00666E4B"/>
    <w:rsid w:val="00666EE5"/>
    <w:rsid w:val="00666F64"/>
    <w:rsid w:val="006671AB"/>
    <w:rsid w:val="0066745F"/>
    <w:rsid w:val="0066756D"/>
    <w:rsid w:val="00667582"/>
    <w:rsid w:val="006675ED"/>
    <w:rsid w:val="006676EF"/>
    <w:rsid w:val="00667903"/>
    <w:rsid w:val="00667BEB"/>
    <w:rsid w:val="00667BFF"/>
    <w:rsid w:val="00667C7A"/>
    <w:rsid w:val="00667ECD"/>
    <w:rsid w:val="006702FE"/>
    <w:rsid w:val="0067034F"/>
    <w:rsid w:val="006705A0"/>
    <w:rsid w:val="00670B25"/>
    <w:rsid w:val="00670C96"/>
    <w:rsid w:val="00670DEC"/>
    <w:rsid w:val="00670EC9"/>
    <w:rsid w:val="00670FC5"/>
    <w:rsid w:val="006710BF"/>
    <w:rsid w:val="0067121E"/>
    <w:rsid w:val="00671224"/>
    <w:rsid w:val="00671381"/>
    <w:rsid w:val="00671514"/>
    <w:rsid w:val="00671621"/>
    <w:rsid w:val="00671A32"/>
    <w:rsid w:val="00671A47"/>
    <w:rsid w:val="00671AA8"/>
    <w:rsid w:val="00671D91"/>
    <w:rsid w:val="00671E70"/>
    <w:rsid w:val="00671F15"/>
    <w:rsid w:val="0067211B"/>
    <w:rsid w:val="00672191"/>
    <w:rsid w:val="006721BC"/>
    <w:rsid w:val="0067222F"/>
    <w:rsid w:val="00672261"/>
    <w:rsid w:val="0067287E"/>
    <w:rsid w:val="0067296D"/>
    <w:rsid w:val="00672C32"/>
    <w:rsid w:val="00672E58"/>
    <w:rsid w:val="00673195"/>
    <w:rsid w:val="006734F8"/>
    <w:rsid w:val="00673650"/>
    <w:rsid w:val="006736FB"/>
    <w:rsid w:val="00673759"/>
    <w:rsid w:val="0067387E"/>
    <w:rsid w:val="00673888"/>
    <w:rsid w:val="00673BAD"/>
    <w:rsid w:val="00673D6D"/>
    <w:rsid w:val="00673DAF"/>
    <w:rsid w:val="00673F26"/>
    <w:rsid w:val="00673F6A"/>
    <w:rsid w:val="0067408F"/>
    <w:rsid w:val="00674232"/>
    <w:rsid w:val="0067454A"/>
    <w:rsid w:val="0067462B"/>
    <w:rsid w:val="006746B6"/>
    <w:rsid w:val="00674769"/>
    <w:rsid w:val="006747DD"/>
    <w:rsid w:val="00674838"/>
    <w:rsid w:val="00674888"/>
    <w:rsid w:val="00674F56"/>
    <w:rsid w:val="0067502A"/>
    <w:rsid w:val="006751C5"/>
    <w:rsid w:val="00675254"/>
    <w:rsid w:val="006752DE"/>
    <w:rsid w:val="006753FA"/>
    <w:rsid w:val="00675693"/>
    <w:rsid w:val="00675765"/>
    <w:rsid w:val="006758C1"/>
    <w:rsid w:val="00675906"/>
    <w:rsid w:val="0067590A"/>
    <w:rsid w:val="00675AA8"/>
    <w:rsid w:val="00675ADD"/>
    <w:rsid w:val="00675B49"/>
    <w:rsid w:val="00675BD3"/>
    <w:rsid w:val="00675C4E"/>
    <w:rsid w:val="00675D9E"/>
    <w:rsid w:val="00675EAB"/>
    <w:rsid w:val="0067607E"/>
    <w:rsid w:val="00676115"/>
    <w:rsid w:val="0067615D"/>
    <w:rsid w:val="00676247"/>
    <w:rsid w:val="0067624B"/>
    <w:rsid w:val="00676265"/>
    <w:rsid w:val="0067642E"/>
    <w:rsid w:val="0067646C"/>
    <w:rsid w:val="00676526"/>
    <w:rsid w:val="006768F2"/>
    <w:rsid w:val="00676C93"/>
    <w:rsid w:val="00676F74"/>
    <w:rsid w:val="00677165"/>
    <w:rsid w:val="00677286"/>
    <w:rsid w:val="006773A3"/>
    <w:rsid w:val="006775BD"/>
    <w:rsid w:val="0067765E"/>
    <w:rsid w:val="00677817"/>
    <w:rsid w:val="00677917"/>
    <w:rsid w:val="0067791A"/>
    <w:rsid w:val="00677B78"/>
    <w:rsid w:val="00677D56"/>
    <w:rsid w:val="00677D6B"/>
    <w:rsid w:val="00677D8D"/>
    <w:rsid w:val="00677DA2"/>
    <w:rsid w:val="00677F92"/>
    <w:rsid w:val="00677FCB"/>
    <w:rsid w:val="006805D0"/>
    <w:rsid w:val="006806EF"/>
    <w:rsid w:val="00680918"/>
    <w:rsid w:val="00680B1A"/>
    <w:rsid w:val="00680CED"/>
    <w:rsid w:val="00680F14"/>
    <w:rsid w:val="00680F38"/>
    <w:rsid w:val="00680FEF"/>
    <w:rsid w:val="006811C3"/>
    <w:rsid w:val="006812AF"/>
    <w:rsid w:val="00681400"/>
    <w:rsid w:val="006817B8"/>
    <w:rsid w:val="00681AB9"/>
    <w:rsid w:val="00681D87"/>
    <w:rsid w:val="00681E33"/>
    <w:rsid w:val="00681EE6"/>
    <w:rsid w:val="006821B4"/>
    <w:rsid w:val="0068232E"/>
    <w:rsid w:val="0068255A"/>
    <w:rsid w:val="006826AD"/>
    <w:rsid w:val="006827BF"/>
    <w:rsid w:val="0068286D"/>
    <w:rsid w:val="006828AE"/>
    <w:rsid w:val="006828C4"/>
    <w:rsid w:val="00682956"/>
    <w:rsid w:val="00682AF8"/>
    <w:rsid w:val="00682AFF"/>
    <w:rsid w:val="00682BE6"/>
    <w:rsid w:val="00682FA8"/>
    <w:rsid w:val="006830BE"/>
    <w:rsid w:val="006830F8"/>
    <w:rsid w:val="00683193"/>
    <w:rsid w:val="00683329"/>
    <w:rsid w:val="00683449"/>
    <w:rsid w:val="006836CB"/>
    <w:rsid w:val="00683893"/>
    <w:rsid w:val="00683A4B"/>
    <w:rsid w:val="00683AD3"/>
    <w:rsid w:val="00683B81"/>
    <w:rsid w:val="00683B91"/>
    <w:rsid w:val="00683BF4"/>
    <w:rsid w:val="00683E75"/>
    <w:rsid w:val="006840E4"/>
    <w:rsid w:val="006843BC"/>
    <w:rsid w:val="00684454"/>
    <w:rsid w:val="006845A3"/>
    <w:rsid w:val="00684E51"/>
    <w:rsid w:val="00684F23"/>
    <w:rsid w:val="0068512C"/>
    <w:rsid w:val="00685283"/>
    <w:rsid w:val="00685659"/>
    <w:rsid w:val="0068569C"/>
    <w:rsid w:val="00685A81"/>
    <w:rsid w:val="00685C48"/>
    <w:rsid w:val="00685CBE"/>
    <w:rsid w:val="00685D9A"/>
    <w:rsid w:val="00685F25"/>
    <w:rsid w:val="006863D6"/>
    <w:rsid w:val="00686649"/>
    <w:rsid w:val="00686AC5"/>
    <w:rsid w:val="00686D50"/>
    <w:rsid w:val="00686E5E"/>
    <w:rsid w:val="00687094"/>
    <w:rsid w:val="006871C0"/>
    <w:rsid w:val="0068747F"/>
    <w:rsid w:val="0068755D"/>
    <w:rsid w:val="006877B9"/>
    <w:rsid w:val="0068793D"/>
    <w:rsid w:val="00687A23"/>
    <w:rsid w:val="00687AB7"/>
    <w:rsid w:val="00687B4A"/>
    <w:rsid w:val="00687D00"/>
    <w:rsid w:val="00687D69"/>
    <w:rsid w:val="00687D76"/>
    <w:rsid w:val="00687FC6"/>
    <w:rsid w:val="00690032"/>
    <w:rsid w:val="00690046"/>
    <w:rsid w:val="0069008B"/>
    <w:rsid w:val="006900CA"/>
    <w:rsid w:val="00690136"/>
    <w:rsid w:val="0069044E"/>
    <w:rsid w:val="006905C7"/>
    <w:rsid w:val="00690788"/>
    <w:rsid w:val="006909CE"/>
    <w:rsid w:val="006909CF"/>
    <w:rsid w:val="00690D24"/>
    <w:rsid w:val="00691430"/>
    <w:rsid w:val="006914D2"/>
    <w:rsid w:val="00691572"/>
    <w:rsid w:val="006915EF"/>
    <w:rsid w:val="0069167C"/>
    <w:rsid w:val="0069175B"/>
    <w:rsid w:val="00691760"/>
    <w:rsid w:val="00691856"/>
    <w:rsid w:val="0069185B"/>
    <w:rsid w:val="006918DD"/>
    <w:rsid w:val="00691B69"/>
    <w:rsid w:val="00691D7A"/>
    <w:rsid w:val="00691F57"/>
    <w:rsid w:val="00691F63"/>
    <w:rsid w:val="00691FD1"/>
    <w:rsid w:val="00692011"/>
    <w:rsid w:val="00692119"/>
    <w:rsid w:val="00692305"/>
    <w:rsid w:val="006923B1"/>
    <w:rsid w:val="006924E1"/>
    <w:rsid w:val="006925DC"/>
    <w:rsid w:val="006928FF"/>
    <w:rsid w:val="00692A7F"/>
    <w:rsid w:val="00692AFA"/>
    <w:rsid w:val="00692B62"/>
    <w:rsid w:val="00692B99"/>
    <w:rsid w:val="00693363"/>
    <w:rsid w:val="00693364"/>
    <w:rsid w:val="00693461"/>
    <w:rsid w:val="00693512"/>
    <w:rsid w:val="006935AA"/>
    <w:rsid w:val="00693A7D"/>
    <w:rsid w:val="00693AD7"/>
    <w:rsid w:val="00693B73"/>
    <w:rsid w:val="00693B93"/>
    <w:rsid w:val="00693D90"/>
    <w:rsid w:val="00694184"/>
    <w:rsid w:val="006941DE"/>
    <w:rsid w:val="00694471"/>
    <w:rsid w:val="00694799"/>
    <w:rsid w:val="006947A1"/>
    <w:rsid w:val="00694942"/>
    <w:rsid w:val="00694A77"/>
    <w:rsid w:val="00694CA3"/>
    <w:rsid w:val="00694D88"/>
    <w:rsid w:val="00694E40"/>
    <w:rsid w:val="00694EFF"/>
    <w:rsid w:val="0069528A"/>
    <w:rsid w:val="006953C3"/>
    <w:rsid w:val="006953C6"/>
    <w:rsid w:val="00695683"/>
    <w:rsid w:val="0069578B"/>
    <w:rsid w:val="006958DD"/>
    <w:rsid w:val="00695A12"/>
    <w:rsid w:val="00695B9A"/>
    <w:rsid w:val="00695C41"/>
    <w:rsid w:val="00695DE6"/>
    <w:rsid w:val="00695F07"/>
    <w:rsid w:val="0069621F"/>
    <w:rsid w:val="00696ABD"/>
    <w:rsid w:val="00696B12"/>
    <w:rsid w:val="00696F01"/>
    <w:rsid w:val="00696FF1"/>
    <w:rsid w:val="0069731B"/>
    <w:rsid w:val="006974BE"/>
    <w:rsid w:val="006974D4"/>
    <w:rsid w:val="0069759D"/>
    <w:rsid w:val="006976F4"/>
    <w:rsid w:val="00697821"/>
    <w:rsid w:val="00697A2C"/>
    <w:rsid w:val="00697AB0"/>
    <w:rsid w:val="00697D9D"/>
    <w:rsid w:val="006A0161"/>
    <w:rsid w:val="006A0216"/>
    <w:rsid w:val="006A02FA"/>
    <w:rsid w:val="006A031F"/>
    <w:rsid w:val="006A03D1"/>
    <w:rsid w:val="006A03D6"/>
    <w:rsid w:val="006A0917"/>
    <w:rsid w:val="006A0C09"/>
    <w:rsid w:val="006A0C62"/>
    <w:rsid w:val="006A0C67"/>
    <w:rsid w:val="006A0CF3"/>
    <w:rsid w:val="006A0D35"/>
    <w:rsid w:val="006A0E53"/>
    <w:rsid w:val="006A0FA2"/>
    <w:rsid w:val="006A0FCD"/>
    <w:rsid w:val="006A10AD"/>
    <w:rsid w:val="006A10E9"/>
    <w:rsid w:val="006A1235"/>
    <w:rsid w:val="006A13B2"/>
    <w:rsid w:val="006A13C3"/>
    <w:rsid w:val="006A14FA"/>
    <w:rsid w:val="006A1510"/>
    <w:rsid w:val="006A15B7"/>
    <w:rsid w:val="006A173B"/>
    <w:rsid w:val="006A17F7"/>
    <w:rsid w:val="006A19B6"/>
    <w:rsid w:val="006A1C10"/>
    <w:rsid w:val="006A1FDF"/>
    <w:rsid w:val="006A207C"/>
    <w:rsid w:val="006A22A6"/>
    <w:rsid w:val="006A231A"/>
    <w:rsid w:val="006A234D"/>
    <w:rsid w:val="006A239D"/>
    <w:rsid w:val="006A26CB"/>
    <w:rsid w:val="006A2772"/>
    <w:rsid w:val="006A2830"/>
    <w:rsid w:val="006A283E"/>
    <w:rsid w:val="006A2B27"/>
    <w:rsid w:val="006A2D3A"/>
    <w:rsid w:val="006A3022"/>
    <w:rsid w:val="006A31B2"/>
    <w:rsid w:val="006A3432"/>
    <w:rsid w:val="006A3677"/>
    <w:rsid w:val="006A36DE"/>
    <w:rsid w:val="006A3724"/>
    <w:rsid w:val="006A382B"/>
    <w:rsid w:val="006A3964"/>
    <w:rsid w:val="006A3978"/>
    <w:rsid w:val="006A3A06"/>
    <w:rsid w:val="006A3BCE"/>
    <w:rsid w:val="006A3C75"/>
    <w:rsid w:val="006A3CCB"/>
    <w:rsid w:val="006A3CE1"/>
    <w:rsid w:val="006A3CF5"/>
    <w:rsid w:val="006A3D17"/>
    <w:rsid w:val="006A3F42"/>
    <w:rsid w:val="006A3FC9"/>
    <w:rsid w:val="006A422E"/>
    <w:rsid w:val="006A43BF"/>
    <w:rsid w:val="006A4488"/>
    <w:rsid w:val="006A44B2"/>
    <w:rsid w:val="006A4599"/>
    <w:rsid w:val="006A46CE"/>
    <w:rsid w:val="006A4772"/>
    <w:rsid w:val="006A48A8"/>
    <w:rsid w:val="006A4A15"/>
    <w:rsid w:val="006A4E1B"/>
    <w:rsid w:val="006A4E82"/>
    <w:rsid w:val="006A4EF8"/>
    <w:rsid w:val="006A4EFF"/>
    <w:rsid w:val="006A4F5A"/>
    <w:rsid w:val="006A5291"/>
    <w:rsid w:val="006A53E4"/>
    <w:rsid w:val="006A58AA"/>
    <w:rsid w:val="006A5965"/>
    <w:rsid w:val="006A5994"/>
    <w:rsid w:val="006A5B3E"/>
    <w:rsid w:val="006A5BA1"/>
    <w:rsid w:val="006A5C63"/>
    <w:rsid w:val="006A5E62"/>
    <w:rsid w:val="006A5E80"/>
    <w:rsid w:val="006A611B"/>
    <w:rsid w:val="006A61FA"/>
    <w:rsid w:val="006A6378"/>
    <w:rsid w:val="006A64F8"/>
    <w:rsid w:val="006A668D"/>
    <w:rsid w:val="006A690D"/>
    <w:rsid w:val="006A6931"/>
    <w:rsid w:val="006A6A96"/>
    <w:rsid w:val="006A6AB9"/>
    <w:rsid w:val="006A6BD0"/>
    <w:rsid w:val="006A6C70"/>
    <w:rsid w:val="006A6C72"/>
    <w:rsid w:val="006A6EA7"/>
    <w:rsid w:val="006A6FD5"/>
    <w:rsid w:val="006A729A"/>
    <w:rsid w:val="006A72F3"/>
    <w:rsid w:val="006A732B"/>
    <w:rsid w:val="006A7349"/>
    <w:rsid w:val="006A7626"/>
    <w:rsid w:val="006A765D"/>
    <w:rsid w:val="006A7D80"/>
    <w:rsid w:val="006A7F5C"/>
    <w:rsid w:val="006B02DB"/>
    <w:rsid w:val="006B0383"/>
    <w:rsid w:val="006B03B5"/>
    <w:rsid w:val="006B0519"/>
    <w:rsid w:val="006B0735"/>
    <w:rsid w:val="006B0A33"/>
    <w:rsid w:val="006B0AC3"/>
    <w:rsid w:val="006B0BCD"/>
    <w:rsid w:val="006B0CDC"/>
    <w:rsid w:val="006B0CE5"/>
    <w:rsid w:val="006B0F6C"/>
    <w:rsid w:val="006B12C7"/>
    <w:rsid w:val="006B158F"/>
    <w:rsid w:val="006B17B6"/>
    <w:rsid w:val="006B1885"/>
    <w:rsid w:val="006B18EE"/>
    <w:rsid w:val="006B195B"/>
    <w:rsid w:val="006B19CB"/>
    <w:rsid w:val="006B1AD9"/>
    <w:rsid w:val="006B1BF7"/>
    <w:rsid w:val="006B1CBF"/>
    <w:rsid w:val="006B1CD4"/>
    <w:rsid w:val="006B1D3D"/>
    <w:rsid w:val="006B1D63"/>
    <w:rsid w:val="006B1F5D"/>
    <w:rsid w:val="006B20B8"/>
    <w:rsid w:val="006B2421"/>
    <w:rsid w:val="006B27F1"/>
    <w:rsid w:val="006B27FC"/>
    <w:rsid w:val="006B2877"/>
    <w:rsid w:val="006B28CA"/>
    <w:rsid w:val="006B2947"/>
    <w:rsid w:val="006B2F9A"/>
    <w:rsid w:val="006B2FE0"/>
    <w:rsid w:val="006B3104"/>
    <w:rsid w:val="006B31E4"/>
    <w:rsid w:val="006B32BC"/>
    <w:rsid w:val="006B34E1"/>
    <w:rsid w:val="006B3697"/>
    <w:rsid w:val="006B39E0"/>
    <w:rsid w:val="006B3A47"/>
    <w:rsid w:val="006B3AEF"/>
    <w:rsid w:val="006B3B7C"/>
    <w:rsid w:val="006B3DD3"/>
    <w:rsid w:val="006B3FD8"/>
    <w:rsid w:val="006B40BF"/>
    <w:rsid w:val="006B422B"/>
    <w:rsid w:val="006B4368"/>
    <w:rsid w:val="006B441A"/>
    <w:rsid w:val="006B4427"/>
    <w:rsid w:val="006B44FD"/>
    <w:rsid w:val="006B4513"/>
    <w:rsid w:val="006B45C5"/>
    <w:rsid w:val="006B45EE"/>
    <w:rsid w:val="006B4766"/>
    <w:rsid w:val="006B4778"/>
    <w:rsid w:val="006B4D05"/>
    <w:rsid w:val="006B4D1A"/>
    <w:rsid w:val="006B4E49"/>
    <w:rsid w:val="006B541A"/>
    <w:rsid w:val="006B5457"/>
    <w:rsid w:val="006B5613"/>
    <w:rsid w:val="006B57CD"/>
    <w:rsid w:val="006B580D"/>
    <w:rsid w:val="006B5A8E"/>
    <w:rsid w:val="006B5BBD"/>
    <w:rsid w:val="006B5C14"/>
    <w:rsid w:val="006B5CAB"/>
    <w:rsid w:val="006B5CF0"/>
    <w:rsid w:val="006B5F55"/>
    <w:rsid w:val="006B6008"/>
    <w:rsid w:val="006B62A2"/>
    <w:rsid w:val="006B6436"/>
    <w:rsid w:val="006B65D6"/>
    <w:rsid w:val="006B661A"/>
    <w:rsid w:val="006B6853"/>
    <w:rsid w:val="006B6CDE"/>
    <w:rsid w:val="006B6E2C"/>
    <w:rsid w:val="006B6E48"/>
    <w:rsid w:val="006B6FC3"/>
    <w:rsid w:val="006B73D1"/>
    <w:rsid w:val="006B7469"/>
    <w:rsid w:val="006B74B4"/>
    <w:rsid w:val="006B76DB"/>
    <w:rsid w:val="006B784F"/>
    <w:rsid w:val="006B7A7C"/>
    <w:rsid w:val="006B7E15"/>
    <w:rsid w:val="006B7E6C"/>
    <w:rsid w:val="006B7F04"/>
    <w:rsid w:val="006C002F"/>
    <w:rsid w:val="006C00D1"/>
    <w:rsid w:val="006C0187"/>
    <w:rsid w:val="006C01E0"/>
    <w:rsid w:val="006C02A2"/>
    <w:rsid w:val="006C036B"/>
    <w:rsid w:val="006C04A8"/>
    <w:rsid w:val="006C05C7"/>
    <w:rsid w:val="006C0663"/>
    <w:rsid w:val="006C087A"/>
    <w:rsid w:val="006C08EC"/>
    <w:rsid w:val="006C09C2"/>
    <w:rsid w:val="006C0CA6"/>
    <w:rsid w:val="006C0CC4"/>
    <w:rsid w:val="006C0D57"/>
    <w:rsid w:val="006C0EC0"/>
    <w:rsid w:val="006C0F29"/>
    <w:rsid w:val="006C1308"/>
    <w:rsid w:val="006C1414"/>
    <w:rsid w:val="006C14EF"/>
    <w:rsid w:val="006C16EB"/>
    <w:rsid w:val="006C16FB"/>
    <w:rsid w:val="006C1831"/>
    <w:rsid w:val="006C198A"/>
    <w:rsid w:val="006C1A48"/>
    <w:rsid w:val="006C1C58"/>
    <w:rsid w:val="006C1D74"/>
    <w:rsid w:val="006C1DF8"/>
    <w:rsid w:val="006C1EE6"/>
    <w:rsid w:val="006C1F78"/>
    <w:rsid w:val="006C1FF4"/>
    <w:rsid w:val="006C2167"/>
    <w:rsid w:val="006C2192"/>
    <w:rsid w:val="006C234E"/>
    <w:rsid w:val="006C23F9"/>
    <w:rsid w:val="006C2458"/>
    <w:rsid w:val="006C27BA"/>
    <w:rsid w:val="006C2853"/>
    <w:rsid w:val="006C2939"/>
    <w:rsid w:val="006C2A17"/>
    <w:rsid w:val="006C2B0A"/>
    <w:rsid w:val="006C2B6B"/>
    <w:rsid w:val="006C2E99"/>
    <w:rsid w:val="006C2EBF"/>
    <w:rsid w:val="006C306D"/>
    <w:rsid w:val="006C3071"/>
    <w:rsid w:val="006C309C"/>
    <w:rsid w:val="006C313D"/>
    <w:rsid w:val="006C3380"/>
    <w:rsid w:val="006C3523"/>
    <w:rsid w:val="006C3762"/>
    <w:rsid w:val="006C37F8"/>
    <w:rsid w:val="006C39C9"/>
    <w:rsid w:val="006C3CEF"/>
    <w:rsid w:val="006C4131"/>
    <w:rsid w:val="006C4160"/>
    <w:rsid w:val="006C41A3"/>
    <w:rsid w:val="006C4331"/>
    <w:rsid w:val="006C465F"/>
    <w:rsid w:val="006C4B11"/>
    <w:rsid w:val="006C4C07"/>
    <w:rsid w:val="006C4CD0"/>
    <w:rsid w:val="006C4DE9"/>
    <w:rsid w:val="006C4E39"/>
    <w:rsid w:val="006C4E8E"/>
    <w:rsid w:val="006C4F48"/>
    <w:rsid w:val="006C5284"/>
    <w:rsid w:val="006C5402"/>
    <w:rsid w:val="006C5413"/>
    <w:rsid w:val="006C5449"/>
    <w:rsid w:val="006C5512"/>
    <w:rsid w:val="006C579A"/>
    <w:rsid w:val="006C5867"/>
    <w:rsid w:val="006C589D"/>
    <w:rsid w:val="006C589F"/>
    <w:rsid w:val="006C5BE2"/>
    <w:rsid w:val="006C5BFD"/>
    <w:rsid w:val="006C5C1E"/>
    <w:rsid w:val="006C5D5A"/>
    <w:rsid w:val="006C5D7C"/>
    <w:rsid w:val="006C5DC1"/>
    <w:rsid w:val="006C610C"/>
    <w:rsid w:val="006C622F"/>
    <w:rsid w:val="006C642D"/>
    <w:rsid w:val="006C6433"/>
    <w:rsid w:val="006C672E"/>
    <w:rsid w:val="006C6AA5"/>
    <w:rsid w:val="006C6BBE"/>
    <w:rsid w:val="006C6C1C"/>
    <w:rsid w:val="006C6DBE"/>
    <w:rsid w:val="006C6E2D"/>
    <w:rsid w:val="006C6EC2"/>
    <w:rsid w:val="006C70D6"/>
    <w:rsid w:val="006C70F7"/>
    <w:rsid w:val="006C75B3"/>
    <w:rsid w:val="006C75DC"/>
    <w:rsid w:val="006C76BC"/>
    <w:rsid w:val="006C7828"/>
    <w:rsid w:val="006C7846"/>
    <w:rsid w:val="006C7857"/>
    <w:rsid w:val="006C7B6E"/>
    <w:rsid w:val="006C7C17"/>
    <w:rsid w:val="006C7D0C"/>
    <w:rsid w:val="006C7D76"/>
    <w:rsid w:val="006D0274"/>
    <w:rsid w:val="006D0301"/>
    <w:rsid w:val="006D06B5"/>
    <w:rsid w:val="006D076F"/>
    <w:rsid w:val="006D083A"/>
    <w:rsid w:val="006D094E"/>
    <w:rsid w:val="006D0AAA"/>
    <w:rsid w:val="006D0C0E"/>
    <w:rsid w:val="006D0EAF"/>
    <w:rsid w:val="006D0F6F"/>
    <w:rsid w:val="006D0F79"/>
    <w:rsid w:val="006D102C"/>
    <w:rsid w:val="006D1164"/>
    <w:rsid w:val="006D1365"/>
    <w:rsid w:val="006D13A2"/>
    <w:rsid w:val="006D13A5"/>
    <w:rsid w:val="006D165D"/>
    <w:rsid w:val="006D1BDD"/>
    <w:rsid w:val="006D1D60"/>
    <w:rsid w:val="006D24B7"/>
    <w:rsid w:val="006D2548"/>
    <w:rsid w:val="006D2A1E"/>
    <w:rsid w:val="006D2D5B"/>
    <w:rsid w:val="006D2EBB"/>
    <w:rsid w:val="006D3041"/>
    <w:rsid w:val="006D3059"/>
    <w:rsid w:val="006D30EF"/>
    <w:rsid w:val="006D3270"/>
    <w:rsid w:val="006D3495"/>
    <w:rsid w:val="006D3528"/>
    <w:rsid w:val="006D37F2"/>
    <w:rsid w:val="006D381A"/>
    <w:rsid w:val="006D3AFF"/>
    <w:rsid w:val="006D3DEA"/>
    <w:rsid w:val="006D3E10"/>
    <w:rsid w:val="006D3FFF"/>
    <w:rsid w:val="006D41AA"/>
    <w:rsid w:val="006D4203"/>
    <w:rsid w:val="006D42BF"/>
    <w:rsid w:val="006D45EC"/>
    <w:rsid w:val="006D48C6"/>
    <w:rsid w:val="006D49DE"/>
    <w:rsid w:val="006D4BBD"/>
    <w:rsid w:val="006D4D5E"/>
    <w:rsid w:val="006D4DBB"/>
    <w:rsid w:val="006D4E1F"/>
    <w:rsid w:val="006D5181"/>
    <w:rsid w:val="006D5308"/>
    <w:rsid w:val="006D5412"/>
    <w:rsid w:val="006D54BA"/>
    <w:rsid w:val="006D5523"/>
    <w:rsid w:val="006D5745"/>
    <w:rsid w:val="006D57CF"/>
    <w:rsid w:val="006D5950"/>
    <w:rsid w:val="006D5954"/>
    <w:rsid w:val="006D5CF1"/>
    <w:rsid w:val="006D5D8D"/>
    <w:rsid w:val="006D5FA0"/>
    <w:rsid w:val="006D60FF"/>
    <w:rsid w:val="006D62F9"/>
    <w:rsid w:val="006D63C6"/>
    <w:rsid w:val="006D6420"/>
    <w:rsid w:val="006D6464"/>
    <w:rsid w:val="006D6546"/>
    <w:rsid w:val="006D6745"/>
    <w:rsid w:val="006D6854"/>
    <w:rsid w:val="006D6C13"/>
    <w:rsid w:val="006D71FD"/>
    <w:rsid w:val="006D733C"/>
    <w:rsid w:val="006D74B3"/>
    <w:rsid w:val="006D75D4"/>
    <w:rsid w:val="006D763B"/>
    <w:rsid w:val="006D7706"/>
    <w:rsid w:val="006D7A4E"/>
    <w:rsid w:val="006D7A64"/>
    <w:rsid w:val="006D7B27"/>
    <w:rsid w:val="006D7BB3"/>
    <w:rsid w:val="006D7D53"/>
    <w:rsid w:val="006D7DB4"/>
    <w:rsid w:val="006D7EAB"/>
    <w:rsid w:val="006D7F6A"/>
    <w:rsid w:val="006DB419"/>
    <w:rsid w:val="006E0152"/>
    <w:rsid w:val="006E02AC"/>
    <w:rsid w:val="006E02FE"/>
    <w:rsid w:val="006E0824"/>
    <w:rsid w:val="006E0AE4"/>
    <w:rsid w:val="006E0C82"/>
    <w:rsid w:val="006E0E53"/>
    <w:rsid w:val="006E0E71"/>
    <w:rsid w:val="006E0EE3"/>
    <w:rsid w:val="006E0F62"/>
    <w:rsid w:val="006E113B"/>
    <w:rsid w:val="006E1515"/>
    <w:rsid w:val="006E1550"/>
    <w:rsid w:val="006E1694"/>
    <w:rsid w:val="006E1739"/>
    <w:rsid w:val="006E173B"/>
    <w:rsid w:val="006E1790"/>
    <w:rsid w:val="006E18C7"/>
    <w:rsid w:val="006E19E5"/>
    <w:rsid w:val="006E1A1B"/>
    <w:rsid w:val="006E1D2B"/>
    <w:rsid w:val="006E1EDD"/>
    <w:rsid w:val="006E215A"/>
    <w:rsid w:val="006E2198"/>
    <w:rsid w:val="006E23A3"/>
    <w:rsid w:val="006E24C2"/>
    <w:rsid w:val="006E2546"/>
    <w:rsid w:val="006E260B"/>
    <w:rsid w:val="006E299B"/>
    <w:rsid w:val="006E2A6A"/>
    <w:rsid w:val="006E2F6B"/>
    <w:rsid w:val="006E2FEE"/>
    <w:rsid w:val="006E30E2"/>
    <w:rsid w:val="006E31D7"/>
    <w:rsid w:val="006E3882"/>
    <w:rsid w:val="006E3B35"/>
    <w:rsid w:val="006E3B83"/>
    <w:rsid w:val="006E3BB8"/>
    <w:rsid w:val="006E3CD2"/>
    <w:rsid w:val="006E473A"/>
    <w:rsid w:val="006E4767"/>
    <w:rsid w:val="006E47D3"/>
    <w:rsid w:val="006E498F"/>
    <w:rsid w:val="006E4998"/>
    <w:rsid w:val="006E4AE4"/>
    <w:rsid w:val="006E4DA6"/>
    <w:rsid w:val="006E4DFF"/>
    <w:rsid w:val="006E4E37"/>
    <w:rsid w:val="006E528A"/>
    <w:rsid w:val="006E553A"/>
    <w:rsid w:val="006E55F7"/>
    <w:rsid w:val="006E56C2"/>
    <w:rsid w:val="006E5701"/>
    <w:rsid w:val="006E5776"/>
    <w:rsid w:val="006E57A3"/>
    <w:rsid w:val="006E5899"/>
    <w:rsid w:val="006E5AFB"/>
    <w:rsid w:val="006E5B66"/>
    <w:rsid w:val="006E5C07"/>
    <w:rsid w:val="006E5D52"/>
    <w:rsid w:val="006E5E02"/>
    <w:rsid w:val="006E6475"/>
    <w:rsid w:val="006E6524"/>
    <w:rsid w:val="006E6570"/>
    <w:rsid w:val="006E6894"/>
    <w:rsid w:val="006E691F"/>
    <w:rsid w:val="006E6983"/>
    <w:rsid w:val="006E69C8"/>
    <w:rsid w:val="006E6A30"/>
    <w:rsid w:val="006E6B68"/>
    <w:rsid w:val="006E6E98"/>
    <w:rsid w:val="006E7157"/>
    <w:rsid w:val="006E7168"/>
    <w:rsid w:val="006E722F"/>
    <w:rsid w:val="006E7578"/>
    <w:rsid w:val="006E768F"/>
    <w:rsid w:val="006E7759"/>
    <w:rsid w:val="006E77CB"/>
    <w:rsid w:val="006E7ACB"/>
    <w:rsid w:val="006E7B33"/>
    <w:rsid w:val="006E7D75"/>
    <w:rsid w:val="006E7E25"/>
    <w:rsid w:val="006E7E51"/>
    <w:rsid w:val="006ED9BD"/>
    <w:rsid w:val="006F00DF"/>
    <w:rsid w:val="006F033A"/>
    <w:rsid w:val="006F034D"/>
    <w:rsid w:val="006F0404"/>
    <w:rsid w:val="006F0434"/>
    <w:rsid w:val="006F057F"/>
    <w:rsid w:val="006F062A"/>
    <w:rsid w:val="006F0A60"/>
    <w:rsid w:val="006F0E81"/>
    <w:rsid w:val="006F0F9C"/>
    <w:rsid w:val="006F0FD6"/>
    <w:rsid w:val="006F1265"/>
    <w:rsid w:val="006F1680"/>
    <w:rsid w:val="006F1806"/>
    <w:rsid w:val="006F185D"/>
    <w:rsid w:val="006F1C5B"/>
    <w:rsid w:val="006F1C5E"/>
    <w:rsid w:val="006F1D03"/>
    <w:rsid w:val="006F1D1D"/>
    <w:rsid w:val="006F1D63"/>
    <w:rsid w:val="006F1E9D"/>
    <w:rsid w:val="006F2261"/>
    <w:rsid w:val="006F2362"/>
    <w:rsid w:val="006F251C"/>
    <w:rsid w:val="006F25F4"/>
    <w:rsid w:val="006F2666"/>
    <w:rsid w:val="006F291C"/>
    <w:rsid w:val="006F2A2B"/>
    <w:rsid w:val="006F2A62"/>
    <w:rsid w:val="006F2D6A"/>
    <w:rsid w:val="006F2DBA"/>
    <w:rsid w:val="006F2DCD"/>
    <w:rsid w:val="006F2E14"/>
    <w:rsid w:val="006F2F4B"/>
    <w:rsid w:val="006F33CB"/>
    <w:rsid w:val="006F3408"/>
    <w:rsid w:val="006F3467"/>
    <w:rsid w:val="006F34A4"/>
    <w:rsid w:val="006F3509"/>
    <w:rsid w:val="006F351F"/>
    <w:rsid w:val="006F3652"/>
    <w:rsid w:val="006F36B3"/>
    <w:rsid w:val="006F37E6"/>
    <w:rsid w:val="006F38F1"/>
    <w:rsid w:val="006F3AE0"/>
    <w:rsid w:val="006F3DBA"/>
    <w:rsid w:val="006F3F56"/>
    <w:rsid w:val="006F3F70"/>
    <w:rsid w:val="006F40AC"/>
    <w:rsid w:val="006F4117"/>
    <w:rsid w:val="006F4216"/>
    <w:rsid w:val="006F4496"/>
    <w:rsid w:val="006F4516"/>
    <w:rsid w:val="006F4B31"/>
    <w:rsid w:val="006F4C6F"/>
    <w:rsid w:val="006F4CEB"/>
    <w:rsid w:val="006F525E"/>
    <w:rsid w:val="006F557A"/>
    <w:rsid w:val="006F55C6"/>
    <w:rsid w:val="006F560F"/>
    <w:rsid w:val="006F569A"/>
    <w:rsid w:val="006F56F5"/>
    <w:rsid w:val="006F571F"/>
    <w:rsid w:val="006F57C6"/>
    <w:rsid w:val="006F5D89"/>
    <w:rsid w:val="006F5DF1"/>
    <w:rsid w:val="006F5E3F"/>
    <w:rsid w:val="006F5F5B"/>
    <w:rsid w:val="006F5FA2"/>
    <w:rsid w:val="006F6219"/>
    <w:rsid w:val="006F624D"/>
    <w:rsid w:val="006F63B7"/>
    <w:rsid w:val="006F63BC"/>
    <w:rsid w:val="006F655F"/>
    <w:rsid w:val="006F6680"/>
    <w:rsid w:val="006F66FA"/>
    <w:rsid w:val="006F67E3"/>
    <w:rsid w:val="006F6884"/>
    <w:rsid w:val="006F6912"/>
    <w:rsid w:val="006F6ADF"/>
    <w:rsid w:val="006F6BAD"/>
    <w:rsid w:val="006F6CBB"/>
    <w:rsid w:val="006F6F2E"/>
    <w:rsid w:val="006F6F4A"/>
    <w:rsid w:val="006F7133"/>
    <w:rsid w:val="006F717F"/>
    <w:rsid w:val="006F743D"/>
    <w:rsid w:val="006F7445"/>
    <w:rsid w:val="006F762A"/>
    <w:rsid w:val="006F77CD"/>
    <w:rsid w:val="006F7A50"/>
    <w:rsid w:val="006F7B73"/>
    <w:rsid w:val="006F7C31"/>
    <w:rsid w:val="006F7F7F"/>
    <w:rsid w:val="00700012"/>
    <w:rsid w:val="0070025F"/>
    <w:rsid w:val="00700570"/>
    <w:rsid w:val="00700786"/>
    <w:rsid w:val="007007A9"/>
    <w:rsid w:val="00700806"/>
    <w:rsid w:val="00700B0D"/>
    <w:rsid w:val="00700CCC"/>
    <w:rsid w:val="00700D6D"/>
    <w:rsid w:val="00700D80"/>
    <w:rsid w:val="00701337"/>
    <w:rsid w:val="0070139D"/>
    <w:rsid w:val="0070161E"/>
    <w:rsid w:val="00701652"/>
    <w:rsid w:val="0070173C"/>
    <w:rsid w:val="00701910"/>
    <w:rsid w:val="0070199D"/>
    <w:rsid w:val="00701BB9"/>
    <w:rsid w:val="00701BD7"/>
    <w:rsid w:val="00701D0D"/>
    <w:rsid w:val="00701F06"/>
    <w:rsid w:val="00701F8D"/>
    <w:rsid w:val="00702086"/>
    <w:rsid w:val="00702398"/>
    <w:rsid w:val="00702580"/>
    <w:rsid w:val="00702719"/>
    <w:rsid w:val="00702870"/>
    <w:rsid w:val="0070295C"/>
    <w:rsid w:val="00702A55"/>
    <w:rsid w:val="00702F03"/>
    <w:rsid w:val="007036CE"/>
    <w:rsid w:val="00703714"/>
    <w:rsid w:val="00703A05"/>
    <w:rsid w:val="00703A44"/>
    <w:rsid w:val="0070416C"/>
    <w:rsid w:val="00704177"/>
    <w:rsid w:val="007041A0"/>
    <w:rsid w:val="0070423D"/>
    <w:rsid w:val="00704607"/>
    <w:rsid w:val="00704787"/>
    <w:rsid w:val="0070478B"/>
    <w:rsid w:val="00704A6B"/>
    <w:rsid w:val="00704B38"/>
    <w:rsid w:val="00704C69"/>
    <w:rsid w:val="00704E2E"/>
    <w:rsid w:val="00704E58"/>
    <w:rsid w:val="00704ECC"/>
    <w:rsid w:val="00704F30"/>
    <w:rsid w:val="0070503A"/>
    <w:rsid w:val="0070524B"/>
    <w:rsid w:val="00705317"/>
    <w:rsid w:val="0070533C"/>
    <w:rsid w:val="0070543C"/>
    <w:rsid w:val="0070574C"/>
    <w:rsid w:val="0070584B"/>
    <w:rsid w:val="00705A50"/>
    <w:rsid w:val="00705AAA"/>
    <w:rsid w:val="00705B4A"/>
    <w:rsid w:val="00705C96"/>
    <w:rsid w:val="00705F07"/>
    <w:rsid w:val="00706156"/>
    <w:rsid w:val="0070626D"/>
    <w:rsid w:val="0070639A"/>
    <w:rsid w:val="007063E9"/>
    <w:rsid w:val="007064E3"/>
    <w:rsid w:val="00706A09"/>
    <w:rsid w:val="00706BF9"/>
    <w:rsid w:val="00706E06"/>
    <w:rsid w:val="00706E9B"/>
    <w:rsid w:val="00706FA2"/>
    <w:rsid w:val="007071DF"/>
    <w:rsid w:val="00707424"/>
    <w:rsid w:val="00707593"/>
    <w:rsid w:val="0070772D"/>
    <w:rsid w:val="00707743"/>
    <w:rsid w:val="007078D2"/>
    <w:rsid w:val="007079B7"/>
    <w:rsid w:val="00707C44"/>
    <w:rsid w:val="00707DB0"/>
    <w:rsid w:val="00707DD6"/>
    <w:rsid w:val="00710008"/>
    <w:rsid w:val="007100AC"/>
    <w:rsid w:val="00710281"/>
    <w:rsid w:val="007102B6"/>
    <w:rsid w:val="007102C8"/>
    <w:rsid w:val="00710323"/>
    <w:rsid w:val="00710447"/>
    <w:rsid w:val="00710685"/>
    <w:rsid w:val="007106E7"/>
    <w:rsid w:val="0071076F"/>
    <w:rsid w:val="007107A9"/>
    <w:rsid w:val="007107C5"/>
    <w:rsid w:val="00710837"/>
    <w:rsid w:val="0071092C"/>
    <w:rsid w:val="00710B70"/>
    <w:rsid w:val="00710FCE"/>
    <w:rsid w:val="0071100E"/>
    <w:rsid w:val="00711040"/>
    <w:rsid w:val="00711052"/>
    <w:rsid w:val="007110C0"/>
    <w:rsid w:val="007110C4"/>
    <w:rsid w:val="00711496"/>
    <w:rsid w:val="007115A7"/>
    <w:rsid w:val="007115C0"/>
    <w:rsid w:val="007117BE"/>
    <w:rsid w:val="007117FD"/>
    <w:rsid w:val="0071189E"/>
    <w:rsid w:val="00711A05"/>
    <w:rsid w:val="00711A35"/>
    <w:rsid w:val="00711B19"/>
    <w:rsid w:val="00711B7A"/>
    <w:rsid w:val="00711D43"/>
    <w:rsid w:val="00711D51"/>
    <w:rsid w:val="00711E3E"/>
    <w:rsid w:val="007120C9"/>
    <w:rsid w:val="0071229C"/>
    <w:rsid w:val="007124E3"/>
    <w:rsid w:val="00712761"/>
    <w:rsid w:val="0071283A"/>
    <w:rsid w:val="007129BE"/>
    <w:rsid w:val="007129FE"/>
    <w:rsid w:val="00712CCA"/>
    <w:rsid w:val="00712CCF"/>
    <w:rsid w:val="00712EA3"/>
    <w:rsid w:val="0071313B"/>
    <w:rsid w:val="0071331D"/>
    <w:rsid w:val="0071340C"/>
    <w:rsid w:val="007136E4"/>
    <w:rsid w:val="00713727"/>
    <w:rsid w:val="007137D2"/>
    <w:rsid w:val="007139C9"/>
    <w:rsid w:val="00713B34"/>
    <w:rsid w:val="007140D6"/>
    <w:rsid w:val="0071415D"/>
    <w:rsid w:val="007142A9"/>
    <w:rsid w:val="007142D0"/>
    <w:rsid w:val="00714312"/>
    <w:rsid w:val="0071452C"/>
    <w:rsid w:val="00714547"/>
    <w:rsid w:val="00714750"/>
    <w:rsid w:val="00714756"/>
    <w:rsid w:val="00714AE3"/>
    <w:rsid w:val="00714BFF"/>
    <w:rsid w:val="00714C39"/>
    <w:rsid w:val="00714C53"/>
    <w:rsid w:val="00714F41"/>
    <w:rsid w:val="00715087"/>
    <w:rsid w:val="00715234"/>
    <w:rsid w:val="00715400"/>
    <w:rsid w:val="0071562E"/>
    <w:rsid w:val="007156FA"/>
    <w:rsid w:val="0071586B"/>
    <w:rsid w:val="007158F1"/>
    <w:rsid w:val="007159A0"/>
    <w:rsid w:val="00715AED"/>
    <w:rsid w:val="00715B45"/>
    <w:rsid w:val="00715BBF"/>
    <w:rsid w:val="00715BD4"/>
    <w:rsid w:val="00715C82"/>
    <w:rsid w:val="00715EBD"/>
    <w:rsid w:val="007162FD"/>
    <w:rsid w:val="007166E8"/>
    <w:rsid w:val="007166E9"/>
    <w:rsid w:val="0071684D"/>
    <w:rsid w:val="00716889"/>
    <w:rsid w:val="00716928"/>
    <w:rsid w:val="00716B35"/>
    <w:rsid w:val="00716BC9"/>
    <w:rsid w:val="00716C1B"/>
    <w:rsid w:val="00716C25"/>
    <w:rsid w:val="00716C2E"/>
    <w:rsid w:val="00716D5C"/>
    <w:rsid w:val="00716D75"/>
    <w:rsid w:val="00716F19"/>
    <w:rsid w:val="007171A8"/>
    <w:rsid w:val="00717276"/>
    <w:rsid w:val="00717536"/>
    <w:rsid w:val="00717801"/>
    <w:rsid w:val="00717AE4"/>
    <w:rsid w:val="00717AF5"/>
    <w:rsid w:val="00717C59"/>
    <w:rsid w:val="00720315"/>
    <w:rsid w:val="00720378"/>
    <w:rsid w:val="007203FA"/>
    <w:rsid w:val="0072043C"/>
    <w:rsid w:val="00720494"/>
    <w:rsid w:val="00720A7F"/>
    <w:rsid w:val="00720B03"/>
    <w:rsid w:val="00720B12"/>
    <w:rsid w:val="00720D3B"/>
    <w:rsid w:val="00720E2B"/>
    <w:rsid w:val="00721513"/>
    <w:rsid w:val="00721660"/>
    <w:rsid w:val="0072185D"/>
    <w:rsid w:val="00721C77"/>
    <w:rsid w:val="00721E38"/>
    <w:rsid w:val="00721E8F"/>
    <w:rsid w:val="007220E9"/>
    <w:rsid w:val="00722394"/>
    <w:rsid w:val="0072273C"/>
    <w:rsid w:val="00722783"/>
    <w:rsid w:val="007227F2"/>
    <w:rsid w:val="007228A6"/>
    <w:rsid w:val="007229A4"/>
    <w:rsid w:val="007229CC"/>
    <w:rsid w:val="00722B77"/>
    <w:rsid w:val="00722C32"/>
    <w:rsid w:val="00722D55"/>
    <w:rsid w:val="00722FC9"/>
    <w:rsid w:val="007235FD"/>
    <w:rsid w:val="0072362C"/>
    <w:rsid w:val="007236CA"/>
    <w:rsid w:val="0072383E"/>
    <w:rsid w:val="00723980"/>
    <w:rsid w:val="00723AF5"/>
    <w:rsid w:val="00723BCC"/>
    <w:rsid w:val="00724165"/>
    <w:rsid w:val="0072416C"/>
    <w:rsid w:val="0072427B"/>
    <w:rsid w:val="007245A2"/>
    <w:rsid w:val="00724687"/>
    <w:rsid w:val="00724720"/>
    <w:rsid w:val="00724AD8"/>
    <w:rsid w:val="00724CF9"/>
    <w:rsid w:val="00724ECF"/>
    <w:rsid w:val="00725015"/>
    <w:rsid w:val="007250AD"/>
    <w:rsid w:val="007250D7"/>
    <w:rsid w:val="0072515B"/>
    <w:rsid w:val="007253C2"/>
    <w:rsid w:val="00725481"/>
    <w:rsid w:val="00725630"/>
    <w:rsid w:val="007256D4"/>
    <w:rsid w:val="00725790"/>
    <w:rsid w:val="007257E2"/>
    <w:rsid w:val="00725928"/>
    <w:rsid w:val="007259F0"/>
    <w:rsid w:val="00725A04"/>
    <w:rsid w:val="00725AA0"/>
    <w:rsid w:val="00725C56"/>
    <w:rsid w:val="00725C5D"/>
    <w:rsid w:val="00725EBD"/>
    <w:rsid w:val="00725ED8"/>
    <w:rsid w:val="00725EFD"/>
    <w:rsid w:val="0072626A"/>
    <w:rsid w:val="007263CF"/>
    <w:rsid w:val="0072681D"/>
    <w:rsid w:val="00726862"/>
    <w:rsid w:val="00726951"/>
    <w:rsid w:val="00726BAB"/>
    <w:rsid w:val="00726C88"/>
    <w:rsid w:val="00726D6D"/>
    <w:rsid w:val="00726F37"/>
    <w:rsid w:val="007270A6"/>
    <w:rsid w:val="007270DD"/>
    <w:rsid w:val="0072721F"/>
    <w:rsid w:val="00727401"/>
    <w:rsid w:val="00727410"/>
    <w:rsid w:val="007278FA"/>
    <w:rsid w:val="00727C15"/>
    <w:rsid w:val="00727D83"/>
    <w:rsid w:val="00727E08"/>
    <w:rsid w:val="00727E30"/>
    <w:rsid w:val="00727E38"/>
    <w:rsid w:val="00727F37"/>
    <w:rsid w:val="0073005C"/>
    <w:rsid w:val="007302F3"/>
    <w:rsid w:val="007303CA"/>
    <w:rsid w:val="00730402"/>
    <w:rsid w:val="00730529"/>
    <w:rsid w:val="0073057D"/>
    <w:rsid w:val="0073063E"/>
    <w:rsid w:val="007308AB"/>
    <w:rsid w:val="007308AC"/>
    <w:rsid w:val="00730945"/>
    <w:rsid w:val="00730B8D"/>
    <w:rsid w:val="00731009"/>
    <w:rsid w:val="00731048"/>
    <w:rsid w:val="00731096"/>
    <w:rsid w:val="007310AE"/>
    <w:rsid w:val="007311C2"/>
    <w:rsid w:val="0073143C"/>
    <w:rsid w:val="0073160C"/>
    <w:rsid w:val="00731763"/>
    <w:rsid w:val="007318CB"/>
    <w:rsid w:val="00731A23"/>
    <w:rsid w:val="00731E9A"/>
    <w:rsid w:val="00731FDA"/>
    <w:rsid w:val="00731FF4"/>
    <w:rsid w:val="00732099"/>
    <w:rsid w:val="0073213A"/>
    <w:rsid w:val="007321C3"/>
    <w:rsid w:val="00732259"/>
    <w:rsid w:val="00732443"/>
    <w:rsid w:val="007326C2"/>
    <w:rsid w:val="00732743"/>
    <w:rsid w:val="007327F4"/>
    <w:rsid w:val="007328E6"/>
    <w:rsid w:val="00732A37"/>
    <w:rsid w:val="00732ABF"/>
    <w:rsid w:val="00732ADC"/>
    <w:rsid w:val="00732BDB"/>
    <w:rsid w:val="00732BF9"/>
    <w:rsid w:val="00732CD6"/>
    <w:rsid w:val="00732D48"/>
    <w:rsid w:val="00732E2A"/>
    <w:rsid w:val="00732E48"/>
    <w:rsid w:val="00732E95"/>
    <w:rsid w:val="00732EE9"/>
    <w:rsid w:val="00733073"/>
    <w:rsid w:val="0073318B"/>
    <w:rsid w:val="00733295"/>
    <w:rsid w:val="0073335C"/>
    <w:rsid w:val="00733583"/>
    <w:rsid w:val="00733680"/>
    <w:rsid w:val="00733688"/>
    <w:rsid w:val="0073371F"/>
    <w:rsid w:val="00733750"/>
    <w:rsid w:val="007337B6"/>
    <w:rsid w:val="007338BF"/>
    <w:rsid w:val="00733908"/>
    <w:rsid w:val="00733C49"/>
    <w:rsid w:val="00733F55"/>
    <w:rsid w:val="00734265"/>
    <w:rsid w:val="007346A2"/>
    <w:rsid w:val="007347B8"/>
    <w:rsid w:val="00734877"/>
    <w:rsid w:val="00734A08"/>
    <w:rsid w:val="00734EE1"/>
    <w:rsid w:val="00734FA3"/>
    <w:rsid w:val="0073508E"/>
    <w:rsid w:val="007351B3"/>
    <w:rsid w:val="00735287"/>
    <w:rsid w:val="007352D9"/>
    <w:rsid w:val="007353EC"/>
    <w:rsid w:val="00735B3E"/>
    <w:rsid w:val="00735B5B"/>
    <w:rsid w:val="00735E8F"/>
    <w:rsid w:val="00735ED9"/>
    <w:rsid w:val="00735EFC"/>
    <w:rsid w:val="00735FF5"/>
    <w:rsid w:val="0073618A"/>
    <w:rsid w:val="0073657A"/>
    <w:rsid w:val="007366DB"/>
    <w:rsid w:val="00736755"/>
    <w:rsid w:val="0073695A"/>
    <w:rsid w:val="00736DB6"/>
    <w:rsid w:val="00736DC8"/>
    <w:rsid w:val="007370B2"/>
    <w:rsid w:val="00737267"/>
    <w:rsid w:val="0073738D"/>
    <w:rsid w:val="007373F3"/>
    <w:rsid w:val="00737634"/>
    <w:rsid w:val="007376EA"/>
    <w:rsid w:val="00737710"/>
    <w:rsid w:val="007377CC"/>
    <w:rsid w:val="007379A8"/>
    <w:rsid w:val="007379B3"/>
    <w:rsid w:val="007379D8"/>
    <w:rsid w:val="007379FC"/>
    <w:rsid w:val="00737A42"/>
    <w:rsid w:val="00737B4F"/>
    <w:rsid w:val="00737B90"/>
    <w:rsid w:val="00737C61"/>
    <w:rsid w:val="00740103"/>
    <w:rsid w:val="00740143"/>
    <w:rsid w:val="00740372"/>
    <w:rsid w:val="00740560"/>
    <w:rsid w:val="007405CC"/>
    <w:rsid w:val="0074076B"/>
    <w:rsid w:val="0074086B"/>
    <w:rsid w:val="00740ACE"/>
    <w:rsid w:val="00740C45"/>
    <w:rsid w:val="00740CEC"/>
    <w:rsid w:val="00740E3E"/>
    <w:rsid w:val="007416DD"/>
    <w:rsid w:val="00741A60"/>
    <w:rsid w:val="00741AFC"/>
    <w:rsid w:val="00741FA4"/>
    <w:rsid w:val="00742114"/>
    <w:rsid w:val="007424C1"/>
    <w:rsid w:val="0074255A"/>
    <w:rsid w:val="007425F1"/>
    <w:rsid w:val="00742666"/>
    <w:rsid w:val="0074271B"/>
    <w:rsid w:val="00742829"/>
    <w:rsid w:val="00742A07"/>
    <w:rsid w:val="00742A7E"/>
    <w:rsid w:val="00742C5A"/>
    <w:rsid w:val="00742DDF"/>
    <w:rsid w:val="00742E7A"/>
    <w:rsid w:val="00742EC6"/>
    <w:rsid w:val="00743014"/>
    <w:rsid w:val="007433A5"/>
    <w:rsid w:val="0074347B"/>
    <w:rsid w:val="0074357B"/>
    <w:rsid w:val="007435EF"/>
    <w:rsid w:val="00743665"/>
    <w:rsid w:val="007436B2"/>
    <w:rsid w:val="0074385B"/>
    <w:rsid w:val="00743874"/>
    <w:rsid w:val="00743A43"/>
    <w:rsid w:val="00743A68"/>
    <w:rsid w:val="00743A92"/>
    <w:rsid w:val="00743AE2"/>
    <w:rsid w:val="00743BB2"/>
    <w:rsid w:val="00743CEC"/>
    <w:rsid w:val="00743E9E"/>
    <w:rsid w:val="0074400D"/>
    <w:rsid w:val="00744011"/>
    <w:rsid w:val="00744732"/>
    <w:rsid w:val="00744765"/>
    <w:rsid w:val="0074488C"/>
    <w:rsid w:val="00744918"/>
    <w:rsid w:val="00744932"/>
    <w:rsid w:val="007449D0"/>
    <w:rsid w:val="00744C42"/>
    <w:rsid w:val="00745150"/>
    <w:rsid w:val="007452CA"/>
    <w:rsid w:val="00745312"/>
    <w:rsid w:val="00745358"/>
    <w:rsid w:val="007455D3"/>
    <w:rsid w:val="007456D9"/>
    <w:rsid w:val="007458CC"/>
    <w:rsid w:val="00745957"/>
    <w:rsid w:val="00745A50"/>
    <w:rsid w:val="00745AD8"/>
    <w:rsid w:val="00745D59"/>
    <w:rsid w:val="00745E36"/>
    <w:rsid w:val="00745ED2"/>
    <w:rsid w:val="0074602C"/>
    <w:rsid w:val="007463F3"/>
    <w:rsid w:val="0074672F"/>
    <w:rsid w:val="00746739"/>
    <w:rsid w:val="007468AB"/>
    <w:rsid w:val="007469E6"/>
    <w:rsid w:val="00746A68"/>
    <w:rsid w:val="00746B3D"/>
    <w:rsid w:val="00746B80"/>
    <w:rsid w:val="00746EB5"/>
    <w:rsid w:val="007471C6"/>
    <w:rsid w:val="007474B5"/>
    <w:rsid w:val="00747705"/>
    <w:rsid w:val="007478C9"/>
    <w:rsid w:val="007478E1"/>
    <w:rsid w:val="00747A13"/>
    <w:rsid w:val="00747B96"/>
    <w:rsid w:val="00747D59"/>
    <w:rsid w:val="00750417"/>
    <w:rsid w:val="00750511"/>
    <w:rsid w:val="00750598"/>
    <w:rsid w:val="00750AE5"/>
    <w:rsid w:val="00750BE8"/>
    <w:rsid w:val="00750D2B"/>
    <w:rsid w:val="00750D94"/>
    <w:rsid w:val="00750E9D"/>
    <w:rsid w:val="00750F3E"/>
    <w:rsid w:val="00750FD9"/>
    <w:rsid w:val="00751013"/>
    <w:rsid w:val="0075117B"/>
    <w:rsid w:val="0075124E"/>
    <w:rsid w:val="00751473"/>
    <w:rsid w:val="007514D6"/>
    <w:rsid w:val="007514FD"/>
    <w:rsid w:val="0075160D"/>
    <w:rsid w:val="0075170E"/>
    <w:rsid w:val="0075175E"/>
    <w:rsid w:val="00751862"/>
    <w:rsid w:val="00751CF9"/>
    <w:rsid w:val="00751E7B"/>
    <w:rsid w:val="00751ED5"/>
    <w:rsid w:val="007520C1"/>
    <w:rsid w:val="007520D2"/>
    <w:rsid w:val="0075224C"/>
    <w:rsid w:val="007522D2"/>
    <w:rsid w:val="007525B9"/>
    <w:rsid w:val="007525CE"/>
    <w:rsid w:val="0075264A"/>
    <w:rsid w:val="00752715"/>
    <w:rsid w:val="007527FC"/>
    <w:rsid w:val="00752865"/>
    <w:rsid w:val="00752997"/>
    <w:rsid w:val="00752A7D"/>
    <w:rsid w:val="00752C0D"/>
    <w:rsid w:val="00752FE1"/>
    <w:rsid w:val="007531EF"/>
    <w:rsid w:val="007533CC"/>
    <w:rsid w:val="00753463"/>
    <w:rsid w:val="007534B6"/>
    <w:rsid w:val="0075356F"/>
    <w:rsid w:val="0075364A"/>
    <w:rsid w:val="0075383E"/>
    <w:rsid w:val="00753C76"/>
    <w:rsid w:val="00753DD9"/>
    <w:rsid w:val="00753E46"/>
    <w:rsid w:val="00753EEA"/>
    <w:rsid w:val="00754054"/>
    <w:rsid w:val="0075415B"/>
    <w:rsid w:val="00754AB7"/>
    <w:rsid w:val="00754C87"/>
    <w:rsid w:val="00754DE3"/>
    <w:rsid w:val="0075516A"/>
    <w:rsid w:val="007551B3"/>
    <w:rsid w:val="007552E2"/>
    <w:rsid w:val="00755548"/>
    <w:rsid w:val="0075562B"/>
    <w:rsid w:val="0075569C"/>
    <w:rsid w:val="00755755"/>
    <w:rsid w:val="00755788"/>
    <w:rsid w:val="007557D8"/>
    <w:rsid w:val="007558BA"/>
    <w:rsid w:val="00755D93"/>
    <w:rsid w:val="00755DD3"/>
    <w:rsid w:val="007560A2"/>
    <w:rsid w:val="00756130"/>
    <w:rsid w:val="0075639D"/>
    <w:rsid w:val="007566EA"/>
    <w:rsid w:val="00756910"/>
    <w:rsid w:val="007569C8"/>
    <w:rsid w:val="00756A4C"/>
    <w:rsid w:val="00756A55"/>
    <w:rsid w:val="0075707B"/>
    <w:rsid w:val="00757096"/>
    <w:rsid w:val="00757101"/>
    <w:rsid w:val="0075721E"/>
    <w:rsid w:val="0075733C"/>
    <w:rsid w:val="007573AD"/>
    <w:rsid w:val="0075745D"/>
    <w:rsid w:val="00757520"/>
    <w:rsid w:val="0075757A"/>
    <w:rsid w:val="007575B1"/>
    <w:rsid w:val="0075771D"/>
    <w:rsid w:val="00757772"/>
    <w:rsid w:val="00757825"/>
    <w:rsid w:val="00757D87"/>
    <w:rsid w:val="00757E9E"/>
    <w:rsid w:val="007602B3"/>
    <w:rsid w:val="007607E0"/>
    <w:rsid w:val="007607E8"/>
    <w:rsid w:val="007609A1"/>
    <w:rsid w:val="007609ED"/>
    <w:rsid w:val="00760AE3"/>
    <w:rsid w:val="00760B2F"/>
    <w:rsid w:val="00760B35"/>
    <w:rsid w:val="00761021"/>
    <w:rsid w:val="00761174"/>
    <w:rsid w:val="007616D1"/>
    <w:rsid w:val="007616E5"/>
    <w:rsid w:val="0076179C"/>
    <w:rsid w:val="00761874"/>
    <w:rsid w:val="0076199E"/>
    <w:rsid w:val="00761AA0"/>
    <w:rsid w:val="00761B69"/>
    <w:rsid w:val="00761E1E"/>
    <w:rsid w:val="00761EF6"/>
    <w:rsid w:val="00761FA8"/>
    <w:rsid w:val="0076246C"/>
    <w:rsid w:val="007624EC"/>
    <w:rsid w:val="00762796"/>
    <w:rsid w:val="00762997"/>
    <w:rsid w:val="007629A9"/>
    <w:rsid w:val="00762CEA"/>
    <w:rsid w:val="00762D95"/>
    <w:rsid w:val="00762E64"/>
    <w:rsid w:val="00762FDD"/>
    <w:rsid w:val="0076305B"/>
    <w:rsid w:val="0076330C"/>
    <w:rsid w:val="00763745"/>
    <w:rsid w:val="00763A7A"/>
    <w:rsid w:val="00763EBD"/>
    <w:rsid w:val="00764071"/>
    <w:rsid w:val="0076416A"/>
    <w:rsid w:val="007642B6"/>
    <w:rsid w:val="00764300"/>
    <w:rsid w:val="007643D2"/>
    <w:rsid w:val="00764499"/>
    <w:rsid w:val="00764509"/>
    <w:rsid w:val="0076450E"/>
    <w:rsid w:val="0076453F"/>
    <w:rsid w:val="00764569"/>
    <w:rsid w:val="00764773"/>
    <w:rsid w:val="007647D3"/>
    <w:rsid w:val="00764CA6"/>
    <w:rsid w:val="00764FA4"/>
    <w:rsid w:val="007650B0"/>
    <w:rsid w:val="00765195"/>
    <w:rsid w:val="00765522"/>
    <w:rsid w:val="00765570"/>
    <w:rsid w:val="007656AF"/>
    <w:rsid w:val="00765784"/>
    <w:rsid w:val="007658CF"/>
    <w:rsid w:val="00765A9B"/>
    <w:rsid w:val="00765BA8"/>
    <w:rsid w:val="00765C84"/>
    <w:rsid w:val="00765CF4"/>
    <w:rsid w:val="00765D8E"/>
    <w:rsid w:val="00765EA4"/>
    <w:rsid w:val="00766074"/>
    <w:rsid w:val="00766260"/>
    <w:rsid w:val="007667D2"/>
    <w:rsid w:val="00766876"/>
    <w:rsid w:val="00766D59"/>
    <w:rsid w:val="00766DBA"/>
    <w:rsid w:val="00766E68"/>
    <w:rsid w:val="0076728A"/>
    <w:rsid w:val="007672C9"/>
    <w:rsid w:val="007673A6"/>
    <w:rsid w:val="00767459"/>
    <w:rsid w:val="007674D9"/>
    <w:rsid w:val="007676C4"/>
    <w:rsid w:val="00767723"/>
    <w:rsid w:val="00767792"/>
    <w:rsid w:val="00767A42"/>
    <w:rsid w:val="00767FCC"/>
    <w:rsid w:val="00770166"/>
    <w:rsid w:val="007701F4"/>
    <w:rsid w:val="007702FE"/>
    <w:rsid w:val="0077044B"/>
    <w:rsid w:val="007709C9"/>
    <w:rsid w:val="00770A42"/>
    <w:rsid w:val="00770A4D"/>
    <w:rsid w:val="00770A83"/>
    <w:rsid w:val="00770C43"/>
    <w:rsid w:val="00770D42"/>
    <w:rsid w:val="00770E40"/>
    <w:rsid w:val="00771255"/>
    <w:rsid w:val="00771399"/>
    <w:rsid w:val="00771432"/>
    <w:rsid w:val="00771495"/>
    <w:rsid w:val="00771992"/>
    <w:rsid w:val="00771B53"/>
    <w:rsid w:val="00771F87"/>
    <w:rsid w:val="00771FCF"/>
    <w:rsid w:val="0077224D"/>
    <w:rsid w:val="0077225A"/>
    <w:rsid w:val="007723C5"/>
    <w:rsid w:val="007727D9"/>
    <w:rsid w:val="00772836"/>
    <w:rsid w:val="00772953"/>
    <w:rsid w:val="00772CB3"/>
    <w:rsid w:val="00772DE6"/>
    <w:rsid w:val="00772DEA"/>
    <w:rsid w:val="00773083"/>
    <w:rsid w:val="00773315"/>
    <w:rsid w:val="0077359A"/>
    <w:rsid w:val="00773B64"/>
    <w:rsid w:val="00773C38"/>
    <w:rsid w:val="00773D0D"/>
    <w:rsid w:val="00773D6A"/>
    <w:rsid w:val="0077405A"/>
    <w:rsid w:val="007743A8"/>
    <w:rsid w:val="007748A3"/>
    <w:rsid w:val="00774A83"/>
    <w:rsid w:val="00774F9A"/>
    <w:rsid w:val="0077526B"/>
    <w:rsid w:val="00775493"/>
    <w:rsid w:val="007754C1"/>
    <w:rsid w:val="0077587C"/>
    <w:rsid w:val="00775955"/>
    <w:rsid w:val="007759B1"/>
    <w:rsid w:val="00775E0D"/>
    <w:rsid w:val="00775EAC"/>
    <w:rsid w:val="00775ED7"/>
    <w:rsid w:val="00776165"/>
    <w:rsid w:val="00776358"/>
    <w:rsid w:val="00776405"/>
    <w:rsid w:val="00776444"/>
    <w:rsid w:val="0077692D"/>
    <w:rsid w:val="00776944"/>
    <w:rsid w:val="00776955"/>
    <w:rsid w:val="007769B4"/>
    <w:rsid w:val="00776FC2"/>
    <w:rsid w:val="00777026"/>
    <w:rsid w:val="007771B7"/>
    <w:rsid w:val="00777246"/>
    <w:rsid w:val="007772C2"/>
    <w:rsid w:val="007778C8"/>
    <w:rsid w:val="0077796B"/>
    <w:rsid w:val="007779BC"/>
    <w:rsid w:val="007779D1"/>
    <w:rsid w:val="00777E1D"/>
    <w:rsid w:val="0078008E"/>
    <w:rsid w:val="00780414"/>
    <w:rsid w:val="007804E6"/>
    <w:rsid w:val="007804E8"/>
    <w:rsid w:val="007806B6"/>
    <w:rsid w:val="007807C9"/>
    <w:rsid w:val="007808CC"/>
    <w:rsid w:val="007808E4"/>
    <w:rsid w:val="00780A1A"/>
    <w:rsid w:val="00780EA6"/>
    <w:rsid w:val="00780FB9"/>
    <w:rsid w:val="00780FDE"/>
    <w:rsid w:val="007812BA"/>
    <w:rsid w:val="007812F4"/>
    <w:rsid w:val="0078154F"/>
    <w:rsid w:val="0078177B"/>
    <w:rsid w:val="0078179F"/>
    <w:rsid w:val="00781C89"/>
    <w:rsid w:val="00781D45"/>
    <w:rsid w:val="00782063"/>
    <w:rsid w:val="007820F7"/>
    <w:rsid w:val="00782233"/>
    <w:rsid w:val="0078236D"/>
    <w:rsid w:val="007824BA"/>
    <w:rsid w:val="0078261F"/>
    <w:rsid w:val="00782883"/>
    <w:rsid w:val="00782ABC"/>
    <w:rsid w:val="00782BBA"/>
    <w:rsid w:val="00782C09"/>
    <w:rsid w:val="00782CD5"/>
    <w:rsid w:val="00782DE1"/>
    <w:rsid w:val="00782FF9"/>
    <w:rsid w:val="0078318C"/>
    <w:rsid w:val="00783329"/>
    <w:rsid w:val="00783731"/>
    <w:rsid w:val="00783903"/>
    <w:rsid w:val="00783A64"/>
    <w:rsid w:val="00783CC5"/>
    <w:rsid w:val="00783D29"/>
    <w:rsid w:val="00783F37"/>
    <w:rsid w:val="0078401F"/>
    <w:rsid w:val="0078407D"/>
    <w:rsid w:val="007842D4"/>
    <w:rsid w:val="00784417"/>
    <w:rsid w:val="0078488E"/>
    <w:rsid w:val="00784CEE"/>
    <w:rsid w:val="00784DC1"/>
    <w:rsid w:val="00785019"/>
    <w:rsid w:val="0078520C"/>
    <w:rsid w:val="00785337"/>
    <w:rsid w:val="0078534B"/>
    <w:rsid w:val="00785636"/>
    <w:rsid w:val="00785808"/>
    <w:rsid w:val="00785824"/>
    <w:rsid w:val="007858C9"/>
    <w:rsid w:val="0078594A"/>
    <w:rsid w:val="00785BD5"/>
    <w:rsid w:val="00785C63"/>
    <w:rsid w:val="00785CD0"/>
    <w:rsid w:val="00785FCA"/>
    <w:rsid w:val="00786220"/>
    <w:rsid w:val="0078660E"/>
    <w:rsid w:val="007866CD"/>
    <w:rsid w:val="007868B2"/>
    <w:rsid w:val="00786B14"/>
    <w:rsid w:val="00786BE1"/>
    <w:rsid w:val="00786EA5"/>
    <w:rsid w:val="00787074"/>
    <w:rsid w:val="007872BC"/>
    <w:rsid w:val="0078736E"/>
    <w:rsid w:val="007876EB"/>
    <w:rsid w:val="00787977"/>
    <w:rsid w:val="00787AC4"/>
    <w:rsid w:val="00787EB1"/>
    <w:rsid w:val="00787F6A"/>
    <w:rsid w:val="0079010C"/>
    <w:rsid w:val="00790365"/>
    <w:rsid w:val="00790673"/>
    <w:rsid w:val="00790707"/>
    <w:rsid w:val="007909CD"/>
    <w:rsid w:val="00790DBA"/>
    <w:rsid w:val="00790DEC"/>
    <w:rsid w:val="00790E03"/>
    <w:rsid w:val="00790E5B"/>
    <w:rsid w:val="00790FBA"/>
    <w:rsid w:val="00790FE1"/>
    <w:rsid w:val="00791083"/>
    <w:rsid w:val="007910C5"/>
    <w:rsid w:val="00791204"/>
    <w:rsid w:val="007915C6"/>
    <w:rsid w:val="007915F2"/>
    <w:rsid w:val="0079177C"/>
    <w:rsid w:val="0079183D"/>
    <w:rsid w:val="0079193F"/>
    <w:rsid w:val="00791AD5"/>
    <w:rsid w:val="00791B1D"/>
    <w:rsid w:val="00791D46"/>
    <w:rsid w:val="00791D59"/>
    <w:rsid w:val="00791DAD"/>
    <w:rsid w:val="00792095"/>
    <w:rsid w:val="007920E6"/>
    <w:rsid w:val="0079218F"/>
    <w:rsid w:val="007922F6"/>
    <w:rsid w:val="00792427"/>
    <w:rsid w:val="0079264D"/>
    <w:rsid w:val="007926BB"/>
    <w:rsid w:val="007928FF"/>
    <w:rsid w:val="0079296C"/>
    <w:rsid w:val="00792AAC"/>
    <w:rsid w:val="00792CB7"/>
    <w:rsid w:val="00792D45"/>
    <w:rsid w:val="00792D64"/>
    <w:rsid w:val="00792FA9"/>
    <w:rsid w:val="00793014"/>
    <w:rsid w:val="007930C7"/>
    <w:rsid w:val="0079340C"/>
    <w:rsid w:val="007936FA"/>
    <w:rsid w:val="00793762"/>
    <w:rsid w:val="007937C1"/>
    <w:rsid w:val="00793805"/>
    <w:rsid w:val="007939B4"/>
    <w:rsid w:val="007940AC"/>
    <w:rsid w:val="007942DD"/>
    <w:rsid w:val="00794382"/>
    <w:rsid w:val="00794532"/>
    <w:rsid w:val="0079465B"/>
    <w:rsid w:val="00794733"/>
    <w:rsid w:val="00794BC8"/>
    <w:rsid w:val="00794C6D"/>
    <w:rsid w:val="00794EDF"/>
    <w:rsid w:val="00794F40"/>
    <w:rsid w:val="007951B5"/>
    <w:rsid w:val="007952CD"/>
    <w:rsid w:val="0079532D"/>
    <w:rsid w:val="007953BC"/>
    <w:rsid w:val="0079543F"/>
    <w:rsid w:val="0079546A"/>
    <w:rsid w:val="00795585"/>
    <w:rsid w:val="0079563D"/>
    <w:rsid w:val="007957EC"/>
    <w:rsid w:val="00795AA9"/>
    <w:rsid w:val="00795B85"/>
    <w:rsid w:val="00795C83"/>
    <w:rsid w:val="00795E41"/>
    <w:rsid w:val="007960F2"/>
    <w:rsid w:val="00796155"/>
    <w:rsid w:val="007962A8"/>
    <w:rsid w:val="00796482"/>
    <w:rsid w:val="00796485"/>
    <w:rsid w:val="00796564"/>
    <w:rsid w:val="00796707"/>
    <w:rsid w:val="00796827"/>
    <w:rsid w:val="00796940"/>
    <w:rsid w:val="00796AC9"/>
    <w:rsid w:val="00796AF1"/>
    <w:rsid w:val="00796B2B"/>
    <w:rsid w:val="00796B6E"/>
    <w:rsid w:val="00796BAB"/>
    <w:rsid w:val="00796E75"/>
    <w:rsid w:val="00796FF9"/>
    <w:rsid w:val="007971DA"/>
    <w:rsid w:val="007973AC"/>
    <w:rsid w:val="0079747B"/>
    <w:rsid w:val="0079755B"/>
    <w:rsid w:val="0079763F"/>
    <w:rsid w:val="0079794E"/>
    <w:rsid w:val="00797968"/>
    <w:rsid w:val="007979ED"/>
    <w:rsid w:val="00797C06"/>
    <w:rsid w:val="00797C61"/>
    <w:rsid w:val="00797EC1"/>
    <w:rsid w:val="007A0367"/>
    <w:rsid w:val="007A03C8"/>
    <w:rsid w:val="007A0408"/>
    <w:rsid w:val="007A06CB"/>
    <w:rsid w:val="007A07E6"/>
    <w:rsid w:val="007A09D1"/>
    <w:rsid w:val="007A0C07"/>
    <w:rsid w:val="007A0F50"/>
    <w:rsid w:val="007A113F"/>
    <w:rsid w:val="007A1471"/>
    <w:rsid w:val="007A14B0"/>
    <w:rsid w:val="007A14B4"/>
    <w:rsid w:val="007A1667"/>
    <w:rsid w:val="007A1879"/>
    <w:rsid w:val="007A19AE"/>
    <w:rsid w:val="007A1A03"/>
    <w:rsid w:val="007A1AEF"/>
    <w:rsid w:val="007A1C88"/>
    <w:rsid w:val="007A1CC3"/>
    <w:rsid w:val="007A1D1F"/>
    <w:rsid w:val="007A207C"/>
    <w:rsid w:val="007A21AD"/>
    <w:rsid w:val="007A258E"/>
    <w:rsid w:val="007A263B"/>
    <w:rsid w:val="007A2A56"/>
    <w:rsid w:val="007A2F8B"/>
    <w:rsid w:val="007A30A2"/>
    <w:rsid w:val="007A30D5"/>
    <w:rsid w:val="007A3126"/>
    <w:rsid w:val="007A325A"/>
    <w:rsid w:val="007A32B8"/>
    <w:rsid w:val="007A3303"/>
    <w:rsid w:val="007A3542"/>
    <w:rsid w:val="007A377E"/>
    <w:rsid w:val="007A37AE"/>
    <w:rsid w:val="007A3932"/>
    <w:rsid w:val="007A3BDE"/>
    <w:rsid w:val="007A3C75"/>
    <w:rsid w:val="007A404F"/>
    <w:rsid w:val="007A41ED"/>
    <w:rsid w:val="007A4295"/>
    <w:rsid w:val="007A454F"/>
    <w:rsid w:val="007A4784"/>
    <w:rsid w:val="007A48F2"/>
    <w:rsid w:val="007A49E0"/>
    <w:rsid w:val="007A4A31"/>
    <w:rsid w:val="007A4A99"/>
    <w:rsid w:val="007A4E9D"/>
    <w:rsid w:val="007A4FBD"/>
    <w:rsid w:val="007A4FE5"/>
    <w:rsid w:val="007A5062"/>
    <w:rsid w:val="007A510C"/>
    <w:rsid w:val="007A524D"/>
    <w:rsid w:val="007A54B5"/>
    <w:rsid w:val="007A55A6"/>
    <w:rsid w:val="007A55B9"/>
    <w:rsid w:val="007A579A"/>
    <w:rsid w:val="007A57DC"/>
    <w:rsid w:val="007A59C6"/>
    <w:rsid w:val="007A59EE"/>
    <w:rsid w:val="007A5A49"/>
    <w:rsid w:val="007A5BC3"/>
    <w:rsid w:val="007A5C22"/>
    <w:rsid w:val="007A61F1"/>
    <w:rsid w:val="007A62EC"/>
    <w:rsid w:val="007A647A"/>
    <w:rsid w:val="007A669D"/>
    <w:rsid w:val="007A67C0"/>
    <w:rsid w:val="007A6A90"/>
    <w:rsid w:val="007A6AAD"/>
    <w:rsid w:val="007A6BF7"/>
    <w:rsid w:val="007A6D3B"/>
    <w:rsid w:val="007A7138"/>
    <w:rsid w:val="007A7278"/>
    <w:rsid w:val="007A732B"/>
    <w:rsid w:val="007A73C3"/>
    <w:rsid w:val="007A76D7"/>
    <w:rsid w:val="007A7AE4"/>
    <w:rsid w:val="007A7B42"/>
    <w:rsid w:val="007A7C23"/>
    <w:rsid w:val="007A7C8A"/>
    <w:rsid w:val="007A7DD3"/>
    <w:rsid w:val="007A7EDE"/>
    <w:rsid w:val="007A7F01"/>
    <w:rsid w:val="007A7F48"/>
    <w:rsid w:val="007B0287"/>
    <w:rsid w:val="007B0682"/>
    <w:rsid w:val="007B0805"/>
    <w:rsid w:val="007B08DE"/>
    <w:rsid w:val="007B097E"/>
    <w:rsid w:val="007B0C4E"/>
    <w:rsid w:val="007B0DD5"/>
    <w:rsid w:val="007B11BF"/>
    <w:rsid w:val="007B12DB"/>
    <w:rsid w:val="007B13AD"/>
    <w:rsid w:val="007B1597"/>
    <w:rsid w:val="007B15BC"/>
    <w:rsid w:val="007B1812"/>
    <w:rsid w:val="007B1885"/>
    <w:rsid w:val="007B1AFC"/>
    <w:rsid w:val="007B1D1F"/>
    <w:rsid w:val="007B1DA5"/>
    <w:rsid w:val="007B1EEE"/>
    <w:rsid w:val="007B20D2"/>
    <w:rsid w:val="007B214E"/>
    <w:rsid w:val="007B23C1"/>
    <w:rsid w:val="007B23D0"/>
    <w:rsid w:val="007B2500"/>
    <w:rsid w:val="007B252F"/>
    <w:rsid w:val="007B25BA"/>
    <w:rsid w:val="007B2764"/>
    <w:rsid w:val="007B2831"/>
    <w:rsid w:val="007B2A17"/>
    <w:rsid w:val="007B2A4E"/>
    <w:rsid w:val="007B2A90"/>
    <w:rsid w:val="007B2CAB"/>
    <w:rsid w:val="007B2FA2"/>
    <w:rsid w:val="007B30F4"/>
    <w:rsid w:val="007B321B"/>
    <w:rsid w:val="007B3574"/>
    <w:rsid w:val="007B36DC"/>
    <w:rsid w:val="007B3764"/>
    <w:rsid w:val="007B3A38"/>
    <w:rsid w:val="007B3A5D"/>
    <w:rsid w:val="007B3CAE"/>
    <w:rsid w:val="007B3DE2"/>
    <w:rsid w:val="007B43AF"/>
    <w:rsid w:val="007B4710"/>
    <w:rsid w:val="007B4714"/>
    <w:rsid w:val="007B4813"/>
    <w:rsid w:val="007B485A"/>
    <w:rsid w:val="007B48E3"/>
    <w:rsid w:val="007B4A4F"/>
    <w:rsid w:val="007B4B00"/>
    <w:rsid w:val="007B4C58"/>
    <w:rsid w:val="007B4E56"/>
    <w:rsid w:val="007B4FCE"/>
    <w:rsid w:val="007B512A"/>
    <w:rsid w:val="007B5405"/>
    <w:rsid w:val="007B5423"/>
    <w:rsid w:val="007B54FF"/>
    <w:rsid w:val="007B550B"/>
    <w:rsid w:val="007B5771"/>
    <w:rsid w:val="007B5E25"/>
    <w:rsid w:val="007B5EA3"/>
    <w:rsid w:val="007B5F4D"/>
    <w:rsid w:val="007B60F2"/>
    <w:rsid w:val="007B613A"/>
    <w:rsid w:val="007B63C1"/>
    <w:rsid w:val="007B6518"/>
    <w:rsid w:val="007B67FA"/>
    <w:rsid w:val="007B6CDD"/>
    <w:rsid w:val="007B6D0A"/>
    <w:rsid w:val="007B6F47"/>
    <w:rsid w:val="007B7073"/>
    <w:rsid w:val="007B7080"/>
    <w:rsid w:val="007B70CE"/>
    <w:rsid w:val="007B70E1"/>
    <w:rsid w:val="007B7137"/>
    <w:rsid w:val="007B75B3"/>
    <w:rsid w:val="007B797D"/>
    <w:rsid w:val="007B7AE1"/>
    <w:rsid w:val="007B7B1B"/>
    <w:rsid w:val="007B7CAF"/>
    <w:rsid w:val="007B7E8E"/>
    <w:rsid w:val="007C01A2"/>
    <w:rsid w:val="007C01FD"/>
    <w:rsid w:val="007C0224"/>
    <w:rsid w:val="007C027C"/>
    <w:rsid w:val="007C0350"/>
    <w:rsid w:val="007C048A"/>
    <w:rsid w:val="007C05AC"/>
    <w:rsid w:val="007C0756"/>
    <w:rsid w:val="007C0812"/>
    <w:rsid w:val="007C089D"/>
    <w:rsid w:val="007C0AB3"/>
    <w:rsid w:val="007C0F66"/>
    <w:rsid w:val="007C0FDC"/>
    <w:rsid w:val="007C0FE0"/>
    <w:rsid w:val="007C104E"/>
    <w:rsid w:val="007C1273"/>
    <w:rsid w:val="007C1338"/>
    <w:rsid w:val="007C155A"/>
    <w:rsid w:val="007C17B1"/>
    <w:rsid w:val="007C17FB"/>
    <w:rsid w:val="007C1ABA"/>
    <w:rsid w:val="007C1C9A"/>
    <w:rsid w:val="007C1DDE"/>
    <w:rsid w:val="007C1F9F"/>
    <w:rsid w:val="007C237E"/>
    <w:rsid w:val="007C2390"/>
    <w:rsid w:val="007C239D"/>
    <w:rsid w:val="007C23E4"/>
    <w:rsid w:val="007C246B"/>
    <w:rsid w:val="007C2487"/>
    <w:rsid w:val="007C2AFA"/>
    <w:rsid w:val="007C2C2B"/>
    <w:rsid w:val="007C30FD"/>
    <w:rsid w:val="007C3200"/>
    <w:rsid w:val="007C32AF"/>
    <w:rsid w:val="007C33DC"/>
    <w:rsid w:val="007C363B"/>
    <w:rsid w:val="007C3742"/>
    <w:rsid w:val="007C37A5"/>
    <w:rsid w:val="007C39C6"/>
    <w:rsid w:val="007C3A0B"/>
    <w:rsid w:val="007C3A1C"/>
    <w:rsid w:val="007C3A34"/>
    <w:rsid w:val="007C3B0A"/>
    <w:rsid w:val="007C3B60"/>
    <w:rsid w:val="007C3B66"/>
    <w:rsid w:val="007C40C1"/>
    <w:rsid w:val="007C4348"/>
    <w:rsid w:val="007C448B"/>
    <w:rsid w:val="007C457B"/>
    <w:rsid w:val="007C458D"/>
    <w:rsid w:val="007C497B"/>
    <w:rsid w:val="007C49AA"/>
    <w:rsid w:val="007C4BE4"/>
    <w:rsid w:val="007C4C4C"/>
    <w:rsid w:val="007C4D3C"/>
    <w:rsid w:val="007C4D4C"/>
    <w:rsid w:val="007C4E2B"/>
    <w:rsid w:val="007C4FB6"/>
    <w:rsid w:val="007C50E5"/>
    <w:rsid w:val="007C533D"/>
    <w:rsid w:val="007C542A"/>
    <w:rsid w:val="007C54C3"/>
    <w:rsid w:val="007C54DC"/>
    <w:rsid w:val="007C54EB"/>
    <w:rsid w:val="007C56E2"/>
    <w:rsid w:val="007C5791"/>
    <w:rsid w:val="007C5C0E"/>
    <w:rsid w:val="007C5CEA"/>
    <w:rsid w:val="007C601C"/>
    <w:rsid w:val="007C620C"/>
    <w:rsid w:val="007C63FC"/>
    <w:rsid w:val="007C658D"/>
    <w:rsid w:val="007C6760"/>
    <w:rsid w:val="007C68E0"/>
    <w:rsid w:val="007C6A17"/>
    <w:rsid w:val="007C6A41"/>
    <w:rsid w:val="007C6A58"/>
    <w:rsid w:val="007C6AAB"/>
    <w:rsid w:val="007C6B6F"/>
    <w:rsid w:val="007C6E05"/>
    <w:rsid w:val="007C7299"/>
    <w:rsid w:val="007C749A"/>
    <w:rsid w:val="007C7594"/>
    <w:rsid w:val="007C775E"/>
    <w:rsid w:val="007C7870"/>
    <w:rsid w:val="007C7930"/>
    <w:rsid w:val="007C7C64"/>
    <w:rsid w:val="007C7CF1"/>
    <w:rsid w:val="007C7DA0"/>
    <w:rsid w:val="007C7DCA"/>
    <w:rsid w:val="007C7E62"/>
    <w:rsid w:val="007D03F6"/>
    <w:rsid w:val="007D0548"/>
    <w:rsid w:val="007D0656"/>
    <w:rsid w:val="007D06E8"/>
    <w:rsid w:val="007D0A3F"/>
    <w:rsid w:val="007D0B29"/>
    <w:rsid w:val="007D0F51"/>
    <w:rsid w:val="007D128B"/>
    <w:rsid w:val="007D12C9"/>
    <w:rsid w:val="007D14C9"/>
    <w:rsid w:val="007D1539"/>
    <w:rsid w:val="007D17DB"/>
    <w:rsid w:val="007D1897"/>
    <w:rsid w:val="007D18AD"/>
    <w:rsid w:val="007D18B9"/>
    <w:rsid w:val="007D1931"/>
    <w:rsid w:val="007D1ACC"/>
    <w:rsid w:val="007D1CAD"/>
    <w:rsid w:val="007D1E9A"/>
    <w:rsid w:val="007D20DE"/>
    <w:rsid w:val="007D213B"/>
    <w:rsid w:val="007D24FE"/>
    <w:rsid w:val="007D25E3"/>
    <w:rsid w:val="007D2627"/>
    <w:rsid w:val="007D26AE"/>
    <w:rsid w:val="007D2DBA"/>
    <w:rsid w:val="007D2F03"/>
    <w:rsid w:val="007D3561"/>
    <w:rsid w:val="007D35F8"/>
    <w:rsid w:val="007D3B59"/>
    <w:rsid w:val="007D3B86"/>
    <w:rsid w:val="007D3C8A"/>
    <w:rsid w:val="007D3EB1"/>
    <w:rsid w:val="007D44E4"/>
    <w:rsid w:val="007D478C"/>
    <w:rsid w:val="007D4798"/>
    <w:rsid w:val="007D47A1"/>
    <w:rsid w:val="007D47AA"/>
    <w:rsid w:val="007D4884"/>
    <w:rsid w:val="007D499A"/>
    <w:rsid w:val="007D49BC"/>
    <w:rsid w:val="007D4BEE"/>
    <w:rsid w:val="007D4CC4"/>
    <w:rsid w:val="007D4E5F"/>
    <w:rsid w:val="007D4F0E"/>
    <w:rsid w:val="007D5236"/>
    <w:rsid w:val="007D52CC"/>
    <w:rsid w:val="007D556E"/>
    <w:rsid w:val="007D58FF"/>
    <w:rsid w:val="007D597D"/>
    <w:rsid w:val="007D5E71"/>
    <w:rsid w:val="007D6098"/>
    <w:rsid w:val="007D655C"/>
    <w:rsid w:val="007D65F2"/>
    <w:rsid w:val="007D66C7"/>
    <w:rsid w:val="007D674D"/>
    <w:rsid w:val="007D6759"/>
    <w:rsid w:val="007D676D"/>
    <w:rsid w:val="007D67EC"/>
    <w:rsid w:val="007D68C2"/>
    <w:rsid w:val="007D6AAF"/>
    <w:rsid w:val="007D6B83"/>
    <w:rsid w:val="007D6E58"/>
    <w:rsid w:val="007D6F2F"/>
    <w:rsid w:val="007D6F3F"/>
    <w:rsid w:val="007D714B"/>
    <w:rsid w:val="007D7219"/>
    <w:rsid w:val="007D745B"/>
    <w:rsid w:val="007D7760"/>
    <w:rsid w:val="007D7CA8"/>
    <w:rsid w:val="007D7CAE"/>
    <w:rsid w:val="007D7D59"/>
    <w:rsid w:val="007D7EF2"/>
    <w:rsid w:val="007D7FCD"/>
    <w:rsid w:val="007DD4D0"/>
    <w:rsid w:val="007E0507"/>
    <w:rsid w:val="007E0769"/>
    <w:rsid w:val="007E0A52"/>
    <w:rsid w:val="007E0ACF"/>
    <w:rsid w:val="007E0E77"/>
    <w:rsid w:val="007E0FEF"/>
    <w:rsid w:val="007E10F5"/>
    <w:rsid w:val="007E12BD"/>
    <w:rsid w:val="007E15BB"/>
    <w:rsid w:val="007E15C4"/>
    <w:rsid w:val="007E165E"/>
    <w:rsid w:val="007E16A4"/>
    <w:rsid w:val="007E1AD3"/>
    <w:rsid w:val="007E1ADE"/>
    <w:rsid w:val="007E20BB"/>
    <w:rsid w:val="007E2B90"/>
    <w:rsid w:val="007E2C8B"/>
    <w:rsid w:val="007E2D98"/>
    <w:rsid w:val="007E2F3E"/>
    <w:rsid w:val="007E3109"/>
    <w:rsid w:val="007E317F"/>
    <w:rsid w:val="007E31DE"/>
    <w:rsid w:val="007E32AA"/>
    <w:rsid w:val="007E32CD"/>
    <w:rsid w:val="007E338C"/>
    <w:rsid w:val="007E33D5"/>
    <w:rsid w:val="007E362A"/>
    <w:rsid w:val="007E37CD"/>
    <w:rsid w:val="007E397F"/>
    <w:rsid w:val="007E39DA"/>
    <w:rsid w:val="007E3B6C"/>
    <w:rsid w:val="007E3D0F"/>
    <w:rsid w:val="007E3EE4"/>
    <w:rsid w:val="007E423F"/>
    <w:rsid w:val="007E44B7"/>
    <w:rsid w:val="007E4547"/>
    <w:rsid w:val="007E4873"/>
    <w:rsid w:val="007E4B42"/>
    <w:rsid w:val="007E521E"/>
    <w:rsid w:val="007E52B2"/>
    <w:rsid w:val="007E5321"/>
    <w:rsid w:val="007E56C3"/>
    <w:rsid w:val="007E5709"/>
    <w:rsid w:val="007E5768"/>
    <w:rsid w:val="007E577C"/>
    <w:rsid w:val="007E58A8"/>
    <w:rsid w:val="007E5B78"/>
    <w:rsid w:val="007E5D2C"/>
    <w:rsid w:val="007E5D31"/>
    <w:rsid w:val="007E5F8D"/>
    <w:rsid w:val="007E5FBA"/>
    <w:rsid w:val="007E61FA"/>
    <w:rsid w:val="007E623C"/>
    <w:rsid w:val="007E647C"/>
    <w:rsid w:val="007E65B7"/>
    <w:rsid w:val="007E6679"/>
    <w:rsid w:val="007E6681"/>
    <w:rsid w:val="007E6747"/>
    <w:rsid w:val="007E6961"/>
    <w:rsid w:val="007E6B54"/>
    <w:rsid w:val="007E6C87"/>
    <w:rsid w:val="007E6CA9"/>
    <w:rsid w:val="007E6EB6"/>
    <w:rsid w:val="007E6F96"/>
    <w:rsid w:val="007E7574"/>
    <w:rsid w:val="007E77A3"/>
    <w:rsid w:val="007E788A"/>
    <w:rsid w:val="007E7B9A"/>
    <w:rsid w:val="007E7CA0"/>
    <w:rsid w:val="007F0181"/>
    <w:rsid w:val="007F058F"/>
    <w:rsid w:val="007F0649"/>
    <w:rsid w:val="007F0786"/>
    <w:rsid w:val="007F093C"/>
    <w:rsid w:val="007F0D47"/>
    <w:rsid w:val="007F0D4D"/>
    <w:rsid w:val="007F0F6B"/>
    <w:rsid w:val="007F11F8"/>
    <w:rsid w:val="007F15CA"/>
    <w:rsid w:val="007F1833"/>
    <w:rsid w:val="007F18B4"/>
    <w:rsid w:val="007F192C"/>
    <w:rsid w:val="007F19B9"/>
    <w:rsid w:val="007F19FC"/>
    <w:rsid w:val="007F1B17"/>
    <w:rsid w:val="007F1C52"/>
    <w:rsid w:val="007F1C57"/>
    <w:rsid w:val="007F1DF2"/>
    <w:rsid w:val="007F1E08"/>
    <w:rsid w:val="007F1E2E"/>
    <w:rsid w:val="007F1F13"/>
    <w:rsid w:val="007F2113"/>
    <w:rsid w:val="007F2140"/>
    <w:rsid w:val="007F21A3"/>
    <w:rsid w:val="007F21F7"/>
    <w:rsid w:val="007F228F"/>
    <w:rsid w:val="007F22CC"/>
    <w:rsid w:val="007F2803"/>
    <w:rsid w:val="007F2814"/>
    <w:rsid w:val="007F2977"/>
    <w:rsid w:val="007F2B2C"/>
    <w:rsid w:val="007F2C43"/>
    <w:rsid w:val="007F2D31"/>
    <w:rsid w:val="007F2E8A"/>
    <w:rsid w:val="007F2E8C"/>
    <w:rsid w:val="007F3275"/>
    <w:rsid w:val="007F32C4"/>
    <w:rsid w:val="007F335A"/>
    <w:rsid w:val="007F3556"/>
    <w:rsid w:val="007F3602"/>
    <w:rsid w:val="007F3687"/>
    <w:rsid w:val="007F36F9"/>
    <w:rsid w:val="007F3B82"/>
    <w:rsid w:val="007F3B8D"/>
    <w:rsid w:val="007F3E9F"/>
    <w:rsid w:val="007F4001"/>
    <w:rsid w:val="007F44EB"/>
    <w:rsid w:val="007F450F"/>
    <w:rsid w:val="007F4818"/>
    <w:rsid w:val="007F4868"/>
    <w:rsid w:val="007F4869"/>
    <w:rsid w:val="007F49B1"/>
    <w:rsid w:val="007F4DC5"/>
    <w:rsid w:val="007F4DDB"/>
    <w:rsid w:val="007F50F8"/>
    <w:rsid w:val="007F5128"/>
    <w:rsid w:val="007F522A"/>
    <w:rsid w:val="007F523C"/>
    <w:rsid w:val="007F52AF"/>
    <w:rsid w:val="007F5607"/>
    <w:rsid w:val="007F56F8"/>
    <w:rsid w:val="007F5785"/>
    <w:rsid w:val="007F5834"/>
    <w:rsid w:val="007F59A2"/>
    <w:rsid w:val="007F5D94"/>
    <w:rsid w:val="007F5F61"/>
    <w:rsid w:val="007F5F7C"/>
    <w:rsid w:val="007F62F6"/>
    <w:rsid w:val="007F655F"/>
    <w:rsid w:val="007F6581"/>
    <w:rsid w:val="007F658C"/>
    <w:rsid w:val="007F66A1"/>
    <w:rsid w:val="007F66DE"/>
    <w:rsid w:val="007F66FB"/>
    <w:rsid w:val="007F69A3"/>
    <w:rsid w:val="007F6AB5"/>
    <w:rsid w:val="007F6DD3"/>
    <w:rsid w:val="007F6F8B"/>
    <w:rsid w:val="007F6FAF"/>
    <w:rsid w:val="007F709F"/>
    <w:rsid w:val="007F72A4"/>
    <w:rsid w:val="007F745B"/>
    <w:rsid w:val="007F759D"/>
    <w:rsid w:val="007F76C0"/>
    <w:rsid w:val="007F771C"/>
    <w:rsid w:val="007F7843"/>
    <w:rsid w:val="007F7AC1"/>
    <w:rsid w:val="007F7EB2"/>
    <w:rsid w:val="007F7FE5"/>
    <w:rsid w:val="008001B2"/>
    <w:rsid w:val="00800665"/>
    <w:rsid w:val="008006EF"/>
    <w:rsid w:val="00800730"/>
    <w:rsid w:val="0080076C"/>
    <w:rsid w:val="0080081B"/>
    <w:rsid w:val="00800930"/>
    <w:rsid w:val="00800936"/>
    <w:rsid w:val="008009C2"/>
    <w:rsid w:val="00801017"/>
    <w:rsid w:val="008010CD"/>
    <w:rsid w:val="008011A8"/>
    <w:rsid w:val="008013F1"/>
    <w:rsid w:val="00801416"/>
    <w:rsid w:val="0080163A"/>
    <w:rsid w:val="00801B24"/>
    <w:rsid w:val="00801C4D"/>
    <w:rsid w:val="008022D9"/>
    <w:rsid w:val="0080274D"/>
    <w:rsid w:val="008028B1"/>
    <w:rsid w:val="00802B69"/>
    <w:rsid w:val="00802C1A"/>
    <w:rsid w:val="00802C44"/>
    <w:rsid w:val="00802D4A"/>
    <w:rsid w:val="00802D90"/>
    <w:rsid w:val="00802FA8"/>
    <w:rsid w:val="00802FEA"/>
    <w:rsid w:val="008031B4"/>
    <w:rsid w:val="00803701"/>
    <w:rsid w:val="0080384B"/>
    <w:rsid w:val="008039DD"/>
    <w:rsid w:val="00803A9F"/>
    <w:rsid w:val="00803AAD"/>
    <w:rsid w:val="00803B55"/>
    <w:rsid w:val="00803B6A"/>
    <w:rsid w:val="00803DF8"/>
    <w:rsid w:val="00803FD6"/>
    <w:rsid w:val="0080431D"/>
    <w:rsid w:val="00804326"/>
    <w:rsid w:val="008043FA"/>
    <w:rsid w:val="008044BD"/>
    <w:rsid w:val="00804729"/>
    <w:rsid w:val="00804B6C"/>
    <w:rsid w:val="00804D38"/>
    <w:rsid w:val="00804DC8"/>
    <w:rsid w:val="00804F4C"/>
    <w:rsid w:val="00805190"/>
    <w:rsid w:val="0080553F"/>
    <w:rsid w:val="008058F3"/>
    <w:rsid w:val="0080596B"/>
    <w:rsid w:val="00805A78"/>
    <w:rsid w:val="00805B4F"/>
    <w:rsid w:val="00805F63"/>
    <w:rsid w:val="0080611C"/>
    <w:rsid w:val="00806198"/>
    <w:rsid w:val="00806979"/>
    <w:rsid w:val="008069EB"/>
    <w:rsid w:val="00806C74"/>
    <w:rsid w:val="00806D1D"/>
    <w:rsid w:val="00807123"/>
    <w:rsid w:val="0080722D"/>
    <w:rsid w:val="008072AC"/>
    <w:rsid w:val="008073C5"/>
    <w:rsid w:val="008073FD"/>
    <w:rsid w:val="00807644"/>
    <w:rsid w:val="008077FB"/>
    <w:rsid w:val="0080797F"/>
    <w:rsid w:val="008079DF"/>
    <w:rsid w:val="00807BFA"/>
    <w:rsid w:val="00807F02"/>
    <w:rsid w:val="00807F55"/>
    <w:rsid w:val="00807FA9"/>
    <w:rsid w:val="008102CB"/>
    <w:rsid w:val="008102F9"/>
    <w:rsid w:val="0081060F"/>
    <w:rsid w:val="00810D7E"/>
    <w:rsid w:val="00810E35"/>
    <w:rsid w:val="00810F46"/>
    <w:rsid w:val="008115C7"/>
    <w:rsid w:val="008116F0"/>
    <w:rsid w:val="0081173D"/>
    <w:rsid w:val="008117F6"/>
    <w:rsid w:val="008118DE"/>
    <w:rsid w:val="0081190E"/>
    <w:rsid w:val="00811A30"/>
    <w:rsid w:val="00811C01"/>
    <w:rsid w:val="00811DAC"/>
    <w:rsid w:val="00812143"/>
    <w:rsid w:val="008123BB"/>
    <w:rsid w:val="00812448"/>
    <w:rsid w:val="008126D1"/>
    <w:rsid w:val="00812979"/>
    <w:rsid w:val="00812996"/>
    <w:rsid w:val="00812C72"/>
    <w:rsid w:val="00812E29"/>
    <w:rsid w:val="008132AB"/>
    <w:rsid w:val="008133BA"/>
    <w:rsid w:val="00813804"/>
    <w:rsid w:val="0081395C"/>
    <w:rsid w:val="00813AA9"/>
    <w:rsid w:val="00813B08"/>
    <w:rsid w:val="00813C13"/>
    <w:rsid w:val="00813C4D"/>
    <w:rsid w:val="008140C7"/>
    <w:rsid w:val="00814278"/>
    <w:rsid w:val="00814299"/>
    <w:rsid w:val="00814510"/>
    <w:rsid w:val="00814562"/>
    <w:rsid w:val="0081457B"/>
    <w:rsid w:val="0081473D"/>
    <w:rsid w:val="008147BE"/>
    <w:rsid w:val="00814836"/>
    <w:rsid w:val="00814B9F"/>
    <w:rsid w:val="00814DAB"/>
    <w:rsid w:val="00814DFB"/>
    <w:rsid w:val="00814F2E"/>
    <w:rsid w:val="008154DE"/>
    <w:rsid w:val="00815692"/>
    <w:rsid w:val="008157DB"/>
    <w:rsid w:val="008158B9"/>
    <w:rsid w:val="00815B6F"/>
    <w:rsid w:val="00815B76"/>
    <w:rsid w:val="00815C71"/>
    <w:rsid w:val="00815CF7"/>
    <w:rsid w:val="00816298"/>
    <w:rsid w:val="0081639F"/>
    <w:rsid w:val="008165CB"/>
    <w:rsid w:val="0081674B"/>
    <w:rsid w:val="00816B84"/>
    <w:rsid w:val="00816C53"/>
    <w:rsid w:val="00816EC6"/>
    <w:rsid w:val="00816F78"/>
    <w:rsid w:val="008170E8"/>
    <w:rsid w:val="008170FF"/>
    <w:rsid w:val="008173D3"/>
    <w:rsid w:val="008173DF"/>
    <w:rsid w:val="00817856"/>
    <w:rsid w:val="008178C1"/>
    <w:rsid w:val="00817BAF"/>
    <w:rsid w:val="00817C59"/>
    <w:rsid w:val="00817CE2"/>
    <w:rsid w:val="00817DAA"/>
    <w:rsid w:val="00817EE1"/>
    <w:rsid w:val="008186A5"/>
    <w:rsid w:val="008201D7"/>
    <w:rsid w:val="008201FB"/>
    <w:rsid w:val="008203F0"/>
    <w:rsid w:val="00820453"/>
    <w:rsid w:val="00820534"/>
    <w:rsid w:val="00820570"/>
    <w:rsid w:val="008206B9"/>
    <w:rsid w:val="008206C6"/>
    <w:rsid w:val="0082076D"/>
    <w:rsid w:val="0082086C"/>
    <w:rsid w:val="00820E85"/>
    <w:rsid w:val="00820F84"/>
    <w:rsid w:val="00821010"/>
    <w:rsid w:val="008210B0"/>
    <w:rsid w:val="0082118A"/>
    <w:rsid w:val="00821191"/>
    <w:rsid w:val="00821570"/>
    <w:rsid w:val="00821615"/>
    <w:rsid w:val="0082162F"/>
    <w:rsid w:val="0082181A"/>
    <w:rsid w:val="00821A63"/>
    <w:rsid w:val="00821B5B"/>
    <w:rsid w:val="00821C33"/>
    <w:rsid w:val="00821CA6"/>
    <w:rsid w:val="00821DA8"/>
    <w:rsid w:val="00821FDE"/>
    <w:rsid w:val="0082203E"/>
    <w:rsid w:val="00822155"/>
    <w:rsid w:val="00822394"/>
    <w:rsid w:val="008223AD"/>
    <w:rsid w:val="00822503"/>
    <w:rsid w:val="0082252B"/>
    <w:rsid w:val="008225C4"/>
    <w:rsid w:val="00822A3D"/>
    <w:rsid w:val="00822A4B"/>
    <w:rsid w:val="00822B40"/>
    <w:rsid w:val="00822CB1"/>
    <w:rsid w:val="008237EC"/>
    <w:rsid w:val="00823853"/>
    <w:rsid w:val="008239F5"/>
    <w:rsid w:val="00823B95"/>
    <w:rsid w:val="00823DBA"/>
    <w:rsid w:val="00823F41"/>
    <w:rsid w:val="00823F8B"/>
    <w:rsid w:val="0082419E"/>
    <w:rsid w:val="00824305"/>
    <w:rsid w:val="00824451"/>
    <w:rsid w:val="008245A9"/>
    <w:rsid w:val="008245B8"/>
    <w:rsid w:val="00824705"/>
    <w:rsid w:val="008247F2"/>
    <w:rsid w:val="00824862"/>
    <w:rsid w:val="0082486D"/>
    <w:rsid w:val="00824A8C"/>
    <w:rsid w:val="00824BE5"/>
    <w:rsid w:val="00824C6D"/>
    <w:rsid w:val="008250AD"/>
    <w:rsid w:val="008251FD"/>
    <w:rsid w:val="0082527B"/>
    <w:rsid w:val="008253F5"/>
    <w:rsid w:val="00825477"/>
    <w:rsid w:val="00825863"/>
    <w:rsid w:val="008258DF"/>
    <w:rsid w:val="008259B6"/>
    <w:rsid w:val="00825BA1"/>
    <w:rsid w:val="00825BD6"/>
    <w:rsid w:val="00825CB8"/>
    <w:rsid w:val="00825F25"/>
    <w:rsid w:val="00826013"/>
    <w:rsid w:val="00826590"/>
    <w:rsid w:val="00826719"/>
    <w:rsid w:val="00826894"/>
    <w:rsid w:val="00826B5B"/>
    <w:rsid w:val="00826BF4"/>
    <w:rsid w:val="00826DD6"/>
    <w:rsid w:val="00826E54"/>
    <w:rsid w:val="00826ED0"/>
    <w:rsid w:val="00826FA0"/>
    <w:rsid w:val="008270D0"/>
    <w:rsid w:val="0082738B"/>
    <w:rsid w:val="0082748D"/>
    <w:rsid w:val="008275EA"/>
    <w:rsid w:val="00827617"/>
    <w:rsid w:val="00827910"/>
    <w:rsid w:val="00827B78"/>
    <w:rsid w:val="00827EBC"/>
    <w:rsid w:val="00827F0D"/>
    <w:rsid w:val="008301BB"/>
    <w:rsid w:val="00830677"/>
    <w:rsid w:val="00830A43"/>
    <w:rsid w:val="00830B5B"/>
    <w:rsid w:val="00830BD1"/>
    <w:rsid w:val="00830F25"/>
    <w:rsid w:val="0083130E"/>
    <w:rsid w:val="008313CD"/>
    <w:rsid w:val="008313D4"/>
    <w:rsid w:val="00831846"/>
    <w:rsid w:val="00831AD6"/>
    <w:rsid w:val="00831BE7"/>
    <w:rsid w:val="00831D7A"/>
    <w:rsid w:val="00831EE1"/>
    <w:rsid w:val="0083232A"/>
    <w:rsid w:val="0083237C"/>
    <w:rsid w:val="008324F2"/>
    <w:rsid w:val="008326B8"/>
    <w:rsid w:val="00832828"/>
    <w:rsid w:val="008328CB"/>
    <w:rsid w:val="008328D9"/>
    <w:rsid w:val="0083299F"/>
    <w:rsid w:val="00832B9B"/>
    <w:rsid w:val="00832D2F"/>
    <w:rsid w:val="00832D73"/>
    <w:rsid w:val="00832F40"/>
    <w:rsid w:val="00832F9E"/>
    <w:rsid w:val="00832FE5"/>
    <w:rsid w:val="00833029"/>
    <w:rsid w:val="008330E4"/>
    <w:rsid w:val="00833150"/>
    <w:rsid w:val="00833379"/>
    <w:rsid w:val="008333DD"/>
    <w:rsid w:val="0083343B"/>
    <w:rsid w:val="008334CA"/>
    <w:rsid w:val="008334EF"/>
    <w:rsid w:val="008335F0"/>
    <w:rsid w:val="00833793"/>
    <w:rsid w:val="0083392D"/>
    <w:rsid w:val="00833A16"/>
    <w:rsid w:val="00833A21"/>
    <w:rsid w:val="00833A31"/>
    <w:rsid w:val="00833A36"/>
    <w:rsid w:val="00833DC9"/>
    <w:rsid w:val="00833E27"/>
    <w:rsid w:val="00834070"/>
    <w:rsid w:val="00834082"/>
    <w:rsid w:val="008340E7"/>
    <w:rsid w:val="00834307"/>
    <w:rsid w:val="008343F9"/>
    <w:rsid w:val="008344B2"/>
    <w:rsid w:val="0083476E"/>
    <w:rsid w:val="00834B32"/>
    <w:rsid w:val="00834C1A"/>
    <w:rsid w:val="00834E13"/>
    <w:rsid w:val="00835434"/>
    <w:rsid w:val="008355BC"/>
    <w:rsid w:val="00835750"/>
    <w:rsid w:val="00835881"/>
    <w:rsid w:val="008358B3"/>
    <w:rsid w:val="00835ABF"/>
    <w:rsid w:val="00835C54"/>
    <w:rsid w:val="00835FC0"/>
    <w:rsid w:val="0083604A"/>
    <w:rsid w:val="00836055"/>
    <w:rsid w:val="00836322"/>
    <w:rsid w:val="00836366"/>
    <w:rsid w:val="008368AA"/>
    <w:rsid w:val="0083692C"/>
    <w:rsid w:val="00836C09"/>
    <w:rsid w:val="00836C1C"/>
    <w:rsid w:val="00836D05"/>
    <w:rsid w:val="00836D49"/>
    <w:rsid w:val="00837070"/>
    <w:rsid w:val="0083709F"/>
    <w:rsid w:val="0083739D"/>
    <w:rsid w:val="008377C2"/>
    <w:rsid w:val="00837896"/>
    <w:rsid w:val="008378E7"/>
    <w:rsid w:val="00837BD6"/>
    <w:rsid w:val="00837CFB"/>
    <w:rsid w:val="00837F51"/>
    <w:rsid w:val="00837F84"/>
    <w:rsid w:val="00840203"/>
    <w:rsid w:val="008402D0"/>
    <w:rsid w:val="00840359"/>
    <w:rsid w:val="008407B0"/>
    <w:rsid w:val="0084083A"/>
    <w:rsid w:val="00840C3A"/>
    <w:rsid w:val="00840CE8"/>
    <w:rsid w:val="00840DEB"/>
    <w:rsid w:val="00840EA4"/>
    <w:rsid w:val="0084118D"/>
    <w:rsid w:val="00841241"/>
    <w:rsid w:val="00841271"/>
    <w:rsid w:val="008417BC"/>
    <w:rsid w:val="00841815"/>
    <w:rsid w:val="008418F5"/>
    <w:rsid w:val="00841973"/>
    <w:rsid w:val="00841976"/>
    <w:rsid w:val="00841D25"/>
    <w:rsid w:val="00841FA8"/>
    <w:rsid w:val="00842098"/>
    <w:rsid w:val="008420E6"/>
    <w:rsid w:val="00842578"/>
    <w:rsid w:val="008427FC"/>
    <w:rsid w:val="008429CD"/>
    <w:rsid w:val="00842B55"/>
    <w:rsid w:val="00842CD2"/>
    <w:rsid w:val="00842CF8"/>
    <w:rsid w:val="00842EE2"/>
    <w:rsid w:val="008431E6"/>
    <w:rsid w:val="00843254"/>
    <w:rsid w:val="00843417"/>
    <w:rsid w:val="0084384E"/>
    <w:rsid w:val="00843A1D"/>
    <w:rsid w:val="00843AF0"/>
    <w:rsid w:val="00843FB5"/>
    <w:rsid w:val="008440AD"/>
    <w:rsid w:val="0084432E"/>
    <w:rsid w:val="00844368"/>
    <w:rsid w:val="008445EB"/>
    <w:rsid w:val="008446FB"/>
    <w:rsid w:val="008447BB"/>
    <w:rsid w:val="00844975"/>
    <w:rsid w:val="00844B21"/>
    <w:rsid w:val="00844B7E"/>
    <w:rsid w:val="00844FC0"/>
    <w:rsid w:val="008450A1"/>
    <w:rsid w:val="0084513E"/>
    <w:rsid w:val="00845172"/>
    <w:rsid w:val="008451EB"/>
    <w:rsid w:val="008453EE"/>
    <w:rsid w:val="00845492"/>
    <w:rsid w:val="00845731"/>
    <w:rsid w:val="008458FF"/>
    <w:rsid w:val="008459C7"/>
    <w:rsid w:val="00845B71"/>
    <w:rsid w:val="00845BB6"/>
    <w:rsid w:val="00845C0D"/>
    <w:rsid w:val="00845E2E"/>
    <w:rsid w:val="008460DF"/>
    <w:rsid w:val="008462C3"/>
    <w:rsid w:val="00846427"/>
    <w:rsid w:val="008464E9"/>
    <w:rsid w:val="00846616"/>
    <w:rsid w:val="008466FD"/>
    <w:rsid w:val="00846FE1"/>
    <w:rsid w:val="00847001"/>
    <w:rsid w:val="00847166"/>
    <w:rsid w:val="00847272"/>
    <w:rsid w:val="008472CC"/>
    <w:rsid w:val="0084772B"/>
    <w:rsid w:val="008477A9"/>
    <w:rsid w:val="00847AB9"/>
    <w:rsid w:val="00847BBD"/>
    <w:rsid w:val="00847D12"/>
    <w:rsid w:val="00847DC6"/>
    <w:rsid w:val="00847DF1"/>
    <w:rsid w:val="00850062"/>
    <w:rsid w:val="008500A6"/>
    <w:rsid w:val="00850343"/>
    <w:rsid w:val="00850359"/>
    <w:rsid w:val="00850909"/>
    <w:rsid w:val="00850BF1"/>
    <w:rsid w:val="00850ED0"/>
    <w:rsid w:val="008510D9"/>
    <w:rsid w:val="008513C4"/>
    <w:rsid w:val="008516A1"/>
    <w:rsid w:val="00851716"/>
    <w:rsid w:val="00851736"/>
    <w:rsid w:val="008519BC"/>
    <w:rsid w:val="00851AD3"/>
    <w:rsid w:val="00851B19"/>
    <w:rsid w:val="00851B51"/>
    <w:rsid w:val="00851BF2"/>
    <w:rsid w:val="00851C9E"/>
    <w:rsid w:val="00852044"/>
    <w:rsid w:val="00852106"/>
    <w:rsid w:val="008524CD"/>
    <w:rsid w:val="008524E6"/>
    <w:rsid w:val="0085257D"/>
    <w:rsid w:val="00852770"/>
    <w:rsid w:val="008527D1"/>
    <w:rsid w:val="00852D6E"/>
    <w:rsid w:val="00853006"/>
    <w:rsid w:val="0085356D"/>
    <w:rsid w:val="008537E8"/>
    <w:rsid w:val="00853809"/>
    <w:rsid w:val="0085384B"/>
    <w:rsid w:val="008538A4"/>
    <w:rsid w:val="00853A1B"/>
    <w:rsid w:val="00853BAB"/>
    <w:rsid w:val="00853BB8"/>
    <w:rsid w:val="00853ED3"/>
    <w:rsid w:val="00853F22"/>
    <w:rsid w:val="00853F4D"/>
    <w:rsid w:val="00853FFB"/>
    <w:rsid w:val="0085416F"/>
    <w:rsid w:val="0085440E"/>
    <w:rsid w:val="0085479D"/>
    <w:rsid w:val="008548A0"/>
    <w:rsid w:val="0085493D"/>
    <w:rsid w:val="008549EE"/>
    <w:rsid w:val="00854D90"/>
    <w:rsid w:val="00854EA8"/>
    <w:rsid w:val="008550AE"/>
    <w:rsid w:val="008552D0"/>
    <w:rsid w:val="00855453"/>
    <w:rsid w:val="00855502"/>
    <w:rsid w:val="00855759"/>
    <w:rsid w:val="00855A66"/>
    <w:rsid w:val="00855C39"/>
    <w:rsid w:val="00855DE9"/>
    <w:rsid w:val="00855ECB"/>
    <w:rsid w:val="00856044"/>
    <w:rsid w:val="00856182"/>
    <w:rsid w:val="00856206"/>
    <w:rsid w:val="008565C3"/>
    <w:rsid w:val="0085672D"/>
    <w:rsid w:val="00856AEC"/>
    <w:rsid w:val="00856DD0"/>
    <w:rsid w:val="00856F3A"/>
    <w:rsid w:val="00856F8F"/>
    <w:rsid w:val="00856FEC"/>
    <w:rsid w:val="0085701C"/>
    <w:rsid w:val="008571D6"/>
    <w:rsid w:val="008571E4"/>
    <w:rsid w:val="00857218"/>
    <w:rsid w:val="00857267"/>
    <w:rsid w:val="00857451"/>
    <w:rsid w:val="0085750E"/>
    <w:rsid w:val="008576F7"/>
    <w:rsid w:val="0085783B"/>
    <w:rsid w:val="00857C14"/>
    <w:rsid w:val="00857C8C"/>
    <w:rsid w:val="00857D15"/>
    <w:rsid w:val="00857E03"/>
    <w:rsid w:val="00857E5C"/>
    <w:rsid w:val="00857EA8"/>
    <w:rsid w:val="00857EE8"/>
    <w:rsid w:val="00860005"/>
    <w:rsid w:val="00860067"/>
    <w:rsid w:val="00860270"/>
    <w:rsid w:val="0086032D"/>
    <w:rsid w:val="00860354"/>
    <w:rsid w:val="008603EB"/>
    <w:rsid w:val="0086042D"/>
    <w:rsid w:val="008604E4"/>
    <w:rsid w:val="00860628"/>
    <w:rsid w:val="008607C0"/>
    <w:rsid w:val="00860CAF"/>
    <w:rsid w:val="00861014"/>
    <w:rsid w:val="0086106C"/>
    <w:rsid w:val="008610C6"/>
    <w:rsid w:val="00861282"/>
    <w:rsid w:val="008612DF"/>
    <w:rsid w:val="008612F1"/>
    <w:rsid w:val="00861410"/>
    <w:rsid w:val="00861453"/>
    <w:rsid w:val="00861575"/>
    <w:rsid w:val="00861632"/>
    <w:rsid w:val="00861837"/>
    <w:rsid w:val="008618B3"/>
    <w:rsid w:val="00861B45"/>
    <w:rsid w:val="00861C6F"/>
    <w:rsid w:val="00861D86"/>
    <w:rsid w:val="00861DAB"/>
    <w:rsid w:val="00861EC5"/>
    <w:rsid w:val="00861FEC"/>
    <w:rsid w:val="00862026"/>
    <w:rsid w:val="0086218A"/>
    <w:rsid w:val="00862219"/>
    <w:rsid w:val="0086278C"/>
    <w:rsid w:val="00862821"/>
    <w:rsid w:val="008629D6"/>
    <w:rsid w:val="00862E1D"/>
    <w:rsid w:val="00862F0E"/>
    <w:rsid w:val="0086309B"/>
    <w:rsid w:val="008630AB"/>
    <w:rsid w:val="00863306"/>
    <w:rsid w:val="00863481"/>
    <w:rsid w:val="008634CC"/>
    <w:rsid w:val="008634CD"/>
    <w:rsid w:val="0086352E"/>
    <w:rsid w:val="00863536"/>
    <w:rsid w:val="00863908"/>
    <w:rsid w:val="00863E67"/>
    <w:rsid w:val="00864018"/>
    <w:rsid w:val="00864133"/>
    <w:rsid w:val="00864320"/>
    <w:rsid w:val="00864404"/>
    <w:rsid w:val="00864481"/>
    <w:rsid w:val="008644DA"/>
    <w:rsid w:val="00864646"/>
    <w:rsid w:val="00864653"/>
    <w:rsid w:val="00864700"/>
    <w:rsid w:val="00864A07"/>
    <w:rsid w:val="00864C78"/>
    <w:rsid w:val="00864DBE"/>
    <w:rsid w:val="00864F1F"/>
    <w:rsid w:val="00865127"/>
    <w:rsid w:val="0086527A"/>
    <w:rsid w:val="0086531F"/>
    <w:rsid w:val="008653D0"/>
    <w:rsid w:val="00865433"/>
    <w:rsid w:val="00865451"/>
    <w:rsid w:val="0086558F"/>
    <w:rsid w:val="00865B4B"/>
    <w:rsid w:val="00865B63"/>
    <w:rsid w:val="00865CFC"/>
    <w:rsid w:val="00865E0D"/>
    <w:rsid w:val="00865F5C"/>
    <w:rsid w:val="00865F7C"/>
    <w:rsid w:val="0086631B"/>
    <w:rsid w:val="00866404"/>
    <w:rsid w:val="00866566"/>
    <w:rsid w:val="00866608"/>
    <w:rsid w:val="00866756"/>
    <w:rsid w:val="00866835"/>
    <w:rsid w:val="008668C0"/>
    <w:rsid w:val="00866A65"/>
    <w:rsid w:val="00866B0B"/>
    <w:rsid w:val="00866FEA"/>
    <w:rsid w:val="00867157"/>
    <w:rsid w:val="0086729F"/>
    <w:rsid w:val="008672A8"/>
    <w:rsid w:val="00867311"/>
    <w:rsid w:val="00867541"/>
    <w:rsid w:val="0086795E"/>
    <w:rsid w:val="008679CC"/>
    <w:rsid w:val="00867F79"/>
    <w:rsid w:val="00870282"/>
    <w:rsid w:val="0087033E"/>
    <w:rsid w:val="008703AE"/>
    <w:rsid w:val="008703E9"/>
    <w:rsid w:val="00870676"/>
    <w:rsid w:val="0087091F"/>
    <w:rsid w:val="0087093B"/>
    <w:rsid w:val="00870B4C"/>
    <w:rsid w:val="00870D91"/>
    <w:rsid w:val="00870DCB"/>
    <w:rsid w:val="00870FCC"/>
    <w:rsid w:val="008711BE"/>
    <w:rsid w:val="00871A18"/>
    <w:rsid w:val="00871EE7"/>
    <w:rsid w:val="00872021"/>
    <w:rsid w:val="00872317"/>
    <w:rsid w:val="008724E9"/>
    <w:rsid w:val="00872675"/>
    <w:rsid w:val="008729AC"/>
    <w:rsid w:val="00872C94"/>
    <w:rsid w:val="00872CEF"/>
    <w:rsid w:val="00872E93"/>
    <w:rsid w:val="00872F81"/>
    <w:rsid w:val="00873029"/>
    <w:rsid w:val="008730FE"/>
    <w:rsid w:val="0087313A"/>
    <w:rsid w:val="008736A7"/>
    <w:rsid w:val="0087388D"/>
    <w:rsid w:val="00873AE3"/>
    <w:rsid w:val="00873BEF"/>
    <w:rsid w:val="00873CC3"/>
    <w:rsid w:val="00873CFA"/>
    <w:rsid w:val="00873D85"/>
    <w:rsid w:val="00873DDB"/>
    <w:rsid w:val="00873F55"/>
    <w:rsid w:val="00873F56"/>
    <w:rsid w:val="0087402D"/>
    <w:rsid w:val="0087410D"/>
    <w:rsid w:val="00874163"/>
    <w:rsid w:val="00874315"/>
    <w:rsid w:val="008743C9"/>
    <w:rsid w:val="0087475C"/>
    <w:rsid w:val="00874A99"/>
    <w:rsid w:val="00874C66"/>
    <w:rsid w:val="00874CFA"/>
    <w:rsid w:val="00875074"/>
    <w:rsid w:val="008750EB"/>
    <w:rsid w:val="00875230"/>
    <w:rsid w:val="0087528A"/>
    <w:rsid w:val="00875B3B"/>
    <w:rsid w:val="00875DEF"/>
    <w:rsid w:val="00876152"/>
    <w:rsid w:val="008761BD"/>
    <w:rsid w:val="00876292"/>
    <w:rsid w:val="0087654B"/>
    <w:rsid w:val="00876949"/>
    <w:rsid w:val="0087697B"/>
    <w:rsid w:val="00876A6C"/>
    <w:rsid w:val="00876B06"/>
    <w:rsid w:val="00876C7F"/>
    <w:rsid w:val="00876D61"/>
    <w:rsid w:val="0087711F"/>
    <w:rsid w:val="00877167"/>
    <w:rsid w:val="0087718E"/>
    <w:rsid w:val="008771DF"/>
    <w:rsid w:val="00877649"/>
    <w:rsid w:val="008778E9"/>
    <w:rsid w:val="00877A9E"/>
    <w:rsid w:val="00877AD5"/>
    <w:rsid w:val="00877D23"/>
    <w:rsid w:val="0088009D"/>
    <w:rsid w:val="0088042A"/>
    <w:rsid w:val="008804AD"/>
    <w:rsid w:val="00880704"/>
    <w:rsid w:val="00880861"/>
    <w:rsid w:val="008808BC"/>
    <w:rsid w:val="00880E1B"/>
    <w:rsid w:val="00880EF2"/>
    <w:rsid w:val="00881101"/>
    <w:rsid w:val="008811BE"/>
    <w:rsid w:val="008811EC"/>
    <w:rsid w:val="0088121A"/>
    <w:rsid w:val="00881486"/>
    <w:rsid w:val="0088152D"/>
    <w:rsid w:val="00881574"/>
    <w:rsid w:val="008816B3"/>
    <w:rsid w:val="0088172A"/>
    <w:rsid w:val="0088184E"/>
    <w:rsid w:val="0088196F"/>
    <w:rsid w:val="008819E1"/>
    <w:rsid w:val="00881A48"/>
    <w:rsid w:val="00881AF3"/>
    <w:rsid w:val="00881CFD"/>
    <w:rsid w:val="0088203C"/>
    <w:rsid w:val="008820A9"/>
    <w:rsid w:val="008821B2"/>
    <w:rsid w:val="008821F0"/>
    <w:rsid w:val="00882916"/>
    <w:rsid w:val="008829E3"/>
    <w:rsid w:val="00882EE6"/>
    <w:rsid w:val="008830C3"/>
    <w:rsid w:val="008830ED"/>
    <w:rsid w:val="008834E4"/>
    <w:rsid w:val="008835B6"/>
    <w:rsid w:val="00883606"/>
    <w:rsid w:val="008836EC"/>
    <w:rsid w:val="0088386B"/>
    <w:rsid w:val="0088388F"/>
    <w:rsid w:val="00883897"/>
    <w:rsid w:val="0088392C"/>
    <w:rsid w:val="00883A9D"/>
    <w:rsid w:val="00883F43"/>
    <w:rsid w:val="0088409A"/>
    <w:rsid w:val="008840FE"/>
    <w:rsid w:val="00884380"/>
    <w:rsid w:val="00884471"/>
    <w:rsid w:val="0088450C"/>
    <w:rsid w:val="00884804"/>
    <w:rsid w:val="008849C1"/>
    <w:rsid w:val="008849FB"/>
    <w:rsid w:val="00884A0C"/>
    <w:rsid w:val="00884ACA"/>
    <w:rsid w:val="00884D3D"/>
    <w:rsid w:val="00884E85"/>
    <w:rsid w:val="00884EDD"/>
    <w:rsid w:val="00884F4E"/>
    <w:rsid w:val="0088506A"/>
    <w:rsid w:val="00885080"/>
    <w:rsid w:val="00885247"/>
    <w:rsid w:val="008853DC"/>
    <w:rsid w:val="00885598"/>
    <w:rsid w:val="008858A5"/>
    <w:rsid w:val="00885ABB"/>
    <w:rsid w:val="00885BCF"/>
    <w:rsid w:val="00885C01"/>
    <w:rsid w:val="008862E6"/>
    <w:rsid w:val="0088655C"/>
    <w:rsid w:val="00886612"/>
    <w:rsid w:val="00886861"/>
    <w:rsid w:val="008868D5"/>
    <w:rsid w:val="008869BA"/>
    <w:rsid w:val="00886A67"/>
    <w:rsid w:val="00886AEB"/>
    <w:rsid w:val="00886C2B"/>
    <w:rsid w:val="00886C79"/>
    <w:rsid w:val="00886D20"/>
    <w:rsid w:val="00886E5D"/>
    <w:rsid w:val="00886FC3"/>
    <w:rsid w:val="008870CA"/>
    <w:rsid w:val="00887694"/>
    <w:rsid w:val="0088770F"/>
    <w:rsid w:val="0088774E"/>
    <w:rsid w:val="00887759"/>
    <w:rsid w:val="008877A8"/>
    <w:rsid w:val="00887858"/>
    <w:rsid w:val="008878A6"/>
    <w:rsid w:val="008878AC"/>
    <w:rsid w:val="00887A95"/>
    <w:rsid w:val="00887CB7"/>
    <w:rsid w:val="00887DBE"/>
    <w:rsid w:val="00887EC1"/>
    <w:rsid w:val="0089010F"/>
    <w:rsid w:val="0089032B"/>
    <w:rsid w:val="008904D6"/>
    <w:rsid w:val="008904E7"/>
    <w:rsid w:val="008906C9"/>
    <w:rsid w:val="008907B7"/>
    <w:rsid w:val="00890AF5"/>
    <w:rsid w:val="00890B45"/>
    <w:rsid w:val="00890C15"/>
    <w:rsid w:val="00890C70"/>
    <w:rsid w:val="00890D40"/>
    <w:rsid w:val="00890E07"/>
    <w:rsid w:val="00890E82"/>
    <w:rsid w:val="00890F08"/>
    <w:rsid w:val="00891267"/>
    <w:rsid w:val="00891938"/>
    <w:rsid w:val="00891ED5"/>
    <w:rsid w:val="00891F3E"/>
    <w:rsid w:val="008920CB"/>
    <w:rsid w:val="00892261"/>
    <w:rsid w:val="00892372"/>
    <w:rsid w:val="0089247D"/>
    <w:rsid w:val="0089249E"/>
    <w:rsid w:val="008925DE"/>
    <w:rsid w:val="008926E7"/>
    <w:rsid w:val="00892865"/>
    <w:rsid w:val="00892C40"/>
    <w:rsid w:val="00892D19"/>
    <w:rsid w:val="008931EC"/>
    <w:rsid w:val="0089368B"/>
    <w:rsid w:val="008937D0"/>
    <w:rsid w:val="00893A77"/>
    <w:rsid w:val="00893C1B"/>
    <w:rsid w:val="00893C42"/>
    <w:rsid w:val="00894069"/>
    <w:rsid w:val="008940BF"/>
    <w:rsid w:val="00894312"/>
    <w:rsid w:val="00894319"/>
    <w:rsid w:val="008943C6"/>
    <w:rsid w:val="008946DD"/>
    <w:rsid w:val="0089491A"/>
    <w:rsid w:val="00894A51"/>
    <w:rsid w:val="00894B7F"/>
    <w:rsid w:val="00894CDD"/>
    <w:rsid w:val="00895175"/>
    <w:rsid w:val="00895639"/>
    <w:rsid w:val="00895AE9"/>
    <w:rsid w:val="00895B35"/>
    <w:rsid w:val="00895E81"/>
    <w:rsid w:val="00895F16"/>
    <w:rsid w:val="00895F45"/>
    <w:rsid w:val="008960CC"/>
    <w:rsid w:val="0089665D"/>
    <w:rsid w:val="008968E2"/>
    <w:rsid w:val="00896944"/>
    <w:rsid w:val="00896CC4"/>
    <w:rsid w:val="00896DFE"/>
    <w:rsid w:val="00896E7F"/>
    <w:rsid w:val="008970F2"/>
    <w:rsid w:val="008971BF"/>
    <w:rsid w:val="008972D8"/>
    <w:rsid w:val="0089742E"/>
    <w:rsid w:val="00897461"/>
    <w:rsid w:val="00897D66"/>
    <w:rsid w:val="00897EA0"/>
    <w:rsid w:val="00897F49"/>
    <w:rsid w:val="00897FAC"/>
    <w:rsid w:val="008A004C"/>
    <w:rsid w:val="008A018C"/>
    <w:rsid w:val="008A04E8"/>
    <w:rsid w:val="008A05B9"/>
    <w:rsid w:val="008A064F"/>
    <w:rsid w:val="008A07C3"/>
    <w:rsid w:val="008A081C"/>
    <w:rsid w:val="008A0A97"/>
    <w:rsid w:val="008A0BFE"/>
    <w:rsid w:val="008A0C8A"/>
    <w:rsid w:val="008A10EC"/>
    <w:rsid w:val="008A1231"/>
    <w:rsid w:val="008A12D9"/>
    <w:rsid w:val="008A1496"/>
    <w:rsid w:val="008A158F"/>
    <w:rsid w:val="008A1867"/>
    <w:rsid w:val="008A18F1"/>
    <w:rsid w:val="008A1CA9"/>
    <w:rsid w:val="008A1CEC"/>
    <w:rsid w:val="008A1F31"/>
    <w:rsid w:val="008A2468"/>
    <w:rsid w:val="008A24C1"/>
    <w:rsid w:val="008A2551"/>
    <w:rsid w:val="008A261F"/>
    <w:rsid w:val="008A27E0"/>
    <w:rsid w:val="008A28A1"/>
    <w:rsid w:val="008A29D6"/>
    <w:rsid w:val="008A2EA4"/>
    <w:rsid w:val="008A2F03"/>
    <w:rsid w:val="008A2F3C"/>
    <w:rsid w:val="008A2FE1"/>
    <w:rsid w:val="008A308C"/>
    <w:rsid w:val="008A3245"/>
    <w:rsid w:val="008A3355"/>
    <w:rsid w:val="008A3377"/>
    <w:rsid w:val="008A33BD"/>
    <w:rsid w:val="008A33EC"/>
    <w:rsid w:val="008A3773"/>
    <w:rsid w:val="008A3795"/>
    <w:rsid w:val="008A37A7"/>
    <w:rsid w:val="008A380A"/>
    <w:rsid w:val="008A3880"/>
    <w:rsid w:val="008A397F"/>
    <w:rsid w:val="008A3995"/>
    <w:rsid w:val="008A3A6A"/>
    <w:rsid w:val="008A3AE2"/>
    <w:rsid w:val="008A3BB0"/>
    <w:rsid w:val="008A3F24"/>
    <w:rsid w:val="008A4045"/>
    <w:rsid w:val="008A40CE"/>
    <w:rsid w:val="008A437A"/>
    <w:rsid w:val="008A439B"/>
    <w:rsid w:val="008A454B"/>
    <w:rsid w:val="008A46E3"/>
    <w:rsid w:val="008A4A90"/>
    <w:rsid w:val="008A4AE9"/>
    <w:rsid w:val="008A4B09"/>
    <w:rsid w:val="008A4B4E"/>
    <w:rsid w:val="008A4D60"/>
    <w:rsid w:val="008A4D8B"/>
    <w:rsid w:val="008A5342"/>
    <w:rsid w:val="008A5674"/>
    <w:rsid w:val="008A574F"/>
    <w:rsid w:val="008A585A"/>
    <w:rsid w:val="008A6376"/>
    <w:rsid w:val="008A6416"/>
    <w:rsid w:val="008A64FB"/>
    <w:rsid w:val="008A673E"/>
    <w:rsid w:val="008A67DC"/>
    <w:rsid w:val="008A693D"/>
    <w:rsid w:val="008A6945"/>
    <w:rsid w:val="008A696A"/>
    <w:rsid w:val="008A6A2A"/>
    <w:rsid w:val="008A6A95"/>
    <w:rsid w:val="008A6BB4"/>
    <w:rsid w:val="008A6C7F"/>
    <w:rsid w:val="008A6CBF"/>
    <w:rsid w:val="008A6E52"/>
    <w:rsid w:val="008A6F01"/>
    <w:rsid w:val="008A6F88"/>
    <w:rsid w:val="008A6FC5"/>
    <w:rsid w:val="008A7212"/>
    <w:rsid w:val="008A7282"/>
    <w:rsid w:val="008A7562"/>
    <w:rsid w:val="008A7664"/>
    <w:rsid w:val="008A7701"/>
    <w:rsid w:val="008A7847"/>
    <w:rsid w:val="008A7A64"/>
    <w:rsid w:val="008A7B08"/>
    <w:rsid w:val="008A7BD1"/>
    <w:rsid w:val="008A7CFB"/>
    <w:rsid w:val="008B002C"/>
    <w:rsid w:val="008B024A"/>
    <w:rsid w:val="008B0270"/>
    <w:rsid w:val="008B02F8"/>
    <w:rsid w:val="008B03C6"/>
    <w:rsid w:val="008B0488"/>
    <w:rsid w:val="008B04FB"/>
    <w:rsid w:val="008B0677"/>
    <w:rsid w:val="008B08D6"/>
    <w:rsid w:val="008B0911"/>
    <w:rsid w:val="008B0975"/>
    <w:rsid w:val="008B09CB"/>
    <w:rsid w:val="008B09DF"/>
    <w:rsid w:val="008B0CD3"/>
    <w:rsid w:val="008B0F7E"/>
    <w:rsid w:val="008B0FEA"/>
    <w:rsid w:val="008B11F7"/>
    <w:rsid w:val="008B1317"/>
    <w:rsid w:val="008B1330"/>
    <w:rsid w:val="008B16A0"/>
    <w:rsid w:val="008B16E9"/>
    <w:rsid w:val="008B183C"/>
    <w:rsid w:val="008B186B"/>
    <w:rsid w:val="008B18EC"/>
    <w:rsid w:val="008B1B3A"/>
    <w:rsid w:val="008B1CDD"/>
    <w:rsid w:val="008B20C5"/>
    <w:rsid w:val="008B2205"/>
    <w:rsid w:val="008B2220"/>
    <w:rsid w:val="008B239E"/>
    <w:rsid w:val="008B2841"/>
    <w:rsid w:val="008B2955"/>
    <w:rsid w:val="008B2DB2"/>
    <w:rsid w:val="008B2DC1"/>
    <w:rsid w:val="008B2E31"/>
    <w:rsid w:val="008B2EE1"/>
    <w:rsid w:val="008B3129"/>
    <w:rsid w:val="008B3281"/>
    <w:rsid w:val="008B3383"/>
    <w:rsid w:val="008B35CA"/>
    <w:rsid w:val="008B36F4"/>
    <w:rsid w:val="008B3B27"/>
    <w:rsid w:val="008B3B76"/>
    <w:rsid w:val="008B3E30"/>
    <w:rsid w:val="008B3F85"/>
    <w:rsid w:val="008B40A6"/>
    <w:rsid w:val="008B4271"/>
    <w:rsid w:val="008B43BF"/>
    <w:rsid w:val="008B4649"/>
    <w:rsid w:val="008B492F"/>
    <w:rsid w:val="008B4ACE"/>
    <w:rsid w:val="008B4B17"/>
    <w:rsid w:val="008B4C10"/>
    <w:rsid w:val="008B4ED3"/>
    <w:rsid w:val="008B4F77"/>
    <w:rsid w:val="008B4FA5"/>
    <w:rsid w:val="008B4FC5"/>
    <w:rsid w:val="008B532A"/>
    <w:rsid w:val="008B545F"/>
    <w:rsid w:val="008B5475"/>
    <w:rsid w:val="008B54FA"/>
    <w:rsid w:val="008B58D4"/>
    <w:rsid w:val="008B593A"/>
    <w:rsid w:val="008B59EE"/>
    <w:rsid w:val="008B5CEA"/>
    <w:rsid w:val="008B5D1A"/>
    <w:rsid w:val="008B5DAC"/>
    <w:rsid w:val="008B61AD"/>
    <w:rsid w:val="008B628E"/>
    <w:rsid w:val="008B659F"/>
    <w:rsid w:val="008B6720"/>
    <w:rsid w:val="008B673A"/>
    <w:rsid w:val="008B69AC"/>
    <w:rsid w:val="008B6A1C"/>
    <w:rsid w:val="008B6AA7"/>
    <w:rsid w:val="008B6AC8"/>
    <w:rsid w:val="008B6B1F"/>
    <w:rsid w:val="008B70A1"/>
    <w:rsid w:val="008B738D"/>
    <w:rsid w:val="008B74F6"/>
    <w:rsid w:val="008B7889"/>
    <w:rsid w:val="008B7992"/>
    <w:rsid w:val="008B7CF1"/>
    <w:rsid w:val="008B7F05"/>
    <w:rsid w:val="008B7F93"/>
    <w:rsid w:val="008C02BE"/>
    <w:rsid w:val="008C02C2"/>
    <w:rsid w:val="008C032E"/>
    <w:rsid w:val="008C035D"/>
    <w:rsid w:val="008C04FC"/>
    <w:rsid w:val="008C0667"/>
    <w:rsid w:val="008C07AB"/>
    <w:rsid w:val="008C08E3"/>
    <w:rsid w:val="008C0907"/>
    <w:rsid w:val="008C095A"/>
    <w:rsid w:val="008C09AB"/>
    <w:rsid w:val="008C0C18"/>
    <w:rsid w:val="008C0E49"/>
    <w:rsid w:val="008C0E59"/>
    <w:rsid w:val="008C0FE0"/>
    <w:rsid w:val="008C100F"/>
    <w:rsid w:val="008C153E"/>
    <w:rsid w:val="008C1563"/>
    <w:rsid w:val="008C15EE"/>
    <w:rsid w:val="008C1691"/>
    <w:rsid w:val="008C2092"/>
    <w:rsid w:val="008C2428"/>
    <w:rsid w:val="008C25F3"/>
    <w:rsid w:val="008C2981"/>
    <w:rsid w:val="008C2B7C"/>
    <w:rsid w:val="008C354F"/>
    <w:rsid w:val="008C3663"/>
    <w:rsid w:val="008C3719"/>
    <w:rsid w:val="008C3721"/>
    <w:rsid w:val="008C3789"/>
    <w:rsid w:val="008C3A26"/>
    <w:rsid w:val="008C3A5B"/>
    <w:rsid w:val="008C3C02"/>
    <w:rsid w:val="008C3C37"/>
    <w:rsid w:val="008C3DB2"/>
    <w:rsid w:val="008C3F6F"/>
    <w:rsid w:val="008C3FA0"/>
    <w:rsid w:val="008C4131"/>
    <w:rsid w:val="008C4431"/>
    <w:rsid w:val="008C4449"/>
    <w:rsid w:val="008C45BB"/>
    <w:rsid w:val="008C4752"/>
    <w:rsid w:val="008C4772"/>
    <w:rsid w:val="008C498D"/>
    <w:rsid w:val="008C4BF1"/>
    <w:rsid w:val="008C4CE2"/>
    <w:rsid w:val="008C5013"/>
    <w:rsid w:val="008C519F"/>
    <w:rsid w:val="008C529F"/>
    <w:rsid w:val="008C541F"/>
    <w:rsid w:val="008C5965"/>
    <w:rsid w:val="008C5BD2"/>
    <w:rsid w:val="008C5C2B"/>
    <w:rsid w:val="008C5CF4"/>
    <w:rsid w:val="008C5EE4"/>
    <w:rsid w:val="008C5F3B"/>
    <w:rsid w:val="008C60B5"/>
    <w:rsid w:val="008C60CF"/>
    <w:rsid w:val="008C6143"/>
    <w:rsid w:val="008C62F3"/>
    <w:rsid w:val="008C64CF"/>
    <w:rsid w:val="008C650B"/>
    <w:rsid w:val="008C66B2"/>
    <w:rsid w:val="008C6847"/>
    <w:rsid w:val="008C6A05"/>
    <w:rsid w:val="008C6A4C"/>
    <w:rsid w:val="008C6D2D"/>
    <w:rsid w:val="008C6D37"/>
    <w:rsid w:val="008C6DD3"/>
    <w:rsid w:val="008C6E6E"/>
    <w:rsid w:val="008C6E88"/>
    <w:rsid w:val="008C701A"/>
    <w:rsid w:val="008C7254"/>
    <w:rsid w:val="008C746B"/>
    <w:rsid w:val="008C75C6"/>
    <w:rsid w:val="008C75DC"/>
    <w:rsid w:val="008C7790"/>
    <w:rsid w:val="008C7818"/>
    <w:rsid w:val="008C79DE"/>
    <w:rsid w:val="008C7C2F"/>
    <w:rsid w:val="008C7C50"/>
    <w:rsid w:val="008C7CCE"/>
    <w:rsid w:val="008C7D08"/>
    <w:rsid w:val="008C7E02"/>
    <w:rsid w:val="008C7F8C"/>
    <w:rsid w:val="008D0293"/>
    <w:rsid w:val="008D0338"/>
    <w:rsid w:val="008D05F3"/>
    <w:rsid w:val="008D0702"/>
    <w:rsid w:val="008D0B56"/>
    <w:rsid w:val="008D0B7A"/>
    <w:rsid w:val="008D0C10"/>
    <w:rsid w:val="008D0D35"/>
    <w:rsid w:val="008D0EDD"/>
    <w:rsid w:val="008D0FE3"/>
    <w:rsid w:val="008D1082"/>
    <w:rsid w:val="008D10F4"/>
    <w:rsid w:val="008D126A"/>
    <w:rsid w:val="008D12C5"/>
    <w:rsid w:val="008D148F"/>
    <w:rsid w:val="008D15C5"/>
    <w:rsid w:val="008D1606"/>
    <w:rsid w:val="008D1698"/>
    <w:rsid w:val="008D1865"/>
    <w:rsid w:val="008D1B33"/>
    <w:rsid w:val="008D1F91"/>
    <w:rsid w:val="008D20EA"/>
    <w:rsid w:val="008D2369"/>
    <w:rsid w:val="008D236E"/>
    <w:rsid w:val="008D243D"/>
    <w:rsid w:val="008D27A7"/>
    <w:rsid w:val="008D2A08"/>
    <w:rsid w:val="008D2A5F"/>
    <w:rsid w:val="008D2AAB"/>
    <w:rsid w:val="008D2AEC"/>
    <w:rsid w:val="008D2B59"/>
    <w:rsid w:val="008D2B7F"/>
    <w:rsid w:val="008D2CA3"/>
    <w:rsid w:val="008D2D7B"/>
    <w:rsid w:val="008D2FA9"/>
    <w:rsid w:val="008D305A"/>
    <w:rsid w:val="008D31EC"/>
    <w:rsid w:val="008D32E1"/>
    <w:rsid w:val="008D32E2"/>
    <w:rsid w:val="008D340E"/>
    <w:rsid w:val="008D3496"/>
    <w:rsid w:val="008D35AF"/>
    <w:rsid w:val="008D382C"/>
    <w:rsid w:val="008D3921"/>
    <w:rsid w:val="008D3A10"/>
    <w:rsid w:val="008D3B71"/>
    <w:rsid w:val="008D3E0C"/>
    <w:rsid w:val="008D413D"/>
    <w:rsid w:val="008D43E8"/>
    <w:rsid w:val="008D4573"/>
    <w:rsid w:val="008D4826"/>
    <w:rsid w:val="008D49B2"/>
    <w:rsid w:val="008D4B8D"/>
    <w:rsid w:val="008D4C89"/>
    <w:rsid w:val="008D4D3A"/>
    <w:rsid w:val="008D4DBC"/>
    <w:rsid w:val="008D52C8"/>
    <w:rsid w:val="008D56A2"/>
    <w:rsid w:val="008D5748"/>
    <w:rsid w:val="008D5770"/>
    <w:rsid w:val="008D595A"/>
    <w:rsid w:val="008D59CC"/>
    <w:rsid w:val="008D5BA0"/>
    <w:rsid w:val="008D5C18"/>
    <w:rsid w:val="008D5D94"/>
    <w:rsid w:val="008D5DD1"/>
    <w:rsid w:val="008D5DFA"/>
    <w:rsid w:val="008D5E32"/>
    <w:rsid w:val="008D5E89"/>
    <w:rsid w:val="008D6014"/>
    <w:rsid w:val="008D6096"/>
    <w:rsid w:val="008D6176"/>
    <w:rsid w:val="008D6272"/>
    <w:rsid w:val="008D6388"/>
    <w:rsid w:val="008D6413"/>
    <w:rsid w:val="008D663F"/>
    <w:rsid w:val="008D670A"/>
    <w:rsid w:val="008D689C"/>
    <w:rsid w:val="008D6BD8"/>
    <w:rsid w:val="008D6C84"/>
    <w:rsid w:val="008D6E26"/>
    <w:rsid w:val="008D6ED0"/>
    <w:rsid w:val="008D6F8D"/>
    <w:rsid w:val="008D745B"/>
    <w:rsid w:val="008D7629"/>
    <w:rsid w:val="008D7634"/>
    <w:rsid w:val="008D76ED"/>
    <w:rsid w:val="008D7702"/>
    <w:rsid w:val="008D7845"/>
    <w:rsid w:val="008D7B39"/>
    <w:rsid w:val="008D7E75"/>
    <w:rsid w:val="008E0102"/>
    <w:rsid w:val="008E02A3"/>
    <w:rsid w:val="008E040B"/>
    <w:rsid w:val="008E043D"/>
    <w:rsid w:val="008E04D2"/>
    <w:rsid w:val="008E08C6"/>
    <w:rsid w:val="008E0C1E"/>
    <w:rsid w:val="008E0D74"/>
    <w:rsid w:val="008E0F80"/>
    <w:rsid w:val="008E116E"/>
    <w:rsid w:val="008E1189"/>
    <w:rsid w:val="008E13D2"/>
    <w:rsid w:val="008E1438"/>
    <w:rsid w:val="008E14D7"/>
    <w:rsid w:val="008E172F"/>
    <w:rsid w:val="008E1976"/>
    <w:rsid w:val="008E1F20"/>
    <w:rsid w:val="008E2092"/>
    <w:rsid w:val="008E216E"/>
    <w:rsid w:val="008E219A"/>
    <w:rsid w:val="008E23BB"/>
    <w:rsid w:val="008E2539"/>
    <w:rsid w:val="008E2666"/>
    <w:rsid w:val="008E278F"/>
    <w:rsid w:val="008E27DE"/>
    <w:rsid w:val="008E282A"/>
    <w:rsid w:val="008E28A4"/>
    <w:rsid w:val="008E2FDB"/>
    <w:rsid w:val="008E3212"/>
    <w:rsid w:val="008E32D3"/>
    <w:rsid w:val="008E3357"/>
    <w:rsid w:val="008E336F"/>
    <w:rsid w:val="008E33B6"/>
    <w:rsid w:val="008E33EB"/>
    <w:rsid w:val="008E37B0"/>
    <w:rsid w:val="008E397D"/>
    <w:rsid w:val="008E3A47"/>
    <w:rsid w:val="008E3B99"/>
    <w:rsid w:val="008E3D8E"/>
    <w:rsid w:val="008E3DBA"/>
    <w:rsid w:val="008E3EE4"/>
    <w:rsid w:val="008E4273"/>
    <w:rsid w:val="008E42DD"/>
    <w:rsid w:val="008E4497"/>
    <w:rsid w:val="008E449E"/>
    <w:rsid w:val="008E4612"/>
    <w:rsid w:val="008E4613"/>
    <w:rsid w:val="008E489A"/>
    <w:rsid w:val="008E4AD3"/>
    <w:rsid w:val="008E4B9D"/>
    <w:rsid w:val="008E4DAF"/>
    <w:rsid w:val="008E4DF5"/>
    <w:rsid w:val="008E562B"/>
    <w:rsid w:val="008E5B49"/>
    <w:rsid w:val="008E5C39"/>
    <w:rsid w:val="008E5EF4"/>
    <w:rsid w:val="008E6036"/>
    <w:rsid w:val="008E606D"/>
    <w:rsid w:val="008E62F4"/>
    <w:rsid w:val="008E656F"/>
    <w:rsid w:val="008E6809"/>
    <w:rsid w:val="008E68AF"/>
    <w:rsid w:val="008E6985"/>
    <w:rsid w:val="008E6AF0"/>
    <w:rsid w:val="008E6D54"/>
    <w:rsid w:val="008E6FA8"/>
    <w:rsid w:val="008E7004"/>
    <w:rsid w:val="008E72B6"/>
    <w:rsid w:val="008E734E"/>
    <w:rsid w:val="008E76BA"/>
    <w:rsid w:val="008E77C1"/>
    <w:rsid w:val="008E7B38"/>
    <w:rsid w:val="008E7B9F"/>
    <w:rsid w:val="008E7BCF"/>
    <w:rsid w:val="008E7D50"/>
    <w:rsid w:val="008E7DD3"/>
    <w:rsid w:val="008E7E0A"/>
    <w:rsid w:val="008E7E7E"/>
    <w:rsid w:val="008F01F6"/>
    <w:rsid w:val="008F029A"/>
    <w:rsid w:val="008F04C8"/>
    <w:rsid w:val="008F0519"/>
    <w:rsid w:val="008F06D5"/>
    <w:rsid w:val="008F07D6"/>
    <w:rsid w:val="008F0870"/>
    <w:rsid w:val="008F089B"/>
    <w:rsid w:val="008F09C4"/>
    <w:rsid w:val="008F0A11"/>
    <w:rsid w:val="008F0C53"/>
    <w:rsid w:val="008F0C5A"/>
    <w:rsid w:val="008F0D05"/>
    <w:rsid w:val="008F0F45"/>
    <w:rsid w:val="008F11BD"/>
    <w:rsid w:val="008F12E2"/>
    <w:rsid w:val="008F146D"/>
    <w:rsid w:val="008F16A9"/>
    <w:rsid w:val="008F17D9"/>
    <w:rsid w:val="008F1809"/>
    <w:rsid w:val="008F1830"/>
    <w:rsid w:val="008F19D3"/>
    <w:rsid w:val="008F1B30"/>
    <w:rsid w:val="008F1BB0"/>
    <w:rsid w:val="008F1CBA"/>
    <w:rsid w:val="008F1D9A"/>
    <w:rsid w:val="008F1F46"/>
    <w:rsid w:val="008F2091"/>
    <w:rsid w:val="008F210C"/>
    <w:rsid w:val="008F2234"/>
    <w:rsid w:val="008F2405"/>
    <w:rsid w:val="008F28B1"/>
    <w:rsid w:val="008F2952"/>
    <w:rsid w:val="008F2A59"/>
    <w:rsid w:val="008F2C0C"/>
    <w:rsid w:val="008F2C11"/>
    <w:rsid w:val="008F2DCB"/>
    <w:rsid w:val="008F30F0"/>
    <w:rsid w:val="008F35BA"/>
    <w:rsid w:val="008F388B"/>
    <w:rsid w:val="008F3ADC"/>
    <w:rsid w:val="008F3B80"/>
    <w:rsid w:val="008F3C14"/>
    <w:rsid w:val="008F3D0B"/>
    <w:rsid w:val="008F4069"/>
    <w:rsid w:val="008F4079"/>
    <w:rsid w:val="008F4080"/>
    <w:rsid w:val="008F436F"/>
    <w:rsid w:val="008F441A"/>
    <w:rsid w:val="008F45A8"/>
    <w:rsid w:val="008F460B"/>
    <w:rsid w:val="008F4970"/>
    <w:rsid w:val="008F4D6D"/>
    <w:rsid w:val="008F5110"/>
    <w:rsid w:val="008F51EC"/>
    <w:rsid w:val="008F5367"/>
    <w:rsid w:val="008F5387"/>
    <w:rsid w:val="008F571C"/>
    <w:rsid w:val="008F590E"/>
    <w:rsid w:val="008F5A36"/>
    <w:rsid w:val="008F5B94"/>
    <w:rsid w:val="008F5C63"/>
    <w:rsid w:val="008F5CDE"/>
    <w:rsid w:val="008F5CFB"/>
    <w:rsid w:val="008F5D5F"/>
    <w:rsid w:val="008F5FF9"/>
    <w:rsid w:val="008F6195"/>
    <w:rsid w:val="008F6839"/>
    <w:rsid w:val="008F68E9"/>
    <w:rsid w:val="008F6ABA"/>
    <w:rsid w:val="008F6BA2"/>
    <w:rsid w:val="008F6C52"/>
    <w:rsid w:val="008F6D16"/>
    <w:rsid w:val="008F6D99"/>
    <w:rsid w:val="008F6DD4"/>
    <w:rsid w:val="008F6FF9"/>
    <w:rsid w:val="008F702B"/>
    <w:rsid w:val="008F7159"/>
    <w:rsid w:val="008F731E"/>
    <w:rsid w:val="008F736B"/>
    <w:rsid w:val="008F7897"/>
    <w:rsid w:val="008F7932"/>
    <w:rsid w:val="008F7D02"/>
    <w:rsid w:val="008F7DB0"/>
    <w:rsid w:val="008F7FB1"/>
    <w:rsid w:val="008F7FD9"/>
    <w:rsid w:val="00900233"/>
    <w:rsid w:val="009002CE"/>
    <w:rsid w:val="009003DC"/>
    <w:rsid w:val="009005F2"/>
    <w:rsid w:val="009005F9"/>
    <w:rsid w:val="0090074E"/>
    <w:rsid w:val="0090084E"/>
    <w:rsid w:val="00900BC3"/>
    <w:rsid w:val="00900BE6"/>
    <w:rsid w:val="00900D81"/>
    <w:rsid w:val="00901094"/>
    <w:rsid w:val="00901774"/>
    <w:rsid w:val="0090185E"/>
    <w:rsid w:val="009018CB"/>
    <w:rsid w:val="00901B63"/>
    <w:rsid w:val="00901B80"/>
    <w:rsid w:val="00902167"/>
    <w:rsid w:val="00902666"/>
    <w:rsid w:val="009026DC"/>
    <w:rsid w:val="00902753"/>
    <w:rsid w:val="00902808"/>
    <w:rsid w:val="0090283F"/>
    <w:rsid w:val="00902930"/>
    <w:rsid w:val="009029C5"/>
    <w:rsid w:val="00902A6E"/>
    <w:rsid w:val="00902BB6"/>
    <w:rsid w:val="0090300D"/>
    <w:rsid w:val="0090315D"/>
    <w:rsid w:val="00903580"/>
    <w:rsid w:val="00903715"/>
    <w:rsid w:val="00903755"/>
    <w:rsid w:val="00903840"/>
    <w:rsid w:val="0090395F"/>
    <w:rsid w:val="00903A8F"/>
    <w:rsid w:val="00903BDC"/>
    <w:rsid w:val="00903CDE"/>
    <w:rsid w:val="00903D79"/>
    <w:rsid w:val="00903E57"/>
    <w:rsid w:val="00903EBC"/>
    <w:rsid w:val="00903F44"/>
    <w:rsid w:val="009045BC"/>
    <w:rsid w:val="009047BE"/>
    <w:rsid w:val="00904924"/>
    <w:rsid w:val="00904ABE"/>
    <w:rsid w:val="00904BB2"/>
    <w:rsid w:val="00904C18"/>
    <w:rsid w:val="00904D32"/>
    <w:rsid w:val="009050C9"/>
    <w:rsid w:val="00905124"/>
    <w:rsid w:val="00905168"/>
    <w:rsid w:val="00905214"/>
    <w:rsid w:val="00905283"/>
    <w:rsid w:val="00905405"/>
    <w:rsid w:val="009055DA"/>
    <w:rsid w:val="009058F3"/>
    <w:rsid w:val="00905A14"/>
    <w:rsid w:val="00905A22"/>
    <w:rsid w:val="00905A9D"/>
    <w:rsid w:val="00905C07"/>
    <w:rsid w:val="00905C20"/>
    <w:rsid w:val="00905E18"/>
    <w:rsid w:val="00905FC7"/>
    <w:rsid w:val="00906008"/>
    <w:rsid w:val="0090636F"/>
    <w:rsid w:val="009067E7"/>
    <w:rsid w:val="0090681A"/>
    <w:rsid w:val="0090690E"/>
    <w:rsid w:val="00906952"/>
    <w:rsid w:val="009069FE"/>
    <w:rsid w:val="00906B62"/>
    <w:rsid w:val="00906B8C"/>
    <w:rsid w:val="00906CC9"/>
    <w:rsid w:val="00906CE6"/>
    <w:rsid w:val="00906D1E"/>
    <w:rsid w:val="009071E1"/>
    <w:rsid w:val="00907283"/>
    <w:rsid w:val="009072CD"/>
    <w:rsid w:val="0090769A"/>
    <w:rsid w:val="00907769"/>
    <w:rsid w:val="0090780B"/>
    <w:rsid w:val="00907823"/>
    <w:rsid w:val="00907940"/>
    <w:rsid w:val="00907A29"/>
    <w:rsid w:val="00907AF6"/>
    <w:rsid w:val="00907AFD"/>
    <w:rsid w:val="00907B6F"/>
    <w:rsid w:val="00907D07"/>
    <w:rsid w:val="00907E5D"/>
    <w:rsid w:val="00907E95"/>
    <w:rsid w:val="00907F80"/>
    <w:rsid w:val="00907F91"/>
    <w:rsid w:val="0091013C"/>
    <w:rsid w:val="009101A7"/>
    <w:rsid w:val="00910223"/>
    <w:rsid w:val="00910654"/>
    <w:rsid w:val="0091072D"/>
    <w:rsid w:val="00910B20"/>
    <w:rsid w:val="00910BDE"/>
    <w:rsid w:val="00911139"/>
    <w:rsid w:val="00911148"/>
    <w:rsid w:val="00911193"/>
    <w:rsid w:val="0091143D"/>
    <w:rsid w:val="00911625"/>
    <w:rsid w:val="00911812"/>
    <w:rsid w:val="009118A5"/>
    <w:rsid w:val="009119F4"/>
    <w:rsid w:val="00911C4A"/>
    <w:rsid w:val="00911CA0"/>
    <w:rsid w:val="00911D3A"/>
    <w:rsid w:val="00911D6B"/>
    <w:rsid w:val="00911E52"/>
    <w:rsid w:val="0091214B"/>
    <w:rsid w:val="0091228C"/>
    <w:rsid w:val="009122AA"/>
    <w:rsid w:val="009122C5"/>
    <w:rsid w:val="009122F3"/>
    <w:rsid w:val="009124B0"/>
    <w:rsid w:val="009125F4"/>
    <w:rsid w:val="00912733"/>
    <w:rsid w:val="009128A6"/>
    <w:rsid w:val="00912A5D"/>
    <w:rsid w:val="00912AD1"/>
    <w:rsid w:val="00912B5C"/>
    <w:rsid w:val="00912CE0"/>
    <w:rsid w:val="00912DBF"/>
    <w:rsid w:val="00912E7F"/>
    <w:rsid w:val="00912FDA"/>
    <w:rsid w:val="0091314E"/>
    <w:rsid w:val="00913170"/>
    <w:rsid w:val="009132C7"/>
    <w:rsid w:val="00913465"/>
    <w:rsid w:val="0091362F"/>
    <w:rsid w:val="00913810"/>
    <w:rsid w:val="00913911"/>
    <w:rsid w:val="00913963"/>
    <w:rsid w:val="00913A5F"/>
    <w:rsid w:val="00913A8F"/>
    <w:rsid w:val="00913BB1"/>
    <w:rsid w:val="00913C70"/>
    <w:rsid w:val="00913D17"/>
    <w:rsid w:val="00913D63"/>
    <w:rsid w:val="0091401F"/>
    <w:rsid w:val="00914192"/>
    <w:rsid w:val="009142B2"/>
    <w:rsid w:val="009143A4"/>
    <w:rsid w:val="009146E8"/>
    <w:rsid w:val="009146F6"/>
    <w:rsid w:val="009147F5"/>
    <w:rsid w:val="00914906"/>
    <w:rsid w:val="00914A82"/>
    <w:rsid w:val="00914FA9"/>
    <w:rsid w:val="0091533E"/>
    <w:rsid w:val="009157A7"/>
    <w:rsid w:val="009157B8"/>
    <w:rsid w:val="009157C0"/>
    <w:rsid w:val="00915846"/>
    <w:rsid w:val="00915A61"/>
    <w:rsid w:val="00915B51"/>
    <w:rsid w:val="00915B7B"/>
    <w:rsid w:val="00915CDE"/>
    <w:rsid w:val="00915D18"/>
    <w:rsid w:val="00915D59"/>
    <w:rsid w:val="00915EE4"/>
    <w:rsid w:val="00915F8B"/>
    <w:rsid w:val="0091618E"/>
    <w:rsid w:val="009162B5"/>
    <w:rsid w:val="009163A1"/>
    <w:rsid w:val="00916450"/>
    <w:rsid w:val="009165AD"/>
    <w:rsid w:val="009169E3"/>
    <w:rsid w:val="00916ABC"/>
    <w:rsid w:val="00916ABE"/>
    <w:rsid w:val="00916AD5"/>
    <w:rsid w:val="00916D3A"/>
    <w:rsid w:val="00916DC0"/>
    <w:rsid w:val="00916F22"/>
    <w:rsid w:val="009171F2"/>
    <w:rsid w:val="009171F9"/>
    <w:rsid w:val="0091752B"/>
    <w:rsid w:val="009175BE"/>
    <w:rsid w:val="009177B3"/>
    <w:rsid w:val="009179D2"/>
    <w:rsid w:val="00917B86"/>
    <w:rsid w:val="00917CEC"/>
    <w:rsid w:val="00917EB6"/>
    <w:rsid w:val="00917F12"/>
    <w:rsid w:val="00917FED"/>
    <w:rsid w:val="0091F3E7"/>
    <w:rsid w:val="00920215"/>
    <w:rsid w:val="00920591"/>
    <w:rsid w:val="009206A0"/>
    <w:rsid w:val="00920894"/>
    <w:rsid w:val="00920934"/>
    <w:rsid w:val="009209D6"/>
    <w:rsid w:val="00920BC1"/>
    <w:rsid w:val="00920BF0"/>
    <w:rsid w:val="00920C2F"/>
    <w:rsid w:val="00920DAC"/>
    <w:rsid w:val="00920DF2"/>
    <w:rsid w:val="00920E75"/>
    <w:rsid w:val="009211AF"/>
    <w:rsid w:val="009213BB"/>
    <w:rsid w:val="0092165E"/>
    <w:rsid w:val="00921761"/>
    <w:rsid w:val="00921782"/>
    <w:rsid w:val="00921863"/>
    <w:rsid w:val="00921B34"/>
    <w:rsid w:val="00921B9D"/>
    <w:rsid w:val="00921F04"/>
    <w:rsid w:val="009220C0"/>
    <w:rsid w:val="0092223D"/>
    <w:rsid w:val="00922368"/>
    <w:rsid w:val="009223A8"/>
    <w:rsid w:val="0092263E"/>
    <w:rsid w:val="00922A30"/>
    <w:rsid w:val="00922A64"/>
    <w:rsid w:val="00922A6E"/>
    <w:rsid w:val="00922A8C"/>
    <w:rsid w:val="00922B14"/>
    <w:rsid w:val="00922BB0"/>
    <w:rsid w:val="00922CB2"/>
    <w:rsid w:val="00922EC0"/>
    <w:rsid w:val="00922F06"/>
    <w:rsid w:val="00923212"/>
    <w:rsid w:val="009234D2"/>
    <w:rsid w:val="00923697"/>
    <w:rsid w:val="009239AC"/>
    <w:rsid w:val="00923B55"/>
    <w:rsid w:val="00923D35"/>
    <w:rsid w:val="0092411C"/>
    <w:rsid w:val="009241C1"/>
    <w:rsid w:val="009243BF"/>
    <w:rsid w:val="009243FD"/>
    <w:rsid w:val="00924538"/>
    <w:rsid w:val="009246CE"/>
    <w:rsid w:val="00924724"/>
    <w:rsid w:val="0092483C"/>
    <w:rsid w:val="00924B3A"/>
    <w:rsid w:val="00924DD2"/>
    <w:rsid w:val="00924E7B"/>
    <w:rsid w:val="0092517D"/>
    <w:rsid w:val="00925185"/>
    <w:rsid w:val="0092523B"/>
    <w:rsid w:val="00925855"/>
    <w:rsid w:val="00925A2D"/>
    <w:rsid w:val="00925A56"/>
    <w:rsid w:val="00925BB5"/>
    <w:rsid w:val="00925BBF"/>
    <w:rsid w:val="00925D35"/>
    <w:rsid w:val="00925EA5"/>
    <w:rsid w:val="00926083"/>
    <w:rsid w:val="009260AA"/>
    <w:rsid w:val="009261E8"/>
    <w:rsid w:val="00926260"/>
    <w:rsid w:val="009265B8"/>
    <w:rsid w:val="00926663"/>
    <w:rsid w:val="00926A2D"/>
    <w:rsid w:val="00926C8D"/>
    <w:rsid w:val="00926D9F"/>
    <w:rsid w:val="00926E9B"/>
    <w:rsid w:val="00926F19"/>
    <w:rsid w:val="00926F88"/>
    <w:rsid w:val="00927587"/>
    <w:rsid w:val="00927845"/>
    <w:rsid w:val="00927A0C"/>
    <w:rsid w:val="00927A48"/>
    <w:rsid w:val="00927A4E"/>
    <w:rsid w:val="00927B03"/>
    <w:rsid w:val="00927B9A"/>
    <w:rsid w:val="00927DFE"/>
    <w:rsid w:val="0093001C"/>
    <w:rsid w:val="0093004C"/>
    <w:rsid w:val="009303AF"/>
    <w:rsid w:val="00930433"/>
    <w:rsid w:val="009305E3"/>
    <w:rsid w:val="00930666"/>
    <w:rsid w:val="00930799"/>
    <w:rsid w:val="00930800"/>
    <w:rsid w:val="00930B17"/>
    <w:rsid w:val="00930F66"/>
    <w:rsid w:val="00931044"/>
    <w:rsid w:val="009312D1"/>
    <w:rsid w:val="009315FA"/>
    <w:rsid w:val="009318A5"/>
    <w:rsid w:val="009318F2"/>
    <w:rsid w:val="009319F6"/>
    <w:rsid w:val="00931C04"/>
    <w:rsid w:val="00931CC2"/>
    <w:rsid w:val="00931CD9"/>
    <w:rsid w:val="0093203C"/>
    <w:rsid w:val="009320B8"/>
    <w:rsid w:val="009321F1"/>
    <w:rsid w:val="00932233"/>
    <w:rsid w:val="0093232C"/>
    <w:rsid w:val="0093236D"/>
    <w:rsid w:val="0093241E"/>
    <w:rsid w:val="00932609"/>
    <w:rsid w:val="00932772"/>
    <w:rsid w:val="00932776"/>
    <w:rsid w:val="00932951"/>
    <w:rsid w:val="00932B67"/>
    <w:rsid w:val="00932E3F"/>
    <w:rsid w:val="00932E61"/>
    <w:rsid w:val="00933300"/>
    <w:rsid w:val="009334AC"/>
    <w:rsid w:val="0093355D"/>
    <w:rsid w:val="009335A3"/>
    <w:rsid w:val="00933A0B"/>
    <w:rsid w:val="00933C7D"/>
    <w:rsid w:val="00933D86"/>
    <w:rsid w:val="009340C5"/>
    <w:rsid w:val="00934176"/>
    <w:rsid w:val="009341A2"/>
    <w:rsid w:val="009346EC"/>
    <w:rsid w:val="0093477A"/>
    <w:rsid w:val="00934B39"/>
    <w:rsid w:val="00934C79"/>
    <w:rsid w:val="00934D8C"/>
    <w:rsid w:val="0093516C"/>
    <w:rsid w:val="0093521B"/>
    <w:rsid w:val="0093555A"/>
    <w:rsid w:val="00935737"/>
    <w:rsid w:val="00935813"/>
    <w:rsid w:val="0093593D"/>
    <w:rsid w:val="00935CD4"/>
    <w:rsid w:val="00936062"/>
    <w:rsid w:val="00936229"/>
    <w:rsid w:val="009365BB"/>
    <w:rsid w:val="00936AF6"/>
    <w:rsid w:val="00936E4C"/>
    <w:rsid w:val="009371A6"/>
    <w:rsid w:val="00937332"/>
    <w:rsid w:val="009379B6"/>
    <w:rsid w:val="009379F0"/>
    <w:rsid w:val="00937A7F"/>
    <w:rsid w:val="00937C2E"/>
    <w:rsid w:val="00937C6A"/>
    <w:rsid w:val="0094021B"/>
    <w:rsid w:val="009403EE"/>
    <w:rsid w:val="009406FE"/>
    <w:rsid w:val="00940730"/>
    <w:rsid w:val="0094079F"/>
    <w:rsid w:val="009407B6"/>
    <w:rsid w:val="009407C6"/>
    <w:rsid w:val="00940800"/>
    <w:rsid w:val="009408D7"/>
    <w:rsid w:val="00940D66"/>
    <w:rsid w:val="00940FBD"/>
    <w:rsid w:val="0094104B"/>
    <w:rsid w:val="009410B5"/>
    <w:rsid w:val="009410EF"/>
    <w:rsid w:val="009412BB"/>
    <w:rsid w:val="00941312"/>
    <w:rsid w:val="009414E1"/>
    <w:rsid w:val="0094163B"/>
    <w:rsid w:val="0094173F"/>
    <w:rsid w:val="0094174A"/>
    <w:rsid w:val="00941868"/>
    <w:rsid w:val="00941919"/>
    <w:rsid w:val="00941A78"/>
    <w:rsid w:val="00941AB9"/>
    <w:rsid w:val="00941DD2"/>
    <w:rsid w:val="009420EC"/>
    <w:rsid w:val="0094235F"/>
    <w:rsid w:val="0094264D"/>
    <w:rsid w:val="009426BE"/>
    <w:rsid w:val="00942716"/>
    <w:rsid w:val="00942B01"/>
    <w:rsid w:val="00943231"/>
    <w:rsid w:val="00943522"/>
    <w:rsid w:val="00943525"/>
    <w:rsid w:val="0094355A"/>
    <w:rsid w:val="00943C5C"/>
    <w:rsid w:val="00943DA5"/>
    <w:rsid w:val="00943DD0"/>
    <w:rsid w:val="00944244"/>
    <w:rsid w:val="0094429B"/>
    <w:rsid w:val="00944333"/>
    <w:rsid w:val="009443A8"/>
    <w:rsid w:val="00944571"/>
    <w:rsid w:val="009447A8"/>
    <w:rsid w:val="0094480F"/>
    <w:rsid w:val="009448E8"/>
    <w:rsid w:val="00944A0D"/>
    <w:rsid w:val="00944A16"/>
    <w:rsid w:val="00944A58"/>
    <w:rsid w:val="00944AEA"/>
    <w:rsid w:val="00944CF5"/>
    <w:rsid w:val="00944D0F"/>
    <w:rsid w:val="00944FC5"/>
    <w:rsid w:val="009451A9"/>
    <w:rsid w:val="0094521C"/>
    <w:rsid w:val="00945710"/>
    <w:rsid w:val="00945B59"/>
    <w:rsid w:val="00945BC4"/>
    <w:rsid w:val="00945E9D"/>
    <w:rsid w:val="0094601A"/>
    <w:rsid w:val="00946114"/>
    <w:rsid w:val="009463A4"/>
    <w:rsid w:val="009463C3"/>
    <w:rsid w:val="0094651B"/>
    <w:rsid w:val="00946A97"/>
    <w:rsid w:val="00946B4A"/>
    <w:rsid w:val="00946C02"/>
    <w:rsid w:val="00946E9A"/>
    <w:rsid w:val="009470D1"/>
    <w:rsid w:val="0094722C"/>
    <w:rsid w:val="00947231"/>
    <w:rsid w:val="00947235"/>
    <w:rsid w:val="009475B1"/>
    <w:rsid w:val="00947691"/>
    <w:rsid w:val="00947801"/>
    <w:rsid w:val="009478B5"/>
    <w:rsid w:val="00947913"/>
    <w:rsid w:val="00947D5A"/>
    <w:rsid w:val="00947E9C"/>
    <w:rsid w:val="00947F41"/>
    <w:rsid w:val="00950057"/>
    <w:rsid w:val="0095020B"/>
    <w:rsid w:val="00950664"/>
    <w:rsid w:val="00950766"/>
    <w:rsid w:val="009509B7"/>
    <w:rsid w:val="00950DD7"/>
    <w:rsid w:val="009510AD"/>
    <w:rsid w:val="009512D0"/>
    <w:rsid w:val="0095140C"/>
    <w:rsid w:val="0095152A"/>
    <w:rsid w:val="009516A1"/>
    <w:rsid w:val="009519A9"/>
    <w:rsid w:val="00951A6E"/>
    <w:rsid w:val="00951B14"/>
    <w:rsid w:val="00951DB4"/>
    <w:rsid w:val="00952008"/>
    <w:rsid w:val="00952010"/>
    <w:rsid w:val="0095226B"/>
    <w:rsid w:val="0095241A"/>
    <w:rsid w:val="00952527"/>
    <w:rsid w:val="00952678"/>
    <w:rsid w:val="009526DA"/>
    <w:rsid w:val="00952732"/>
    <w:rsid w:val="00952935"/>
    <w:rsid w:val="00952966"/>
    <w:rsid w:val="00952B36"/>
    <w:rsid w:val="00952C53"/>
    <w:rsid w:val="00952DCB"/>
    <w:rsid w:val="00952E99"/>
    <w:rsid w:val="009530CE"/>
    <w:rsid w:val="009532F6"/>
    <w:rsid w:val="009535C1"/>
    <w:rsid w:val="00953858"/>
    <w:rsid w:val="00953BBB"/>
    <w:rsid w:val="00953C8A"/>
    <w:rsid w:val="00954124"/>
    <w:rsid w:val="00954170"/>
    <w:rsid w:val="009541E8"/>
    <w:rsid w:val="009544F0"/>
    <w:rsid w:val="0095468B"/>
    <w:rsid w:val="009546C4"/>
    <w:rsid w:val="00954AA6"/>
    <w:rsid w:val="00954C54"/>
    <w:rsid w:val="00954DBC"/>
    <w:rsid w:val="00954F5A"/>
    <w:rsid w:val="00954FC5"/>
    <w:rsid w:val="009551FD"/>
    <w:rsid w:val="00955232"/>
    <w:rsid w:val="009553E0"/>
    <w:rsid w:val="009554F4"/>
    <w:rsid w:val="0095555B"/>
    <w:rsid w:val="0095596A"/>
    <w:rsid w:val="00955B34"/>
    <w:rsid w:val="009561C5"/>
    <w:rsid w:val="00956427"/>
    <w:rsid w:val="00956498"/>
    <w:rsid w:val="00956568"/>
    <w:rsid w:val="009566FF"/>
    <w:rsid w:val="0095690B"/>
    <w:rsid w:val="00956931"/>
    <w:rsid w:val="00956A48"/>
    <w:rsid w:val="00956AF5"/>
    <w:rsid w:val="00956B0B"/>
    <w:rsid w:val="00956CAA"/>
    <w:rsid w:val="00956E21"/>
    <w:rsid w:val="00956EB2"/>
    <w:rsid w:val="00956F97"/>
    <w:rsid w:val="009570B6"/>
    <w:rsid w:val="009572AB"/>
    <w:rsid w:val="0095791C"/>
    <w:rsid w:val="0095795D"/>
    <w:rsid w:val="00957A20"/>
    <w:rsid w:val="00957AF8"/>
    <w:rsid w:val="00957B1E"/>
    <w:rsid w:val="00957D13"/>
    <w:rsid w:val="00960010"/>
    <w:rsid w:val="00960034"/>
    <w:rsid w:val="009600C8"/>
    <w:rsid w:val="0096019C"/>
    <w:rsid w:val="00960257"/>
    <w:rsid w:val="009605FC"/>
    <w:rsid w:val="009607B5"/>
    <w:rsid w:val="009608A1"/>
    <w:rsid w:val="00960CA8"/>
    <w:rsid w:val="00960DDF"/>
    <w:rsid w:val="00960F14"/>
    <w:rsid w:val="00960F6A"/>
    <w:rsid w:val="00960FA8"/>
    <w:rsid w:val="0096139B"/>
    <w:rsid w:val="009614EC"/>
    <w:rsid w:val="009616F4"/>
    <w:rsid w:val="00961836"/>
    <w:rsid w:val="0096194C"/>
    <w:rsid w:val="00961C4E"/>
    <w:rsid w:val="00961EFF"/>
    <w:rsid w:val="00961F84"/>
    <w:rsid w:val="0096202E"/>
    <w:rsid w:val="009620AB"/>
    <w:rsid w:val="00962223"/>
    <w:rsid w:val="00962386"/>
    <w:rsid w:val="009624EC"/>
    <w:rsid w:val="009625F9"/>
    <w:rsid w:val="0096260D"/>
    <w:rsid w:val="00962683"/>
    <w:rsid w:val="00962730"/>
    <w:rsid w:val="00962D2F"/>
    <w:rsid w:val="00962D44"/>
    <w:rsid w:val="009631F8"/>
    <w:rsid w:val="00963277"/>
    <w:rsid w:val="0096342D"/>
    <w:rsid w:val="00963440"/>
    <w:rsid w:val="009634E3"/>
    <w:rsid w:val="009635A1"/>
    <w:rsid w:val="00963619"/>
    <w:rsid w:val="00963A37"/>
    <w:rsid w:val="00963ACD"/>
    <w:rsid w:val="00963B0E"/>
    <w:rsid w:val="00963B23"/>
    <w:rsid w:val="00963B41"/>
    <w:rsid w:val="00963DE4"/>
    <w:rsid w:val="00963E53"/>
    <w:rsid w:val="00963F5C"/>
    <w:rsid w:val="00963FBE"/>
    <w:rsid w:val="0096429A"/>
    <w:rsid w:val="00964360"/>
    <w:rsid w:val="00964383"/>
    <w:rsid w:val="009644D5"/>
    <w:rsid w:val="00964607"/>
    <w:rsid w:val="0096495B"/>
    <w:rsid w:val="00964B2B"/>
    <w:rsid w:val="00964BAC"/>
    <w:rsid w:val="00964C99"/>
    <w:rsid w:val="00964E0E"/>
    <w:rsid w:val="00964E29"/>
    <w:rsid w:val="00964E9E"/>
    <w:rsid w:val="009650A5"/>
    <w:rsid w:val="0096518C"/>
    <w:rsid w:val="0096538C"/>
    <w:rsid w:val="009658CD"/>
    <w:rsid w:val="00965901"/>
    <w:rsid w:val="00965AB0"/>
    <w:rsid w:val="00965B97"/>
    <w:rsid w:val="00965D43"/>
    <w:rsid w:val="00965DA7"/>
    <w:rsid w:val="00965ECD"/>
    <w:rsid w:val="00965F3E"/>
    <w:rsid w:val="00965F8E"/>
    <w:rsid w:val="00966081"/>
    <w:rsid w:val="00966236"/>
    <w:rsid w:val="009663B3"/>
    <w:rsid w:val="00966544"/>
    <w:rsid w:val="009665FC"/>
    <w:rsid w:val="009668F4"/>
    <w:rsid w:val="00966BF1"/>
    <w:rsid w:val="00966C6A"/>
    <w:rsid w:val="00966C78"/>
    <w:rsid w:val="00966DD7"/>
    <w:rsid w:val="00966ECA"/>
    <w:rsid w:val="00966ED5"/>
    <w:rsid w:val="00966EF5"/>
    <w:rsid w:val="00967185"/>
    <w:rsid w:val="009671C4"/>
    <w:rsid w:val="009675D1"/>
    <w:rsid w:val="009675E2"/>
    <w:rsid w:val="0096771E"/>
    <w:rsid w:val="009678CD"/>
    <w:rsid w:val="009678EA"/>
    <w:rsid w:val="0096796C"/>
    <w:rsid w:val="00967996"/>
    <w:rsid w:val="00967A03"/>
    <w:rsid w:val="00967BFB"/>
    <w:rsid w:val="00967D0F"/>
    <w:rsid w:val="00967D57"/>
    <w:rsid w:val="00970077"/>
    <w:rsid w:val="009700F0"/>
    <w:rsid w:val="0097054E"/>
    <w:rsid w:val="0097078E"/>
    <w:rsid w:val="00970792"/>
    <w:rsid w:val="009709A8"/>
    <w:rsid w:val="009709FE"/>
    <w:rsid w:val="00970C1B"/>
    <w:rsid w:val="00970D49"/>
    <w:rsid w:val="00970D4A"/>
    <w:rsid w:val="00970F9D"/>
    <w:rsid w:val="009715A8"/>
    <w:rsid w:val="009717B6"/>
    <w:rsid w:val="009717FA"/>
    <w:rsid w:val="00971817"/>
    <w:rsid w:val="009718BB"/>
    <w:rsid w:val="00971A5D"/>
    <w:rsid w:val="00971B95"/>
    <w:rsid w:val="00971BEC"/>
    <w:rsid w:val="00971D9F"/>
    <w:rsid w:val="00971E5C"/>
    <w:rsid w:val="00971EAC"/>
    <w:rsid w:val="009720B2"/>
    <w:rsid w:val="00972283"/>
    <w:rsid w:val="0097230C"/>
    <w:rsid w:val="00972376"/>
    <w:rsid w:val="00972382"/>
    <w:rsid w:val="00972498"/>
    <w:rsid w:val="0097295A"/>
    <w:rsid w:val="00972A92"/>
    <w:rsid w:val="00972B08"/>
    <w:rsid w:val="00972CCB"/>
    <w:rsid w:val="00972D75"/>
    <w:rsid w:val="00972D7B"/>
    <w:rsid w:val="00972DAB"/>
    <w:rsid w:val="00972E20"/>
    <w:rsid w:val="00972E2F"/>
    <w:rsid w:val="00973097"/>
    <w:rsid w:val="00973138"/>
    <w:rsid w:val="00973163"/>
    <w:rsid w:val="0097322E"/>
    <w:rsid w:val="00973731"/>
    <w:rsid w:val="0097376F"/>
    <w:rsid w:val="00973861"/>
    <w:rsid w:val="00973940"/>
    <w:rsid w:val="009739C4"/>
    <w:rsid w:val="00973A4C"/>
    <w:rsid w:val="00973B5D"/>
    <w:rsid w:val="00973C02"/>
    <w:rsid w:val="00973D01"/>
    <w:rsid w:val="00974048"/>
    <w:rsid w:val="009740A0"/>
    <w:rsid w:val="0097423E"/>
    <w:rsid w:val="0097426E"/>
    <w:rsid w:val="009743A4"/>
    <w:rsid w:val="009745FB"/>
    <w:rsid w:val="0097479E"/>
    <w:rsid w:val="0097494B"/>
    <w:rsid w:val="00974D00"/>
    <w:rsid w:val="00974E89"/>
    <w:rsid w:val="00974F9D"/>
    <w:rsid w:val="00975066"/>
    <w:rsid w:val="009750BA"/>
    <w:rsid w:val="009753E1"/>
    <w:rsid w:val="009753EC"/>
    <w:rsid w:val="0097566A"/>
    <w:rsid w:val="0097585D"/>
    <w:rsid w:val="009759AE"/>
    <w:rsid w:val="00975A5C"/>
    <w:rsid w:val="00975CFB"/>
    <w:rsid w:val="00976086"/>
    <w:rsid w:val="0097634F"/>
    <w:rsid w:val="00976596"/>
    <w:rsid w:val="009765AE"/>
    <w:rsid w:val="00976647"/>
    <w:rsid w:val="0097666E"/>
    <w:rsid w:val="00976864"/>
    <w:rsid w:val="00976943"/>
    <w:rsid w:val="0097695F"/>
    <w:rsid w:val="009769BD"/>
    <w:rsid w:val="00976CA1"/>
    <w:rsid w:val="00976F12"/>
    <w:rsid w:val="00977066"/>
    <w:rsid w:val="00977145"/>
    <w:rsid w:val="00977157"/>
    <w:rsid w:val="0097717B"/>
    <w:rsid w:val="0097724A"/>
    <w:rsid w:val="00977696"/>
    <w:rsid w:val="00977B4F"/>
    <w:rsid w:val="00980069"/>
    <w:rsid w:val="009801AD"/>
    <w:rsid w:val="009802E6"/>
    <w:rsid w:val="009802EE"/>
    <w:rsid w:val="009804EA"/>
    <w:rsid w:val="00980739"/>
    <w:rsid w:val="00980765"/>
    <w:rsid w:val="009807D9"/>
    <w:rsid w:val="0098082D"/>
    <w:rsid w:val="009809A0"/>
    <w:rsid w:val="00980DA6"/>
    <w:rsid w:val="00980EB3"/>
    <w:rsid w:val="00980FA0"/>
    <w:rsid w:val="0098108A"/>
    <w:rsid w:val="00981144"/>
    <w:rsid w:val="009818AB"/>
    <w:rsid w:val="00981C78"/>
    <w:rsid w:val="009821BA"/>
    <w:rsid w:val="00982291"/>
    <w:rsid w:val="009823C6"/>
    <w:rsid w:val="0098259D"/>
    <w:rsid w:val="0098280D"/>
    <w:rsid w:val="00982C1B"/>
    <w:rsid w:val="00982C37"/>
    <w:rsid w:val="00982CC2"/>
    <w:rsid w:val="00982CF5"/>
    <w:rsid w:val="0098302E"/>
    <w:rsid w:val="00983481"/>
    <w:rsid w:val="009834C8"/>
    <w:rsid w:val="00983578"/>
    <w:rsid w:val="00983653"/>
    <w:rsid w:val="00983AF7"/>
    <w:rsid w:val="00984018"/>
    <w:rsid w:val="00984143"/>
    <w:rsid w:val="00984440"/>
    <w:rsid w:val="00984552"/>
    <w:rsid w:val="009849DE"/>
    <w:rsid w:val="00984A79"/>
    <w:rsid w:val="00984B7C"/>
    <w:rsid w:val="00984BB9"/>
    <w:rsid w:val="00984DEC"/>
    <w:rsid w:val="00984FBF"/>
    <w:rsid w:val="00985485"/>
    <w:rsid w:val="0098552D"/>
    <w:rsid w:val="0098552E"/>
    <w:rsid w:val="0098559C"/>
    <w:rsid w:val="0098572A"/>
    <w:rsid w:val="00985746"/>
    <w:rsid w:val="00985B85"/>
    <w:rsid w:val="00985C9B"/>
    <w:rsid w:val="00985CBC"/>
    <w:rsid w:val="00985F50"/>
    <w:rsid w:val="00985F63"/>
    <w:rsid w:val="0098615B"/>
    <w:rsid w:val="009861AA"/>
    <w:rsid w:val="009862DA"/>
    <w:rsid w:val="00986346"/>
    <w:rsid w:val="0098638C"/>
    <w:rsid w:val="0098647D"/>
    <w:rsid w:val="00986483"/>
    <w:rsid w:val="0098657F"/>
    <w:rsid w:val="0098658F"/>
    <w:rsid w:val="00986625"/>
    <w:rsid w:val="00986698"/>
    <w:rsid w:val="00986B40"/>
    <w:rsid w:val="00986C20"/>
    <w:rsid w:val="00986E6A"/>
    <w:rsid w:val="00986EDC"/>
    <w:rsid w:val="00987091"/>
    <w:rsid w:val="0098718B"/>
    <w:rsid w:val="009874E3"/>
    <w:rsid w:val="00987553"/>
    <w:rsid w:val="009875B6"/>
    <w:rsid w:val="00987707"/>
    <w:rsid w:val="009878C2"/>
    <w:rsid w:val="00987AA0"/>
    <w:rsid w:val="00987D53"/>
    <w:rsid w:val="00987D56"/>
    <w:rsid w:val="00987DCA"/>
    <w:rsid w:val="00987EA2"/>
    <w:rsid w:val="00987F79"/>
    <w:rsid w:val="00987FD8"/>
    <w:rsid w:val="00990286"/>
    <w:rsid w:val="009902DC"/>
    <w:rsid w:val="00990312"/>
    <w:rsid w:val="0099037F"/>
    <w:rsid w:val="009903F7"/>
    <w:rsid w:val="00990452"/>
    <w:rsid w:val="009905D2"/>
    <w:rsid w:val="0099086E"/>
    <w:rsid w:val="00990969"/>
    <w:rsid w:val="00990BC9"/>
    <w:rsid w:val="00990BE5"/>
    <w:rsid w:val="00990E8A"/>
    <w:rsid w:val="00991034"/>
    <w:rsid w:val="00991134"/>
    <w:rsid w:val="009913B6"/>
    <w:rsid w:val="009913EC"/>
    <w:rsid w:val="00991924"/>
    <w:rsid w:val="00991D7B"/>
    <w:rsid w:val="0099209F"/>
    <w:rsid w:val="009920F0"/>
    <w:rsid w:val="0099213C"/>
    <w:rsid w:val="00992190"/>
    <w:rsid w:val="009921CC"/>
    <w:rsid w:val="0099228F"/>
    <w:rsid w:val="00992325"/>
    <w:rsid w:val="00992362"/>
    <w:rsid w:val="00992592"/>
    <w:rsid w:val="009927BE"/>
    <w:rsid w:val="00992A81"/>
    <w:rsid w:val="00992B13"/>
    <w:rsid w:val="00993255"/>
    <w:rsid w:val="009936EA"/>
    <w:rsid w:val="00993B47"/>
    <w:rsid w:val="00993B5A"/>
    <w:rsid w:val="00993D03"/>
    <w:rsid w:val="0099405A"/>
    <w:rsid w:val="00994281"/>
    <w:rsid w:val="0099430E"/>
    <w:rsid w:val="0099438A"/>
    <w:rsid w:val="00994494"/>
    <w:rsid w:val="009945D7"/>
    <w:rsid w:val="00994654"/>
    <w:rsid w:val="009947D3"/>
    <w:rsid w:val="009948BB"/>
    <w:rsid w:val="0099498A"/>
    <w:rsid w:val="009949A3"/>
    <w:rsid w:val="009950CD"/>
    <w:rsid w:val="0099524D"/>
    <w:rsid w:val="00995275"/>
    <w:rsid w:val="0099540E"/>
    <w:rsid w:val="0099542E"/>
    <w:rsid w:val="009956A0"/>
    <w:rsid w:val="009956AD"/>
    <w:rsid w:val="0099578C"/>
    <w:rsid w:val="00995806"/>
    <w:rsid w:val="009958F2"/>
    <w:rsid w:val="00995943"/>
    <w:rsid w:val="009959BE"/>
    <w:rsid w:val="00995C71"/>
    <w:rsid w:val="00995EDE"/>
    <w:rsid w:val="00996344"/>
    <w:rsid w:val="0099643F"/>
    <w:rsid w:val="009966C2"/>
    <w:rsid w:val="009966CC"/>
    <w:rsid w:val="00996738"/>
    <w:rsid w:val="00996AE1"/>
    <w:rsid w:val="00996D85"/>
    <w:rsid w:val="00996E33"/>
    <w:rsid w:val="00996EC9"/>
    <w:rsid w:val="00996F1D"/>
    <w:rsid w:val="00996F46"/>
    <w:rsid w:val="0099710B"/>
    <w:rsid w:val="009971EB"/>
    <w:rsid w:val="00997278"/>
    <w:rsid w:val="009974D2"/>
    <w:rsid w:val="009977A3"/>
    <w:rsid w:val="00997825"/>
    <w:rsid w:val="00997977"/>
    <w:rsid w:val="00997ADC"/>
    <w:rsid w:val="00997BDD"/>
    <w:rsid w:val="00997C47"/>
    <w:rsid w:val="00997D3A"/>
    <w:rsid w:val="00997D55"/>
    <w:rsid w:val="00997DD9"/>
    <w:rsid w:val="00997E52"/>
    <w:rsid w:val="009A04A7"/>
    <w:rsid w:val="009A092F"/>
    <w:rsid w:val="009A09EF"/>
    <w:rsid w:val="009A0AA2"/>
    <w:rsid w:val="009A0C69"/>
    <w:rsid w:val="009A0D8B"/>
    <w:rsid w:val="009A0DF7"/>
    <w:rsid w:val="009A106D"/>
    <w:rsid w:val="009A134D"/>
    <w:rsid w:val="009A1537"/>
    <w:rsid w:val="009A1666"/>
    <w:rsid w:val="009A1923"/>
    <w:rsid w:val="009A1A54"/>
    <w:rsid w:val="009A1ABC"/>
    <w:rsid w:val="009A1B94"/>
    <w:rsid w:val="009A1D60"/>
    <w:rsid w:val="009A1EBD"/>
    <w:rsid w:val="009A20A6"/>
    <w:rsid w:val="009A2135"/>
    <w:rsid w:val="009A25FE"/>
    <w:rsid w:val="009A2610"/>
    <w:rsid w:val="009A2643"/>
    <w:rsid w:val="009A2858"/>
    <w:rsid w:val="009A288A"/>
    <w:rsid w:val="009A299C"/>
    <w:rsid w:val="009A2A78"/>
    <w:rsid w:val="009A2AC8"/>
    <w:rsid w:val="009A2B1E"/>
    <w:rsid w:val="009A2BBB"/>
    <w:rsid w:val="009A2CB8"/>
    <w:rsid w:val="009A2DD3"/>
    <w:rsid w:val="009A2F13"/>
    <w:rsid w:val="009A32FC"/>
    <w:rsid w:val="009A33EC"/>
    <w:rsid w:val="009A3556"/>
    <w:rsid w:val="009A3704"/>
    <w:rsid w:val="009A373A"/>
    <w:rsid w:val="009A373F"/>
    <w:rsid w:val="009A37B9"/>
    <w:rsid w:val="009A396B"/>
    <w:rsid w:val="009A3B52"/>
    <w:rsid w:val="009A3E67"/>
    <w:rsid w:val="009A44C5"/>
    <w:rsid w:val="009A46F8"/>
    <w:rsid w:val="009A4925"/>
    <w:rsid w:val="009A4C20"/>
    <w:rsid w:val="009A4D58"/>
    <w:rsid w:val="009A506B"/>
    <w:rsid w:val="009A50B0"/>
    <w:rsid w:val="009A50C8"/>
    <w:rsid w:val="009A517B"/>
    <w:rsid w:val="009A51C9"/>
    <w:rsid w:val="009A52E0"/>
    <w:rsid w:val="009A5307"/>
    <w:rsid w:val="009A5360"/>
    <w:rsid w:val="009A5660"/>
    <w:rsid w:val="009A5948"/>
    <w:rsid w:val="009A5CE7"/>
    <w:rsid w:val="009A6403"/>
    <w:rsid w:val="009A6580"/>
    <w:rsid w:val="009A67C9"/>
    <w:rsid w:val="009A6810"/>
    <w:rsid w:val="009A6892"/>
    <w:rsid w:val="009A68AD"/>
    <w:rsid w:val="009A6B49"/>
    <w:rsid w:val="009A6BDF"/>
    <w:rsid w:val="009A6BEF"/>
    <w:rsid w:val="009A6C43"/>
    <w:rsid w:val="009A6C55"/>
    <w:rsid w:val="009A6DAF"/>
    <w:rsid w:val="009A71D2"/>
    <w:rsid w:val="009A7294"/>
    <w:rsid w:val="009A72C3"/>
    <w:rsid w:val="009A7326"/>
    <w:rsid w:val="009A7576"/>
    <w:rsid w:val="009A7BDF"/>
    <w:rsid w:val="009A7CC9"/>
    <w:rsid w:val="009A9765"/>
    <w:rsid w:val="009B000F"/>
    <w:rsid w:val="009B03DC"/>
    <w:rsid w:val="009B06C6"/>
    <w:rsid w:val="009B073F"/>
    <w:rsid w:val="009B0AAF"/>
    <w:rsid w:val="009B0AC9"/>
    <w:rsid w:val="009B0C43"/>
    <w:rsid w:val="009B0ED2"/>
    <w:rsid w:val="009B10A4"/>
    <w:rsid w:val="009B1305"/>
    <w:rsid w:val="009B1377"/>
    <w:rsid w:val="009B1501"/>
    <w:rsid w:val="009B156B"/>
    <w:rsid w:val="009B1610"/>
    <w:rsid w:val="009B1668"/>
    <w:rsid w:val="009B167E"/>
    <w:rsid w:val="009B1806"/>
    <w:rsid w:val="009B187E"/>
    <w:rsid w:val="009B18A1"/>
    <w:rsid w:val="009B18F2"/>
    <w:rsid w:val="009B1905"/>
    <w:rsid w:val="009B1A43"/>
    <w:rsid w:val="009B1C1A"/>
    <w:rsid w:val="009B1C43"/>
    <w:rsid w:val="009B1DD9"/>
    <w:rsid w:val="009B1FCF"/>
    <w:rsid w:val="009B2037"/>
    <w:rsid w:val="009B2120"/>
    <w:rsid w:val="009B2147"/>
    <w:rsid w:val="009B22F9"/>
    <w:rsid w:val="009B2334"/>
    <w:rsid w:val="009B23CF"/>
    <w:rsid w:val="009B27AB"/>
    <w:rsid w:val="009B2CE9"/>
    <w:rsid w:val="009B2E32"/>
    <w:rsid w:val="009B306D"/>
    <w:rsid w:val="009B3161"/>
    <w:rsid w:val="009B318C"/>
    <w:rsid w:val="009B31EF"/>
    <w:rsid w:val="009B3339"/>
    <w:rsid w:val="009B3871"/>
    <w:rsid w:val="009B395A"/>
    <w:rsid w:val="009B3C61"/>
    <w:rsid w:val="009B3C93"/>
    <w:rsid w:val="009B3CC3"/>
    <w:rsid w:val="009B3DFE"/>
    <w:rsid w:val="009B4085"/>
    <w:rsid w:val="009B420C"/>
    <w:rsid w:val="009B4282"/>
    <w:rsid w:val="009B42FF"/>
    <w:rsid w:val="009B4329"/>
    <w:rsid w:val="009B4517"/>
    <w:rsid w:val="009B46AD"/>
    <w:rsid w:val="009B4776"/>
    <w:rsid w:val="009B498B"/>
    <w:rsid w:val="009B49B6"/>
    <w:rsid w:val="009B4A29"/>
    <w:rsid w:val="009B4A4D"/>
    <w:rsid w:val="009B4AF8"/>
    <w:rsid w:val="009B4BD5"/>
    <w:rsid w:val="009B4C3F"/>
    <w:rsid w:val="009B4C73"/>
    <w:rsid w:val="009B4F04"/>
    <w:rsid w:val="009B508D"/>
    <w:rsid w:val="009B50EA"/>
    <w:rsid w:val="009B518B"/>
    <w:rsid w:val="009B5431"/>
    <w:rsid w:val="009B5633"/>
    <w:rsid w:val="009B56E3"/>
    <w:rsid w:val="009B59C2"/>
    <w:rsid w:val="009B5A96"/>
    <w:rsid w:val="009B5B53"/>
    <w:rsid w:val="009B5CB9"/>
    <w:rsid w:val="009B5D19"/>
    <w:rsid w:val="009B5E6B"/>
    <w:rsid w:val="009B5F05"/>
    <w:rsid w:val="009B5FCF"/>
    <w:rsid w:val="009B6325"/>
    <w:rsid w:val="009B67DC"/>
    <w:rsid w:val="009B69C8"/>
    <w:rsid w:val="009B6ADF"/>
    <w:rsid w:val="009B6D5A"/>
    <w:rsid w:val="009B6D8E"/>
    <w:rsid w:val="009B7153"/>
    <w:rsid w:val="009B7456"/>
    <w:rsid w:val="009B747C"/>
    <w:rsid w:val="009B74CF"/>
    <w:rsid w:val="009B75A6"/>
    <w:rsid w:val="009B75D9"/>
    <w:rsid w:val="009B7827"/>
    <w:rsid w:val="009B7A06"/>
    <w:rsid w:val="009B7B35"/>
    <w:rsid w:val="009B7B48"/>
    <w:rsid w:val="009B7BD6"/>
    <w:rsid w:val="009B7BE9"/>
    <w:rsid w:val="009B7DFF"/>
    <w:rsid w:val="009C0063"/>
    <w:rsid w:val="009C00AC"/>
    <w:rsid w:val="009C0219"/>
    <w:rsid w:val="009C06C2"/>
    <w:rsid w:val="009C0945"/>
    <w:rsid w:val="009C0949"/>
    <w:rsid w:val="009C0D1F"/>
    <w:rsid w:val="009C0F4E"/>
    <w:rsid w:val="009C0FE2"/>
    <w:rsid w:val="009C1055"/>
    <w:rsid w:val="009C10EA"/>
    <w:rsid w:val="009C1189"/>
    <w:rsid w:val="009C1298"/>
    <w:rsid w:val="009C13DF"/>
    <w:rsid w:val="009C148B"/>
    <w:rsid w:val="009C14FF"/>
    <w:rsid w:val="009C18D1"/>
    <w:rsid w:val="009C1915"/>
    <w:rsid w:val="009C1C07"/>
    <w:rsid w:val="009C1F0F"/>
    <w:rsid w:val="009C2436"/>
    <w:rsid w:val="009C2771"/>
    <w:rsid w:val="009C27E9"/>
    <w:rsid w:val="009C28AB"/>
    <w:rsid w:val="009C2B5B"/>
    <w:rsid w:val="009C2C1A"/>
    <w:rsid w:val="009C2D4B"/>
    <w:rsid w:val="009C2EBA"/>
    <w:rsid w:val="009C2F0E"/>
    <w:rsid w:val="009C3069"/>
    <w:rsid w:val="009C31E9"/>
    <w:rsid w:val="009C3341"/>
    <w:rsid w:val="009C334A"/>
    <w:rsid w:val="009C376D"/>
    <w:rsid w:val="009C37CC"/>
    <w:rsid w:val="009C38DE"/>
    <w:rsid w:val="009C38FD"/>
    <w:rsid w:val="009C39D0"/>
    <w:rsid w:val="009C3AFB"/>
    <w:rsid w:val="009C3DBF"/>
    <w:rsid w:val="009C3DE5"/>
    <w:rsid w:val="009C401F"/>
    <w:rsid w:val="009C413C"/>
    <w:rsid w:val="009C427B"/>
    <w:rsid w:val="009C442E"/>
    <w:rsid w:val="009C4492"/>
    <w:rsid w:val="009C44D3"/>
    <w:rsid w:val="009C490F"/>
    <w:rsid w:val="009C4960"/>
    <w:rsid w:val="009C4B2C"/>
    <w:rsid w:val="009C4BCF"/>
    <w:rsid w:val="009C4E8D"/>
    <w:rsid w:val="009C4EBC"/>
    <w:rsid w:val="009C4EBF"/>
    <w:rsid w:val="009C4F84"/>
    <w:rsid w:val="009C5201"/>
    <w:rsid w:val="009C5249"/>
    <w:rsid w:val="009C5352"/>
    <w:rsid w:val="009C53ED"/>
    <w:rsid w:val="009C53FD"/>
    <w:rsid w:val="009C55FC"/>
    <w:rsid w:val="009C560F"/>
    <w:rsid w:val="009C57C6"/>
    <w:rsid w:val="009C580A"/>
    <w:rsid w:val="009C594D"/>
    <w:rsid w:val="009C5BFC"/>
    <w:rsid w:val="009C5CA7"/>
    <w:rsid w:val="009C5DBE"/>
    <w:rsid w:val="009C5DD0"/>
    <w:rsid w:val="009C5E55"/>
    <w:rsid w:val="009C6351"/>
    <w:rsid w:val="009C6534"/>
    <w:rsid w:val="009C6547"/>
    <w:rsid w:val="009C661E"/>
    <w:rsid w:val="009C68A9"/>
    <w:rsid w:val="009C6BAA"/>
    <w:rsid w:val="009C71FA"/>
    <w:rsid w:val="009C7466"/>
    <w:rsid w:val="009C775A"/>
    <w:rsid w:val="009C7789"/>
    <w:rsid w:val="009C77A8"/>
    <w:rsid w:val="009C7A71"/>
    <w:rsid w:val="009C7DB0"/>
    <w:rsid w:val="009D0094"/>
    <w:rsid w:val="009D00D9"/>
    <w:rsid w:val="009D036C"/>
    <w:rsid w:val="009D036F"/>
    <w:rsid w:val="009D0464"/>
    <w:rsid w:val="009D04E5"/>
    <w:rsid w:val="009D063C"/>
    <w:rsid w:val="009D06DB"/>
    <w:rsid w:val="009D0998"/>
    <w:rsid w:val="009D09A2"/>
    <w:rsid w:val="009D09C3"/>
    <w:rsid w:val="009D0B70"/>
    <w:rsid w:val="009D0DC3"/>
    <w:rsid w:val="009D0DE8"/>
    <w:rsid w:val="009D0E0D"/>
    <w:rsid w:val="009D0E10"/>
    <w:rsid w:val="009D0E67"/>
    <w:rsid w:val="009D0EB6"/>
    <w:rsid w:val="009D0EC0"/>
    <w:rsid w:val="009D0EC3"/>
    <w:rsid w:val="009D1017"/>
    <w:rsid w:val="009D12B3"/>
    <w:rsid w:val="009D18EB"/>
    <w:rsid w:val="009D1B67"/>
    <w:rsid w:val="009D1DCF"/>
    <w:rsid w:val="009D20C3"/>
    <w:rsid w:val="009D275B"/>
    <w:rsid w:val="009D2800"/>
    <w:rsid w:val="009D285F"/>
    <w:rsid w:val="009D297B"/>
    <w:rsid w:val="009D2BDE"/>
    <w:rsid w:val="009D2E5D"/>
    <w:rsid w:val="009D2F3C"/>
    <w:rsid w:val="009D315B"/>
    <w:rsid w:val="009D31E6"/>
    <w:rsid w:val="009D31E9"/>
    <w:rsid w:val="009D32E2"/>
    <w:rsid w:val="009D3460"/>
    <w:rsid w:val="009D346E"/>
    <w:rsid w:val="009D35DB"/>
    <w:rsid w:val="009D35FB"/>
    <w:rsid w:val="009D3901"/>
    <w:rsid w:val="009D3945"/>
    <w:rsid w:val="009D397C"/>
    <w:rsid w:val="009D3986"/>
    <w:rsid w:val="009D3A21"/>
    <w:rsid w:val="009D3A81"/>
    <w:rsid w:val="009D3AFD"/>
    <w:rsid w:val="009D3C0D"/>
    <w:rsid w:val="009D3E73"/>
    <w:rsid w:val="009D3E9D"/>
    <w:rsid w:val="009D3EB4"/>
    <w:rsid w:val="009D4134"/>
    <w:rsid w:val="009D4278"/>
    <w:rsid w:val="009D42D9"/>
    <w:rsid w:val="009D4372"/>
    <w:rsid w:val="009D44A1"/>
    <w:rsid w:val="009D4847"/>
    <w:rsid w:val="009D4A0C"/>
    <w:rsid w:val="009D4A94"/>
    <w:rsid w:val="009D4BE5"/>
    <w:rsid w:val="009D4C9A"/>
    <w:rsid w:val="009D4DB0"/>
    <w:rsid w:val="009D4E96"/>
    <w:rsid w:val="009D4F27"/>
    <w:rsid w:val="009D4FE8"/>
    <w:rsid w:val="009D5258"/>
    <w:rsid w:val="009D547C"/>
    <w:rsid w:val="009D55B4"/>
    <w:rsid w:val="009D59A4"/>
    <w:rsid w:val="009D5AD0"/>
    <w:rsid w:val="009D5D48"/>
    <w:rsid w:val="009D5D96"/>
    <w:rsid w:val="009D6032"/>
    <w:rsid w:val="009D6261"/>
    <w:rsid w:val="009D637F"/>
    <w:rsid w:val="009D6710"/>
    <w:rsid w:val="009D6725"/>
    <w:rsid w:val="009D690A"/>
    <w:rsid w:val="009D6AE8"/>
    <w:rsid w:val="009D6B7E"/>
    <w:rsid w:val="009D6C20"/>
    <w:rsid w:val="009D6DE5"/>
    <w:rsid w:val="009D6E82"/>
    <w:rsid w:val="009D6EED"/>
    <w:rsid w:val="009D71E2"/>
    <w:rsid w:val="009D7203"/>
    <w:rsid w:val="009D7416"/>
    <w:rsid w:val="009D743F"/>
    <w:rsid w:val="009D789C"/>
    <w:rsid w:val="009D7ACD"/>
    <w:rsid w:val="009D7BBF"/>
    <w:rsid w:val="009D7DB1"/>
    <w:rsid w:val="009D7DC4"/>
    <w:rsid w:val="009D7E03"/>
    <w:rsid w:val="009D7E6C"/>
    <w:rsid w:val="009D7E79"/>
    <w:rsid w:val="009E00B7"/>
    <w:rsid w:val="009E0166"/>
    <w:rsid w:val="009E0190"/>
    <w:rsid w:val="009E0384"/>
    <w:rsid w:val="009E03D8"/>
    <w:rsid w:val="009E05D1"/>
    <w:rsid w:val="009E062D"/>
    <w:rsid w:val="009E0777"/>
    <w:rsid w:val="009E07B8"/>
    <w:rsid w:val="009E0834"/>
    <w:rsid w:val="009E095E"/>
    <w:rsid w:val="009E0B8A"/>
    <w:rsid w:val="009E0F6A"/>
    <w:rsid w:val="009E104C"/>
    <w:rsid w:val="009E112C"/>
    <w:rsid w:val="009E1139"/>
    <w:rsid w:val="009E1160"/>
    <w:rsid w:val="009E129B"/>
    <w:rsid w:val="009E13C9"/>
    <w:rsid w:val="009E146D"/>
    <w:rsid w:val="009E14F3"/>
    <w:rsid w:val="009E152E"/>
    <w:rsid w:val="009E16C4"/>
    <w:rsid w:val="009E172E"/>
    <w:rsid w:val="009E1A24"/>
    <w:rsid w:val="009E1B30"/>
    <w:rsid w:val="009E1E21"/>
    <w:rsid w:val="009E1EC5"/>
    <w:rsid w:val="009E1F9F"/>
    <w:rsid w:val="009E21BC"/>
    <w:rsid w:val="009E23E6"/>
    <w:rsid w:val="009E26B8"/>
    <w:rsid w:val="009E27CF"/>
    <w:rsid w:val="009E2908"/>
    <w:rsid w:val="009E29CA"/>
    <w:rsid w:val="009E29FB"/>
    <w:rsid w:val="009E2F4A"/>
    <w:rsid w:val="009E2F9C"/>
    <w:rsid w:val="009E30EB"/>
    <w:rsid w:val="009E31A5"/>
    <w:rsid w:val="009E34CE"/>
    <w:rsid w:val="009E34DA"/>
    <w:rsid w:val="009E377F"/>
    <w:rsid w:val="009E37DE"/>
    <w:rsid w:val="009E3948"/>
    <w:rsid w:val="009E39A3"/>
    <w:rsid w:val="009E39B7"/>
    <w:rsid w:val="009E3BE1"/>
    <w:rsid w:val="009E3C0A"/>
    <w:rsid w:val="009E3CDB"/>
    <w:rsid w:val="009E3FDC"/>
    <w:rsid w:val="009E4072"/>
    <w:rsid w:val="009E4225"/>
    <w:rsid w:val="009E42E2"/>
    <w:rsid w:val="009E42F5"/>
    <w:rsid w:val="009E459A"/>
    <w:rsid w:val="009E4738"/>
    <w:rsid w:val="009E4851"/>
    <w:rsid w:val="009E4881"/>
    <w:rsid w:val="009E48B6"/>
    <w:rsid w:val="009E4A2B"/>
    <w:rsid w:val="009E4B90"/>
    <w:rsid w:val="009E4C7D"/>
    <w:rsid w:val="009E4D26"/>
    <w:rsid w:val="009E4EDC"/>
    <w:rsid w:val="009E513C"/>
    <w:rsid w:val="009E5250"/>
    <w:rsid w:val="009E5257"/>
    <w:rsid w:val="009E526E"/>
    <w:rsid w:val="009E535B"/>
    <w:rsid w:val="009E5371"/>
    <w:rsid w:val="009E5769"/>
    <w:rsid w:val="009E57BE"/>
    <w:rsid w:val="009E59E6"/>
    <w:rsid w:val="009E59F9"/>
    <w:rsid w:val="009E5BCF"/>
    <w:rsid w:val="009E5BE0"/>
    <w:rsid w:val="009E5E1A"/>
    <w:rsid w:val="009E5F25"/>
    <w:rsid w:val="009E605D"/>
    <w:rsid w:val="009E6401"/>
    <w:rsid w:val="009E6677"/>
    <w:rsid w:val="009E670B"/>
    <w:rsid w:val="009E675C"/>
    <w:rsid w:val="009E6D20"/>
    <w:rsid w:val="009E6D25"/>
    <w:rsid w:val="009E6D31"/>
    <w:rsid w:val="009E71EB"/>
    <w:rsid w:val="009E76FB"/>
    <w:rsid w:val="009E792C"/>
    <w:rsid w:val="009E7B8C"/>
    <w:rsid w:val="009E7F36"/>
    <w:rsid w:val="009E7F7D"/>
    <w:rsid w:val="009F0151"/>
    <w:rsid w:val="009F0168"/>
    <w:rsid w:val="009F01BB"/>
    <w:rsid w:val="009F0271"/>
    <w:rsid w:val="009F0328"/>
    <w:rsid w:val="009F0864"/>
    <w:rsid w:val="009F0A2A"/>
    <w:rsid w:val="009F0A63"/>
    <w:rsid w:val="009F0C16"/>
    <w:rsid w:val="009F0EEB"/>
    <w:rsid w:val="009F12E2"/>
    <w:rsid w:val="009F12EC"/>
    <w:rsid w:val="009F1471"/>
    <w:rsid w:val="009F14AB"/>
    <w:rsid w:val="009F1519"/>
    <w:rsid w:val="009F159F"/>
    <w:rsid w:val="009F16ED"/>
    <w:rsid w:val="009F18E3"/>
    <w:rsid w:val="009F1945"/>
    <w:rsid w:val="009F199B"/>
    <w:rsid w:val="009F1D22"/>
    <w:rsid w:val="009F1F24"/>
    <w:rsid w:val="009F1FA0"/>
    <w:rsid w:val="009F20DE"/>
    <w:rsid w:val="009F20F4"/>
    <w:rsid w:val="009F21FA"/>
    <w:rsid w:val="009F225E"/>
    <w:rsid w:val="009F2271"/>
    <w:rsid w:val="009F248F"/>
    <w:rsid w:val="009F24CE"/>
    <w:rsid w:val="009F2B80"/>
    <w:rsid w:val="009F2E71"/>
    <w:rsid w:val="009F30D3"/>
    <w:rsid w:val="009F324F"/>
    <w:rsid w:val="009F367E"/>
    <w:rsid w:val="009F3733"/>
    <w:rsid w:val="009F37E0"/>
    <w:rsid w:val="009F39EC"/>
    <w:rsid w:val="009F3AF0"/>
    <w:rsid w:val="009F3B93"/>
    <w:rsid w:val="009F3BB9"/>
    <w:rsid w:val="009F3BF0"/>
    <w:rsid w:val="009F3BF1"/>
    <w:rsid w:val="009F3C84"/>
    <w:rsid w:val="009F3C8D"/>
    <w:rsid w:val="009F3E0F"/>
    <w:rsid w:val="009F405C"/>
    <w:rsid w:val="009F4084"/>
    <w:rsid w:val="009F4117"/>
    <w:rsid w:val="009F41A1"/>
    <w:rsid w:val="009F4347"/>
    <w:rsid w:val="009F442B"/>
    <w:rsid w:val="009F44C0"/>
    <w:rsid w:val="009F477E"/>
    <w:rsid w:val="009F481F"/>
    <w:rsid w:val="009F48E0"/>
    <w:rsid w:val="009F49E0"/>
    <w:rsid w:val="009F4CE5"/>
    <w:rsid w:val="009F4D93"/>
    <w:rsid w:val="009F4E4D"/>
    <w:rsid w:val="009F4E6F"/>
    <w:rsid w:val="009F4F3A"/>
    <w:rsid w:val="009F4F5B"/>
    <w:rsid w:val="009F5075"/>
    <w:rsid w:val="009F54B7"/>
    <w:rsid w:val="009F5675"/>
    <w:rsid w:val="009F57FB"/>
    <w:rsid w:val="009F5C8D"/>
    <w:rsid w:val="009F603B"/>
    <w:rsid w:val="009F60C9"/>
    <w:rsid w:val="009F6197"/>
    <w:rsid w:val="009F619F"/>
    <w:rsid w:val="009F631A"/>
    <w:rsid w:val="009F648E"/>
    <w:rsid w:val="009F678F"/>
    <w:rsid w:val="009F6BEF"/>
    <w:rsid w:val="009F6FE6"/>
    <w:rsid w:val="009F70ED"/>
    <w:rsid w:val="009F70F0"/>
    <w:rsid w:val="009F7188"/>
    <w:rsid w:val="009F71FD"/>
    <w:rsid w:val="009F7589"/>
    <w:rsid w:val="009F75E0"/>
    <w:rsid w:val="009F76E2"/>
    <w:rsid w:val="009F77F9"/>
    <w:rsid w:val="009F7938"/>
    <w:rsid w:val="009F7985"/>
    <w:rsid w:val="009F7A8A"/>
    <w:rsid w:val="009F7B6E"/>
    <w:rsid w:val="009F7D29"/>
    <w:rsid w:val="009F7F38"/>
    <w:rsid w:val="009F7F6C"/>
    <w:rsid w:val="009FCAA3"/>
    <w:rsid w:val="00A00059"/>
    <w:rsid w:val="00A00068"/>
    <w:rsid w:val="00A000F2"/>
    <w:rsid w:val="00A0019D"/>
    <w:rsid w:val="00A002D1"/>
    <w:rsid w:val="00A00616"/>
    <w:rsid w:val="00A008CA"/>
    <w:rsid w:val="00A00945"/>
    <w:rsid w:val="00A0097F"/>
    <w:rsid w:val="00A00A97"/>
    <w:rsid w:val="00A00AC8"/>
    <w:rsid w:val="00A00B92"/>
    <w:rsid w:val="00A00C03"/>
    <w:rsid w:val="00A00CE7"/>
    <w:rsid w:val="00A00DA1"/>
    <w:rsid w:val="00A011AB"/>
    <w:rsid w:val="00A0137D"/>
    <w:rsid w:val="00A013A9"/>
    <w:rsid w:val="00A0146B"/>
    <w:rsid w:val="00A0147C"/>
    <w:rsid w:val="00A0152D"/>
    <w:rsid w:val="00A016FA"/>
    <w:rsid w:val="00A017C5"/>
    <w:rsid w:val="00A018A6"/>
    <w:rsid w:val="00A019B1"/>
    <w:rsid w:val="00A01BB0"/>
    <w:rsid w:val="00A01D2D"/>
    <w:rsid w:val="00A01E6D"/>
    <w:rsid w:val="00A01EE1"/>
    <w:rsid w:val="00A01F61"/>
    <w:rsid w:val="00A01F68"/>
    <w:rsid w:val="00A022BF"/>
    <w:rsid w:val="00A02490"/>
    <w:rsid w:val="00A0260E"/>
    <w:rsid w:val="00A031DC"/>
    <w:rsid w:val="00A032F6"/>
    <w:rsid w:val="00A034BD"/>
    <w:rsid w:val="00A03705"/>
    <w:rsid w:val="00A037BF"/>
    <w:rsid w:val="00A038A1"/>
    <w:rsid w:val="00A038C6"/>
    <w:rsid w:val="00A03A51"/>
    <w:rsid w:val="00A03EF5"/>
    <w:rsid w:val="00A03FE6"/>
    <w:rsid w:val="00A040D1"/>
    <w:rsid w:val="00A0432D"/>
    <w:rsid w:val="00A043CE"/>
    <w:rsid w:val="00A0456A"/>
    <w:rsid w:val="00A04846"/>
    <w:rsid w:val="00A048CE"/>
    <w:rsid w:val="00A048FD"/>
    <w:rsid w:val="00A04AB4"/>
    <w:rsid w:val="00A04B67"/>
    <w:rsid w:val="00A04BD9"/>
    <w:rsid w:val="00A04CBB"/>
    <w:rsid w:val="00A04DC0"/>
    <w:rsid w:val="00A04DEB"/>
    <w:rsid w:val="00A04E6D"/>
    <w:rsid w:val="00A050B5"/>
    <w:rsid w:val="00A05791"/>
    <w:rsid w:val="00A057D5"/>
    <w:rsid w:val="00A05821"/>
    <w:rsid w:val="00A05826"/>
    <w:rsid w:val="00A0585D"/>
    <w:rsid w:val="00A05B13"/>
    <w:rsid w:val="00A05B2B"/>
    <w:rsid w:val="00A05B3C"/>
    <w:rsid w:val="00A05B50"/>
    <w:rsid w:val="00A05D7E"/>
    <w:rsid w:val="00A05F5F"/>
    <w:rsid w:val="00A06031"/>
    <w:rsid w:val="00A06188"/>
    <w:rsid w:val="00A061ED"/>
    <w:rsid w:val="00A0639A"/>
    <w:rsid w:val="00A064CD"/>
    <w:rsid w:val="00A06536"/>
    <w:rsid w:val="00A065D3"/>
    <w:rsid w:val="00A06731"/>
    <w:rsid w:val="00A06A1B"/>
    <w:rsid w:val="00A06D8F"/>
    <w:rsid w:val="00A06E0D"/>
    <w:rsid w:val="00A0700D"/>
    <w:rsid w:val="00A070E8"/>
    <w:rsid w:val="00A07106"/>
    <w:rsid w:val="00A0719F"/>
    <w:rsid w:val="00A07291"/>
    <w:rsid w:val="00A072DA"/>
    <w:rsid w:val="00A072E1"/>
    <w:rsid w:val="00A072F1"/>
    <w:rsid w:val="00A073BE"/>
    <w:rsid w:val="00A07686"/>
    <w:rsid w:val="00A0777D"/>
    <w:rsid w:val="00A078F0"/>
    <w:rsid w:val="00A07A3A"/>
    <w:rsid w:val="00A07B06"/>
    <w:rsid w:val="00A07D88"/>
    <w:rsid w:val="00A07F61"/>
    <w:rsid w:val="00A103D2"/>
    <w:rsid w:val="00A104E8"/>
    <w:rsid w:val="00A10763"/>
    <w:rsid w:val="00A10854"/>
    <w:rsid w:val="00A10A2B"/>
    <w:rsid w:val="00A10D60"/>
    <w:rsid w:val="00A10D86"/>
    <w:rsid w:val="00A10FA6"/>
    <w:rsid w:val="00A110BF"/>
    <w:rsid w:val="00A1122D"/>
    <w:rsid w:val="00A1129F"/>
    <w:rsid w:val="00A113E4"/>
    <w:rsid w:val="00A11511"/>
    <w:rsid w:val="00A1158E"/>
    <w:rsid w:val="00A11895"/>
    <w:rsid w:val="00A11CD6"/>
    <w:rsid w:val="00A11D9C"/>
    <w:rsid w:val="00A12153"/>
    <w:rsid w:val="00A122AE"/>
    <w:rsid w:val="00A128AF"/>
    <w:rsid w:val="00A12928"/>
    <w:rsid w:val="00A12AC8"/>
    <w:rsid w:val="00A12B80"/>
    <w:rsid w:val="00A12C82"/>
    <w:rsid w:val="00A12DC7"/>
    <w:rsid w:val="00A12FAD"/>
    <w:rsid w:val="00A130B7"/>
    <w:rsid w:val="00A131B4"/>
    <w:rsid w:val="00A1325B"/>
    <w:rsid w:val="00A135C2"/>
    <w:rsid w:val="00A135EF"/>
    <w:rsid w:val="00A13856"/>
    <w:rsid w:val="00A139C0"/>
    <w:rsid w:val="00A13AD4"/>
    <w:rsid w:val="00A13B08"/>
    <w:rsid w:val="00A13F41"/>
    <w:rsid w:val="00A13F68"/>
    <w:rsid w:val="00A13FB4"/>
    <w:rsid w:val="00A144BA"/>
    <w:rsid w:val="00A14578"/>
    <w:rsid w:val="00A145DB"/>
    <w:rsid w:val="00A1466C"/>
    <w:rsid w:val="00A14B9F"/>
    <w:rsid w:val="00A14DA8"/>
    <w:rsid w:val="00A14DD1"/>
    <w:rsid w:val="00A14EE2"/>
    <w:rsid w:val="00A14F5C"/>
    <w:rsid w:val="00A1508D"/>
    <w:rsid w:val="00A15203"/>
    <w:rsid w:val="00A1549D"/>
    <w:rsid w:val="00A154F8"/>
    <w:rsid w:val="00A1575B"/>
    <w:rsid w:val="00A15812"/>
    <w:rsid w:val="00A15883"/>
    <w:rsid w:val="00A158B6"/>
    <w:rsid w:val="00A158EF"/>
    <w:rsid w:val="00A15C07"/>
    <w:rsid w:val="00A15C49"/>
    <w:rsid w:val="00A15D34"/>
    <w:rsid w:val="00A16003"/>
    <w:rsid w:val="00A1609C"/>
    <w:rsid w:val="00A16372"/>
    <w:rsid w:val="00A1662C"/>
    <w:rsid w:val="00A167D0"/>
    <w:rsid w:val="00A1681D"/>
    <w:rsid w:val="00A16895"/>
    <w:rsid w:val="00A168CF"/>
    <w:rsid w:val="00A169D9"/>
    <w:rsid w:val="00A16A73"/>
    <w:rsid w:val="00A16BBB"/>
    <w:rsid w:val="00A16D13"/>
    <w:rsid w:val="00A17444"/>
    <w:rsid w:val="00A17506"/>
    <w:rsid w:val="00A17844"/>
    <w:rsid w:val="00A17B03"/>
    <w:rsid w:val="00A17D7F"/>
    <w:rsid w:val="00A17DB3"/>
    <w:rsid w:val="00A17E59"/>
    <w:rsid w:val="00A2008B"/>
    <w:rsid w:val="00A201AF"/>
    <w:rsid w:val="00A20237"/>
    <w:rsid w:val="00A2047A"/>
    <w:rsid w:val="00A2059F"/>
    <w:rsid w:val="00A20760"/>
    <w:rsid w:val="00A207A1"/>
    <w:rsid w:val="00A20A09"/>
    <w:rsid w:val="00A20B10"/>
    <w:rsid w:val="00A20EFF"/>
    <w:rsid w:val="00A20FBD"/>
    <w:rsid w:val="00A21195"/>
    <w:rsid w:val="00A213FF"/>
    <w:rsid w:val="00A216CD"/>
    <w:rsid w:val="00A21733"/>
    <w:rsid w:val="00A21999"/>
    <w:rsid w:val="00A219F1"/>
    <w:rsid w:val="00A21A20"/>
    <w:rsid w:val="00A21A91"/>
    <w:rsid w:val="00A21BF4"/>
    <w:rsid w:val="00A21C28"/>
    <w:rsid w:val="00A222FD"/>
    <w:rsid w:val="00A22361"/>
    <w:rsid w:val="00A22624"/>
    <w:rsid w:val="00A22B04"/>
    <w:rsid w:val="00A22C54"/>
    <w:rsid w:val="00A22D97"/>
    <w:rsid w:val="00A23024"/>
    <w:rsid w:val="00A231C5"/>
    <w:rsid w:val="00A232A1"/>
    <w:rsid w:val="00A23492"/>
    <w:rsid w:val="00A23521"/>
    <w:rsid w:val="00A23535"/>
    <w:rsid w:val="00A23692"/>
    <w:rsid w:val="00A2374A"/>
    <w:rsid w:val="00A237A2"/>
    <w:rsid w:val="00A23872"/>
    <w:rsid w:val="00A23885"/>
    <w:rsid w:val="00A23A13"/>
    <w:rsid w:val="00A23C0E"/>
    <w:rsid w:val="00A23D8B"/>
    <w:rsid w:val="00A2407A"/>
    <w:rsid w:val="00A242F0"/>
    <w:rsid w:val="00A245F6"/>
    <w:rsid w:val="00A24696"/>
    <w:rsid w:val="00A248A4"/>
    <w:rsid w:val="00A248B2"/>
    <w:rsid w:val="00A249FE"/>
    <w:rsid w:val="00A24A78"/>
    <w:rsid w:val="00A24B3A"/>
    <w:rsid w:val="00A24EAC"/>
    <w:rsid w:val="00A25120"/>
    <w:rsid w:val="00A25255"/>
    <w:rsid w:val="00A2546B"/>
    <w:rsid w:val="00A25653"/>
    <w:rsid w:val="00A2587C"/>
    <w:rsid w:val="00A25A41"/>
    <w:rsid w:val="00A25AA3"/>
    <w:rsid w:val="00A25F1B"/>
    <w:rsid w:val="00A265DD"/>
    <w:rsid w:val="00A26640"/>
    <w:rsid w:val="00A26988"/>
    <w:rsid w:val="00A26B3C"/>
    <w:rsid w:val="00A26B4A"/>
    <w:rsid w:val="00A26B66"/>
    <w:rsid w:val="00A26BB0"/>
    <w:rsid w:val="00A26C4C"/>
    <w:rsid w:val="00A26DA6"/>
    <w:rsid w:val="00A26F06"/>
    <w:rsid w:val="00A26F7A"/>
    <w:rsid w:val="00A2704E"/>
    <w:rsid w:val="00A27057"/>
    <w:rsid w:val="00A270B0"/>
    <w:rsid w:val="00A27186"/>
    <w:rsid w:val="00A27213"/>
    <w:rsid w:val="00A27550"/>
    <w:rsid w:val="00A2770A"/>
    <w:rsid w:val="00A2792F"/>
    <w:rsid w:val="00A2793A"/>
    <w:rsid w:val="00A27983"/>
    <w:rsid w:val="00A279F5"/>
    <w:rsid w:val="00A27AF5"/>
    <w:rsid w:val="00A27E99"/>
    <w:rsid w:val="00A30177"/>
    <w:rsid w:val="00A301B2"/>
    <w:rsid w:val="00A30246"/>
    <w:rsid w:val="00A3026C"/>
    <w:rsid w:val="00A3031D"/>
    <w:rsid w:val="00A303E7"/>
    <w:rsid w:val="00A30742"/>
    <w:rsid w:val="00A30761"/>
    <w:rsid w:val="00A30812"/>
    <w:rsid w:val="00A308BC"/>
    <w:rsid w:val="00A3095D"/>
    <w:rsid w:val="00A30C78"/>
    <w:rsid w:val="00A30C7F"/>
    <w:rsid w:val="00A30F29"/>
    <w:rsid w:val="00A310A4"/>
    <w:rsid w:val="00A310CE"/>
    <w:rsid w:val="00A31824"/>
    <w:rsid w:val="00A31D3E"/>
    <w:rsid w:val="00A3219B"/>
    <w:rsid w:val="00A3236D"/>
    <w:rsid w:val="00A325DF"/>
    <w:rsid w:val="00A32890"/>
    <w:rsid w:val="00A32896"/>
    <w:rsid w:val="00A32898"/>
    <w:rsid w:val="00A328ED"/>
    <w:rsid w:val="00A32AF7"/>
    <w:rsid w:val="00A32BAB"/>
    <w:rsid w:val="00A32E29"/>
    <w:rsid w:val="00A32E64"/>
    <w:rsid w:val="00A32F09"/>
    <w:rsid w:val="00A330E3"/>
    <w:rsid w:val="00A33332"/>
    <w:rsid w:val="00A33372"/>
    <w:rsid w:val="00A33413"/>
    <w:rsid w:val="00A33598"/>
    <w:rsid w:val="00A338DC"/>
    <w:rsid w:val="00A33D36"/>
    <w:rsid w:val="00A33DB3"/>
    <w:rsid w:val="00A33E5A"/>
    <w:rsid w:val="00A34086"/>
    <w:rsid w:val="00A342EE"/>
    <w:rsid w:val="00A34360"/>
    <w:rsid w:val="00A3459F"/>
    <w:rsid w:val="00A34801"/>
    <w:rsid w:val="00A34872"/>
    <w:rsid w:val="00A34A1F"/>
    <w:rsid w:val="00A34A93"/>
    <w:rsid w:val="00A34B1F"/>
    <w:rsid w:val="00A34C71"/>
    <w:rsid w:val="00A34CCF"/>
    <w:rsid w:val="00A350CC"/>
    <w:rsid w:val="00A35130"/>
    <w:rsid w:val="00A35476"/>
    <w:rsid w:val="00A3585A"/>
    <w:rsid w:val="00A358C7"/>
    <w:rsid w:val="00A358DE"/>
    <w:rsid w:val="00A359C3"/>
    <w:rsid w:val="00A359C7"/>
    <w:rsid w:val="00A35A70"/>
    <w:rsid w:val="00A35B58"/>
    <w:rsid w:val="00A35C0F"/>
    <w:rsid w:val="00A35D02"/>
    <w:rsid w:val="00A35F81"/>
    <w:rsid w:val="00A360E6"/>
    <w:rsid w:val="00A3624C"/>
    <w:rsid w:val="00A3640A"/>
    <w:rsid w:val="00A36413"/>
    <w:rsid w:val="00A365B8"/>
    <w:rsid w:val="00A365F3"/>
    <w:rsid w:val="00A36701"/>
    <w:rsid w:val="00A36B09"/>
    <w:rsid w:val="00A373A4"/>
    <w:rsid w:val="00A37415"/>
    <w:rsid w:val="00A3759A"/>
    <w:rsid w:val="00A37669"/>
    <w:rsid w:val="00A377E0"/>
    <w:rsid w:val="00A37893"/>
    <w:rsid w:val="00A378DF"/>
    <w:rsid w:val="00A37AE2"/>
    <w:rsid w:val="00A37B36"/>
    <w:rsid w:val="00A37C15"/>
    <w:rsid w:val="00A37DCD"/>
    <w:rsid w:val="00A37DD3"/>
    <w:rsid w:val="00A37EF4"/>
    <w:rsid w:val="00A37FAE"/>
    <w:rsid w:val="00A3D270"/>
    <w:rsid w:val="00A4077A"/>
    <w:rsid w:val="00A40798"/>
    <w:rsid w:val="00A408A7"/>
    <w:rsid w:val="00A40B0B"/>
    <w:rsid w:val="00A40B17"/>
    <w:rsid w:val="00A40B68"/>
    <w:rsid w:val="00A40BED"/>
    <w:rsid w:val="00A40E0D"/>
    <w:rsid w:val="00A4123D"/>
    <w:rsid w:val="00A415FB"/>
    <w:rsid w:val="00A416CE"/>
    <w:rsid w:val="00A416FC"/>
    <w:rsid w:val="00A41926"/>
    <w:rsid w:val="00A419B3"/>
    <w:rsid w:val="00A41A83"/>
    <w:rsid w:val="00A41BA3"/>
    <w:rsid w:val="00A41BB0"/>
    <w:rsid w:val="00A42092"/>
    <w:rsid w:val="00A42118"/>
    <w:rsid w:val="00A4214F"/>
    <w:rsid w:val="00A42874"/>
    <w:rsid w:val="00A428C5"/>
    <w:rsid w:val="00A4293C"/>
    <w:rsid w:val="00A429CD"/>
    <w:rsid w:val="00A42DE8"/>
    <w:rsid w:val="00A430F6"/>
    <w:rsid w:val="00A43157"/>
    <w:rsid w:val="00A4318C"/>
    <w:rsid w:val="00A433DA"/>
    <w:rsid w:val="00A43471"/>
    <w:rsid w:val="00A43856"/>
    <w:rsid w:val="00A438B0"/>
    <w:rsid w:val="00A43DB5"/>
    <w:rsid w:val="00A4404F"/>
    <w:rsid w:val="00A440CE"/>
    <w:rsid w:val="00A440D7"/>
    <w:rsid w:val="00A44104"/>
    <w:rsid w:val="00A442A9"/>
    <w:rsid w:val="00A4496F"/>
    <w:rsid w:val="00A44AE7"/>
    <w:rsid w:val="00A44D6C"/>
    <w:rsid w:val="00A44D87"/>
    <w:rsid w:val="00A44E9D"/>
    <w:rsid w:val="00A44F82"/>
    <w:rsid w:val="00A44FA2"/>
    <w:rsid w:val="00A45031"/>
    <w:rsid w:val="00A45078"/>
    <w:rsid w:val="00A450D9"/>
    <w:rsid w:val="00A452BB"/>
    <w:rsid w:val="00A453B3"/>
    <w:rsid w:val="00A456B3"/>
    <w:rsid w:val="00A456CA"/>
    <w:rsid w:val="00A4581F"/>
    <w:rsid w:val="00A459F2"/>
    <w:rsid w:val="00A45D0C"/>
    <w:rsid w:val="00A45E47"/>
    <w:rsid w:val="00A462FD"/>
    <w:rsid w:val="00A46396"/>
    <w:rsid w:val="00A46553"/>
    <w:rsid w:val="00A46564"/>
    <w:rsid w:val="00A468A6"/>
    <w:rsid w:val="00A46A02"/>
    <w:rsid w:val="00A46B1D"/>
    <w:rsid w:val="00A46B4D"/>
    <w:rsid w:val="00A46CD2"/>
    <w:rsid w:val="00A46D7C"/>
    <w:rsid w:val="00A47091"/>
    <w:rsid w:val="00A470B1"/>
    <w:rsid w:val="00A470FB"/>
    <w:rsid w:val="00A47123"/>
    <w:rsid w:val="00A47191"/>
    <w:rsid w:val="00A4721F"/>
    <w:rsid w:val="00A47624"/>
    <w:rsid w:val="00A47631"/>
    <w:rsid w:val="00A477D6"/>
    <w:rsid w:val="00A47810"/>
    <w:rsid w:val="00A4784A"/>
    <w:rsid w:val="00A47952"/>
    <w:rsid w:val="00A4795E"/>
    <w:rsid w:val="00A47A52"/>
    <w:rsid w:val="00A47A7B"/>
    <w:rsid w:val="00A47BB7"/>
    <w:rsid w:val="00A47CA0"/>
    <w:rsid w:val="00A47CF6"/>
    <w:rsid w:val="00A5015F"/>
    <w:rsid w:val="00A5060B"/>
    <w:rsid w:val="00A507A2"/>
    <w:rsid w:val="00A50859"/>
    <w:rsid w:val="00A50967"/>
    <w:rsid w:val="00A50969"/>
    <w:rsid w:val="00A50CBB"/>
    <w:rsid w:val="00A50D45"/>
    <w:rsid w:val="00A50EC2"/>
    <w:rsid w:val="00A50EE8"/>
    <w:rsid w:val="00A50F18"/>
    <w:rsid w:val="00A51015"/>
    <w:rsid w:val="00A511B5"/>
    <w:rsid w:val="00A511C4"/>
    <w:rsid w:val="00A5121C"/>
    <w:rsid w:val="00A51425"/>
    <w:rsid w:val="00A5157A"/>
    <w:rsid w:val="00A5158D"/>
    <w:rsid w:val="00A51611"/>
    <w:rsid w:val="00A5172F"/>
    <w:rsid w:val="00A518D7"/>
    <w:rsid w:val="00A51AE1"/>
    <w:rsid w:val="00A51C1A"/>
    <w:rsid w:val="00A51CED"/>
    <w:rsid w:val="00A51E3A"/>
    <w:rsid w:val="00A5223E"/>
    <w:rsid w:val="00A52438"/>
    <w:rsid w:val="00A52661"/>
    <w:rsid w:val="00A52808"/>
    <w:rsid w:val="00A5282D"/>
    <w:rsid w:val="00A528C0"/>
    <w:rsid w:val="00A52A5C"/>
    <w:rsid w:val="00A52C74"/>
    <w:rsid w:val="00A52C87"/>
    <w:rsid w:val="00A52DF1"/>
    <w:rsid w:val="00A52FC7"/>
    <w:rsid w:val="00A52FD5"/>
    <w:rsid w:val="00A53142"/>
    <w:rsid w:val="00A5331D"/>
    <w:rsid w:val="00A5384D"/>
    <w:rsid w:val="00A53946"/>
    <w:rsid w:val="00A539F7"/>
    <w:rsid w:val="00A53AC6"/>
    <w:rsid w:val="00A53B95"/>
    <w:rsid w:val="00A53BC8"/>
    <w:rsid w:val="00A53BD3"/>
    <w:rsid w:val="00A53C15"/>
    <w:rsid w:val="00A53EB7"/>
    <w:rsid w:val="00A53F94"/>
    <w:rsid w:val="00A53FC1"/>
    <w:rsid w:val="00A5444B"/>
    <w:rsid w:val="00A5454D"/>
    <w:rsid w:val="00A545A9"/>
    <w:rsid w:val="00A54A99"/>
    <w:rsid w:val="00A54AE1"/>
    <w:rsid w:val="00A54CF8"/>
    <w:rsid w:val="00A54FD2"/>
    <w:rsid w:val="00A54FFD"/>
    <w:rsid w:val="00A55052"/>
    <w:rsid w:val="00A55152"/>
    <w:rsid w:val="00A552B9"/>
    <w:rsid w:val="00A55618"/>
    <w:rsid w:val="00A55669"/>
    <w:rsid w:val="00A55694"/>
    <w:rsid w:val="00A557D6"/>
    <w:rsid w:val="00A55833"/>
    <w:rsid w:val="00A55EF0"/>
    <w:rsid w:val="00A55F00"/>
    <w:rsid w:val="00A55F8E"/>
    <w:rsid w:val="00A561CF"/>
    <w:rsid w:val="00A56577"/>
    <w:rsid w:val="00A5664E"/>
    <w:rsid w:val="00A566B9"/>
    <w:rsid w:val="00A5687F"/>
    <w:rsid w:val="00A568B8"/>
    <w:rsid w:val="00A56914"/>
    <w:rsid w:val="00A56988"/>
    <w:rsid w:val="00A56B2E"/>
    <w:rsid w:val="00A56D8C"/>
    <w:rsid w:val="00A57371"/>
    <w:rsid w:val="00A57497"/>
    <w:rsid w:val="00A577C3"/>
    <w:rsid w:val="00A57A23"/>
    <w:rsid w:val="00A57BA1"/>
    <w:rsid w:val="00A57C37"/>
    <w:rsid w:val="00A57C40"/>
    <w:rsid w:val="00A57E1A"/>
    <w:rsid w:val="00A6015E"/>
    <w:rsid w:val="00A605D5"/>
    <w:rsid w:val="00A60951"/>
    <w:rsid w:val="00A60997"/>
    <w:rsid w:val="00A609CC"/>
    <w:rsid w:val="00A60AFF"/>
    <w:rsid w:val="00A60CAD"/>
    <w:rsid w:val="00A610B1"/>
    <w:rsid w:val="00A61212"/>
    <w:rsid w:val="00A612D5"/>
    <w:rsid w:val="00A6132D"/>
    <w:rsid w:val="00A61418"/>
    <w:rsid w:val="00A61509"/>
    <w:rsid w:val="00A61541"/>
    <w:rsid w:val="00A61601"/>
    <w:rsid w:val="00A61659"/>
    <w:rsid w:val="00A61918"/>
    <w:rsid w:val="00A61992"/>
    <w:rsid w:val="00A61B95"/>
    <w:rsid w:val="00A61C47"/>
    <w:rsid w:val="00A61C59"/>
    <w:rsid w:val="00A61F00"/>
    <w:rsid w:val="00A621DB"/>
    <w:rsid w:val="00A622D6"/>
    <w:rsid w:val="00A623EF"/>
    <w:rsid w:val="00A624FC"/>
    <w:rsid w:val="00A6299B"/>
    <w:rsid w:val="00A629AB"/>
    <w:rsid w:val="00A62B20"/>
    <w:rsid w:val="00A62B43"/>
    <w:rsid w:val="00A62C76"/>
    <w:rsid w:val="00A62D2A"/>
    <w:rsid w:val="00A62E92"/>
    <w:rsid w:val="00A62F9A"/>
    <w:rsid w:val="00A633F7"/>
    <w:rsid w:val="00A6342C"/>
    <w:rsid w:val="00A63A22"/>
    <w:rsid w:val="00A63B57"/>
    <w:rsid w:val="00A63B61"/>
    <w:rsid w:val="00A63BB6"/>
    <w:rsid w:val="00A63D6A"/>
    <w:rsid w:val="00A63DE3"/>
    <w:rsid w:val="00A63F85"/>
    <w:rsid w:val="00A64286"/>
    <w:rsid w:val="00A6440C"/>
    <w:rsid w:val="00A646B8"/>
    <w:rsid w:val="00A648A8"/>
    <w:rsid w:val="00A65071"/>
    <w:rsid w:val="00A651D1"/>
    <w:rsid w:val="00A65332"/>
    <w:rsid w:val="00A65606"/>
    <w:rsid w:val="00A6565A"/>
    <w:rsid w:val="00A6583F"/>
    <w:rsid w:val="00A6586B"/>
    <w:rsid w:val="00A65A1D"/>
    <w:rsid w:val="00A65C78"/>
    <w:rsid w:val="00A65C8A"/>
    <w:rsid w:val="00A65E60"/>
    <w:rsid w:val="00A660F5"/>
    <w:rsid w:val="00A6612E"/>
    <w:rsid w:val="00A66134"/>
    <w:rsid w:val="00A661FE"/>
    <w:rsid w:val="00A6623D"/>
    <w:rsid w:val="00A66249"/>
    <w:rsid w:val="00A66392"/>
    <w:rsid w:val="00A663FB"/>
    <w:rsid w:val="00A666F4"/>
    <w:rsid w:val="00A66706"/>
    <w:rsid w:val="00A66731"/>
    <w:rsid w:val="00A66820"/>
    <w:rsid w:val="00A6683E"/>
    <w:rsid w:val="00A66A32"/>
    <w:rsid w:val="00A66B38"/>
    <w:rsid w:val="00A66BC9"/>
    <w:rsid w:val="00A66D3B"/>
    <w:rsid w:val="00A66DEA"/>
    <w:rsid w:val="00A66FCA"/>
    <w:rsid w:val="00A67011"/>
    <w:rsid w:val="00A671AA"/>
    <w:rsid w:val="00A67201"/>
    <w:rsid w:val="00A6720C"/>
    <w:rsid w:val="00A673DF"/>
    <w:rsid w:val="00A6758F"/>
    <w:rsid w:val="00A6763D"/>
    <w:rsid w:val="00A676B9"/>
    <w:rsid w:val="00A67728"/>
    <w:rsid w:val="00A67865"/>
    <w:rsid w:val="00A678EA"/>
    <w:rsid w:val="00A67B0F"/>
    <w:rsid w:val="00A67B26"/>
    <w:rsid w:val="00A67B73"/>
    <w:rsid w:val="00A67BFD"/>
    <w:rsid w:val="00A67C1D"/>
    <w:rsid w:val="00A67D24"/>
    <w:rsid w:val="00A67D9D"/>
    <w:rsid w:val="00A67E95"/>
    <w:rsid w:val="00A67EA8"/>
    <w:rsid w:val="00A70024"/>
    <w:rsid w:val="00A7025E"/>
    <w:rsid w:val="00A70271"/>
    <w:rsid w:val="00A70380"/>
    <w:rsid w:val="00A7057D"/>
    <w:rsid w:val="00A70625"/>
    <w:rsid w:val="00A707FB"/>
    <w:rsid w:val="00A70CBB"/>
    <w:rsid w:val="00A70E78"/>
    <w:rsid w:val="00A70F0D"/>
    <w:rsid w:val="00A71088"/>
    <w:rsid w:val="00A71198"/>
    <w:rsid w:val="00A713BE"/>
    <w:rsid w:val="00A714E3"/>
    <w:rsid w:val="00A715DF"/>
    <w:rsid w:val="00A716E4"/>
    <w:rsid w:val="00A71AB6"/>
    <w:rsid w:val="00A71BA6"/>
    <w:rsid w:val="00A71BC8"/>
    <w:rsid w:val="00A71C5A"/>
    <w:rsid w:val="00A71F8D"/>
    <w:rsid w:val="00A71F92"/>
    <w:rsid w:val="00A71FB2"/>
    <w:rsid w:val="00A72204"/>
    <w:rsid w:val="00A72C68"/>
    <w:rsid w:val="00A72CB9"/>
    <w:rsid w:val="00A72D2A"/>
    <w:rsid w:val="00A72DC4"/>
    <w:rsid w:val="00A72E52"/>
    <w:rsid w:val="00A72EB3"/>
    <w:rsid w:val="00A72EF8"/>
    <w:rsid w:val="00A72F8A"/>
    <w:rsid w:val="00A73125"/>
    <w:rsid w:val="00A731CE"/>
    <w:rsid w:val="00A73355"/>
    <w:rsid w:val="00A73495"/>
    <w:rsid w:val="00A734AD"/>
    <w:rsid w:val="00A738BD"/>
    <w:rsid w:val="00A7397F"/>
    <w:rsid w:val="00A73AC0"/>
    <w:rsid w:val="00A73B1E"/>
    <w:rsid w:val="00A73C08"/>
    <w:rsid w:val="00A73C60"/>
    <w:rsid w:val="00A74116"/>
    <w:rsid w:val="00A74226"/>
    <w:rsid w:val="00A742C7"/>
    <w:rsid w:val="00A7442D"/>
    <w:rsid w:val="00A74439"/>
    <w:rsid w:val="00A74477"/>
    <w:rsid w:val="00A745F5"/>
    <w:rsid w:val="00A74685"/>
    <w:rsid w:val="00A74A84"/>
    <w:rsid w:val="00A74C3F"/>
    <w:rsid w:val="00A74E03"/>
    <w:rsid w:val="00A74E0F"/>
    <w:rsid w:val="00A74F6D"/>
    <w:rsid w:val="00A752F3"/>
    <w:rsid w:val="00A755CA"/>
    <w:rsid w:val="00A757EE"/>
    <w:rsid w:val="00A7591D"/>
    <w:rsid w:val="00A7594B"/>
    <w:rsid w:val="00A75B96"/>
    <w:rsid w:val="00A75CF8"/>
    <w:rsid w:val="00A75D2E"/>
    <w:rsid w:val="00A75D3F"/>
    <w:rsid w:val="00A75F3C"/>
    <w:rsid w:val="00A7601D"/>
    <w:rsid w:val="00A760E6"/>
    <w:rsid w:val="00A76114"/>
    <w:rsid w:val="00A7643C"/>
    <w:rsid w:val="00A7663C"/>
    <w:rsid w:val="00A76991"/>
    <w:rsid w:val="00A76A1A"/>
    <w:rsid w:val="00A76C0E"/>
    <w:rsid w:val="00A76D0D"/>
    <w:rsid w:val="00A76E9A"/>
    <w:rsid w:val="00A76FEF"/>
    <w:rsid w:val="00A77084"/>
    <w:rsid w:val="00A771CE"/>
    <w:rsid w:val="00A772A0"/>
    <w:rsid w:val="00A775A3"/>
    <w:rsid w:val="00A775BA"/>
    <w:rsid w:val="00A7761B"/>
    <w:rsid w:val="00A77670"/>
    <w:rsid w:val="00A77682"/>
    <w:rsid w:val="00A776C0"/>
    <w:rsid w:val="00A77750"/>
    <w:rsid w:val="00A777CB"/>
    <w:rsid w:val="00A7784A"/>
    <w:rsid w:val="00A7791A"/>
    <w:rsid w:val="00A77989"/>
    <w:rsid w:val="00A77AD0"/>
    <w:rsid w:val="00A77BD4"/>
    <w:rsid w:val="00A77C44"/>
    <w:rsid w:val="00A77C6C"/>
    <w:rsid w:val="00A77C80"/>
    <w:rsid w:val="00A77E6D"/>
    <w:rsid w:val="00A77E9B"/>
    <w:rsid w:val="00A77F18"/>
    <w:rsid w:val="00A806D3"/>
    <w:rsid w:val="00A808D9"/>
    <w:rsid w:val="00A813DC"/>
    <w:rsid w:val="00A814E0"/>
    <w:rsid w:val="00A81653"/>
    <w:rsid w:val="00A816DC"/>
    <w:rsid w:val="00A81888"/>
    <w:rsid w:val="00A818D8"/>
    <w:rsid w:val="00A81C48"/>
    <w:rsid w:val="00A81C6A"/>
    <w:rsid w:val="00A81D9D"/>
    <w:rsid w:val="00A81DA3"/>
    <w:rsid w:val="00A81DD8"/>
    <w:rsid w:val="00A81EA1"/>
    <w:rsid w:val="00A82201"/>
    <w:rsid w:val="00A82388"/>
    <w:rsid w:val="00A826CE"/>
    <w:rsid w:val="00A8276D"/>
    <w:rsid w:val="00A827E8"/>
    <w:rsid w:val="00A8284F"/>
    <w:rsid w:val="00A82856"/>
    <w:rsid w:val="00A82879"/>
    <w:rsid w:val="00A8299A"/>
    <w:rsid w:val="00A83061"/>
    <w:rsid w:val="00A83067"/>
    <w:rsid w:val="00A832D4"/>
    <w:rsid w:val="00A83425"/>
    <w:rsid w:val="00A83713"/>
    <w:rsid w:val="00A837F0"/>
    <w:rsid w:val="00A8393F"/>
    <w:rsid w:val="00A83B5C"/>
    <w:rsid w:val="00A83B88"/>
    <w:rsid w:val="00A83BEE"/>
    <w:rsid w:val="00A83C4E"/>
    <w:rsid w:val="00A83E40"/>
    <w:rsid w:val="00A84167"/>
    <w:rsid w:val="00A842C2"/>
    <w:rsid w:val="00A84419"/>
    <w:rsid w:val="00A845BC"/>
    <w:rsid w:val="00A84835"/>
    <w:rsid w:val="00A84CB3"/>
    <w:rsid w:val="00A84CD0"/>
    <w:rsid w:val="00A84E0F"/>
    <w:rsid w:val="00A84F89"/>
    <w:rsid w:val="00A84F94"/>
    <w:rsid w:val="00A84FDF"/>
    <w:rsid w:val="00A84FEE"/>
    <w:rsid w:val="00A8520A"/>
    <w:rsid w:val="00A85255"/>
    <w:rsid w:val="00A8527C"/>
    <w:rsid w:val="00A853CE"/>
    <w:rsid w:val="00A85776"/>
    <w:rsid w:val="00A857FD"/>
    <w:rsid w:val="00A85843"/>
    <w:rsid w:val="00A85C46"/>
    <w:rsid w:val="00A85CC3"/>
    <w:rsid w:val="00A85D77"/>
    <w:rsid w:val="00A85EC6"/>
    <w:rsid w:val="00A85FEC"/>
    <w:rsid w:val="00A860D3"/>
    <w:rsid w:val="00A86110"/>
    <w:rsid w:val="00A8619D"/>
    <w:rsid w:val="00A8635C"/>
    <w:rsid w:val="00A86414"/>
    <w:rsid w:val="00A86513"/>
    <w:rsid w:val="00A86647"/>
    <w:rsid w:val="00A86702"/>
    <w:rsid w:val="00A86711"/>
    <w:rsid w:val="00A86885"/>
    <w:rsid w:val="00A86958"/>
    <w:rsid w:val="00A86A37"/>
    <w:rsid w:val="00A86AC7"/>
    <w:rsid w:val="00A86C24"/>
    <w:rsid w:val="00A86FE5"/>
    <w:rsid w:val="00A872F6"/>
    <w:rsid w:val="00A87331"/>
    <w:rsid w:val="00A87687"/>
    <w:rsid w:val="00A877C6"/>
    <w:rsid w:val="00A879A4"/>
    <w:rsid w:val="00A87B12"/>
    <w:rsid w:val="00A87B27"/>
    <w:rsid w:val="00A87C07"/>
    <w:rsid w:val="00A87C33"/>
    <w:rsid w:val="00A87F7A"/>
    <w:rsid w:val="00A901B5"/>
    <w:rsid w:val="00A9032B"/>
    <w:rsid w:val="00A90517"/>
    <w:rsid w:val="00A90AE4"/>
    <w:rsid w:val="00A90C1F"/>
    <w:rsid w:val="00A91003"/>
    <w:rsid w:val="00A910C4"/>
    <w:rsid w:val="00A915C5"/>
    <w:rsid w:val="00A918F5"/>
    <w:rsid w:val="00A918FE"/>
    <w:rsid w:val="00A9194B"/>
    <w:rsid w:val="00A91F03"/>
    <w:rsid w:val="00A91F57"/>
    <w:rsid w:val="00A92067"/>
    <w:rsid w:val="00A922C4"/>
    <w:rsid w:val="00A92B1E"/>
    <w:rsid w:val="00A92BCB"/>
    <w:rsid w:val="00A92DD5"/>
    <w:rsid w:val="00A92DF5"/>
    <w:rsid w:val="00A93019"/>
    <w:rsid w:val="00A93168"/>
    <w:rsid w:val="00A9326F"/>
    <w:rsid w:val="00A935E9"/>
    <w:rsid w:val="00A9380D"/>
    <w:rsid w:val="00A93949"/>
    <w:rsid w:val="00A939A6"/>
    <w:rsid w:val="00A939EF"/>
    <w:rsid w:val="00A93C35"/>
    <w:rsid w:val="00A93D73"/>
    <w:rsid w:val="00A93EDF"/>
    <w:rsid w:val="00A93FC6"/>
    <w:rsid w:val="00A9400D"/>
    <w:rsid w:val="00A94113"/>
    <w:rsid w:val="00A941E4"/>
    <w:rsid w:val="00A9428B"/>
    <w:rsid w:val="00A944B3"/>
    <w:rsid w:val="00A944EF"/>
    <w:rsid w:val="00A94597"/>
    <w:rsid w:val="00A94653"/>
    <w:rsid w:val="00A947FD"/>
    <w:rsid w:val="00A94803"/>
    <w:rsid w:val="00A948F1"/>
    <w:rsid w:val="00A94930"/>
    <w:rsid w:val="00A94A86"/>
    <w:rsid w:val="00A94B0D"/>
    <w:rsid w:val="00A94B86"/>
    <w:rsid w:val="00A94C12"/>
    <w:rsid w:val="00A94CCB"/>
    <w:rsid w:val="00A94F23"/>
    <w:rsid w:val="00A950F6"/>
    <w:rsid w:val="00A95129"/>
    <w:rsid w:val="00A9547F"/>
    <w:rsid w:val="00A95625"/>
    <w:rsid w:val="00A956F5"/>
    <w:rsid w:val="00A9586A"/>
    <w:rsid w:val="00A9591F"/>
    <w:rsid w:val="00A95AF2"/>
    <w:rsid w:val="00A95B4B"/>
    <w:rsid w:val="00A95BBD"/>
    <w:rsid w:val="00A95D54"/>
    <w:rsid w:val="00A95E08"/>
    <w:rsid w:val="00A9608C"/>
    <w:rsid w:val="00A96101"/>
    <w:rsid w:val="00A962D2"/>
    <w:rsid w:val="00A9635B"/>
    <w:rsid w:val="00A96373"/>
    <w:rsid w:val="00A96465"/>
    <w:rsid w:val="00A96721"/>
    <w:rsid w:val="00A96765"/>
    <w:rsid w:val="00A968E1"/>
    <w:rsid w:val="00A96E29"/>
    <w:rsid w:val="00A96FBF"/>
    <w:rsid w:val="00A96FE2"/>
    <w:rsid w:val="00A96FEC"/>
    <w:rsid w:val="00A97471"/>
    <w:rsid w:val="00A97511"/>
    <w:rsid w:val="00A97516"/>
    <w:rsid w:val="00A97B01"/>
    <w:rsid w:val="00A97C60"/>
    <w:rsid w:val="00A97C7B"/>
    <w:rsid w:val="00A97C86"/>
    <w:rsid w:val="00A97DE7"/>
    <w:rsid w:val="00A97DFC"/>
    <w:rsid w:val="00A97E89"/>
    <w:rsid w:val="00AA0268"/>
    <w:rsid w:val="00AA0579"/>
    <w:rsid w:val="00AA06AA"/>
    <w:rsid w:val="00AA0792"/>
    <w:rsid w:val="00AA0A6D"/>
    <w:rsid w:val="00AA0C1F"/>
    <w:rsid w:val="00AA0DCB"/>
    <w:rsid w:val="00AA0DE8"/>
    <w:rsid w:val="00AA0F8D"/>
    <w:rsid w:val="00AA1661"/>
    <w:rsid w:val="00AA178B"/>
    <w:rsid w:val="00AA184E"/>
    <w:rsid w:val="00AA1AAD"/>
    <w:rsid w:val="00AA1AFE"/>
    <w:rsid w:val="00AA1E31"/>
    <w:rsid w:val="00AA1E5D"/>
    <w:rsid w:val="00AA1FD9"/>
    <w:rsid w:val="00AA2135"/>
    <w:rsid w:val="00AA2153"/>
    <w:rsid w:val="00AA2238"/>
    <w:rsid w:val="00AA2279"/>
    <w:rsid w:val="00AA231E"/>
    <w:rsid w:val="00AA232D"/>
    <w:rsid w:val="00AA24A8"/>
    <w:rsid w:val="00AA24DB"/>
    <w:rsid w:val="00AA268A"/>
    <w:rsid w:val="00AA26B6"/>
    <w:rsid w:val="00AA272B"/>
    <w:rsid w:val="00AA2794"/>
    <w:rsid w:val="00AA281B"/>
    <w:rsid w:val="00AA28CB"/>
    <w:rsid w:val="00AA2A3E"/>
    <w:rsid w:val="00AA2C27"/>
    <w:rsid w:val="00AA2CD3"/>
    <w:rsid w:val="00AA3342"/>
    <w:rsid w:val="00AA336E"/>
    <w:rsid w:val="00AA36BA"/>
    <w:rsid w:val="00AA380E"/>
    <w:rsid w:val="00AA38E2"/>
    <w:rsid w:val="00AA38FF"/>
    <w:rsid w:val="00AA39F7"/>
    <w:rsid w:val="00AA3B1D"/>
    <w:rsid w:val="00AA3D5A"/>
    <w:rsid w:val="00AA3D5D"/>
    <w:rsid w:val="00AA3D84"/>
    <w:rsid w:val="00AA4170"/>
    <w:rsid w:val="00AA460E"/>
    <w:rsid w:val="00AA4720"/>
    <w:rsid w:val="00AA4733"/>
    <w:rsid w:val="00AA494D"/>
    <w:rsid w:val="00AA49B8"/>
    <w:rsid w:val="00AA4A03"/>
    <w:rsid w:val="00AA4AA7"/>
    <w:rsid w:val="00AA4BA3"/>
    <w:rsid w:val="00AA4C2E"/>
    <w:rsid w:val="00AA5258"/>
    <w:rsid w:val="00AA549D"/>
    <w:rsid w:val="00AA54CC"/>
    <w:rsid w:val="00AA54D7"/>
    <w:rsid w:val="00AA5505"/>
    <w:rsid w:val="00AA5738"/>
    <w:rsid w:val="00AA5ACD"/>
    <w:rsid w:val="00AA5AFA"/>
    <w:rsid w:val="00AA5B03"/>
    <w:rsid w:val="00AA5EAE"/>
    <w:rsid w:val="00AA5F38"/>
    <w:rsid w:val="00AA5FBA"/>
    <w:rsid w:val="00AA5FDD"/>
    <w:rsid w:val="00AA6005"/>
    <w:rsid w:val="00AA61BD"/>
    <w:rsid w:val="00AA6338"/>
    <w:rsid w:val="00AA63CF"/>
    <w:rsid w:val="00AA67BF"/>
    <w:rsid w:val="00AA68BA"/>
    <w:rsid w:val="00AA693D"/>
    <w:rsid w:val="00AA6A51"/>
    <w:rsid w:val="00AA6DC5"/>
    <w:rsid w:val="00AA6E3E"/>
    <w:rsid w:val="00AA6F80"/>
    <w:rsid w:val="00AA73FD"/>
    <w:rsid w:val="00AA74D7"/>
    <w:rsid w:val="00AA752A"/>
    <w:rsid w:val="00AA7889"/>
    <w:rsid w:val="00AA7911"/>
    <w:rsid w:val="00AA7C6C"/>
    <w:rsid w:val="00AA7E54"/>
    <w:rsid w:val="00AA7F25"/>
    <w:rsid w:val="00AA7FF0"/>
    <w:rsid w:val="00AB001B"/>
    <w:rsid w:val="00AB02CF"/>
    <w:rsid w:val="00AB0302"/>
    <w:rsid w:val="00AB03C5"/>
    <w:rsid w:val="00AB0603"/>
    <w:rsid w:val="00AB06EC"/>
    <w:rsid w:val="00AB070E"/>
    <w:rsid w:val="00AB07CD"/>
    <w:rsid w:val="00AB0951"/>
    <w:rsid w:val="00AB0971"/>
    <w:rsid w:val="00AB0A2E"/>
    <w:rsid w:val="00AB0B87"/>
    <w:rsid w:val="00AB0C8F"/>
    <w:rsid w:val="00AB0DEB"/>
    <w:rsid w:val="00AB0F0A"/>
    <w:rsid w:val="00AB1098"/>
    <w:rsid w:val="00AB1420"/>
    <w:rsid w:val="00AB15D6"/>
    <w:rsid w:val="00AB15FB"/>
    <w:rsid w:val="00AB1681"/>
    <w:rsid w:val="00AB17CD"/>
    <w:rsid w:val="00AB1A44"/>
    <w:rsid w:val="00AB1FC3"/>
    <w:rsid w:val="00AB2094"/>
    <w:rsid w:val="00AB209D"/>
    <w:rsid w:val="00AB2291"/>
    <w:rsid w:val="00AB2656"/>
    <w:rsid w:val="00AB2A0D"/>
    <w:rsid w:val="00AB2B8E"/>
    <w:rsid w:val="00AB3412"/>
    <w:rsid w:val="00AB346D"/>
    <w:rsid w:val="00AB3771"/>
    <w:rsid w:val="00AB38A0"/>
    <w:rsid w:val="00AB3962"/>
    <w:rsid w:val="00AB3C1C"/>
    <w:rsid w:val="00AB3C72"/>
    <w:rsid w:val="00AB3D14"/>
    <w:rsid w:val="00AB3E28"/>
    <w:rsid w:val="00AB3EAB"/>
    <w:rsid w:val="00AB3F7F"/>
    <w:rsid w:val="00AB4078"/>
    <w:rsid w:val="00AB40E5"/>
    <w:rsid w:val="00AB4143"/>
    <w:rsid w:val="00AB420C"/>
    <w:rsid w:val="00AB421A"/>
    <w:rsid w:val="00AB44CB"/>
    <w:rsid w:val="00AB46FF"/>
    <w:rsid w:val="00AB47AC"/>
    <w:rsid w:val="00AB4825"/>
    <w:rsid w:val="00AB4B61"/>
    <w:rsid w:val="00AB4B73"/>
    <w:rsid w:val="00AB4D62"/>
    <w:rsid w:val="00AB4DB8"/>
    <w:rsid w:val="00AB51D8"/>
    <w:rsid w:val="00AB56C8"/>
    <w:rsid w:val="00AB5700"/>
    <w:rsid w:val="00AB5900"/>
    <w:rsid w:val="00AB5A93"/>
    <w:rsid w:val="00AB5C2D"/>
    <w:rsid w:val="00AB6132"/>
    <w:rsid w:val="00AB63E5"/>
    <w:rsid w:val="00AB6503"/>
    <w:rsid w:val="00AB6870"/>
    <w:rsid w:val="00AB69C2"/>
    <w:rsid w:val="00AB69ED"/>
    <w:rsid w:val="00AB6A3E"/>
    <w:rsid w:val="00AB6C81"/>
    <w:rsid w:val="00AB6CC7"/>
    <w:rsid w:val="00AB6F01"/>
    <w:rsid w:val="00AB6F9B"/>
    <w:rsid w:val="00AB725C"/>
    <w:rsid w:val="00AB7286"/>
    <w:rsid w:val="00AB73BE"/>
    <w:rsid w:val="00AB7671"/>
    <w:rsid w:val="00AB7739"/>
    <w:rsid w:val="00AB7746"/>
    <w:rsid w:val="00AB778B"/>
    <w:rsid w:val="00AB7799"/>
    <w:rsid w:val="00AB78DB"/>
    <w:rsid w:val="00AB7ABC"/>
    <w:rsid w:val="00AB7ACB"/>
    <w:rsid w:val="00AB7AE0"/>
    <w:rsid w:val="00AB7D8E"/>
    <w:rsid w:val="00AB7D9F"/>
    <w:rsid w:val="00AB7E2A"/>
    <w:rsid w:val="00AB7EBA"/>
    <w:rsid w:val="00AB7ECF"/>
    <w:rsid w:val="00AB7FDB"/>
    <w:rsid w:val="00AC00E7"/>
    <w:rsid w:val="00AC02EC"/>
    <w:rsid w:val="00AC0520"/>
    <w:rsid w:val="00AC0722"/>
    <w:rsid w:val="00AC0751"/>
    <w:rsid w:val="00AC0775"/>
    <w:rsid w:val="00AC08F1"/>
    <w:rsid w:val="00AC09C4"/>
    <w:rsid w:val="00AC0A5F"/>
    <w:rsid w:val="00AC0B49"/>
    <w:rsid w:val="00AC0C11"/>
    <w:rsid w:val="00AC0E1D"/>
    <w:rsid w:val="00AC0E63"/>
    <w:rsid w:val="00AC0EDA"/>
    <w:rsid w:val="00AC10BA"/>
    <w:rsid w:val="00AC10D0"/>
    <w:rsid w:val="00AC1110"/>
    <w:rsid w:val="00AC11A5"/>
    <w:rsid w:val="00AC1290"/>
    <w:rsid w:val="00AC13DE"/>
    <w:rsid w:val="00AC1429"/>
    <w:rsid w:val="00AC1562"/>
    <w:rsid w:val="00AC1658"/>
    <w:rsid w:val="00AC165E"/>
    <w:rsid w:val="00AC1888"/>
    <w:rsid w:val="00AC1A88"/>
    <w:rsid w:val="00AC1B30"/>
    <w:rsid w:val="00AC1D7C"/>
    <w:rsid w:val="00AC1DC6"/>
    <w:rsid w:val="00AC1EA0"/>
    <w:rsid w:val="00AC24F5"/>
    <w:rsid w:val="00AC2540"/>
    <w:rsid w:val="00AC26AD"/>
    <w:rsid w:val="00AC2736"/>
    <w:rsid w:val="00AC288C"/>
    <w:rsid w:val="00AC2974"/>
    <w:rsid w:val="00AC2C01"/>
    <w:rsid w:val="00AC2EF9"/>
    <w:rsid w:val="00AC2FC8"/>
    <w:rsid w:val="00AC2FE3"/>
    <w:rsid w:val="00AC31D9"/>
    <w:rsid w:val="00AC3243"/>
    <w:rsid w:val="00AC334D"/>
    <w:rsid w:val="00AC340B"/>
    <w:rsid w:val="00AC352B"/>
    <w:rsid w:val="00AC3947"/>
    <w:rsid w:val="00AC3C8F"/>
    <w:rsid w:val="00AC4078"/>
    <w:rsid w:val="00AC420A"/>
    <w:rsid w:val="00AC4582"/>
    <w:rsid w:val="00AC466D"/>
    <w:rsid w:val="00AC46C5"/>
    <w:rsid w:val="00AC4927"/>
    <w:rsid w:val="00AC4B6F"/>
    <w:rsid w:val="00AC4C81"/>
    <w:rsid w:val="00AC4CE3"/>
    <w:rsid w:val="00AC5137"/>
    <w:rsid w:val="00AC51C6"/>
    <w:rsid w:val="00AC5208"/>
    <w:rsid w:val="00AC52D2"/>
    <w:rsid w:val="00AC52FB"/>
    <w:rsid w:val="00AC5BB4"/>
    <w:rsid w:val="00AC5E3B"/>
    <w:rsid w:val="00AC5E7F"/>
    <w:rsid w:val="00AC5F1A"/>
    <w:rsid w:val="00AC60BA"/>
    <w:rsid w:val="00AC63E7"/>
    <w:rsid w:val="00AC6477"/>
    <w:rsid w:val="00AC6C9F"/>
    <w:rsid w:val="00AC70BC"/>
    <w:rsid w:val="00AC7240"/>
    <w:rsid w:val="00AC72B8"/>
    <w:rsid w:val="00AC7679"/>
    <w:rsid w:val="00AC7761"/>
    <w:rsid w:val="00AC7993"/>
    <w:rsid w:val="00AC7ACA"/>
    <w:rsid w:val="00AC7AD5"/>
    <w:rsid w:val="00AC7DBC"/>
    <w:rsid w:val="00AC7FBC"/>
    <w:rsid w:val="00AD01B6"/>
    <w:rsid w:val="00AD020A"/>
    <w:rsid w:val="00AD05BB"/>
    <w:rsid w:val="00AD093E"/>
    <w:rsid w:val="00AD0964"/>
    <w:rsid w:val="00AD097A"/>
    <w:rsid w:val="00AD0B01"/>
    <w:rsid w:val="00AD0D3D"/>
    <w:rsid w:val="00AD0DB9"/>
    <w:rsid w:val="00AD0DFB"/>
    <w:rsid w:val="00AD0E2F"/>
    <w:rsid w:val="00AD0E6A"/>
    <w:rsid w:val="00AD0E6B"/>
    <w:rsid w:val="00AD0FAC"/>
    <w:rsid w:val="00AD12B7"/>
    <w:rsid w:val="00AD154F"/>
    <w:rsid w:val="00AD15FC"/>
    <w:rsid w:val="00AD1699"/>
    <w:rsid w:val="00AD16A1"/>
    <w:rsid w:val="00AD1750"/>
    <w:rsid w:val="00AD17E6"/>
    <w:rsid w:val="00AD184C"/>
    <w:rsid w:val="00AD192C"/>
    <w:rsid w:val="00AD1CD5"/>
    <w:rsid w:val="00AD1E5F"/>
    <w:rsid w:val="00AD28D0"/>
    <w:rsid w:val="00AD29AB"/>
    <w:rsid w:val="00AD2A48"/>
    <w:rsid w:val="00AD2AA1"/>
    <w:rsid w:val="00AD2AD7"/>
    <w:rsid w:val="00AD2C2A"/>
    <w:rsid w:val="00AD2D18"/>
    <w:rsid w:val="00AD2FC2"/>
    <w:rsid w:val="00AD30E5"/>
    <w:rsid w:val="00AD316F"/>
    <w:rsid w:val="00AD347A"/>
    <w:rsid w:val="00AD3577"/>
    <w:rsid w:val="00AD3907"/>
    <w:rsid w:val="00AD3AFE"/>
    <w:rsid w:val="00AD3BA2"/>
    <w:rsid w:val="00AD3D04"/>
    <w:rsid w:val="00AD3E04"/>
    <w:rsid w:val="00AD3E7C"/>
    <w:rsid w:val="00AD4025"/>
    <w:rsid w:val="00AD43C6"/>
    <w:rsid w:val="00AD4431"/>
    <w:rsid w:val="00AD470B"/>
    <w:rsid w:val="00AD484B"/>
    <w:rsid w:val="00AD4A79"/>
    <w:rsid w:val="00AD4A93"/>
    <w:rsid w:val="00AD4C02"/>
    <w:rsid w:val="00AD4DBD"/>
    <w:rsid w:val="00AD5042"/>
    <w:rsid w:val="00AD518E"/>
    <w:rsid w:val="00AD52F2"/>
    <w:rsid w:val="00AD556B"/>
    <w:rsid w:val="00AD57B3"/>
    <w:rsid w:val="00AD5ADD"/>
    <w:rsid w:val="00AD5BE9"/>
    <w:rsid w:val="00AD5EA0"/>
    <w:rsid w:val="00AD6003"/>
    <w:rsid w:val="00AD66A4"/>
    <w:rsid w:val="00AD6755"/>
    <w:rsid w:val="00AD67ED"/>
    <w:rsid w:val="00AD6AAC"/>
    <w:rsid w:val="00AD6AF2"/>
    <w:rsid w:val="00AD6BE1"/>
    <w:rsid w:val="00AD6CE0"/>
    <w:rsid w:val="00AD7073"/>
    <w:rsid w:val="00AD71DF"/>
    <w:rsid w:val="00AD72CF"/>
    <w:rsid w:val="00AD73A2"/>
    <w:rsid w:val="00AD7468"/>
    <w:rsid w:val="00AD7747"/>
    <w:rsid w:val="00AD7D6E"/>
    <w:rsid w:val="00AE0134"/>
    <w:rsid w:val="00AE019E"/>
    <w:rsid w:val="00AE01A3"/>
    <w:rsid w:val="00AE06A1"/>
    <w:rsid w:val="00AE06B1"/>
    <w:rsid w:val="00AE08B1"/>
    <w:rsid w:val="00AE08B3"/>
    <w:rsid w:val="00AE0A5F"/>
    <w:rsid w:val="00AE0B21"/>
    <w:rsid w:val="00AE0BFE"/>
    <w:rsid w:val="00AE0C6D"/>
    <w:rsid w:val="00AE0FAD"/>
    <w:rsid w:val="00AE1092"/>
    <w:rsid w:val="00AE140A"/>
    <w:rsid w:val="00AE1531"/>
    <w:rsid w:val="00AE1A5C"/>
    <w:rsid w:val="00AE1C3D"/>
    <w:rsid w:val="00AE1CC6"/>
    <w:rsid w:val="00AE2209"/>
    <w:rsid w:val="00AE2274"/>
    <w:rsid w:val="00AE22DF"/>
    <w:rsid w:val="00AE243C"/>
    <w:rsid w:val="00AE262D"/>
    <w:rsid w:val="00AE26DA"/>
    <w:rsid w:val="00AE27EE"/>
    <w:rsid w:val="00AE2A96"/>
    <w:rsid w:val="00AE2B6C"/>
    <w:rsid w:val="00AE2D86"/>
    <w:rsid w:val="00AE2DA2"/>
    <w:rsid w:val="00AE2E55"/>
    <w:rsid w:val="00AE2E5E"/>
    <w:rsid w:val="00AE2EFD"/>
    <w:rsid w:val="00AE30DC"/>
    <w:rsid w:val="00AE334C"/>
    <w:rsid w:val="00AE3352"/>
    <w:rsid w:val="00AE347E"/>
    <w:rsid w:val="00AE375B"/>
    <w:rsid w:val="00AE3898"/>
    <w:rsid w:val="00AE3922"/>
    <w:rsid w:val="00AE3953"/>
    <w:rsid w:val="00AE39AA"/>
    <w:rsid w:val="00AE3E3D"/>
    <w:rsid w:val="00AE43F6"/>
    <w:rsid w:val="00AE43FC"/>
    <w:rsid w:val="00AE45C8"/>
    <w:rsid w:val="00AE46B8"/>
    <w:rsid w:val="00AE482D"/>
    <w:rsid w:val="00AE48E7"/>
    <w:rsid w:val="00AE4A0C"/>
    <w:rsid w:val="00AE4F4B"/>
    <w:rsid w:val="00AE5137"/>
    <w:rsid w:val="00AE5246"/>
    <w:rsid w:val="00AE52A7"/>
    <w:rsid w:val="00AE541E"/>
    <w:rsid w:val="00AE5633"/>
    <w:rsid w:val="00AE5961"/>
    <w:rsid w:val="00AE5966"/>
    <w:rsid w:val="00AE5BB0"/>
    <w:rsid w:val="00AE5BE0"/>
    <w:rsid w:val="00AE5C7B"/>
    <w:rsid w:val="00AE5EE6"/>
    <w:rsid w:val="00AE5F0C"/>
    <w:rsid w:val="00AE62D1"/>
    <w:rsid w:val="00AE6491"/>
    <w:rsid w:val="00AE6564"/>
    <w:rsid w:val="00AE65ED"/>
    <w:rsid w:val="00AE6724"/>
    <w:rsid w:val="00AE67BC"/>
    <w:rsid w:val="00AE68C0"/>
    <w:rsid w:val="00AE6A16"/>
    <w:rsid w:val="00AE6B78"/>
    <w:rsid w:val="00AE6C0D"/>
    <w:rsid w:val="00AE6CB9"/>
    <w:rsid w:val="00AE6E0C"/>
    <w:rsid w:val="00AE701F"/>
    <w:rsid w:val="00AE707F"/>
    <w:rsid w:val="00AE71EE"/>
    <w:rsid w:val="00AE7222"/>
    <w:rsid w:val="00AE7292"/>
    <w:rsid w:val="00AE733D"/>
    <w:rsid w:val="00AE7556"/>
    <w:rsid w:val="00AE7661"/>
    <w:rsid w:val="00AE76E5"/>
    <w:rsid w:val="00AE7A30"/>
    <w:rsid w:val="00AE7BF3"/>
    <w:rsid w:val="00AF0037"/>
    <w:rsid w:val="00AF0082"/>
    <w:rsid w:val="00AF02C0"/>
    <w:rsid w:val="00AF06A0"/>
    <w:rsid w:val="00AF0899"/>
    <w:rsid w:val="00AF0942"/>
    <w:rsid w:val="00AF094F"/>
    <w:rsid w:val="00AF0957"/>
    <w:rsid w:val="00AF0986"/>
    <w:rsid w:val="00AF09AD"/>
    <w:rsid w:val="00AF0DE9"/>
    <w:rsid w:val="00AF0E1E"/>
    <w:rsid w:val="00AF0EE8"/>
    <w:rsid w:val="00AF0FE9"/>
    <w:rsid w:val="00AF1132"/>
    <w:rsid w:val="00AF1200"/>
    <w:rsid w:val="00AF138C"/>
    <w:rsid w:val="00AF14D7"/>
    <w:rsid w:val="00AF1544"/>
    <w:rsid w:val="00AF1C64"/>
    <w:rsid w:val="00AF1E03"/>
    <w:rsid w:val="00AF205F"/>
    <w:rsid w:val="00AF20D4"/>
    <w:rsid w:val="00AF2133"/>
    <w:rsid w:val="00AF233E"/>
    <w:rsid w:val="00AF2AD3"/>
    <w:rsid w:val="00AF2AE3"/>
    <w:rsid w:val="00AF2B93"/>
    <w:rsid w:val="00AF2CFA"/>
    <w:rsid w:val="00AF2D9D"/>
    <w:rsid w:val="00AF3020"/>
    <w:rsid w:val="00AF30BC"/>
    <w:rsid w:val="00AF3252"/>
    <w:rsid w:val="00AF3344"/>
    <w:rsid w:val="00AF356E"/>
    <w:rsid w:val="00AF35A4"/>
    <w:rsid w:val="00AF35F6"/>
    <w:rsid w:val="00AF3720"/>
    <w:rsid w:val="00AF3726"/>
    <w:rsid w:val="00AF38D5"/>
    <w:rsid w:val="00AF398A"/>
    <w:rsid w:val="00AF3CC7"/>
    <w:rsid w:val="00AF3CED"/>
    <w:rsid w:val="00AF4166"/>
    <w:rsid w:val="00AF41C3"/>
    <w:rsid w:val="00AF4291"/>
    <w:rsid w:val="00AF4315"/>
    <w:rsid w:val="00AF434B"/>
    <w:rsid w:val="00AF4496"/>
    <w:rsid w:val="00AF46B6"/>
    <w:rsid w:val="00AF4705"/>
    <w:rsid w:val="00AF4778"/>
    <w:rsid w:val="00AF4909"/>
    <w:rsid w:val="00AF498A"/>
    <w:rsid w:val="00AF4ADE"/>
    <w:rsid w:val="00AF4BA0"/>
    <w:rsid w:val="00AF4F0C"/>
    <w:rsid w:val="00AF4FAB"/>
    <w:rsid w:val="00AF5201"/>
    <w:rsid w:val="00AF539E"/>
    <w:rsid w:val="00AF555B"/>
    <w:rsid w:val="00AF56BC"/>
    <w:rsid w:val="00AF5714"/>
    <w:rsid w:val="00AF57F4"/>
    <w:rsid w:val="00AF5836"/>
    <w:rsid w:val="00AF5897"/>
    <w:rsid w:val="00AF5EBD"/>
    <w:rsid w:val="00AF5EDC"/>
    <w:rsid w:val="00AF618B"/>
    <w:rsid w:val="00AF640B"/>
    <w:rsid w:val="00AF65C8"/>
    <w:rsid w:val="00AF6B6E"/>
    <w:rsid w:val="00AF6C90"/>
    <w:rsid w:val="00AF6DB7"/>
    <w:rsid w:val="00AF6FC9"/>
    <w:rsid w:val="00AF72B4"/>
    <w:rsid w:val="00AF7333"/>
    <w:rsid w:val="00AF74F7"/>
    <w:rsid w:val="00AF75E7"/>
    <w:rsid w:val="00AF7635"/>
    <w:rsid w:val="00AF76E1"/>
    <w:rsid w:val="00AF7775"/>
    <w:rsid w:val="00AF7864"/>
    <w:rsid w:val="00AF7A49"/>
    <w:rsid w:val="00AF7AA9"/>
    <w:rsid w:val="00AF7B83"/>
    <w:rsid w:val="00AF7BA3"/>
    <w:rsid w:val="00AF7C72"/>
    <w:rsid w:val="00AF7D86"/>
    <w:rsid w:val="00AFE686"/>
    <w:rsid w:val="00B0014A"/>
    <w:rsid w:val="00B002D6"/>
    <w:rsid w:val="00B00A42"/>
    <w:rsid w:val="00B00A6F"/>
    <w:rsid w:val="00B00B8F"/>
    <w:rsid w:val="00B00CFE"/>
    <w:rsid w:val="00B00D41"/>
    <w:rsid w:val="00B00F17"/>
    <w:rsid w:val="00B01086"/>
    <w:rsid w:val="00B01156"/>
    <w:rsid w:val="00B012B5"/>
    <w:rsid w:val="00B014CE"/>
    <w:rsid w:val="00B01653"/>
    <w:rsid w:val="00B01885"/>
    <w:rsid w:val="00B01C60"/>
    <w:rsid w:val="00B01DD0"/>
    <w:rsid w:val="00B01EEF"/>
    <w:rsid w:val="00B020F1"/>
    <w:rsid w:val="00B02198"/>
    <w:rsid w:val="00B02289"/>
    <w:rsid w:val="00B02342"/>
    <w:rsid w:val="00B02365"/>
    <w:rsid w:val="00B02416"/>
    <w:rsid w:val="00B02815"/>
    <w:rsid w:val="00B02823"/>
    <w:rsid w:val="00B0284A"/>
    <w:rsid w:val="00B02881"/>
    <w:rsid w:val="00B02BB4"/>
    <w:rsid w:val="00B02C3B"/>
    <w:rsid w:val="00B02CD0"/>
    <w:rsid w:val="00B02D4B"/>
    <w:rsid w:val="00B02F9F"/>
    <w:rsid w:val="00B03017"/>
    <w:rsid w:val="00B0351F"/>
    <w:rsid w:val="00B035C3"/>
    <w:rsid w:val="00B03656"/>
    <w:rsid w:val="00B037D5"/>
    <w:rsid w:val="00B039A8"/>
    <w:rsid w:val="00B03BAB"/>
    <w:rsid w:val="00B03D92"/>
    <w:rsid w:val="00B03FA0"/>
    <w:rsid w:val="00B0403B"/>
    <w:rsid w:val="00B0412B"/>
    <w:rsid w:val="00B042AB"/>
    <w:rsid w:val="00B0436B"/>
    <w:rsid w:val="00B043A7"/>
    <w:rsid w:val="00B0470F"/>
    <w:rsid w:val="00B0471B"/>
    <w:rsid w:val="00B049B0"/>
    <w:rsid w:val="00B04AC0"/>
    <w:rsid w:val="00B04C53"/>
    <w:rsid w:val="00B04E3E"/>
    <w:rsid w:val="00B04EB4"/>
    <w:rsid w:val="00B04FB1"/>
    <w:rsid w:val="00B05022"/>
    <w:rsid w:val="00B05039"/>
    <w:rsid w:val="00B05385"/>
    <w:rsid w:val="00B05548"/>
    <w:rsid w:val="00B05591"/>
    <w:rsid w:val="00B0560A"/>
    <w:rsid w:val="00B05662"/>
    <w:rsid w:val="00B057EB"/>
    <w:rsid w:val="00B05B61"/>
    <w:rsid w:val="00B06161"/>
    <w:rsid w:val="00B06169"/>
    <w:rsid w:val="00B0618C"/>
    <w:rsid w:val="00B0635F"/>
    <w:rsid w:val="00B06932"/>
    <w:rsid w:val="00B0696C"/>
    <w:rsid w:val="00B06A16"/>
    <w:rsid w:val="00B06AB9"/>
    <w:rsid w:val="00B0704C"/>
    <w:rsid w:val="00B0706B"/>
    <w:rsid w:val="00B0708D"/>
    <w:rsid w:val="00B0712E"/>
    <w:rsid w:val="00B07242"/>
    <w:rsid w:val="00B07C15"/>
    <w:rsid w:val="00B07D5A"/>
    <w:rsid w:val="00B07DBA"/>
    <w:rsid w:val="00B07E9B"/>
    <w:rsid w:val="00B07EA1"/>
    <w:rsid w:val="00B10003"/>
    <w:rsid w:val="00B1008C"/>
    <w:rsid w:val="00B10311"/>
    <w:rsid w:val="00B10352"/>
    <w:rsid w:val="00B105A6"/>
    <w:rsid w:val="00B10699"/>
    <w:rsid w:val="00B106AB"/>
    <w:rsid w:val="00B1072C"/>
    <w:rsid w:val="00B10845"/>
    <w:rsid w:val="00B108EF"/>
    <w:rsid w:val="00B10B10"/>
    <w:rsid w:val="00B10BA5"/>
    <w:rsid w:val="00B10C49"/>
    <w:rsid w:val="00B10D54"/>
    <w:rsid w:val="00B10E68"/>
    <w:rsid w:val="00B10ECB"/>
    <w:rsid w:val="00B110D2"/>
    <w:rsid w:val="00B110E5"/>
    <w:rsid w:val="00B112F7"/>
    <w:rsid w:val="00B1134D"/>
    <w:rsid w:val="00B113FE"/>
    <w:rsid w:val="00B11426"/>
    <w:rsid w:val="00B1154A"/>
    <w:rsid w:val="00B115C3"/>
    <w:rsid w:val="00B11C6E"/>
    <w:rsid w:val="00B11C71"/>
    <w:rsid w:val="00B11D16"/>
    <w:rsid w:val="00B11DCC"/>
    <w:rsid w:val="00B11E69"/>
    <w:rsid w:val="00B11F6A"/>
    <w:rsid w:val="00B1207D"/>
    <w:rsid w:val="00B1231C"/>
    <w:rsid w:val="00B12339"/>
    <w:rsid w:val="00B124CA"/>
    <w:rsid w:val="00B1260B"/>
    <w:rsid w:val="00B126A1"/>
    <w:rsid w:val="00B127E8"/>
    <w:rsid w:val="00B1298D"/>
    <w:rsid w:val="00B12AB9"/>
    <w:rsid w:val="00B12B37"/>
    <w:rsid w:val="00B12BE6"/>
    <w:rsid w:val="00B12C53"/>
    <w:rsid w:val="00B12CF4"/>
    <w:rsid w:val="00B12D5C"/>
    <w:rsid w:val="00B1311B"/>
    <w:rsid w:val="00B13470"/>
    <w:rsid w:val="00B13590"/>
    <w:rsid w:val="00B13620"/>
    <w:rsid w:val="00B1362D"/>
    <w:rsid w:val="00B13696"/>
    <w:rsid w:val="00B136C6"/>
    <w:rsid w:val="00B13919"/>
    <w:rsid w:val="00B139DF"/>
    <w:rsid w:val="00B13AE7"/>
    <w:rsid w:val="00B13B24"/>
    <w:rsid w:val="00B13B6B"/>
    <w:rsid w:val="00B13DA8"/>
    <w:rsid w:val="00B13EF3"/>
    <w:rsid w:val="00B13F55"/>
    <w:rsid w:val="00B14AFD"/>
    <w:rsid w:val="00B14B7F"/>
    <w:rsid w:val="00B14D78"/>
    <w:rsid w:val="00B14EE8"/>
    <w:rsid w:val="00B15155"/>
    <w:rsid w:val="00B15176"/>
    <w:rsid w:val="00B151B7"/>
    <w:rsid w:val="00B15688"/>
    <w:rsid w:val="00B157EE"/>
    <w:rsid w:val="00B158E1"/>
    <w:rsid w:val="00B15CF0"/>
    <w:rsid w:val="00B15E61"/>
    <w:rsid w:val="00B15FB8"/>
    <w:rsid w:val="00B1603D"/>
    <w:rsid w:val="00B1626F"/>
    <w:rsid w:val="00B16723"/>
    <w:rsid w:val="00B169DB"/>
    <w:rsid w:val="00B16A31"/>
    <w:rsid w:val="00B16BFD"/>
    <w:rsid w:val="00B16CEB"/>
    <w:rsid w:val="00B16F29"/>
    <w:rsid w:val="00B16F7A"/>
    <w:rsid w:val="00B17037"/>
    <w:rsid w:val="00B17455"/>
    <w:rsid w:val="00B174EC"/>
    <w:rsid w:val="00B1766B"/>
    <w:rsid w:val="00B176FC"/>
    <w:rsid w:val="00B1770C"/>
    <w:rsid w:val="00B1774C"/>
    <w:rsid w:val="00B178E2"/>
    <w:rsid w:val="00B17D49"/>
    <w:rsid w:val="00B17F04"/>
    <w:rsid w:val="00B17F0A"/>
    <w:rsid w:val="00B204EA"/>
    <w:rsid w:val="00B205CF"/>
    <w:rsid w:val="00B205D6"/>
    <w:rsid w:val="00B206A8"/>
    <w:rsid w:val="00B207DB"/>
    <w:rsid w:val="00B20962"/>
    <w:rsid w:val="00B20AB5"/>
    <w:rsid w:val="00B20CDB"/>
    <w:rsid w:val="00B20D2C"/>
    <w:rsid w:val="00B20ECB"/>
    <w:rsid w:val="00B2102B"/>
    <w:rsid w:val="00B2104C"/>
    <w:rsid w:val="00B21176"/>
    <w:rsid w:val="00B21444"/>
    <w:rsid w:val="00B2147B"/>
    <w:rsid w:val="00B21482"/>
    <w:rsid w:val="00B21694"/>
    <w:rsid w:val="00B21A7C"/>
    <w:rsid w:val="00B21C12"/>
    <w:rsid w:val="00B21D1C"/>
    <w:rsid w:val="00B21D2C"/>
    <w:rsid w:val="00B221F4"/>
    <w:rsid w:val="00B22320"/>
    <w:rsid w:val="00B223F3"/>
    <w:rsid w:val="00B22530"/>
    <w:rsid w:val="00B227A1"/>
    <w:rsid w:val="00B227E6"/>
    <w:rsid w:val="00B227F2"/>
    <w:rsid w:val="00B22D73"/>
    <w:rsid w:val="00B2318F"/>
    <w:rsid w:val="00B231F0"/>
    <w:rsid w:val="00B232FD"/>
    <w:rsid w:val="00B23327"/>
    <w:rsid w:val="00B23522"/>
    <w:rsid w:val="00B2357D"/>
    <w:rsid w:val="00B23718"/>
    <w:rsid w:val="00B23A83"/>
    <w:rsid w:val="00B23CEC"/>
    <w:rsid w:val="00B23D79"/>
    <w:rsid w:val="00B23E52"/>
    <w:rsid w:val="00B23EA8"/>
    <w:rsid w:val="00B24027"/>
    <w:rsid w:val="00B2420E"/>
    <w:rsid w:val="00B24217"/>
    <w:rsid w:val="00B24300"/>
    <w:rsid w:val="00B2470B"/>
    <w:rsid w:val="00B2478D"/>
    <w:rsid w:val="00B24919"/>
    <w:rsid w:val="00B24987"/>
    <w:rsid w:val="00B249AF"/>
    <w:rsid w:val="00B24B71"/>
    <w:rsid w:val="00B24CD4"/>
    <w:rsid w:val="00B24D07"/>
    <w:rsid w:val="00B25484"/>
    <w:rsid w:val="00B25545"/>
    <w:rsid w:val="00B257E9"/>
    <w:rsid w:val="00B25A6C"/>
    <w:rsid w:val="00B25BB6"/>
    <w:rsid w:val="00B25ED8"/>
    <w:rsid w:val="00B2609C"/>
    <w:rsid w:val="00B26168"/>
    <w:rsid w:val="00B26217"/>
    <w:rsid w:val="00B263CA"/>
    <w:rsid w:val="00B26588"/>
    <w:rsid w:val="00B265B8"/>
    <w:rsid w:val="00B26856"/>
    <w:rsid w:val="00B2691B"/>
    <w:rsid w:val="00B26975"/>
    <w:rsid w:val="00B269D2"/>
    <w:rsid w:val="00B26A4D"/>
    <w:rsid w:val="00B26D85"/>
    <w:rsid w:val="00B26E27"/>
    <w:rsid w:val="00B26E47"/>
    <w:rsid w:val="00B26FD0"/>
    <w:rsid w:val="00B272DD"/>
    <w:rsid w:val="00B272DF"/>
    <w:rsid w:val="00B276C9"/>
    <w:rsid w:val="00B27812"/>
    <w:rsid w:val="00B27A4E"/>
    <w:rsid w:val="00B27A7C"/>
    <w:rsid w:val="00B27B39"/>
    <w:rsid w:val="00B27EC9"/>
    <w:rsid w:val="00B27F26"/>
    <w:rsid w:val="00B27F7F"/>
    <w:rsid w:val="00B30029"/>
    <w:rsid w:val="00B3026D"/>
    <w:rsid w:val="00B3026E"/>
    <w:rsid w:val="00B3038A"/>
    <w:rsid w:val="00B30500"/>
    <w:rsid w:val="00B30706"/>
    <w:rsid w:val="00B30715"/>
    <w:rsid w:val="00B30891"/>
    <w:rsid w:val="00B308E9"/>
    <w:rsid w:val="00B309A4"/>
    <w:rsid w:val="00B30A7D"/>
    <w:rsid w:val="00B30AF6"/>
    <w:rsid w:val="00B30B56"/>
    <w:rsid w:val="00B30F31"/>
    <w:rsid w:val="00B30F3A"/>
    <w:rsid w:val="00B30F85"/>
    <w:rsid w:val="00B30FBF"/>
    <w:rsid w:val="00B30FD9"/>
    <w:rsid w:val="00B310BD"/>
    <w:rsid w:val="00B31105"/>
    <w:rsid w:val="00B315DA"/>
    <w:rsid w:val="00B3194A"/>
    <w:rsid w:val="00B31B92"/>
    <w:rsid w:val="00B31BCE"/>
    <w:rsid w:val="00B31DF1"/>
    <w:rsid w:val="00B3259D"/>
    <w:rsid w:val="00B325C7"/>
    <w:rsid w:val="00B32675"/>
    <w:rsid w:val="00B326D3"/>
    <w:rsid w:val="00B328AE"/>
    <w:rsid w:val="00B32EC8"/>
    <w:rsid w:val="00B3335F"/>
    <w:rsid w:val="00B333F6"/>
    <w:rsid w:val="00B33510"/>
    <w:rsid w:val="00B3367A"/>
    <w:rsid w:val="00B33706"/>
    <w:rsid w:val="00B3380B"/>
    <w:rsid w:val="00B33C57"/>
    <w:rsid w:val="00B33D3B"/>
    <w:rsid w:val="00B33EE2"/>
    <w:rsid w:val="00B34217"/>
    <w:rsid w:val="00B3422E"/>
    <w:rsid w:val="00B345DD"/>
    <w:rsid w:val="00B34715"/>
    <w:rsid w:val="00B349AB"/>
    <w:rsid w:val="00B34BDA"/>
    <w:rsid w:val="00B34BE9"/>
    <w:rsid w:val="00B34D1E"/>
    <w:rsid w:val="00B34D3D"/>
    <w:rsid w:val="00B34DCF"/>
    <w:rsid w:val="00B34E62"/>
    <w:rsid w:val="00B350A1"/>
    <w:rsid w:val="00B35141"/>
    <w:rsid w:val="00B35379"/>
    <w:rsid w:val="00B353B8"/>
    <w:rsid w:val="00B35454"/>
    <w:rsid w:val="00B35BEE"/>
    <w:rsid w:val="00B35DDA"/>
    <w:rsid w:val="00B35EAA"/>
    <w:rsid w:val="00B35EEE"/>
    <w:rsid w:val="00B36135"/>
    <w:rsid w:val="00B3618D"/>
    <w:rsid w:val="00B361A2"/>
    <w:rsid w:val="00B36572"/>
    <w:rsid w:val="00B3658F"/>
    <w:rsid w:val="00B366D2"/>
    <w:rsid w:val="00B36846"/>
    <w:rsid w:val="00B368F1"/>
    <w:rsid w:val="00B36925"/>
    <w:rsid w:val="00B36960"/>
    <w:rsid w:val="00B36EB5"/>
    <w:rsid w:val="00B37031"/>
    <w:rsid w:val="00B3709F"/>
    <w:rsid w:val="00B37520"/>
    <w:rsid w:val="00B37584"/>
    <w:rsid w:val="00B37601"/>
    <w:rsid w:val="00B37781"/>
    <w:rsid w:val="00B37935"/>
    <w:rsid w:val="00B37B29"/>
    <w:rsid w:val="00B37DB5"/>
    <w:rsid w:val="00B37E47"/>
    <w:rsid w:val="00B40191"/>
    <w:rsid w:val="00B4029E"/>
    <w:rsid w:val="00B40447"/>
    <w:rsid w:val="00B4049E"/>
    <w:rsid w:val="00B404D2"/>
    <w:rsid w:val="00B404E5"/>
    <w:rsid w:val="00B406EA"/>
    <w:rsid w:val="00B40700"/>
    <w:rsid w:val="00B40828"/>
    <w:rsid w:val="00B40883"/>
    <w:rsid w:val="00B408EA"/>
    <w:rsid w:val="00B40E8B"/>
    <w:rsid w:val="00B40EF2"/>
    <w:rsid w:val="00B410E7"/>
    <w:rsid w:val="00B4136C"/>
    <w:rsid w:val="00B41677"/>
    <w:rsid w:val="00B41703"/>
    <w:rsid w:val="00B41856"/>
    <w:rsid w:val="00B41D34"/>
    <w:rsid w:val="00B41EC5"/>
    <w:rsid w:val="00B4201E"/>
    <w:rsid w:val="00B42334"/>
    <w:rsid w:val="00B42483"/>
    <w:rsid w:val="00B42975"/>
    <w:rsid w:val="00B42A77"/>
    <w:rsid w:val="00B42AAB"/>
    <w:rsid w:val="00B42B3E"/>
    <w:rsid w:val="00B42CAA"/>
    <w:rsid w:val="00B42D78"/>
    <w:rsid w:val="00B42F58"/>
    <w:rsid w:val="00B43045"/>
    <w:rsid w:val="00B43099"/>
    <w:rsid w:val="00B430CB"/>
    <w:rsid w:val="00B4312A"/>
    <w:rsid w:val="00B4319F"/>
    <w:rsid w:val="00B431BC"/>
    <w:rsid w:val="00B43427"/>
    <w:rsid w:val="00B43495"/>
    <w:rsid w:val="00B43827"/>
    <w:rsid w:val="00B43A4F"/>
    <w:rsid w:val="00B43EA8"/>
    <w:rsid w:val="00B43F19"/>
    <w:rsid w:val="00B43FA7"/>
    <w:rsid w:val="00B43FF9"/>
    <w:rsid w:val="00B4402A"/>
    <w:rsid w:val="00B440E8"/>
    <w:rsid w:val="00B4415A"/>
    <w:rsid w:val="00B44173"/>
    <w:rsid w:val="00B442DF"/>
    <w:rsid w:val="00B442ED"/>
    <w:rsid w:val="00B4433B"/>
    <w:rsid w:val="00B44434"/>
    <w:rsid w:val="00B447CE"/>
    <w:rsid w:val="00B4492D"/>
    <w:rsid w:val="00B449DC"/>
    <w:rsid w:val="00B44A65"/>
    <w:rsid w:val="00B44B31"/>
    <w:rsid w:val="00B44B7D"/>
    <w:rsid w:val="00B44C22"/>
    <w:rsid w:val="00B44D71"/>
    <w:rsid w:val="00B44E38"/>
    <w:rsid w:val="00B44F3E"/>
    <w:rsid w:val="00B44F7A"/>
    <w:rsid w:val="00B45124"/>
    <w:rsid w:val="00B4515A"/>
    <w:rsid w:val="00B45533"/>
    <w:rsid w:val="00B45574"/>
    <w:rsid w:val="00B45637"/>
    <w:rsid w:val="00B45889"/>
    <w:rsid w:val="00B459EC"/>
    <w:rsid w:val="00B45BCB"/>
    <w:rsid w:val="00B45CD1"/>
    <w:rsid w:val="00B45DA4"/>
    <w:rsid w:val="00B4610A"/>
    <w:rsid w:val="00B4614B"/>
    <w:rsid w:val="00B46162"/>
    <w:rsid w:val="00B46182"/>
    <w:rsid w:val="00B46412"/>
    <w:rsid w:val="00B46633"/>
    <w:rsid w:val="00B46745"/>
    <w:rsid w:val="00B469A8"/>
    <w:rsid w:val="00B46BCC"/>
    <w:rsid w:val="00B46BDC"/>
    <w:rsid w:val="00B46C91"/>
    <w:rsid w:val="00B46CB0"/>
    <w:rsid w:val="00B46D6C"/>
    <w:rsid w:val="00B47025"/>
    <w:rsid w:val="00B47123"/>
    <w:rsid w:val="00B4713D"/>
    <w:rsid w:val="00B4716F"/>
    <w:rsid w:val="00B471EA"/>
    <w:rsid w:val="00B472E8"/>
    <w:rsid w:val="00B47571"/>
    <w:rsid w:val="00B476AE"/>
    <w:rsid w:val="00B477B1"/>
    <w:rsid w:val="00B477E1"/>
    <w:rsid w:val="00B478A5"/>
    <w:rsid w:val="00B478CA"/>
    <w:rsid w:val="00B479BB"/>
    <w:rsid w:val="00B479C0"/>
    <w:rsid w:val="00B47AC6"/>
    <w:rsid w:val="00B47D0E"/>
    <w:rsid w:val="00B47D4A"/>
    <w:rsid w:val="00B47DCD"/>
    <w:rsid w:val="00B47EC6"/>
    <w:rsid w:val="00B50100"/>
    <w:rsid w:val="00B50304"/>
    <w:rsid w:val="00B50887"/>
    <w:rsid w:val="00B50C73"/>
    <w:rsid w:val="00B50E80"/>
    <w:rsid w:val="00B51176"/>
    <w:rsid w:val="00B514FD"/>
    <w:rsid w:val="00B51579"/>
    <w:rsid w:val="00B51AB7"/>
    <w:rsid w:val="00B51B37"/>
    <w:rsid w:val="00B52048"/>
    <w:rsid w:val="00B52104"/>
    <w:rsid w:val="00B5217F"/>
    <w:rsid w:val="00B52346"/>
    <w:rsid w:val="00B5235C"/>
    <w:rsid w:val="00B5247D"/>
    <w:rsid w:val="00B52502"/>
    <w:rsid w:val="00B526C0"/>
    <w:rsid w:val="00B528E1"/>
    <w:rsid w:val="00B52A59"/>
    <w:rsid w:val="00B52AFB"/>
    <w:rsid w:val="00B52BFB"/>
    <w:rsid w:val="00B52C82"/>
    <w:rsid w:val="00B52CF8"/>
    <w:rsid w:val="00B5302C"/>
    <w:rsid w:val="00B531BD"/>
    <w:rsid w:val="00B53303"/>
    <w:rsid w:val="00B5337C"/>
    <w:rsid w:val="00B533BF"/>
    <w:rsid w:val="00B533D9"/>
    <w:rsid w:val="00B53554"/>
    <w:rsid w:val="00B5374B"/>
    <w:rsid w:val="00B538F1"/>
    <w:rsid w:val="00B53939"/>
    <w:rsid w:val="00B53A42"/>
    <w:rsid w:val="00B53BD8"/>
    <w:rsid w:val="00B53C49"/>
    <w:rsid w:val="00B53CE3"/>
    <w:rsid w:val="00B53D64"/>
    <w:rsid w:val="00B53DAD"/>
    <w:rsid w:val="00B53EAF"/>
    <w:rsid w:val="00B53EF7"/>
    <w:rsid w:val="00B54033"/>
    <w:rsid w:val="00B5412C"/>
    <w:rsid w:val="00B5451A"/>
    <w:rsid w:val="00B54558"/>
    <w:rsid w:val="00B545F1"/>
    <w:rsid w:val="00B5495A"/>
    <w:rsid w:val="00B54962"/>
    <w:rsid w:val="00B54ADD"/>
    <w:rsid w:val="00B54C00"/>
    <w:rsid w:val="00B54D10"/>
    <w:rsid w:val="00B54DC4"/>
    <w:rsid w:val="00B55018"/>
    <w:rsid w:val="00B550BD"/>
    <w:rsid w:val="00B55370"/>
    <w:rsid w:val="00B55462"/>
    <w:rsid w:val="00B55517"/>
    <w:rsid w:val="00B555BD"/>
    <w:rsid w:val="00B55767"/>
    <w:rsid w:val="00B55799"/>
    <w:rsid w:val="00B55D9C"/>
    <w:rsid w:val="00B55FF8"/>
    <w:rsid w:val="00B5611B"/>
    <w:rsid w:val="00B56147"/>
    <w:rsid w:val="00B562E8"/>
    <w:rsid w:val="00B563A6"/>
    <w:rsid w:val="00B56623"/>
    <w:rsid w:val="00B56659"/>
    <w:rsid w:val="00B56786"/>
    <w:rsid w:val="00B56A84"/>
    <w:rsid w:val="00B56A87"/>
    <w:rsid w:val="00B56B54"/>
    <w:rsid w:val="00B56B9A"/>
    <w:rsid w:val="00B57137"/>
    <w:rsid w:val="00B57306"/>
    <w:rsid w:val="00B573DA"/>
    <w:rsid w:val="00B5776C"/>
    <w:rsid w:val="00B577B0"/>
    <w:rsid w:val="00B579EC"/>
    <w:rsid w:val="00B57E54"/>
    <w:rsid w:val="00B601DB"/>
    <w:rsid w:val="00B60284"/>
    <w:rsid w:val="00B602E4"/>
    <w:rsid w:val="00B60325"/>
    <w:rsid w:val="00B60512"/>
    <w:rsid w:val="00B6054C"/>
    <w:rsid w:val="00B6073B"/>
    <w:rsid w:val="00B607C9"/>
    <w:rsid w:val="00B607DF"/>
    <w:rsid w:val="00B60AA3"/>
    <w:rsid w:val="00B60C4C"/>
    <w:rsid w:val="00B60ED9"/>
    <w:rsid w:val="00B60EE8"/>
    <w:rsid w:val="00B60FAC"/>
    <w:rsid w:val="00B61042"/>
    <w:rsid w:val="00B6116C"/>
    <w:rsid w:val="00B6120A"/>
    <w:rsid w:val="00B6133D"/>
    <w:rsid w:val="00B613E1"/>
    <w:rsid w:val="00B6157A"/>
    <w:rsid w:val="00B616D3"/>
    <w:rsid w:val="00B617FB"/>
    <w:rsid w:val="00B6194F"/>
    <w:rsid w:val="00B61A14"/>
    <w:rsid w:val="00B61A19"/>
    <w:rsid w:val="00B61A89"/>
    <w:rsid w:val="00B61DB7"/>
    <w:rsid w:val="00B61E39"/>
    <w:rsid w:val="00B61F59"/>
    <w:rsid w:val="00B620AE"/>
    <w:rsid w:val="00B620C3"/>
    <w:rsid w:val="00B62102"/>
    <w:rsid w:val="00B623E0"/>
    <w:rsid w:val="00B623F6"/>
    <w:rsid w:val="00B625A3"/>
    <w:rsid w:val="00B6274D"/>
    <w:rsid w:val="00B628DF"/>
    <w:rsid w:val="00B62A56"/>
    <w:rsid w:val="00B62C23"/>
    <w:rsid w:val="00B62CD0"/>
    <w:rsid w:val="00B62DA7"/>
    <w:rsid w:val="00B63073"/>
    <w:rsid w:val="00B6314A"/>
    <w:rsid w:val="00B631AD"/>
    <w:rsid w:val="00B63341"/>
    <w:rsid w:val="00B6356E"/>
    <w:rsid w:val="00B6387B"/>
    <w:rsid w:val="00B6394C"/>
    <w:rsid w:val="00B63B93"/>
    <w:rsid w:val="00B63C1C"/>
    <w:rsid w:val="00B63CD9"/>
    <w:rsid w:val="00B63FCC"/>
    <w:rsid w:val="00B642E0"/>
    <w:rsid w:val="00B642EC"/>
    <w:rsid w:val="00B64329"/>
    <w:rsid w:val="00B6437F"/>
    <w:rsid w:val="00B646F4"/>
    <w:rsid w:val="00B647CE"/>
    <w:rsid w:val="00B64AE7"/>
    <w:rsid w:val="00B64B46"/>
    <w:rsid w:val="00B64B50"/>
    <w:rsid w:val="00B64DD4"/>
    <w:rsid w:val="00B64E44"/>
    <w:rsid w:val="00B64F39"/>
    <w:rsid w:val="00B64FFF"/>
    <w:rsid w:val="00B650D3"/>
    <w:rsid w:val="00B6526E"/>
    <w:rsid w:val="00B657B0"/>
    <w:rsid w:val="00B65801"/>
    <w:rsid w:val="00B6580D"/>
    <w:rsid w:val="00B65946"/>
    <w:rsid w:val="00B65948"/>
    <w:rsid w:val="00B65AEA"/>
    <w:rsid w:val="00B65BA2"/>
    <w:rsid w:val="00B65CE1"/>
    <w:rsid w:val="00B65F09"/>
    <w:rsid w:val="00B66559"/>
    <w:rsid w:val="00B665CD"/>
    <w:rsid w:val="00B665E2"/>
    <w:rsid w:val="00B6675A"/>
    <w:rsid w:val="00B66CCE"/>
    <w:rsid w:val="00B66FEE"/>
    <w:rsid w:val="00B67110"/>
    <w:rsid w:val="00B67129"/>
    <w:rsid w:val="00B67378"/>
    <w:rsid w:val="00B67386"/>
    <w:rsid w:val="00B6743C"/>
    <w:rsid w:val="00B677BC"/>
    <w:rsid w:val="00B6796D"/>
    <w:rsid w:val="00B67AB4"/>
    <w:rsid w:val="00B67F2B"/>
    <w:rsid w:val="00B67FD8"/>
    <w:rsid w:val="00B700F2"/>
    <w:rsid w:val="00B7026D"/>
    <w:rsid w:val="00B703D0"/>
    <w:rsid w:val="00B70512"/>
    <w:rsid w:val="00B7072A"/>
    <w:rsid w:val="00B7080B"/>
    <w:rsid w:val="00B7080C"/>
    <w:rsid w:val="00B70E99"/>
    <w:rsid w:val="00B70EFC"/>
    <w:rsid w:val="00B710A2"/>
    <w:rsid w:val="00B71170"/>
    <w:rsid w:val="00B71256"/>
    <w:rsid w:val="00B71294"/>
    <w:rsid w:val="00B712E2"/>
    <w:rsid w:val="00B7133F"/>
    <w:rsid w:val="00B7145D"/>
    <w:rsid w:val="00B7150C"/>
    <w:rsid w:val="00B71678"/>
    <w:rsid w:val="00B7197A"/>
    <w:rsid w:val="00B71D88"/>
    <w:rsid w:val="00B720A4"/>
    <w:rsid w:val="00B72199"/>
    <w:rsid w:val="00B7220E"/>
    <w:rsid w:val="00B72291"/>
    <w:rsid w:val="00B72413"/>
    <w:rsid w:val="00B7259C"/>
    <w:rsid w:val="00B72802"/>
    <w:rsid w:val="00B729FA"/>
    <w:rsid w:val="00B72C49"/>
    <w:rsid w:val="00B72D3D"/>
    <w:rsid w:val="00B72E7D"/>
    <w:rsid w:val="00B72FD9"/>
    <w:rsid w:val="00B73028"/>
    <w:rsid w:val="00B7322F"/>
    <w:rsid w:val="00B7328B"/>
    <w:rsid w:val="00B73392"/>
    <w:rsid w:val="00B734AA"/>
    <w:rsid w:val="00B736D0"/>
    <w:rsid w:val="00B736DE"/>
    <w:rsid w:val="00B73941"/>
    <w:rsid w:val="00B73FC6"/>
    <w:rsid w:val="00B74208"/>
    <w:rsid w:val="00B74376"/>
    <w:rsid w:val="00B745D2"/>
    <w:rsid w:val="00B745EA"/>
    <w:rsid w:val="00B745EB"/>
    <w:rsid w:val="00B747D1"/>
    <w:rsid w:val="00B747E0"/>
    <w:rsid w:val="00B74855"/>
    <w:rsid w:val="00B7494B"/>
    <w:rsid w:val="00B74981"/>
    <w:rsid w:val="00B74B6A"/>
    <w:rsid w:val="00B74E88"/>
    <w:rsid w:val="00B74FB1"/>
    <w:rsid w:val="00B7502A"/>
    <w:rsid w:val="00B75106"/>
    <w:rsid w:val="00B75155"/>
    <w:rsid w:val="00B751CF"/>
    <w:rsid w:val="00B7526D"/>
    <w:rsid w:val="00B754D1"/>
    <w:rsid w:val="00B75980"/>
    <w:rsid w:val="00B75D41"/>
    <w:rsid w:val="00B75D79"/>
    <w:rsid w:val="00B75E3F"/>
    <w:rsid w:val="00B75E6C"/>
    <w:rsid w:val="00B75FDE"/>
    <w:rsid w:val="00B76424"/>
    <w:rsid w:val="00B7651B"/>
    <w:rsid w:val="00B7671C"/>
    <w:rsid w:val="00B7672A"/>
    <w:rsid w:val="00B76802"/>
    <w:rsid w:val="00B7686D"/>
    <w:rsid w:val="00B76B30"/>
    <w:rsid w:val="00B76CCF"/>
    <w:rsid w:val="00B76D1B"/>
    <w:rsid w:val="00B76F64"/>
    <w:rsid w:val="00B76F71"/>
    <w:rsid w:val="00B772E5"/>
    <w:rsid w:val="00B77351"/>
    <w:rsid w:val="00B7751B"/>
    <w:rsid w:val="00B775C8"/>
    <w:rsid w:val="00B7780E"/>
    <w:rsid w:val="00B7783B"/>
    <w:rsid w:val="00B778ED"/>
    <w:rsid w:val="00B7790E"/>
    <w:rsid w:val="00B779EA"/>
    <w:rsid w:val="00B77A6A"/>
    <w:rsid w:val="00B77B7D"/>
    <w:rsid w:val="00B77B81"/>
    <w:rsid w:val="00B77F23"/>
    <w:rsid w:val="00B800CA"/>
    <w:rsid w:val="00B80371"/>
    <w:rsid w:val="00B8042A"/>
    <w:rsid w:val="00B80726"/>
    <w:rsid w:val="00B807D5"/>
    <w:rsid w:val="00B807DD"/>
    <w:rsid w:val="00B8084E"/>
    <w:rsid w:val="00B8093D"/>
    <w:rsid w:val="00B80992"/>
    <w:rsid w:val="00B80A23"/>
    <w:rsid w:val="00B80A35"/>
    <w:rsid w:val="00B80ABC"/>
    <w:rsid w:val="00B80B60"/>
    <w:rsid w:val="00B80CDC"/>
    <w:rsid w:val="00B80DF6"/>
    <w:rsid w:val="00B80E84"/>
    <w:rsid w:val="00B80F5E"/>
    <w:rsid w:val="00B80FDA"/>
    <w:rsid w:val="00B81015"/>
    <w:rsid w:val="00B81144"/>
    <w:rsid w:val="00B81218"/>
    <w:rsid w:val="00B8154B"/>
    <w:rsid w:val="00B8168C"/>
    <w:rsid w:val="00B817ED"/>
    <w:rsid w:val="00B8184F"/>
    <w:rsid w:val="00B818B0"/>
    <w:rsid w:val="00B819F1"/>
    <w:rsid w:val="00B81AC8"/>
    <w:rsid w:val="00B81D5D"/>
    <w:rsid w:val="00B81E31"/>
    <w:rsid w:val="00B82074"/>
    <w:rsid w:val="00B822BD"/>
    <w:rsid w:val="00B824E6"/>
    <w:rsid w:val="00B8264E"/>
    <w:rsid w:val="00B82700"/>
    <w:rsid w:val="00B828DE"/>
    <w:rsid w:val="00B8296F"/>
    <w:rsid w:val="00B82A4C"/>
    <w:rsid w:val="00B82BC0"/>
    <w:rsid w:val="00B82FF9"/>
    <w:rsid w:val="00B83194"/>
    <w:rsid w:val="00B83223"/>
    <w:rsid w:val="00B834D2"/>
    <w:rsid w:val="00B8374D"/>
    <w:rsid w:val="00B8378F"/>
    <w:rsid w:val="00B837F3"/>
    <w:rsid w:val="00B8388A"/>
    <w:rsid w:val="00B83A8E"/>
    <w:rsid w:val="00B83B7B"/>
    <w:rsid w:val="00B83B98"/>
    <w:rsid w:val="00B83C41"/>
    <w:rsid w:val="00B83C76"/>
    <w:rsid w:val="00B83CC6"/>
    <w:rsid w:val="00B83D3C"/>
    <w:rsid w:val="00B83E73"/>
    <w:rsid w:val="00B84264"/>
    <w:rsid w:val="00B845A1"/>
    <w:rsid w:val="00B846E2"/>
    <w:rsid w:val="00B84DB7"/>
    <w:rsid w:val="00B8539E"/>
    <w:rsid w:val="00B8553A"/>
    <w:rsid w:val="00B85583"/>
    <w:rsid w:val="00B8558B"/>
    <w:rsid w:val="00B855ED"/>
    <w:rsid w:val="00B85AD7"/>
    <w:rsid w:val="00B86128"/>
    <w:rsid w:val="00B86151"/>
    <w:rsid w:val="00B8630A"/>
    <w:rsid w:val="00B863BB"/>
    <w:rsid w:val="00B865A2"/>
    <w:rsid w:val="00B868A1"/>
    <w:rsid w:val="00B86940"/>
    <w:rsid w:val="00B8695C"/>
    <w:rsid w:val="00B8696E"/>
    <w:rsid w:val="00B86B56"/>
    <w:rsid w:val="00B86BCC"/>
    <w:rsid w:val="00B86C24"/>
    <w:rsid w:val="00B86D16"/>
    <w:rsid w:val="00B86ED9"/>
    <w:rsid w:val="00B86F10"/>
    <w:rsid w:val="00B86FCC"/>
    <w:rsid w:val="00B8739F"/>
    <w:rsid w:val="00B874DC"/>
    <w:rsid w:val="00B8766C"/>
    <w:rsid w:val="00B87C09"/>
    <w:rsid w:val="00B87D7A"/>
    <w:rsid w:val="00B87DC2"/>
    <w:rsid w:val="00B87E04"/>
    <w:rsid w:val="00B87F0F"/>
    <w:rsid w:val="00B8A8D3"/>
    <w:rsid w:val="00B9009E"/>
    <w:rsid w:val="00B900B0"/>
    <w:rsid w:val="00B900F6"/>
    <w:rsid w:val="00B901D8"/>
    <w:rsid w:val="00B90210"/>
    <w:rsid w:val="00B9023E"/>
    <w:rsid w:val="00B9029A"/>
    <w:rsid w:val="00B9047B"/>
    <w:rsid w:val="00B9068D"/>
    <w:rsid w:val="00B90A22"/>
    <w:rsid w:val="00B90A3C"/>
    <w:rsid w:val="00B90CF7"/>
    <w:rsid w:val="00B90E0D"/>
    <w:rsid w:val="00B90F31"/>
    <w:rsid w:val="00B90F5F"/>
    <w:rsid w:val="00B91094"/>
    <w:rsid w:val="00B9119B"/>
    <w:rsid w:val="00B91405"/>
    <w:rsid w:val="00B91519"/>
    <w:rsid w:val="00B917A3"/>
    <w:rsid w:val="00B91824"/>
    <w:rsid w:val="00B9186A"/>
    <w:rsid w:val="00B91D33"/>
    <w:rsid w:val="00B91DF9"/>
    <w:rsid w:val="00B91E46"/>
    <w:rsid w:val="00B91FB7"/>
    <w:rsid w:val="00B9228D"/>
    <w:rsid w:val="00B922D3"/>
    <w:rsid w:val="00B9246F"/>
    <w:rsid w:val="00B9264C"/>
    <w:rsid w:val="00B926D6"/>
    <w:rsid w:val="00B92B6C"/>
    <w:rsid w:val="00B92BE1"/>
    <w:rsid w:val="00B92C6F"/>
    <w:rsid w:val="00B92E20"/>
    <w:rsid w:val="00B92F6E"/>
    <w:rsid w:val="00B930CB"/>
    <w:rsid w:val="00B930E4"/>
    <w:rsid w:val="00B9383F"/>
    <w:rsid w:val="00B9390F"/>
    <w:rsid w:val="00B93AF7"/>
    <w:rsid w:val="00B93BBB"/>
    <w:rsid w:val="00B93EC3"/>
    <w:rsid w:val="00B93F50"/>
    <w:rsid w:val="00B93F6D"/>
    <w:rsid w:val="00B93F7E"/>
    <w:rsid w:val="00B94212"/>
    <w:rsid w:val="00B9461C"/>
    <w:rsid w:val="00B946C8"/>
    <w:rsid w:val="00B94731"/>
    <w:rsid w:val="00B94993"/>
    <w:rsid w:val="00B949ED"/>
    <w:rsid w:val="00B94C6B"/>
    <w:rsid w:val="00B94C99"/>
    <w:rsid w:val="00B94DB6"/>
    <w:rsid w:val="00B94FB9"/>
    <w:rsid w:val="00B951F2"/>
    <w:rsid w:val="00B95265"/>
    <w:rsid w:val="00B953EE"/>
    <w:rsid w:val="00B95488"/>
    <w:rsid w:val="00B95B6F"/>
    <w:rsid w:val="00B95C45"/>
    <w:rsid w:val="00B96050"/>
    <w:rsid w:val="00B961FE"/>
    <w:rsid w:val="00B962E0"/>
    <w:rsid w:val="00B96315"/>
    <w:rsid w:val="00B963FF"/>
    <w:rsid w:val="00B9661B"/>
    <w:rsid w:val="00B9670B"/>
    <w:rsid w:val="00B968A3"/>
    <w:rsid w:val="00B969C7"/>
    <w:rsid w:val="00B96A4D"/>
    <w:rsid w:val="00B96B4E"/>
    <w:rsid w:val="00B96BED"/>
    <w:rsid w:val="00B96BF0"/>
    <w:rsid w:val="00B96C9A"/>
    <w:rsid w:val="00B97006"/>
    <w:rsid w:val="00B97022"/>
    <w:rsid w:val="00B97389"/>
    <w:rsid w:val="00B9756A"/>
    <w:rsid w:val="00B9758D"/>
    <w:rsid w:val="00B97993"/>
    <w:rsid w:val="00B97CCB"/>
    <w:rsid w:val="00B97DE0"/>
    <w:rsid w:val="00B97E13"/>
    <w:rsid w:val="00B97F5E"/>
    <w:rsid w:val="00BA005F"/>
    <w:rsid w:val="00BA0080"/>
    <w:rsid w:val="00BA064E"/>
    <w:rsid w:val="00BA07D0"/>
    <w:rsid w:val="00BA0872"/>
    <w:rsid w:val="00BA0A38"/>
    <w:rsid w:val="00BA0A75"/>
    <w:rsid w:val="00BA0C1C"/>
    <w:rsid w:val="00BA0DD9"/>
    <w:rsid w:val="00BA13CF"/>
    <w:rsid w:val="00BA1653"/>
    <w:rsid w:val="00BA1696"/>
    <w:rsid w:val="00BA16C4"/>
    <w:rsid w:val="00BA1A05"/>
    <w:rsid w:val="00BA1AEB"/>
    <w:rsid w:val="00BA1C2A"/>
    <w:rsid w:val="00BA1CEE"/>
    <w:rsid w:val="00BA1E28"/>
    <w:rsid w:val="00BA1EE3"/>
    <w:rsid w:val="00BA1F88"/>
    <w:rsid w:val="00BA1F95"/>
    <w:rsid w:val="00BA1F9C"/>
    <w:rsid w:val="00BA2135"/>
    <w:rsid w:val="00BA22B4"/>
    <w:rsid w:val="00BA2472"/>
    <w:rsid w:val="00BA273B"/>
    <w:rsid w:val="00BA286C"/>
    <w:rsid w:val="00BA2B14"/>
    <w:rsid w:val="00BA2E11"/>
    <w:rsid w:val="00BA2E70"/>
    <w:rsid w:val="00BA2F46"/>
    <w:rsid w:val="00BA304D"/>
    <w:rsid w:val="00BA3159"/>
    <w:rsid w:val="00BA3635"/>
    <w:rsid w:val="00BA379E"/>
    <w:rsid w:val="00BA38D3"/>
    <w:rsid w:val="00BA3EBE"/>
    <w:rsid w:val="00BA3FFA"/>
    <w:rsid w:val="00BA4183"/>
    <w:rsid w:val="00BA4389"/>
    <w:rsid w:val="00BA43C1"/>
    <w:rsid w:val="00BA43CE"/>
    <w:rsid w:val="00BA4425"/>
    <w:rsid w:val="00BA4654"/>
    <w:rsid w:val="00BA4657"/>
    <w:rsid w:val="00BA46BC"/>
    <w:rsid w:val="00BA4834"/>
    <w:rsid w:val="00BA4849"/>
    <w:rsid w:val="00BA48AE"/>
    <w:rsid w:val="00BA4BC1"/>
    <w:rsid w:val="00BA4C01"/>
    <w:rsid w:val="00BA4C0E"/>
    <w:rsid w:val="00BA4EB4"/>
    <w:rsid w:val="00BA4ED4"/>
    <w:rsid w:val="00BA4EDE"/>
    <w:rsid w:val="00BA4F09"/>
    <w:rsid w:val="00BA5170"/>
    <w:rsid w:val="00BA52B0"/>
    <w:rsid w:val="00BA56BF"/>
    <w:rsid w:val="00BA57BA"/>
    <w:rsid w:val="00BA59C5"/>
    <w:rsid w:val="00BA5A21"/>
    <w:rsid w:val="00BA5B28"/>
    <w:rsid w:val="00BA5E04"/>
    <w:rsid w:val="00BA5E90"/>
    <w:rsid w:val="00BA60AE"/>
    <w:rsid w:val="00BA6155"/>
    <w:rsid w:val="00BA61C1"/>
    <w:rsid w:val="00BA62E5"/>
    <w:rsid w:val="00BA6393"/>
    <w:rsid w:val="00BA6631"/>
    <w:rsid w:val="00BA66C8"/>
    <w:rsid w:val="00BA6869"/>
    <w:rsid w:val="00BA68EB"/>
    <w:rsid w:val="00BA6B4B"/>
    <w:rsid w:val="00BA6BC3"/>
    <w:rsid w:val="00BA6C48"/>
    <w:rsid w:val="00BA6C9C"/>
    <w:rsid w:val="00BA709D"/>
    <w:rsid w:val="00BA70AE"/>
    <w:rsid w:val="00BA73B4"/>
    <w:rsid w:val="00BA75D7"/>
    <w:rsid w:val="00BA75F2"/>
    <w:rsid w:val="00BA7779"/>
    <w:rsid w:val="00BA7856"/>
    <w:rsid w:val="00BA7899"/>
    <w:rsid w:val="00BA7CD9"/>
    <w:rsid w:val="00BA7CF2"/>
    <w:rsid w:val="00BA7D1F"/>
    <w:rsid w:val="00BA7D64"/>
    <w:rsid w:val="00BB0194"/>
    <w:rsid w:val="00BB01E8"/>
    <w:rsid w:val="00BB03A4"/>
    <w:rsid w:val="00BB0489"/>
    <w:rsid w:val="00BB0521"/>
    <w:rsid w:val="00BB0594"/>
    <w:rsid w:val="00BB05BE"/>
    <w:rsid w:val="00BB05FD"/>
    <w:rsid w:val="00BB0985"/>
    <w:rsid w:val="00BB0992"/>
    <w:rsid w:val="00BB0993"/>
    <w:rsid w:val="00BB0A8B"/>
    <w:rsid w:val="00BB0ACC"/>
    <w:rsid w:val="00BB0C13"/>
    <w:rsid w:val="00BB101B"/>
    <w:rsid w:val="00BB10A0"/>
    <w:rsid w:val="00BB10B6"/>
    <w:rsid w:val="00BB1308"/>
    <w:rsid w:val="00BB1346"/>
    <w:rsid w:val="00BB138C"/>
    <w:rsid w:val="00BB1432"/>
    <w:rsid w:val="00BB1573"/>
    <w:rsid w:val="00BB1585"/>
    <w:rsid w:val="00BB15D9"/>
    <w:rsid w:val="00BB1719"/>
    <w:rsid w:val="00BB1C37"/>
    <w:rsid w:val="00BB2051"/>
    <w:rsid w:val="00BB20EB"/>
    <w:rsid w:val="00BB230C"/>
    <w:rsid w:val="00BB2784"/>
    <w:rsid w:val="00BB2902"/>
    <w:rsid w:val="00BB296A"/>
    <w:rsid w:val="00BB2DD1"/>
    <w:rsid w:val="00BB2E49"/>
    <w:rsid w:val="00BB300B"/>
    <w:rsid w:val="00BB30C6"/>
    <w:rsid w:val="00BB3142"/>
    <w:rsid w:val="00BB3181"/>
    <w:rsid w:val="00BB31E6"/>
    <w:rsid w:val="00BB36C1"/>
    <w:rsid w:val="00BB373D"/>
    <w:rsid w:val="00BB38DE"/>
    <w:rsid w:val="00BB3B2A"/>
    <w:rsid w:val="00BB3B4C"/>
    <w:rsid w:val="00BB3C80"/>
    <w:rsid w:val="00BB3DE2"/>
    <w:rsid w:val="00BB3F72"/>
    <w:rsid w:val="00BB3FF9"/>
    <w:rsid w:val="00BB4141"/>
    <w:rsid w:val="00BB420D"/>
    <w:rsid w:val="00BB43E1"/>
    <w:rsid w:val="00BB44A5"/>
    <w:rsid w:val="00BB4779"/>
    <w:rsid w:val="00BB47FD"/>
    <w:rsid w:val="00BB49ED"/>
    <w:rsid w:val="00BB4A51"/>
    <w:rsid w:val="00BB4A6F"/>
    <w:rsid w:val="00BB4BFC"/>
    <w:rsid w:val="00BB4D66"/>
    <w:rsid w:val="00BB4DAC"/>
    <w:rsid w:val="00BB4DD7"/>
    <w:rsid w:val="00BB4E0C"/>
    <w:rsid w:val="00BB5214"/>
    <w:rsid w:val="00BB52C5"/>
    <w:rsid w:val="00BB52F2"/>
    <w:rsid w:val="00BB5684"/>
    <w:rsid w:val="00BB5965"/>
    <w:rsid w:val="00BB5AB2"/>
    <w:rsid w:val="00BB5BD2"/>
    <w:rsid w:val="00BB5D80"/>
    <w:rsid w:val="00BB60A0"/>
    <w:rsid w:val="00BB62D4"/>
    <w:rsid w:val="00BB649E"/>
    <w:rsid w:val="00BB64EB"/>
    <w:rsid w:val="00BB6561"/>
    <w:rsid w:val="00BB657C"/>
    <w:rsid w:val="00BB66B9"/>
    <w:rsid w:val="00BB68AA"/>
    <w:rsid w:val="00BB6A22"/>
    <w:rsid w:val="00BB6AAF"/>
    <w:rsid w:val="00BB6B29"/>
    <w:rsid w:val="00BB6E9D"/>
    <w:rsid w:val="00BB6EF3"/>
    <w:rsid w:val="00BB6F78"/>
    <w:rsid w:val="00BB7025"/>
    <w:rsid w:val="00BB715F"/>
    <w:rsid w:val="00BB72F9"/>
    <w:rsid w:val="00BB74D5"/>
    <w:rsid w:val="00BB778E"/>
    <w:rsid w:val="00BB78BA"/>
    <w:rsid w:val="00BB792E"/>
    <w:rsid w:val="00BB79CF"/>
    <w:rsid w:val="00BB7F71"/>
    <w:rsid w:val="00BB7FB9"/>
    <w:rsid w:val="00BC00BA"/>
    <w:rsid w:val="00BC0184"/>
    <w:rsid w:val="00BC0393"/>
    <w:rsid w:val="00BC05E8"/>
    <w:rsid w:val="00BC08D2"/>
    <w:rsid w:val="00BC0956"/>
    <w:rsid w:val="00BC0E4D"/>
    <w:rsid w:val="00BC0E71"/>
    <w:rsid w:val="00BC0EDB"/>
    <w:rsid w:val="00BC10FD"/>
    <w:rsid w:val="00BC113F"/>
    <w:rsid w:val="00BC132B"/>
    <w:rsid w:val="00BC1485"/>
    <w:rsid w:val="00BC17BF"/>
    <w:rsid w:val="00BC182E"/>
    <w:rsid w:val="00BC183C"/>
    <w:rsid w:val="00BC1899"/>
    <w:rsid w:val="00BC1923"/>
    <w:rsid w:val="00BC1A0E"/>
    <w:rsid w:val="00BC1BD8"/>
    <w:rsid w:val="00BC1E3F"/>
    <w:rsid w:val="00BC22F6"/>
    <w:rsid w:val="00BC23BE"/>
    <w:rsid w:val="00BC2442"/>
    <w:rsid w:val="00BC24E9"/>
    <w:rsid w:val="00BC251F"/>
    <w:rsid w:val="00BC2596"/>
    <w:rsid w:val="00BC25A2"/>
    <w:rsid w:val="00BC27ED"/>
    <w:rsid w:val="00BC2B43"/>
    <w:rsid w:val="00BC2BBE"/>
    <w:rsid w:val="00BC2C6E"/>
    <w:rsid w:val="00BC2C9E"/>
    <w:rsid w:val="00BC2D42"/>
    <w:rsid w:val="00BC3008"/>
    <w:rsid w:val="00BC30B5"/>
    <w:rsid w:val="00BC30C2"/>
    <w:rsid w:val="00BC3324"/>
    <w:rsid w:val="00BC3353"/>
    <w:rsid w:val="00BC363A"/>
    <w:rsid w:val="00BC364B"/>
    <w:rsid w:val="00BC396A"/>
    <w:rsid w:val="00BC39A6"/>
    <w:rsid w:val="00BC3A14"/>
    <w:rsid w:val="00BC3C07"/>
    <w:rsid w:val="00BC3D24"/>
    <w:rsid w:val="00BC3DC0"/>
    <w:rsid w:val="00BC405E"/>
    <w:rsid w:val="00BC473A"/>
    <w:rsid w:val="00BC48F8"/>
    <w:rsid w:val="00BC4977"/>
    <w:rsid w:val="00BC4A74"/>
    <w:rsid w:val="00BC4B48"/>
    <w:rsid w:val="00BC4B7A"/>
    <w:rsid w:val="00BC4F58"/>
    <w:rsid w:val="00BC4F6A"/>
    <w:rsid w:val="00BC5036"/>
    <w:rsid w:val="00BC506A"/>
    <w:rsid w:val="00BC510E"/>
    <w:rsid w:val="00BC5312"/>
    <w:rsid w:val="00BC53C6"/>
    <w:rsid w:val="00BC54E3"/>
    <w:rsid w:val="00BC55BF"/>
    <w:rsid w:val="00BC5606"/>
    <w:rsid w:val="00BC5B3E"/>
    <w:rsid w:val="00BC5BB7"/>
    <w:rsid w:val="00BC5CE5"/>
    <w:rsid w:val="00BC6019"/>
    <w:rsid w:val="00BC6189"/>
    <w:rsid w:val="00BC654A"/>
    <w:rsid w:val="00BC67D1"/>
    <w:rsid w:val="00BC686D"/>
    <w:rsid w:val="00BC6892"/>
    <w:rsid w:val="00BC691C"/>
    <w:rsid w:val="00BC6990"/>
    <w:rsid w:val="00BC69EF"/>
    <w:rsid w:val="00BC6A92"/>
    <w:rsid w:val="00BC6B7F"/>
    <w:rsid w:val="00BC6D99"/>
    <w:rsid w:val="00BC6ED7"/>
    <w:rsid w:val="00BC6FEB"/>
    <w:rsid w:val="00BC70A0"/>
    <w:rsid w:val="00BC7127"/>
    <w:rsid w:val="00BC72CA"/>
    <w:rsid w:val="00BC7411"/>
    <w:rsid w:val="00BC7523"/>
    <w:rsid w:val="00BC753C"/>
    <w:rsid w:val="00BC766E"/>
    <w:rsid w:val="00BC76B0"/>
    <w:rsid w:val="00BC7919"/>
    <w:rsid w:val="00BC7DD7"/>
    <w:rsid w:val="00BC7F33"/>
    <w:rsid w:val="00BD0022"/>
    <w:rsid w:val="00BD0138"/>
    <w:rsid w:val="00BD0332"/>
    <w:rsid w:val="00BD0574"/>
    <w:rsid w:val="00BD07AB"/>
    <w:rsid w:val="00BD07F3"/>
    <w:rsid w:val="00BD0C67"/>
    <w:rsid w:val="00BD0FFA"/>
    <w:rsid w:val="00BD13B8"/>
    <w:rsid w:val="00BD1425"/>
    <w:rsid w:val="00BD1485"/>
    <w:rsid w:val="00BD1965"/>
    <w:rsid w:val="00BD1977"/>
    <w:rsid w:val="00BD1E57"/>
    <w:rsid w:val="00BD20E8"/>
    <w:rsid w:val="00BD20EA"/>
    <w:rsid w:val="00BD2550"/>
    <w:rsid w:val="00BD28D5"/>
    <w:rsid w:val="00BD2B2F"/>
    <w:rsid w:val="00BD2BC1"/>
    <w:rsid w:val="00BD2D22"/>
    <w:rsid w:val="00BD2EA6"/>
    <w:rsid w:val="00BD305A"/>
    <w:rsid w:val="00BD32A5"/>
    <w:rsid w:val="00BD367A"/>
    <w:rsid w:val="00BD3A49"/>
    <w:rsid w:val="00BD3AD0"/>
    <w:rsid w:val="00BD3B06"/>
    <w:rsid w:val="00BD3BDC"/>
    <w:rsid w:val="00BD3F9A"/>
    <w:rsid w:val="00BD4071"/>
    <w:rsid w:val="00BD4104"/>
    <w:rsid w:val="00BD42DA"/>
    <w:rsid w:val="00BD4453"/>
    <w:rsid w:val="00BD44D7"/>
    <w:rsid w:val="00BD4526"/>
    <w:rsid w:val="00BD4580"/>
    <w:rsid w:val="00BD49D2"/>
    <w:rsid w:val="00BD4E50"/>
    <w:rsid w:val="00BD4E73"/>
    <w:rsid w:val="00BD5013"/>
    <w:rsid w:val="00BD5054"/>
    <w:rsid w:val="00BD5308"/>
    <w:rsid w:val="00BD5353"/>
    <w:rsid w:val="00BD551C"/>
    <w:rsid w:val="00BD5A82"/>
    <w:rsid w:val="00BD5BEE"/>
    <w:rsid w:val="00BD5D68"/>
    <w:rsid w:val="00BD60BF"/>
    <w:rsid w:val="00BD632A"/>
    <w:rsid w:val="00BD63F1"/>
    <w:rsid w:val="00BD64B3"/>
    <w:rsid w:val="00BD64C8"/>
    <w:rsid w:val="00BD654B"/>
    <w:rsid w:val="00BD683D"/>
    <w:rsid w:val="00BD690D"/>
    <w:rsid w:val="00BD6D88"/>
    <w:rsid w:val="00BD6E82"/>
    <w:rsid w:val="00BD7076"/>
    <w:rsid w:val="00BD70C1"/>
    <w:rsid w:val="00BD72AD"/>
    <w:rsid w:val="00BD72E7"/>
    <w:rsid w:val="00BD74DC"/>
    <w:rsid w:val="00BD7651"/>
    <w:rsid w:val="00BD778F"/>
    <w:rsid w:val="00BD77E0"/>
    <w:rsid w:val="00BD78A7"/>
    <w:rsid w:val="00BD793C"/>
    <w:rsid w:val="00BD79D4"/>
    <w:rsid w:val="00BD7A8C"/>
    <w:rsid w:val="00BD7B61"/>
    <w:rsid w:val="00BD7BAD"/>
    <w:rsid w:val="00BD7F61"/>
    <w:rsid w:val="00BE0543"/>
    <w:rsid w:val="00BE0544"/>
    <w:rsid w:val="00BE06ED"/>
    <w:rsid w:val="00BE07C4"/>
    <w:rsid w:val="00BE0A80"/>
    <w:rsid w:val="00BE0AD2"/>
    <w:rsid w:val="00BE0CE6"/>
    <w:rsid w:val="00BE0D5C"/>
    <w:rsid w:val="00BE0E5D"/>
    <w:rsid w:val="00BE0F75"/>
    <w:rsid w:val="00BE1595"/>
    <w:rsid w:val="00BE15DD"/>
    <w:rsid w:val="00BE1CA2"/>
    <w:rsid w:val="00BE2071"/>
    <w:rsid w:val="00BE20ED"/>
    <w:rsid w:val="00BE224C"/>
    <w:rsid w:val="00BE24D0"/>
    <w:rsid w:val="00BE2559"/>
    <w:rsid w:val="00BE25A5"/>
    <w:rsid w:val="00BE25E5"/>
    <w:rsid w:val="00BE26C3"/>
    <w:rsid w:val="00BE292C"/>
    <w:rsid w:val="00BE2969"/>
    <w:rsid w:val="00BE2AEC"/>
    <w:rsid w:val="00BE2B0F"/>
    <w:rsid w:val="00BE2B4D"/>
    <w:rsid w:val="00BE2CF1"/>
    <w:rsid w:val="00BE2D43"/>
    <w:rsid w:val="00BE3210"/>
    <w:rsid w:val="00BE32A1"/>
    <w:rsid w:val="00BE341A"/>
    <w:rsid w:val="00BE343B"/>
    <w:rsid w:val="00BE3547"/>
    <w:rsid w:val="00BE3681"/>
    <w:rsid w:val="00BE378C"/>
    <w:rsid w:val="00BE3B29"/>
    <w:rsid w:val="00BE3B33"/>
    <w:rsid w:val="00BE3BE7"/>
    <w:rsid w:val="00BE3D94"/>
    <w:rsid w:val="00BE3E3B"/>
    <w:rsid w:val="00BE3FE5"/>
    <w:rsid w:val="00BE40C1"/>
    <w:rsid w:val="00BE412F"/>
    <w:rsid w:val="00BE416D"/>
    <w:rsid w:val="00BE41E5"/>
    <w:rsid w:val="00BE433D"/>
    <w:rsid w:val="00BE436B"/>
    <w:rsid w:val="00BE4526"/>
    <w:rsid w:val="00BE475B"/>
    <w:rsid w:val="00BE48A9"/>
    <w:rsid w:val="00BE4976"/>
    <w:rsid w:val="00BE49B1"/>
    <w:rsid w:val="00BE4BA7"/>
    <w:rsid w:val="00BE4BCC"/>
    <w:rsid w:val="00BE4C4A"/>
    <w:rsid w:val="00BE54FC"/>
    <w:rsid w:val="00BE5766"/>
    <w:rsid w:val="00BE5853"/>
    <w:rsid w:val="00BE5A69"/>
    <w:rsid w:val="00BE5C31"/>
    <w:rsid w:val="00BE5C92"/>
    <w:rsid w:val="00BE5EA7"/>
    <w:rsid w:val="00BE61C2"/>
    <w:rsid w:val="00BE68A4"/>
    <w:rsid w:val="00BE68A7"/>
    <w:rsid w:val="00BE6976"/>
    <w:rsid w:val="00BE69EE"/>
    <w:rsid w:val="00BE6AEE"/>
    <w:rsid w:val="00BE6BE3"/>
    <w:rsid w:val="00BE6C35"/>
    <w:rsid w:val="00BE6C43"/>
    <w:rsid w:val="00BE6DB0"/>
    <w:rsid w:val="00BE6E87"/>
    <w:rsid w:val="00BE6F11"/>
    <w:rsid w:val="00BE6F64"/>
    <w:rsid w:val="00BE7410"/>
    <w:rsid w:val="00BE747A"/>
    <w:rsid w:val="00BE749C"/>
    <w:rsid w:val="00BE75C8"/>
    <w:rsid w:val="00BE77C1"/>
    <w:rsid w:val="00BE7815"/>
    <w:rsid w:val="00BE7BC8"/>
    <w:rsid w:val="00BE7C42"/>
    <w:rsid w:val="00BE7EC0"/>
    <w:rsid w:val="00BE7F3F"/>
    <w:rsid w:val="00BF0363"/>
    <w:rsid w:val="00BF0479"/>
    <w:rsid w:val="00BF07AD"/>
    <w:rsid w:val="00BF0866"/>
    <w:rsid w:val="00BF098F"/>
    <w:rsid w:val="00BF0A02"/>
    <w:rsid w:val="00BF0BFD"/>
    <w:rsid w:val="00BF0D80"/>
    <w:rsid w:val="00BF0DB4"/>
    <w:rsid w:val="00BF0DF0"/>
    <w:rsid w:val="00BF1012"/>
    <w:rsid w:val="00BF10F9"/>
    <w:rsid w:val="00BF11DE"/>
    <w:rsid w:val="00BF15E0"/>
    <w:rsid w:val="00BF19C4"/>
    <w:rsid w:val="00BF1DBF"/>
    <w:rsid w:val="00BF1E7F"/>
    <w:rsid w:val="00BF1FE6"/>
    <w:rsid w:val="00BF210D"/>
    <w:rsid w:val="00BF219E"/>
    <w:rsid w:val="00BF255D"/>
    <w:rsid w:val="00BF2590"/>
    <w:rsid w:val="00BF25B9"/>
    <w:rsid w:val="00BF26C3"/>
    <w:rsid w:val="00BF270A"/>
    <w:rsid w:val="00BF272E"/>
    <w:rsid w:val="00BF2AC1"/>
    <w:rsid w:val="00BF2B90"/>
    <w:rsid w:val="00BF2CA2"/>
    <w:rsid w:val="00BF2E51"/>
    <w:rsid w:val="00BF32B8"/>
    <w:rsid w:val="00BF332D"/>
    <w:rsid w:val="00BF334B"/>
    <w:rsid w:val="00BF33F5"/>
    <w:rsid w:val="00BF34B8"/>
    <w:rsid w:val="00BF36BF"/>
    <w:rsid w:val="00BF380C"/>
    <w:rsid w:val="00BF3AAF"/>
    <w:rsid w:val="00BF428C"/>
    <w:rsid w:val="00BF43AE"/>
    <w:rsid w:val="00BF44F2"/>
    <w:rsid w:val="00BF4561"/>
    <w:rsid w:val="00BF457A"/>
    <w:rsid w:val="00BF458A"/>
    <w:rsid w:val="00BF4B9F"/>
    <w:rsid w:val="00BF4BCA"/>
    <w:rsid w:val="00BF51AA"/>
    <w:rsid w:val="00BF51D1"/>
    <w:rsid w:val="00BF5222"/>
    <w:rsid w:val="00BF52F9"/>
    <w:rsid w:val="00BF534F"/>
    <w:rsid w:val="00BF5421"/>
    <w:rsid w:val="00BF55E9"/>
    <w:rsid w:val="00BF560A"/>
    <w:rsid w:val="00BF5638"/>
    <w:rsid w:val="00BF5649"/>
    <w:rsid w:val="00BF5A18"/>
    <w:rsid w:val="00BF5BB6"/>
    <w:rsid w:val="00BF5CAB"/>
    <w:rsid w:val="00BF5F18"/>
    <w:rsid w:val="00BF5FD7"/>
    <w:rsid w:val="00BF604F"/>
    <w:rsid w:val="00BF649F"/>
    <w:rsid w:val="00BF64A9"/>
    <w:rsid w:val="00BF668F"/>
    <w:rsid w:val="00BF6769"/>
    <w:rsid w:val="00BF6846"/>
    <w:rsid w:val="00BF68B3"/>
    <w:rsid w:val="00BF68EE"/>
    <w:rsid w:val="00BF6B73"/>
    <w:rsid w:val="00BF6D39"/>
    <w:rsid w:val="00BF6D3A"/>
    <w:rsid w:val="00BF6E91"/>
    <w:rsid w:val="00BF6F2B"/>
    <w:rsid w:val="00BF7045"/>
    <w:rsid w:val="00BF7061"/>
    <w:rsid w:val="00BF72AE"/>
    <w:rsid w:val="00BF72B3"/>
    <w:rsid w:val="00BF73FD"/>
    <w:rsid w:val="00BF7429"/>
    <w:rsid w:val="00BF752B"/>
    <w:rsid w:val="00BF7B78"/>
    <w:rsid w:val="00BF7BDB"/>
    <w:rsid w:val="00BF7F0B"/>
    <w:rsid w:val="00BF7F9F"/>
    <w:rsid w:val="00BF7FB7"/>
    <w:rsid w:val="00C00213"/>
    <w:rsid w:val="00C00244"/>
    <w:rsid w:val="00C0028A"/>
    <w:rsid w:val="00C002CB"/>
    <w:rsid w:val="00C00430"/>
    <w:rsid w:val="00C00538"/>
    <w:rsid w:val="00C00651"/>
    <w:rsid w:val="00C0068E"/>
    <w:rsid w:val="00C00691"/>
    <w:rsid w:val="00C00A0C"/>
    <w:rsid w:val="00C00C93"/>
    <w:rsid w:val="00C00D68"/>
    <w:rsid w:val="00C00F7D"/>
    <w:rsid w:val="00C0114D"/>
    <w:rsid w:val="00C0125D"/>
    <w:rsid w:val="00C0136E"/>
    <w:rsid w:val="00C014BE"/>
    <w:rsid w:val="00C01673"/>
    <w:rsid w:val="00C01813"/>
    <w:rsid w:val="00C01862"/>
    <w:rsid w:val="00C01A5A"/>
    <w:rsid w:val="00C02105"/>
    <w:rsid w:val="00C021AE"/>
    <w:rsid w:val="00C02261"/>
    <w:rsid w:val="00C023C6"/>
    <w:rsid w:val="00C024D1"/>
    <w:rsid w:val="00C026A6"/>
    <w:rsid w:val="00C027E8"/>
    <w:rsid w:val="00C0299D"/>
    <w:rsid w:val="00C029D3"/>
    <w:rsid w:val="00C02A2D"/>
    <w:rsid w:val="00C02A7A"/>
    <w:rsid w:val="00C02AA9"/>
    <w:rsid w:val="00C02B88"/>
    <w:rsid w:val="00C02B9C"/>
    <w:rsid w:val="00C02CF8"/>
    <w:rsid w:val="00C02D35"/>
    <w:rsid w:val="00C02EEB"/>
    <w:rsid w:val="00C02F7B"/>
    <w:rsid w:val="00C031E8"/>
    <w:rsid w:val="00C03376"/>
    <w:rsid w:val="00C036C7"/>
    <w:rsid w:val="00C03E77"/>
    <w:rsid w:val="00C0405B"/>
    <w:rsid w:val="00C041D5"/>
    <w:rsid w:val="00C04515"/>
    <w:rsid w:val="00C049E5"/>
    <w:rsid w:val="00C04CDF"/>
    <w:rsid w:val="00C05066"/>
    <w:rsid w:val="00C05072"/>
    <w:rsid w:val="00C05098"/>
    <w:rsid w:val="00C050F5"/>
    <w:rsid w:val="00C0527A"/>
    <w:rsid w:val="00C0565D"/>
    <w:rsid w:val="00C05728"/>
    <w:rsid w:val="00C057F0"/>
    <w:rsid w:val="00C05A36"/>
    <w:rsid w:val="00C05B61"/>
    <w:rsid w:val="00C05C09"/>
    <w:rsid w:val="00C05D21"/>
    <w:rsid w:val="00C05EA8"/>
    <w:rsid w:val="00C0610F"/>
    <w:rsid w:val="00C062C3"/>
    <w:rsid w:val="00C0634D"/>
    <w:rsid w:val="00C064DA"/>
    <w:rsid w:val="00C06500"/>
    <w:rsid w:val="00C06692"/>
    <w:rsid w:val="00C06766"/>
    <w:rsid w:val="00C06993"/>
    <w:rsid w:val="00C0699D"/>
    <w:rsid w:val="00C069F5"/>
    <w:rsid w:val="00C06AC9"/>
    <w:rsid w:val="00C06BBA"/>
    <w:rsid w:val="00C06FE9"/>
    <w:rsid w:val="00C0738A"/>
    <w:rsid w:val="00C073C1"/>
    <w:rsid w:val="00C074E1"/>
    <w:rsid w:val="00C0752C"/>
    <w:rsid w:val="00C0758D"/>
    <w:rsid w:val="00C076B6"/>
    <w:rsid w:val="00C07A15"/>
    <w:rsid w:val="00C07CD5"/>
    <w:rsid w:val="00C07CF4"/>
    <w:rsid w:val="00C0E265"/>
    <w:rsid w:val="00C102B8"/>
    <w:rsid w:val="00C10435"/>
    <w:rsid w:val="00C10498"/>
    <w:rsid w:val="00C104C1"/>
    <w:rsid w:val="00C10579"/>
    <w:rsid w:val="00C10791"/>
    <w:rsid w:val="00C10898"/>
    <w:rsid w:val="00C10943"/>
    <w:rsid w:val="00C10B80"/>
    <w:rsid w:val="00C10CC0"/>
    <w:rsid w:val="00C10DD5"/>
    <w:rsid w:val="00C11008"/>
    <w:rsid w:val="00C11289"/>
    <w:rsid w:val="00C112CF"/>
    <w:rsid w:val="00C112EB"/>
    <w:rsid w:val="00C11641"/>
    <w:rsid w:val="00C1168C"/>
    <w:rsid w:val="00C11703"/>
    <w:rsid w:val="00C1192D"/>
    <w:rsid w:val="00C11DBD"/>
    <w:rsid w:val="00C11E14"/>
    <w:rsid w:val="00C11E1E"/>
    <w:rsid w:val="00C1264B"/>
    <w:rsid w:val="00C12821"/>
    <w:rsid w:val="00C12AA2"/>
    <w:rsid w:val="00C12B83"/>
    <w:rsid w:val="00C12FA6"/>
    <w:rsid w:val="00C133DD"/>
    <w:rsid w:val="00C134A3"/>
    <w:rsid w:val="00C138C1"/>
    <w:rsid w:val="00C13BA6"/>
    <w:rsid w:val="00C13F6E"/>
    <w:rsid w:val="00C1435F"/>
    <w:rsid w:val="00C14408"/>
    <w:rsid w:val="00C146FF"/>
    <w:rsid w:val="00C1477C"/>
    <w:rsid w:val="00C14811"/>
    <w:rsid w:val="00C1485D"/>
    <w:rsid w:val="00C149F1"/>
    <w:rsid w:val="00C14B2F"/>
    <w:rsid w:val="00C14B68"/>
    <w:rsid w:val="00C14B7C"/>
    <w:rsid w:val="00C14BBB"/>
    <w:rsid w:val="00C14C43"/>
    <w:rsid w:val="00C14C71"/>
    <w:rsid w:val="00C14F95"/>
    <w:rsid w:val="00C15362"/>
    <w:rsid w:val="00C1552E"/>
    <w:rsid w:val="00C1559B"/>
    <w:rsid w:val="00C1567B"/>
    <w:rsid w:val="00C15ABA"/>
    <w:rsid w:val="00C15C7B"/>
    <w:rsid w:val="00C15D1A"/>
    <w:rsid w:val="00C16220"/>
    <w:rsid w:val="00C162B9"/>
    <w:rsid w:val="00C163E6"/>
    <w:rsid w:val="00C16412"/>
    <w:rsid w:val="00C16A86"/>
    <w:rsid w:val="00C16D6C"/>
    <w:rsid w:val="00C16DA5"/>
    <w:rsid w:val="00C16E06"/>
    <w:rsid w:val="00C16E55"/>
    <w:rsid w:val="00C16E56"/>
    <w:rsid w:val="00C1706E"/>
    <w:rsid w:val="00C170F5"/>
    <w:rsid w:val="00C17147"/>
    <w:rsid w:val="00C17230"/>
    <w:rsid w:val="00C17249"/>
    <w:rsid w:val="00C17349"/>
    <w:rsid w:val="00C17366"/>
    <w:rsid w:val="00C173C1"/>
    <w:rsid w:val="00C173CA"/>
    <w:rsid w:val="00C173CC"/>
    <w:rsid w:val="00C17643"/>
    <w:rsid w:val="00C17B72"/>
    <w:rsid w:val="00C17BFA"/>
    <w:rsid w:val="00C17E13"/>
    <w:rsid w:val="00C20880"/>
    <w:rsid w:val="00C20B49"/>
    <w:rsid w:val="00C20E53"/>
    <w:rsid w:val="00C21116"/>
    <w:rsid w:val="00C215D2"/>
    <w:rsid w:val="00C215F2"/>
    <w:rsid w:val="00C21733"/>
    <w:rsid w:val="00C21893"/>
    <w:rsid w:val="00C219E7"/>
    <w:rsid w:val="00C21C3C"/>
    <w:rsid w:val="00C21E53"/>
    <w:rsid w:val="00C21ED9"/>
    <w:rsid w:val="00C2215D"/>
    <w:rsid w:val="00C22161"/>
    <w:rsid w:val="00C2232F"/>
    <w:rsid w:val="00C2238B"/>
    <w:rsid w:val="00C223BF"/>
    <w:rsid w:val="00C2249F"/>
    <w:rsid w:val="00C225F8"/>
    <w:rsid w:val="00C2261E"/>
    <w:rsid w:val="00C22803"/>
    <w:rsid w:val="00C22AA3"/>
    <w:rsid w:val="00C22C70"/>
    <w:rsid w:val="00C22D10"/>
    <w:rsid w:val="00C22D3F"/>
    <w:rsid w:val="00C22E21"/>
    <w:rsid w:val="00C22F6D"/>
    <w:rsid w:val="00C231EE"/>
    <w:rsid w:val="00C232E5"/>
    <w:rsid w:val="00C23345"/>
    <w:rsid w:val="00C233A3"/>
    <w:rsid w:val="00C23771"/>
    <w:rsid w:val="00C238A8"/>
    <w:rsid w:val="00C23931"/>
    <w:rsid w:val="00C23DFA"/>
    <w:rsid w:val="00C23F85"/>
    <w:rsid w:val="00C2413B"/>
    <w:rsid w:val="00C24152"/>
    <w:rsid w:val="00C244C4"/>
    <w:rsid w:val="00C24606"/>
    <w:rsid w:val="00C246A4"/>
    <w:rsid w:val="00C246C9"/>
    <w:rsid w:val="00C24757"/>
    <w:rsid w:val="00C248A7"/>
    <w:rsid w:val="00C24A65"/>
    <w:rsid w:val="00C24B25"/>
    <w:rsid w:val="00C24CC5"/>
    <w:rsid w:val="00C2500F"/>
    <w:rsid w:val="00C252CB"/>
    <w:rsid w:val="00C252DC"/>
    <w:rsid w:val="00C254C6"/>
    <w:rsid w:val="00C254F1"/>
    <w:rsid w:val="00C2550D"/>
    <w:rsid w:val="00C25660"/>
    <w:rsid w:val="00C25740"/>
    <w:rsid w:val="00C25B41"/>
    <w:rsid w:val="00C25BF4"/>
    <w:rsid w:val="00C26120"/>
    <w:rsid w:val="00C262DE"/>
    <w:rsid w:val="00C26343"/>
    <w:rsid w:val="00C26491"/>
    <w:rsid w:val="00C267B7"/>
    <w:rsid w:val="00C267C0"/>
    <w:rsid w:val="00C268FA"/>
    <w:rsid w:val="00C2697E"/>
    <w:rsid w:val="00C26ABD"/>
    <w:rsid w:val="00C26B86"/>
    <w:rsid w:val="00C26C62"/>
    <w:rsid w:val="00C26D82"/>
    <w:rsid w:val="00C26D9C"/>
    <w:rsid w:val="00C26DFC"/>
    <w:rsid w:val="00C26E8E"/>
    <w:rsid w:val="00C26F6C"/>
    <w:rsid w:val="00C270E7"/>
    <w:rsid w:val="00C27189"/>
    <w:rsid w:val="00C273C9"/>
    <w:rsid w:val="00C2745A"/>
    <w:rsid w:val="00C274F9"/>
    <w:rsid w:val="00C27780"/>
    <w:rsid w:val="00C2794E"/>
    <w:rsid w:val="00C27B57"/>
    <w:rsid w:val="00C27FD1"/>
    <w:rsid w:val="00C30319"/>
    <w:rsid w:val="00C30492"/>
    <w:rsid w:val="00C304DF"/>
    <w:rsid w:val="00C305EB"/>
    <w:rsid w:val="00C30960"/>
    <w:rsid w:val="00C30987"/>
    <w:rsid w:val="00C309D6"/>
    <w:rsid w:val="00C30A72"/>
    <w:rsid w:val="00C30DD0"/>
    <w:rsid w:val="00C31010"/>
    <w:rsid w:val="00C3124D"/>
    <w:rsid w:val="00C314D4"/>
    <w:rsid w:val="00C31508"/>
    <w:rsid w:val="00C31631"/>
    <w:rsid w:val="00C3187F"/>
    <w:rsid w:val="00C3189B"/>
    <w:rsid w:val="00C31ED0"/>
    <w:rsid w:val="00C32051"/>
    <w:rsid w:val="00C32336"/>
    <w:rsid w:val="00C32537"/>
    <w:rsid w:val="00C32580"/>
    <w:rsid w:val="00C32644"/>
    <w:rsid w:val="00C32682"/>
    <w:rsid w:val="00C32A0C"/>
    <w:rsid w:val="00C32A24"/>
    <w:rsid w:val="00C32B4A"/>
    <w:rsid w:val="00C32CAD"/>
    <w:rsid w:val="00C32D7A"/>
    <w:rsid w:val="00C331CE"/>
    <w:rsid w:val="00C333C2"/>
    <w:rsid w:val="00C3359C"/>
    <w:rsid w:val="00C337DA"/>
    <w:rsid w:val="00C33A87"/>
    <w:rsid w:val="00C33AE3"/>
    <w:rsid w:val="00C33B9C"/>
    <w:rsid w:val="00C33F30"/>
    <w:rsid w:val="00C33F72"/>
    <w:rsid w:val="00C3401B"/>
    <w:rsid w:val="00C34263"/>
    <w:rsid w:val="00C345EA"/>
    <w:rsid w:val="00C34732"/>
    <w:rsid w:val="00C3485D"/>
    <w:rsid w:val="00C34958"/>
    <w:rsid w:val="00C34B55"/>
    <w:rsid w:val="00C34BD7"/>
    <w:rsid w:val="00C350EB"/>
    <w:rsid w:val="00C353C6"/>
    <w:rsid w:val="00C355D0"/>
    <w:rsid w:val="00C355D8"/>
    <w:rsid w:val="00C357D6"/>
    <w:rsid w:val="00C35854"/>
    <w:rsid w:val="00C35C01"/>
    <w:rsid w:val="00C35E6E"/>
    <w:rsid w:val="00C35EA6"/>
    <w:rsid w:val="00C35F61"/>
    <w:rsid w:val="00C36021"/>
    <w:rsid w:val="00C360D1"/>
    <w:rsid w:val="00C36675"/>
    <w:rsid w:val="00C36AB0"/>
    <w:rsid w:val="00C36AF3"/>
    <w:rsid w:val="00C36C51"/>
    <w:rsid w:val="00C36D23"/>
    <w:rsid w:val="00C36FE7"/>
    <w:rsid w:val="00C37185"/>
    <w:rsid w:val="00C374F7"/>
    <w:rsid w:val="00C37658"/>
    <w:rsid w:val="00C376CF"/>
    <w:rsid w:val="00C3778C"/>
    <w:rsid w:val="00C3785C"/>
    <w:rsid w:val="00C37866"/>
    <w:rsid w:val="00C37925"/>
    <w:rsid w:val="00C379D7"/>
    <w:rsid w:val="00C37AD7"/>
    <w:rsid w:val="00C37B39"/>
    <w:rsid w:val="00C37EB9"/>
    <w:rsid w:val="00C400F6"/>
    <w:rsid w:val="00C401CB"/>
    <w:rsid w:val="00C404E9"/>
    <w:rsid w:val="00C4062E"/>
    <w:rsid w:val="00C4076F"/>
    <w:rsid w:val="00C407B1"/>
    <w:rsid w:val="00C4082D"/>
    <w:rsid w:val="00C40AC8"/>
    <w:rsid w:val="00C40DC2"/>
    <w:rsid w:val="00C40E18"/>
    <w:rsid w:val="00C40F3B"/>
    <w:rsid w:val="00C4112C"/>
    <w:rsid w:val="00C41249"/>
    <w:rsid w:val="00C412B8"/>
    <w:rsid w:val="00C4131E"/>
    <w:rsid w:val="00C41443"/>
    <w:rsid w:val="00C414F0"/>
    <w:rsid w:val="00C416F6"/>
    <w:rsid w:val="00C418B7"/>
    <w:rsid w:val="00C418E5"/>
    <w:rsid w:val="00C41954"/>
    <w:rsid w:val="00C419B0"/>
    <w:rsid w:val="00C41A26"/>
    <w:rsid w:val="00C41BAC"/>
    <w:rsid w:val="00C41BEC"/>
    <w:rsid w:val="00C41C0B"/>
    <w:rsid w:val="00C41C95"/>
    <w:rsid w:val="00C41CE7"/>
    <w:rsid w:val="00C41E1B"/>
    <w:rsid w:val="00C41E51"/>
    <w:rsid w:val="00C41F60"/>
    <w:rsid w:val="00C42087"/>
    <w:rsid w:val="00C42302"/>
    <w:rsid w:val="00C42364"/>
    <w:rsid w:val="00C43025"/>
    <w:rsid w:val="00C430F2"/>
    <w:rsid w:val="00C43739"/>
    <w:rsid w:val="00C43C89"/>
    <w:rsid w:val="00C43D96"/>
    <w:rsid w:val="00C43DE9"/>
    <w:rsid w:val="00C43E30"/>
    <w:rsid w:val="00C43ED7"/>
    <w:rsid w:val="00C440F7"/>
    <w:rsid w:val="00C443FD"/>
    <w:rsid w:val="00C44664"/>
    <w:rsid w:val="00C448DB"/>
    <w:rsid w:val="00C44B3C"/>
    <w:rsid w:val="00C44BC3"/>
    <w:rsid w:val="00C44E8D"/>
    <w:rsid w:val="00C45128"/>
    <w:rsid w:val="00C45145"/>
    <w:rsid w:val="00C45149"/>
    <w:rsid w:val="00C452E7"/>
    <w:rsid w:val="00C455E2"/>
    <w:rsid w:val="00C45963"/>
    <w:rsid w:val="00C459BF"/>
    <w:rsid w:val="00C45C68"/>
    <w:rsid w:val="00C45D26"/>
    <w:rsid w:val="00C4613B"/>
    <w:rsid w:val="00C461C9"/>
    <w:rsid w:val="00C46259"/>
    <w:rsid w:val="00C46291"/>
    <w:rsid w:val="00C46502"/>
    <w:rsid w:val="00C465D3"/>
    <w:rsid w:val="00C46683"/>
    <w:rsid w:val="00C46791"/>
    <w:rsid w:val="00C4698F"/>
    <w:rsid w:val="00C46E6A"/>
    <w:rsid w:val="00C46FAC"/>
    <w:rsid w:val="00C46FD1"/>
    <w:rsid w:val="00C47222"/>
    <w:rsid w:val="00C47457"/>
    <w:rsid w:val="00C47594"/>
    <w:rsid w:val="00C476A5"/>
    <w:rsid w:val="00C477AA"/>
    <w:rsid w:val="00C4787D"/>
    <w:rsid w:val="00C478D7"/>
    <w:rsid w:val="00C47B66"/>
    <w:rsid w:val="00C47EC8"/>
    <w:rsid w:val="00C47F95"/>
    <w:rsid w:val="00C50040"/>
    <w:rsid w:val="00C500D0"/>
    <w:rsid w:val="00C500FC"/>
    <w:rsid w:val="00C501E6"/>
    <w:rsid w:val="00C502F1"/>
    <w:rsid w:val="00C50399"/>
    <w:rsid w:val="00C50461"/>
    <w:rsid w:val="00C504F7"/>
    <w:rsid w:val="00C507FB"/>
    <w:rsid w:val="00C50A58"/>
    <w:rsid w:val="00C50BD3"/>
    <w:rsid w:val="00C50F13"/>
    <w:rsid w:val="00C5102D"/>
    <w:rsid w:val="00C510AF"/>
    <w:rsid w:val="00C51280"/>
    <w:rsid w:val="00C513D9"/>
    <w:rsid w:val="00C516D6"/>
    <w:rsid w:val="00C51779"/>
    <w:rsid w:val="00C51984"/>
    <w:rsid w:val="00C51A15"/>
    <w:rsid w:val="00C51A82"/>
    <w:rsid w:val="00C51B44"/>
    <w:rsid w:val="00C51F86"/>
    <w:rsid w:val="00C5220D"/>
    <w:rsid w:val="00C52419"/>
    <w:rsid w:val="00C5266C"/>
    <w:rsid w:val="00C526BF"/>
    <w:rsid w:val="00C52791"/>
    <w:rsid w:val="00C527D9"/>
    <w:rsid w:val="00C529C2"/>
    <w:rsid w:val="00C52BF1"/>
    <w:rsid w:val="00C52C59"/>
    <w:rsid w:val="00C52E41"/>
    <w:rsid w:val="00C5309E"/>
    <w:rsid w:val="00C5322F"/>
    <w:rsid w:val="00C5337F"/>
    <w:rsid w:val="00C534C7"/>
    <w:rsid w:val="00C53654"/>
    <w:rsid w:val="00C538EB"/>
    <w:rsid w:val="00C539C4"/>
    <w:rsid w:val="00C53B7F"/>
    <w:rsid w:val="00C53D1F"/>
    <w:rsid w:val="00C53DB4"/>
    <w:rsid w:val="00C53E4D"/>
    <w:rsid w:val="00C54570"/>
    <w:rsid w:val="00C545E5"/>
    <w:rsid w:val="00C548CA"/>
    <w:rsid w:val="00C54951"/>
    <w:rsid w:val="00C54994"/>
    <w:rsid w:val="00C54D70"/>
    <w:rsid w:val="00C54DE4"/>
    <w:rsid w:val="00C54F8D"/>
    <w:rsid w:val="00C55198"/>
    <w:rsid w:val="00C551C5"/>
    <w:rsid w:val="00C55298"/>
    <w:rsid w:val="00C5546C"/>
    <w:rsid w:val="00C55725"/>
    <w:rsid w:val="00C557EB"/>
    <w:rsid w:val="00C5598E"/>
    <w:rsid w:val="00C55A01"/>
    <w:rsid w:val="00C55C8A"/>
    <w:rsid w:val="00C55C91"/>
    <w:rsid w:val="00C55FA0"/>
    <w:rsid w:val="00C56294"/>
    <w:rsid w:val="00C565D8"/>
    <w:rsid w:val="00C56719"/>
    <w:rsid w:val="00C56736"/>
    <w:rsid w:val="00C56837"/>
    <w:rsid w:val="00C568C8"/>
    <w:rsid w:val="00C56908"/>
    <w:rsid w:val="00C569BA"/>
    <w:rsid w:val="00C56D45"/>
    <w:rsid w:val="00C56D49"/>
    <w:rsid w:val="00C56DCD"/>
    <w:rsid w:val="00C571B4"/>
    <w:rsid w:val="00C5746C"/>
    <w:rsid w:val="00C574C8"/>
    <w:rsid w:val="00C5786F"/>
    <w:rsid w:val="00C57FF7"/>
    <w:rsid w:val="00C60451"/>
    <w:rsid w:val="00C609B2"/>
    <w:rsid w:val="00C60C42"/>
    <w:rsid w:val="00C60F1F"/>
    <w:rsid w:val="00C61198"/>
    <w:rsid w:val="00C61605"/>
    <w:rsid w:val="00C61618"/>
    <w:rsid w:val="00C61A08"/>
    <w:rsid w:val="00C61BC1"/>
    <w:rsid w:val="00C61D47"/>
    <w:rsid w:val="00C61E2F"/>
    <w:rsid w:val="00C61EE4"/>
    <w:rsid w:val="00C61F0F"/>
    <w:rsid w:val="00C61F1B"/>
    <w:rsid w:val="00C61F7F"/>
    <w:rsid w:val="00C62140"/>
    <w:rsid w:val="00C62239"/>
    <w:rsid w:val="00C62255"/>
    <w:rsid w:val="00C624DE"/>
    <w:rsid w:val="00C62580"/>
    <w:rsid w:val="00C62606"/>
    <w:rsid w:val="00C62607"/>
    <w:rsid w:val="00C626CE"/>
    <w:rsid w:val="00C6272C"/>
    <w:rsid w:val="00C6281C"/>
    <w:rsid w:val="00C62A57"/>
    <w:rsid w:val="00C62A89"/>
    <w:rsid w:val="00C62C9D"/>
    <w:rsid w:val="00C62CFB"/>
    <w:rsid w:val="00C632FD"/>
    <w:rsid w:val="00C6347B"/>
    <w:rsid w:val="00C63714"/>
    <w:rsid w:val="00C638D4"/>
    <w:rsid w:val="00C63969"/>
    <w:rsid w:val="00C63AD5"/>
    <w:rsid w:val="00C63E25"/>
    <w:rsid w:val="00C641E7"/>
    <w:rsid w:val="00C6428D"/>
    <w:rsid w:val="00C64397"/>
    <w:rsid w:val="00C644E7"/>
    <w:rsid w:val="00C6460E"/>
    <w:rsid w:val="00C64AA1"/>
    <w:rsid w:val="00C64ABF"/>
    <w:rsid w:val="00C64B12"/>
    <w:rsid w:val="00C64C55"/>
    <w:rsid w:val="00C64C7B"/>
    <w:rsid w:val="00C64D50"/>
    <w:rsid w:val="00C65200"/>
    <w:rsid w:val="00C6520A"/>
    <w:rsid w:val="00C65592"/>
    <w:rsid w:val="00C65868"/>
    <w:rsid w:val="00C65E52"/>
    <w:rsid w:val="00C660C7"/>
    <w:rsid w:val="00C66180"/>
    <w:rsid w:val="00C6625B"/>
    <w:rsid w:val="00C662BF"/>
    <w:rsid w:val="00C6641B"/>
    <w:rsid w:val="00C66860"/>
    <w:rsid w:val="00C668C7"/>
    <w:rsid w:val="00C668CD"/>
    <w:rsid w:val="00C668D2"/>
    <w:rsid w:val="00C66934"/>
    <w:rsid w:val="00C66B1B"/>
    <w:rsid w:val="00C66B7C"/>
    <w:rsid w:val="00C66BF7"/>
    <w:rsid w:val="00C67408"/>
    <w:rsid w:val="00C674B5"/>
    <w:rsid w:val="00C676C8"/>
    <w:rsid w:val="00C676E7"/>
    <w:rsid w:val="00C676F3"/>
    <w:rsid w:val="00C678B9"/>
    <w:rsid w:val="00C67BBD"/>
    <w:rsid w:val="00C70069"/>
    <w:rsid w:val="00C701D8"/>
    <w:rsid w:val="00C704C1"/>
    <w:rsid w:val="00C70653"/>
    <w:rsid w:val="00C708DC"/>
    <w:rsid w:val="00C7093F"/>
    <w:rsid w:val="00C709CA"/>
    <w:rsid w:val="00C70A78"/>
    <w:rsid w:val="00C70A96"/>
    <w:rsid w:val="00C70B5B"/>
    <w:rsid w:val="00C70BD3"/>
    <w:rsid w:val="00C70FD2"/>
    <w:rsid w:val="00C712D1"/>
    <w:rsid w:val="00C712D3"/>
    <w:rsid w:val="00C71358"/>
    <w:rsid w:val="00C7156B"/>
    <w:rsid w:val="00C715D4"/>
    <w:rsid w:val="00C71793"/>
    <w:rsid w:val="00C71836"/>
    <w:rsid w:val="00C71882"/>
    <w:rsid w:val="00C71B7B"/>
    <w:rsid w:val="00C71D39"/>
    <w:rsid w:val="00C720C4"/>
    <w:rsid w:val="00C72127"/>
    <w:rsid w:val="00C72497"/>
    <w:rsid w:val="00C7272B"/>
    <w:rsid w:val="00C728E6"/>
    <w:rsid w:val="00C72925"/>
    <w:rsid w:val="00C72ACD"/>
    <w:rsid w:val="00C72CC7"/>
    <w:rsid w:val="00C72D0B"/>
    <w:rsid w:val="00C72F03"/>
    <w:rsid w:val="00C72FC5"/>
    <w:rsid w:val="00C73076"/>
    <w:rsid w:val="00C731C7"/>
    <w:rsid w:val="00C73588"/>
    <w:rsid w:val="00C73729"/>
    <w:rsid w:val="00C7373A"/>
    <w:rsid w:val="00C73CB6"/>
    <w:rsid w:val="00C74299"/>
    <w:rsid w:val="00C7449C"/>
    <w:rsid w:val="00C747B3"/>
    <w:rsid w:val="00C74A5B"/>
    <w:rsid w:val="00C74D41"/>
    <w:rsid w:val="00C75458"/>
    <w:rsid w:val="00C754D3"/>
    <w:rsid w:val="00C75889"/>
    <w:rsid w:val="00C75A10"/>
    <w:rsid w:val="00C75B3F"/>
    <w:rsid w:val="00C75C47"/>
    <w:rsid w:val="00C75D64"/>
    <w:rsid w:val="00C75FEE"/>
    <w:rsid w:val="00C760DD"/>
    <w:rsid w:val="00C760F4"/>
    <w:rsid w:val="00C7620C"/>
    <w:rsid w:val="00C76356"/>
    <w:rsid w:val="00C76396"/>
    <w:rsid w:val="00C7651D"/>
    <w:rsid w:val="00C7659F"/>
    <w:rsid w:val="00C765B3"/>
    <w:rsid w:val="00C76716"/>
    <w:rsid w:val="00C76721"/>
    <w:rsid w:val="00C767C7"/>
    <w:rsid w:val="00C76815"/>
    <w:rsid w:val="00C769BF"/>
    <w:rsid w:val="00C769DA"/>
    <w:rsid w:val="00C76A58"/>
    <w:rsid w:val="00C76B99"/>
    <w:rsid w:val="00C76CEE"/>
    <w:rsid w:val="00C76D2E"/>
    <w:rsid w:val="00C76E2E"/>
    <w:rsid w:val="00C770F7"/>
    <w:rsid w:val="00C77126"/>
    <w:rsid w:val="00C774FC"/>
    <w:rsid w:val="00C77537"/>
    <w:rsid w:val="00C77675"/>
    <w:rsid w:val="00C7783F"/>
    <w:rsid w:val="00C77944"/>
    <w:rsid w:val="00C7799C"/>
    <w:rsid w:val="00C77D94"/>
    <w:rsid w:val="00C77EAC"/>
    <w:rsid w:val="00C801AF"/>
    <w:rsid w:val="00C8022C"/>
    <w:rsid w:val="00C80232"/>
    <w:rsid w:val="00C80515"/>
    <w:rsid w:val="00C8066F"/>
    <w:rsid w:val="00C80D2B"/>
    <w:rsid w:val="00C80D80"/>
    <w:rsid w:val="00C80F99"/>
    <w:rsid w:val="00C8109E"/>
    <w:rsid w:val="00C8115D"/>
    <w:rsid w:val="00C81244"/>
    <w:rsid w:val="00C812E3"/>
    <w:rsid w:val="00C81392"/>
    <w:rsid w:val="00C8159B"/>
    <w:rsid w:val="00C81671"/>
    <w:rsid w:val="00C8194D"/>
    <w:rsid w:val="00C81AF4"/>
    <w:rsid w:val="00C81D13"/>
    <w:rsid w:val="00C81DE0"/>
    <w:rsid w:val="00C82739"/>
    <w:rsid w:val="00C82DEA"/>
    <w:rsid w:val="00C83004"/>
    <w:rsid w:val="00C83061"/>
    <w:rsid w:val="00C830AC"/>
    <w:rsid w:val="00C8355B"/>
    <w:rsid w:val="00C83782"/>
    <w:rsid w:val="00C8399B"/>
    <w:rsid w:val="00C83BEC"/>
    <w:rsid w:val="00C83C07"/>
    <w:rsid w:val="00C83E8E"/>
    <w:rsid w:val="00C83EA2"/>
    <w:rsid w:val="00C83ED2"/>
    <w:rsid w:val="00C83F7B"/>
    <w:rsid w:val="00C83FBD"/>
    <w:rsid w:val="00C84009"/>
    <w:rsid w:val="00C844F8"/>
    <w:rsid w:val="00C84577"/>
    <w:rsid w:val="00C84810"/>
    <w:rsid w:val="00C84E03"/>
    <w:rsid w:val="00C85573"/>
    <w:rsid w:val="00C85787"/>
    <w:rsid w:val="00C85D63"/>
    <w:rsid w:val="00C85F3C"/>
    <w:rsid w:val="00C8610E"/>
    <w:rsid w:val="00C86518"/>
    <w:rsid w:val="00C865A5"/>
    <w:rsid w:val="00C86712"/>
    <w:rsid w:val="00C86A74"/>
    <w:rsid w:val="00C86C5E"/>
    <w:rsid w:val="00C86CC1"/>
    <w:rsid w:val="00C86D5A"/>
    <w:rsid w:val="00C86D71"/>
    <w:rsid w:val="00C86F1B"/>
    <w:rsid w:val="00C87053"/>
    <w:rsid w:val="00C87901"/>
    <w:rsid w:val="00C879D3"/>
    <w:rsid w:val="00C87B69"/>
    <w:rsid w:val="00C87BCC"/>
    <w:rsid w:val="00C87ED5"/>
    <w:rsid w:val="00C87F2F"/>
    <w:rsid w:val="00C87F32"/>
    <w:rsid w:val="00C900EA"/>
    <w:rsid w:val="00C902D3"/>
    <w:rsid w:val="00C902D6"/>
    <w:rsid w:val="00C90749"/>
    <w:rsid w:val="00C90975"/>
    <w:rsid w:val="00C90BE9"/>
    <w:rsid w:val="00C90E8F"/>
    <w:rsid w:val="00C90EF9"/>
    <w:rsid w:val="00C90FE6"/>
    <w:rsid w:val="00C91087"/>
    <w:rsid w:val="00C914C9"/>
    <w:rsid w:val="00C91537"/>
    <w:rsid w:val="00C9160D"/>
    <w:rsid w:val="00C91750"/>
    <w:rsid w:val="00C91775"/>
    <w:rsid w:val="00C917FA"/>
    <w:rsid w:val="00C91804"/>
    <w:rsid w:val="00C91AC8"/>
    <w:rsid w:val="00C91B02"/>
    <w:rsid w:val="00C91F74"/>
    <w:rsid w:val="00C920AD"/>
    <w:rsid w:val="00C923B3"/>
    <w:rsid w:val="00C92432"/>
    <w:rsid w:val="00C92435"/>
    <w:rsid w:val="00C92460"/>
    <w:rsid w:val="00C9257C"/>
    <w:rsid w:val="00C92716"/>
    <w:rsid w:val="00C927A0"/>
    <w:rsid w:val="00C9286D"/>
    <w:rsid w:val="00C92A07"/>
    <w:rsid w:val="00C92A95"/>
    <w:rsid w:val="00C92AAA"/>
    <w:rsid w:val="00C92B87"/>
    <w:rsid w:val="00C92DA4"/>
    <w:rsid w:val="00C92DF8"/>
    <w:rsid w:val="00C92FAC"/>
    <w:rsid w:val="00C93100"/>
    <w:rsid w:val="00C93133"/>
    <w:rsid w:val="00C934AC"/>
    <w:rsid w:val="00C934C1"/>
    <w:rsid w:val="00C9356A"/>
    <w:rsid w:val="00C93649"/>
    <w:rsid w:val="00C9387D"/>
    <w:rsid w:val="00C93C8A"/>
    <w:rsid w:val="00C93EE8"/>
    <w:rsid w:val="00C94124"/>
    <w:rsid w:val="00C946AC"/>
    <w:rsid w:val="00C946F9"/>
    <w:rsid w:val="00C9496A"/>
    <w:rsid w:val="00C94A45"/>
    <w:rsid w:val="00C94A9D"/>
    <w:rsid w:val="00C94B71"/>
    <w:rsid w:val="00C94E4F"/>
    <w:rsid w:val="00C94F6E"/>
    <w:rsid w:val="00C94FDD"/>
    <w:rsid w:val="00C951C4"/>
    <w:rsid w:val="00C9520E"/>
    <w:rsid w:val="00C953B3"/>
    <w:rsid w:val="00C953D6"/>
    <w:rsid w:val="00C95620"/>
    <w:rsid w:val="00C95744"/>
    <w:rsid w:val="00C95834"/>
    <w:rsid w:val="00C95B0E"/>
    <w:rsid w:val="00C95FEB"/>
    <w:rsid w:val="00C9610A"/>
    <w:rsid w:val="00C965AB"/>
    <w:rsid w:val="00C9698E"/>
    <w:rsid w:val="00C96C8F"/>
    <w:rsid w:val="00C97143"/>
    <w:rsid w:val="00C973DA"/>
    <w:rsid w:val="00C97436"/>
    <w:rsid w:val="00C97613"/>
    <w:rsid w:val="00C976D2"/>
    <w:rsid w:val="00C97700"/>
    <w:rsid w:val="00C97707"/>
    <w:rsid w:val="00C9772F"/>
    <w:rsid w:val="00C97743"/>
    <w:rsid w:val="00C97810"/>
    <w:rsid w:val="00C97A08"/>
    <w:rsid w:val="00C97BB2"/>
    <w:rsid w:val="00C97D0E"/>
    <w:rsid w:val="00CA0073"/>
    <w:rsid w:val="00CA01B5"/>
    <w:rsid w:val="00CA0315"/>
    <w:rsid w:val="00CA03D5"/>
    <w:rsid w:val="00CA043D"/>
    <w:rsid w:val="00CA052B"/>
    <w:rsid w:val="00CA06C0"/>
    <w:rsid w:val="00CA070F"/>
    <w:rsid w:val="00CA0913"/>
    <w:rsid w:val="00CA0989"/>
    <w:rsid w:val="00CA09E1"/>
    <w:rsid w:val="00CA0AA5"/>
    <w:rsid w:val="00CA0C37"/>
    <w:rsid w:val="00CA0CEF"/>
    <w:rsid w:val="00CA0E4C"/>
    <w:rsid w:val="00CA0EC9"/>
    <w:rsid w:val="00CA0F77"/>
    <w:rsid w:val="00CA1391"/>
    <w:rsid w:val="00CA14F2"/>
    <w:rsid w:val="00CA1587"/>
    <w:rsid w:val="00CA1806"/>
    <w:rsid w:val="00CA1DFB"/>
    <w:rsid w:val="00CA1EF4"/>
    <w:rsid w:val="00CA211E"/>
    <w:rsid w:val="00CA2289"/>
    <w:rsid w:val="00CA231F"/>
    <w:rsid w:val="00CA252C"/>
    <w:rsid w:val="00CA278D"/>
    <w:rsid w:val="00CA2838"/>
    <w:rsid w:val="00CA28D1"/>
    <w:rsid w:val="00CA28E0"/>
    <w:rsid w:val="00CA2B33"/>
    <w:rsid w:val="00CA2F9D"/>
    <w:rsid w:val="00CA305A"/>
    <w:rsid w:val="00CA30D4"/>
    <w:rsid w:val="00CA3272"/>
    <w:rsid w:val="00CA32B5"/>
    <w:rsid w:val="00CA335D"/>
    <w:rsid w:val="00CA340A"/>
    <w:rsid w:val="00CA3585"/>
    <w:rsid w:val="00CA35C4"/>
    <w:rsid w:val="00CA3621"/>
    <w:rsid w:val="00CA36CA"/>
    <w:rsid w:val="00CA3971"/>
    <w:rsid w:val="00CA3C36"/>
    <w:rsid w:val="00CA3D94"/>
    <w:rsid w:val="00CA3DB7"/>
    <w:rsid w:val="00CA3E35"/>
    <w:rsid w:val="00CA41AD"/>
    <w:rsid w:val="00CA41CE"/>
    <w:rsid w:val="00CA41EB"/>
    <w:rsid w:val="00CA423A"/>
    <w:rsid w:val="00CA444E"/>
    <w:rsid w:val="00CA4721"/>
    <w:rsid w:val="00CA48C3"/>
    <w:rsid w:val="00CA4A37"/>
    <w:rsid w:val="00CA4AE3"/>
    <w:rsid w:val="00CA4C93"/>
    <w:rsid w:val="00CA4D68"/>
    <w:rsid w:val="00CA4D74"/>
    <w:rsid w:val="00CA51FC"/>
    <w:rsid w:val="00CA52CD"/>
    <w:rsid w:val="00CA5336"/>
    <w:rsid w:val="00CA560C"/>
    <w:rsid w:val="00CA5760"/>
    <w:rsid w:val="00CA5850"/>
    <w:rsid w:val="00CA59E0"/>
    <w:rsid w:val="00CA5C0E"/>
    <w:rsid w:val="00CA5DC5"/>
    <w:rsid w:val="00CA616C"/>
    <w:rsid w:val="00CA6263"/>
    <w:rsid w:val="00CA62F6"/>
    <w:rsid w:val="00CA6369"/>
    <w:rsid w:val="00CA63FA"/>
    <w:rsid w:val="00CA6679"/>
    <w:rsid w:val="00CA66B9"/>
    <w:rsid w:val="00CA670B"/>
    <w:rsid w:val="00CA69C0"/>
    <w:rsid w:val="00CA6A56"/>
    <w:rsid w:val="00CA6CA3"/>
    <w:rsid w:val="00CA714F"/>
    <w:rsid w:val="00CA7257"/>
    <w:rsid w:val="00CA7286"/>
    <w:rsid w:val="00CA7781"/>
    <w:rsid w:val="00CA77F5"/>
    <w:rsid w:val="00CA7955"/>
    <w:rsid w:val="00CA7C20"/>
    <w:rsid w:val="00CA7C92"/>
    <w:rsid w:val="00CA7E19"/>
    <w:rsid w:val="00CA7EDE"/>
    <w:rsid w:val="00CA7F2F"/>
    <w:rsid w:val="00CB0029"/>
    <w:rsid w:val="00CB011A"/>
    <w:rsid w:val="00CB0420"/>
    <w:rsid w:val="00CB0485"/>
    <w:rsid w:val="00CB0528"/>
    <w:rsid w:val="00CB05F1"/>
    <w:rsid w:val="00CB098F"/>
    <w:rsid w:val="00CB0A3E"/>
    <w:rsid w:val="00CB0B4C"/>
    <w:rsid w:val="00CB0C31"/>
    <w:rsid w:val="00CB0C3F"/>
    <w:rsid w:val="00CB0D7F"/>
    <w:rsid w:val="00CB0DE5"/>
    <w:rsid w:val="00CB0E50"/>
    <w:rsid w:val="00CB0EF5"/>
    <w:rsid w:val="00CB0F1B"/>
    <w:rsid w:val="00CB10C6"/>
    <w:rsid w:val="00CB10F5"/>
    <w:rsid w:val="00CB12EB"/>
    <w:rsid w:val="00CB13AA"/>
    <w:rsid w:val="00CB1557"/>
    <w:rsid w:val="00CB15DD"/>
    <w:rsid w:val="00CB164F"/>
    <w:rsid w:val="00CB16AB"/>
    <w:rsid w:val="00CB16BE"/>
    <w:rsid w:val="00CB1934"/>
    <w:rsid w:val="00CB1A07"/>
    <w:rsid w:val="00CB1BA7"/>
    <w:rsid w:val="00CB1DD5"/>
    <w:rsid w:val="00CB1E95"/>
    <w:rsid w:val="00CB1FDD"/>
    <w:rsid w:val="00CB227E"/>
    <w:rsid w:val="00CB2335"/>
    <w:rsid w:val="00CB237F"/>
    <w:rsid w:val="00CB23FB"/>
    <w:rsid w:val="00CB2477"/>
    <w:rsid w:val="00CB2492"/>
    <w:rsid w:val="00CB254C"/>
    <w:rsid w:val="00CB2631"/>
    <w:rsid w:val="00CB2817"/>
    <w:rsid w:val="00CB299C"/>
    <w:rsid w:val="00CB2AB1"/>
    <w:rsid w:val="00CB2BC2"/>
    <w:rsid w:val="00CB2CEA"/>
    <w:rsid w:val="00CB2D72"/>
    <w:rsid w:val="00CB2F1E"/>
    <w:rsid w:val="00CB301A"/>
    <w:rsid w:val="00CB32D1"/>
    <w:rsid w:val="00CB32ED"/>
    <w:rsid w:val="00CB33FB"/>
    <w:rsid w:val="00CB3560"/>
    <w:rsid w:val="00CB3708"/>
    <w:rsid w:val="00CB3820"/>
    <w:rsid w:val="00CB39AE"/>
    <w:rsid w:val="00CB3C3B"/>
    <w:rsid w:val="00CB3D34"/>
    <w:rsid w:val="00CB3D59"/>
    <w:rsid w:val="00CB3EA4"/>
    <w:rsid w:val="00CB3EE2"/>
    <w:rsid w:val="00CB3F86"/>
    <w:rsid w:val="00CB40C4"/>
    <w:rsid w:val="00CB4250"/>
    <w:rsid w:val="00CB42D1"/>
    <w:rsid w:val="00CB43CC"/>
    <w:rsid w:val="00CB468D"/>
    <w:rsid w:val="00CB481F"/>
    <w:rsid w:val="00CB486E"/>
    <w:rsid w:val="00CB48B4"/>
    <w:rsid w:val="00CB4A44"/>
    <w:rsid w:val="00CB4BE9"/>
    <w:rsid w:val="00CB4EE1"/>
    <w:rsid w:val="00CB4F2A"/>
    <w:rsid w:val="00CB50A2"/>
    <w:rsid w:val="00CB548B"/>
    <w:rsid w:val="00CB54DF"/>
    <w:rsid w:val="00CB5520"/>
    <w:rsid w:val="00CB55BB"/>
    <w:rsid w:val="00CB57D2"/>
    <w:rsid w:val="00CB5822"/>
    <w:rsid w:val="00CB5BD1"/>
    <w:rsid w:val="00CB60F0"/>
    <w:rsid w:val="00CB618A"/>
    <w:rsid w:val="00CB695C"/>
    <w:rsid w:val="00CB6BC8"/>
    <w:rsid w:val="00CB7238"/>
    <w:rsid w:val="00CB7334"/>
    <w:rsid w:val="00CB74E1"/>
    <w:rsid w:val="00CB762D"/>
    <w:rsid w:val="00CB77A7"/>
    <w:rsid w:val="00CB7932"/>
    <w:rsid w:val="00CB7A51"/>
    <w:rsid w:val="00CB7C6D"/>
    <w:rsid w:val="00CB7E37"/>
    <w:rsid w:val="00CB7F84"/>
    <w:rsid w:val="00CC02FA"/>
    <w:rsid w:val="00CC03EF"/>
    <w:rsid w:val="00CC08BF"/>
    <w:rsid w:val="00CC0A61"/>
    <w:rsid w:val="00CC0C2A"/>
    <w:rsid w:val="00CC0C9C"/>
    <w:rsid w:val="00CC0CA3"/>
    <w:rsid w:val="00CC0D9F"/>
    <w:rsid w:val="00CC0E8C"/>
    <w:rsid w:val="00CC0F81"/>
    <w:rsid w:val="00CC11A1"/>
    <w:rsid w:val="00CC13BC"/>
    <w:rsid w:val="00CC145D"/>
    <w:rsid w:val="00CC1A09"/>
    <w:rsid w:val="00CC1A61"/>
    <w:rsid w:val="00CC1B22"/>
    <w:rsid w:val="00CC1C77"/>
    <w:rsid w:val="00CC1CED"/>
    <w:rsid w:val="00CC1DD3"/>
    <w:rsid w:val="00CC1E65"/>
    <w:rsid w:val="00CC2212"/>
    <w:rsid w:val="00CC2360"/>
    <w:rsid w:val="00CC2420"/>
    <w:rsid w:val="00CC276E"/>
    <w:rsid w:val="00CC29CB"/>
    <w:rsid w:val="00CC29EE"/>
    <w:rsid w:val="00CC2D11"/>
    <w:rsid w:val="00CC3122"/>
    <w:rsid w:val="00CC3153"/>
    <w:rsid w:val="00CC3207"/>
    <w:rsid w:val="00CC32C1"/>
    <w:rsid w:val="00CC33B5"/>
    <w:rsid w:val="00CC34C1"/>
    <w:rsid w:val="00CC3588"/>
    <w:rsid w:val="00CC3B27"/>
    <w:rsid w:val="00CC3CE6"/>
    <w:rsid w:val="00CC3D5B"/>
    <w:rsid w:val="00CC3E6B"/>
    <w:rsid w:val="00CC3E84"/>
    <w:rsid w:val="00CC4036"/>
    <w:rsid w:val="00CC406C"/>
    <w:rsid w:val="00CC4411"/>
    <w:rsid w:val="00CC4449"/>
    <w:rsid w:val="00CC44A7"/>
    <w:rsid w:val="00CC4659"/>
    <w:rsid w:val="00CC4716"/>
    <w:rsid w:val="00CC4988"/>
    <w:rsid w:val="00CC4A98"/>
    <w:rsid w:val="00CC4AE6"/>
    <w:rsid w:val="00CC4CE3"/>
    <w:rsid w:val="00CC4F34"/>
    <w:rsid w:val="00CC50AB"/>
    <w:rsid w:val="00CC51E9"/>
    <w:rsid w:val="00CC5322"/>
    <w:rsid w:val="00CC5493"/>
    <w:rsid w:val="00CC5621"/>
    <w:rsid w:val="00CC5831"/>
    <w:rsid w:val="00CC5CAB"/>
    <w:rsid w:val="00CC5D87"/>
    <w:rsid w:val="00CC6034"/>
    <w:rsid w:val="00CC627E"/>
    <w:rsid w:val="00CC629B"/>
    <w:rsid w:val="00CC6306"/>
    <w:rsid w:val="00CC639B"/>
    <w:rsid w:val="00CC6550"/>
    <w:rsid w:val="00CC6644"/>
    <w:rsid w:val="00CC6656"/>
    <w:rsid w:val="00CC67A5"/>
    <w:rsid w:val="00CC67D8"/>
    <w:rsid w:val="00CC6886"/>
    <w:rsid w:val="00CC6A24"/>
    <w:rsid w:val="00CC6AC2"/>
    <w:rsid w:val="00CC6B42"/>
    <w:rsid w:val="00CC6DAB"/>
    <w:rsid w:val="00CC7006"/>
    <w:rsid w:val="00CC7016"/>
    <w:rsid w:val="00CC7077"/>
    <w:rsid w:val="00CC724A"/>
    <w:rsid w:val="00CC727F"/>
    <w:rsid w:val="00CC74A9"/>
    <w:rsid w:val="00CC75D4"/>
    <w:rsid w:val="00CC7612"/>
    <w:rsid w:val="00CC78E8"/>
    <w:rsid w:val="00CC79A5"/>
    <w:rsid w:val="00CC7A58"/>
    <w:rsid w:val="00CC7BB6"/>
    <w:rsid w:val="00CC7CF7"/>
    <w:rsid w:val="00CC7D75"/>
    <w:rsid w:val="00CD010D"/>
    <w:rsid w:val="00CD0148"/>
    <w:rsid w:val="00CD024B"/>
    <w:rsid w:val="00CD02AC"/>
    <w:rsid w:val="00CD0329"/>
    <w:rsid w:val="00CD03E3"/>
    <w:rsid w:val="00CD0531"/>
    <w:rsid w:val="00CD05D8"/>
    <w:rsid w:val="00CD0799"/>
    <w:rsid w:val="00CD0D44"/>
    <w:rsid w:val="00CD100D"/>
    <w:rsid w:val="00CD11FC"/>
    <w:rsid w:val="00CD1392"/>
    <w:rsid w:val="00CD14B8"/>
    <w:rsid w:val="00CD1605"/>
    <w:rsid w:val="00CD1693"/>
    <w:rsid w:val="00CD1705"/>
    <w:rsid w:val="00CD17A1"/>
    <w:rsid w:val="00CD1805"/>
    <w:rsid w:val="00CD18D9"/>
    <w:rsid w:val="00CD1A6F"/>
    <w:rsid w:val="00CD1ABE"/>
    <w:rsid w:val="00CD1CC3"/>
    <w:rsid w:val="00CD1CE4"/>
    <w:rsid w:val="00CD1F09"/>
    <w:rsid w:val="00CD2002"/>
    <w:rsid w:val="00CD211F"/>
    <w:rsid w:val="00CD22F6"/>
    <w:rsid w:val="00CD2401"/>
    <w:rsid w:val="00CD2793"/>
    <w:rsid w:val="00CD28D2"/>
    <w:rsid w:val="00CD2918"/>
    <w:rsid w:val="00CD2920"/>
    <w:rsid w:val="00CD3132"/>
    <w:rsid w:val="00CD317E"/>
    <w:rsid w:val="00CD32AD"/>
    <w:rsid w:val="00CD3380"/>
    <w:rsid w:val="00CD3427"/>
    <w:rsid w:val="00CD34BD"/>
    <w:rsid w:val="00CD3573"/>
    <w:rsid w:val="00CD36E1"/>
    <w:rsid w:val="00CD3903"/>
    <w:rsid w:val="00CD39E7"/>
    <w:rsid w:val="00CD3A35"/>
    <w:rsid w:val="00CD3D95"/>
    <w:rsid w:val="00CD400A"/>
    <w:rsid w:val="00CD407C"/>
    <w:rsid w:val="00CD4472"/>
    <w:rsid w:val="00CD4497"/>
    <w:rsid w:val="00CD4505"/>
    <w:rsid w:val="00CD4ACC"/>
    <w:rsid w:val="00CD4CA1"/>
    <w:rsid w:val="00CD4E53"/>
    <w:rsid w:val="00CD5041"/>
    <w:rsid w:val="00CD507B"/>
    <w:rsid w:val="00CD514D"/>
    <w:rsid w:val="00CD5271"/>
    <w:rsid w:val="00CD5648"/>
    <w:rsid w:val="00CD56FC"/>
    <w:rsid w:val="00CD5A02"/>
    <w:rsid w:val="00CD5F12"/>
    <w:rsid w:val="00CD5F38"/>
    <w:rsid w:val="00CD60E5"/>
    <w:rsid w:val="00CD6119"/>
    <w:rsid w:val="00CD6357"/>
    <w:rsid w:val="00CD65AC"/>
    <w:rsid w:val="00CD6C03"/>
    <w:rsid w:val="00CD6D0B"/>
    <w:rsid w:val="00CD6D35"/>
    <w:rsid w:val="00CD6F95"/>
    <w:rsid w:val="00CD6FDE"/>
    <w:rsid w:val="00CD7026"/>
    <w:rsid w:val="00CD7200"/>
    <w:rsid w:val="00CD7486"/>
    <w:rsid w:val="00CD7666"/>
    <w:rsid w:val="00CD77D7"/>
    <w:rsid w:val="00CD7809"/>
    <w:rsid w:val="00CD799F"/>
    <w:rsid w:val="00CD7FF1"/>
    <w:rsid w:val="00CE00EC"/>
    <w:rsid w:val="00CE01B0"/>
    <w:rsid w:val="00CE0333"/>
    <w:rsid w:val="00CE0657"/>
    <w:rsid w:val="00CE0A69"/>
    <w:rsid w:val="00CE0A9B"/>
    <w:rsid w:val="00CE0CA0"/>
    <w:rsid w:val="00CE10A2"/>
    <w:rsid w:val="00CE112D"/>
    <w:rsid w:val="00CE11B4"/>
    <w:rsid w:val="00CE12A8"/>
    <w:rsid w:val="00CE12B7"/>
    <w:rsid w:val="00CE1359"/>
    <w:rsid w:val="00CE14BC"/>
    <w:rsid w:val="00CE14CF"/>
    <w:rsid w:val="00CE14E3"/>
    <w:rsid w:val="00CE1539"/>
    <w:rsid w:val="00CE16E9"/>
    <w:rsid w:val="00CE17A1"/>
    <w:rsid w:val="00CE17DD"/>
    <w:rsid w:val="00CE1C8B"/>
    <w:rsid w:val="00CE1E5F"/>
    <w:rsid w:val="00CE1F4B"/>
    <w:rsid w:val="00CE2182"/>
    <w:rsid w:val="00CE24C7"/>
    <w:rsid w:val="00CE282C"/>
    <w:rsid w:val="00CE2875"/>
    <w:rsid w:val="00CE2B9F"/>
    <w:rsid w:val="00CE2C08"/>
    <w:rsid w:val="00CE2CD4"/>
    <w:rsid w:val="00CE2E1A"/>
    <w:rsid w:val="00CE301B"/>
    <w:rsid w:val="00CE312A"/>
    <w:rsid w:val="00CE31EE"/>
    <w:rsid w:val="00CE321A"/>
    <w:rsid w:val="00CE345B"/>
    <w:rsid w:val="00CE346E"/>
    <w:rsid w:val="00CE3740"/>
    <w:rsid w:val="00CE3757"/>
    <w:rsid w:val="00CE380D"/>
    <w:rsid w:val="00CE3993"/>
    <w:rsid w:val="00CE3B2B"/>
    <w:rsid w:val="00CE3BE1"/>
    <w:rsid w:val="00CE3C55"/>
    <w:rsid w:val="00CE3CF3"/>
    <w:rsid w:val="00CE4405"/>
    <w:rsid w:val="00CE4599"/>
    <w:rsid w:val="00CE4655"/>
    <w:rsid w:val="00CE4671"/>
    <w:rsid w:val="00CE4821"/>
    <w:rsid w:val="00CE484C"/>
    <w:rsid w:val="00CE49FE"/>
    <w:rsid w:val="00CE4A1F"/>
    <w:rsid w:val="00CE4B31"/>
    <w:rsid w:val="00CE4E2E"/>
    <w:rsid w:val="00CE4EEC"/>
    <w:rsid w:val="00CE4F59"/>
    <w:rsid w:val="00CE5068"/>
    <w:rsid w:val="00CE5270"/>
    <w:rsid w:val="00CE5286"/>
    <w:rsid w:val="00CE52FB"/>
    <w:rsid w:val="00CE559E"/>
    <w:rsid w:val="00CE5603"/>
    <w:rsid w:val="00CE5628"/>
    <w:rsid w:val="00CE5700"/>
    <w:rsid w:val="00CE580A"/>
    <w:rsid w:val="00CE5843"/>
    <w:rsid w:val="00CE5B88"/>
    <w:rsid w:val="00CE5C01"/>
    <w:rsid w:val="00CE5CEB"/>
    <w:rsid w:val="00CE5D1F"/>
    <w:rsid w:val="00CE5E18"/>
    <w:rsid w:val="00CE5EF1"/>
    <w:rsid w:val="00CE5EF8"/>
    <w:rsid w:val="00CE5F02"/>
    <w:rsid w:val="00CE60C3"/>
    <w:rsid w:val="00CE60D3"/>
    <w:rsid w:val="00CE6478"/>
    <w:rsid w:val="00CE65A6"/>
    <w:rsid w:val="00CE66AE"/>
    <w:rsid w:val="00CE68C0"/>
    <w:rsid w:val="00CE6957"/>
    <w:rsid w:val="00CE6979"/>
    <w:rsid w:val="00CE69A6"/>
    <w:rsid w:val="00CE6AF1"/>
    <w:rsid w:val="00CE6E99"/>
    <w:rsid w:val="00CE6ECB"/>
    <w:rsid w:val="00CE6F8A"/>
    <w:rsid w:val="00CE7197"/>
    <w:rsid w:val="00CE7512"/>
    <w:rsid w:val="00CE7627"/>
    <w:rsid w:val="00CE76B8"/>
    <w:rsid w:val="00CE771F"/>
    <w:rsid w:val="00CE781E"/>
    <w:rsid w:val="00CE78E7"/>
    <w:rsid w:val="00CE7B73"/>
    <w:rsid w:val="00CE7C25"/>
    <w:rsid w:val="00CE7C47"/>
    <w:rsid w:val="00CF0107"/>
    <w:rsid w:val="00CF01A5"/>
    <w:rsid w:val="00CF0347"/>
    <w:rsid w:val="00CF04D5"/>
    <w:rsid w:val="00CF0569"/>
    <w:rsid w:val="00CF0651"/>
    <w:rsid w:val="00CF0793"/>
    <w:rsid w:val="00CF0A05"/>
    <w:rsid w:val="00CF0A9E"/>
    <w:rsid w:val="00CF0AA2"/>
    <w:rsid w:val="00CF0B47"/>
    <w:rsid w:val="00CF0C0E"/>
    <w:rsid w:val="00CF0C6E"/>
    <w:rsid w:val="00CF10ED"/>
    <w:rsid w:val="00CF13FF"/>
    <w:rsid w:val="00CF1433"/>
    <w:rsid w:val="00CF14BD"/>
    <w:rsid w:val="00CF14EA"/>
    <w:rsid w:val="00CF158D"/>
    <w:rsid w:val="00CF1696"/>
    <w:rsid w:val="00CF16BF"/>
    <w:rsid w:val="00CF172D"/>
    <w:rsid w:val="00CF1943"/>
    <w:rsid w:val="00CF1A0C"/>
    <w:rsid w:val="00CF1A16"/>
    <w:rsid w:val="00CF1A5B"/>
    <w:rsid w:val="00CF1CD0"/>
    <w:rsid w:val="00CF1FD3"/>
    <w:rsid w:val="00CF2014"/>
    <w:rsid w:val="00CF20B7"/>
    <w:rsid w:val="00CF2235"/>
    <w:rsid w:val="00CF2401"/>
    <w:rsid w:val="00CF266D"/>
    <w:rsid w:val="00CF26CE"/>
    <w:rsid w:val="00CF2947"/>
    <w:rsid w:val="00CF29C4"/>
    <w:rsid w:val="00CF29CD"/>
    <w:rsid w:val="00CF2C7E"/>
    <w:rsid w:val="00CF2F4E"/>
    <w:rsid w:val="00CF3030"/>
    <w:rsid w:val="00CF3580"/>
    <w:rsid w:val="00CF378B"/>
    <w:rsid w:val="00CF3C60"/>
    <w:rsid w:val="00CF3EEF"/>
    <w:rsid w:val="00CF3F73"/>
    <w:rsid w:val="00CF3F94"/>
    <w:rsid w:val="00CF4036"/>
    <w:rsid w:val="00CF43A6"/>
    <w:rsid w:val="00CF44B4"/>
    <w:rsid w:val="00CF4603"/>
    <w:rsid w:val="00CF46AA"/>
    <w:rsid w:val="00CF46BB"/>
    <w:rsid w:val="00CF4818"/>
    <w:rsid w:val="00CF4922"/>
    <w:rsid w:val="00CF4A0D"/>
    <w:rsid w:val="00CF4D22"/>
    <w:rsid w:val="00CF4D79"/>
    <w:rsid w:val="00CF4F0E"/>
    <w:rsid w:val="00CF5077"/>
    <w:rsid w:val="00CF5298"/>
    <w:rsid w:val="00CF54D8"/>
    <w:rsid w:val="00CF5533"/>
    <w:rsid w:val="00CF597D"/>
    <w:rsid w:val="00CF5B29"/>
    <w:rsid w:val="00CF5F9A"/>
    <w:rsid w:val="00CF5FF6"/>
    <w:rsid w:val="00CF6094"/>
    <w:rsid w:val="00CF60A5"/>
    <w:rsid w:val="00CF6161"/>
    <w:rsid w:val="00CF617B"/>
    <w:rsid w:val="00CF61D1"/>
    <w:rsid w:val="00CF6355"/>
    <w:rsid w:val="00CF6364"/>
    <w:rsid w:val="00CF64EF"/>
    <w:rsid w:val="00CF65A9"/>
    <w:rsid w:val="00CF6698"/>
    <w:rsid w:val="00CF676C"/>
    <w:rsid w:val="00CF6786"/>
    <w:rsid w:val="00CF6AAC"/>
    <w:rsid w:val="00CF6B84"/>
    <w:rsid w:val="00CF6B9C"/>
    <w:rsid w:val="00CF6F53"/>
    <w:rsid w:val="00CF722D"/>
    <w:rsid w:val="00CF7278"/>
    <w:rsid w:val="00CF7446"/>
    <w:rsid w:val="00CF752E"/>
    <w:rsid w:val="00CF7659"/>
    <w:rsid w:val="00CF779F"/>
    <w:rsid w:val="00CF781D"/>
    <w:rsid w:val="00CF79D8"/>
    <w:rsid w:val="00CF7AEE"/>
    <w:rsid w:val="00CF7B30"/>
    <w:rsid w:val="00CF7E42"/>
    <w:rsid w:val="00CF7EB0"/>
    <w:rsid w:val="00D002A2"/>
    <w:rsid w:val="00D00304"/>
    <w:rsid w:val="00D00716"/>
    <w:rsid w:val="00D00735"/>
    <w:rsid w:val="00D00AB1"/>
    <w:rsid w:val="00D00AE5"/>
    <w:rsid w:val="00D00BDF"/>
    <w:rsid w:val="00D00CAF"/>
    <w:rsid w:val="00D00D8F"/>
    <w:rsid w:val="00D00FA9"/>
    <w:rsid w:val="00D0100E"/>
    <w:rsid w:val="00D0119E"/>
    <w:rsid w:val="00D011B1"/>
    <w:rsid w:val="00D013CD"/>
    <w:rsid w:val="00D0141D"/>
    <w:rsid w:val="00D015DC"/>
    <w:rsid w:val="00D01648"/>
    <w:rsid w:val="00D01AC3"/>
    <w:rsid w:val="00D01AE0"/>
    <w:rsid w:val="00D01CCC"/>
    <w:rsid w:val="00D01D2F"/>
    <w:rsid w:val="00D01D96"/>
    <w:rsid w:val="00D01E27"/>
    <w:rsid w:val="00D01F0D"/>
    <w:rsid w:val="00D021D8"/>
    <w:rsid w:val="00D02231"/>
    <w:rsid w:val="00D025A1"/>
    <w:rsid w:val="00D025AD"/>
    <w:rsid w:val="00D0279B"/>
    <w:rsid w:val="00D02BF8"/>
    <w:rsid w:val="00D02C17"/>
    <w:rsid w:val="00D02E8A"/>
    <w:rsid w:val="00D02F80"/>
    <w:rsid w:val="00D032A3"/>
    <w:rsid w:val="00D034FF"/>
    <w:rsid w:val="00D03700"/>
    <w:rsid w:val="00D03716"/>
    <w:rsid w:val="00D038CB"/>
    <w:rsid w:val="00D038FA"/>
    <w:rsid w:val="00D0392D"/>
    <w:rsid w:val="00D03955"/>
    <w:rsid w:val="00D03B2F"/>
    <w:rsid w:val="00D03C92"/>
    <w:rsid w:val="00D03CC6"/>
    <w:rsid w:val="00D03CD8"/>
    <w:rsid w:val="00D03E6C"/>
    <w:rsid w:val="00D03EC9"/>
    <w:rsid w:val="00D03F78"/>
    <w:rsid w:val="00D04225"/>
    <w:rsid w:val="00D04261"/>
    <w:rsid w:val="00D0436B"/>
    <w:rsid w:val="00D045A0"/>
    <w:rsid w:val="00D0461B"/>
    <w:rsid w:val="00D046E0"/>
    <w:rsid w:val="00D04F00"/>
    <w:rsid w:val="00D051F8"/>
    <w:rsid w:val="00D05210"/>
    <w:rsid w:val="00D05263"/>
    <w:rsid w:val="00D0529E"/>
    <w:rsid w:val="00D05373"/>
    <w:rsid w:val="00D0537D"/>
    <w:rsid w:val="00D053BD"/>
    <w:rsid w:val="00D055B2"/>
    <w:rsid w:val="00D055E9"/>
    <w:rsid w:val="00D0562A"/>
    <w:rsid w:val="00D057CD"/>
    <w:rsid w:val="00D058D0"/>
    <w:rsid w:val="00D05943"/>
    <w:rsid w:val="00D059F5"/>
    <w:rsid w:val="00D05AAD"/>
    <w:rsid w:val="00D05FE5"/>
    <w:rsid w:val="00D060A0"/>
    <w:rsid w:val="00D060D0"/>
    <w:rsid w:val="00D061E3"/>
    <w:rsid w:val="00D064BC"/>
    <w:rsid w:val="00D06587"/>
    <w:rsid w:val="00D06618"/>
    <w:rsid w:val="00D06785"/>
    <w:rsid w:val="00D06B22"/>
    <w:rsid w:val="00D06C50"/>
    <w:rsid w:val="00D06D78"/>
    <w:rsid w:val="00D06DC3"/>
    <w:rsid w:val="00D06FA6"/>
    <w:rsid w:val="00D070C4"/>
    <w:rsid w:val="00D0714F"/>
    <w:rsid w:val="00D0726F"/>
    <w:rsid w:val="00D073DE"/>
    <w:rsid w:val="00D07529"/>
    <w:rsid w:val="00D0773A"/>
    <w:rsid w:val="00D07961"/>
    <w:rsid w:val="00D07A98"/>
    <w:rsid w:val="00D07B1D"/>
    <w:rsid w:val="00D07CFC"/>
    <w:rsid w:val="00D07D81"/>
    <w:rsid w:val="00D07D8F"/>
    <w:rsid w:val="00D100FF"/>
    <w:rsid w:val="00D10579"/>
    <w:rsid w:val="00D1057D"/>
    <w:rsid w:val="00D10859"/>
    <w:rsid w:val="00D108B9"/>
    <w:rsid w:val="00D109B3"/>
    <w:rsid w:val="00D109C1"/>
    <w:rsid w:val="00D10EA0"/>
    <w:rsid w:val="00D111D3"/>
    <w:rsid w:val="00D111FC"/>
    <w:rsid w:val="00D113E2"/>
    <w:rsid w:val="00D11406"/>
    <w:rsid w:val="00D11416"/>
    <w:rsid w:val="00D114C6"/>
    <w:rsid w:val="00D115C8"/>
    <w:rsid w:val="00D11625"/>
    <w:rsid w:val="00D117B8"/>
    <w:rsid w:val="00D11870"/>
    <w:rsid w:val="00D118C3"/>
    <w:rsid w:val="00D11922"/>
    <w:rsid w:val="00D11C9E"/>
    <w:rsid w:val="00D11D94"/>
    <w:rsid w:val="00D11DDE"/>
    <w:rsid w:val="00D11E0B"/>
    <w:rsid w:val="00D11F6A"/>
    <w:rsid w:val="00D11F8F"/>
    <w:rsid w:val="00D12295"/>
    <w:rsid w:val="00D12333"/>
    <w:rsid w:val="00D125F0"/>
    <w:rsid w:val="00D12645"/>
    <w:rsid w:val="00D12778"/>
    <w:rsid w:val="00D1294A"/>
    <w:rsid w:val="00D12C5A"/>
    <w:rsid w:val="00D12EAB"/>
    <w:rsid w:val="00D12F40"/>
    <w:rsid w:val="00D12F73"/>
    <w:rsid w:val="00D12FD8"/>
    <w:rsid w:val="00D13055"/>
    <w:rsid w:val="00D130B8"/>
    <w:rsid w:val="00D131BB"/>
    <w:rsid w:val="00D1328B"/>
    <w:rsid w:val="00D132BA"/>
    <w:rsid w:val="00D132DC"/>
    <w:rsid w:val="00D13500"/>
    <w:rsid w:val="00D135AC"/>
    <w:rsid w:val="00D136B8"/>
    <w:rsid w:val="00D13746"/>
    <w:rsid w:val="00D13788"/>
    <w:rsid w:val="00D13869"/>
    <w:rsid w:val="00D13B46"/>
    <w:rsid w:val="00D13BAF"/>
    <w:rsid w:val="00D13BE0"/>
    <w:rsid w:val="00D13C35"/>
    <w:rsid w:val="00D13F3F"/>
    <w:rsid w:val="00D13F7F"/>
    <w:rsid w:val="00D1415C"/>
    <w:rsid w:val="00D14287"/>
    <w:rsid w:val="00D144FF"/>
    <w:rsid w:val="00D14536"/>
    <w:rsid w:val="00D145F1"/>
    <w:rsid w:val="00D149CE"/>
    <w:rsid w:val="00D14C3D"/>
    <w:rsid w:val="00D14C4C"/>
    <w:rsid w:val="00D14DFC"/>
    <w:rsid w:val="00D150FD"/>
    <w:rsid w:val="00D15226"/>
    <w:rsid w:val="00D153BB"/>
    <w:rsid w:val="00D154AC"/>
    <w:rsid w:val="00D155EC"/>
    <w:rsid w:val="00D15D1B"/>
    <w:rsid w:val="00D15DC4"/>
    <w:rsid w:val="00D1601B"/>
    <w:rsid w:val="00D1605A"/>
    <w:rsid w:val="00D16196"/>
    <w:rsid w:val="00D161EF"/>
    <w:rsid w:val="00D16231"/>
    <w:rsid w:val="00D163C0"/>
    <w:rsid w:val="00D163E1"/>
    <w:rsid w:val="00D164A3"/>
    <w:rsid w:val="00D1673C"/>
    <w:rsid w:val="00D16962"/>
    <w:rsid w:val="00D16A2A"/>
    <w:rsid w:val="00D16B5A"/>
    <w:rsid w:val="00D16C23"/>
    <w:rsid w:val="00D16F1E"/>
    <w:rsid w:val="00D174E7"/>
    <w:rsid w:val="00D1789A"/>
    <w:rsid w:val="00D1789B"/>
    <w:rsid w:val="00D1793D"/>
    <w:rsid w:val="00D17968"/>
    <w:rsid w:val="00D179E9"/>
    <w:rsid w:val="00D17A63"/>
    <w:rsid w:val="00D17B30"/>
    <w:rsid w:val="00D17E86"/>
    <w:rsid w:val="00D20090"/>
    <w:rsid w:val="00D20541"/>
    <w:rsid w:val="00D20857"/>
    <w:rsid w:val="00D20983"/>
    <w:rsid w:val="00D209D6"/>
    <w:rsid w:val="00D20A89"/>
    <w:rsid w:val="00D20BC8"/>
    <w:rsid w:val="00D20C03"/>
    <w:rsid w:val="00D20CB7"/>
    <w:rsid w:val="00D21003"/>
    <w:rsid w:val="00D212E0"/>
    <w:rsid w:val="00D21868"/>
    <w:rsid w:val="00D21872"/>
    <w:rsid w:val="00D2189C"/>
    <w:rsid w:val="00D21D8E"/>
    <w:rsid w:val="00D21FEE"/>
    <w:rsid w:val="00D222D6"/>
    <w:rsid w:val="00D2240E"/>
    <w:rsid w:val="00D2289C"/>
    <w:rsid w:val="00D228CD"/>
    <w:rsid w:val="00D229A0"/>
    <w:rsid w:val="00D22A90"/>
    <w:rsid w:val="00D22C1D"/>
    <w:rsid w:val="00D22E34"/>
    <w:rsid w:val="00D22FBF"/>
    <w:rsid w:val="00D23028"/>
    <w:rsid w:val="00D23137"/>
    <w:rsid w:val="00D231B0"/>
    <w:rsid w:val="00D231BF"/>
    <w:rsid w:val="00D2332F"/>
    <w:rsid w:val="00D23462"/>
    <w:rsid w:val="00D23529"/>
    <w:rsid w:val="00D23705"/>
    <w:rsid w:val="00D2383B"/>
    <w:rsid w:val="00D23844"/>
    <w:rsid w:val="00D23951"/>
    <w:rsid w:val="00D23B52"/>
    <w:rsid w:val="00D23E12"/>
    <w:rsid w:val="00D23E47"/>
    <w:rsid w:val="00D23F2E"/>
    <w:rsid w:val="00D23F45"/>
    <w:rsid w:val="00D23F91"/>
    <w:rsid w:val="00D24045"/>
    <w:rsid w:val="00D24079"/>
    <w:rsid w:val="00D241B0"/>
    <w:rsid w:val="00D24238"/>
    <w:rsid w:val="00D24357"/>
    <w:rsid w:val="00D24505"/>
    <w:rsid w:val="00D24654"/>
    <w:rsid w:val="00D248A2"/>
    <w:rsid w:val="00D24934"/>
    <w:rsid w:val="00D24C8B"/>
    <w:rsid w:val="00D24DF6"/>
    <w:rsid w:val="00D24FD2"/>
    <w:rsid w:val="00D25157"/>
    <w:rsid w:val="00D25276"/>
    <w:rsid w:val="00D252F1"/>
    <w:rsid w:val="00D2541B"/>
    <w:rsid w:val="00D255C6"/>
    <w:rsid w:val="00D25687"/>
    <w:rsid w:val="00D25810"/>
    <w:rsid w:val="00D25871"/>
    <w:rsid w:val="00D25AD1"/>
    <w:rsid w:val="00D25BD1"/>
    <w:rsid w:val="00D25D06"/>
    <w:rsid w:val="00D25E09"/>
    <w:rsid w:val="00D25F7E"/>
    <w:rsid w:val="00D25F80"/>
    <w:rsid w:val="00D25FCE"/>
    <w:rsid w:val="00D26057"/>
    <w:rsid w:val="00D26093"/>
    <w:rsid w:val="00D2618E"/>
    <w:rsid w:val="00D26579"/>
    <w:rsid w:val="00D26727"/>
    <w:rsid w:val="00D26784"/>
    <w:rsid w:val="00D2686D"/>
    <w:rsid w:val="00D2693D"/>
    <w:rsid w:val="00D269FF"/>
    <w:rsid w:val="00D271F7"/>
    <w:rsid w:val="00D27324"/>
    <w:rsid w:val="00D27443"/>
    <w:rsid w:val="00D27509"/>
    <w:rsid w:val="00D27658"/>
    <w:rsid w:val="00D2790B"/>
    <w:rsid w:val="00D27995"/>
    <w:rsid w:val="00D27B37"/>
    <w:rsid w:val="00D27B3E"/>
    <w:rsid w:val="00D27B40"/>
    <w:rsid w:val="00D27BDD"/>
    <w:rsid w:val="00D27C0B"/>
    <w:rsid w:val="00D27C1A"/>
    <w:rsid w:val="00D27CB6"/>
    <w:rsid w:val="00D27D68"/>
    <w:rsid w:val="00D27F8C"/>
    <w:rsid w:val="00D3001C"/>
    <w:rsid w:val="00D30117"/>
    <w:rsid w:val="00D30152"/>
    <w:rsid w:val="00D3021B"/>
    <w:rsid w:val="00D303AB"/>
    <w:rsid w:val="00D303D6"/>
    <w:rsid w:val="00D303E9"/>
    <w:rsid w:val="00D30699"/>
    <w:rsid w:val="00D306E8"/>
    <w:rsid w:val="00D30809"/>
    <w:rsid w:val="00D30972"/>
    <w:rsid w:val="00D30C04"/>
    <w:rsid w:val="00D30C1B"/>
    <w:rsid w:val="00D30C44"/>
    <w:rsid w:val="00D31055"/>
    <w:rsid w:val="00D31247"/>
    <w:rsid w:val="00D313D9"/>
    <w:rsid w:val="00D314B9"/>
    <w:rsid w:val="00D31703"/>
    <w:rsid w:val="00D3174C"/>
    <w:rsid w:val="00D31779"/>
    <w:rsid w:val="00D318F9"/>
    <w:rsid w:val="00D31BF6"/>
    <w:rsid w:val="00D31EE6"/>
    <w:rsid w:val="00D320D6"/>
    <w:rsid w:val="00D32507"/>
    <w:rsid w:val="00D32650"/>
    <w:rsid w:val="00D32870"/>
    <w:rsid w:val="00D32A38"/>
    <w:rsid w:val="00D32DDE"/>
    <w:rsid w:val="00D32E1E"/>
    <w:rsid w:val="00D330C8"/>
    <w:rsid w:val="00D33184"/>
    <w:rsid w:val="00D33247"/>
    <w:rsid w:val="00D3335A"/>
    <w:rsid w:val="00D3338C"/>
    <w:rsid w:val="00D33817"/>
    <w:rsid w:val="00D33977"/>
    <w:rsid w:val="00D339BE"/>
    <w:rsid w:val="00D33CCC"/>
    <w:rsid w:val="00D33D27"/>
    <w:rsid w:val="00D33E5F"/>
    <w:rsid w:val="00D33ED7"/>
    <w:rsid w:val="00D340EC"/>
    <w:rsid w:val="00D34390"/>
    <w:rsid w:val="00D343EA"/>
    <w:rsid w:val="00D3445F"/>
    <w:rsid w:val="00D34582"/>
    <w:rsid w:val="00D345DA"/>
    <w:rsid w:val="00D34798"/>
    <w:rsid w:val="00D34805"/>
    <w:rsid w:val="00D34B97"/>
    <w:rsid w:val="00D34CBF"/>
    <w:rsid w:val="00D34DA9"/>
    <w:rsid w:val="00D34F28"/>
    <w:rsid w:val="00D3503B"/>
    <w:rsid w:val="00D35178"/>
    <w:rsid w:val="00D3523D"/>
    <w:rsid w:val="00D352BE"/>
    <w:rsid w:val="00D35304"/>
    <w:rsid w:val="00D3535B"/>
    <w:rsid w:val="00D354BC"/>
    <w:rsid w:val="00D35542"/>
    <w:rsid w:val="00D3558C"/>
    <w:rsid w:val="00D35733"/>
    <w:rsid w:val="00D357BE"/>
    <w:rsid w:val="00D358B9"/>
    <w:rsid w:val="00D35917"/>
    <w:rsid w:val="00D35BC4"/>
    <w:rsid w:val="00D35E53"/>
    <w:rsid w:val="00D3603A"/>
    <w:rsid w:val="00D3638D"/>
    <w:rsid w:val="00D36445"/>
    <w:rsid w:val="00D364CA"/>
    <w:rsid w:val="00D36686"/>
    <w:rsid w:val="00D36798"/>
    <w:rsid w:val="00D36C8B"/>
    <w:rsid w:val="00D36CE8"/>
    <w:rsid w:val="00D36F24"/>
    <w:rsid w:val="00D371F7"/>
    <w:rsid w:val="00D372A8"/>
    <w:rsid w:val="00D37510"/>
    <w:rsid w:val="00D3779F"/>
    <w:rsid w:val="00D378D1"/>
    <w:rsid w:val="00D37BE4"/>
    <w:rsid w:val="00D37C00"/>
    <w:rsid w:val="00D37C4C"/>
    <w:rsid w:val="00D37CCC"/>
    <w:rsid w:val="00D37D89"/>
    <w:rsid w:val="00D37E1A"/>
    <w:rsid w:val="00D37ECD"/>
    <w:rsid w:val="00D37EED"/>
    <w:rsid w:val="00D4026B"/>
    <w:rsid w:val="00D40418"/>
    <w:rsid w:val="00D40474"/>
    <w:rsid w:val="00D40644"/>
    <w:rsid w:val="00D4066A"/>
    <w:rsid w:val="00D4090F"/>
    <w:rsid w:val="00D40A7F"/>
    <w:rsid w:val="00D40C1B"/>
    <w:rsid w:val="00D41329"/>
    <w:rsid w:val="00D41613"/>
    <w:rsid w:val="00D417F9"/>
    <w:rsid w:val="00D41922"/>
    <w:rsid w:val="00D41A93"/>
    <w:rsid w:val="00D41B66"/>
    <w:rsid w:val="00D41DB7"/>
    <w:rsid w:val="00D41DDE"/>
    <w:rsid w:val="00D41E2D"/>
    <w:rsid w:val="00D41E7B"/>
    <w:rsid w:val="00D42030"/>
    <w:rsid w:val="00D420FB"/>
    <w:rsid w:val="00D4211E"/>
    <w:rsid w:val="00D42162"/>
    <w:rsid w:val="00D42187"/>
    <w:rsid w:val="00D42235"/>
    <w:rsid w:val="00D42779"/>
    <w:rsid w:val="00D42874"/>
    <w:rsid w:val="00D42894"/>
    <w:rsid w:val="00D42A3F"/>
    <w:rsid w:val="00D42A63"/>
    <w:rsid w:val="00D42BD4"/>
    <w:rsid w:val="00D42CD5"/>
    <w:rsid w:val="00D42E52"/>
    <w:rsid w:val="00D42E7E"/>
    <w:rsid w:val="00D42F23"/>
    <w:rsid w:val="00D4300A"/>
    <w:rsid w:val="00D43090"/>
    <w:rsid w:val="00D43164"/>
    <w:rsid w:val="00D433FE"/>
    <w:rsid w:val="00D435D8"/>
    <w:rsid w:val="00D43C23"/>
    <w:rsid w:val="00D44227"/>
    <w:rsid w:val="00D4423F"/>
    <w:rsid w:val="00D442CB"/>
    <w:rsid w:val="00D44365"/>
    <w:rsid w:val="00D4480F"/>
    <w:rsid w:val="00D44885"/>
    <w:rsid w:val="00D44D51"/>
    <w:rsid w:val="00D44F0D"/>
    <w:rsid w:val="00D44FC7"/>
    <w:rsid w:val="00D45066"/>
    <w:rsid w:val="00D45072"/>
    <w:rsid w:val="00D450DB"/>
    <w:rsid w:val="00D45291"/>
    <w:rsid w:val="00D453A1"/>
    <w:rsid w:val="00D453F1"/>
    <w:rsid w:val="00D4546F"/>
    <w:rsid w:val="00D454B3"/>
    <w:rsid w:val="00D456A3"/>
    <w:rsid w:val="00D45A04"/>
    <w:rsid w:val="00D45BF7"/>
    <w:rsid w:val="00D45FF0"/>
    <w:rsid w:val="00D460D3"/>
    <w:rsid w:val="00D461E7"/>
    <w:rsid w:val="00D46345"/>
    <w:rsid w:val="00D46459"/>
    <w:rsid w:val="00D464AE"/>
    <w:rsid w:val="00D464E6"/>
    <w:rsid w:val="00D4659D"/>
    <w:rsid w:val="00D467D4"/>
    <w:rsid w:val="00D46883"/>
    <w:rsid w:val="00D46E86"/>
    <w:rsid w:val="00D46EC1"/>
    <w:rsid w:val="00D47202"/>
    <w:rsid w:val="00D473E6"/>
    <w:rsid w:val="00D474BF"/>
    <w:rsid w:val="00D474CA"/>
    <w:rsid w:val="00D4750A"/>
    <w:rsid w:val="00D47A0E"/>
    <w:rsid w:val="00D47A3A"/>
    <w:rsid w:val="00D47C83"/>
    <w:rsid w:val="00D50102"/>
    <w:rsid w:val="00D50318"/>
    <w:rsid w:val="00D5031F"/>
    <w:rsid w:val="00D50407"/>
    <w:rsid w:val="00D505AD"/>
    <w:rsid w:val="00D505BB"/>
    <w:rsid w:val="00D506D0"/>
    <w:rsid w:val="00D50743"/>
    <w:rsid w:val="00D50864"/>
    <w:rsid w:val="00D50883"/>
    <w:rsid w:val="00D50901"/>
    <w:rsid w:val="00D50AB3"/>
    <w:rsid w:val="00D50D12"/>
    <w:rsid w:val="00D50E92"/>
    <w:rsid w:val="00D511BB"/>
    <w:rsid w:val="00D511EE"/>
    <w:rsid w:val="00D51418"/>
    <w:rsid w:val="00D5166C"/>
    <w:rsid w:val="00D516C7"/>
    <w:rsid w:val="00D517CC"/>
    <w:rsid w:val="00D5192C"/>
    <w:rsid w:val="00D51A15"/>
    <w:rsid w:val="00D51CBB"/>
    <w:rsid w:val="00D51D65"/>
    <w:rsid w:val="00D51E01"/>
    <w:rsid w:val="00D51E40"/>
    <w:rsid w:val="00D5213A"/>
    <w:rsid w:val="00D5241E"/>
    <w:rsid w:val="00D524C7"/>
    <w:rsid w:val="00D525B2"/>
    <w:rsid w:val="00D52633"/>
    <w:rsid w:val="00D5266F"/>
    <w:rsid w:val="00D5268F"/>
    <w:rsid w:val="00D5280E"/>
    <w:rsid w:val="00D5284F"/>
    <w:rsid w:val="00D52866"/>
    <w:rsid w:val="00D52A62"/>
    <w:rsid w:val="00D52A8C"/>
    <w:rsid w:val="00D52CDA"/>
    <w:rsid w:val="00D52E40"/>
    <w:rsid w:val="00D52EBB"/>
    <w:rsid w:val="00D52F0B"/>
    <w:rsid w:val="00D52FCE"/>
    <w:rsid w:val="00D52FFA"/>
    <w:rsid w:val="00D53388"/>
    <w:rsid w:val="00D53470"/>
    <w:rsid w:val="00D5371A"/>
    <w:rsid w:val="00D5381C"/>
    <w:rsid w:val="00D5381F"/>
    <w:rsid w:val="00D53947"/>
    <w:rsid w:val="00D539DA"/>
    <w:rsid w:val="00D53AEA"/>
    <w:rsid w:val="00D53C98"/>
    <w:rsid w:val="00D53CA4"/>
    <w:rsid w:val="00D53E23"/>
    <w:rsid w:val="00D53E41"/>
    <w:rsid w:val="00D53EA1"/>
    <w:rsid w:val="00D53ED8"/>
    <w:rsid w:val="00D54154"/>
    <w:rsid w:val="00D544C1"/>
    <w:rsid w:val="00D5455E"/>
    <w:rsid w:val="00D54A1F"/>
    <w:rsid w:val="00D54D44"/>
    <w:rsid w:val="00D54DA6"/>
    <w:rsid w:val="00D54F34"/>
    <w:rsid w:val="00D54F5D"/>
    <w:rsid w:val="00D550D2"/>
    <w:rsid w:val="00D5510F"/>
    <w:rsid w:val="00D551FB"/>
    <w:rsid w:val="00D55267"/>
    <w:rsid w:val="00D553F3"/>
    <w:rsid w:val="00D5541D"/>
    <w:rsid w:val="00D55434"/>
    <w:rsid w:val="00D554CD"/>
    <w:rsid w:val="00D5559E"/>
    <w:rsid w:val="00D557BF"/>
    <w:rsid w:val="00D557CE"/>
    <w:rsid w:val="00D55946"/>
    <w:rsid w:val="00D5596E"/>
    <w:rsid w:val="00D55A74"/>
    <w:rsid w:val="00D55AB9"/>
    <w:rsid w:val="00D55B29"/>
    <w:rsid w:val="00D55C23"/>
    <w:rsid w:val="00D55C9D"/>
    <w:rsid w:val="00D55CBB"/>
    <w:rsid w:val="00D55DF7"/>
    <w:rsid w:val="00D55EBC"/>
    <w:rsid w:val="00D55F4C"/>
    <w:rsid w:val="00D5610A"/>
    <w:rsid w:val="00D56289"/>
    <w:rsid w:val="00D565B8"/>
    <w:rsid w:val="00D56A86"/>
    <w:rsid w:val="00D56C85"/>
    <w:rsid w:val="00D56E37"/>
    <w:rsid w:val="00D5708D"/>
    <w:rsid w:val="00D574A8"/>
    <w:rsid w:val="00D574AF"/>
    <w:rsid w:val="00D5768E"/>
    <w:rsid w:val="00D578A2"/>
    <w:rsid w:val="00D578CA"/>
    <w:rsid w:val="00D57988"/>
    <w:rsid w:val="00D57A96"/>
    <w:rsid w:val="00D57B1D"/>
    <w:rsid w:val="00D57D35"/>
    <w:rsid w:val="00D57DE4"/>
    <w:rsid w:val="00D57F4F"/>
    <w:rsid w:val="00D5A6AE"/>
    <w:rsid w:val="00D6002A"/>
    <w:rsid w:val="00D60203"/>
    <w:rsid w:val="00D6021E"/>
    <w:rsid w:val="00D603C9"/>
    <w:rsid w:val="00D606C7"/>
    <w:rsid w:val="00D608DE"/>
    <w:rsid w:val="00D609A2"/>
    <w:rsid w:val="00D60A4D"/>
    <w:rsid w:val="00D60A78"/>
    <w:rsid w:val="00D60C20"/>
    <w:rsid w:val="00D60CB3"/>
    <w:rsid w:val="00D60CE6"/>
    <w:rsid w:val="00D610F6"/>
    <w:rsid w:val="00D61136"/>
    <w:rsid w:val="00D61249"/>
    <w:rsid w:val="00D615AC"/>
    <w:rsid w:val="00D616CA"/>
    <w:rsid w:val="00D619C6"/>
    <w:rsid w:val="00D619EA"/>
    <w:rsid w:val="00D61A4B"/>
    <w:rsid w:val="00D61AD2"/>
    <w:rsid w:val="00D61B36"/>
    <w:rsid w:val="00D61DC9"/>
    <w:rsid w:val="00D621F1"/>
    <w:rsid w:val="00D62B2A"/>
    <w:rsid w:val="00D62BAB"/>
    <w:rsid w:val="00D62BD2"/>
    <w:rsid w:val="00D62D2B"/>
    <w:rsid w:val="00D62E20"/>
    <w:rsid w:val="00D6316E"/>
    <w:rsid w:val="00D63196"/>
    <w:rsid w:val="00D631CF"/>
    <w:rsid w:val="00D631D2"/>
    <w:rsid w:val="00D631FD"/>
    <w:rsid w:val="00D63231"/>
    <w:rsid w:val="00D63266"/>
    <w:rsid w:val="00D6344E"/>
    <w:rsid w:val="00D63578"/>
    <w:rsid w:val="00D635B5"/>
    <w:rsid w:val="00D63642"/>
    <w:rsid w:val="00D6366E"/>
    <w:rsid w:val="00D63676"/>
    <w:rsid w:val="00D636B9"/>
    <w:rsid w:val="00D63888"/>
    <w:rsid w:val="00D63C71"/>
    <w:rsid w:val="00D63EC8"/>
    <w:rsid w:val="00D64838"/>
    <w:rsid w:val="00D64AAB"/>
    <w:rsid w:val="00D64AEE"/>
    <w:rsid w:val="00D64FC7"/>
    <w:rsid w:val="00D65132"/>
    <w:rsid w:val="00D652F5"/>
    <w:rsid w:val="00D65310"/>
    <w:rsid w:val="00D653B8"/>
    <w:rsid w:val="00D6542F"/>
    <w:rsid w:val="00D654B4"/>
    <w:rsid w:val="00D6551A"/>
    <w:rsid w:val="00D656F6"/>
    <w:rsid w:val="00D65BD0"/>
    <w:rsid w:val="00D65D4E"/>
    <w:rsid w:val="00D66422"/>
    <w:rsid w:val="00D66517"/>
    <w:rsid w:val="00D6653D"/>
    <w:rsid w:val="00D66ABD"/>
    <w:rsid w:val="00D66ACA"/>
    <w:rsid w:val="00D66C58"/>
    <w:rsid w:val="00D66DBE"/>
    <w:rsid w:val="00D66F79"/>
    <w:rsid w:val="00D670D8"/>
    <w:rsid w:val="00D672AB"/>
    <w:rsid w:val="00D672B9"/>
    <w:rsid w:val="00D67587"/>
    <w:rsid w:val="00D675C0"/>
    <w:rsid w:val="00D67967"/>
    <w:rsid w:val="00D67A11"/>
    <w:rsid w:val="00D67B1C"/>
    <w:rsid w:val="00D67B25"/>
    <w:rsid w:val="00D67B6F"/>
    <w:rsid w:val="00D67C13"/>
    <w:rsid w:val="00D67E51"/>
    <w:rsid w:val="00D67FAB"/>
    <w:rsid w:val="00D700B5"/>
    <w:rsid w:val="00D70967"/>
    <w:rsid w:val="00D709A0"/>
    <w:rsid w:val="00D709C5"/>
    <w:rsid w:val="00D70C0E"/>
    <w:rsid w:val="00D70D4C"/>
    <w:rsid w:val="00D70E0D"/>
    <w:rsid w:val="00D7106F"/>
    <w:rsid w:val="00D7153F"/>
    <w:rsid w:val="00D71601"/>
    <w:rsid w:val="00D717D0"/>
    <w:rsid w:val="00D71A36"/>
    <w:rsid w:val="00D71AE1"/>
    <w:rsid w:val="00D71C90"/>
    <w:rsid w:val="00D71CDA"/>
    <w:rsid w:val="00D71E7B"/>
    <w:rsid w:val="00D7202A"/>
    <w:rsid w:val="00D72238"/>
    <w:rsid w:val="00D72362"/>
    <w:rsid w:val="00D72A5D"/>
    <w:rsid w:val="00D72B6D"/>
    <w:rsid w:val="00D72CDF"/>
    <w:rsid w:val="00D72FB7"/>
    <w:rsid w:val="00D72FD7"/>
    <w:rsid w:val="00D73109"/>
    <w:rsid w:val="00D73170"/>
    <w:rsid w:val="00D73195"/>
    <w:rsid w:val="00D731E4"/>
    <w:rsid w:val="00D73377"/>
    <w:rsid w:val="00D7387D"/>
    <w:rsid w:val="00D7392C"/>
    <w:rsid w:val="00D7395B"/>
    <w:rsid w:val="00D739B8"/>
    <w:rsid w:val="00D73A72"/>
    <w:rsid w:val="00D73FC4"/>
    <w:rsid w:val="00D742B1"/>
    <w:rsid w:val="00D743E7"/>
    <w:rsid w:val="00D74564"/>
    <w:rsid w:val="00D745B2"/>
    <w:rsid w:val="00D74725"/>
    <w:rsid w:val="00D74826"/>
    <w:rsid w:val="00D74C01"/>
    <w:rsid w:val="00D74C3F"/>
    <w:rsid w:val="00D74C52"/>
    <w:rsid w:val="00D74D43"/>
    <w:rsid w:val="00D74DDD"/>
    <w:rsid w:val="00D75006"/>
    <w:rsid w:val="00D75241"/>
    <w:rsid w:val="00D75464"/>
    <w:rsid w:val="00D75577"/>
    <w:rsid w:val="00D756B6"/>
    <w:rsid w:val="00D758B6"/>
    <w:rsid w:val="00D758E5"/>
    <w:rsid w:val="00D75954"/>
    <w:rsid w:val="00D75969"/>
    <w:rsid w:val="00D75B86"/>
    <w:rsid w:val="00D75C68"/>
    <w:rsid w:val="00D75E9D"/>
    <w:rsid w:val="00D7629A"/>
    <w:rsid w:val="00D765BF"/>
    <w:rsid w:val="00D766D2"/>
    <w:rsid w:val="00D76838"/>
    <w:rsid w:val="00D769F1"/>
    <w:rsid w:val="00D76B1B"/>
    <w:rsid w:val="00D76B27"/>
    <w:rsid w:val="00D76C2B"/>
    <w:rsid w:val="00D76F8F"/>
    <w:rsid w:val="00D77144"/>
    <w:rsid w:val="00D77304"/>
    <w:rsid w:val="00D7748E"/>
    <w:rsid w:val="00D7754E"/>
    <w:rsid w:val="00D77623"/>
    <w:rsid w:val="00D77837"/>
    <w:rsid w:val="00D77854"/>
    <w:rsid w:val="00D77B80"/>
    <w:rsid w:val="00D800C9"/>
    <w:rsid w:val="00D8013F"/>
    <w:rsid w:val="00D8034B"/>
    <w:rsid w:val="00D804C7"/>
    <w:rsid w:val="00D804EC"/>
    <w:rsid w:val="00D8054F"/>
    <w:rsid w:val="00D80690"/>
    <w:rsid w:val="00D806DE"/>
    <w:rsid w:val="00D80793"/>
    <w:rsid w:val="00D807DC"/>
    <w:rsid w:val="00D80811"/>
    <w:rsid w:val="00D809FE"/>
    <w:rsid w:val="00D80DA9"/>
    <w:rsid w:val="00D80E6D"/>
    <w:rsid w:val="00D80EF1"/>
    <w:rsid w:val="00D81382"/>
    <w:rsid w:val="00D8150B"/>
    <w:rsid w:val="00D819AC"/>
    <w:rsid w:val="00D81B5B"/>
    <w:rsid w:val="00D81B71"/>
    <w:rsid w:val="00D81CFB"/>
    <w:rsid w:val="00D81FF9"/>
    <w:rsid w:val="00D822EB"/>
    <w:rsid w:val="00D823B4"/>
    <w:rsid w:val="00D823C2"/>
    <w:rsid w:val="00D823EF"/>
    <w:rsid w:val="00D8288F"/>
    <w:rsid w:val="00D829D1"/>
    <w:rsid w:val="00D82D4A"/>
    <w:rsid w:val="00D83391"/>
    <w:rsid w:val="00D83448"/>
    <w:rsid w:val="00D836FD"/>
    <w:rsid w:val="00D837A5"/>
    <w:rsid w:val="00D83867"/>
    <w:rsid w:val="00D839E4"/>
    <w:rsid w:val="00D83A34"/>
    <w:rsid w:val="00D83C3B"/>
    <w:rsid w:val="00D83D84"/>
    <w:rsid w:val="00D83E11"/>
    <w:rsid w:val="00D83ECB"/>
    <w:rsid w:val="00D83FB6"/>
    <w:rsid w:val="00D840DB"/>
    <w:rsid w:val="00D840E9"/>
    <w:rsid w:val="00D84149"/>
    <w:rsid w:val="00D8414D"/>
    <w:rsid w:val="00D841B5"/>
    <w:rsid w:val="00D8456B"/>
    <w:rsid w:val="00D84909"/>
    <w:rsid w:val="00D84A72"/>
    <w:rsid w:val="00D84F08"/>
    <w:rsid w:val="00D850CB"/>
    <w:rsid w:val="00D8518E"/>
    <w:rsid w:val="00D854E4"/>
    <w:rsid w:val="00D85663"/>
    <w:rsid w:val="00D85795"/>
    <w:rsid w:val="00D8582C"/>
    <w:rsid w:val="00D8596B"/>
    <w:rsid w:val="00D85A66"/>
    <w:rsid w:val="00D85B41"/>
    <w:rsid w:val="00D85FE2"/>
    <w:rsid w:val="00D8606A"/>
    <w:rsid w:val="00D8626C"/>
    <w:rsid w:val="00D862F1"/>
    <w:rsid w:val="00D8672F"/>
    <w:rsid w:val="00D86854"/>
    <w:rsid w:val="00D868D0"/>
    <w:rsid w:val="00D86A0E"/>
    <w:rsid w:val="00D86B00"/>
    <w:rsid w:val="00D86B1B"/>
    <w:rsid w:val="00D86CAE"/>
    <w:rsid w:val="00D86DC4"/>
    <w:rsid w:val="00D86FA6"/>
    <w:rsid w:val="00D86FC2"/>
    <w:rsid w:val="00D8702A"/>
    <w:rsid w:val="00D8706C"/>
    <w:rsid w:val="00D8717D"/>
    <w:rsid w:val="00D873FA"/>
    <w:rsid w:val="00D876AA"/>
    <w:rsid w:val="00D878BD"/>
    <w:rsid w:val="00D879F6"/>
    <w:rsid w:val="00D87BB9"/>
    <w:rsid w:val="00D87D31"/>
    <w:rsid w:val="00D87DBD"/>
    <w:rsid w:val="00D87DD7"/>
    <w:rsid w:val="00D87E5B"/>
    <w:rsid w:val="00D90070"/>
    <w:rsid w:val="00D90221"/>
    <w:rsid w:val="00D902BD"/>
    <w:rsid w:val="00D90392"/>
    <w:rsid w:val="00D90638"/>
    <w:rsid w:val="00D90787"/>
    <w:rsid w:val="00D9088F"/>
    <w:rsid w:val="00D9096A"/>
    <w:rsid w:val="00D90993"/>
    <w:rsid w:val="00D90DBE"/>
    <w:rsid w:val="00D90E5F"/>
    <w:rsid w:val="00D90EF4"/>
    <w:rsid w:val="00D9104E"/>
    <w:rsid w:val="00D91057"/>
    <w:rsid w:val="00D910F7"/>
    <w:rsid w:val="00D911A3"/>
    <w:rsid w:val="00D91295"/>
    <w:rsid w:val="00D91460"/>
    <w:rsid w:val="00D916C5"/>
    <w:rsid w:val="00D918E8"/>
    <w:rsid w:val="00D91B97"/>
    <w:rsid w:val="00D91C27"/>
    <w:rsid w:val="00D91C86"/>
    <w:rsid w:val="00D9202B"/>
    <w:rsid w:val="00D92041"/>
    <w:rsid w:val="00D921C5"/>
    <w:rsid w:val="00D922D7"/>
    <w:rsid w:val="00D9232E"/>
    <w:rsid w:val="00D926CA"/>
    <w:rsid w:val="00D927AB"/>
    <w:rsid w:val="00D9286B"/>
    <w:rsid w:val="00D929D8"/>
    <w:rsid w:val="00D92A04"/>
    <w:rsid w:val="00D92BED"/>
    <w:rsid w:val="00D92D72"/>
    <w:rsid w:val="00D92E59"/>
    <w:rsid w:val="00D930D3"/>
    <w:rsid w:val="00D930E6"/>
    <w:rsid w:val="00D933A0"/>
    <w:rsid w:val="00D93463"/>
    <w:rsid w:val="00D93526"/>
    <w:rsid w:val="00D93A87"/>
    <w:rsid w:val="00D93DAD"/>
    <w:rsid w:val="00D93EA2"/>
    <w:rsid w:val="00D93EAA"/>
    <w:rsid w:val="00D9417E"/>
    <w:rsid w:val="00D9422F"/>
    <w:rsid w:val="00D9437D"/>
    <w:rsid w:val="00D943F2"/>
    <w:rsid w:val="00D944B3"/>
    <w:rsid w:val="00D9452A"/>
    <w:rsid w:val="00D94606"/>
    <w:rsid w:val="00D94815"/>
    <w:rsid w:val="00D94E5C"/>
    <w:rsid w:val="00D94F22"/>
    <w:rsid w:val="00D94F2B"/>
    <w:rsid w:val="00D95356"/>
    <w:rsid w:val="00D95447"/>
    <w:rsid w:val="00D95662"/>
    <w:rsid w:val="00D957A9"/>
    <w:rsid w:val="00D95960"/>
    <w:rsid w:val="00D95995"/>
    <w:rsid w:val="00D959EB"/>
    <w:rsid w:val="00D95AE0"/>
    <w:rsid w:val="00D95B42"/>
    <w:rsid w:val="00D95B6A"/>
    <w:rsid w:val="00D95D89"/>
    <w:rsid w:val="00D96189"/>
    <w:rsid w:val="00D96778"/>
    <w:rsid w:val="00D96C84"/>
    <w:rsid w:val="00D97245"/>
    <w:rsid w:val="00D972BA"/>
    <w:rsid w:val="00D97370"/>
    <w:rsid w:val="00D97509"/>
    <w:rsid w:val="00D977BE"/>
    <w:rsid w:val="00D97A64"/>
    <w:rsid w:val="00D97AE5"/>
    <w:rsid w:val="00D97B03"/>
    <w:rsid w:val="00D97B99"/>
    <w:rsid w:val="00D97C97"/>
    <w:rsid w:val="00D97C9B"/>
    <w:rsid w:val="00D97DCE"/>
    <w:rsid w:val="00D97F54"/>
    <w:rsid w:val="00D9C418"/>
    <w:rsid w:val="00DA01E9"/>
    <w:rsid w:val="00DA07BC"/>
    <w:rsid w:val="00DA0833"/>
    <w:rsid w:val="00DA091E"/>
    <w:rsid w:val="00DA10A4"/>
    <w:rsid w:val="00DA153B"/>
    <w:rsid w:val="00DA17BB"/>
    <w:rsid w:val="00DA17D0"/>
    <w:rsid w:val="00DA1881"/>
    <w:rsid w:val="00DA19F8"/>
    <w:rsid w:val="00DA1C5A"/>
    <w:rsid w:val="00DA1EFE"/>
    <w:rsid w:val="00DA208A"/>
    <w:rsid w:val="00DA20F5"/>
    <w:rsid w:val="00DA21D5"/>
    <w:rsid w:val="00DA2403"/>
    <w:rsid w:val="00DA251A"/>
    <w:rsid w:val="00DA259C"/>
    <w:rsid w:val="00DA2690"/>
    <w:rsid w:val="00DA27B2"/>
    <w:rsid w:val="00DA27FA"/>
    <w:rsid w:val="00DA298C"/>
    <w:rsid w:val="00DA2A69"/>
    <w:rsid w:val="00DA2C1D"/>
    <w:rsid w:val="00DA2D01"/>
    <w:rsid w:val="00DA2E62"/>
    <w:rsid w:val="00DA30ED"/>
    <w:rsid w:val="00DA36FE"/>
    <w:rsid w:val="00DA392E"/>
    <w:rsid w:val="00DA3CA1"/>
    <w:rsid w:val="00DA3CFD"/>
    <w:rsid w:val="00DA3FE9"/>
    <w:rsid w:val="00DA4248"/>
    <w:rsid w:val="00DA43EF"/>
    <w:rsid w:val="00DA44F5"/>
    <w:rsid w:val="00DA4619"/>
    <w:rsid w:val="00DA46C5"/>
    <w:rsid w:val="00DA4B31"/>
    <w:rsid w:val="00DA4CFA"/>
    <w:rsid w:val="00DA4DAF"/>
    <w:rsid w:val="00DA4F45"/>
    <w:rsid w:val="00DA4F66"/>
    <w:rsid w:val="00DA524A"/>
    <w:rsid w:val="00DA52C1"/>
    <w:rsid w:val="00DA534E"/>
    <w:rsid w:val="00DA564C"/>
    <w:rsid w:val="00DA5748"/>
    <w:rsid w:val="00DA589C"/>
    <w:rsid w:val="00DA5967"/>
    <w:rsid w:val="00DA5E87"/>
    <w:rsid w:val="00DA6107"/>
    <w:rsid w:val="00DA6248"/>
    <w:rsid w:val="00DA62D6"/>
    <w:rsid w:val="00DA65C4"/>
    <w:rsid w:val="00DA6A73"/>
    <w:rsid w:val="00DA6B88"/>
    <w:rsid w:val="00DA6CF4"/>
    <w:rsid w:val="00DA6D77"/>
    <w:rsid w:val="00DA6E2C"/>
    <w:rsid w:val="00DA700E"/>
    <w:rsid w:val="00DA7626"/>
    <w:rsid w:val="00DA7695"/>
    <w:rsid w:val="00DA792C"/>
    <w:rsid w:val="00DA79A0"/>
    <w:rsid w:val="00DA7A6A"/>
    <w:rsid w:val="00DA7AA7"/>
    <w:rsid w:val="00DA7C43"/>
    <w:rsid w:val="00DA7C91"/>
    <w:rsid w:val="00DA7DF2"/>
    <w:rsid w:val="00DA7FA9"/>
    <w:rsid w:val="00DB0129"/>
    <w:rsid w:val="00DB042A"/>
    <w:rsid w:val="00DB0444"/>
    <w:rsid w:val="00DB047F"/>
    <w:rsid w:val="00DB078E"/>
    <w:rsid w:val="00DB095F"/>
    <w:rsid w:val="00DB0B57"/>
    <w:rsid w:val="00DB0CAB"/>
    <w:rsid w:val="00DB0D2F"/>
    <w:rsid w:val="00DB0E01"/>
    <w:rsid w:val="00DB0F93"/>
    <w:rsid w:val="00DB1014"/>
    <w:rsid w:val="00DB101F"/>
    <w:rsid w:val="00DB1047"/>
    <w:rsid w:val="00DB118E"/>
    <w:rsid w:val="00DB1366"/>
    <w:rsid w:val="00DB1655"/>
    <w:rsid w:val="00DB1B49"/>
    <w:rsid w:val="00DB1C68"/>
    <w:rsid w:val="00DB1CA5"/>
    <w:rsid w:val="00DB1CE6"/>
    <w:rsid w:val="00DB1D56"/>
    <w:rsid w:val="00DB1DAE"/>
    <w:rsid w:val="00DB21A1"/>
    <w:rsid w:val="00DB2302"/>
    <w:rsid w:val="00DB25CC"/>
    <w:rsid w:val="00DB26E3"/>
    <w:rsid w:val="00DB27E7"/>
    <w:rsid w:val="00DB28A5"/>
    <w:rsid w:val="00DB29EE"/>
    <w:rsid w:val="00DB2A79"/>
    <w:rsid w:val="00DB2AB5"/>
    <w:rsid w:val="00DB2D83"/>
    <w:rsid w:val="00DB2DA4"/>
    <w:rsid w:val="00DB3079"/>
    <w:rsid w:val="00DB311E"/>
    <w:rsid w:val="00DB314E"/>
    <w:rsid w:val="00DB318A"/>
    <w:rsid w:val="00DB32FA"/>
    <w:rsid w:val="00DB340B"/>
    <w:rsid w:val="00DB34BC"/>
    <w:rsid w:val="00DB356D"/>
    <w:rsid w:val="00DB37D6"/>
    <w:rsid w:val="00DB3D7C"/>
    <w:rsid w:val="00DB3E34"/>
    <w:rsid w:val="00DB3EF5"/>
    <w:rsid w:val="00DB3F81"/>
    <w:rsid w:val="00DB3FF8"/>
    <w:rsid w:val="00DB4067"/>
    <w:rsid w:val="00DB42AC"/>
    <w:rsid w:val="00DB4455"/>
    <w:rsid w:val="00DB4499"/>
    <w:rsid w:val="00DB45F6"/>
    <w:rsid w:val="00DB4664"/>
    <w:rsid w:val="00DB49CE"/>
    <w:rsid w:val="00DB4A60"/>
    <w:rsid w:val="00DB4C11"/>
    <w:rsid w:val="00DB52AA"/>
    <w:rsid w:val="00DB562B"/>
    <w:rsid w:val="00DB5737"/>
    <w:rsid w:val="00DB573F"/>
    <w:rsid w:val="00DB57ED"/>
    <w:rsid w:val="00DB5855"/>
    <w:rsid w:val="00DB5907"/>
    <w:rsid w:val="00DB5A12"/>
    <w:rsid w:val="00DB5DDB"/>
    <w:rsid w:val="00DB6054"/>
    <w:rsid w:val="00DB6281"/>
    <w:rsid w:val="00DB6379"/>
    <w:rsid w:val="00DB6566"/>
    <w:rsid w:val="00DB66DD"/>
    <w:rsid w:val="00DB6757"/>
    <w:rsid w:val="00DB67F1"/>
    <w:rsid w:val="00DB685D"/>
    <w:rsid w:val="00DB6C20"/>
    <w:rsid w:val="00DB6EF3"/>
    <w:rsid w:val="00DB7038"/>
    <w:rsid w:val="00DB7121"/>
    <w:rsid w:val="00DB719C"/>
    <w:rsid w:val="00DB71B4"/>
    <w:rsid w:val="00DB7334"/>
    <w:rsid w:val="00DB73A9"/>
    <w:rsid w:val="00DB7637"/>
    <w:rsid w:val="00DB770A"/>
    <w:rsid w:val="00DB7772"/>
    <w:rsid w:val="00DB78F7"/>
    <w:rsid w:val="00DB79BE"/>
    <w:rsid w:val="00DB79BF"/>
    <w:rsid w:val="00DB7AB5"/>
    <w:rsid w:val="00DB7AE0"/>
    <w:rsid w:val="00DB7B81"/>
    <w:rsid w:val="00DB7CF8"/>
    <w:rsid w:val="00DC020C"/>
    <w:rsid w:val="00DC023E"/>
    <w:rsid w:val="00DC07BE"/>
    <w:rsid w:val="00DC0897"/>
    <w:rsid w:val="00DC0A36"/>
    <w:rsid w:val="00DC0BFB"/>
    <w:rsid w:val="00DC0C0F"/>
    <w:rsid w:val="00DC0C6D"/>
    <w:rsid w:val="00DC0EC7"/>
    <w:rsid w:val="00DC1231"/>
    <w:rsid w:val="00DC1302"/>
    <w:rsid w:val="00DC141B"/>
    <w:rsid w:val="00DC150A"/>
    <w:rsid w:val="00DC1767"/>
    <w:rsid w:val="00DC1832"/>
    <w:rsid w:val="00DC19F2"/>
    <w:rsid w:val="00DC1ABB"/>
    <w:rsid w:val="00DC1BE0"/>
    <w:rsid w:val="00DC1CF3"/>
    <w:rsid w:val="00DC1D55"/>
    <w:rsid w:val="00DC1EA1"/>
    <w:rsid w:val="00DC1EF0"/>
    <w:rsid w:val="00DC2061"/>
    <w:rsid w:val="00DC20A4"/>
    <w:rsid w:val="00DC210F"/>
    <w:rsid w:val="00DC21E5"/>
    <w:rsid w:val="00DC2311"/>
    <w:rsid w:val="00DC2385"/>
    <w:rsid w:val="00DC26C1"/>
    <w:rsid w:val="00DC27D9"/>
    <w:rsid w:val="00DC2911"/>
    <w:rsid w:val="00DC2920"/>
    <w:rsid w:val="00DC2A68"/>
    <w:rsid w:val="00DC318B"/>
    <w:rsid w:val="00DC337B"/>
    <w:rsid w:val="00DC350B"/>
    <w:rsid w:val="00DC3A36"/>
    <w:rsid w:val="00DC3A38"/>
    <w:rsid w:val="00DC3C87"/>
    <w:rsid w:val="00DC3CB5"/>
    <w:rsid w:val="00DC3F15"/>
    <w:rsid w:val="00DC3F1F"/>
    <w:rsid w:val="00DC4140"/>
    <w:rsid w:val="00DC43BB"/>
    <w:rsid w:val="00DC447E"/>
    <w:rsid w:val="00DC44C9"/>
    <w:rsid w:val="00DC4505"/>
    <w:rsid w:val="00DC459C"/>
    <w:rsid w:val="00DC4661"/>
    <w:rsid w:val="00DC4A13"/>
    <w:rsid w:val="00DC4AAC"/>
    <w:rsid w:val="00DC4AD3"/>
    <w:rsid w:val="00DC4CB6"/>
    <w:rsid w:val="00DC4D05"/>
    <w:rsid w:val="00DC4FEE"/>
    <w:rsid w:val="00DC5375"/>
    <w:rsid w:val="00DC546F"/>
    <w:rsid w:val="00DC55C3"/>
    <w:rsid w:val="00DC5638"/>
    <w:rsid w:val="00DC5680"/>
    <w:rsid w:val="00DC5EC2"/>
    <w:rsid w:val="00DC6283"/>
    <w:rsid w:val="00DC6374"/>
    <w:rsid w:val="00DC66D6"/>
    <w:rsid w:val="00DC68AC"/>
    <w:rsid w:val="00DC6C7C"/>
    <w:rsid w:val="00DC6D80"/>
    <w:rsid w:val="00DC6E5E"/>
    <w:rsid w:val="00DC6E85"/>
    <w:rsid w:val="00DC6F78"/>
    <w:rsid w:val="00DC7236"/>
    <w:rsid w:val="00DC72D0"/>
    <w:rsid w:val="00DC741B"/>
    <w:rsid w:val="00DC759C"/>
    <w:rsid w:val="00DC75B8"/>
    <w:rsid w:val="00DC77BF"/>
    <w:rsid w:val="00DC79A5"/>
    <w:rsid w:val="00DD02E0"/>
    <w:rsid w:val="00DD0306"/>
    <w:rsid w:val="00DD034F"/>
    <w:rsid w:val="00DD0555"/>
    <w:rsid w:val="00DD064C"/>
    <w:rsid w:val="00DD0716"/>
    <w:rsid w:val="00DD0A03"/>
    <w:rsid w:val="00DD0A5C"/>
    <w:rsid w:val="00DD0ACC"/>
    <w:rsid w:val="00DD0B28"/>
    <w:rsid w:val="00DD0BA1"/>
    <w:rsid w:val="00DD0C42"/>
    <w:rsid w:val="00DD0F24"/>
    <w:rsid w:val="00DD0FE2"/>
    <w:rsid w:val="00DD108B"/>
    <w:rsid w:val="00DD10B6"/>
    <w:rsid w:val="00DD148D"/>
    <w:rsid w:val="00DD14CF"/>
    <w:rsid w:val="00DD1721"/>
    <w:rsid w:val="00DD1B59"/>
    <w:rsid w:val="00DD1E72"/>
    <w:rsid w:val="00DD1EC9"/>
    <w:rsid w:val="00DD1F04"/>
    <w:rsid w:val="00DD2306"/>
    <w:rsid w:val="00DD2414"/>
    <w:rsid w:val="00DD2431"/>
    <w:rsid w:val="00DD2573"/>
    <w:rsid w:val="00DD2823"/>
    <w:rsid w:val="00DD29A8"/>
    <w:rsid w:val="00DD2D08"/>
    <w:rsid w:val="00DD2EF3"/>
    <w:rsid w:val="00DD2F35"/>
    <w:rsid w:val="00DD30AD"/>
    <w:rsid w:val="00DD3179"/>
    <w:rsid w:val="00DD31AA"/>
    <w:rsid w:val="00DD334A"/>
    <w:rsid w:val="00DD34DE"/>
    <w:rsid w:val="00DD3608"/>
    <w:rsid w:val="00DD3920"/>
    <w:rsid w:val="00DD3965"/>
    <w:rsid w:val="00DD3B20"/>
    <w:rsid w:val="00DD3DD2"/>
    <w:rsid w:val="00DD4194"/>
    <w:rsid w:val="00DD437C"/>
    <w:rsid w:val="00DD451F"/>
    <w:rsid w:val="00DD453A"/>
    <w:rsid w:val="00DD4584"/>
    <w:rsid w:val="00DD466D"/>
    <w:rsid w:val="00DD4745"/>
    <w:rsid w:val="00DD4832"/>
    <w:rsid w:val="00DD4C13"/>
    <w:rsid w:val="00DD4D58"/>
    <w:rsid w:val="00DD4D98"/>
    <w:rsid w:val="00DD5017"/>
    <w:rsid w:val="00DD51E8"/>
    <w:rsid w:val="00DD5229"/>
    <w:rsid w:val="00DD584D"/>
    <w:rsid w:val="00DD58D0"/>
    <w:rsid w:val="00DD5AC1"/>
    <w:rsid w:val="00DD5C79"/>
    <w:rsid w:val="00DD5CE0"/>
    <w:rsid w:val="00DD5D94"/>
    <w:rsid w:val="00DD5E81"/>
    <w:rsid w:val="00DD5F1B"/>
    <w:rsid w:val="00DD610E"/>
    <w:rsid w:val="00DD63F1"/>
    <w:rsid w:val="00DD64FB"/>
    <w:rsid w:val="00DD6500"/>
    <w:rsid w:val="00DD655C"/>
    <w:rsid w:val="00DD6944"/>
    <w:rsid w:val="00DD6947"/>
    <w:rsid w:val="00DD6ACA"/>
    <w:rsid w:val="00DD6B8B"/>
    <w:rsid w:val="00DD6DE4"/>
    <w:rsid w:val="00DD6E7E"/>
    <w:rsid w:val="00DD6F7C"/>
    <w:rsid w:val="00DD70BC"/>
    <w:rsid w:val="00DD720B"/>
    <w:rsid w:val="00DD772C"/>
    <w:rsid w:val="00DD78A7"/>
    <w:rsid w:val="00DD78BC"/>
    <w:rsid w:val="00DD79BF"/>
    <w:rsid w:val="00DD7C51"/>
    <w:rsid w:val="00DD7D74"/>
    <w:rsid w:val="00DD7EFA"/>
    <w:rsid w:val="00DD7FDC"/>
    <w:rsid w:val="00DE0019"/>
    <w:rsid w:val="00DE00D2"/>
    <w:rsid w:val="00DE020A"/>
    <w:rsid w:val="00DE02B0"/>
    <w:rsid w:val="00DE0333"/>
    <w:rsid w:val="00DE033F"/>
    <w:rsid w:val="00DE0413"/>
    <w:rsid w:val="00DE0781"/>
    <w:rsid w:val="00DE0AF3"/>
    <w:rsid w:val="00DE0B88"/>
    <w:rsid w:val="00DE0C2F"/>
    <w:rsid w:val="00DE0E1C"/>
    <w:rsid w:val="00DE0E71"/>
    <w:rsid w:val="00DE104E"/>
    <w:rsid w:val="00DE13AC"/>
    <w:rsid w:val="00DE14AE"/>
    <w:rsid w:val="00DE14ED"/>
    <w:rsid w:val="00DE1A9E"/>
    <w:rsid w:val="00DE1AD3"/>
    <w:rsid w:val="00DE1C68"/>
    <w:rsid w:val="00DE1CB9"/>
    <w:rsid w:val="00DE1EA3"/>
    <w:rsid w:val="00DE1F73"/>
    <w:rsid w:val="00DE2403"/>
    <w:rsid w:val="00DE2404"/>
    <w:rsid w:val="00DE2462"/>
    <w:rsid w:val="00DE292F"/>
    <w:rsid w:val="00DE29C2"/>
    <w:rsid w:val="00DE2B99"/>
    <w:rsid w:val="00DE2E53"/>
    <w:rsid w:val="00DE2E84"/>
    <w:rsid w:val="00DE2F90"/>
    <w:rsid w:val="00DE305F"/>
    <w:rsid w:val="00DE30FB"/>
    <w:rsid w:val="00DE316D"/>
    <w:rsid w:val="00DE32ED"/>
    <w:rsid w:val="00DE338E"/>
    <w:rsid w:val="00DE3500"/>
    <w:rsid w:val="00DE3503"/>
    <w:rsid w:val="00DE356D"/>
    <w:rsid w:val="00DE35BE"/>
    <w:rsid w:val="00DE39A4"/>
    <w:rsid w:val="00DE3A06"/>
    <w:rsid w:val="00DE3B32"/>
    <w:rsid w:val="00DE3B3F"/>
    <w:rsid w:val="00DE3BEC"/>
    <w:rsid w:val="00DE3C11"/>
    <w:rsid w:val="00DE3CF5"/>
    <w:rsid w:val="00DE3D85"/>
    <w:rsid w:val="00DE3FCB"/>
    <w:rsid w:val="00DE409E"/>
    <w:rsid w:val="00DE4259"/>
    <w:rsid w:val="00DE459E"/>
    <w:rsid w:val="00DE461D"/>
    <w:rsid w:val="00DE469B"/>
    <w:rsid w:val="00DE4885"/>
    <w:rsid w:val="00DE4993"/>
    <w:rsid w:val="00DE4C61"/>
    <w:rsid w:val="00DE4D05"/>
    <w:rsid w:val="00DE4E8A"/>
    <w:rsid w:val="00DE5020"/>
    <w:rsid w:val="00DE5119"/>
    <w:rsid w:val="00DE5189"/>
    <w:rsid w:val="00DE521E"/>
    <w:rsid w:val="00DE5221"/>
    <w:rsid w:val="00DE52AC"/>
    <w:rsid w:val="00DE53B7"/>
    <w:rsid w:val="00DE55C5"/>
    <w:rsid w:val="00DE5784"/>
    <w:rsid w:val="00DE5810"/>
    <w:rsid w:val="00DE587D"/>
    <w:rsid w:val="00DE5914"/>
    <w:rsid w:val="00DE59D9"/>
    <w:rsid w:val="00DE5BAF"/>
    <w:rsid w:val="00DE5C6A"/>
    <w:rsid w:val="00DE5E1A"/>
    <w:rsid w:val="00DE5E4E"/>
    <w:rsid w:val="00DE5EA4"/>
    <w:rsid w:val="00DE5ED5"/>
    <w:rsid w:val="00DE5FED"/>
    <w:rsid w:val="00DE61BF"/>
    <w:rsid w:val="00DE62F1"/>
    <w:rsid w:val="00DE63C2"/>
    <w:rsid w:val="00DE66BF"/>
    <w:rsid w:val="00DE66D7"/>
    <w:rsid w:val="00DE67C3"/>
    <w:rsid w:val="00DE67D0"/>
    <w:rsid w:val="00DE68C7"/>
    <w:rsid w:val="00DE6E56"/>
    <w:rsid w:val="00DE6E7D"/>
    <w:rsid w:val="00DE6FFD"/>
    <w:rsid w:val="00DE707F"/>
    <w:rsid w:val="00DE7269"/>
    <w:rsid w:val="00DE72B0"/>
    <w:rsid w:val="00DE74FC"/>
    <w:rsid w:val="00DE77EA"/>
    <w:rsid w:val="00DE78F3"/>
    <w:rsid w:val="00DE7968"/>
    <w:rsid w:val="00DE7C76"/>
    <w:rsid w:val="00DE7CD9"/>
    <w:rsid w:val="00DE7E72"/>
    <w:rsid w:val="00DE7F1D"/>
    <w:rsid w:val="00DED7B5"/>
    <w:rsid w:val="00DF0089"/>
    <w:rsid w:val="00DF00D6"/>
    <w:rsid w:val="00DF0217"/>
    <w:rsid w:val="00DF05DF"/>
    <w:rsid w:val="00DF0ACB"/>
    <w:rsid w:val="00DF0C49"/>
    <w:rsid w:val="00DF0D52"/>
    <w:rsid w:val="00DF0DD0"/>
    <w:rsid w:val="00DF0E7A"/>
    <w:rsid w:val="00DF0FDB"/>
    <w:rsid w:val="00DF1054"/>
    <w:rsid w:val="00DF1213"/>
    <w:rsid w:val="00DF12F9"/>
    <w:rsid w:val="00DF13A8"/>
    <w:rsid w:val="00DF13E1"/>
    <w:rsid w:val="00DF1A6C"/>
    <w:rsid w:val="00DF1BF6"/>
    <w:rsid w:val="00DF1F96"/>
    <w:rsid w:val="00DF226F"/>
    <w:rsid w:val="00DF24BA"/>
    <w:rsid w:val="00DF272B"/>
    <w:rsid w:val="00DF2DD7"/>
    <w:rsid w:val="00DF2DE0"/>
    <w:rsid w:val="00DF2E6C"/>
    <w:rsid w:val="00DF2F50"/>
    <w:rsid w:val="00DF3047"/>
    <w:rsid w:val="00DF32C8"/>
    <w:rsid w:val="00DF3373"/>
    <w:rsid w:val="00DF33CA"/>
    <w:rsid w:val="00DF34A9"/>
    <w:rsid w:val="00DF3559"/>
    <w:rsid w:val="00DF35FE"/>
    <w:rsid w:val="00DF39AA"/>
    <w:rsid w:val="00DF3B1E"/>
    <w:rsid w:val="00DF3B66"/>
    <w:rsid w:val="00DF3ECF"/>
    <w:rsid w:val="00DF4625"/>
    <w:rsid w:val="00DF4797"/>
    <w:rsid w:val="00DF4899"/>
    <w:rsid w:val="00DF4A04"/>
    <w:rsid w:val="00DF4A29"/>
    <w:rsid w:val="00DF4DFD"/>
    <w:rsid w:val="00DF4E83"/>
    <w:rsid w:val="00DF4EDD"/>
    <w:rsid w:val="00DF5055"/>
    <w:rsid w:val="00DF512E"/>
    <w:rsid w:val="00DF5200"/>
    <w:rsid w:val="00DF5525"/>
    <w:rsid w:val="00DF567E"/>
    <w:rsid w:val="00DF5AA2"/>
    <w:rsid w:val="00DF5E3D"/>
    <w:rsid w:val="00DF60B9"/>
    <w:rsid w:val="00DF612C"/>
    <w:rsid w:val="00DF635F"/>
    <w:rsid w:val="00DF6610"/>
    <w:rsid w:val="00DF66B8"/>
    <w:rsid w:val="00DF670C"/>
    <w:rsid w:val="00DF67A6"/>
    <w:rsid w:val="00DF67BA"/>
    <w:rsid w:val="00DF692D"/>
    <w:rsid w:val="00DF6AB0"/>
    <w:rsid w:val="00DF6B0E"/>
    <w:rsid w:val="00DF7084"/>
    <w:rsid w:val="00DF780F"/>
    <w:rsid w:val="00DF7B66"/>
    <w:rsid w:val="00DF7D1B"/>
    <w:rsid w:val="00E00285"/>
    <w:rsid w:val="00E002B2"/>
    <w:rsid w:val="00E002CF"/>
    <w:rsid w:val="00E00583"/>
    <w:rsid w:val="00E00619"/>
    <w:rsid w:val="00E0084E"/>
    <w:rsid w:val="00E009C6"/>
    <w:rsid w:val="00E00B73"/>
    <w:rsid w:val="00E00C44"/>
    <w:rsid w:val="00E00F67"/>
    <w:rsid w:val="00E01046"/>
    <w:rsid w:val="00E0108C"/>
    <w:rsid w:val="00E01139"/>
    <w:rsid w:val="00E0155E"/>
    <w:rsid w:val="00E017D4"/>
    <w:rsid w:val="00E01C52"/>
    <w:rsid w:val="00E01D72"/>
    <w:rsid w:val="00E01DA4"/>
    <w:rsid w:val="00E01E0D"/>
    <w:rsid w:val="00E01E67"/>
    <w:rsid w:val="00E01FA8"/>
    <w:rsid w:val="00E02155"/>
    <w:rsid w:val="00E0224A"/>
    <w:rsid w:val="00E022C4"/>
    <w:rsid w:val="00E023A7"/>
    <w:rsid w:val="00E02544"/>
    <w:rsid w:val="00E026CB"/>
    <w:rsid w:val="00E02BF1"/>
    <w:rsid w:val="00E030A5"/>
    <w:rsid w:val="00E032B9"/>
    <w:rsid w:val="00E033F1"/>
    <w:rsid w:val="00E0342D"/>
    <w:rsid w:val="00E035A2"/>
    <w:rsid w:val="00E0387F"/>
    <w:rsid w:val="00E03B2B"/>
    <w:rsid w:val="00E03CC7"/>
    <w:rsid w:val="00E03FE1"/>
    <w:rsid w:val="00E0412E"/>
    <w:rsid w:val="00E0421A"/>
    <w:rsid w:val="00E04284"/>
    <w:rsid w:val="00E042E4"/>
    <w:rsid w:val="00E04493"/>
    <w:rsid w:val="00E04523"/>
    <w:rsid w:val="00E047BC"/>
    <w:rsid w:val="00E04809"/>
    <w:rsid w:val="00E04896"/>
    <w:rsid w:val="00E04C9A"/>
    <w:rsid w:val="00E05048"/>
    <w:rsid w:val="00E05055"/>
    <w:rsid w:val="00E05139"/>
    <w:rsid w:val="00E0515C"/>
    <w:rsid w:val="00E051F0"/>
    <w:rsid w:val="00E0532C"/>
    <w:rsid w:val="00E0541D"/>
    <w:rsid w:val="00E0543C"/>
    <w:rsid w:val="00E05A8C"/>
    <w:rsid w:val="00E05BD7"/>
    <w:rsid w:val="00E05ED5"/>
    <w:rsid w:val="00E05F76"/>
    <w:rsid w:val="00E06093"/>
    <w:rsid w:val="00E060C4"/>
    <w:rsid w:val="00E061C8"/>
    <w:rsid w:val="00E061CD"/>
    <w:rsid w:val="00E06274"/>
    <w:rsid w:val="00E06301"/>
    <w:rsid w:val="00E06491"/>
    <w:rsid w:val="00E064A2"/>
    <w:rsid w:val="00E0663A"/>
    <w:rsid w:val="00E066B9"/>
    <w:rsid w:val="00E066DE"/>
    <w:rsid w:val="00E066E3"/>
    <w:rsid w:val="00E0694D"/>
    <w:rsid w:val="00E06C8D"/>
    <w:rsid w:val="00E06D04"/>
    <w:rsid w:val="00E06D07"/>
    <w:rsid w:val="00E06FE5"/>
    <w:rsid w:val="00E07236"/>
    <w:rsid w:val="00E0737A"/>
    <w:rsid w:val="00E074D0"/>
    <w:rsid w:val="00E07658"/>
    <w:rsid w:val="00E076F1"/>
    <w:rsid w:val="00E077C2"/>
    <w:rsid w:val="00E07B1A"/>
    <w:rsid w:val="00E07B32"/>
    <w:rsid w:val="00E1009E"/>
    <w:rsid w:val="00E10196"/>
    <w:rsid w:val="00E1036C"/>
    <w:rsid w:val="00E10520"/>
    <w:rsid w:val="00E10620"/>
    <w:rsid w:val="00E10B04"/>
    <w:rsid w:val="00E10DA1"/>
    <w:rsid w:val="00E10DC8"/>
    <w:rsid w:val="00E10F07"/>
    <w:rsid w:val="00E1100F"/>
    <w:rsid w:val="00E11576"/>
    <w:rsid w:val="00E11617"/>
    <w:rsid w:val="00E117DF"/>
    <w:rsid w:val="00E11981"/>
    <w:rsid w:val="00E1199F"/>
    <w:rsid w:val="00E119C8"/>
    <w:rsid w:val="00E11CE4"/>
    <w:rsid w:val="00E11ECC"/>
    <w:rsid w:val="00E12057"/>
    <w:rsid w:val="00E12100"/>
    <w:rsid w:val="00E1210E"/>
    <w:rsid w:val="00E12489"/>
    <w:rsid w:val="00E126DB"/>
    <w:rsid w:val="00E127EA"/>
    <w:rsid w:val="00E12822"/>
    <w:rsid w:val="00E12932"/>
    <w:rsid w:val="00E12EB7"/>
    <w:rsid w:val="00E12F62"/>
    <w:rsid w:val="00E136D9"/>
    <w:rsid w:val="00E137AE"/>
    <w:rsid w:val="00E14091"/>
    <w:rsid w:val="00E142DD"/>
    <w:rsid w:val="00E14326"/>
    <w:rsid w:val="00E144E3"/>
    <w:rsid w:val="00E14810"/>
    <w:rsid w:val="00E14842"/>
    <w:rsid w:val="00E149F5"/>
    <w:rsid w:val="00E14B1D"/>
    <w:rsid w:val="00E14C8B"/>
    <w:rsid w:val="00E14ECD"/>
    <w:rsid w:val="00E15366"/>
    <w:rsid w:val="00E15486"/>
    <w:rsid w:val="00E155CF"/>
    <w:rsid w:val="00E155EF"/>
    <w:rsid w:val="00E1583B"/>
    <w:rsid w:val="00E15C06"/>
    <w:rsid w:val="00E15C8B"/>
    <w:rsid w:val="00E15D67"/>
    <w:rsid w:val="00E15ED2"/>
    <w:rsid w:val="00E1619B"/>
    <w:rsid w:val="00E161D4"/>
    <w:rsid w:val="00E16218"/>
    <w:rsid w:val="00E1679E"/>
    <w:rsid w:val="00E16AFF"/>
    <w:rsid w:val="00E16B14"/>
    <w:rsid w:val="00E16C99"/>
    <w:rsid w:val="00E16F41"/>
    <w:rsid w:val="00E16FCE"/>
    <w:rsid w:val="00E1703B"/>
    <w:rsid w:val="00E17267"/>
    <w:rsid w:val="00E172D8"/>
    <w:rsid w:val="00E1736C"/>
    <w:rsid w:val="00E1740C"/>
    <w:rsid w:val="00E17595"/>
    <w:rsid w:val="00E179A1"/>
    <w:rsid w:val="00E179AB"/>
    <w:rsid w:val="00E179C7"/>
    <w:rsid w:val="00E179D6"/>
    <w:rsid w:val="00E17CED"/>
    <w:rsid w:val="00E17DF5"/>
    <w:rsid w:val="00E17F13"/>
    <w:rsid w:val="00E20474"/>
    <w:rsid w:val="00E20552"/>
    <w:rsid w:val="00E20556"/>
    <w:rsid w:val="00E20797"/>
    <w:rsid w:val="00E207E5"/>
    <w:rsid w:val="00E20853"/>
    <w:rsid w:val="00E208AC"/>
    <w:rsid w:val="00E20C17"/>
    <w:rsid w:val="00E2103D"/>
    <w:rsid w:val="00E21047"/>
    <w:rsid w:val="00E2104B"/>
    <w:rsid w:val="00E21345"/>
    <w:rsid w:val="00E215D3"/>
    <w:rsid w:val="00E2164D"/>
    <w:rsid w:val="00E2173D"/>
    <w:rsid w:val="00E217A2"/>
    <w:rsid w:val="00E219F7"/>
    <w:rsid w:val="00E21C2C"/>
    <w:rsid w:val="00E21F53"/>
    <w:rsid w:val="00E21FC2"/>
    <w:rsid w:val="00E2211E"/>
    <w:rsid w:val="00E2215F"/>
    <w:rsid w:val="00E22500"/>
    <w:rsid w:val="00E22617"/>
    <w:rsid w:val="00E2277E"/>
    <w:rsid w:val="00E22875"/>
    <w:rsid w:val="00E22CF1"/>
    <w:rsid w:val="00E22FAF"/>
    <w:rsid w:val="00E23090"/>
    <w:rsid w:val="00E23098"/>
    <w:rsid w:val="00E2331B"/>
    <w:rsid w:val="00E2358E"/>
    <w:rsid w:val="00E236E2"/>
    <w:rsid w:val="00E239D0"/>
    <w:rsid w:val="00E23C89"/>
    <w:rsid w:val="00E2417A"/>
    <w:rsid w:val="00E24241"/>
    <w:rsid w:val="00E2424E"/>
    <w:rsid w:val="00E24403"/>
    <w:rsid w:val="00E24B0A"/>
    <w:rsid w:val="00E24DA9"/>
    <w:rsid w:val="00E24DE7"/>
    <w:rsid w:val="00E24F7B"/>
    <w:rsid w:val="00E25323"/>
    <w:rsid w:val="00E2540A"/>
    <w:rsid w:val="00E25420"/>
    <w:rsid w:val="00E25601"/>
    <w:rsid w:val="00E257DE"/>
    <w:rsid w:val="00E257E1"/>
    <w:rsid w:val="00E25833"/>
    <w:rsid w:val="00E25878"/>
    <w:rsid w:val="00E258C2"/>
    <w:rsid w:val="00E258F7"/>
    <w:rsid w:val="00E25EFF"/>
    <w:rsid w:val="00E2600D"/>
    <w:rsid w:val="00E26050"/>
    <w:rsid w:val="00E26208"/>
    <w:rsid w:val="00E26325"/>
    <w:rsid w:val="00E26432"/>
    <w:rsid w:val="00E26649"/>
    <w:rsid w:val="00E2676B"/>
    <w:rsid w:val="00E26792"/>
    <w:rsid w:val="00E267F6"/>
    <w:rsid w:val="00E269CC"/>
    <w:rsid w:val="00E26AA4"/>
    <w:rsid w:val="00E26CB3"/>
    <w:rsid w:val="00E26CDF"/>
    <w:rsid w:val="00E26D77"/>
    <w:rsid w:val="00E26E72"/>
    <w:rsid w:val="00E26E80"/>
    <w:rsid w:val="00E26F23"/>
    <w:rsid w:val="00E270B3"/>
    <w:rsid w:val="00E27129"/>
    <w:rsid w:val="00E27230"/>
    <w:rsid w:val="00E2725B"/>
    <w:rsid w:val="00E27329"/>
    <w:rsid w:val="00E27470"/>
    <w:rsid w:val="00E27506"/>
    <w:rsid w:val="00E27A0D"/>
    <w:rsid w:val="00E27B40"/>
    <w:rsid w:val="00E27CEB"/>
    <w:rsid w:val="00E27D2F"/>
    <w:rsid w:val="00E27D7D"/>
    <w:rsid w:val="00E27F89"/>
    <w:rsid w:val="00E30114"/>
    <w:rsid w:val="00E30139"/>
    <w:rsid w:val="00E30223"/>
    <w:rsid w:val="00E30275"/>
    <w:rsid w:val="00E30292"/>
    <w:rsid w:val="00E30310"/>
    <w:rsid w:val="00E30372"/>
    <w:rsid w:val="00E30399"/>
    <w:rsid w:val="00E30644"/>
    <w:rsid w:val="00E3089E"/>
    <w:rsid w:val="00E30A38"/>
    <w:rsid w:val="00E30A69"/>
    <w:rsid w:val="00E30BE6"/>
    <w:rsid w:val="00E30DE5"/>
    <w:rsid w:val="00E30FE4"/>
    <w:rsid w:val="00E3123D"/>
    <w:rsid w:val="00E31448"/>
    <w:rsid w:val="00E31600"/>
    <w:rsid w:val="00E31625"/>
    <w:rsid w:val="00E316E9"/>
    <w:rsid w:val="00E3179D"/>
    <w:rsid w:val="00E318B0"/>
    <w:rsid w:val="00E31C31"/>
    <w:rsid w:val="00E31D1F"/>
    <w:rsid w:val="00E324D6"/>
    <w:rsid w:val="00E324ED"/>
    <w:rsid w:val="00E329B5"/>
    <w:rsid w:val="00E32B69"/>
    <w:rsid w:val="00E32C99"/>
    <w:rsid w:val="00E32D37"/>
    <w:rsid w:val="00E32EFF"/>
    <w:rsid w:val="00E33381"/>
    <w:rsid w:val="00E336CC"/>
    <w:rsid w:val="00E33906"/>
    <w:rsid w:val="00E33AE0"/>
    <w:rsid w:val="00E33B2A"/>
    <w:rsid w:val="00E33BFD"/>
    <w:rsid w:val="00E33CA0"/>
    <w:rsid w:val="00E33E30"/>
    <w:rsid w:val="00E33EB3"/>
    <w:rsid w:val="00E33F09"/>
    <w:rsid w:val="00E33F76"/>
    <w:rsid w:val="00E33FA4"/>
    <w:rsid w:val="00E3432A"/>
    <w:rsid w:val="00E34AD3"/>
    <w:rsid w:val="00E35057"/>
    <w:rsid w:val="00E35122"/>
    <w:rsid w:val="00E3532F"/>
    <w:rsid w:val="00E35374"/>
    <w:rsid w:val="00E35518"/>
    <w:rsid w:val="00E356BC"/>
    <w:rsid w:val="00E357D0"/>
    <w:rsid w:val="00E35801"/>
    <w:rsid w:val="00E35C88"/>
    <w:rsid w:val="00E35D1F"/>
    <w:rsid w:val="00E35D7B"/>
    <w:rsid w:val="00E35DAF"/>
    <w:rsid w:val="00E35E38"/>
    <w:rsid w:val="00E35EEA"/>
    <w:rsid w:val="00E360AA"/>
    <w:rsid w:val="00E36149"/>
    <w:rsid w:val="00E36299"/>
    <w:rsid w:val="00E362D8"/>
    <w:rsid w:val="00E36C50"/>
    <w:rsid w:val="00E36C58"/>
    <w:rsid w:val="00E36C72"/>
    <w:rsid w:val="00E36DEA"/>
    <w:rsid w:val="00E36E65"/>
    <w:rsid w:val="00E370D2"/>
    <w:rsid w:val="00E371F0"/>
    <w:rsid w:val="00E37396"/>
    <w:rsid w:val="00E37449"/>
    <w:rsid w:val="00E3747C"/>
    <w:rsid w:val="00E376C5"/>
    <w:rsid w:val="00E3770A"/>
    <w:rsid w:val="00E377BA"/>
    <w:rsid w:val="00E37810"/>
    <w:rsid w:val="00E37B6D"/>
    <w:rsid w:val="00E37C84"/>
    <w:rsid w:val="00E37E73"/>
    <w:rsid w:val="00E37F44"/>
    <w:rsid w:val="00E37F79"/>
    <w:rsid w:val="00E37F94"/>
    <w:rsid w:val="00E40221"/>
    <w:rsid w:val="00E4038D"/>
    <w:rsid w:val="00E403D5"/>
    <w:rsid w:val="00E404D1"/>
    <w:rsid w:val="00E404D9"/>
    <w:rsid w:val="00E4053B"/>
    <w:rsid w:val="00E4065F"/>
    <w:rsid w:val="00E40718"/>
    <w:rsid w:val="00E407CC"/>
    <w:rsid w:val="00E4084C"/>
    <w:rsid w:val="00E40B20"/>
    <w:rsid w:val="00E40E38"/>
    <w:rsid w:val="00E41207"/>
    <w:rsid w:val="00E4123D"/>
    <w:rsid w:val="00E41300"/>
    <w:rsid w:val="00E41458"/>
    <w:rsid w:val="00E4158C"/>
    <w:rsid w:val="00E41678"/>
    <w:rsid w:val="00E41766"/>
    <w:rsid w:val="00E41BE7"/>
    <w:rsid w:val="00E41FCC"/>
    <w:rsid w:val="00E421B4"/>
    <w:rsid w:val="00E4232A"/>
    <w:rsid w:val="00E424A4"/>
    <w:rsid w:val="00E424F9"/>
    <w:rsid w:val="00E42766"/>
    <w:rsid w:val="00E427C0"/>
    <w:rsid w:val="00E42AE0"/>
    <w:rsid w:val="00E42B95"/>
    <w:rsid w:val="00E42C58"/>
    <w:rsid w:val="00E42F8E"/>
    <w:rsid w:val="00E4309A"/>
    <w:rsid w:val="00E4310D"/>
    <w:rsid w:val="00E43229"/>
    <w:rsid w:val="00E43474"/>
    <w:rsid w:val="00E434FE"/>
    <w:rsid w:val="00E4351F"/>
    <w:rsid w:val="00E437EC"/>
    <w:rsid w:val="00E43A36"/>
    <w:rsid w:val="00E43A3E"/>
    <w:rsid w:val="00E43D8A"/>
    <w:rsid w:val="00E440A9"/>
    <w:rsid w:val="00E44335"/>
    <w:rsid w:val="00E44428"/>
    <w:rsid w:val="00E44505"/>
    <w:rsid w:val="00E44707"/>
    <w:rsid w:val="00E44AF3"/>
    <w:rsid w:val="00E44BF9"/>
    <w:rsid w:val="00E44C4C"/>
    <w:rsid w:val="00E44E49"/>
    <w:rsid w:val="00E44EB1"/>
    <w:rsid w:val="00E4506D"/>
    <w:rsid w:val="00E452D6"/>
    <w:rsid w:val="00E4536D"/>
    <w:rsid w:val="00E455F8"/>
    <w:rsid w:val="00E45D3E"/>
    <w:rsid w:val="00E45DB9"/>
    <w:rsid w:val="00E45FC6"/>
    <w:rsid w:val="00E460DC"/>
    <w:rsid w:val="00E46411"/>
    <w:rsid w:val="00E464BC"/>
    <w:rsid w:val="00E46504"/>
    <w:rsid w:val="00E46506"/>
    <w:rsid w:val="00E46881"/>
    <w:rsid w:val="00E468CC"/>
    <w:rsid w:val="00E46917"/>
    <w:rsid w:val="00E4692A"/>
    <w:rsid w:val="00E46BF3"/>
    <w:rsid w:val="00E46CF0"/>
    <w:rsid w:val="00E46E9A"/>
    <w:rsid w:val="00E47028"/>
    <w:rsid w:val="00E47080"/>
    <w:rsid w:val="00E4712A"/>
    <w:rsid w:val="00E474BD"/>
    <w:rsid w:val="00E4759B"/>
    <w:rsid w:val="00E475EE"/>
    <w:rsid w:val="00E4762F"/>
    <w:rsid w:val="00E4779B"/>
    <w:rsid w:val="00E47A2E"/>
    <w:rsid w:val="00E47C6C"/>
    <w:rsid w:val="00E47CF8"/>
    <w:rsid w:val="00E47E37"/>
    <w:rsid w:val="00E4CFF2"/>
    <w:rsid w:val="00E5019D"/>
    <w:rsid w:val="00E50265"/>
    <w:rsid w:val="00E50407"/>
    <w:rsid w:val="00E50440"/>
    <w:rsid w:val="00E5065A"/>
    <w:rsid w:val="00E50AD8"/>
    <w:rsid w:val="00E50BF3"/>
    <w:rsid w:val="00E50D28"/>
    <w:rsid w:val="00E50E73"/>
    <w:rsid w:val="00E51085"/>
    <w:rsid w:val="00E511CA"/>
    <w:rsid w:val="00E512A0"/>
    <w:rsid w:val="00E513C4"/>
    <w:rsid w:val="00E514F7"/>
    <w:rsid w:val="00E516D2"/>
    <w:rsid w:val="00E51766"/>
    <w:rsid w:val="00E51792"/>
    <w:rsid w:val="00E51824"/>
    <w:rsid w:val="00E5182E"/>
    <w:rsid w:val="00E51A1F"/>
    <w:rsid w:val="00E51BAB"/>
    <w:rsid w:val="00E51C46"/>
    <w:rsid w:val="00E51D0E"/>
    <w:rsid w:val="00E51D62"/>
    <w:rsid w:val="00E52196"/>
    <w:rsid w:val="00E521EA"/>
    <w:rsid w:val="00E5228D"/>
    <w:rsid w:val="00E5241E"/>
    <w:rsid w:val="00E52564"/>
    <w:rsid w:val="00E52642"/>
    <w:rsid w:val="00E52746"/>
    <w:rsid w:val="00E5289C"/>
    <w:rsid w:val="00E5294B"/>
    <w:rsid w:val="00E5298A"/>
    <w:rsid w:val="00E52A13"/>
    <w:rsid w:val="00E52A49"/>
    <w:rsid w:val="00E52A66"/>
    <w:rsid w:val="00E52C67"/>
    <w:rsid w:val="00E52D0C"/>
    <w:rsid w:val="00E52D4B"/>
    <w:rsid w:val="00E52DB7"/>
    <w:rsid w:val="00E53210"/>
    <w:rsid w:val="00E53242"/>
    <w:rsid w:val="00E533E0"/>
    <w:rsid w:val="00E533FA"/>
    <w:rsid w:val="00E5341E"/>
    <w:rsid w:val="00E53437"/>
    <w:rsid w:val="00E535B9"/>
    <w:rsid w:val="00E53753"/>
    <w:rsid w:val="00E537C5"/>
    <w:rsid w:val="00E5382E"/>
    <w:rsid w:val="00E53865"/>
    <w:rsid w:val="00E53BCF"/>
    <w:rsid w:val="00E53C1D"/>
    <w:rsid w:val="00E53CA5"/>
    <w:rsid w:val="00E54049"/>
    <w:rsid w:val="00E544B4"/>
    <w:rsid w:val="00E54596"/>
    <w:rsid w:val="00E5465C"/>
    <w:rsid w:val="00E54660"/>
    <w:rsid w:val="00E547B1"/>
    <w:rsid w:val="00E54A55"/>
    <w:rsid w:val="00E54D05"/>
    <w:rsid w:val="00E54E7A"/>
    <w:rsid w:val="00E54F60"/>
    <w:rsid w:val="00E54FD5"/>
    <w:rsid w:val="00E55196"/>
    <w:rsid w:val="00E551D5"/>
    <w:rsid w:val="00E55439"/>
    <w:rsid w:val="00E55580"/>
    <w:rsid w:val="00E55696"/>
    <w:rsid w:val="00E556C8"/>
    <w:rsid w:val="00E556C9"/>
    <w:rsid w:val="00E5587F"/>
    <w:rsid w:val="00E558B7"/>
    <w:rsid w:val="00E55A06"/>
    <w:rsid w:val="00E55BC6"/>
    <w:rsid w:val="00E55C36"/>
    <w:rsid w:val="00E55F77"/>
    <w:rsid w:val="00E56152"/>
    <w:rsid w:val="00E5634B"/>
    <w:rsid w:val="00E563AA"/>
    <w:rsid w:val="00E564BA"/>
    <w:rsid w:val="00E564DD"/>
    <w:rsid w:val="00E5654C"/>
    <w:rsid w:val="00E566B3"/>
    <w:rsid w:val="00E56750"/>
    <w:rsid w:val="00E5681D"/>
    <w:rsid w:val="00E5682B"/>
    <w:rsid w:val="00E56B57"/>
    <w:rsid w:val="00E56F25"/>
    <w:rsid w:val="00E56FD4"/>
    <w:rsid w:val="00E57016"/>
    <w:rsid w:val="00E57164"/>
    <w:rsid w:val="00E57329"/>
    <w:rsid w:val="00E575BC"/>
    <w:rsid w:val="00E577DE"/>
    <w:rsid w:val="00E57874"/>
    <w:rsid w:val="00E57A83"/>
    <w:rsid w:val="00E57C91"/>
    <w:rsid w:val="00E57CE3"/>
    <w:rsid w:val="00E57FAC"/>
    <w:rsid w:val="00E60190"/>
    <w:rsid w:val="00E603BA"/>
    <w:rsid w:val="00E60585"/>
    <w:rsid w:val="00E6061A"/>
    <w:rsid w:val="00E6074A"/>
    <w:rsid w:val="00E60DDF"/>
    <w:rsid w:val="00E60F55"/>
    <w:rsid w:val="00E60F8B"/>
    <w:rsid w:val="00E61044"/>
    <w:rsid w:val="00E61374"/>
    <w:rsid w:val="00E614CF"/>
    <w:rsid w:val="00E6154A"/>
    <w:rsid w:val="00E615DA"/>
    <w:rsid w:val="00E6186B"/>
    <w:rsid w:val="00E61D17"/>
    <w:rsid w:val="00E61DD3"/>
    <w:rsid w:val="00E6239E"/>
    <w:rsid w:val="00E624F1"/>
    <w:rsid w:val="00E62971"/>
    <w:rsid w:val="00E6298C"/>
    <w:rsid w:val="00E62BF8"/>
    <w:rsid w:val="00E62CAA"/>
    <w:rsid w:val="00E62DF6"/>
    <w:rsid w:val="00E62ED7"/>
    <w:rsid w:val="00E6305F"/>
    <w:rsid w:val="00E631E9"/>
    <w:rsid w:val="00E6329B"/>
    <w:rsid w:val="00E633D3"/>
    <w:rsid w:val="00E634E5"/>
    <w:rsid w:val="00E6370C"/>
    <w:rsid w:val="00E63B14"/>
    <w:rsid w:val="00E63D2B"/>
    <w:rsid w:val="00E641C5"/>
    <w:rsid w:val="00E64251"/>
    <w:rsid w:val="00E6446C"/>
    <w:rsid w:val="00E64484"/>
    <w:rsid w:val="00E644ED"/>
    <w:rsid w:val="00E6456E"/>
    <w:rsid w:val="00E64845"/>
    <w:rsid w:val="00E6491D"/>
    <w:rsid w:val="00E64980"/>
    <w:rsid w:val="00E64A3A"/>
    <w:rsid w:val="00E64A72"/>
    <w:rsid w:val="00E64BC2"/>
    <w:rsid w:val="00E6511E"/>
    <w:rsid w:val="00E65270"/>
    <w:rsid w:val="00E652D8"/>
    <w:rsid w:val="00E65415"/>
    <w:rsid w:val="00E6549C"/>
    <w:rsid w:val="00E657DA"/>
    <w:rsid w:val="00E659B3"/>
    <w:rsid w:val="00E65AFF"/>
    <w:rsid w:val="00E65BA4"/>
    <w:rsid w:val="00E65BDC"/>
    <w:rsid w:val="00E65CFD"/>
    <w:rsid w:val="00E65E40"/>
    <w:rsid w:val="00E65E69"/>
    <w:rsid w:val="00E65F22"/>
    <w:rsid w:val="00E6613C"/>
    <w:rsid w:val="00E66442"/>
    <w:rsid w:val="00E66500"/>
    <w:rsid w:val="00E66556"/>
    <w:rsid w:val="00E6665E"/>
    <w:rsid w:val="00E66728"/>
    <w:rsid w:val="00E66952"/>
    <w:rsid w:val="00E669BC"/>
    <w:rsid w:val="00E66B3C"/>
    <w:rsid w:val="00E66C3A"/>
    <w:rsid w:val="00E66DC1"/>
    <w:rsid w:val="00E66DE7"/>
    <w:rsid w:val="00E66F84"/>
    <w:rsid w:val="00E6714A"/>
    <w:rsid w:val="00E6735F"/>
    <w:rsid w:val="00E673B3"/>
    <w:rsid w:val="00E6757A"/>
    <w:rsid w:val="00E675B1"/>
    <w:rsid w:val="00E678B0"/>
    <w:rsid w:val="00E67A54"/>
    <w:rsid w:val="00E67AB8"/>
    <w:rsid w:val="00E67D10"/>
    <w:rsid w:val="00E67EF5"/>
    <w:rsid w:val="00E67F08"/>
    <w:rsid w:val="00E67FFE"/>
    <w:rsid w:val="00E70028"/>
    <w:rsid w:val="00E7052A"/>
    <w:rsid w:val="00E706C4"/>
    <w:rsid w:val="00E7087A"/>
    <w:rsid w:val="00E70AA8"/>
    <w:rsid w:val="00E70D24"/>
    <w:rsid w:val="00E70DBB"/>
    <w:rsid w:val="00E70E09"/>
    <w:rsid w:val="00E70F79"/>
    <w:rsid w:val="00E71333"/>
    <w:rsid w:val="00E713AC"/>
    <w:rsid w:val="00E71635"/>
    <w:rsid w:val="00E71692"/>
    <w:rsid w:val="00E717ED"/>
    <w:rsid w:val="00E71838"/>
    <w:rsid w:val="00E71869"/>
    <w:rsid w:val="00E719B6"/>
    <w:rsid w:val="00E71A49"/>
    <w:rsid w:val="00E72006"/>
    <w:rsid w:val="00E722F4"/>
    <w:rsid w:val="00E726BA"/>
    <w:rsid w:val="00E7289C"/>
    <w:rsid w:val="00E7289D"/>
    <w:rsid w:val="00E72963"/>
    <w:rsid w:val="00E72D8C"/>
    <w:rsid w:val="00E72EA6"/>
    <w:rsid w:val="00E72FA7"/>
    <w:rsid w:val="00E72FF0"/>
    <w:rsid w:val="00E7311A"/>
    <w:rsid w:val="00E7356E"/>
    <w:rsid w:val="00E735AA"/>
    <w:rsid w:val="00E73BC1"/>
    <w:rsid w:val="00E73D3E"/>
    <w:rsid w:val="00E7408F"/>
    <w:rsid w:val="00E742C4"/>
    <w:rsid w:val="00E747D0"/>
    <w:rsid w:val="00E748AE"/>
    <w:rsid w:val="00E748C7"/>
    <w:rsid w:val="00E74B75"/>
    <w:rsid w:val="00E74F3F"/>
    <w:rsid w:val="00E74F59"/>
    <w:rsid w:val="00E7511D"/>
    <w:rsid w:val="00E751EC"/>
    <w:rsid w:val="00E75258"/>
    <w:rsid w:val="00E752A2"/>
    <w:rsid w:val="00E75328"/>
    <w:rsid w:val="00E753AB"/>
    <w:rsid w:val="00E75497"/>
    <w:rsid w:val="00E75918"/>
    <w:rsid w:val="00E75A5B"/>
    <w:rsid w:val="00E75B7C"/>
    <w:rsid w:val="00E75BE8"/>
    <w:rsid w:val="00E75FB9"/>
    <w:rsid w:val="00E761BA"/>
    <w:rsid w:val="00E76203"/>
    <w:rsid w:val="00E7628C"/>
    <w:rsid w:val="00E7638D"/>
    <w:rsid w:val="00E763C2"/>
    <w:rsid w:val="00E763EF"/>
    <w:rsid w:val="00E7651C"/>
    <w:rsid w:val="00E765B3"/>
    <w:rsid w:val="00E76A01"/>
    <w:rsid w:val="00E76A4C"/>
    <w:rsid w:val="00E76C50"/>
    <w:rsid w:val="00E76EAB"/>
    <w:rsid w:val="00E770DC"/>
    <w:rsid w:val="00E770F8"/>
    <w:rsid w:val="00E7738E"/>
    <w:rsid w:val="00E774B2"/>
    <w:rsid w:val="00E77A7A"/>
    <w:rsid w:val="00E77B37"/>
    <w:rsid w:val="00E77BD9"/>
    <w:rsid w:val="00E77BE2"/>
    <w:rsid w:val="00E77C01"/>
    <w:rsid w:val="00E77E5C"/>
    <w:rsid w:val="00E8039B"/>
    <w:rsid w:val="00E809EF"/>
    <w:rsid w:val="00E80B02"/>
    <w:rsid w:val="00E80D99"/>
    <w:rsid w:val="00E80DD4"/>
    <w:rsid w:val="00E81393"/>
    <w:rsid w:val="00E8143A"/>
    <w:rsid w:val="00E81515"/>
    <w:rsid w:val="00E816B2"/>
    <w:rsid w:val="00E8172F"/>
    <w:rsid w:val="00E8174E"/>
    <w:rsid w:val="00E81828"/>
    <w:rsid w:val="00E81957"/>
    <w:rsid w:val="00E81C6D"/>
    <w:rsid w:val="00E81CDF"/>
    <w:rsid w:val="00E81E86"/>
    <w:rsid w:val="00E81EBB"/>
    <w:rsid w:val="00E820B6"/>
    <w:rsid w:val="00E822EB"/>
    <w:rsid w:val="00E8233A"/>
    <w:rsid w:val="00E82746"/>
    <w:rsid w:val="00E828BE"/>
    <w:rsid w:val="00E828EE"/>
    <w:rsid w:val="00E82982"/>
    <w:rsid w:val="00E82C98"/>
    <w:rsid w:val="00E82E49"/>
    <w:rsid w:val="00E82E4F"/>
    <w:rsid w:val="00E82E60"/>
    <w:rsid w:val="00E82E9F"/>
    <w:rsid w:val="00E833DE"/>
    <w:rsid w:val="00E8347E"/>
    <w:rsid w:val="00E834A4"/>
    <w:rsid w:val="00E8352E"/>
    <w:rsid w:val="00E8365B"/>
    <w:rsid w:val="00E83901"/>
    <w:rsid w:val="00E83BB7"/>
    <w:rsid w:val="00E83EEE"/>
    <w:rsid w:val="00E83F44"/>
    <w:rsid w:val="00E84035"/>
    <w:rsid w:val="00E840A8"/>
    <w:rsid w:val="00E840BE"/>
    <w:rsid w:val="00E841E2"/>
    <w:rsid w:val="00E841F7"/>
    <w:rsid w:val="00E84246"/>
    <w:rsid w:val="00E845B4"/>
    <w:rsid w:val="00E84B22"/>
    <w:rsid w:val="00E84ECA"/>
    <w:rsid w:val="00E84ED6"/>
    <w:rsid w:val="00E85095"/>
    <w:rsid w:val="00E851B5"/>
    <w:rsid w:val="00E85409"/>
    <w:rsid w:val="00E85433"/>
    <w:rsid w:val="00E85614"/>
    <w:rsid w:val="00E856F1"/>
    <w:rsid w:val="00E85A8A"/>
    <w:rsid w:val="00E85C70"/>
    <w:rsid w:val="00E85EE6"/>
    <w:rsid w:val="00E85FC9"/>
    <w:rsid w:val="00E85FE9"/>
    <w:rsid w:val="00E86173"/>
    <w:rsid w:val="00E8645E"/>
    <w:rsid w:val="00E864BE"/>
    <w:rsid w:val="00E8661D"/>
    <w:rsid w:val="00E866BD"/>
    <w:rsid w:val="00E86B0F"/>
    <w:rsid w:val="00E86CD9"/>
    <w:rsid w:val="00E86FEF"/>
    <w:rsid w:val="00E8728D"/>
    <w:rsid w:val="00E87599"/>
    <w:rsid w:val="00E87642"/>
    <w:rsid w:val="00E87672"/>
    <w:rsid w:val="00E87732"/>
    <w:rsid w:val="00E8774D"/>
    <w:rsid w:val="00E87776"/>
    <w:rsid w:val="00E879EA"/>
    <w:rsid w:val="00E8818A"/>
    <w:rsid w:val="00E90718"/>
    <w:rsid w:val="00E909EB"/>
    <w:rsid w:val="00E90AEB"/>
    <w:rsid w:val="00E90C16"/>
    <w:rsid w:val="00E90DFC"/>
    <w:rsid w:val="00E90EB8"/>
    <w:rsid w:val="00E91123"/>
    <w:rsid w:val="00E911DC"/>
    <w:rsid w:val="00E91239"/>
    <w:rsid w:val="00E913AF"/>
    <w:rsid w:val="00E914EB"/>
    <w:rsid w:val="00E915D8"/>
    <w:rsid w:val="00E916AB"/>
    <w:rsid w:val="00E917E0"/>
    <w:rsid w:val="00E91894"/>
    <w:rsid w:val="00E91C6D"/>
    <w:rsid w:val="00E91D73"/>
    <w:rsid w:val="00E922E7"/>
    <w:rsid w:val="00E9230B"/>
    <w:rsid w:val="00E9263E"/>
    <w:rsid w:val="00E92650"/>
    <w:rsid w:val="00E92656"/>
    <w:rsid w:val="00E92821"/>
    <w:rsid w:val="00E92F22"/>
    <w:rsid w:val="00E9317F"/>
    <w:rsid w:val="00E93538"/>
    <w:rsid w:val="00E936E1"/>
    <w:rsid w:val="00E93848"/>
    <w:rsid w:val="00E93A90"/>
    <w:rsid w:val="00E93AD1"/>
    <w:rsid w:val="00E93DCE"/>
    <w:rsid w:val="00E93EED"/>
    <w:rsid w:val="00E93FA0"/>
    <w:rsid w:val="00E94664"/>
    <w:rsid w:val="00E947F6"/>
    <w:rsid w:val="00E948D4"/>
    <w:rsid w:val="00E94924"/>
    <w:rsid w:val="00E94ABE"/>
    <w:rsid w:val="00E94DBF"/>
    <w:rsid w:val="00E950EA"/>
    <w:rsid w:val="00E951B4"/>
    <w:rsid w:val="00E951F4"/>
    <w:rsid w:val="00E952A0"/>
    <w:rsid w:val="00E953E4"/>
    <w:rsid w:val="00E9545F"/>
    <w:rsid w:val="00E95508"/>
    <w:rsid w:val="00E96214"/>
    <w:rsid w:val="00E962A4"/>
    <w:rsid w:val="00E9630E"/>
    <w:rsid w:val="00E96317"/>
    <w:rsid w:val="00E9634C"/>
    <w:rsid w:val="00E96392"/>
    <w:rsid w:val="00E96539"/>
    <w:rsid w:val="00E9666C"/>
    <w:rsid w:val="00E96884"/>
    <w:rsid w:val="00E969E1"/>
    <w:rsid w:val="00E96BCA"/>
    <w:rsid w:val="00E96BD0"/>
    <w:rsid w:val="00E96C56"/>
    <w:rsid w:val="00E96E22"/>
    <w:rsid w:val="00E97078"/>
    <w:rsid w:val="00E97276"/>
    <w:rsid w:val="00E972AC"/>
    <w:rsid w:val="00E97543"/>
    <w:rsid w:val="00E977EF"/>
    <w:rsid w:val="00E9789E"/>
    <w:rsid w:val="00E97C20"/>
    <w:rsid w:val="00E97D3E"/>
    <w:rsid w:val="00E97E34"/>
    <w:rsid w:val="00E97F1F"/>
    <w:rsid w:val="00EA0343"/>
    <w:rsid w:val="00EA03E6"/>
    <w:rsid w:val="00EA06AE"/>
    <w:rsid w:val="00EA06F7"/>
    <w:rsid w:val="00EA085A"/>
    <w:rsid w:val="00EA09DC"/>
    <w:rsid w:val="00EA0A84"/>
    <w:rsid w:val="00EA0E8E"/>
    <w:rsid w:val="00EA1152"/>
    <w:rsid w:val="00EA16E3"/>
    <w:rsid w:val="00EA1729"/>
    <w:rsid w:val="00EA2210"/>
    <w:rsid w:val="00EA248C"/>
    <w:rsid w:val="00EA2542"/>
    <w:rsid w:val="00EA25C2"/>
    <w:rsid w:val="00EA2743"/>
    <w:rsid w:val="00EA29B2"/>
    <w:rsid w:val="00EA2A0C"/>
    <w:rsid w:val="00EA2B70"/>
    <w:rsid w:val="00EA2B78"/>
    <w:rsid w:val="00EA2C2F"/>
    <w:rsid w:val="00EA2E43"/>
    <w:rsid w:val="00EA30AB"/>
    <w:rsid w:val="00EA30E2"/>
    <w:rsid w:val="00EA32D8"/>
    <w:rsid w:val="00EA34AA"/>
    <w:rsid w:val="00EA3619"/>
    <w:rsid w:val="00EA3649"/>
    <w:rsid w:val="00EA3783"/>
    <w:rsid w:val="00EA38D9"/>
    <w:rsid w:val="00EA3ADE"/>
    <w:rsid w:val="00EA3C41"/>
    <w:rsid w:val="00EA3D60"/>
    <w:rsid w:val="00EA3E6B"/>
    <w:rsid w:val="00EA414E"/>
    <w:rsid w:val="00EA451A"/>
    <w:rsid w:val="00EA4631"/>
    <w:rsid w:val="00EA47E3"/>
    <w:rsid w:val="00EA4820"/>
    <w:rsid w:val="00EA48BE"/>
    <w:rsid w:val="00EA492D"/>
    <w:rsid w:val="00EA497D"/>
    <w:rsid w:val="00EA49E5"/>
    <w:rsid w:val="00EA4A29"/>
    <w:rsid w:val="00EA4A72"/>
    <w:rsid w:val="00EA4AB6"/>
    <w:rsid w:val="00EA4C0B"/>
    <w:rsid w:val="00EA4C3E"/>
    <w:rsid w:val="00EA4F25"/>
    <w:rsid w:val="00EA4F6B"/>
    <w:rsid w:val="00EA514B"/>
    <w:rsid w:val="00EA51F4"/>
    <w:rsid w:val="00EA562D"/>
    <w:rsid w:val="00EA567A"/>
    <w:rsid w:val="00EA56E6"/>
    <w:rsid w:val="00EA58A3"/>
    <w:rsid w:val="00EA5A81"/>
    <w:rsid w:val="00EA5B67"/>
    <w:rsid w:val="00EA5CE8"/>
    <w:rsid w:val="00EA5D1F"/>
    <w:rsid w:val="00EA5E45"/>
    <w:rsid w:val="00EA5F4D"/>
    <w:rsid w:val="00EA620A"/>
    <w:rsid w:val="00EA63DE"/>
    <w:rsid w:val="00EA63DF"/>
    <w:rsid w:val="00EA648B"/>
    <w:rsid w:val="00EA65B7"/>
    <w:rsid w:val="00EA65CB"/>
    <w:rsid w:val="00EA65E4"/>
    <w:rsid w:val="00EA6707"/>
    <w:rsid w:val="00EA6810"/>
    <w:rsid w:val="00EA68F1"/>
    <w:rsid w:val="00EA6996"/>
    <w:rsid w:val="00EA69D9"/>
    <w:rsid w:val="00EA6BB9"/>
    <w:rsid w:val="00EA6C1C"/>
    <w:rsid w:val="00EA6C57"/>
    <w:rsid w:val="00EA6C73"/>
    <w:rsid w:val="00EA6DAA"/>
    <w:rsid w:val="00EA6E29"/>
    <w:rsid w:val="00EA7104"/>
    <w:rsid w:val="00EA735D"/>
    <w:rsid w:val="00EA74FB"/>
    <w:rsid w:val="00EA7639"/>
    <w:rsid w:val="00EA792B"/>
    <w:rsid w:val="00EA7B45"/>
    <w:rsid w:val="00EA7BD4"/>
    <w:rsid w:val="00EA7C90"/>
    <w:rsid w:val="00EA7CB2"/>
    <w:rsid w:val="00EA7D66"/>
    <w:rsid w:val="00EA7F41"/>
    <w:rsid w:val="00EA7FA8"/>
    <w:rsid w:val="00EAD41C"/>
    <w:rsid w:val="00EB0037"/>
    <w:rsid w:val="00EB009B"/>
    <w:rsid w:val="00EB0377"/>
    <w:rsid w:val="00EB04B1"/>
    <w:rsid w:val="00EB087D"/>
    <w:rsid w:val="00EB0ADC"/>
    <w:rsid w:val="00EB0AFD"/>
    <w:rsid w:val="00EB0C09"/>
    <w:rsid w:val="00EB0DA0"/>
    <w:rsid w:val="00EB0F26"/>
    <w:rsid w:val="00EB0FE3"/>
    <w:rsid w:val="00EB10B7"/>
    <w:rsid w:val="00EB1157"/>
    <w:rsid w:val="00EB14E0"/>
    <w:rsid w:val="00EB182A"/>
    <w:rsid w:val="00EB1A74"/>
    <w:rsid w:val="00EB1AE5"/>
    <w:rsid w:val="00EB1B9A"/>
    <w:rsid w:val="00EB1BE8"/>
    <w:rsid w:val="00EB1D09"/>
    <w:rsid w:val="00EB2079"/>
    <w:rsid w:val="00EB2360"/>
    <w:rsid w:val="00EB2503"/>
    <w:rsid w:val="00EB25EC"/>
    <w:rsid w:val="00EB26B3"/>
    <w:rsid w:val="00EB274A"/>
    <w:rsid w:val="00EB2C73"/>
    <w:rsid w:val="00EB306F"/>
    <w:rsid w:val="00EB3093"/>
    <w:rsid w:val="00EB31E7"/>
    <w:rsid w:val="00EB340E"/>
    <w:rsid w:val="00EB341C"/>
    <w:rsid w:val="00EB36CC"/>
    <w:rsid w:val="00EB37F7"/>
    <w:rsid w:val="00EB38E8"/>
    <w:rsid w:val="00EB3AF2"/>
    <w:rsid w:val="00EB3C01"/>
    <w:rsid w:val="00EB3C62"/>
    <w:rsid w:val="00EB3E54"/>
    <w:rsid w:val="00EB40E8"/>
    <w:rsid w:val="00EB41A8"/>
    <w:rsid w:val="00EB43E1"/>
    <w:rsid w:val="00EB45BA"/>
    <w:rsid w:val="00EB4828"/>
    <w:rsid w:val="00EB485D"/>
    <w:rsid w:val="00EB490F"/>
    <w:rsid w:val="00EB4BB9"/>
    <w:rsid w:val="00EB4CB3"/>
    <w:rsid w:val="00EB4E4E"/>
    <w:rsid w:val="00EB5193"/>
    <w:rsid w:val="00EB51ED"/>
    <w:rsid w:val="00EB5214"/>
    <w:rsid w:val="00EB52C8"/>
    <w:rsid w:val="00EB531A"/>
    <w:rsid w:val="00EB5327"/>
    <w:rsid w:val="00EB536A"/>
    <w:rsid w:val="00EB53D1"/>
    <w:rsid w:val="00EB54EF"/>
    <w:rsid w:val="00EB5541"/>
    <w:rsid w:val="00EB5754"/>
    <w:rsid w:val="00EB6187"/>
    <w:rsid w:val="00EB618E"/>
    <w:rsid w:val="00EB6285"/>
    <w:rsid w:val="00EB65EC"/>
    <w:rsid w:val="00EB66E8"/>
    <w:rsid w:val="00EB6810"/>
    <w:rsid w:val="00EB68C9"/>
    <w:rsid w:val="00EB68D4"/>
    <w:rsid w:val="00EB69EF"/>
    <w:rsid w:val="00EB6AA3"/>
    <w:rsid w:val="00EB6DFB"/>
    <w:rsid w:val="00EB6EDC"/>
    <w:rsid w:val="00EB6F51"/>
    <w:rsid w:val="00EB6F56"/>
    <w:rsid w:val="00EB70BF"/>
    <w:rsid w:val="00EB7773"/>
    <w:rsid w:val="00EB7905"/>
    <w:rsid w:val="00EB795E"/>
    <w:rsid w:val="00EB79DC"/>
    <w:rsid w:val="00EB7A81"/>
    <w:rsid w:val="00EB7D18"/>
    <w:rsid w:val="00EB7D20"/>
    <w:rsid w:val="00EB7D22"/>
    <w:rsid w:val="00EB7DB7"/>
    <w:rsid w:val="00EB7E41"/>
    <w:rsid w:val="00EC0186"/>
    <w:rsid w:val="00EC01B0"/>
    <w:rsid w:val="00EC03E3"/>
    <w:rsid w:val="00EC05E3"/>
    <w:rsid w:val="00EC0621"/>
    <w:rsid w:val="00EC0826"/>
    <w:rsid w:val="00EC0CDC"/>
    <w:rsid w:val="00EC0E87"/>
    <w:rsid w:val="00EC0F96"/>
    <w:rsid w:val="00EC1343"/>
    <w:rsid w:val="00EC135C"/>
    <w:rsid w:val="00EC1451"/>
    <w:rsid w:val="00EC1754"/>
    <w:rsid w:val="00EC175F"/>
    <w:rsid w:val="00EC17F4"/>
    <w:rsid w:val="00EC18BE"/>
    <w:rsid w:val="00EC1A41"/>
    <w:rsid w:val="00EC1B12"/>
    <w:rsid w:val="00EC1B2A"/>
    <w:rsid w:val="00EC1E5C"/>
    <w:rsid w:val="00EC1F8C"/>
    <w:rsid w:val="00EC1F97"/>
    <w:rsid w:val="00EC1FF2"/>
    <w:rsid w:val="00EC2055"/>
    <w:rsid w:val="00EC212C"/>
    <w:rsid w:val="00EC2378"/>
    <w:rsid w:val="00EC2723"/>
    <w:rsid w:val="00EC2805"/>
    <w:rsid w:val="00EC28EA"/>
    <w:rsid w:val="00EC2A04"/>
    <w:rsid w:val="00EC2A76"/>
    <w:rsid w:val="00EC2AA8"/>
    <w:rsid w:val="00EC2C33"/>
    <w:rsid w:val="00EC2C7A"/>
    <w:rsid w:val="00EC2EA6"/>
    <w:rsid w:val="00EC2FE8"/>
    <w:rsid w:val="00EC2FFA"/>
    <w:rsid w:val="00EC3119"/>
    <w:rsid w:val="00EC31B9"/>
    <w:rsid w:val="00EC334C"/>
    <w:rsid w:val="00EC36B6"/>
    <w:rsid w:val="00EC3AE5"/>
    <w:rsid w:val="00EC3AF6"/>
    <w:rsid w:val="00EC3B10"/>
    <w:rsid w:val="00EC3BD9"/>
    <w:rsid w:val="00EC3FAA"/>
    <w:rsid w:val="00EC4161"/>
    <w:rsid w:val="00EC4210"/>
    <w:rsid w:val="00EC421B"/>
    <w:rsid w:val="00EC42B1"/>
    <w:rsid w:val="00EC42E4"/>
    <w:rsid w:val="00EC4345"/>
    <w:rsid w:val="00EC43C7"/>
    <w:rsid w:val="00EC4494"/>
    <w:rsid w:val="00EC4531"/>
    <w:rsid w:val="00EC4593"/>
    <w:rsid w:val="00EC4881"/>
    <w:rsid w:val="00EC49AF"/>
    <w:rsid w:val="00EC4B06"/>
    <w:rsid w:val="00EC4C0F"/>
    <w:rsid w:val="00EC55EC"/>
    <w:rsid w:val="00EC5AE8"/>
    <w:rsid w:val="00EC5BA2"/>
    <w:rsid w:val="00EC5BD9"/>
    <w:rsid w:val="00EC5C45"/>
    <w:rsid w:val="00EC5D72"/>
    <w:rsid w:val="00EC5D8A"/>
    <w:rsid w:val="00EC5E16"/>
    <w:rsid w:val="00EC5E29"/>
    <w:rsid w:val="00EC6106"/>
    <w:rsid w:val="00EC6779"/>
    <w:rsid w:val="00EC67FA"/>
    <w:rsid w:val="00EC6974"/>
    <w:rsid w:val="00EC6E6F"/>
    <w:rsid w:val="00EC7152"/>
    <w:rsid w:val="00EC7490"/>
    <w:rsid w:val="00EC74F3"/>
    <w:rsid w:val="00EC7545"/>
    <w:rsid w:val="00EC766B"/>
    <w:rsid w:val="00EC768F"/>
    <w:rsid w:val="00EC76E1"/>
    <w:rsid w:val="00EC7719"/>
    <w:rsid w:val="00EC7839"/>
    <w:rsid w:val="00EC783E"/>
    <w:rsid w:val="00EC78C7"/>
    <w:rsid w:val="00ED01B9"/>
    <w:rsid w:val="00ED03A9"/>
    <w:rsid w:val="00ED0444"/>
    <w:rsid w:val="00ED06C6"/>
    <w:rsid w:val="00ED0982"/>
    <w:rsid w:val="00ED0993"/>
    <w:rsid w:val="00ED09D0"/>
    <w:rsid w:val="00ED0F24"/>
    <w:rsid w:val="00ED0F3B"/>
    <w:rsid w:val="00ED0FF1"/>
    <w:rsid w:val="00ED1208"/>
    <w:rsid w:val="00ED12AE"/>
    <w:rsid w:val="00ED1390"/>
    <w:rsid w:val="00ED175F"/>
    <w:rsid w:val="00ED192B"/>
    <w:rsid w:val="00ED1951"/>
    <w:rsid w:val="00ED198B"/>
    <w:rsid w:val="00ED1B68"/>
    <w:rsid w:val="00ED1BAF"/>
    <w:rsid w:val="00ED1BB3"/>
    <w:rsid w:val="00ED1C3D"/>
    <w:rsid w:val="00ED1CBC"/>
    <w:rsid w:val="00ED1F27"/>
    <w:rsid w:val="00ED2153"/>
    <w:rsid w:val="00ED22AF"/>
    <w:rsid w:val="00ED2481"/>
    <w:rsid w:val="00ED24C6"/>
    <w:rsid w:val="00ED25F3"/>
    <w:rsid w:val="00ED26DC"/>
    <w:rsid w:val="00ED2869"/>
    <w:rsid w:val="00ED29C7"/>
    <w:rsid w:val="00ED2C0C"/>
    <w:rsid w:val="00ED2EC9"/>
    <w:rsid w:val="00ED2F00"/>
    <w:rsid w:val="00ED30D1"/>
    <w:rsid w:val="00ED3117"/>
    <w:rsid w:val="00ED323B"/>
    <w:rsid w:val="00ED3452"/>
    <w:rsid w:val="00ED3531"/>
    <w:rsid w:val="00ED37FA"/>
    <w:rsid w:val="00ED37FC"/>
    <w:rsid w:val="00ED3858"/>
    <w:rsid w:val="00ED3A5A"/>
    <w:rsid w:val="00ED3D6B"/>
    <w:rsid w:val="00ED3E1F"/>
    <w:rsid w:val="00ED3FBD"/>
    <w:rsid w:val="00ED4069"/>
    <w:rsid w:val="00ED4083"/>
    <w:rsid w:val="00ED40FB"/>
    <w:rsid w:val="00ED410F"/>
    <w:rsid w:val="00ED4182"/>
    <w:rsid w:val="00ED44D8"/>
    <w:rsid w:val="00ED4593"/>
    <w:rsid w:val="00ED46C2"/>
    <w:rsid w:val="00ED47BB"/>
    <w:rsid w:val="00ED4899"/>
    <w:rsid w:val="00ED491E"/>
    <w:rsid w:val="00ED4C9C"/>
    <w:rsid w:val="00ED4D2A"/>
    <w:rsid w:val="00ED4D83"/>
    <w:rsid w:val="00ED4EE2"/>
    <w:rsid w:val="00ED4EF8"/>
    <w:rsid w:val="00ED5168"/>
    <w:rsid w:val="00ED51EE"/>
    <w:rsid w:val="00ED53D5"/>
    <w:rsid w:val="00ED55A3"/>
    <w:rsid w:val="00ED56E9"/>
    <w:rsid w:val="00ED5752"/>
    <w:rsid w:val="00ED57AD"/>
    <w:rsid w:val="00ED599F"/>
    <w:rsid w:val="00ED5A23"/>
    <w:rsid w:val="00ED5B44"/>
    <w:rsid w:val="00ED6068"/>
    <w:rsid w:val="00ED609B"/>
    <w:rsid w:val="00ED624F"/>
    <w:rsid w:val="00ED63D3"/>
    <w:rsid w:val="00ED645E"/>
    <w:rsid w:val="00ED64B3"/>
    <w:rsid w:val="00ED64BD"/>
    <w:rsid w:val="00ED6754"/>
    <w:rsid w:val="00ED67EA"/>
    <w:rsid w:val="00ED72C7"/>
    <w:rsid w:val="00ED7335"/>
    <w:rsid w:val="00ED733C"/>
    <w:rsid w:val="00ED7810"/>
    <w:rsid w:val="00ED7C1B"/>
    <w:rsid w:val="00ED7D92"/>
    <w:rsid w:val="00ED7E44"/>
    <w:rsid w:val="00ED7F90"/>
    <w:rsid w:val="00EE019F"/>
    <w:rsid w:val="00EE048F"/>
    <w:rsid w:val="00EE05E7"/>
    <w:rsid w:val="00EE0775"/>
    <w:rsid w:val="00EE0A7F"/>
    <w:rsid w:val="00EE0DA7"/>
    <w:rsid w:val="00EE1078"/>
    <w:rsid w:val="00EE1101"/>
    <w:rsid w:val="00EE110B"/>
    <w:rsid w:val="00EE11DA"/>
    <w:rsid w:val="00EE1200"/>
    <w:rsid w:val="00EE12CA"/>
    <w:rsid w:val="00EE14EC"/>
    <w:rsid w:val="00EE1A7A"/>
    <w:rsid w:val="00EE1D3B"/>
    <w:rsid w:val="00EE1E19"/>
    <w:rsid w:val="00EE1F62"/>
    <w:rsid w:val="00EE25B1"/>
    <w:rsid w:val="00EE2638"/>
    <w:rsid w:val="00EE27E1"/>
    <w:rsid w:val="00EE27EB"/>
    <w:rsid w:val="00EE2807"/>
    <w:rsid w:val="00EE290B"/>
    <w:rsid w:val="00EE2987"/>
    <w:rsid w:val="00EE2C56"/>
    <w:rsid w:val="00EE2F42"/>
    <w:rsid w:val="00EE30D4"/>
    <w:rsid w:val="00EE31A9"/>
    <w:rsid w:val="00EE32A3"/>
    <w:rsid w:val="00EE3321"/>
    <w:rsid w:val="00EE33D0"/>
    <w:rsid w:val="00EE343E"/>
    <w:rsid w:val="00EE35E6"/>
    <w:rsid w:val="00EE3A85"/>
    <w:rsid w:val="00EE3B1D"/>
    <w:rsid w:val="00EE3C59"/>
    <w:rsid w:val="00EE3CD4"/>
    <w:rsid w:val="00EE3CE2"/>
    <w:rsid w:val="00EE3D4E"/>
    <w:rsid w:val="00EE3E89"/>
    <w:rsid w:val="00EE404B"/>
    <w:rsid w:val="00EE40EC"/>
    <w:rsid w:val="00EE4273"/>
    <w:rsid w:val="00EE4795"/>
    <w:rsid w:val="00EE4B1A"/>
    <w:rsid w:val="00EE4E3C"/>
    <w:rsid w:val="00EE4E5D"/>
    <w:rsid w:val="00EE53A0"/>
    <w:rsid w:val="00EE55BF"/>
    <w:rsid w:val="00EE5947"/>
    <w:rsid w:val="00EE5A0F"/>
    <w:rsid w:val="00EE5A85"/>
    <w:rsid w:val="00EE5AE5"/>
    <w:rsid w:val="00EE5B6B"/>
    <w:rsid w:val="00EE5BE0"/>
    <w:rsid w:val="00EE5C29"/>
    <w:rsid w:val="00EE5F4C"/>
    <w:rsid w:val="00EE6285"/>
    <w:rsid w:val="00EE6453"/>
    <w:rsid w:val="00EE648A"/>
    <w:rsid w:val="00EE654D"/>
    <w:rsid w:val="00EE65FB"/>
    <w:rsid w:val="00EE6991"/>
    <w:rsid w:val="00EE6D8F"/>
    <w:rsid w:val="00EE6E38"/>
    <w:rsid w:val="00EE6FD2"/>
    <w:rsid w:val="00EE7117"/>
    <w:rsid w:val="00EE7370"/>
    <w:rsid w:val="00EE7560"/>
    <w:rsid w:val="00EE77BB"/>
    <w:rsid w:val="00EE786C"/>
    <w:rsid w:val="00EE78F2"/>
    <w:rsid w:val="00EE796F"/>
    <w:rsid w:val="00EE7A6B"/>
    <w:rsid w:val="00EE7A70"/>
    <w:rsid w:val="00EE7ADB"/>
    <w:rsid w:val="00EE7C7A"/>
    <w:rsid w:val="00EE7DF9"/>
    <w:rsid w:val="00EE7EBD"/>
    <w:rsid w:val="00EE7F1D"/>
    <w:rsid w:val="00EF03B8"/>
    <w:rsid w:val="00EF0471"/>
    <w:rsid w:val="00EF0847"/>
    <w:rsid w:val="00EF0886"/>
    <w:rsid w:val="00EF089E"/>
    <w:rsid w:val="00EF0930"/>
    <w:rsid w:val="00EF0A6D"/>
    <w:rsid w:val="00EF0C4E"/>
    <w:rsid w:val="00EF0CAA"/>
    <w:rsid w:val="00EF113F"/>
    <w:rsid w:val="00EF146E"/>
    <w:rsid w:val="00EF16AC"/>
    <w:rsid w:val="00EF17A1"/>
    <w:rsid w:val="00EF180E"/>
    <w:rsid w:val="00EF1938"/>
    <w:rsid w:val="00EF1B01"/>
    <w:rsid w:val="00EF1B5E"/>
    <w:rsid w:val="00EF1CE2"/>
    <w:rsid w:val="00EF2133"/>
    <w:rsid w:val="00EF218B"/>
    <w:rsid w:val="00EF226A"/>
    <w:rsid w:val="00EF2446"/>
    <w:rsid w:val="00EF2510"/>
    <w:rsid w:val="00EF28D0"/>
    <w:rsid w:val="00EF294E"/>
    <w:rsid w:val="00EF2977"/>
    <w:rsid w:val="00EF2BFB"/>
    <w:rsid w:val="00EF2CE1"/>
    <w:rsid w:val="00EF2E8D"/>
    <w:rsid w:val="00EF2F0F"/>
    <w:rsid w:val="00EF305F"/>
    <w:rsid w:val="00EF3139"/>
    <w:rsid w:val="00EF31EB"/>
    <w:rsid w:val="00EF34C3"/>
    <w:rsid w:val="00EF36D4"/>
    <w:rsid w:val="00EF3741"/>
    <w:rsid w:val="00EF38A6"/>
    <w:rsid w:val="00EF38DB"/>
    <w:rsid w:val="00EF3AB9"/>
    <w:rsid w:val="00EF3CBF"/>
    <w:rsid w:val="00EF3D94"/>
    <w:rsid w:val="00EF3DA9"/>
    <w:rsid w:val="00EF3F7D"/>
    <w:rsid w:val="00EF3FEF"/>
    <w:rsid w:val="00EF40C6"/>
    <w:rsid w:val="00EF41AD"/>
    <w:rsid w:val="00EF426C"/>
    <w:rsid w:val="00EF43B1"/>
    <w:rsid w:val="00EF442F"/>
    <w:rsid w:val="00EF44D8"/>
    <w:rsid w:val="00EF451A"/>
    <w:rsid w:val="00EF4768"/>
    <w:rsid w:val="00EF4972"/>
    <w:rsid w:val="00EF4BC6"/>
    <w:rsid w:val="00EF5093"/>
    <w:rsid w:val="00EF524B"/>
    <w:rsid w:val="00EF533D"/>
    <w:rsid w:val="00EF55A1"/>
    <w:rsid w:val="00EF55EE"/>
    <w:rsid w:val="00EF57C7"/>
    <w:rsid w:val="00EF5875"/>
    <w:rsid w:val="00EF58B0"/>
    <w:rsid w:val="00EF5A4F"/>
    <w:rsid w:val="00EF5F4D"/>
    <w:rsid w:val="00EF5FD7"/>
    <w:rsid w:val="00EF64C5"/>
    <w:rsid w:val="00EF6592"/>
    <w:rsid w:val="00EF69B9"/>
    <w:rsid w:val="00EF6C3E"/>
    <w:rsid w:val="00EF6EA2"/>
    <w:rsid w:val="00EF6F9F"/>
    <w:rsid w:val="00EF7336"/>
    <w:rsid w:val="00EF7351"/>
    <w:rsid w:val="00EF7699"/>
    <w:rsid w:val="00EF7805"/>
    <w:rsid w:val="00EF78D5"/>
    <w:rsid w:val="00EF7C16"/>
    <w:rsid w:val="00EF7DE0"/>
    <w:rsid w:val="00EF7E06"/>
    <w:rsid w:val="00F00053"/>
    <w:rsid w:val="00F000AF"/>
    <w:rsid w:val="00F0012E"/>
    <w:rsid w:val="00F00279"/>
    <w:rsid w:val="00F002D9"/>
    <w:rsid w:val="00F0047A"/>
    <w:rsid w:val="00F00648"/>
    <w:rsid w:val="00F00682"/>
    <w:rsid w:val="00F00A7A"/>
    <w:rsid w:val="00F00B8B"/>
    <w:rsid w:val="00F00D0F"/>
    <w:rsid w:val="00F00DF7"/>
    <w:rsid w:val="00F00E6E"/>
    <w:rsid w:val="00F00FC5"/>
    <w:rsid w:val="00F01138"/>
    <w:rsid w:val="00F0196E"/>
    <w:rsid w:val="00F01AC4"/>
    <w:rsid w:val="00F01BC2"/>
    <w:rsid w:val="00F01C7C"/>
    <w:rsid w:val="00F01CBB"/>
    <w:rsid w:val="00F01F1B"/>
    <w:rsid w:val="00F01F56"/>
    <w:rsid w:val="00F01F5C"/>
    <w:rsid w:val="00F01F69"/>
    <w:rsid w:val="00F020EB"/>
    <w:rsid w:val="00F02122"/>
    <w:rsid w:val="00F0217C"/>
    <w:rsid w:val="00F02422"/>
    <w:rsid w:val="00F02446"/>
    <w:rsid w:val="00F024CB"/>
    <w:rsid w:val="00F028DB"/>
    <w:rsid w:val="00F029DB"/>
    <w:rsid w:val="00F02AD9"/>
    <w:rsid w:val="00F02AF5"/>
    <w:rsid w:val="00F02BA9"/>
    <w:rsid w:val="00F02C14"/>
    <w:rsid w:val="00F03011"/>
    <w:rsid w:val="00F0355A"/>
    <w:rsid w:val="00F0357D"/>
    <w:rsid w:val="00F03719"/>
    <w:rsid w:val="00F0378F"/>
    <w:rsid w:val="00F0386F"/>
    <w:rsid w:val="00F03C69"/>
    <w:rsid w:val="00F03D2A"/>
    <w:rsid w:val="00F03DEB"/>
    <w:rsid w:val="00F03EA5"/>
    <w:rsid w:val="00F03ED0"/>
    <w:rsid w:val="00F040E1"/>
    <w:rsid w:val="00F0461F"/>
    <w:rsid w:val="00F049C7"/>
    <w:rsid w:val="00F04AA8"/>
    <w:rsid w:val="00F04B04"/>
    <w:rsid w:val="00F04DDB"/>
    <w:rsid w:val="00F04EB5"/>
    <w:rsid w:val="00F0511A"/>
    <w:rsid w:val="00F054D8"/>
    <w:rsid w:val="00F05825"/>
    <w:rsid w:val="00F05A1A"/>
    <w:rsid w:val="00F05A22"/>
    <w:rsid w:val="00F05A53"/>
    <w:rsid w:val="00F05B52"/>
    <w:rsid w:val="00F05CB3"/>
    <w:rsid w:val="00F060D4"/>
    <w:rsid w:val="00F06343"/>
    <w:rsid w:val="00F0641E"/>
    <w:rsid w:val="00F0642B"/>
    <w:rsid w:val="00F0648A"/>
    <w:rsid w:val="00F066DE"/>
    <w:rsid w:val="00F06787"/>
    <w:rsid w:val="00F0689D"/>
    <w:rsid w:val="00F06920"/>
    <w:rsid w:val="00F06D47"/>
    <w:rsid w:val="00F06E09"/>
    <w:rsid w:val="00F06E0C"/>
    <w:rsid w:val="00F06EF6"/>
    <w:rsid w:val="00F06F70"/>
    <w:rsid w:val="00F07168"/>
    <w:rsid w:val="00F0725D"/>
    <w:rsid w:val="00F07441"/>
    <w:rsid w:val="00F0767F"/>
    <w:rsid w:val="00F07892"/>
    <w:rsid w:val="00F0792C"/>
    <w:rsid w:val="00F07A79"/>
    <w:rsid w:val="00F07AAA"/>
    <w:rsid w:val="00F07C32"/>
    <w:rsid w:val="00F07D9A"/>
    <w:rsid w:val="00F1007E"/>
    <w:rsid w:val="00F10099"/>
    <w:rsid w:val="00F1032B"/>
    <w:rsid w:val="00F104C1"/>
    <w:rsid w:val="00F105A6"/>
    <w:rsid w:val="00F10619"/>
    <w:rsid w:val="00F108F5"/>
    <w:rsid w:val="00F10951"/>
    <w:rsid w:val="00F10AC9"/>
    <w:rsid w:val="00F10DCA"/>
    <w:rsid w:val="00F1113B"/>
    <w:rsid w:val="00F1124A"/>
    <w:rsid w:val="00F112F9"/>
    <w:rsid w:val="00F11331"/>
    <w:rsid w:val="00F113F1"/>
    <w:rsid w:val="00F113F9"/>
    <w:rsid w:val="00F11571"/>
    <w:rsid w:val="00F11659"/>
    <w:rsid w:val="00F11686"/>
    <w:rsid w:val="00F116B1"/>
    <w:rsid w:val="00F116DE"/>
    <w:rsid w:val="00F11903"/>
    <w:rsid w:val="00F119F7"/>
    <w:rsid w:val="00F11D2E"/>
    <w:rsid w:val="00F11FCD"/>
    <w:rsid w:val="00F121F1"/>
    <w:rsid w:val="00F12308"/>
    <w:rsid w:val="00F12325"/>
    <w:rsid w:val="00F12359"/>
    <w:rsid w:val="00F123A9"/>
    <w:rsid w:val="00F129D8"/>
    <w:rsid w:val="00F12B36"/>
    <w:rsid w:val="00F12B68"/>
    <w:rsid w:val="00F12C64"/>
    <w:rsid w:val="00F12DC2"/>
    <w:rsid w:val="00F12EE4"/>
    <w:rsid w:val="00F12EF8"/>
    <w:rsid w:val="00F13478"/>
    <w:rsid w:val="00F134BB"/>
    <w:rsid w:val="00F13541"/>
    <w:rsid w:val="00F13545"/>
    <w:rsid w:val="00F135EF"/>
    <w:rsid w:val="00F13ABD"/>
    <w:rsid w:val="00F13C67"/>
    <w:rsid w:val="00F13F72"/>
    <w:rsid w:val="00F13FE2"/>
    <w:rsid w:val="00F141EF"/>
    <w:rsid w:val="00F14326"/>
    <w:rsid w:val="00F145C9"/>
    <w:rsid w:val="00F14874"/>
    <w:rsid w:val="00F148CA"/>
    <w:rsid w:val="00F1491D"/>
    <w:rsid w:val="00F14B4A"/>
    <w:rsid w:val="00F14BC6"/>
    <w:rsid w:val="00F14E2E"/>
    <w:rsid w:val="00F14E47"/>
    <w:rsid w:val="00F15225"/>
    <w:rsid w:val="00F15284"/>
    <w:rsid w:val="00F153BF"/>
    <w:rsid w:val="00F15471"/>
    <w:rsid w:val="00F155D1"/>
    <w:rsid w:val="00F15684"/>
    <w:rsid w:val="00F156C7"/>
    <w:rsid w:val="00F15B5F"/>
    <w:rsid w:val="00F15D3E"/>
    <w:rsid w:val="00F15E07"/>
    <w:rsid w:val="00F15EC7"/>
    <w:rsid w:val="00F16538"/>
    <w:rsid w:val="00F16775"/>
    <w:rsid w:val="00F16886"/>
    <w:rsid w:val="00F1693A"/>
    <w:rsid w:val="00F16965"/>
    <w:rsid w:val="00F16C63"/>
    <w:rsid w:val="00F16DBC"/>
    <w:rsid w:val="00F16F8B"/>
    <w:rsid w:val="00F16F90"/>
    <w:rsid w:val="00F17011"/>
    <w:rsid w:val="00F1705F"/>
    <w:rsid w:val="00F17335"/>
    <w:rsid w:val="00F17380"/>
    <w:rsid w:val="00F173E1"/>
    <w:rsid w:val="00F17542"/>
    <w:rsid w:val="00F17830"/>
    <w:rsid w:val="00F17848"/>
    <w:rsid w:val="00F1794A"/>
    <w:rsid w:val="00F179A7"/>
    <w:rsid w:val="00F17C66"/>
    <w:rsid w:val="00F17C75"/>
    <w:rsid w:val="00F17CCE"/>
    <w:rsid w:val="00F17D5C"/>
    <w:rsid w:val="00F17F58"/>
    <w:rsid w:val="00F17FF9"/>
    <w:rsid w:val="00F2048A"/>
    <w:rsid w:val="00F20E2D"/>
    <w:rsid w:val="00F212FC"/>
    <w:rsid w:val="00F213FD"/>
    <w:rsid w:val="00F21476"/>
    <w:rsid w:val="00F2155B"/>
    <w:rsid w:val="00F21587"/>
    <w:rsid w:val="00F215A4"/>
    <w:rsid w:val="00F21768"/>
    <w:rsid w:val="00F21C04"/>
    <w:rsid w:val="00F21F30"/>
    <w:rsid w:val="00F21F5B"/>
    <w:rsid w:val="00F22262"/>
    <w:rsid w:val="00F22477"/>
    <w:rsid w:val="00F22552"/>
    <w:rsid w:val="00F226EE"/>
    <w:rsid w:val="00F2292E"/>
    <w:rsid w:val="00F22981"/>
    <w:rsid w:val="00F22E08"/>
    <w:rsid w:val="00F22ED0"/>
    <w:rsid w:val="00F22F02"/>
    <w:rsid w:val="00F23070"/>
    <w:rsid w:val="00F230BF"/>
    <w:rsid w:val="00F230DA"/>
    <w:rsid w:val="00F23148"/>
    <w:rsid w:val="00F231A4"/>
    <w:rsid w:val="00F23534"/>
    <w:rsid w:val="00F2354D"/>
    <w:rsid w:val="00F2355F"/>
    <w:rsid w:val="00F2361C"/>
    <w:rsid w:val="00F23637"/>
    <w:rsid w:val="00F236D7"/>
    <w:rsid w:val="00F238D5"/>
    <w:rsid w:val="00F23AB4"/>
    <w:rsid w:val="00F23B40"/>
    <w:rsid w:val="00F23BB1"/>
    <w:rsid w:val="00F23CBD"/>
    <w:rsid w:val="00F23D25"/>
    <w:rsid w:val="00F23E76"/>
    <w:rsid w:val="00F23F23"/>
    <w:rsid w:val="00F24502"/>
    <w:rsid w:val="00F24613"/>
    <w:rsid w:val="00F246A4"/>
    <w:rsid w:val="00F246CA"/>
    <w:rsid w:val="00F249E7"/>
    <w:rsid w:val="00F24C69"/>
    <w:rsid w:val="00F24D0E"/>
    <w:rsid w:val="00F24D5F"/>
    <w:rsid w:val="00F24F74"/>
    <w:rsid w:val="00F2509C"/>
    <w:rsid w:val="00F25147"/>
    <w:rsid w:val="00F2578D"/>
    <w:rsid w:val="00F25A84"/>
    <w:rsid w:val="00F25B11"/>
    <w:rsid w:val="00F25D73"/>
    <w:rsid w:val="00F25D7A"/>
    <w:rsid w:val="00F25D93"/>
    <w:rsid w:val="00F25E2D"/>
    <w:rsid w:val="00F25EB4"/>
    <w:rsid w:val="00F25EB9"/>
    <w:rsid w:val="00F26047"/>
    <w:rsid w:val="00F2629F"/>
    <w:rsid w:val="00F26309"/>
    <w:rsid w:val="00F26B2A"/>
    <w:rsid w:val="00F26B32"/>
    <w:rsid w:val="00F26B83"/>
    <w:rsid w:val="00F26C20"/>
    <w:rsid w:val="00F26C42"/>
    <w:rsid w:val="00F26D11"/>
    <w:rsid w:val="00F26F0E"/>
    <w:rsid w:val="00F26F6B"/>
    <w:rsid w:val="00F270C0"/>
    <w:rsid w:val="00F2735D"/>
    <w:rsid w:val="00F27AC6"/>
    <w:rsid w:val="00F27B88"/>
    <w:rsid w:val="00F27BCC"/>
    <w:rsid w:val="00F27C03"/>
    <w:rsid w:val="00F27C45"/>
    <w:rsid w:val="00F27C7F"/>
    <w:rsid w:val="00F27C86"/>
    <w:rsid w:val="00F27DBD"/>
    <w:rsid w:val="00F27FAD"/>
    <w:rsid w:val="00F27FEC"/>
    <w:rsid w:val="00F2D5B6"/>
    <w:rsid w:val="00F3045F"/>
    <w:rsid w:val="00F30503"/>
    <w:rsid w:val="00F3069B"/>
    <w:rsid w:val="00F3071F"/>
    <w:rsid w:val="00F30911"/>
    <w:rsid w:val="00F314EB"/>
    <w:rsid w:val="00F31616"/>
    <w:rsid w:val="00F3164D"/>
    <w:rsid w:val="00F31AAC"/>
    <w:rsid w:val="00F31D37"/>
    <w:rsid w:val="00F31F79"/>
    <w:rsid w:val="00F31FC6"/>
    <w:rsid w:val="00F321C9"/>
    <w:rsid w:val="00F32442"/>
    <w:rsid w:val="00F324B1"/>
    <w:rsid w:val="00F32645"/>
    <w:rsid w:val="00F32866"/>
    <w:rsid w:val="00F32C2D"/>
    <w:rsid w:val="00F32C67"/>
    <w:rsid w:val="00F32E06"/>
    <w:rsid w:val="00F33339"/>
    <w:rsid w:val="00F333B1"/>
    <w:rsid w:val="00F33538"/>
    <w:rsid w:val="00F335FA"/>
    <w:rsid w:val="00F3366C"/>
    <w:rsid w:val="00F33E42"/>
    <w:rsid w:val="00F33E5B"/>
    <w:rsid w:val="00F33F8C"/>
    <w:rsid w:val="00F33FB5"/>
    <w:rsid w:val="00F34246"/>
    <w:rsid w:val="00F3448E"/>
    <w:rsid w:val="00F345EC"/>
    <w:rsid w:val="00F34C94"/>
    <w:rsid w:val="00F35103"/>
    <w:rsid w:val="00F35695"/>
    <w:rsid w:val="00F35804"/>
    <w:rsid w:val="00F35914"/>
    <w:rsid w:val="00F359FA"/>
    <w:rsid w:val="00F35AB6"/>
    <w:rsid w:val="00F35D4D"/>
    <w:rsid w:val="00F35DFF"/>
    <w:rsid w:val="00F35EE3"/>
    <w:rsid w:val="00F3615B"/>
    <w:rsid w:val="00F3624E"/>
    <w:rsid w:val="00F36A5D"/>
    <w:rsid w:val="00F36C6B"/>
    <w:rsid w:val="00F36D3D"/>
    <w:rsid w:val="00F36EAC"/>
    <w:rsid w:val="00F3702B"/>
    <w:rsid w:val="00F37082"/>
    <w:rsid w:val="00F3716F"/>
    <w:rsid w:val="00F3723D"/>
    <w:rsid w:val="00F37352"/>
    <w:rsid w:val="00F37424"/>
    <w:rsid w:val="00F3780D"/>
    <w:rsid w:val="00F37B12"/>
    <w:rsid w:val="00F37BC0"/>
    <w:rsid w:val="00F40142"/>
    <w:rsid w:val="00F40382"/>
    <w:rsid w:val="00F4086F"/>
    <w:rsid w:val="00F40A56"/>
    <w:rsid w:val="00F40A67"/>
    <w:rsid w:val="00F40E66"/>
    <w:rsid w:val="00F41018"/>
    <w:rsid w:val="00F41493"/>
    <w:rsid w:val="00F41619"/>
    <w:rsid w:val="00F416EE"/>
    <w:rsid w:val="00F41B2F"/>
    <w:rsid w:val="00F41B7A"/>
    <w:rsid w:val="00F41B8D"/>
    <w:rsid w:val="00F41EE9"/>
    <w:rsid w:val="00F41F97"/>
    <w:rsid w:val="00F42292"/>
    <w:rsid w:val="00F423EE"/>
    <w:rsid w:val="00F4245E"/>
    <w:rsid w:val="00F42538"/>
    <w:rsid w:val="00F42574"/>
    <w:rsid w:val="00F429A9"/>
    <w:rsid w:val="00F42B99"/>
    <w:rsid w:val="00F42D83"/>
    <w:rsid w:val="00F42D99"/>
    <w:rsid w:val="00F42DC6"/>
    <w:rsid w:val="00F42E4C"/>
    <w:rsid w:val="00F42F69"/>
    <w:rsid w:val="00F42F86"/>
    <w:rsid w:val="00F431A0"/>
    <w:rsid w:val="00F431E3"/>
    <w:rsid w:val="00F4327A"/>
    <w:rsid w:val="00F432A6"/>
    <w:rsid w:val="00F43548"/>
    <w:rsid w:val="00F43578"/>
    <w:rsid w:val="00F4382C"/>
    <w:rsid w:val="00F43B41"/>
    <w:rsid w:val="00F43B81"/>
    <w:rsid w:val="00F43C1A"/>
    <w:rsid w:val="00F43C90"/>
    <w:rsid w:val="00F43D02"/>
    <w:rsid w:val="00F43DFE"/>
    <w:rsid w:val="00F4435A"/>
    <w:rsid w:val="00F44540"/>
    <w:rsid w:val="00F44724"/>
    <w:rsid w:val="00F447CB"/>
    <w:rsid w:val="00F448DA"/>
    <w:rsid w:val="00F44A04"/>
    <w:rsid w:val="00F44A1F"/>
    <w:rsid w:val="00F44B25"/>
    <w:rsid w:val="00F44BC1"/>
    <w:rsid w:val="00F44BEA"/>
    <w:rsid w:val="00F44C0F"/>
    <w:rsid w:val="00F44DDF"/>
    <w:rsid w:val="00F44F07"/>
    <w:rsid w:val="00F44F98"/>
    <w:rsid w:val="00F4500B"/>
    <w:rsid w:val="00F45355"/>
    <w:rsid w:val="00F45406"/>
    <w:rsid w:val="00F456AE"/>
    <w:rsid w:val="00F45AED"/>
    <w:rsid w:val="00F45B5D"/>
    <w:rsid w:val="00F45F8E"/>
    <w:rsid w:val="00F46027"/>
    <w:rsid w:val="00F46294"/>
    <w:rsid w:val="00F46301"/>
    <w:rsid w:val="00F464AD"/>
    <w:rsid w:val="00F46776"/>
    <w:rsid w:val="00F46936"/>
    <w:rsid w:val="00F469D1"/>
    <w:rsid w:val="00F46B87"/>
    <w:rsid w:val="00F46C85"/>
    <w:rsid w:val="00F46E12"/>
    <w:rsid w:val="00F46ED8"/>
    <w:rsid w:val="00F471FD"/>
    <w:rsid w:val="00F47315"/>
    <w:rsid w:val="00F47769"/>
    <w:rsid w:val="00F47A7F"/>
    <w:rsid w:val="00F47A99"/>
    <w:rsid w:val="00F47D54"/>
    <w:rsid w:val="00F47E11"/>
    <w:rsid w:val="00F5045F"/>
    <w:rsid w:val="00F5046D"/>
    <w:rsid w:val="00F506D7"/>
    <w:rsid w:val="00F50874"/>
    <w:rsid w:val="00F50904"/>
    <w:rsid w:val="00F5091D"/>
    <w:rsid w:val="00F509CD"/>
    <w:rsid w:val="00F50B2A"/>
    <w:rsid w:val="00F50D8A"/>
    <w:rsid w:val="00F50E52"/>
    <w:rsid w:val="00F50F71"/>
    <w:rsid w:val="00F51081"/>
    <w:rsid w:val="00F511C7"/>
    <w:rsid w:val="00F5120B"/>
    <w:rsid w:val="00F5132E"/>
    <w:rsid w:val="00F51E39"/>
    <w:rsid w:val="00F52043"/>
    <w:rsid w:val="00F521C4"/>
    <w:rsid w:val="00F521F0"/>
    <w:rsid w:val="00F52232"/>
    <w:rsid w:val="00F523BD"/>
    <w:rsid w:val="00F529F7"/>
    <w:rsid w:val="00F52B61"/>
    <w:rsid w:val="00F52D48"/>
    <w:rsid w:val="00F52E54"/>
    <w:rsid w:val="00F52F2A"/>
    <w:rsid w:val="00F534B9"/>
    <w:rsid w:val="00F5385C"/>
    <w:rsid w:val="00F538D9"/>
    <w:rsid w:val="00F539A4"/>
    <w:rsid w:val="00F53B05"/>
    <w:rsid w:val="00F53BD5"/>
    <w:rsid w:val="00F53CF1"/>
    <w:rsid w:val="00F53E25"/>
    <w:rsid w:val="00F54516"/>
    <w:rsid w:val="00F54759"/>
    <w:rsid w:val="00F54761"/>
    <w:rsid w:val="00F547CD"/>
    <w:rsid w:val="00F548BD"/>
    <w:rsid w:val="00F548C0"/>
    <w:rsid w:val="00F54A6B"/>
    <w:rsid w:val="00F54AB5"/>
    <w:rsid w:val="00F54BB1"/>
    <w:rsid w:val="00F54D55"/>
    <w:rsid w:val="00F55091"/>
    <w:rsid w:val="00F55129"/>
    <w:rsid w:val="00F5528E"/>
    <w:rsid w:val="00F553A3"/>
    <w:rsid w:val="00F555EA"/>
    <w:rsid w:val="00F556E3"/>
    <w:rsid w:val="00F55943"/>
    <w:rsid w:val="00F55999"/>
    <w:rsid w:val="00F55A21"/>
    <w:rsid w:val="00F55C37"/>
    <w:rsid w:val="00F55E73"/>
    <w:rsid w:val="00F55FD3"/>
    <w:rsid w:val="00F56006"/>
    <w:rsid w:val="00F56157"/>
    <w:rsid w:val="00F561E3"/>
    <w:rsid w:val="00F561FC"/>
    <w:rsid w:val="00F562C9"/>
    <w:rsid w:val="00F56361"/>
    <w:rsid w:val="00F56560"/>
    <w:rsid w:val="00F56691"/>
    <w:rsid w:val="00F566EF"/>
    <w:rsid w:val="00F56719"/>
    <w:rsid w:val="00F5676A"/>
    <w:rsid w:val="00F56774"/>
    <w:rsid w:val="00F56804"/>
    <w:rsid w:val="00F5698C"/>
    <w:rsid w:val="00F56B3F"/>
    <w:rsid w:val="00F56BAF"/>
    <w:rsid w:val="00F56E04"/>
    <w:rsid w:val="00F56E51"/>
    <w:rsid w:val="00F56EF3"/>
    <w:rsid w:val="00F56F3F"/>
    <w:rsid w:val="00F5707F"/>
    <w:rsid w:val="00F57098"/>
    <w:rsid w:val="00F57194"/>
    <w:rsid w:val="00F57264"/>
    <w:rsid w:val="00F57360"/>
    <w:rsid w:val="00F57721"/>
    <w:rsid w:val="00F57823"/>
    <w:rsid w:val="00F578B4"/>
    <w:rsid w:val="00F57AB8"/>
    <w:rsid w:val="00F57B3B"/>
    <w:rsid w:val="00F57BC1"/>
    <w:rsid w:val="00F600E4"/>
    <w:rsid w:val="00F60349"/>
    <w:rsid w:val="00F604C3"/>
    <w:rsid w:val="00F60624"/>
    <w:rsid w:val="00F6075B"/>
    <w:rsid w:val="00F6096A"/>
    <w:rsid w:val="00F60A18"/>
    <w:rsid w:val="00F60AC5"/>
    <w:rsid w:val="00F60D10"/>
    <w:rsid w:val="00F61188"/>
    <w:rsid w:val="00F613CC"/>
    <w:rsid w:val="00F61402"/>
    <w:rsid w:val="00F61511"/>
    <w:rsid w:val="00F61565"/>
    <w:rsid w:val="00F61731"/>
    <w:rsid w:val="00F61767"/>
    <w:rsid w:val="00F618D4"/>
    <w:rsid w:val="00F61995"/>
    <w:rsid w:val="00F619E5"/>
    <w:rsid w:val="00F61CC3"/>
    <w:rsid w:val="00F61DD2"/>
    <w:rsid w:val="00F62377"/>
    <w:rsid w:val="00F623BD"/>
    <w:rsid w:val="00F62404"/>
    <w:rsid w:val="00F6241E"/>
    <w:rsid w:val="00F624FC"/>
    <w:rsid w:val="00F62539"/>
    <w:rsid w:val="00F628F8"/>
    <w:rsid w:val="00F62A48"/>
    <w:rsid w:val="00F62C68"/>
    <w:rsid w:val="00F62EB3"/>
    <w:rsid w:val="00F630A7"/>
    <w:rsid w:val="00F630FC"/>
    <w:rsid w:val="00F63193"/>
    <w:rsid w:val="00F631B4"/>
    <w:rsid w:val="00F63342"/>
    <w:rsid w:val="00F63399"/>
    <w:rsid w:val="00F637D9"/>
    <w:rsid w:val="00F63936"/>
    <w:rsid w:val="00F63957"/>
    <w:rsid w:val="00F63A50"/>
    <w:rsid w:val="00F63A51"/>
    <w:rsid w:val="00F63C0A"/>
    <w:rsid w:val="00F63DF6"/>
    <w:rsid w:val="00F63DFB"/>
    <w:rsid w:val="00F64052"/>
    <w:rsid w:val="00F641DC"/>
    <w:rsid w:val="00F64200"/>
    <w:rsid w:val="00F644BC"/>
    <w:rsid w:val="00F648F8"/>
    <w:rsid w:val="00F64915"/>
    <w:rsid w:val="00F64D34"/>
    <w:rsid w:val="00F64E75"/>
    <w:rsid w:val="00F64EB6"/>
    <w:rsid w:val="00F6509A"/>
    <w:rsid w:val="00F6575A"/>
    <w:rsid w:val="00F657AB"/>
    <w:rsid w:val="00F65A34"/>
    <w:rsid w:val="00F65AD0"/>
    <w:rsid w:val="00F65B0A"/>
    <w:rsid w:val="00F65BC5"/>
    <w:rsid w:val="00F65D39"/>
    <w:rsid w:val="00F65D45"/>
    <w:rsid w:val="00F65DEE"/>
    <w:rsid w:val="00F65E8C"/>
    <w:rsid w:val="00F65E9E"/>
    <w:rsid w:val="00F65F1E"/>
    <w:rsid w:val="00F65F56"/>
    <w:rsid w:val="00F65F6D"/>
    <w:rsid w:val="00F65FB0"/>
    <w:rsid w:val="00F660D8"/>
    <w:rsid w:val="00F660F2"/>
    <w:rsid w:val="00F66320"/>
    <w:rsid w:val="00F664FE"/>
    <w:rsid w:val="00F665A5"/>
    <w:rsid w:val="00F66787"/>
    <w:rsid w:val="00F669FC"/>
    <w:rsid w:val="00F66AEF"/>
    <w:rsid w:val="00F66CA1"/>
    <w:rsid w:val="00F66CBD"/>
    <w:rsid w:val="00F66CF0"/>
    <w:rsid w:val="00F66D87"/>
    <w:rsid w:val="00F66E18"/>
    <w:rsid w:val="00F67047"/>
    <w:rsid w:val="00F671D3"/>
    <w:rsid w:val="00F671E3"/>
    <w:rsid w:val="00F67237"/>
    <w:rsid w:val="00F67388"/>
    <w:rsid w:val="00F673D9"/>
    <w:rsid w:val="00F70119"/>
    <w:rsid w:val="00F70454"/>
    <w:rsid w:val="00F7056E"/>
    <w:rsid w:val="00F707F2"/>
    <w:rsid w:val="00F70802"/>
    <w:rsid w:val="00F70B51"/>
    <w:rsid w:val="00F70C11"/>
    <w:rsid w:val="00F70D31"/>
    <w:rsid w:val="00F70F13"/>
    <w:rsid w:val="00F71045"/>
    <w:rsid w:val="00F710DD"/>
    <w:rsid w:val="00F71229"/>
    <w:rsid w:val="00F712AB"/>
    <w:rsid w:val="00F71551"/>
    <w:rsid w:val="00F71841"/>
    <w:rsid w:val="00F71AE5"/>
    <w:rsid w:val="00F71E63"/>
    <w:rsid w:val="00F720E3"/>
    <w:rsid w:val="00F721A6"/>
    <w:rsid w:val="00F723B0"/>
    <w:rsid w:val="00F72835"/>
    <w:rsid w:val="00F72865"/>
    <w:rsid w:val="00F72936"/>
    <w:rsid w:val="00F72A63"/>
    <w:rsid w:val="00F72A64"/>
    <w:rsid w:val="00F72C1E"/>
    <w:rsid w:val="00F72DB5"/>
    <w:rsid w:val="00F72DF9"/>
    <w:rsid w:val="00F72E3E"/>
    <w:rsid w:val="00F73014"/>
    <w:rsid w:val="00F73040"/>
    <w:rsid w:val="00F7305E"/>
    <w:rsid w:val="00F73170"/>
    <w:rsid w:val="00F731F8"/>
    <w:rsid w:val="00F7324A"/>
    <w:rsid w:val="00F73515"/>
    <w:rsid w:val="00F735C8"/>
    <w:rsid w:val="00F7362F"/>
    <w:rsid w:val="00F73658"/>
    <w:rsid w:val="00F73722"/>
    <w:rsid w:val="00F73B38"/>
    <w:rsid w:val="00F73D21"/>
    <w:rsid w:val="00F742B2"/>
    <w:rsid w:val="00F7438B"/>
    <w:rsid w:val="00F74475"/>
    <w:rsid w:val="00F74594"/>
    <w:rsid w:val="00F74AD7"/>
    <w:rsid w:val="00F74B3D"/>
    <w:rsid w:val="00F74C22"/>
    <w:rsid w:val="00F74D0D"/>
    <w:rsid w:val="00F74DC4"/>
    <w:rsid w:val="00F74E74"/>
    <w:rsid w:val="00F7517F"/>
    <w:rsid w:val="00F751A0"/>
    <w:rsid w:val="00F752AF"/>
    <w:rsid w:val="00F7538B"/>
    <w:rsid w:val="00F753CD"/>
    <w:rsid w:val="00F75404"/>
    <w:rsid w:val="00F7548B"/>
    <w:rsid w:val="00F75A46"/>
    <w:rsid w:val="00F760D4"/>
    <w:rsid w:val="00F76277"/>
    <w:rsid w:val="00F76331"/>
    <w:rsid w:val="00F76411"/>
    <w:rsid w:val="00F767C5"/>
    <w:rsid w:val="00F7693C"/>
    <w:rsid w:val="00F76BD6"/>
    <w:rsid w:val="00F76D75"/>
    <w:rsid w:val="00F76E0F"/>
    <w:rsid w:val="00F76E5B"/>
    <w:rsid w:val="00F76F5B"/>
    <w:rsid w:val="00F77170"/>
    <w:rsid w:val="00F771CB"/>
    <w:rsid w:val="00F7726A"/>
    <w:rsid w:val="00F77759"/>
    <w:rsid w:val="00F7782D"/>
    <w:rsid w:val="00F77A89"/>
    <w:rsid w:val="00F77B5F"/>
    <w:rsid w:val="00F77D94"/>
    <w:rsid w:val="00F77E93"/>
    <w:rsid w:val="00F77F5B"/>
    <w:rsid w:val="00F7F8F2"/>
    <w:rsid w:val="00F80177"/>
    <w:rsid w:val="00F80238"/>
    <w:rsid w:val="00F80242"/>
    <w:rsid w:val="00F80257"/>
    <w:rsid w:val="00F802E6"/>
    <w:rsid w:val="00F803E8"/>
    <w:rsid w:val="00F8040B"/>
    <w:rsid w:val="00F80565"/>
    <w:rsid w:val="00F8065E"/>
    <w:rsid w:val="00F80827"/>
    <w:rsid w:val="00F8091F"/>
    <w:rsid w:val="00F8095C"/>
    <w:rsid w:val="00F80A98"/>
    <w:rsid w:val="00F80C62"/>
    <w:rsid w:val="00F80D10"/>
    <w:rsid w:val="00F80F5A"/>
    <w:rsid w:val="00F80FE9"/>
    <w:rsid w:val="00F81053"/>
    <w:rsid w:val="00F8107D"/>
    <w:rsid w:val="00F81105"/>
    <w:rsid w:val="00F811D8"/>
    <w:rsid w:val="00F81330"/>
    <w:rsid w:val="00F81463"/>
    <w:rsid w:val="00F8161B"/>
    <w:rsid w:val="00F81A3A"/>
    <w:rsid w:val="00F81BCD"/>
    <w:rsid w:val="00F81C1A"/>
    <w:rsid w:val="00F81C3F"/>
    <w:rsid w:val="00F81C5D"/>
    <w:rsid w:val="00F81CC8"/>
    <w:rsid w:val="00F81CEC"/>
    <w:rsid w:val="00F81E79"/>
    <w:rsid w:val="00F81FF3"/>
    <w:rsid w:val="00F8220D"/>
    <w:rsid w:val="00F8223B"/>
    <w:rsid w:val="00F8250B"/>
    <w:rsid w:val="00F826E1"/>
    <w:rsid w:val="00F8286F"/>
    <w:rsid w:val="00F8290F"/>
    <w:rsid w:val="00F8292C"/>
    <w:rsid w:val="00F82AD2"/>
    <w:rsid w:val="00F82BB4"/>
    <w:rsid w:val="00F82BFA"/>
    <w:rsid w:val="00F82EDB"/>
    <w:rsid w:val="00F82F7F"/>
    <w:rsid w:val="00F82FD9"/>
    <w:rsid w:val="00F83477"/>
    <w:rsid w:val="00F834FF"/>
    <w:rsid w:val="00F83675"/>
    <w:rsid w:val="00F8386C"/>
    <w:rsid w:val="00F83D62"/>
    <w:rsid w:val="00F83F39"/>
    <w:rsid w:val="00F84141"/>
    <w:rsid w:val="00F8424C"/>
    <w:rsid w:val="00F84260"/>
    <w:rsid w:val="00F845C4"/>
    <w:rsid w:val="00F84631"/>
    <w:rsid w:val="00F846C2"/>
    <w:rsid w:val="00F846F7"/>
    <w:rsid w:val="00F847B5"/>
    <w:rsid w:val="00F84BDC"/>
    <w:rsid w:val="00F84BE2"/>
    <w:rsid w:val="00F84CE9"/>
    <w:rsid w:val="00F84E9B"/>
    <w:rsid w:val="00F84FFB"/>
    <w:rsid w:val="00F85048"/>
    <w:rsid w:val="00F850D5"/>
    <w:rsid w:val="00F850F0"/>
    <w:rsid w:val="00F85119"/>
    <w:rsid w:val="00F851C0"/>
    <w:rsid w:val="00F85502"/>
    <w:rsid w:val="00F855E2"/>
    <w:rsid w:val="00F855E9"/>
    <w:rsid w:val="00F85AED"/>
    <w:rsid w:val="00F85B5D"/>
    <w:rsid w:val="00F85D0E"/>
    <w:rsid w:val="00F8615A"/>
    <w:rsid w:val="00F862BF"/>
    <w:rsid w:val="00F86700"/>
    <w:rsid w:val="00F86752"/>
    <w:rsid w:val="00F86785"/>
    <w:rsid w:val="00F8693D"/>
    <w:rsid w:val="00F86992"/>
    <w:rsid w:val="00F86A6C"/>
    <w:rsid w:val="00F86B84"/>
    <w:rsid w:val="00F86C7A"/>
    <w:rsid w:val="00F86D15"/>
    <w:rsid w:val="00F86DA4"/>
    <w:rsid w:val="00F86E5D"/>
    <w:rsid w:val="00F86EAC"/>
    <w:rsid w:val="00F86ECA"/>
    <w:rsid w:val="00F87296"/>
    <w:rsid w:val="00F87363"/>
    <w:rsid w:val="00F873F9"/>
    <w:rsid w:val="00F87780"/>
    <w:rsid w:val="00F87A66"/>
    <w:rsid w:val="00F87BE7"/>
    <w:rsid w:val="00F87BF8"/>
    <w:rsid w:val="00F87C3B"/>
    <w:rsid w:val="00F87C82"/>
    <w:rsid w:val="00F87E54"/>
    <w:rsid w:val="00F89800"/>
    <w:rsid w:val="00F9008F"/>
    <w:rsid w:val="00F90176"/>
    <w:rsid w:val="00F90C6F"/>
    <w:rsid w:val="00F90F3E"/>
    <w:rsid w:val="00F90FE5"/>
    <w:rsid w:val="00F911F4"/>
    <w:rsid w:val="00F91310"/>
    <w:rsid w:val="00F9147B"/>
    <w:rsid w:val="00F914C9"/>
    <w:rsid w:val="00F9184C"/>
    <w:rsid w:val="00F918C9"/>
    <w:rsid w:val="00F9190C"/>
    <w:rsid w:val="00F91C75"/>
    <w:rsid w:val="00F91EB2"/>
    <w:rsid w:val="00F92089"/>
    <w:rsid w:val="00F92114"/>
    <w:rsid w:val="00F923BF"/>
    <w:rsid w:val="00F92929"/>
    <w:rsid w:val="00F929D6"/>
    <w:rsid w:val="00F92A9A"/>
    <w:rsid w:val="00F92C90"/>
    <w:rsid w:val="00F92C9E"/>
    <w:rsid w:val="00F92E57"/>
    <w:rsid w:val="00F92E8C"/>
    <w:rsid w:val="00F92EB2"/>
    <w:rsid w:val="00F92F2D"/>
    <w:rsid w:val="00F9309B"/>
    <w:rsid w:val="00F93152"/>
    <w:rsid w:val="00F9329B"/>
    <w:rsid w:val="00F9333D"/>
    <w:rsid w:val="00F93812"/>
    <w:rsid w:val="00F9390F"/>
    <w:rsid w:val="00F93951"/>
    <w:rsid w:val="00F93AA3"/>
    <w:rsid w:val="00F93C33"/>
    <w:rsid w:val="00F93C62"/>
    <w:rsid w:val="00F93D41"/>
    <w:rsid w:val="00F94057"/>
    <w:rsid w:val="00F9414F"/>
    <w:rsid w:val="00F94164"/>
    <w:rsid w:val="00F94308"/>
    <w:rsid w:val="00F94535"/>
    <w:rsid w:val="00F94854"/>
    <w:rsid w:val="00F94CF2"/>
    <w:rsid w:val="00F94F1B"/>
    <w:rsid w:val="00F950FE"/>
    <w:rsid w:val="00F95182"/>
    <w:rsid w:val="00F95304"/>
    <w:rsid w:val="00F95364"/>
    <w:rsid w:val="00F953B4"/>
    <w:rsid w:val="00F953C1"/>
    <w:rsid w:val="00F9542F"/>
    <w:rsid w:val="00F95B49"/>
    <w:rsid w:val="00F95BCB"/>
    <w:rsid w:val="00F95C55"/>
    <w:rsid w:val="00F95D44"/>
    <w:rsid w:val="00F95D54"/>
    <w:rsid w:val="00F95E4F"/>
    <w:rsid w:val="00F95E94"/>
    <w:rsid w:val="00F95EF9"/>
    <w:rsid w:val="00F95FE6"/>
    <w:rsid w:val="00F96064"/>
    <w:rsid w:val="00F96199"/>
    <w:rsid w:val="00F961C9"/>
    <w:rsid w:val="00F963A8"/>
    <w:rsid w:val="00F96546"/>
    <w:rsid w:val="00F9661D"/>
    <w:rsid w:val="00F96799"/>
    <w:rsid w:val="00F96957"/>
    <w:rsid w:val="00F96B32"/>
    <w:rsid w:val="00F96F6E"/>
    <w:rsid w:val="00F9723B"/>
    <w:rsid w:val="00F975A5"/>
    <w:rsid w:val="00F97753"/>
    <w:rsid w:val="00F978F5"/>
    <w:rsid w:val="00F978FF"/>
    <w:rsid w:val="00F97C21"/>
    <w:rsid w:val="00F97C41"/>
    <w:rsid w:val="00F97C4B"/>
    <w:rsid w:val="00F97D7C"/>
    <w:rsid w:val="00F97E5B"/>
    <w:rsid w:val="00F97FC6"/>
    <w:rsid w:val="00FA0012"/>
    <w:rsid w:val="00FA00E3"/>
    <w:rsid w:val="00FA028B"/>
    <w:rsid w:val="00FA041F"/>
    <w:rsid w:val="00FA0634"/>
    <w:rsid w:val="00FA081A"/>
    <w:rsid w:val="00FA0B8F"/>
    <w:rsid w:val="00FA0C28"/>
    <w:rsid w:val="00FA0D46"/>
    <w:rsid w:val="00FA0D4F"/>
    <w:rsid w:val="00FA0E76"/>
    <w:rsid w:val="00FA0FC5"/>
    <w:rsid w:val="00FA134A"/>
    <w:rsid w:val="00FA13A7"/>
    <w:rsid w:val="00FA1493"/>
    <w:rsid w:val="00FA15DC"/>
    <w:rsid w:val="00FA1634"/>
    <w:rsid w:val="00FA178B"/>
    <w:rsid w:val="00FA17D3"/>
    <w:rsid w:val="00FA1821"/>
    <w:rsid w:val="00FA185C"/>
    <w:rsid w:val="00FA192A"/>
    <w:rsid w:val="00FA199D"/>
    <w:rsid w:val="00FA1AC1"/>
    <w:rsid w:val="00FA1AE1"/>
    <w:rsid w:val="00FA1CB2"/>
    <w:rsid w:val="00FA1D5B"/>
    <w:rsid w:val="00FA1E26"/>
    <w:rsid w:val="00FA1EA2"/>
    <w:rsid w:val="00FA2121"/>
    <w:rsid w:val="00FA21B8"/>
    <w:rsid w:val="00FA2336"/>
    <w:rsid w:val="00FA265B"/>
    <w:rsid w:val="00FA27E1"/>
    <w:rsid w:val="00FA2818"/>
    <w:rsid w:val="00FA286B"/>
    <w:rsid w:val="00FA2937"/>
    <w:rsid w:val="00FA295E"/>
    <w:rsid w:val="00FA29D2"/>
    <w:rsid w:val="00FA2A74"/>
    <w:rsid w:val="00FA2B0F"/>
    <w:rsid w:val="00FA2B4B"/>
    <w:rsid w:val="00FA2BE7"/>
    <w:rsid w:val="00FA3212"/>
    <w:rsid w:val="00FA3335"/>
    <w:rsid w:val="00FA33A8"/>
    <w:rsid w:val="00FA33BC"/>
    <w:rsid w:val="00FA33EA"/>
    <w:rsid w:val="00FA3518"/>
    <w:rsid w:val="00FA3696"/>
    <w:rsid w:val="00FA37C5"/>
    <w:rsid w:val="00FA383D"/>
    <w:rsid w:val="00FA38E1"/>
    <w:rsid w:val="00FA3A5B"/>
    <w:rsid w:val="00FA3A7D"/>
    <w:rsid w:val="00FA3C88"/>
    <w:rsid w:val="00FA3CCE"/>
    <w:rsid w:val="00FA3CF5"/>
    <w:rsid w:val="00FA3D0C"/>
    <w:rsid w:val="00FA3FAD"/>
    <w:rsid w:val="00FA4039"/>
    <w:rsid w:val="00FA4119"/>
    <w:rsid w:val="00FA43EC"/>
    <w:rsid w:val="00FA4538"/>
    <w:rsid w:val="00FA4619"/>
    <w:rsid w:val="00FA46EE"/>
    <w:rsid w:val="00FA498A"/>
    <w:rsid w:val="00FA49D6"/>
    <w:rsid w:val="00FA4A1C"/>
    <w:rsid w:val="00FA4A54"/>
    <w:rsid w:val="00FA4C24"/>
    <w:rsid w:val="00FA4D7B"/>
    <w:rsid w:val="00FA4D8E"/>
    <w:rsid w:val="00FA4DA8"/>
    <w:rsid w:val="00FA4F87"/>
    <w:rsid w:val="00FA51C6"/>
    <w:rsid w:val="00FA5281"/>
    <w:rsid w:val="00FA528F"/>
    <w:rsid w:val="00FA531B"/>
    <w:rsid w:val="00FA533E"/>
    <w:rsid w:val="00FA549A"/>
    <w:rsid w:val="00FA5504"/>
    <w:rsid w:val="00FA569C"/>
    <w:rsid w:val="00FA57A9"/>
    <w:rsid w:val="00FA5CA0"/>
    <w:rsid w:val="00FA5CEF"/>
    <w:rsid w:val="00FA5E2A"/>
    <w:rsid w:val="00FA62D7"/>
    <w:rsid w:val="00FA630E"/>
    <w:rsid w:val="00FA6377"/>
    <w:rsid w:val="00FA63D7"/>
    <w:rsid w:val="00FA6420"/>
    <w:rsid w:val="00FA65CE"/>
    <w:rsid w:val="00FA6683"/>
    <w:rsid w:val="00FA67AB"/>
    <w:rsid w:val="00FA67F9"/>
    <w:rsid w:val="00FA68D7"/>
    <w:rsid w:val="00FA68E1"/>
    <w:rsid w:val="00FA6907"/>
    <w:rsid w:val="00FA698A"/>
    <w:rsid w:val="00FA6E62"/>
    <w:rsid w:val="00FA6EED"/>
    <w:rsid w:val="00FA7143"/>
    <w:rsid w:val="00FA7185"/>
    <w:rsid w:val="00FA7395"/>
    <w:rsid w:val="00FA73DE"/>
    <w:rsid w:val="00FA7731"/>
    <w:rsid w:val="00FA7737"/>
    <w:rsid w:val="00FA78C6"/>
    <w:rsid w:val="00FA7A78"/>
    <w:rsid w:val="00FA7A8F"/>
    <w:rsid w:val="00FA7BC3"/>
    <w:rsid w:val="00FA7BF1"/>
    <w:rsid w:val="00FA7C43"/>
    <w:rsid w:val="00FA7C8B"/>
    <w:rsid w:val="00FA7CEB"/>
    <w:rsid w:val="00FA7EA3"/>
    <w:rsid w:val="00FA7EC0"/>
    <w:rsid w:val="00FB0133"/>
    <w:rsid w:val="00FB014E"/>
    <w:rsid w:val="00FB01C5"/>
    <w:rsid w:val="00FB01DE"/>
    <w:rsid w:val="00FB0384"/>
    <w:rsid w:val="00FB0438"/>
    <w:rsid w:val="00FB05C0"/>
    <w:rsid w:val="00FB067C"/>
    <w:rsid w:val="00FB068C"/>
    <w:rsid w:val="00FB07FD"/>
    <w:rsid w:val="00FB09C4"/>
    <w:rsid w:val="00FB0C02"/>
    <w:rsid w:val="00FB0C62"/>
    <w:rsid w:val="00FB0D41"/>
    <w:rsid w:val="00FB0D45"/>
    <w:rsid w:val="00FB0E65"/>
    <w:rsid w:val="00FB0FBE"/>
    <w:rsid w:val="00FB12BD"/>
    <w:rsid w:val="00FB14F3"/>
    <w:rsid w:val="00FB15E9"/>
    <w:rsid w:val="00FB17FA"/>
    <w:rsid w:val="00FB1935"/>
    <w:rsid w:val="00FB1958"/>
    <w:rsid w:val="00FB1ADB"/>
    <w:rsid w:val="00FB1AE6"/>
    <w:rsid w:val="00FB1BE5"/>
    <w:rsid w:val="00FB1DF6"/>
    <w:rsid w:val="00FB293A"/>
    <w:rsid w:val="00FB2AB1"/>
    <w:rsid w:val="00FB2FA0"/>
    <w:rsid w:val="00FB348A"/>
    <w:rsid w:val="00FB34E7"/>
    <w:rsid w:val="00FB360C"/>
    <w:rsid w:val="00FB3AFE"/>
    <w:rsid w:val="00FB3DB7"/>
    <w:rsid w:val="00FB3F69"/>
    <w:rsid w:val="00FB4003"/>
    <w:rsid w:val="00FB41AB"/>
    <w:rsid w:val="00FB43FF"/>
    <w:rsid w:val="00FB440E"/>
    <w:rsid w:val="00FB4439"/>
    <w:rsid w:val="00FB4729"/>
    <w:rsid w:val="00FB4901"/>
    <w:rsid w:val="00FB4923"/>
    <w:rsid w:val="00FB4B5B"/>
    <w:rsid w:val="00FB4C59"/>
    <w:rsid w:val="00FB4DCB"/>
    <w:rsid w:val="00FB525E"/>
    <w:rsid w:val="00FB5528"/>
    <w:rsid w:val="00FB5752"/>
    <w:rsid w:val="00FB578C"/>
    <w:rsid w:val="00FB57BF"/>
    <w:rsid w:val="00FB5996"/>
    <w:rsid w:val="00FB59C0"/>
    <w:rsid w:val="00FB5C40"/>
    <w:rsid w:val="00FB5C6D"/>
    <w:rsid w:val="00FB5C7D"/>
    <w:rsid w:val="00FB5E3A"/>
    <w:rsid w:val="00FB5E43"/>
    <w:rsid w:val="00FB5F09"/>
    <w:rsid w:val="00FB5F3D"/>
    <w:rsid w:val="00FB5F71"/>
    <w:rsid w:val="00FB6012"/>
    <w:rsid w:val="00FB6069"/>
    <w:rsid w:val="00FB609F"/>
    <w:rsid w:val="00FB61C5"/>
    <w:rsid w:val="00FB630E"/>
    <w:rsid w:val="00FB64F8"/>
    <w:rsid w:val="00FB67AA"/>
    <w:rsid w:val="00FB6A6A"/>
    <w:rsid w:val="00FB6CF6"/>
    <w:rsid w:val="00FB6D1A"/>
    <w:rsid w:val="00FB6F3B"/>
    <w:rsid w:val="00FB7034"/>
    <w:rsid w:val="00FB70FE"/>
    <w:rsid w:val="00FB7149"/>
    <w:rsid w:val="00FB7351"/>
    <w:rsid w:val="00FB73E3"/>
    <w:rsid w:val="00FB7535"/>
    <w:rsid w:val="00FB758C"/>
    <w:rsid w:val="00FB795B"/>
    <w:rsid w:val="00FB7D7B"/>
    <w:rsid w:val="00FB7F66"/>
    <w:rsid w:val="00FC00CE"/>
    <w:rsid w:val="00FC00E2"/>
    <w:rsid w:val="00FC0109"/>
    <w:rsid w:val="00FC02B8"/>
    <w:rsid w:val="00FC02E0"/>
    <w:rsid w:val="00FC034B"/>
    <w:rsid w:val="00FC0405"/>
    <w:rsid w:val="00FC0432"/>
    <w:rsid w:val="00FC0607"/>
    <w:rsid w:val="00FC083E"/>
    <w:rsid w:val="00FC0A15"/>
    <w:rsid w:val="00FC0AF2"/>
    <w:rsid w:val="00FC11F0"/>
    <w:rsid w:val="00FC1475"/>
    <w:rsid w:val="00FC157F"/>
    <w:rsid w:val="00FC1656"/>
    <w:rsid w:val="00FC175A"/>
    <w:rsid w:val="00FC180F"/>
    <w:rsid w:val="00FC18C2"/>
    <w:rsid w:val="00FC191B"/>
    <w:rsid w:val="00FC1A56"/>
    <w:rsid w:val="00FC21C3"/>
    <w:rsid w:val="00FC21E4"/>
    <w:rsid w:val="00FC2285"/>
    <w:rsid w:val="00FC2567"/>
    <w:rsid w:val="00FC28D2"/>
    <w:rsid w:val="00FC29A6"/>
    <w:rsid w:val="00FC2A25"/>
    <w:rsid w:val="00FC2BF3"/>
    <w:rsid w:val="00FC2C27"/>
    <w:rsid w:val="00FC2C59"/>
    <w:rsid w:val="00FC2CD7"/>
    <w:rsid w:val="00FC2CFB"/>
    <w:rsid w:val="00FC2D03"/>
    <w:rsid w:val="00FC2D8E"/>
    <w:rsid w:val="00FC2DBD"/>
    <w:rsid w:val="00FC3090"/>
    <w:rsid w:val="00FC309A"/>
    <w:rsid w:val="00FC3371"/>
    <w:rsid w:val="00FC34D4"/>
    <w:rsid w:val="00FC382C"/>
    <w:rsid w:val="00FC39A4"/>
    <w:rsid w:val="00FC39C3"/>
    <w:rsid w:val="00FC3B95"/>
    <w:rsid w:val="00FC3E26"/>
    <w:rsid w:val="00FC3EB2"/>
    <w:rsid w:val="00FC3F48"/>
    <w:rsid w:val="00FC4181"/>
    <w:rsid w:val="00FC4447"/>
    <w:rsid w:val="00FC45B5"/>
    <w:rsid w:val="00FC49CC"/>
    <w:rsid w:val="00FC49EF"/>
    <w:rsid w:val="00FC4C10"/>
    <w:rsid w:val="00FC4C33"/>
    <w:rsid w:val="00FC4C92"/>
    <w:rsid w:val="00FC4CB2"/>
    <w:rsid w:val="00FC4EA9"/>
    <w:rsid w:val="00FC5257"/>
    <w:rsid w:val="00FC5319"/>
    <w:rsid w:val="00FC5448"/>
    <w:rsid w:val="00FC5526"/>
    <w:rsid w:val="00FC566D"/>
    <w:rsid w:val="00FC5796"/>
    <w:rsid w:val="00FC5913"/>
    <w:rsid w:val="00FC5976"/>
    <w:rsid w:val="00FC5A6C"/>
    <w:rsid w:val="00FC5B46"/>
    <w:rsid w:val="00FC5C2D"/>
    <w:rsid w:val="00FC5D84"/>
    <w:rsid w:val="00FC5F51"/>
    <w:rsid w:val="00FC5F5A"/>
    <w:rsid w:val="00FC606A"/>
    <w:rsid w:val="00FC60BC"/>
    <w:rsid w:val="00FC61C5"/>
    <w:rsid w:val="00FC6222"/>
    <w:rsid w:val="00FC647C"/>
    <w:rsid w:val="00FC66BA"/>
    <w:rsid w:val="00FC67BD"/>
    <w:rsid w:val="00FC6928"/>
    <w:rsid w:val="00FC6A82"/>
    <w:rsid w:val="00FC6C91"/>
    <w:rsid w:val="00FC6D2E"/>
    <w:rsid w:val="00FC6D4D"/>
    <w:rsid w:val="00FC7098"/>
    <w:rsid w:val="00FC7105"/>
    <w:rsid w:val="00FC72F1"/>
    <w:rsid w:val="00FC739F"/>
    <w:rsid w:val="00FC74AC"/>
    <w:rsid w:val="00FC7586"/>
    <w:rsid w:val="00FC75FD"/>
    <w:rsid w:val="00FC7629"/>
    <w:rsid w:val="00FC7648"/>
    <w:rsid w:val="00FC76D0"/>
    <w:rsid w:val="00FC7757"/>
    <w:rsid w:val="00FC77EC"/>
    <w:rsid w:val="00FC7C22"/>
    <w:rsid w:val="00FC7C5C"/>
    <w:rsid w:val="00FC7F47"/>
    <w:rsid w:val="00FD0042"/>
    <w:rsid w:val="00FD00FD"/>
    <w:rsid w:val="00FD03BB"/>
    <w:rsid w:val="00FD043E"/>
    <w:rsid w:val="00FD0521"/>
    <w:rsid w:val="00FD0671"/>
    <w:rsid w:val="00FD081B"/>
    <w:rsid w:val="00FD0826"/>
    <w:rsid w:val="00FD0974"/>
    <w:rsid w:val="00FD09B4"/>
    <w:rsid w:val="00FD0A0C"/>
    <w:rsid w:val="00FD0AFA"/>
    <w:rsid w:val="00FD0B2F"/>
    <w:rsid w:val="00FD0D84"/>
    <w:rsid w:val="00FD0E7B"/>
    <w:rsid w:val="00FD0E94"/>
    <w:rsid w:val="00FD0EA4"/>
    <w:rsid w:val="00FD101A"/>
    <w:rsid w:val="00FD1027"/>
    <w:rsid w:val="00FD1060"/>
    <w:rsid w:val="00FD1417"/>
    <w:rsid w:val="00FD1878"/>
    <w:rsid w:val="00FD195E"/>
    <w:rsid w:val="00FD1E97"/>
    <w:rsid w:val="00FD1F8A"/>
    <w:rsid w:val="00FD21DB"/>
    <w:rsid w:val="00FD24E4"/>
    <w:rsid w:val="00FD2519"/>
    <w:rsid w:val="00FD2661"/>
    <w:rsid w:val="00FD26CA"/>
    <w:rsid w:val="00FD278E"/>
    <w:rsid w:val="00FD2AD6"/>
    <w:rsid w:val="00FD2B0E"/>
    <w:rsid w:val="00FD2C63"/>
    <w:rsid w:val="00FD2F6A"/>
    <w:rsid w:val="00FD300E"/>
    <w:rsid w:val="00FD312C"/>
    <w:rsid w:val="00FD3173"/>
    <w:rsid w:val="00FD31EA"/>
    <w:rsid w:val="00FD32BB"/>
    <w:rsid w:val="00FD3319"/>
    <w:rsid w:val="00FD343F"/>
    <w:rsid w:val="00FD34BD"/>
    <w:rsid w:val="00FD3718"/>
    <w:rsid w:val="00FD3755"/>
    <w:rsid w:val="00FD37DD"/>
    <w:rsid w:val="00FD3889"/>
    <w:rsid w:val="00FD3B85"/>
    <w:rsid w:val="00FD3BA5"/>
    <w:rsid w:val="00FD3C43"/>
    <w:rsid w:val="00FD3CCB"/>
    <w:rsid w:val="00FD3ECC"/>
    <w:rsid w:val="00FD40F1"/>
    <w:rsid w:val="00FD4109"/>
    <w:rsid w:val="00FD42AE"/>
    <w:rsid w:val="00FD4317"/>
    <w:rsid w:val="00FD44CC"/>
    <w:rsid w:val="00FD4815"/>
    <w:rsid w:val="00FD488B"/>
    <w:rsid w:val="00FD4C47"/>
    <w:rsid w:val="00FD4C6E"/>
    <w:rsid w:val="00FD4C7D"/>
    <w:rsid w:val="00FD4EEE"/>
    <w:rsid w:val="00FD4F76"/>
    <w:rsid w:val="00FD5001"/>
    <w:rsid w:val="00FD500C"/>
    <w:rsid w:val="00FD5181"/>
    <w:rsid w:val="00FD51F2"/>
    <w:rsid w:val="00FD5804"/>
    <w:rsid w:val="00FD591F"/>
    <w:rsid w:val="00FD5955"/>
    <w:rsid w:val="00FD5BD3"/>
    <w:rsid w:val="00FD5D42"/>
    <w:rsid w:val="00FD5D95"/>
    <w:rsid w:val="00FD5E03"/>
    <w:rsid w:val="00FD602B"/>
    <w:rsid w:val="00FD607C"/>
    <w:rsid w:val="00FD627F"/>
    <w:rsid w:val="00FD66FE"/>
    <w:rsid w:val="00FD6B5D"/>
    <w:rsid w:val="00FD6BE6"/>
    <w:rsid w:val="00FD6EB9"/>
    <w:rsid w:val="00FD73CC"/>
    <w:rsid w:val="00FD747C"/>
    <w:rsid w:val="00FD7532"/>
    <w:rsid w:val="00FD780C"/>
    <w:rsid w:val="00FD7C05"/>
    <w:rsid w:val="00FD7C0D"/>
    <w:rsid w:val="00FE01DD"/>
    <w:rsid w:val="00FE02C0"/>
    <w:rsid w:val="00FE0742"/>
    <w:rsid w:val="00FE0876"/>
    <w:rsid w:val="00FE08B1"/>
    <w:rsid w:val="00FE095E"/>
    <w:rsid w:val="00FE0D87"/>
    <w:rsid w:val="00FE0D92"/>
    <w:rsid w:val="00FE0DEB"/>
    <w:rsid w:val="00FE0E40"/>
    <w:rsid w:val="00FE1161"/>
    <w:rsid w:val="00FE11F4"/>
    <w:rsid w:val="00FE120D"/>
    <w:rsid w:val="00FE1261"/>
    <w:rsid w:val="00FE14F4"/>
    <w:rsid w:val="00FE15AB"/>
    <w:rsid w:val="00FE15F6"/>
    <w:rsid w:val="00FE182D"/>
    <w:rsid w:val="00FE1CD2"/>
    <w:rsid w:val="00FE1DD6"/>
    <w:rsid w:val="00FE203C"/>
    <w:rsid w:val="00FE20A7"/>
    <w:rsid w:val="00FE23AC"/>
    <w:rsid w:val="00FE24A6"/>
    <w:rsid w:val="00FE268A"/>
    <w:rsid w:val="00FE2BFC"/>
    <w:rsid w:val="00FE2C56"/>
    <w:rsid w:val="00FE2EC5"/>
    <w:rsid w:val="00FE304D"/>
    <w:rsid w:val="00FE3081"/>
    <w:rsid w:val="00FE3340"/>
    <w:rsid w:val="00FE33DB"/>
    <w:rsid w:val="00FE3601"/>
    <w:rsid w:val="00FE378D"/>
    <w:rsid w:val="00FE384F"/>
    <w:rsid w:val="00FE38A0"/>
    <w:rsid w:val="00FE39EB"/>
    <w:rsid w:val="00FE3BE0"/>
    <w:rsid w:val="00FE3FD1"/>
    <w:rsid w:val="00FE4298"/>
    <w:rsid w:val="00FE4374"/>
    <w:rsid w:val="00FE43CE"/>
    <w:rsid w:val="00FE45E6"/>
    <w:rsid w:val="00FE466E"/>
    <w:rsid w:val="00FE46D0"/>
    <w:rsid w:val="00FE484E"/>
    <w:rsid w:val="00FE4ABD"/>
    <w:rsid w:val="00FE4B71"/>
    <w:rsid w:val="00FE4C36"/>
    <w:rsid w:val="00FE4C93"/>
    <w:rsid w:val="00FE4F9B"/>
    <w:rsid w:val="00FE5049"/>
    <w:rsid w:val="00FE50DB"/>
    <w:rsid w:val="00FE514F"/>
    <w:rsid w:val="00FE51A9"/>
    <w:rsid w:val="00FE51E9"/>
    <w:rsid w:val="00FE5274"/>
    <w:rsid w:val="00FE52E9"/>
    <w:rsid w:val="00FE56C8"/>
    <w:rsid w:val="00FE5849"/>
    <w:rsid w:val="00FE5864"/>
    <w:rsid w:val="00FE58EE"/>
    <w:rsid w:val="00FE5982"/>
    <w:rsid w:val="00FE5EBC"/>
    <w:rsid w:val="00FE63B6"/>
    <w:rsid w:val="00FE6738"/>
    <w:rsid w:val="00FE6B00"/>
    <w:rsid w:val="00FE6DE6"/>
    <w:rsid w:val="00FE7055"/>
    <w:rsid w:val="00FE709D"/>
    <w:rsid w:val="00FE722C"/>
    <w:rsid w:val="00FE7394"/>
    <w:rsid w:val="00FE73BE"/>
    <w:rsid w:val="00FE7520"/>
    <w:rsid w:val="00FE7527"/>
    <w:rsid w:val="00FE75EA"/>
    <w:rsid w:val="00FE7691"/>
    <w:rsid w:val="00FE7974"/>
    <w:rsid w:val="00FE7C0C"/>
    <w:rsid w:val="00FE7E26"/>
    <w:rsid w:val="00FE7EA7"/>
    <w:rsid w:val="00FE7ED6"/>
    <w:rsid w:val="00FE7F81"/>
    <w:rsid w:val="00FE7F87"/>
    <w:rsid w:val="00FF01C0"/>
    <w:rsid w:val="00FF034C"/>
    <w:rsid w:val="00FF072E"/>
    <w:rsid w:val="00FF0A70"/>
    <w:rsid w:val="00FF0A82"/>
    <w:rsid w:val="00FF0AC7"/>
    <w:rsid w:val="00FF0BC9"/>
    <w:rsid w:val="00FF0C98"/>
    <w:rsid w:val="00FF0E00"/>
    <w:rsid w:val="00FF0FD1"/>
    <w:rsid w:val="00FF1122"/>
    <w:rsid w:val="00FF1298"/>
    <w:rsid w:val="00FF150E"/>
    <w:rsid w:val="00FF15C9"/>
    <w:rsid w:val="00FF15D8"/>
    <w:rsid w:val="00FF1716"/>
    <w:rsid w:val="00FF1D16"/>
    <w:rsid w:val="00FF1EE2"/>
    <w:rsid w:val="00FF1EE4"/>
    <w:rsid w:val="00FF1FAF"/>
    <w:rsid w:val="00FF202E"/>
    <w:rsid w:val="00FF2208"/>
    <w:rsid w:val="00FF2282"/>
    <w:rsid w:val="00FF22B3"/>
    <w:rsid w:val="00FF2358"/>
    <w:rsid w:val="00FF23A6"/>
    <w:rsid w:val="00FF258A"/>
    <w:rsid w:val="00FF2604"/>
    <w:rsid w:val="00FF2643"/>
    <w:rsid w:val="00FF2A5B"/>
    <w:rsid w:val="00FF2C79"/>
    <w:rsid w:val="00FF2D6D"/>
    <w:rsid w:val="00FF3182"/>
    <w:rsid w:val="00FF3267"/>
    <w:rsid w:val="00FF32A0"/>
    <w:rsid w:val="00FF3494"/>
    <w:rsid w:val="00FF3669"/>
    <w:rsid w:val="00FF3A02"/>
    <w:rsid w:val="00FF3E5F"/>
    <w:rsid w:val="00FF4316"/>
    <w:rsid w:val="00FF43D1"/>
    <w:rsid w:val="00FF4523"/>
    <w:rsid w:val="00FF46A6"/>
    <w:rsid w:val="00FF483E"/>
    <w:rsid w:val="00FF485B"/>
    <w:rsid w:val="00FF4B0F"/>
    <w:rsid w:val="00FF4BC3"/>
    <w:rsid w:val="00FF502A"/>
    <w:rsid w:val="00FF5133"/>
    <w:rsid w:val="00FF5206"/>
    <w:rsid w:val="00FF526F"/>
    <w:rsid w:val="00FF52FA"/>
    <w:rsid w:val="00FF559A"/>
    <w:rsid w:val="00FF570D"/>
    <w:rsid w:val="00FF5714"/>
    <w:rsid w:val="00FF5797"/>
    <w:rsid w:val="00FF584D"/>
    <w:rsid w:val="00FF59A2"/>
    <w:rsid w:val="00FF5D62"/>
    <w:rsid w:val="00FF5F66"/>
    <w:rsid w:val="00FF618B"/>
    <w:rsid w:val="00FF637E"/>
    <w:rsid w:val="00FF6580"/>
    <w:rsid w:val="00FF65AD"/>
    <w:rsid w:val="00FF65B0"/>
    <w:rsid w:val="00FF6B84"/>
    <w:rsid w:val="00FF6BCA"/>
    <w:rsid w:val="00FF6DF7"/>
    <w:rsid w:val="00FF6E08"/>
    <w:rsid w:val="00FF6E73"/>
    <w:rsid w:val="00FF7014"/>
    <w:rsid w:val="00FF7029"/>
    <w:rsid w:val="00FF72A9"/>
    <w:rsid w:val="00FF762E"/>
    <w:rsid w:val="00FF77ED"/>
    <w:rsid w:val="00FF79A9"/>
    <w:rsid w:val="00FF7A45"/>
    <w:rsid w:val="00FF7A6E"/>
    <w:rsid w:val="00FF7B2A"/>
    <w:rsid w:val="00FF7C11"/>
    <w:rsid w:val="00FF7CC8"/>
    <w:rsid w:val="00FF7CF5"/>
    <w:rsid w:val="00FF7D14"/>
    <w:rsid w:val="00FF7D97"/>
    <w:rsid w:val="00FF7EA3"/>
    <w:rsid w:val="00FF7F62"/>
    <w:rsid w:val="00FF7FB5"/>
    <w:rsid w:val="0105B289"/>
    <w:rsid w:val="0106DDDC"/>
    <w:rsid w:val="010D7B62"/>
    <w:rsid w:val="011219BC"/>
    <w:rsid w:val="01169541"/>
    <w:rsid w:val="011CA84D"/>
    <w:rsid w:val="01208C94"/>
    <w:rsid w:val="012221C3"/>
    <w:rsid w:val="0123C76A"/>
    <w:rsid w:val="0127B38A"/>
    <w:rsid w:val="012802E0"/>
    <w:rsid w:val="0131397F"/>
    <w:rsid w:val="013BCBC5"/>
    <w:rsid w:val="013CBF84"/>
    <w:rsid w:val="013EAF8A"/>
    <w:rsid w:val="014FE690"/>
    <w:rsid w:val="015654CA"/>
    <w:rsid w:val="016A5CA4"/>
    <w:rsid w:val="0178A6C3"/>
    <w:rsid w:val="0180EC99"/>
    <w:rsid w:val="019004AE"/>
    <w:rsid w:val="0192BC70"/>
    <w:rsid w:val="01963AE8"/>
    <w:rsid w:val="019754BB"/>
    <w:rsid w:val="019E05E0"/>
    <w:rsid w:val="01A354B1"/>
    <w:rsid w:val="01A77F4A"/>
    <w:rsid w:val="01AF3A54"/>
    <w:rsid w:val="01B66D8B"/>
    <w:rsid w:val="01B7765D"/>
    <w:rsid w:val="01B941C3"/>
    <w:rsid w:val="01C6A16B"/>
    <w:rsid w:val="01C738BE"/>
    <w:rsid w:val="01C8B55F"/>
    <w:rsid w:val="01CD1B74"/>
    <w:rsid w:val="01CE57E1"/>
    <w:rsid w:val="01D2DA27"/>
    <w:rsid w:val="01D415A4"/>
    <w:rsid w:val="01D6298E"/>
    <w:rsid w:val="01DAC0FF"/>
    <w:rsid w:val="01DAD9C6"/>
    <w:rsid w:val="01DB3F91"/>
    <w:rsid w:val="01DD7F86"/>
    <w:rsid w:val="01E05773"/>
    <w:rsid w:val="01E6FA15"/>
    <w:rsid w:val="01ED3DC9"/>
    <w:rsid w:val="01ED9F5C"/>
    <w:rsid w:val="01EDD306"/>
    <w:rsid w:val="01EE45FC"/>
    <w:rsid w:val="01F1B1FA"/>
    <w:rsid w:val="01F871B7"/>
    <w:rsid w:val="01FBA051"/>
    <w:rsid w:val="01FC56B1"/>
    <w:rsid w:val="01FF2D97"/>
    <w:rsid w:val="0200960D"/>
    <w:rsid w:val="020717BA"/>
    <w:rsid w:val="0214C637"/>
    <w:rsid w:val="021B4666"/>
    <w:rsid w:val="0221D9CD"/>
    <w:rsid w:val="022A873E"/>
    <w:rsid w:val="022BDE1D"/>
    <w:rsid w:val="022C6BE0"/>
    <w:rsid w:val="023028E9"/>
    <w:rsid w:val="0231A71E"/>
    <w:rsid w:val="023B2925"/>
    <w:rsid w:val="0241697E"/>
    <w:rsid w:val="0244FAB1"/>
    <w:rsid w:val="0245141A"/>
    <w:rsid w:val="024618A5"/>
    <w:rsid w:val="02488353"/>
    <w:rsid w:val="02498DA1"/>
    <w:rsid w:val="024A5F9D"/>
    <w:rsid w:val="024C3710"/>
    <w:rsid w:val="024C8D74"/>
    <w:rsid w:val="025815A8"/>
    <w:rsid w:val="0258712C"/>
    <w:rsid w:val="0258C1AB"/>
    <w:rsid w:val="025BFA88"/>
    <w:rsid w:val="025D45E7"/>
    <w:rsid w:val="0264D050"/>
    <w:rsid w:val="026627A5"/>
    <w:rsid w:val="0269A9C2"/>
    <w:rsid w:val="026D57D0"/>
    <w:rsid w:val="027433F6"/>
    <w:rsid w:val="0277FD34"/>
    <w:rsid w:val="027C163C"/>
    <w:rsid w:val="02864FB4"/>
    <w:rsid w:val="02898E4D"/>
    <w:rsid w:val="02942411"/>
    <w:rsid w:val="029730D4"/>
    <w:rsid w:val="02A72C5C"/>
    <w:rsid w:val="02A959EF"/>
    <w:rsid w:val="02ADB890"/>
    <w:rsid w:val="02AE18EF"/>
    <w:rsid w:val="02AF8A84"/>
    <w:rsid w:val="02AFB660"/>
    <w:rsid w:val="02AFF7C3"/>
    <w:rsid w:val="02B06E5F"/>
    <w:rsid w:val="02B567BC"/>
    <w:rsid w:val="02B56CE1"/>
    <w:rsid w:val="02BD32C6"/>
    <w:rsid w:val="02C4A2B6"/>
    <w:rsid w:val="02C4DEF7"/>
    <w:rsid w:val="02C7328E"/>
    <w:rsid w:val="02CE6F97"/>
    <w:rsid w:val="02CFE9F5"/>
    <w:rsid w:val="02D1DADE"/>
    <w:rsid w:val="02D404F9"/>
    <w:rsid w:val="02DA7A7E"/>
    <w:rsid w:val="02E3B0ED"/>
    <w:rsid w:val="02E45DA0"/>
    <w:rsid w:val="02E77CF7"/>
    <w:rsid w:val="02F157F7"/>
    <w:rsid w:val="02F7BCE0"/>
    <w:rsid w:val="02F9954B"/>
    <w:rsid w:val="02FA9089"/>
    <w:rsid w:val="030A22FE"/>
    <w:rsid w:val="030C0F4E"/>
    <w:rsid w:val="030DA46E"/>
    <w:rsid w:val="0312229A"/>
    <w:rsid w:val="03126CDB"/>
    <w:rsid w:val="0315678B"/>
    <w:rsid w:val="032500F1"/>
    <w:rsid w:val="0329EF89"/>
    <w:rsid w:val="0338F2C6"/>
    <w:rsid w:val="0342D885"/>
    <w:rsid w:val="0343A9A3"/>
    <w:rsid w:val="03461DBC"/>
    <w:rsid w:val="03490C11"/>
    <w:rsid w:val="034B48F1"/>
    <w:rsid w:val="034F4534"/>
    <w:rsid w:val="03532101"/>
    <w:rsid w:val="0354E673"/>
    <w:rsid w:val="035E97E5"/>
    <w:rsid w:val="035F8F81"/>
    <w:rsid w:val="036AAD15"/>
    <w:rsid w:val="036B2D34"/>
    <w:rsid w:val="036FF371"/>
    <w:rsid w:val="0379EEF5"/>
    <w:rsid w:val="037B41B6"/>
    <w:rsid w:val="037CC194"/>
    <w:rsid w:val="037ED572"/>
    <w:rsid w:val="0388CA0E"/>
    <w:rsid w:val="038963B8"/>
    <w:rsid w:val="03946D22"/>
    <w:rsid w:val="039A6EDC"/>
    <w:rsid w:val="039E0985"/>
    <w:rsid w:val="03A0B950"/>
    <w:rsid w:val="03A0E879"/>
    <w:rsid w:val="03A2433B"/>
    <w:rsid w:val="03A33419"/>
    <w:rsid w:val="03A9FEB6"/>
    <w:rsid w:val="03B03B41"/>
    <w:rsid w:val="03B08DF2"/>
    <w:rsid w:val="03B1368E"/>
    <w:rsid w:val="03B29327"/>
    <w:rsid w:val="03B4BFA1"/>
    <w:rsid w:val="03C03F0B"/>
    <w:rsid w:val="03C0F413"/>
    <w:rsid w:val="03C5B5E3"/>
    <w:rsid w:val="03C73704"/>
    <w:rsid w:val="03CFB260"/>
    <w:rsid w:val="03D132E9"/>
    <w:rsid w:val="03D3C9D8"/>
    <w:rsid w:val="03D5E2B9"/>
    <w:rsid w:val="03D9DCCF"/>
    <w:rsid w:val="03DA2941"/>
    <w:rsid w:val="03E2EE62"/>
    <w:rsid w:val="03E4E334"/>
    <w:rsid w:val="03E71390"/>
    <w:rsid w:val="03E7FD59"/>
    <w:rsid w:val="03EC35BF"/>
    <w:rsid w:val="03ED2096"/>
    <w:rsid w:val="03EDAF86"/>
    <w:rsid w:val="03EE1BD8"/>
    <w:rsid w:val="03EEF5CB"/>
    <w:rsid w:val="03F12940"/>
    <w:rsid w:val="03F15A70"/>
    <w:rsid w:val="03F28689"/>
    <w:rsid w:val="03F2B6FE"/>
    <w:rsid w:val="03F310CF"/>
    <w:rsid w:val="03F7087E"/>
    <w:rsid w:val="03F9601B"/>
    <w:rsid w:val="03FB9F9F"/>
    <w:rsid w:val="03FD3766"/>
    <w:rsid w:val="04027524"/>
    <w:rsid w:val="04056D56"/>
    <w:rsid w:val="0408A90F"/>
    <w:rsid w:val="040C41A9"/>
    <w:rsid w:val="04147F93"/>
    <w:rsid w:val="041884A8"/>
    <w:rsid w:val="041CEF03"/>
    <w:rsid w:val="04235528"/>
    <w:rsid w:val="042385EE"/>
    <w:rsid w:val="0432DB99"/>
    <w:rsid w:val="04373FD9"/>
    <w:rsid w:val="0439DB18"/>
    <w:rsid w:val="043B7872"/>
    <w:rsid w:val="043B8B78"/>
    <w:rsid w:val="043D2E81"/>
    <w:rsid w:val="043F138A"/>
    <w:rsid w:val="044647CB"/>
    <w:rsid w:val="044AA66A"/>
    <w:rsid w:val="044AC078"/>
    <w:rsid w:val="0450E659"/>
    <w:rsid w:val="0454C9E0"/>
    <w:rsid w:val="0454DA61"/>
    <w:rsid w:val="04599D13"/>
    <w:rsid w:val="045AB77C"/>
    <w:rsid w:val="045BB57B"/>
    <w:rsid w:val="045BCA12"/>
    <w:rsid w:val="0462F03D"/>
    <w:rsid w:val="0464422B"/>
    <w:rsid w:val="046A16EF"/>
    <w:rsid w:val="046AB164"/>
    <w:rsid w:val="046D3C70"/>
    <w:rsid w:val="046EEA8B"/>
    <w:rsid w:val="046F40CA"/>
    <w:rsid w:val="046FCC7E"/>
    <w:rsid w:val="046FD26B"/>
    <w:rsid w:val="04701DE2"/>
    <w:rsid w:val="04755449"/>
    <w:rsid w:val="0477D5EA"/>
    <w:rsid w:val="0478F728"/>
    <w:rsid w:val="0479AB4B"/>
    <w:rsid w:val="047B774B"/>
    <w:rsid w:val="047E8981"/>
    <w:rsid w:val="047EE7DE"/>
    <w:rsid w:val="0486200D"/>
    <w:rsid w:val="04890F30"/>
    <w:rsid w:val="048ECA64"/>
    <w:rsid w:val="04921733"/>
    <w:rsid w:val="04929259"/>
    <w:rsid w:val="0493D2EC"/>
    <w:rsid w:val="049BF220"/>
    <w:rsid w:val="049C07EC"/>
    <w:rsid w:val="049E8EDC"/>
    <w:rsid w:val="04A8FF46"/>
    <w:rsid w:val="04ABE1A9"/>
    <w:rsid w:val="04B1921A"/>
    <w:rsid w:val="04B5B8A2"/>
    <w:rsid w:val="04B71A7A"/>
    <w:rsid w:val="04B737D1"/>
    <w:rsid w:val="04BBB48B"/>
    <w:rsid w:val="04BC2DCD"/>
    <w:rsid w:val="04BD59C7"/>
    <w:rsid w:val="04C0ED23"/>
    <w:rsid w:val="04C4444A"/>
    <w:rsid w:val="04C538C4"/>
    <w:rsid w:val="04C91DD4"/>
    <w:rsid w:val="04C93899"/>
    <w:rsid w:val="04CA58A6"/>
    <w:rsid w:val="04CDA683"/>
    <w:rsid w:val="04D03D8C"/>
    <w:rsid w:val="04D195C8"/>
    <w:rsid w:val="04D38356"/>
    <w:rsid w:val="04D3F91D"/>
    <w:rsid w:val="04D4A4A7"/>
    <w:rsid w:val="04D5387C"/>
    <w:rsid w:val="04DA1295"/>
    <w:rsid w:val="04E72B20"/>
    <w:rsid w:val="04F5709B"/>
    <w:rsid w:val="04F83F84"/>
    <w:rsid w:val="04FBB526"/>
    <w:rsid w:val="04FC7301"/>
    <w:rsid w:val="04FD774B"/>
    <w:rsid w:val="04FE53F9"/>
    <w:rsid w:val="05031EF2"/>
    <w:rsid w:val="0504754F"/>
    <w:rsid w:val="0508FA6B"/>
    <w:rsid w:val="050EFC28"/>
    <w:rsid w:val="05117C70"/>
    <w:rsid w:val="0512C145"/>
    <w:rsid w:val="0515CA3A"/>
    <w:rsid w:val="05169B03"/>
    <w:rsid w:val="051850A6"/>
    <w:rsid w:val="051B1319"/>
    <w:rsid w:val="051CE5A8"/>
    <w:rsid w:val="051D7383"/>
    <w:rsid w:val="0526E1F3"/>
    <w:rsid w:val="052A0395"/>
    <w:rsid w:val="052BDEB1"/>
    <w:rsid w:val="05393C9E"/>
    <w:rsid w:val="053A790E"/>
    <w:rsid w:val="053BD654"/>
    <w:rsid w:val="053DA485"/>
    <w:rsid w:val="05429472"/>
    <w:rsid w:val="05442A1C"/>
    <w:rsid w:val="0546B18C"/>
    <w:rsid w:val="05494D18"/>
    <w:rsid w:val="054BB88D"/>
    <w:rsid w:val="054CF485"/>
    <w:rsid w:val="054ECF5C"/>
    <w:rsid w:val="054F5CFA"/>
    <w:rsid w:val="055189F2"/>
    <w:rsid w:val="0563799C"/>
    <w:rsid w:val="05650868"/>
    <w:rsid w:val="056A4485"/>
    <w:rsid w:val="056AAF53"/>
    <w:rsid w:val="056D0762"/>
    <w:rsid w:val="05731AED"/>
    <w:rsid w:val="05742B5B"/>
    <w:rsid w:val="05744816"/>
    <w:rsid w:val="0574FD2A"/>
    <w:rsid w:val="057633DB"/>
    <w:rsid w:val="057A44F6"/>
    <w:rsid w:val="0586B87B"/>
    <w:rsid w:val="058B8FB1"/>
    <w:rsid w:val="05933479"/>
    <w:rsid w:val="0593FE65"/>
    <w:rsid w:val="0598B1D8"/>
    <w:rsid w:val="059E13B6"/>
    <w:rsid w:val="059F986E"/>
    <w:rsid w:val="05A63908"/>
    <w:rsid w:val="05B2C460"/>
    <w:rsid w:val="05B8B397"/>
    <w:rsid w:val="05C2A278"/>
    <w:rsid w:val="05C316AF"/>
    <w:rsid w:val="05C32CEF"/>
    <w:rsid w:val="05C47252"/>
    <w:rsid w:val="05CB4E5B"/>
    <w:rsid w:val="05CC312F"/>
    <w:rsid w:val="05CD1DEE"/>
    <w:rsid w:val="05CE12D6"/>
    <w:rsid w:val="05CF5A7D"/>
    <w:rsid w:val="05D2BBC8"/>
    <w:rsid w:val="05D50710"/>
    <w:rsid w:val="05D61952"/>
    <w:rsid w:val="05D952EA"/>
    <w:rsid w:val="05DE2E44"/>
    <w:rsid w:val="05E8D365"/>
    <w:rsid w:val="05ECDCD2"/>
    <w:rsid w:val="05F69623"/>
    <w:rsid w:val="05FA4FC6"/>
    <w:rsid w:val="05FF5F90"/>
    <w:rsid w:val="06046063"/>
    <w:rsid w:val="06051068"/>
    <w:rsid w:val="060907EF"/>
    <w:rsid w:val="060AC26F"/>
    <w:rsid w:val="0610E4DB"/>
    <w:rsid w:val="06134777"/>
    <w:rsid w:val="0616A503"/>
    <w:rsid w:val="0618F2DD"/>
    <w:rsid w:val="0621D183"/>
    <w:rsid w:val="06257846"/>
    <w:rsid w:val="062946F8"/>
    <w:rsid w:val="062AB311"/>
    <w:rsid w:val="0633C591"/>
    <w:rsid w:val="063535AC"/>
    <w:rsid w:val="0645CA9F"/>
    <w:rsid w:val="064AFF52"/>
    <w:rsid w:val="0650A4F2"/>
    <w:rsid w:val="065760B7"/>
    <w:rsid w:val="065B2F2D"/>
    <w:rsid w:val="065B9773"/>
    <w:rsid w:val="065CC393"/>
    <w:rsid w:val="0668D32D"/>
    <w:rsid w:val="066B4014"/>
    <w:rsid w:val="066CF40A"/>
    <w:rsid w:val="066DBD98"/>
    <w:rsid w:val="0674C89E"/>
    <w:rsid w:val="067792F2"/>
    <w:rsid w:val="0678AB48"/>
    <w:rsid w:val="067929ED"/>
    <w:rsid w:val="067A5FB1"/>
    <w:rsid w:val="067B51AE"/>
    <w:rsid w:val="067EC72C"/>
    <w:rsid w:val="067EEC34"/>
    <w:rsid w:val="06837135"/>
    <w:rsid w:val="06896987"/>
    <w:rsid w:val="06897DEF"/>
    <w:rsid w:val="06903020"/>
    <w:rsid w:val="0692F845"/>
    <w:rsid w:val="06930D51"/>
    <w:rsid w:val="0693D1AE"/>
    <w:rsid w:val="069DCFB3"/>
    <w:rsid w:val="069ECA72"/>
    <w:rsid w:val="06A0AA35"/>
    <w:rsid w:val="06A692AE"/>
    <w:rsid w:val="06AD64E5"/>
    <w:rsid w:val="06B54C34"/>
    <w:rsid w:val="06B7DE2A"/>
    <w:rsid w:val="06BF4BD7"/>
    <w:rsid w:val="06C0A99E"/>
    <w:rsid w:val="06C2472E"/>
    <w:rsid w:val="06C2C3E1"/>
    <w:rsid w:val="06CDBA04"/>
    <w:rsid w:val="06CF2A45"/>
    <w:rsid w:val="06D0FAAE"/>
    <w:rsid w:val="06D26AE9"/>
    <w:rsid w:val="06D93FD5"/>
    <w:rsid w:val="06DB2229"/>
    <w:rsid w:val="06DE3559"/>
    <w:rsid w:val="06E094EA"/>
    <w:rsid w:val="06E736E3"/>
    <w:rsid w:val="06EC2E66"/>
    <w:rsid w:val="06F52B07"/>
    <w:rsid w:val="06F7037E"/>
    <w:rsid w:val="06F7FE3C"/>
    <w:rsid w:val="06FE8427"/>
    <w:rsid w:val="07018597"/>
    <w:rsid w:val="0701D956"/>
    <w:rsid w:val="070438A0"/>
    <w:rsid w:val="0704962A"/>
    <w:rsid w:val="070DC8FE"/>
    <w:rsid w:val="0717FE62"/>
    <w:rsid w:val="07194898"/>
    <w:rsid w:val="071BA858"/>
    <w:rsid w:val="071F52F8"/>
    <w:rsid w:val="071FE644"/>
    <w:rsid w:val="0721647B"/>
    <w:rsid w:val="072D1E6A"/>
    <w:rsid w:val="072E9E4F"/>
    <w:rsid w:val="073016B7"/>
    <w:rsid w:val="07311ADF"/>
    <w:rsid w:val="07315EC9"/>
    <w:rsid w:val="073248A6"/>
    <w:rsid w:val="0739EB9D"/>
    <w:rsid w:val="0742CED3"/>
    <w:rsid w:val="074309BF"/>
    <w:rsid w:val="07431ABD"/>
    <w:rsid w:val="0753DF5C"/>
    <w:rsid w:val="0768607D"/>
    <w:rsid w:val="0770CF78"/>
    <w:rsid w:val="0770E29E"/>
    <w:rsid w:val="07749DDF"/>
    <w:rsid w:val="07767A01"/>
    <w:rsid w:val="07836A4E"/>
    <w:rsid w:val="078A0D1C"/>
    <w:rsid w:val="078B36C3"/>
    <w:rsid w:val="078F903E"/>
    <w:rsid w:val="079439DA"/>
    <w:rsid w:val="079776AF"/>
    <w:rsid w:val="079DEDAE"/>
    <w:rsid w:val="079E423A"/>
    <w:rsid w:val="07A3791F"/>
    <w:rsid w:val="07A85692"/>
    <w:rsid w:val="07B21C52"/>
    <w:rsid w:val="07BAFE76"/>
    <w:rsid w:val="07BCD0A2"/>
    <w:rsid w:val="07BD4A7B"/>
    <w:rsid w:val="07C10C2C"/>
    <w:rsid w:val="07C88775"/>
    <w:rsid w:val="07CE5436"/>
    <w:rsid w:val="07CEE9B8"/>
    <w:rsid w:val="07CF52E1"/>
    <w:rsid w:val="07D5E8A7"/>
    <w:rsid w:val="07D611E7"/>
    <w:rsid w:val="07DB3EA0"/>
    <w:rsid w:val="07DD76D0"/>
    <w:rsid w:val="07E2DD42"/>
    <w:rsid w:val="07E56BAE"/>
    <w:rsid w:val="07E63697"/>
    <w:rsid w:val="07E6C57C"/>
    <w:rsid w:val="07E74F05"/>
    <w:rsid w:val="07EEF209"/>
    <w:rsid w:val="07F67540"/>
    <w:rsid w:val="07F95945"/>
    <w:rsid w:val="07F9F8AC"/>
    <w:rsid w:val="07FBA990"/>
    <w:rsid w:val="07FF45E9"/>
    <w:rsid w:val="080112F1"/>
    <w:rsid w:val="08064395"/>
    <w:rsid w:val="080833A1"/>
    <w:rsid w:val="080883E1"/>
    <w:rsid w:val="080BEC34"/>
    <w:rsid w:val="08114BAD"/>
    <w:rsid w:val="081353AB"/>
    <w:rsid w:val="0813A962"/>
    <w:rsid w:val="0818749D"/>
    <w:rsid w:val="0818A22A"/>
    <w:rsid w:val="081DF22B"/>
    <w:rsid w:val="08204110"/>
    <w:rsid w:val="08222F75"/>
    <w:rsid w:val="0822E67B"/>
    <w:rsid w:val="08298BCD"/>
    <w:rsid w:val="082EB6D5"/>
    <w:rsid w:val="082F2857"/>
    <w:rsid w:val="083398DE"/>
    <w:rsid w:val="08381408"/>
    <w:rsid w:val="0839A7A0"/>
    <w:rsid w:val="083AD690"/>
    <w:rsid w:val="083FDEF2"/>
    <w:rsid w:val="0843299F"/>
    <w:rsid w:val="08483664"/>
    <w:rsid w:val="08486101"/>
    <w:rsid w:val="084BC2BB"/>
    <w:rsid w:val="0851A3E6"/>
    <w:rsid w:val="0853ADEA"/>
    <w:rsid w:val="0857B383"/>
    <w:rsid w:val="085C34EC"/>
    <w:rsid w:val="08614B8B"/>
    <w:rsid w:val="0864DDC6"/>
    <w:rsid w:val="086E67CA"/>
    <w:rsid w:val="0875A241"/>
    <w:rsid w:val="08782790"/>
    <w:rsid w:val="0878D9F9"/>
    <w:rsid w:val="087C9C0A"/>
    <w:rsid w:val="087FBBC8"/>
    <w:rsid w:val="088538A2"/>
    <w:rsid w:val="08867CD6"/>
    <w:rsid w:val="08878B5A"/>
    <w:rsid w:val="0888D55E"/>
    <w:rsid w:val="088981C5"/>
    <w:rsid w:val="0898635E"/>
    <w:rsid w:val="089B5A8C"/>
    <w:rsid w:val="089DDC0E"/>
    <w:rsid w:val="089EE9A8"/>
    <w:rsid w:val="089F9149"/>
    <w:rsid w:val="08AD3183"/>
    <w:rsid w:val="08B40BFE"/>
    <w:rsid w:val="08B756E8"/>
    <w:rsid w:val="08BD0E63"/>
    <w:rsid w:val="08C1DC75"/>
    <w:rsid w:val="08C1F89E"/>
    <w:rsid w:val="08C45AD6"/>
    <w:rsid w:val="08C48AED"/>
    <w:rsid w:val="08C9246D"/>
    <w:rsid w:val="08D033CE"/>
    <w:rsid w:val="08D7DEA4"/>
    <w:rsid w:val="08D9A5D9"/>
    <w:rsid w:val="08DC0467"/>
    <w:rsid w:val="08DC4348"/>
    <w:rsid w:val="08DC8F8B"/>
    <w:rsid w:val="08DD8B9A"/>
    <w:rsid w:val="08DF5468"/>
    <w:rsid w:val="08E04DAF"/>
    <w:rsid w:val="08E1814F"/>
    <w:rsid w:val="08EA68ED"/>
    <w:rsid w:val="08EA956B"/>
    <w:rsid w:val="08EF4A04"/>
    <w:rsid w:val="08F0903B"/>
    <w:rsid w:val="08F0B999"/>
    <w:rsid w:val="08F88E7A"/>
    <w:rsid w:val="08F9FCE0"/>
    <w:rsid w:val="08FBC6D6"/>
    <w:rsid w:val="0902C39B"/>
    <w:rsid w:val="0903E10F"/>
    <w:rsid w:val="090527D0"/>
    <w:rsid w:val="0909BA18"/>
    <w:rsid w:val="09146F42"/>
    <w:rsid w:val="0916181A"/>
    <w:rsid w:val="091FA1AD"/>
    <w:rsid w:val="09219519"/>
    <w:rsid w:val="09222AC5"/>
    <w:rsid w:val="09227063"/>
    <w:rsid w:val="0922DB72"/>
    <w:rsid w:val="09267E97"/>
    <w:rsid w:val="092713DB"/>
    <w:rsid w:val="092CAE70"/>
    <w:rsid w:val="092F9AB1"/>
    <w:rsid w:val="09339C32"/>
    <w:rsid w:val="09344C54"/>
    <w:rsid w:val="0937908A"/>
    <w:rsid w:val="093A463B"/>
    <w:rsid w:val="09411FFE"/>
    <w:rsid w:val="0942A337"/>
    <w:rsid w:val="094B1990"/>
    <w:rsid w:val="094BF14C"/>
    <w:rsid w:val="0950ED2F"/>
    <w:rsid w:val="0951E2C0"/>
    <w:rsid w:val="09537B3D"/>
    <w:rsid w:val="095399FC"/>
    <w:rsid w:val="095624DD"/>
    <w:rsid w:val="09568C76"/>
    <w:rsid w:val="0956D09E"/>
    <w:rsid w:val="095D50B5"/>
    <w:rsid w:val="095E6812"/>
    <w:rsid w:val="0961639D"/>
    <w:rsid w:val="0968C89F"/>
    <w:rsid w:val="096F1660"/>
    <w:rsid w:val="0970D3B5"/>
    <w:rsid w:val="0972E538"/>
    <w:rsid w:val="0978C99E"/>
    <w:rsid w:val="097D8F7C"/>
    <w:rsid w:val="097E5436"/>
    <w:rsid w:val="097FA4A2"/>
    <w:rsid w:val="097FD243"/>
    <w:rsid w:val="09800436"/>
    <w:rsid w:val="09857677"/>
    <w:rsid w:val="09875D6B"/>
    <w:rsid w:val="09888DCD"/>
    <w:rsid w:val="0988D320"/>
    <w:rsid w:val="098EC7B1"/>
    <w:rsid w:val="0995FE1E"/>
    <w:rsid w:val="099845DA"/>
    <w:rsid w:val="09986777"/>
    <w:rsid w:val="099EDB15"/>
    <w:rsid w:val="099F5DF7"/>
    <w:rsid w:val="09A4399B"/>
    <w:rsid w:val="09A8C9EE"/>
    <w:rsid w:val="09A9EDED"/>
    <w:rsid w:val="09ADD5B0"/>
    <w:rsid w:val="09AF6A3F"/>
    <w:rsid w:val="09AFA2F9"/>
    <w:rsid w:val="09B2578F"/>
    <w:rsid w:val="09BA0900"/>
    <w:rsid w:val="09BE89A8"/>
    <w:rsid w:val="09C2EC99"/>
    <w:rsid w:val="09C5A310"/>
    <w:rsid w:val="09C698A7"/>
    <w:rsid w:val="09CD4D3B"/>
    <w:rsid w:val="09CF34CE"/>
    <w:rsid w:val="09D48524"/>
    <w:rsid w:val="09D4B5FF"/>
    <w:rsid w:val="09D62955"/>
    <w:rsid w:val="09E1FEBE"/>
    <w:rsid w:val="09EC56DF"/>
    <w:rsid w:val="09EC8A3E"/>
    <w:rsid w:val="09F1D513"/>
    <w:rsid w:val="09F58B57"/>
    <w:rsid w:val="09F6DF17"/>
    <w:rsid w:val="09F8A616"/>
    <w:rsid w:val="09FA5536"/>
    <w:rsid w:val="09FC645C"/>
    <w:rsid w:val="0A09B8B4"/>
    <w:rsid w:val="0A0D6BF5"/>
    <w:rsid w:val="0A159152"/>
    <w:rsid w:val="0A169D79"/>
    <w:rsid w:val="0A186AAD"/>
    <w:rsid w:val="0A1D6149"/>
    <w:rsid w:val="0A1E8A70"/>
    <w:rsid w:val="0A1E9749"/>
    <w:rsid w:val="0A1F2EC3"/>
    <w:rsid w:val="0A243AD2"/>
    <w:rsid w:val="0A24D150"/>
    <w:rsid w:val="0A2B47F9"/>
    <w:rsid w:val="0A2D7902"/>
    <w:rsid w:val="0A323CFE"/>
    <w:rsid w:val="0A348D58"/>
    <w:rsid w:val="0A3973D5"/>
    <w:rsid w:val="0A3F24DA"/>
    <w:rsid w:val="0A3F4128"/>
    <w:rsid w:val="0A4050BA"/>
    <w:rsid w:val="0A42A3BC"/>
    <w:rsid w:val="0A547F4C"/>
    <w:rsid w:val="0A5B9F40"/>
    <w:rsid w:val="0A61611D"/>
    <w:rsid w:val="0A62B629"/>
    <w:rsid w:val="0A66F8FD"/>
    <w:rsid w:val="0A6CDC85"/>
    <w:rsid w:val="0A6F020A"/>
    <w:rsid w:val="0A72F78D"/>
    <w:rsid w:val="0A7A033F"/>
    <w:rsid w:val="0A7D61F7"/>
    <w:rsid w:val="0A7E8185"/>
    <w:rsid w:val="0A83A35B"/>
    <w:rsid w:val="0A850C17"/>
    <w:rsid w:val="0A880144"/>
    <w:rsid w:val="0A8A08ED"/>
    <w:rsid w:val="0A8BE93A"/>
    <w:rsid w:val="0A8C3C96"/>
    <w:rsid w:val="0A9673AE"/>
    <w:rsid w:val="0A97F44B"/>
    <w:rsid w:val="0A98024F"/>
    <w:rsid w:val="0A9A31F8"/>
    <w:rsid w:val="0AA29B26"/>
    <w:rsid w:val="0AA3F273"/>
    <w:rsid w:val="0AA47271"/>
    <w:rsid w:val="0AAA1EB2"/>
    <w:rsid w:val="0AB2C51F"/>
    <w:rsid w:val="0AB2CA1D"/>
    <w:rsid w:val="0AB99C44"/>
    <w:rsid w:val="0AB9DD90"/>
    <w:rsid w:val="0ABC09D9"/>
    <w:rsid w:val="0AC40CE2"/>
    <w:rsid w:val="0AC5ED4E"/>
    <w:rsid w:val="0AD7FBC9"/>
    <w:rsid w:val="0ADB8653"/>
    <w:rsid w:val="0AE56D11"/>
    <w:rsid w:val="0AF126E0"/>
    <w:rsid w:val="0AF2DC90"/>
    <w:rsid w:val="0AF3EF32"/>
    <w:rsid w:val="0AF54D0F"/>
    <w:rsid w:val="0AF7AF80"/>
    <w:rsid w:val="0AF7C2C4"/>
    <w:rsid w:val="0AF96881"/>
    <w:rsid w:val="0AFC14D7"/>
    <w:rsid w:val="0AFC50E0"/>
    <w:rsid w:val="0AFDE71E"/>
    <w:rsid w:val="0B01951E"/>
    <w:rsid w:val="0B0B4E34"/>
    <w:rsid w:val="0B0BCCE9"/>
    <w:rsid w:val="0B1B0DDF"/>
    <w:rsid w:val="0B1BAFF2"/>
    <w:rsid w:val="0B1DE23E"/>
    <w:rsid w:val="0B2103D2"/>
    <w:rsid w:val="0B2178B2"/>
    <w:rsid w:val="0B280B3B"/>
    <w:rsid w:val="0B2940D1"/>
    <w:rsid w:val="0B2C4867"/>
    <w:rsid w:val="0B346422"/>
    <w:rsid w:val="0B4021CA"/>
    <w:rsid w:val="0B4BD758"/>
    <w:rsid w:val="0B5101A3"/>
    <w:rsid w:val="0B517C9B"/>
    <w:rsid w:val="0B51B27B"/>
    <w:rsid w:val="0B5A2533"/>
    <w:rsid w:val="0B61A9C7"/>
    <w:rsid w:val="0B61D61B"/>
    <w:rsid w:val="0B642F65"/>
    <w:rsid w:val="0B6992AC"/>
    <w:rsid w:val="0B6B7DD8"/>
    <w:rsid w:val="0B6FF26E"/>
    <w:rsid w:val="0B7D80F0"/>
    <w:rsid w:val="0B82F4C0"/>
    <w:rsid w:val="0B830188"/>
    <w:rsid w:val="0B864552"/>
    <w:rsid w:val="0B86D692"/>
    <w:rsid w:val="0B8F265D"/>
    <w:rsid w:val="0B934D5E"/>
    <w:rsid w:val="0B93BFB1"/>
    <w:rsid w:val="0B970644"/>
    <w:rsid w:val="0B97E49B"/>
    <w:rsid w:val="0B9F5309"/>
    <w:rsid w:val="0BA6D7A0"/>
    <w:rsid w:val="0BAF5006"/>
    <w:rsid w:val="0BB28588"/>
    <w:rsid w:val="0BB85B22"/>
    <w:rsid w:val="0BBC68D7"/>
    <w:rsid w:val="0BCABD80"/>
    <w:rsid w:val="0BCB310E"/>
    <w:rsid w:val="0BCCE70D"/>
    <w:rsid w:val="0BD7C8A2"/>
    <w:rsid w:val="0BD8C3E7"/>
    <w:rsid w:val="0BDB501A"/>
    <w:rsid w:val="0BDED7B0"/>
    <w:rsid w:val="0BDF5F6B"/>
    <w:rsid w:val="0BDFD618"/>
    <w:rsid w:val="0BE51577"/>
    <w:rsid w:val="0BE652CD"/>
    <w:rsid w:val="0BE85179"/>
    <w:rsid w:val="0BE9E8AD"/>
    <w:rsid w:val="0BEC813B"/>
    <w:rsid w:val="0BF07A4A"/>
    <w:rsid w:val="0BF2C858"/>
    <w:rsid w:val="0BFBCFD1"/>
    <w:rsid w:val="0BFFF44F"/>
    <w:rsid w:val="0C0207B3"/>
    <w:rsid w:val="0C020D21"/>
    <w:rsid w:val="0C04D84B"/>
    <w:rsid w:val="0C097D21"/>
    <w:rsid w:val="0C0C841E"/>
    <w:rsid w:val="0C1130D5"/>
    <w:rsid w:val="0C1A3BE8"/>
    <w:rsid w:val="0C1C5B54"/>
    <w:rsid w:val="0C209A69"/>
    <w:rsid w:val="0C219664"/>
    <w:rsid w:val="0C21E2D3"/>
    <w:rsid w:val="0C235329"/>
    <w:rsid w:val="0C25B1DD"/>
    <w:rsid w:val="0C296B75"/>
    <w:rsid w:val="0C2A4689"/>
    <w:rsid w:val="0C2B1E38"/>
    <w:rsid w:val="0C2F95C3"/>
    <w:rsid w:val="0C36F267"/>
    <w:rsid w:val="0C433599"/>
    <w:rsid w:val="0C44D5A5"/>
    <w:rsid w:val="0C45F74F"/>
    <w:rsid w:val="0C50342A"/>
    <w:rsid w:val="0C524895"/>
    <w:rsid w:val="0C52B0E9"/>
    <w:rsid w:val="0C5C2BE3"/>
    <w:rsid w:val="0C5F4E72"/>
    <w:rsid w:val="0C61A4CF"/>
    <w:rsid w:val="0C670A9E"/>
    <w:rsid w:val="0C677B83"/>
    <w:rsid w:val="0C6B85F2"/>
    <w:rsid w:val="0C70C77C"/>
    <w:rsid w:val="0C7BA1B8"/>
    <w:rsid w:val="0C864195"/>
    <w:rsid w:val="0C8E77EB"/>
    <w:rsid w:val="0C906A93"/>
    <w:rsid w:val="0C92156D"/>
    <w:rsid w:val="0CABD905"/>
    <w:rsid w:val="0CAC5FAA"/>
    <w:rsid w:val="0CAD837B"/>
    <w:rsid w:val="0CAF59A3"/>
    <w:rsid w:val="0CBF6A2F"/>
    <w:rsid w:val="0CC21BE5"/>
    <w:rsid w:val="0CC6878B"/>
    <w:rsid w:val="0CCF0EAE"/>
    <w:rsid w:val="0CD007CD"/>
    <w:rsid w:val="0CD1D221"/>
    <w:rsid w:val="0CD447FE"/>
    <w:rsid w:val="0CD6EC11"/>
    <w:rsid w:val="0CDE3935"/>
    <w:rsid w:val="0CE26F3E"/>
    <w:rsid w:val="0CE77CA7"/>
    <w:rsid w:val="0CEF17D4"/>
    <w:rsid w:val="0CF25ED3"/>
    <w:rsid w:val="0CF6AB12"/>
    <w:rsid w:val="0CF95F99"/>
    <w:rsid w:val="0CFF5AAC"/>
    <w:rsid w:val="0D01C1BC"/>
    <w:rsid w:val="0D03D434"/>
    <w:rsid w:val="0D057C7D"/>
    <w:rsid w:val="0D09C072"/>
    <w:rsid w:val="0D0D7581"/>
    <w:rsid w:val="0D0EE83E"/>
    <w:rsid w:val="0D12F4B7"/>
    <w:rsid w:val="0D14BAC5"/>
    <w:rsid w:val="0D1A8710"/>
    <w:rsid w:val="0D1FD766"/>
    <w:rsid w:val="0D216A3C"/>
    <w:rsid w:val="0D27CAC8"/>
    <w:rsid w:val="0D2D50B0"/>
    <w:rsid w:val="0D2D89B8"/>
    <w:rsid w:val="0D2DCC11"/>
    <w:rsid w:val="0D39743E"/>
    <w:rsid w:val="0D3ADC7F"/>
    <w:rsid w:val="0D498C52"/>
    <w:rsid w:val="0D4BAFDF"/>
    <w:rsid w:val="0D4E7F06"/>
    <w:rsid w:val="0D520F79"/>
    <w:rsid w:val="0D521A64"/>
    <w:rsid w:val="0D54FEAC"/>
    <w:rsid w:val="0D591A2F"/>
    <w:rsid w:val="0D59225A"/>
    <w:rsid w:val="0D5DFAA8"/>
    <w:rsid w:val="0D5E73DC"/>
    <w:rsid w:val="0D61DB1D"/>
    <w:rsid w:val="0D6669F5"/>
    <w:rsid w:val="0D6B3D65"/>
    <w:rsid w:val="0D6CCB18"/>
    <w:rsid w:val="0D74B59D"/>
    <w:rsid w:val="0D7893B0"/>
    <w:rsid w:val="0D799B1C"/>
    <w:rsid w:val="0D7EDE44"/>
    <w:rsid w:val="0D801501"/>
    <w:rsid w:val="0D84CD7C"/>
    <w:rsid w:val="0D8BAE17"/>
    <w:rsid w:val="0D8F0280"/>
    <w:rsid w:val="0D9144CB"/>
    <w:rsid w:val="0D9B92E7"/>
    <w:rsid w:val="0D9DB98B"/>
    <w:rsid w:val="0DAA55F4"/>
    <w:rsid w:val="0DAAB055"/>
    <w:rsid w:val="0DAB72D7"/>
    <w:rsid w:val="0DAD0CA1"/>
    <w:rsid w:val="0DB45599"/>
    <w:rsid w:val="0DB49855"/>
    <w:rsid w:val="0DB55838"/>
    <w:rsid w:val="0DB7B422"/>
    <w:rsid w:val="0DBAC37D"/>
    <w:rsid w:val="0DBB6461"/>
    <w:rsid w:val="0DC35F8A"/>
    <w:rsid w:val="0DD3736D"/>
    <w:rsid w:val="0DE3FE02"/>
    <w:rsid w:val="0DE5F567"/>
    <w:rsid w:val="0DE7EA6C"/>
    <w:rsid w:val="0DEABECF"/>
    <w:rsid w:val="0DEAE466"/>
    <w:rsid w:val="0DEB288C"/>
    <w:rsid w:val="0DEB723C"/>
    <w:rsid w:val="0DECABAD"/>
    <w:rsid w:val="0DECEBA7"/>
    <w:rsid w:val="0DF0754E"/>
    <w:rsid w:val="0DF08E27"/>
    <w:rsid w:val="0DF122F9"/>
    <w:rsid w:val="0DF4E3BF"/>
    <w:rsid w:val="0DF6D64D"/>
    <w:rsid w:val="0E04CCF9"/>
    <w:rsid w:val="0E06081C"/>
    <w:rsid w:val="0E13AA2C"/>
    <w:rsid w:val="0E16E5E8"/>
    <w:rsid w:val="0E1FE202"/>
    <w:rsid w:val="0E22D256"/>
    <w:rsid w:val="0E27AAAB"/>
    <w:rsid w:val="0E29234B"/>
    <w:rsid w:val="0E2AA1EF"/>
    <w:rsid w:val="0E357C36"/>
    <w:rsid w:val="0E358E32"/>
    <w:rsid w:val="0E38F47C"/>
    <w:rsid w:val="0E3DCA50"/>
    <w:rsid w:val="0E3E318A"/>
    <w:rsid w:val="0E3EC3F8"/>
    <w:rsid w:val="0E4159A1"/>
    <w:rsid w:val="0E468634"/>
    <w:rsid w:val="0E499437"/>
    <w:rsid w:val="0E4A6719"/>
    <w:rsid w:val="0E4B1998"/>
    <w:rsid w:val="0E580D73"/>
    <w:rsid w:val="0E59D03D"/>
    <w:rsid w:val="0E5BB100"/>
    <w:rsid w:val="0E5C8608"/>
    <w:rsid w:val="0E61CB44"/>
    <w:rsid w:val="0E639854"/>
    <w:rsid w:val="0E68FD5E"/>
    <w:rsid w:val="0E6EB44D"/>
    <w:rsid w:val="0E70488F"/>
    <w:rsid w:val="0E72FEA9"/>
    <w:rsid w:val="0E73459B"/>
    <w:rsid w:val="0E7849FF"/>
    <w:rsid w:val="0E78BEC6"/>
    <w:rsid w:val="0E7B9A19"/>
    <w:rsid w:val="0E7CA625"/>
    <w:rsid w:val="0E80D92A"/>
    <w:rsid w:val="0E8198ED"/>
    <w:rsid w:val="0E860B30"/>
    <w:rsid w:val="0E87B2CB"/>
    <w:rsid w:val="0E8ED2B0"/>
    <w:rsid w:val="0E8F015B"/>
    <w:rsid w:val="0E98FECD"/>
    <w:rsid w:val="0E994F04"/>
    <w:rsid w:val="0EA707A5"/>
    <w:rsid w:val="0EA8167A"/>
    <w:rsid w:val="0EA998C4"/>
    <w:rsid w:val="0EAAA22D"/>
    <w:rsid w:val="0EAE79AB"/>
    <w:rsid w:val="0EB5653B"/>
    <w:rsid w:val="0EB66AE7"/>
    <w:rsid w:val="0EB90808"/>
    <w:rsid w:val="0EC01E41"/>
    <w:rsid w:val="0EC9195C"/>
    <w:rsid w:val="0ECDECC5"/>
    <w:rsid w:val="0ED009AD"/>
    <w:rsid w:val="0ED5A877"/>
    <w:rsid w:val="0ED5FB92"/>
    <w:rsid w:val="0EDE7D8B"/>
    <w:rsid w:val="0EDEB92E"/>
    <w:rsid w:val="0EE7BEF4"/>
    <w:rsid w:val="0EEA09C7"/>
    <w:rsid w:val="0EEC251E"/>
    <w:rsid w:val="0EEF8AF3"/>
    <w:rsid w:val="0EF14AD6"/>
    <w:rsid w:val="0F0FA13A"/>
    <w:rsid w:val="0F109291"/>
    <w:rsid w:val="0F1B17F4"/>
    <w:rsid w:val="0F1F6C52"/>
    <w:rsid w:val="0F24DBE2"/>
    <w:rsid w:val="0F2EAC7E"/>
    <w:rsid w:val="0F33F8C3"/>
    <w:rsid w:val="0F3471A2"/>
    <w:rsid w:val="0F349E9D"/>
    <w:rsid w:val="0F38F8EC"/>
    <w:rsid w:val="0F3A2073"/>
    <w:rsid w:val="0F3AA66C"/>
    <w:rsid w:val="0F4143CA"/>
    <w:rsid w:val="0F431A7F"/>
    <w:rsid w:val="0F4790F8"/>
    <w:rsid w:val="0F4FA491"/>
    <w:rsid w:val="0F506042"/>
    <w:rsid w:val="0F54F82B"/>
    <w:rsid w:val="0F56CA4A"/>
    <w:rsid w:val="0F59B1A1"/>
    <w:rsid w:val="0F5BC313"/>
    <w:rsid w:val="0F5C2DF6"/>
    <w:rsid w:val="0F5E636F"/>
    <w:rsid w:val="0F5E6BC9"/>
    <w:rsid w:val="0F61832A"/>
    <w:rsid w:val="0F621BAB"/>
    <w:rsid w:val="0F67094C"/>
    <w:rsid w:val="0F6968D3"/>
    <w:rsid w:val="0F807946"/>
    <w:rsid w:val="0F82612C"/>
    <w:rsid w:val="0F85B381"/>
    <w:rsid w:val="0F8A0E03"/>
    <w:rsid w:val="0F8A4766"/>
    <w:rsid w:val="0F8F38CA"/>
    <w:rsid w:val="0F90429D"/>
    <w:rsid w:val="0F933891"/>
    <w:rsid w:val="0F98564C"/>
    <w:rsid w:val="0FA252C7"/>
    <w:rsid w:val="0FA34DBA"/>
    <w:rsid w:val="0FA38D10"/>
    <w:rsid w:val="0FA425C7"/>
    <w:rsid w:val="0FA7F7EF"/>
    <w:rsid w:val="0FAED9CD"/>
    <w:rsid w:val="0FB3A6D2"/>
    <w:rsid w:val="0FB87FD5"/>
    <w:rsid w:val="0FE0B884"/>
    <w:rsid w:val="0FE47DA8"/>
    <w:rsid w:val="0FE6F716"/>
    <w:rsid w:val="0FF06BE2"/>
    <w:rsid w:val="0FF13235"/>
    <w:rsid w:val="0FF349C6"/>
    <w:rsid w:val="0FF395C4"/>
    <w:rsid w:val="0FF40F3F"/>
    <w:rsid w:val="0FF8CEF6"/>
    <w:rsid w:val="0FFACE82"/>
    <w:rsid w:val="0FFAD5A5"/>
    <w:rsid w:val="0FFEEEA7"/>
    <w:rsid w:val="1000EF95"/>
    <w:rsid w:val="100244DF"/>
    <w:rsid w:val="100329AC"/>
    <w:rsid w:val="100A054F"/>
    <w:rsid w:val="100DAFB1"/>
    <w:rsid w:val="101464A4"/>
    <w:rsid w:val="101A964C"/>
    <w:rsid w:val="101E0580"/>
    <w:rsid w:val="101EFE48"/>
    <w:rsid w:val="1025A0F3"/>
    <w:rsid w:val="102AE3B4"/>
    <w:rsid w:val="102DF9EF"/>
    <w:rsid w:val="10349E52"/>
    <w:rsid w:val="1035D3AA"/>
    <w:rsid w:val="103B27C3"/>
    <w:rsid w:val="103D616D"/>
    <w:rsid w:val="103F0117"/>
    <w:rsid w:val="104209F8"/>
    <w:rsid w:val="10481F3A"/>
    <w:rsid w:val="104BA55E"/>
    <w:rsid w:val="10521B0F"/>
    <w:rsid w:val="10523B55"/>
    <w:rsid w:val="105B01E2"/>
    <w:rsid w:val="106249B2"/>
    <w:rsid w:val="1064E2EC"/>
    <w:rsid w:val="106A181B"/>
    <w:rsid w:val="106AA58A"/>
    <w:rsid w:val="106CBD67"/>
    <w:rsid w:val="106F7747"/>
    <w:rsid w:val="106F9001"/>
    <w:rsid w:val="1070232B"/>
    <w:rsid w:val="10714B24"/>
    <w:rsid w:val="10724172"/>
    <w:rsid w:val="107CD89F"/>
    <w:rsid w:val="10850A72"/>
    <w:rsid w:val="108DE24D"/>
    <w:rsid w:val="1091DE1B"/>
    <w:rsid w:val="10955131"/>
    <w:rsid w:val="109700E5"/>
    <w:rsid w:val="109870F7"/>
    <w:rsid w:val="109B680F"/>
    <w:rsid w:val="109B927B"/>
    <w:rsid w:val="109E253F"/>
    <w:rsid w:val="10A0E58E"/>
    <w:rsid w:val="10A1481F"/>
    <w:rsid w:val="10A6A148"/>
    <w:rsid w:val="10A834FD"/>
    <w:rsid w:val="10AB04B8"/>
    <w:rsid w:val="10AD0E6C"/>
    <w:rsid w:val="10B02D0E"/>
    <w:rsid w:val="10B2B1DD"/>
    <w:rsid w:val="10BDD6DE"/>
    <w:rsid w:val="10C05CD2"/>
    <w:rsid w:val="10C30A71"/>
    <w:rsid w:val="10C856E9"/>
    <w:rsid w:val="10C8E5B2"/>
    <w:rsid w:val="10D5A0AF"/>
    <w:rsid w:val="10DF6975"/>
    <w:rsid w:val="10E0B366"/>
    <w:rsid w:val="10E37513"/>
    <w:rsid w:val="10E3CFB0"/>
    <w:rsid w:val="10EDE649"/>
    <w:rsid w:val="10EF7F3B"/>
    <w:rsid w:val="10F0F30D"/>
    <w:rsid w:val="10FA2869"/>
    <w:rsid w:val="10FE8AF3"/>
    <w:rsid w:val="11067817"/>
    <w:rsid w:val="110BD98A"/>
    <w:rsid w:val="110D2FDA"/>
    <w:rsid w:val="110DB96F"/>
    <w:rsid w:val="11186381"/>
    <w:rsid w:val="111C8AFE"/>
    <w:rsid w:val="111D3B51"/>
    <w:rsid w:val="111D9E36"/>
    <w:rsid w:val="1128E326"/>
    <w:rsid w:val="1128E85E"/>
    <w:rsid w:val="112ED29C"/>
    <w:rsid w:val="11328625"/>
    <w:rsid w:val="1134FF90"/>
    <w:rsid w:val="11368D0D"/>
    <w:rsid w:val="11374138"/>
    <w:rsid w:val="11478852"/>
    <w:rsid w:val="1152F8BB"/>
    <w:rsid w:val="11589B82"/>
    <w:rsid w:val="115C41F1"/>
    <w:rsid w:val="11610AAC"/>
    <w:rsid w:val="116173D0"/>
    <w:rsid w:val="1162C974"/>
    <w:rsid w:val="11680875"/>
    <w:rsid w:val="11695711"/>
    <w:rsid w:val="116F7E34"/>
    <w:rsid w:val="11702026"/>
    <w:rsid w:val="11775A7D"/>
    <w:rsid w:val="1179F91A"/>
    <w:rsid w:val="117C29CD"/>
    <w:rsid w:val="1182C80A"/>
    <w:rsid w:val="118D6CF8"/>
    <w:rsid w:val="118E74FD"/>
    <w:rsid w:val="1190B2B7"/>
    <w:rsid w:val="1191A7B1"/>
    <w:rsid w:val="11948B20"/>
    <w:rsid w:val="119D44D8"/>
    <w:rsid w:val="11A17FA2"/>
    <w:rsid w:val="11ABD04E"/>
    <w:rsid w:val="11AE54B8"/>
    <w:rsid w:val="11AF3ABF"/>
    <w:rsid w:val="11BA206F"/>
    <w:rsid w:val="11BC54F5"/>
    <w:rsid w:val="11BE17FB"/>
    <w:rsid w:val="11CA746D"/>
    <w:rsid w:val="11CF34C9"/>
    <w:rsid w:val="11D0514A"/>
    <w:rsid w:val="11DA69F1"/>
    <w:rsid w:val="11DC6EAB"/>
    <w:rsid w:val="11EE084E"/>
    <w:rsid w:val="11F30A7F"/>
    <w:rsid w:val="11F3B09A"/>
    <w:rsid w:val="11F932BE"/>
    <w:rsid w:val="11FAA0B8"/>
    <w:rsid w:val="12020061"/>
    <w:rsid w:val="1209BBE6"/>
    <w:rsid w:val="120B8E09"/>
    <w:rsid w:val="120BB17F"/>
    <w:rsid w:val="120D9562"/>
    <w:rsid w:val="12173016"/>
    <w:rsid w:val="12186FF0"/>
    <w:rsid w:val="121C9DC2"/>
    <w:rsid w:val="121D2733"/>
    <w:rsid w:val="121EAD72"/>
    <w:rsid w:val="12254A4C"/>
    <w:rsid w:val="1225A6CA"/>
    <w:rsid w:val="1225B53D"/>
    <w:rsid w:val="1226291F"/>
    <w:rsid w:val="1226576B"/>
    <w:rsid w:val="12289084"/>
    <w:rsid w:val="122A1C9D"/>
    <w:rsid w:val="122B5138"/>
    <w:rsid w:val="122F3F5E"/>
    <w:rsid w:val="1233AA99"/>
    <w:rsid w:val="12382731"/>
    <w:rsid w:val="124D917B"/>
    <w:rsid w:val="125385D7"/>
    <w:rsid w:val="125702E8"/>
    <w:rsid w:val="12576AB6"/>
    <w:rsid w:val="1260613A"/>
    <w:rsid w:val="12672145"/>
    <w:rsid w:val="12676914"/>
    <w:rsid w:val="1267BB3B"/>
    <w:rsid w:val="1269CA3E"/>
    <w:rsid w:val="126DA25D"/>
    <w:rsid w:val="126F748A"/>
    <w:rsid w:val="126F9225"/>
    <w:rsid w:val="1270E531"/>
    <w:rsid w:val="12727FC6"/>
    <w:rsid w:val="1275FEC9"/>
    <w:rsid w:val="1276B33D"/>
    <w:rsid w:val="12790578"/>
    <w:rsid w:val="127D0DC6"/>
    <w:rsid w:val="127FB146"/>
    <w:rsid w:val="12813017"/>
    <w:rsid w:val="1282E44F"/>
    <w:rsid w:val="12891D8D"/>
    <w:rsid w:val="1289CC1E"/>
    <w:rsid w:val="128AB390"/>
    <w:rsid w:val="12908399"/>
    <w:rsid w:val="1294A41C"/>
    <w:rsid w:val="129A4A66"/>
    <w:rsid w:val="129A6B01"/>
    <w:rsid w:val="129ECE97"/>
    <w:rsid w:val="129FFC68"/>
    <w:rsid w:val="12A16ABA"/>
    <w:rsid w:val="12A3FC45"/>
    <w:rsid w:val="12A97587"/>
    <w:rsid w:val="12AC581F"/>
    <w:rsid w:val="12AFAAD1"/>
    <w:rsid w:val="12B03027"/>
    <w:rsid w:val="12B164F9"/>
    <w:rsid w:val="12B55E6E"/>
    <w:rsid w:val="12B9A1C0"/>
    <w:rsid w:val="12B9C893"/>
    <w:rsid w:val="12BB3508"/>
    <w:rsid w:val="12BC6F8B"/>
    <w:rsid w:val="12C2DD87"/>
    <w:rsid w:val="12C30586"/>
    <w:rsid w:val="12C42DFC"/>
    <w:rsid w:val="12CEF2F6"/>
    <w:rsid w:val="12D2D009"/>
    <w:rsid w:val="12D30313"/>
    <w:rsid w:val="12D66488"/>
    <w:rsid w:val="12D989CE"/>
    <w:rsid w:val="12D99677"/>
    <w:rsid w:val="12DF925A"/>
    <w:rsid w:val="12E5BD19"/>
    <w:rsid w:val="12EDB147"/>
    <w:rsid w:val="12EF0828"/>
    <w:rsid w:val="12F03DFC"/>
    <w:rsid w:val="12FF5A42"/>
    <w:rsid w:val="13003192"/>
    <w:rsid w:val="13019269"/>
    <w:rsid w:val="1302666D"/>
    <w:rsid w:val="13034162"/>
    <w:rsid w:val="13037FEA"/>
    <w:rsid w:val="130CC32E"/>
    <w:rsid w:val="1311CEC1"/>
    <w:rsid w:val="131D10D4"/>
    <w:rsid w:val="131D1FCF"/>
    <w:rsid w:val="131F1D48"/>
    <w:rsid w:val="131F6C93"/>
    <w:rsid w:val="131FC292"/>
    <w:rsid w:val="1320A1C6"/>
    <w:rsid w:val="13270C7E"/>
    <w:rsid w:val="132F88C7"/>
    <w:rsid w:val="1330A30D"/>
    <w:rsid w:val="1333617E"/>
    <w:rsid w:val="13344D6A"/>
    <w:rsid w:val="13381716"/>
    <w:rsid w:val="13391519"/>
    <w:rsid w:val="133A7E14"/>
    <w:rsid w:val="133D0967"/>
    <w:rsid w:val="133D458F"/>
    <w:rsid w:val="133D5B62"/>
    <w:rsid w:val="1345CAE6"/>
    <w:rsid w:val="1346C09C"/>
    <w:rsid w:val="1347F837"/>
    <w:rsid w:val="134822A9"/>
    <w:rsid w:val="1349EFD2"/>
    <w:rsid w:val="1352C40F"/>
    <w:rsid w:val="135743CA"/>
    <w:rsid w:val="1360453E"/>
    <w:rsid w:val="13608902"/>
    <w:rsid w:val="13610A08"/>
    <w:rsid w:val="13660A47"/>
    <w:rsid w:val="13679783"/>
    <w:rsid w:val="1369AFCC"/>
    <w:rsid w:val="136A7E87"/>
    <w:rsid w:val="136F9237"/>
    <w:rsid w:val="1378DBBA"/>
    <w:rsid w:val="1378F71C"/>
    <w:rsid w:val="137D75A3"/>
    <w:rsid w:val="137E287B"/>
    <w:rsid w:val="1383BDB4"/>
    <w:rsid w:val="1386BAE7"/>
    <w:rsid w:val="138EE696"/>
    <w:rsid w:val="138FDAC4"/>
    <w:rsid w:val="13907791"/>
    <w:rsid w:val="13913553"/>
    <w:rsid w:val="139AC642"/>
    <w:rsid w:val="139E00AB"/>
    <w:rsid w:val="139F3D8A"/>
    <w:rsid w:val="13A06184"/>
    <w:rsid w:val="13A85398"/>
    <w:rsid w:val="13AF80A4"/>
    <w:rsid w:val="13B260E8"/>
    <w:rsid w:val="13B333B3"/>
    <w:rsid w:val="13B363D3"/>
    <w:rsid w:val="13B94E2E"/>
    <w:rsid w:val="13BA8CBC"/>
    <w:rsid w:val="13BDAA9D"/>
    <w:rsid w:val="13C10EA1"/>
    <w:rsid w:val="13C33B37"/>
    <w:rsid w:val="13CAF018"/>
    <w:rsid w:val="13CD3815"/>
    <w:rsid w:val="13D0E84F"/>
    <w:rsid w:val="13D4BBF3"/>
    <w:rsid w:val="13DE18C7"/>
    <w:rsid w:val="13DE20F5"/>
    <w:rsid w:val="13DE9D41"/>
    <w:rsid w:val="13E52446"/>
    <w:rsid w:val="13ED97DA"/>
    <w:rsid w:val="13EF27CE"/>
    <w:rsid w:val="13EFED91"/>
    <w:rsid w:val="13F4A9B9"/>
    <w:rsid w:val="1400351C"/>
    <w:rsid w:val="1409FF81"/>
    <w:rsid w:val="140AC141"/>
    <w:rsid w:val="140D8C27"/>
    <w:rsid w:val="141BC0F7"/>
    <w:rsid w:val="141CA4D3"/>
    <w:rsid w:val="1422ACF4"/>
    <w:rsid w:val="1426AD7E"/>
    <w:rsid w:val="1429EF54"/>
    <w:rsid w:val="142E34B8"/>
    <w:rsid w:val="14307E43"/>
    <w:rsid w:val="14354B12"/>
    <w:rsid w:val="14362DCD"/>
    <w:rsid w:val="1436C58A"/>
    <w:rsid w:val="143BDBA1"/>
    <w:rsid w:val="14465177"/>
    <w:rsid w:val="144EAF28"/>
    <w:rsid w:val="144F92B6"/>
    <w:rsid w:val="145956D9"/>
    <w:rsid w:val="145D40A9"/>
    <w:rsid w:val="145FF371"/>
    <w:rsid w:val="1463BDDB"/>
    <w:rsid w:val="14697CD8"/>
    <w:rsid w:val="146D237B"/>
    <w:rsid w:val="147060B4"/>
    <w:rsid w:val="147997ED"/>
    <w:rsid w:val="147B1B46"/>
    <w:rsid w:val="147C997C"/>
    <w:rsid w:val="1482E00E"/>
    <w:rsid w:val="1489AE85"/>
    <w:rsid w:val="148F5292"/>
    <w:rsid w:val="148F615F"/>
    <w:rsid w:val="14956F86"/>
    <w:rsid w:val="149F3BCA"/>
    <w:rsid w:val="14A0CC50"/>
    <w:rsid w:val="14AA9D4A"/>
    <w:rsid w:val="14B176F4"/>
    <w:rsid w:val="14B77AF8"/>
    <w:rsid w:val="14BBD0D0"/>
    <w:rsid w:val="14BD287B"/>
    <w:rsid w:val="14BEC981"/>
    <w:rsid w:val="14C29B84"/>
    <w:rsid w:val="14D19D8B"/>
    <w:rsid w:val="14DA1A84"/>
    <w:rsid w:val="14DB9992"/>
    <w:rsid w:val="14DBF383"/>
    <w:rsid w:val="14DCD316"/>
    <w:rsid w:val="14DDBB34"/>
    <w:rsid w:val="14DF716A"/>
    <w:rsid w:val="14E1F136"/>
    <w:rsid w:val="14E20967"/>
    <w:rsid w:val="14E2E08C"/>
    <w:rsid w:val="14E523F8"/>
    <w:rsid w:val="14E6B51D"/>
    <w:rsid w:val="14EEF186"/>
    <w:rsid w:val="14F1C17A"/>
    <w:rsid w:val="14F2813A"/>
    <w:rsid w:val="14F7B12C"/>
    <w:rsid w:val="14F84CDD"/>
    <w:rsid w:val="14FB80A2"/>
    <w:rsid w:val="1500A225"/>
    <w:rsid w:val="15120BFB"/>
    <w:rsid w:val="1512212F"/>
    <w:rsid w:val="1516EE05"/>
    <w:rsid w:val="15222A6C"/>
    <w:rsid w:val="152A1055"/>
    <w:rsid w:val="152B093C"/>
    <w:rsid w:val="1538B7EC"/>
    <w:rsid w:val="153C2E6E"/>
    <w:rsid w:val="1543A2FC"/>
    <w:rsid w:val="15449A8A"/>
    <w:rsid w:val="15450E6D"/>
    <w:rsid w:val="15498076"/>
    <w:rsid w:val="154C1687"/>
    <w:rsid w:val="154E1612"/>
    <w:rsid w:val="155FC9C4"/>
    <w:rsid w:val="155FD56B"/>
    <w:rsid w:val="156E83DA"/>
    <w:rsid w:val="156F5378"/>
    <w:rsid w:val="15742E50"/>
    <w:rsid w:val="157DC89C"/>
    <w:rsid w:val="1584287D"/>
    <w:rsid w:val="158893B1"/>
    <w:rsid w:val="158D8FCF"/>
    <w:rsid w:val="158ED5A3"/>
    <w:rsid w:val="158FB9CF"/>
    <w:rsid w:val="159226C9"/>
    <w:rsid w:val="15937CBC"/>
    <w:rsid w:val="159635CB"/>
    <w:rsid w:val="159BED8E"/>
    <w:rsid w:val="15A1F1C7"/>
    <w:rsid w:val="15A3594D"/>
    <w:rsid w:val="15A5AFB9"/>
    <w:rsid w:val="15A8CAF5"/>
    <w:rsid w:val="15ABD9C9"/>
    <w:rsid w:val="15BC440D"/>
    <w:rsid w:val="15BEE4E0"/>
    <w:rsid w:val="15C52784"/>
    <w:rsid w:val="15C68E72"/>
    <w:rsid w:val="15C79B2C"/>
    <w:rsid w:val="15C9120B"/>
    <w:rsid w:val="15D0FA2C"/>
    <w:rsid w:val="15D5AECB"/>
    <w:rsid w:val="15D6BF38"/>
    <w:rsid w:val="15D99BA5"/>
    <w:rsid w:val="15DAD517"/>
    <w:rsid w:val="15E53017"/>
    <w:rsid w:val="15E74286"/>
    <w:rsid w:val="15E811E6"/>
    <w:rsid w:val="15EA693A"/>
    <w:rsid w:val="15F5779C"/>
    <w:rsid w:val="15F74102"/>
    <w:rsid w:val="1600CC0F"/>
    <w:rsid w:val="16017116"/>
    <w:rsid w:val="161145E1"/>
    <w:rsid w:val="1616A88B"/>
    <w:rsid w:val="161C1248"/>
    <w:rsid w:val="161FF7CF"/>
    <w:rsid w:val="1624959C"/>
    <w:rsid w:val="1625C65B"/>
    <w:rsid w:val="1629DB7C"/>
    <w:rsid w:val="162ADEFC"/>
    <w:rsid w:val="16321709"/>
    <w:rsid w:val="16335B19"/>
    <w:rsid w:val="1633F4BA"/>
    <w:rsid w:val="163A45EF"/>
    <w:rsid w:val="163DF52C"/>
    <w:rsid w:val="1647919A"/>
    <w:rsid w:val="164FF858"/>
    <w:rsid w:val="1655DCE3"/>
    <w:rsid w:val="1660F88A"/>
    <w:rsid w:val="166F0A65"/>
    <w:rsid w:val="166F9C9A"/>
    <w:rsid w:val="166FBDDD"/>
    <w:rsid w:val="1677923F"/>
    <w:rsid w:val="16793083"/>
    <w:rsid w:val="167D9E54"/>
    <w:rsid w:val="167F1B8E"/>
    <w:rsid w:val="16808523"/>
    <w:rsid w:val="1680ED32"/>
    <w:rsid w:val="16865739"/>
    <w:rsid w:val="1686F763"/>
    <w:rsid w:val="1694F02D"/>
    <w:rsid w:val="1698EB00"/>
    <w:rsid w:val="16991CDD"/>
    <w:rsid w:val="169B1672"/>
    <w:rsid w:val="169B3375"/>
    <w:rsid w:val="169C7450"/>
    <w:rsid w:val="16A63EC4"/>
    <w:rsid w:val="16A9A30D"/>
    <w:rsid w:val="16AA69EC"/>
    <w:rsid w:val="16B3CBC2"/>
    <w:rsid w:val="16B482AB"/>
    <w:rsid w:val="16B5E4DC"/>
    <w:rsid w:val="16B9ACEF"/>
    <w:rsid w:val="16BCD317"/>
    <w:rsid w:val="16C01085"/>
    <w:rsid w:val="16CFAA92"/>
    <w:rsid w:val="16D363AA"/>
    <w:rsid w:val="16D6F973"/>
    <w:rsid w:val="16DDCEF5"/>
    <w:rsid w:val="16DEAC08"/>
    <w:rsid w:val="16E200CE"/>
    <w:rsid w:val="16E456CD"/>
    <w:rsid w:val="16E99278"/>
    <w:rsid w:val="16E999EA"/>
    <w:rsid w:val="16EA9326"/>
    <w:rsid w:val="16ECD501"/>
    <w:rsid w:val="16F58E7F"/>
    <w:rsid w:val="16F6BF11"/>
    <w:rsid w:val="17007694"/>
    <w:rsid w:val="17051177"/>
    <w:rsid w:val="170902FD"/>
    <w:rsid w:val="170BB2D5"/>
    <w:rsid w:val="17132DC7"/>
    <w:rsid w:val="1715F2D9"/>
    <w:rsid w:val="1718D7F8"/>
    <w:rsid w:val="17198C3A"/>
    <w:rsid w:val="1719BA2F"/>
    <w:rsid w:val="171BC9B4"/>
    <w:rsid w:val="1724A79D"/>
    <w:rsid w:val="172A63CB"/>
    <w:rsid w:val="172AF1C7"/>
    <w:rsid w:val="172F257A"/>
    <w:rsid w:val="17316EDA"/>
    <w:rsid w:val="1734B9EC"/>
    <w:rsid w:val="17387761"/>
    <w:rsid w:val="173C2C60"/>
    <w:rsid w:val="1740B663"/>
    <w:rsid w:val="17416CBF"/>
    <w:rsid w:val="1742292B"/>
    <w:rsid w:val="1745239F"/>
    <w:rsid w:val="17484081"/>
    <w:rsid w:val="1748BA22"/>
    <w:rsid w:val="1749596D"/>
    <w:rsid w:val="174FA0E5"/>
    <w:rsid w:val="1755F06E"/>
    <w:rsid w:val="175AA32A"/>
    <w:rsid w:val="175D1371"/>
    <w:rsid w:val="17640D3D"/>
    <w:rsid w:val="17667C31"/>
    <w:rsid w:val="1766E084"/>
    <w:rsid w:val="176F771A"/>
    <w:rsid w:val="17704CCD"/>
    <w:rsid w:val="177B597B"/>
    <w:rsid w:val="177CB1C3"/>
    <w:rsid w:val="1784DE1F"/>
    <w:rsid w:val="178CBBBD"/>
    <w:rsid w:val="178EAE26"/>
    <w:rsid w:val="1792394A"/>
    <w:rsid w:val="17981C20"/>
    <w:rsid w:val="17984DE7"/>
    <w:rsid w:val="17986EE0"/>
    <w:rsid w:val="179E1926"/>
    <w:rsid w:val="179F752A"/>
    <w:rsid w:val="17A2AD9C"/>
    <w:rsid w:val="17A6E00E"/>
    <w:rsid w:val="17A87348"/>
    <w:rsid w:val="17A90D8A"/>
    <w:rsid w:val="17AC71FA"/>
    <w:rsid w:val="17AD9164"/>
    <w:rsid w:val="17B17A2E"/>
    <w:rsid w:val="17B34269"/>
    <w:rsid w:val="17B3FA11"/>
    <w:rsid w:val="17B50DA3"/>
    <w:rsid w:val="17BBF2BE"/>
    <w:rsid w:val="17BD3A38"/>
    <w:rsid w:val="17C57DF1"/>
    <w:rsid w:val="17C609A2"/>
    <w:rsid w:val="17C67EF7"/>
    <w:rsid w:val="17C7D915"/>
    <w:rsid w:val="17CB348C"/>
    <w:rsid w:val="17CB4220"/>
    <w:rsid w:val="17D0E4DA"/>
    <w:rsid w:val="17D11C10"/>
    <w:rsid w:val="17D17D8E"/>
    <w:rsid w:val="17D6911A"/>
    <w:rsid w:val="17D88D29"/>
    <w:rsid w:val="17D89A57"/>
    <w:rsid w:val="17DD0CBA"/>
    <w:rsid w:val="17E676CE"/>
    <w:rsid w:val="17E92744"/>
    <w:rsid w:val="17EC88C3"/>
    <w:rsid w:val="17ED58D4"/>
    <w:rsid w:val="17EFC5BB"/>
    <w:rsid w:val="17F1B6C8"/>
    <w:rsid w:val="17F9AB08"/>
    <w:rsid w:val="1800E556"/>
    <w:rsid w:val="180A7E7F"/>
    <w:rsid w:val="180C3391"/>
    <w:rsid w:val="1812F1C4"/>
    <w:rsid w:val="1820CE52"/>
    <w:rsid w:val="18234D50"/>
    <w:rsid w:val="18298336"/>
    <w:rsid w:val="183A9CF9"/>
    <w:rsid w:val="184A1B84"/>
    <w:rsid w:val="1852D34B"/>
    <w:rsid w:val="1855FF91"/>
    <w:rsid w:val="18600C25"/>
    <w:rsid w:val="18672A41"/>
    <w:rsid w:val="18721953"/>
    <w:rsid w:val="18771A18"/>
    <w:rsid w:val="1877666E"/>
    <w:rsid w:val="187E3164"/>
    <w:rsid w:val="18817B8C"/>
    <w:rsid w:val="18863D5E"/>
    <w:rsid w:val="1887D479"/>
    <w:rsid w:val="18885E18"/>
    <w:rsid w:val="1888AA72"/>
    <w:rsid w:val="188ABD5E"/>
    <w:rsid w:val="188B90D5"/>
    <w:rsid w:val="188FD057"/>
    <w:rsid w:val="1891F873"/>
    <w:rsid w:val="189201B5"/>
    <w:rsid w:val="189690D2"/>
    <w:rsid w:val="189851D4"/>
    <w:rsid w:val="18996E21"/>
    <w:rsid w:val="189A3F3B"/>
    <w:rsid w:val="189CA34E"/>
    <w:rsid w:val="18A432DE"/>
    <w:rsid w:val="18A5CBF6"/>
    <w:rsid w:val="18A61C8E"/>
    <w:rsid w:val="18A740F3"/>
    <w:rsid w:val="18BDECCC"/>
    <w:rsid w:val="18C13A7B"/>
    <w:rsid w:val="18D0A097"/>
    <w:rsid w:val="18D31602"/>
    <w:rsid w:val="18D3375F"/>
    <w:rsid w:val="18D3671A"/>
    <w:rsid w:val="18D8138E"/>
    <w:rsid w:val="18D83025"/>
    <w:rsid w:val="18E0CB5C"/>
    <w:rsid w:val="18E422C3"/>
    <w:rsid w:val="18E6162E"/>
    <w:rsid w:val="18E6FF36"/>
    <w:rsid w:val="18E73D65"/>
    <w:rsid w:val="18EE336F"/>
    <w:rsid w:val="18F11A57"/>
    <w:rsid w:val="18F39E2A"/>
    <w:rsid w:val="18F5742F"/>
    <w:rsid w:val="18F98186"/>
    <w:rsid w:val="18F98246"/>
    <w:rsid w:val="18FF85E6"/>
    <w:rsid w:val="1902E027"/>
    <w:rsid w:val="190B93A4"/>
    <w:rsid w:val="1910C5C3"/>
    <w:rsid w:val="191B7ECD"/>
    <w:rsid w:val="19201AFF"/>
    <w:rsid w:val="1922E1EA"/>
    <w:rsid w:val="192373BF"/>
    <w:rsid w:val="192B0B7F"/>
    <w:rsid w:val="1939ED8E"/>
    <w:rsid w:val="193A24A4"/>
    <w:rsid w:val="193D45B6"/>
    <w:rsid w:val="1942A0C1"/>
    <w:rsid w:val="19455945"/>
    <w:rsid w:val="1956C4C3"/>
    <w:rsid w:val="195E1690"/>
    <w:rsid w:val="195F0E43"/>
    <w:rsid w:val="1961D7DB"/>
    <w:rsid w:val="1967CEC4"/>
    <w:rsid w:val="196AC71C"/>
    <w:rsid w:val="1976C196"/>
    <w:rsid w:val="197CC64A"/>
    <w:rsid w:val="197D2536"/>
    <w:rsid w:val="197D6CDB"/>
    <w:rsid w:val="198153D8"/>
    <w:rsid w:val="1982211A"/>
    <w:rsid w:val="1982B2D3"/>
    <w:rsid w:val="198A5874"/>
    <w:rsid w:val="198AA13C"/>
    <w:rsid w:val="198B2D8B"/>
    <w:rsid w:val="199596AD"/>
    <w:rsid w:val="199A8978"/>
    <w:rsid w:val="19B9DD4E"/>
    <w:rsid w:val="19BB273E"/>
    <w:rsid w:val="19BBA95D"/>
    <w:rsid w:val="19BEBD8C"/>
    <w:rsid w:val="19C72118"/>
    <w:rsid w:val="19CD85E7"/>
    <w:rsid w:val="19CEFA50"/>
    <w:rsid w:val="19D38744"/>
    <w:rsid w:val="19D7394A"/>
    <w:rsid w:val="19F11284"/>
    <w:rsid w:val="19F82AB6"/>
    <w:rsid w:val="19F89C9E"/>
    <w:rsid w:val="19F98085"/>
    <w:rsid w:val="19FA2CDA"/>
    <w:rsid w:val="19FC5E4C"/>
    <w:rsid w:val="1A00D762"/>
    <w:rsid w:val="1A03C5F6"/>
    <w:rsid w:val="1A048588"/>
    <w:rsid w:val="1A0AFAE3"/>
    <w:rsid w:val="1A0BBF85"/>
    <w:rsid w:val="1A0BE860"/>
    <w:rsid w:val="1A0DD77E"/>
    <w:rsid w:val="1A0FBDBD"/>
    <w:rsid w:val="1A104867"/>
    <w:rsid w:val="1A15B903"/>
    <w:rsid w:val="1A194ADB"/>
    <w:rsid w:val="1A1DBA89"/>
    <w:rsid w:val="1A34BCFB"/>
    <w:rsid w:val="1A3C93D7"/>
    <w:rsid w:val="1A40441C"/>
    <w:rsid w:val="1A48D32D"/>
    <w:rsid w:val="1A4AEA96"/>
    <w:rsid w:val="1A4C39FA"/>
    <w:rsid w:val="1A55260D"/>
    <w:rsid w:val="1A5E38F5"/>
    <w:rsid w:val="1A610B7F"/>
    <w:rsid w:val="1A61CBCE"/>
    <w:rsid w:val="1A620244"/>
    <w:rsid w:val="1A626735"/>
    <w:rsid w:val="1A688B67"/>
    <w:rsid w:val="1A691A65"/>
    <w:rsid w:val="1A6C8D85"/>
    <w:rsid w:val="1A79FEC7"/>
    <w:rsid w:val="1A7C6E34"/>
    <w:rsid w:val="1A87CCFA"/>
    <w:rsid w:val="1A8AD2B5"/>
    <w:rsid w:val="1A8BC371"/>
    <w:rsid w:val="1A8FFD34"/>
    <w:rsid w:val="1A920524"/>
    <w:rsid w:val="1A97D875"/>
    <w:rsid w:val="1A9A9763"/>
    <w:rsid w:val="1A9AF1F7"/>
    <w:rsid w:val="1A9AF251"/>
    <w:rsid w:val="1AA396BA"/>
    <w:rsid w:val="1AA3EFFE"/>
    <w:rsid w:val="1AA6D10F"/>
    <w:rsid w:val="1AAD6248"/>
    <w:rsid w:val="1AB5B100"/>
    <w:rsid w:val="1ABAD763"/>
    <w:rsid w:val="1ABE3F0D"/>
    <w:rsid w:val="1ABF9A8E"/>
    <w:rsid w:val="1AC915BF"/>
    <w:rsid w:val="1AC9D787"/>
    <w:rsid w:val="1ACA063B"/>
    <w:rsid w:val="1ACC3CD4"/>
    <w:rsid w:val="1ACDC4AF"/>
    <w:rsid w:val="1AD97BDD"/>
    <w:rsid w:val="1ADA5DD2"/>
    <w:rsid w:val="1ADA6BBF"/>
    <w:rsid w:val="1ADB48F5"/>
    <w:rsid w:val="1AE373C5"/>
    <w:rsid w:val="1AE68C8B"/>
    <w:rsid w:val="1AE7287E"/>
    <w:rsid w:val="1AE792F8"/>
    <w:rsid w:val="1AEA1BC0"/>
    <w:rsid w:val="1AF580FB"/>
    <w:rsid w:val="1B049DFD"/>
    <w:rsid w:val="1B04FEEF"/>
    <w:rsid w:val="1B067C30"/>
    <w:rsid w:val="1B11114F"/>
    <w:rsid w:val="1B11E9B4"/>
    <w:rsid w:val="1B124791"/>
    <w:rsid w:val="1B203AD1"/>
    <w:rsid w:val="1B232637"/>
    <w:rsid w:val="1B2BEC25"/>
    <w:rsid w:val="1B30C715"/>
    <w:rsid w:val="1B3361A5"/>
    <w:rsid w:val="1B347CD7"/>
    <w:rsid w:val="1B36EAF2"/>
    <w:rsid w:val="1B372988"/>
    <w:rsid w:val="1B38E942"/>
    <w:rsid w:val="1B392B96"/>
    <w:rsid w:val="1B396464"/>
    <w:rsid w:val="1B3B66A1"/>
    <w:rsid w:val="1B3D18C7"/>
    <w:rsid w:val="1B3EC7DA"/>
    <w:rsid w:val="1B3EF3C3"/>
    <w:rsid w:val="1B4283A0"/>
    <w:rsid w:val="1B439A06"/>
    <w:rsid w:val="1B4534B7"/>
    <w:rsid w:val="1B45AE93"/>
    <w:rsid w:val="1B4750BC"/>
    <w:rsid w:val="1B4C1316"/>
    <w:rsid w:val="1B50BA42"/>
    <w:rsid w:val="1B55B83F"/>
    <w:rsid w:val="1B5A60D1"/>
    <w:rsid w:val="1B640FC8"/>
    <w:rsid w:val="1B642515"/>
    <w:rsid w:val="1B691614"/>
    <w:rsid w:val="1B694315"/>
    <w:rsid w:val="1B700059"/>
    <w:rsid w:val="1B7368A8"/>
    <w:rsid w:val="1B747430"/>
    <w:rsid w:val="1B75BAC3"/>
    <w:rsid w:val="1B78AA31"/>
    <w:rsid w:val="1B79848A"/>
    <w:rsid w:val="1B7A4DD4"/>
    <w:rsid w:val="1B7B1F73"/>
    <w:rsid w:val="1B7FCD6C"/>
    <w:rsid w:val="1B8F8759"/>
    <w:rsid w:val="1B951252"/>
    <w:rsid w:val="1B9ABAC7"/>
    <w:rsid w:val="1B9E4740"/>
    <w:rsid w:val="1BB818FA"/>
    <w:rsid w:val="1BC12BD5"/>
    <w:rsid w:val="1BC23549"/>
    <w:rsid w:val="1BC83A5D"/>
    <w:rsid w:val="1BCC6197"/>
    <w:rsid w:val="1BCFC9D9"/>
    <w:rsid w:val="1BD1F62B"/>
    <w:rsid w:val="1BD3F456"/>
    <w:rsid w:val="1BD5A044"/>
    <w:rsid w:val="1BD65010"/>
    <w:rsid w:val="1BD6EB08"/>
    <w:rsid w:val="1BE4D096"/>
    <w:rsid w:val="1BE72B47"/>
    <w:rsid w:val="1BEED426"/>
    <w:rsid w:val="1BF1C04C"/>
    <w:rsid w:val="1BFF7DAA"/>
    <w:rsid w:val="1C0B1C22"/>
    <w:rsid w:val="1C0B258E"/>
    <w:rsid w:val="1C0DE717"/>
    <w:rsid w:val="1C0F881C"/>
    <w:rsid w:val="1C0FD405"/>
    <w:rsid w:val="1C137DB8"/>
    <w:rsid w:val="1C1744A3"/>
    <w:rsid w:val="1C1B7C16"/>
    <w:rsid w:val="1C268229"/>
    <w:rsid w:val="1C29F3E3"/>
    <w:rsid w:val="1C3246F1"/>
    <w:rsid w:val="1C33947D"/>
    <w:rsid w:val="1C35F8EC"/>
    <w:rsid w:val="1C379B86"/>
    <w:rsid w:val="1C3ED534"/>
    <w:rsid w:val="1C40B7C4"/>
    <w:rsid w:val="1C48CCEF"/>
    <w:rsid w:val="1C4A353F"/>
    <w:rsid w:val="1C52CE68"/>
    <w:rsid w:val="1C5A06B0"/>
    <w:rsid w:val="1C5E6921"/>
    <w:rsid w:val="1C62025D"/>
    <w:rsid w:val="1C651527"/>
    <w:rsid w:val="1C699098"/>
    <w:rsid w:val="1C6DD449"/>
    <w:rsid w:val="1C6ED22D"/>
    <w:rsid w:val="1C6EED4D"/>
    <w:rsid w:val="1C725962"/>
    <w:rsid w:val="1C725C4B"/>
    <w:rsid w:val="1C756E10"/>
    <w:rsid w:val="1C7A6B1E"/>
    <w:rsid w:val="1C7CCF7A"/>
    <w:rsid w:val="1C84ACDB"/>
    <w:rsid w:val="1C865C3E"/>
    <w:rsid w:val="1C890DB8"/>
    <w:rsid w:val="1C8D614F"/>
    <w:rsid w:val="1C95A5E4"/>
    <w:rsid w:val="1C96C9BB"/>
    <w:rsid w:val="1C979777"/>
    <w:rsid w:val="1C990163"/>
    <w:rsid w:val="1C9D3095"/>
    <w:rsid w:val="1C9E814F"/>
    <w:rsid w:val="1C9F02BA"/>
    <w:rsid w:val="1C9F1066"/>
    <w:rsid w:val="1CAB6AA1"/>
    <w:rsid w:val="1CBB8F74"/>
    <w:rsid w:val="1CBE63A7"/>
    <w:rsid w:val="1CBEE2F7"/>
    <w:rsid w:val="1CC3B943"/>
    <w:rsid w:val="1CCD5D38"/>
    <w:rsid w:val="1CD83041"/>
    <w:rsid w:val="1CE5C6F0"/>
    <w:rsid w:val="1CEF2F2A"/>
    <w:rsid w:val="1CF1E02B"/>
    <w:rsid w:val="1CF34603"/>
    <w:rsid w:val="1CFA56A4"/>
    <w:rsid w:val="1CFDE116"/>
    <w:rsid w:val="1CFF9759"/>
    <w:rsid w:val="1D0610E0"/>
    <w:rsid w:val="1D087C79"/>
    <w:rsid w:val="1D0A5C87"/>
    <w:rsid w:val="1D0BBC29"/>
    <w:rsid w:val="1D0FB3DE"/>
    <w:rsid w:val="1D125528"/>
    <w:rsid w:val="1D1E5F2F"/>
    <w:rsid w:val="1D22A23E"/>
    <w:rsid w:val="1D22C5E0"/>
    <w:rsid w:val="1D25BA00"/>
    <w:rsid w:val="1D288ED7"/>
    <w:rsid w:val="1D310255"/>
    <w:rsid w:val="1D31C548"/>
    <w:rsid w:val="1D43CC3E"/>
    <w:rsid w:val="1D45B26D"/>
    <w:rsid w:val="1D4AF7E4"/>
    <w:rsid w:val="1D4D1AD0"/>
    <w:rsid w:val="1D526BE3"/>
    <w:rsid w:val="1D52FDA4"/>
    <w:rsid w:val="1D54B1EE"/>
    <w:rsid w:val="1D653E8B"/>
    <w:rsid w:val="1D6A9F04"/>
    <w:rsid w:val="1D6C9C9F"/>
    <w:rsid w:val="1D76FE43"/>
    <w:rsid w:val="1D7BFE24"/>
    <w:rsid w:val="1D7E03F8"/>
    <w:rsid w:val="1D7E9C2B"/>
    <w:rsid w:val="1D86AD01"/>
    <w:rsid w:val="1D8C6F71"/>
    <w:rsid w:val="1D8D6804"/>
    <w:rsid w:val="1D8EA6E1"/>
    <w:rsid w:val="1D90015A"/>
    <w:rsid w:val="1D9085CF"/>
    <w:rsid w:val="1D9626EB"/>
    <w:rsid w:val="1D998F1C"/>
    <w:rsid w:val="1D9CABBF"/>
    <w:rsid w:val="1D9F9F77"/>
    <w:rsid w:val="1DA3010C"/>
    <w:rsid w:val="1DA5935A"/>
    <w:rsid w:val="1DA69FB8"/>
    <w:rsid w:val="1DA73461"/>
    <w:rsid w:val="1DA9F520"/>
    <w:rsid w:val="1DAEE1F1"/>
    <w:rsid w:val="1DB60D17"/>
    <w:rsid w:val="1DBC6554"/>
    <w:rsid w:val="1DBEA4EC"/>
    <w:rsid w:val="1DC02BF6"/>
    <w:rsid w:val="1DC72E0C"/>
    <w:rsid w:val="1DC7B20C"/>
    <w:rsid w:val="1DCACDDF"/>
    <w:rsid w:val="1DCE8C4F"/>
    <w:rsid w:val="1DD5BA6F"/>
    <w:rsid w:val="1DD607D4"/>
    <w:rsid w:val="1DD851D2"/>
    <w:rsid w:val="1DD90BE2"/>
    <w:rsid w:val="1DDE6211"/>
    <w:rsid w:val="1DDF6884"/>
    <w:rsid w:val="1DE2DCD4"/>
    <w:rsid w:val="1DE9CBC0"/>
    <w:rsid w:val="1DEC1A8F"/>
    <w:rsid w:val="1DEFCE54"/>
    <w:rsid w:val="1DEFFD51"/>
    <w:rsid w:val="1DF3C52D"/>
    <w:rsid w:val="1DF3E228"/>
    <w:rsid w:val="1DFA50AA"/>
    <w:rsid w:val="1E000C96"/>
    <w:rsid w:val="1E0121CE"/>
    <w:rsid w:val="1E0CCEA6"/>
    <w:rsid w:val="1E111A2B"/>
    <w:rsid w:val="1E1387D4"/>
    <w:rsid w:val="1E182E41"/>
    <w:rsid w:val="1E1D62FF"/>
    <w:rsid w:val="1E245AFD"/>
    <w:rsid w:val="1E25AA4B"/>
    <w:rsid w:val="1E266E4A"/>
    <w:rsid w:val="1E398B49"/>
    <w:rsid w:val="1E39A552"/>
    <w:rsid w:val="1E3B37D3"/>
    <w:rsid w:val="1E4767FD"/>
    <w:rsid w:val="1E4A2BEE"/>
    <w:rsid w:val="1E4EF50C"/>
    <w:rsid w:val="1E538104"/>
    <w:rsid w:val="1E578360"/>
    <w:rsid w:val="1E593441"/>
    <w:rsid w:val="1E67B7B1"/>
    <w:rsid w:val="1E71D6C4"/>
    <w:rsid w:val="1E751BE8"/>
    <w:rsid w:val="1E769AAB"/>
    <w:rsid w:val="1E79E887"/>
    <w:rsid w:val="1E7A8F72"/>
    <w:rsid w:val="1E8164C6"/>
    <w:rsid w:val="1E8244C9"/>
    <w:rsid w:val="1E8478BE"/>
    <w:rsid w:val="1E85BB0B"/>
    <w:rsid w:val="1E907913"/>
    <w:rsid w:val="1E92946E"/>
    <w:rsid w:val="1E93772D"/>
    <w:rsid w:val="1E964E45"/>
    <w:rsid w:val="1E96FF83"/>
    <w:rsid w:val="1E972BA4"/>
    <w:rsid w:val="1EA03487"/>
    <w:rsid w:val="1EA9C1C4"/>
    <w:rsid w:val="1EADD738"/>
    <w:rsid w:val="1EB2B882"/>
    <w:rsid w:val="1EB8A362"/>
    <w:rsid w:val="1EB8AD39"/>
    <w:rsid w:val="1EB93156"/>
    <w:rsid w:val="1EBB0EA0"/>
    <w:rsid w:val="1EBCE0DA"/>
    <w:rsid w:val="1EBE433E"/>
    <w:rsid w:val="1EC0D2C6"/>
    <w:rsid w:val="1EC4EEBA"/>
    <w:rsid w:val="1EC6178A"/>
    <w:rsid w:val="1EC80876"/>
    <w:rsid w:val="1EC83E8A"/>
    <w:rsid w:val="1ECB9DBD"/>
    <w:rsid w:val="1ECD9260"/>
    <w:rsid w:val="1ED3F3F2"/>
    <w:rsid w:val="1ED44B05"/>
    <w:rsid w:val="1ED4FDD6"/>
    <w:rsid w:val="1ED5CC90"/>
    <w:rsid w:val="1ED6BB95"/>
    <w:rsid w:val="1ED95C8D"/>
    <w:rsid w:val="1EDD8111"/>
    <w:rsid w:val="1EDDF8BE"/>
    <w:rsid w:val="1EDE7EC8"/>
    <w:rsid w:val="1EDFDECD"/>
    <w:rsid w:val="1EE25310"/>
    <w:rsid w:val="1EE3746A"/>
    <w:rsid w:val="1EE53386"/>
    <w:rsid w:val="1EEC1544"/>
    <w:rsid w:val="1EEC6F7A"/>
    <w:rsid w:val="1EF0E6BC"/>
    <w:rsid w:val="1EF1064D"/>
    <w:rsid w:val="1EF165DC"/>
    <w:rsid w:val="1EF1E998"/>
    <w:rsid w:val="1EF609E6"/>
    <w:rsid w:val="1EFBB91B"/>
    <w:rsid w:val="1F03250E"/>
    <w:rsid w:val="1F050E8B"/>
    <w:rsid w:val="1F063B42"/>
    <w:rsid w:val="1F08A090"/>
    <w:rsid w:val="1F0A4DA8"/>
    <w:rsid w:val="1F101915"/>
    <w:rsid w:val="1F107DAA"/>
    <w:rsid w:val="1F155EBE"/>
    <w:rsid w:val="1F1893FC"/>
    <w:rsid w:val="1F1D2946"/>
    <w:rsid w:val="1F1E35FE"/>
    <w:rsid w:val="1F22112D"/>
    <w:rsid w:val="1F2A01BF"/>
    <w:rsid w:val="1F2FB4E6"/>
    <w:rsid w:val="1F33648C"/>
    <w:rsid w:val="1F3D17C9"/>
    <w:rsid w:val="1F3E985E"/>
    <w:rsid w:val="1F49F3BC"/>
    <w:rsid w:val="1F4C77CE"/>
    <w:rsid w:val="1F4CB9C4"/>
    <w:rsid w:val="1F4DA071"/>
    <w:rsid w:val="1F53D6F5"/>
    <w:rsid w:val="1F553F60"/>
    <w:rsid w:val="1F59C39E"/>
    <w:rsid w:val="1F5A33D4"/>
    <w:rsid w:val="1F5D974A"/>
    <w:rsid w:val="1F649D9D"/>
    <w:rsid w:val="1F70A755"/>
    <w:rsid w:val="1F70F0D0"/>
    <w:rsid w:val="1F723547"/>
    <w:rsid w:val="1F75B922"/>
    <w:rsid w:val="1F75C039"/>
    <w:rsid w:val="1F76A390"/>
    <w:rsid w:val="1F76FA18"/>
    <w:rsid w:val="1F783B89"/>
    <w:rsid w:val="1F7A9FE5"/>
    <w:rsid w:val="1F7C545C"/>
    <w:rsid w:val="1F7DB7DF"/>
    <w:rsid w:val="1F802D21"/>
    <w:rsid w:val="1F91259C"/>
    <w:rsid w:val="1F96B686"/>
    <w:rsid w:val="1FA0836E"/>
    <w:rsid w:val="1FA260CA"/>
    <w:rsid w:val="1FAA3036"/>
    <w:rsid w:val="1FB54B97"/>
    <w:rsid w:val="1FB70A34"/>
    <w:rsid w:val="1FBA1B0C"/>
    <w:rsid w:val="1FBAE3A5"/>
    <w:rsid w:val="1FC1C1F4"/>
    <w:rsid w:val="1FC1D3FE"/>
    <w:rsid w:val="1FCC9536"/>
    <w:rsid w:val="1FD0BB9B"/>
    <w:rsid w:val="1FD0D476"/>
    <w:rsid w:val="1FD7E3D1"/>
    <w:rsid w:val="1FD8B553"/>
    <w:rsid w:val="1FDCFEDB"/>
    <w:rsid w:val="1FDDF64D"/>
    <w:rsid w:val="1FE76616"/>
    <w:rsid w:val="1FEB98D8"/>
    <w:rsid w:val="1FF14BD2"/>
    <w:rsid w:val="1FF18879"/>
    <w:rsid w:val="1FF22A21"/>
    <w:rsid w:val="1FF3017F"/>
    <w:rsid w:val="1FF473E5"/>
    <w:rsid w:val="1FFCD4BC"/>
    <w:rsid w:val="1FFF6E03"/>
    <w:rsid w:val="20071917"/>
    <w:rsid w:val="2008CEAC"/>
    <w:rsid w:val="201A4A9F"/>
    <w:rsid w:val="202A4E76"/>
    <w:rsid w:val="202D41D3"/>
    <w:rsid w:val="202EA962"/>
    <w:rsid w:val="203085FE"/>
    <w:rsid w:val="20388DEA"/>
    <w:rsid w:val="20402361"/>
    <w:rsid w:val="2054FFCE"/>
    <w:rsid w:val="2069F6DF"/>
    <w:rsid w:val="206EED30"/>
    <w:rsid w:val="206F76B3"/>
    <w:rsid w:val="206FAFC0"/>
    <w:rsid w:val="20702895"/>
    <w:rsid w:val="2070E372"/>
    <w:rsid w:val="20731368"/>
    <w:rsid w:val="2074AD4C"/>
    <w:rsid w:val="207FECC9"/>
    <w:rsid w:val="2081EB00"/>
    <w:rsid w:val="20833213"/>
    <w:rsid w:val="2084EA89"/>
    <w:rsid w:val="20864959"/>
    <w:rsid w:val="20872D76"/>
    <w:rsid w:val="208BED58"/>
    <w:rsid w:val="208ED123"/>
    <w:rsid w:val="209377A1"/>
    <w:rsid w:val="20955E21"/>
    <w:rsid w:val="2096CEAD"/>
    <w:rsid w:val="209C6096"/>
    <w:rsid w:val="209C703E"/>
    <w:rsid w:val="209C8B49"/>
    <w:rsid w:val="20A0203C"/>
    <w:rsid w:val="20A49996"/>
    <w:rsid w:val="20B82A10"/>
    <w:rsid w:val="20B96985"/>
    <w:rsid w:val="20B9F695"/>
    <w:rsid w:val="20BBD9A2"/>
    <w:rsid w:val="20BCDF49"/>
    <w:rsid w:val="20BD4F01"/>
    <w:rsid w:val="20BE6D68"/>
    <w:rsid w:val="20C353F3"/>
    <w:rsid w:val="20C4875D"/>
    <w:rsid w:val="20C828CF"/>
    <w:rsid w:val="20CAA9C8"/>
    <w:rsid w:val="20CC3167"/>
    <w:rsid w:val="20CE4AFD"/>
    <w:rsid w:val="20D0C474"/>
    <w:rsid w:val="20D1EA41"/>
    <w:rsid w:val="20D596A1"/>
    <w:rsid w:val="20D82B5C"/>
    <w:rsid w:val="20DA31A3"/>
    <w:rsid w:val="20E841A4"/>
    <w:rsid w:val="20EA7700"/>
    <w:rsid w:val="20EACEE3"/>
    <w:rsid w:val="20FB5055"/>
    <w:rsid w:val="20FE84AB"/>
    <w:rsid w:val="21006F4B"/>
    <w:rsid w:val="2104B441"/>
    <w:rsid w:val="2108BBF7"/>
    <w:rsid w:val="210B3E6F"/>
    <w:rsid w:val="210F092B"/>
    <w:rsid w:val="210F5B56"/>
    <w:rsid w:val="211667E9"/>
    <w:rsid w:val="21171DE7"/>
    <w:rsid w:val="2118C0ED"/>
    <w:rsid w:val="2118CF31"/>
    <w:rsid w:val="211AAF58"/>
    <w:rsid w:val="211E79EC"/>
    <w:rsid w:val="211FA773"/>
    <w:rsid w:val="211FBC2B"/>
    <w:rsid w:val="21250E5F"/>
    <w:rsid w:val="21296901"/>
    <w:rsid w:val="212AAEB7"/>
    <w:rsid w:val="212C2BB5"/>
    <w:rsid w:val="2130CAB8"/>
    <w:rsid w:val="213158F2"/>
    <w:rsid w:val="2137589B"/>
    <w:rsid w:val="213A7746"/>
    <w:rsid w:val="2145EBEF"/>
    <w:rsid w:val="2146618E"/>
    <w:rsid w:val="2148764B"/>
    <w:rsid w:val="214BB00B"/>
    <w:rsid w:val="2158B3DA"/>
    <w:rsid w:val="215FA918"/>
    <w:rsid w:val="216078D1"/>
    <w:rsid w:val="216310CF"/>
    <w:rsid w:val="216CE064"/>
    <w:rsid w:val="216D017F"/>
    <w:rsid w:val="2176D099"/>
    <w:rsid w:val="2176DDFC"/>
    <w:rsid w:val="2176ED7C"/>
    <w:rsid w:val="2182E0C9"/>
    <w:rsid w:val="218ED863"/>
    <w:rsid w:val="218FB61D"/>
    <w:rsid w:val="2192F471"/>
    <w:rsid w:val="21958634"/>
    <w:rsid w:val="21991900"/>
    <w:rsid w:val="219DB397"/>
    <w:rsid w:val="21A0D5D1"/>
    <w:rsid w:val="21A381DE"/>
    <w:rsid w:val="21AE4EE3"/>
    <w:rsid w:val="21B61517"/>
    <w:rsid w:val="21B848B2"/>
    <w:rsid w:val="21BE93AB"/>
    <w:rsid w:val="21C9C4E1"/>
    <w:rsid w:val="21D08C13"/>
    <w:rsid w:val="21D41645"/>
    <w:rsid w:val="21D65E7F"/>
    <w:rsid w:val="21D6CC52"/>
    <w:rsid w:val="21D7A314"/>
    <w:rsid w:val="21DCAAC5"/>
    <w:rsid w:val="21E2A62E"/>
    <w:rsid w:val="21EE637F"/>
    <w:rsid w:val="21EFEF94"/>
    <w:rsid w:val="21F63772"/>
    <w:rsid w:val="21F757FC"/>
    <w:rsid w:val="21F87024"/>
    <w:rsid w:val="21FC971A"/>
    <w:rsid w:val="21FECF89"/>
    <w:rsid w:val="21FFD459"/>
    <w:rsid w:val="2203B7BA"/>
    <w:rsid w:val="22047DD4"/>
    <w:rsid w:val="2204B20A"/>
    <w:rsid w:val="220696F8"/>
    <w:rsid w:val="220BD541"/>
    <w:rsid w:val="220ECDD7"/>
    <w:rsid w:val="22107462"/>
    <w:rsid w:val="2210BA76"/>
    <w:rsid w:val="2212C10B"/>
    <w:rsid w:val="2219432D"/>
    <w:rsid w:val="2219DB9D"/>
    <w:rsid w:val="221D1CC3"/>
    <w:rsid w:val="221F6E8C"/>
    <w:rsid w:val="22236488"/>
    <w:rsid w:val="2229001C"/>
    <w:rsid w:val="222A583E"/>
    <w:rsid w:val="222AE8B2"/>
    <w:rsid w:val="222B2373"/>
    <w:rsid w:val="222D72C8"/>
    <w:rsid w:val="222E0778"/>
    <w:rsid w:val="2230E4DF"/>
    <w:rsid w:val="2235B69A"/>
    <w:rsid w:val="2237F3E3"/>
    <w:rsid w:val="223A0940"/>
    <w:rsid w:val="223B9C58"/>
    <w:rsid w:val="2242EB88"/>
    <w:rsid w:val="224310EB"/>
    <w:rsid w:val="2244A038"/>
    <w:rsid w:val="2244D938"/>
    <w:rsid w:val="22494AB6"/>
    <w:rsid w:val="224C6F60"/>
    <w:rsid w:val="224CBFE2"/>
    <w:rsid w:val="2250D6ED"/>
    <w:rsid w:val="225E68AA"/>
    <w:rsid w:val="225ED1F1"/>
    <w:rsid w:val="225F5305"/>
    <w:rsid w:val="2263409A"/>
    <w:rsid w:val="226448A7"/>
    <w:rsid w:val="2266AECB"/>
    <w:rsid w:val="22693F8D"/>
    <w:rsid w:val="2269EE5D"/>
    <w:rsid w:val="226A855F"/>
    <w:rsid w:val="226B3CF2"/>
    <w:rsid w:val="2271219C"/>
    <w:rsid w:val="2273B77C"/>
    <w:rsid w:val="2274D29E"/>
    <w:rsid w:val="22751126"/>
    <w:rsid w:val="22765EC1"/>
    <w:rsid w:val="2283B0DA"/>
    <w:rsid w:val="228AAEF4"/>
    <w:rsid w:val="228EB9D8"/>
    <w:rsid w:val="22913BC0"/>
    <w:rsid w:val="2295B0D2"/>
    <w:rsid w:val="2298DA6E"/>
    <w:rsid w:val="229FEE5F"/>
    <w:rsid w:val="22A20391"/>
    <w:rsid w:val="22A3150B"/>
    <w:rsid w:val="22A59EF6"/>
    <w:rsid w:val="22A9410D"/>
    <w:rsid w:val="22AD5D1C"/>
    <w:rsid w:val="22B3923C"/>
    <w:rsid w:val="22B44F50"/>
    <w:rsid w:val="22C73F80"/>
    <w:rsid w:val="22CA41A7"/>
    <w:rsid w:val="22CBDAEF"/>
    <w:rsid w:val="22CDC5F0"/>
    <w:rsid w:val="22D00B8F"/>
    <w:rsid w:val="22D48DCB"/>
    <w:rsid w:val="22D4B42E"/>
    <w:rsid w:val="22DB0B9B"/>
    <w:rsid w:val="22DC5F06"/>
    <w:rsid w:val="22E4F1EC"/>
    <w:rsid w:val="22E55FE2"/>
    <w:rsid w:val="22EB82C4"/>
    <w:rsid w:val="22EC63CF"/>
    <w:rsid w:val="22EDB85B"/>
    <w:rsid w:val="22F0F87B"/>
    <w:rsid w:val="22FA8748"/>
    <w:rsid w:val="22FEA632"/>
    <w:rsid w:val="23024745"/>
    <w:rsid w:val="23060B94"/>
    <w:rsid w:val="23064AB1"/>
    <w:rsid w:val="2307801E"/>
    <w:rsid w:val="23091FC9"/>
    <w:rsid w:val="2309E61F"/>
    <w:rsid w:val="230B8C35"/>
    <w:rsid w:val="230CE829"/>
    <w:rsid w:val="230E7FDE"/>
    <w:rsid w:val="231283CF"/>
    <w:rsid w:val="2314BD2E"/>
    <w:rsid w:val="23171554"/>
    <w:rsid w:val="231B36C2"/>
    <w:rsid w:val="231C1DA2"/>
    <w:rsid w:val="232267A2"/>
    <w:rsid w:val="2322F17A"/>
    <w:rsid w:val="2323E1AF"/>
    <w:rsid w:val="23270B63"/>
    <w:rsid w:val="2331745C"/>
    <w:rsid w:val="233DC91A"/>
    <w:rsid w:val="233EFED1"/>
    <w:rsid w:val="23417A5E"/>
    <w:rsid w:val="234A4188"/>
    <w:rsid w:val="23506779"/>
    <w:rsid w:val="23527A35"/>
    <w:rsid w:val="23565047"/>
    <w:rsid w:val="2356F68D"/>
    <w:rsid w:val="2357054E"/>
    <w:rsid w:val="235C2606"/>
    <w:rsid w:val="235D98C7"/>
    <w:rsid w:val="235ED758"/>
    <w:rsid w:val="23630705"/>
    <w:rsid w:val="2373C70C"/>
    <w:rsid w:val="2376784F"/>
    <w:rsid w:val="23772E7F"/>
    <w:rsid w:val="237AEC5B"/>
    <w:rsid w:val="237DB03C"/>
    <w:rsid w:val="2385939C"/>
    <w:rsid w:val="23869479"/>
    <w:rsid w:val="2387F548"/>
    <w:rsid w:val="2389A415"/>
    <w:rsid w:val="238D73AC"/>
    <w:rsid w:val="238E9D79"/>
    <w:rsid w:val="2392F975"/>
    <w:rsid w:val="23963BEA"/>
    <w:rsid w:val="2396E601"/>
    <w:rsid w:val="239BF920"/>
    <w:rsid w:val="239F569E"/>
    <w:rsid w:val="23A07CA7"/>
    <w:rsid w:val="23A77BC7"/>
    <w:rsid w:val="23A8AF1B"/>
    <w:rsid w:val="23AB18D4"/>
    <w:rsid w:val="23B2AD89"/>
    <w:rsid w:val="23B9201D"/>
    <w:rsid w:val="23C5470D"/>
    <w:rsid w:val="23C869BA"/>
    <w:rsid w:val="23D4FE42"/>
    <w:rsid w:val="23D5EC1D"/>
    <w:rsid w:val="23E152FB"/>
    <w:rsid w:val="23E868D4"/>
    <w:rsid w:val="23E8827D"/>
    <w:rsid w:val="23E931E9"/>
    <w:rsid w:val="23F08C50"/>
    <w:rsid w:val="23F09A23"/>
    <w:rsid w:val="23F8F850"/>
    <w:rsid w:val="23FEA632"/>
    <w:rsid w:val="24003310"/>
    <w:rsid w:val="24039B9C"/>
    <w:rsid w:val="240D54D4"/>
    <w:rsid w:val="24117717"/>
    <w:rsid w:val="24119580"/>
    <w:rsid w:val="24124E53"/>
    <w:rsid w:val="2415D7BB"/>
    <w:rsid w:val="24171E8F"/>
    <w:rsid w:val="2418D5E5"/>
    <w:rsid w:val="241985EA"/>
    <w:rsid w:val="241F9AD5"/>
    <w:rsid w:val="24223C69"/>
    <w:rsid w:val="24242FBC"/>
    <w:rsid w:val="2427CE9C"/>
    <w:rsid w:val="242974CC"/>
    <w:rsid w:val="2432922E"/>
    <w:rsid w:val="243358F5"/>
    <w:rsid w:val="24340D70"/>
    <w:rsid w:val="24352411"/>
    <w:rsid w:val="243DC1F6"/>
    <w:rsid w:val="243EB468"/>
    <w:rsid w:val="24465919"/>
    <w:rsid w:val="24476652"/>
    <w:rsid w:val="24489CD1"/>
    <w:rsid w:val="244C22D1"/>
    <w:rsid w:val="244CB45F"/>
    <w:rsid w:val="2453C197"/>
    <w:rsid w:val="2454EC70"/>
    <w:rsid w:val="2457BAA6"/>
    <w:rsid w:val="2457E238"/>
    <w:rsid w:val="24599BB4"/>
    <w:rsid w:val="24687F3F"/>
    <w:rsid w:val="2469C257"/>
    <w:rsid w:val="246C07AF"/>
    <w:rsid w:val="246F997B"/>
    <w:rsid w:val="24705F20"/>
    <w:rsid w:val="2472C268"/>
    <w:rsid w:val="2475741F"/>
    <w:rsid w:val="247698FE"/>
    <w:rsid w:val="247CC10F"/>
    <w:rsid w:val="247E6750"/>
    <w:rsid w:val="2483B6E7"/>
    <w:rsid w:val="2485DE77"/>
    <w:rsid w:val="24864DA1"/>
    <w:rsid w:val="248B1807"/>
    <w:rsid w:val="248F4923"/>
    <w:rsid w:val="2491801A"/>
    <w:rsid w:val="249370A2"/>
    <w:rsid w:val="24945BFF"/>
    <w:rsid w:val="24962919"/>
    <w:rsid w:val="24976970"/>
    <w:rsid w:val="24987B37"/>
    <w:rsid w:val="249C6F80"/>
    <w:rsid w:val="249D393C"/>
    <w:rsid w:val="24A4217A"/>
    <w:rsid w:val="24AAC283"/>
    <w:rsid w:val="24B374A5"/>
    <w:rsid w:val="24B402D1"/>
    <w:rsid w:val="24B49E15"/>
    <w:rsid w:val="24BAF86E"/>
    <w:rsid w:val="24BBB356"/>
    <w:rsid w:val="24BD928B"/>
    <w:rsid w:val="24C30704"/>
    <w:rsid w:val="24C312C2"/>
    <w:rsid w:val="24C50534"/>
    <w:rsid w:val="24C8D13E"/>
    <w:rsid w:val="24D1FF0F"/>
    <w:rsid w:val="24D4156A"/>
    <w:rsid w:val="24D65465"/>
    <w:rsid w:val="24E2EA87"/>
    <w:rsid w:val="24E64DC4"/>
    <w:rsid w:val="24EA1192"/>
    <w:rsid w:val="24EB72AA"/>
    <w:rsid w:val="24EFDFFB"/>
    <w:rsid w:val="24F3A836"/>
    <w:rsid w:val="24F71AE5"/>
    <w:rsid w:val="24F84C7F"/>
    <w:rsid w:val="24FDB338"/>
    <w:rsid w:val="24FE6D39"/>
    <w:rsid w:val="2501BF45"/>
    <w:rsid w:val="25047EBC"/>
    <w:rsid w:val="2509799E"/>
    <w:rsid w:val="251027D0"/>
    <w:rsid w:val="25134972"/>
    <w:rsid w:val="25136285"/>
    <w:rsid w:val="25172F3B"/>
    <w:rsid w:val="251BF43F"/>
    <w:rsid w:val="251C38B7"/>
    <w:rsid w:val="252A1F4D"/>
    <w:rsid w:val="25344786"/>
    <w:rsid w:val="25356605"/>
    <w:rsid w:val="25364666"/>
    <w:rsid w:val="25428820"/>
    <w:rsid w:val="2542B595"/>
    <w:rsid w:val="255B2C2C"/>
    <w:rsid w:val="255F28D3"/>
    <w:rsid w:val="25614E25"/>
    <w:rsid w:val="256B9020"/>
    <w:rsid w:val="256CEA2F"/>
    <w:rsid w:val="257300C6"/>
    <w:rsid w:val="2573B65E"/>
    <w:rsid w:val="25762F63"/>
    <w:rsid w:val="257DEC36"/>
    <w:rsid w:val="2581CE4B"/>
    <w:rsid w:val="258B44FD"/>
    <w:rsid w:val="258C8298"/>
    <w:rsid w:val="258F3C25"/>
    <w:rsid w:val="25952FE7"/>
    <w:rsid w:val="2595933A"/>
    <w:rsid w:val="25961AFA"/>
    <w:rsid w:val="259930CA"/>
    <w:rsid w:val="259B2978"/>
    <w:rsid w:val="259ED791"/>
    <w:rsid w:val="25A0BB7D"/>
    <w:rsid w:val="25A4E5BD"/>
    <w:rsid w:val="25A6E1EA"/>
    <w:rsid w:val="25AD8171"/>
    <w:rsid w:val="25AE2450"/>
    <w:rsid w:val="25BD64D4"/>
    <w:rsid w:val="25C625EF"/>
    <w:rsid w:val="25C70220"/>
    <w:rsid w:val="25CEF185"/>
    <w:rsid w:val="25D2ED17"/>
    <w:rsid w:val="25DC4BDA"/>
    <w:rsid w:val="25E15D9E"/>
    <w:rsid w:val="25E46887"/>
    <w:rsid w:val="25E5E32D"/>
    <w:rsid w:val="25EDEA1E"/>
    <w:rsid w:val="25EE3782"/>
    <w:rsid w:val="25F04AA2"/>
    <w:rsid w:val="25F3ECBC"/>
    <w:rsid w:val="25F3F7A2"/>
    <w:rsid w:val="25F5E02E"/>
    <w:rsid w:val="260626C7"/>
    <w:rsid w:val="260AE0FF"/>
    <w:rsid w:val="260CB653"/>
    <w:rsid w:val="260EF49E"/>
    <w:rsid w:val="2614AC52"/>
    <w:rsid w:val="261F97BA"/>
    <w:rsid w:val="26248AE1"/>
    <w:rsid w:val="26265D9A"/>
    <w:rsid w:val="2626A644"/>
    <w:rsid w:val="262C2290"/>
    <w:rsid w:val="262E93A1"/>
    <w:rsid w:val="26375F6E"/>
    <w:rsid w:val="263BAF93"/>
    <w:rsid w:val="263CE4E0"/>
    <w:rsid w:val="26449399"/>
    <w:rsid w:val="265C69B9"/>
    <w:rsid w:val="265D9F7D"/>
    <w:rsid w:val="26633D13"/>
    <w:rsid w:val="266A308D"/>
    <w:rsid w:val="266ABA15"/>
    <w:rsid w:val="266C29DF"/>
    <w:rsid w:val="266DF648"/>
    <w:rsid w:val="267293B2"/>
    <w:rsid w:val="26747206"/>
    <w:rsid w:val="26781712"/>
    <w:rsid w:val="267BAC75"/>
    <w:rsid w:val="2681D98E"/>
    <w:rsid w:val="26828779"/>
    <w:rsid w:val="268712E6"/>
    <w:rsid w:val="2692A9CB"/>
    <w:rsid w:val="26951620"/>
    <w:rsid w:val="2695C3F0"/>
    <w:rsid w:val="26975E53"/>
    <w:rsid w:val="26978F48"/>
    <w:rsid w:val="2699F045"/>
    <w:rsid w:val="269C6466"/>
    <w:rsid w:val="26A24BE9"/>
    <w:rsid w:val="26AC43CF"/>
    <w:rsid w:val="26B2F3A9"/>
    <w:rsid w:val="26B31874"/>
    <w:rsid w:val="26BB2F57"/>
    <w:rsid w:val="26BC5B1C"/>
    <w:rsid w:val="26BCCBF0"/>
    <w:rsid w:val="26BD400D"/>
    <w:rsid w:val="26C3627F"/>
    <w:rsid w:val="26C662FD"/>
    <w:rsid w:val="26CCF01F"/>
    <w:rsid w:val="26DFB04E"/>
    <w:rsid w:val="26E0E97D"/>
    <w:rsid w:val="26E6C28B"/>
    <w:rsid w:val="26F1374B"/>
    <w:rsid w:val="26F535C7"/>
    <w:rsid w:val="26F91853"/>
    <w:rsid w:val="26F97111"/>
    <w:rsid w:val="26FBC4EF"/>
    <w:rsid w:val="26FD1FC7"/>
    <w:rsid w:val="26FD4322"/>
    <w:rsid w:val="2708726F"/>
    <w:rsid w:val="270A85D7"/>
    <w:rsid w:val="27138AC3"/>
    <w:rsid w:val="2713AE6E"/>
    <w:rsid w:val="271F6993"/>
    <w:rsid w:val="2720BF5F"/>
    <w:rsid w:val="272DC740"/>
    <w:rsid w:val="272F5E54"/>
    <w:rsid w:val="27359E48"/>
    <w:rsid w:val="273BD790"/>
    <w:rsid w:val="273C9FD4"/>
    <w:rsid w:val="273E4A08"/>
    <w:rsid w:val="273E67D8"/>
    <w:rsid w:val="273FB5D3"/>
    <w:rsid w:val="27406A92"/>
    <w:rsid w:val="2742A225"/>
    <w:rsid w:val="274C1CB8"/>
    <w:rsid w:val="274D34B8"/>
    <w:rsid w:val="27577CAC"/>
    <w:rsid w:val="275D0BD8"/>
    <w:rsid w:val="275D840A"/>
    <w:rsid w:val="276508AB"/>
    <w:rsid w:val="27655EEF"/>
    <w:rsid w:val="276C6A77"/>
    <w:rsid w:val="276C83D4"/>
    <w:rsid w:val="276E9969"/>
    <w:rsid w:val="276ECD92"/>
    <w:rsid w:val="276FC59D"/>
    <w:rsid w:val="2774BB51"/>
    <w:rsid w:val="2775C69F"/>
    <w:rsid w:val="27792D05"/>
    <w:rsid w:val="277C8E98"/>
    <w:rsid w:val="277E4AA0"/>
    <w:rsid w:val="2781B4AC"/>
    <w:rsid w:val="2782BDDA"/>
    <w:rsid w:val="27831664"/>
    <w:rsid w:val="2785AA14"/>
    <w:rsid w:val="2789A51F"/>
    <w:rsid w:val="278BE136"/>
    <w:rsid w:val="278C09E6"/>
    <w:rsid w:val="2792DFEA"/>
    <w:rsid w:val="27963CDA"/>
    <w:rsid w:val="279970D0"/>
    <w:rsid w:val="279C7794"/>
    <w:rsid w:val="27A69F4A"/>
    <w:rsid w:val="27A7D21C"/>
    <w:rsid w:val="27B0CAE7"/>
    <w:rsid w:val="27B52561"/>
    <w:rsid w:val="27B8EE45"/>
    <w:rsid w:val="27BA1C4F"/>
    <w:rsid w:val="27BDB366"/>
    <w:rsid w:val="27C8DB7B"/>
    <w:rsid w:val="27C9FA34"/>
    <w:rsid w:val="27CA8F2F"/>
    <w:rsid w:val="27CC058E"/>
    <w:rsid w:val="27CFF690"/>
    <w:rsid w:val="27D149AB"/>
    <w:rsid w:val="27D4A585"/>
    <w:rsid w:val="27D6305F"/>
    <w:rsid w:val="27DA32C6"/>
    <w:rsid w:val="27DCF8DE"/>
    <w:rsid w:val="27E0874E"/>
    <w:rsid w:val="27E115F7"/>
    <w:rsid w:val="27EBDB96"/>
    <w:rsid w:val="27EFA38C"/>
    <w:rsid w:val="27F4015E"/>
    <w:rsid w:val="27F811E4"/>
    <w:rsid w:val="27FE983D"/>
    <w:rsid w:val="28039702"/>
    <w:rsid w:val="28128C2F"/>
    <w:rsid w:val="2814CCF3"/>
    <w:rsid w:val="2814D691"/>
    <w:rsid w:val="281FD1BC"/>
    <w:rsid w:val="2823475A"/>
    <w:rsid w:val="2823690E"/>
    <w:rsid w:val="28281DC5"/>
    <w:rsid w:val="282B5C76"/>
    <w:rsid w:val="282BE4F0"/>
    <w:rsid w:val="282DE26A"/>
    <w:rsid w:val="282EE286"/>
    <w:rsid w:val="282F0C8B"/>
    <w:rsid w:val="2831CD83"/>
    <w:rsid w:val="283A61B3"/>
    <w:rsid w:val="283D2332"/>
    <w:rsid w:val="283E01E6"/>
    <w:rsid w:val="2841B415"/>
    <w:rsid w:val="2841F068"/>
    <w:rsid w:val="2846AA9C"/>
    <w:rsid w:val="28493434"/>
    <w:rsid w:val="284AB3BE"/>
    <w:rsid w:val="2851973B"/>
    <w:rsid w:val="2851F835"/>
    <w:rsid w:val="285D9983"/>
    <w:rsid w:val="285E9C72"/>
    <w:rsid w:val="2861162D"/>
    <w:rsid w:val="2865F6CF"/>
    <w:rsid w:val="286B0E92"/>
    <w:rsid w:val="286B8485"/>
    <w:rsid w:val="286BA5F3"/>
    <w:rsid w:val="286E628D"/>
    <w:rsid w:val="287114F9"/>
    <w:rsid w:val="2871534C"/>
    <w:rsid w:val="2874F2DD"/>
    <w:rsid w:val="2876546B"/>
    <w:rsid w:val="287ADD6A"/>
    <w:rsid w:val="287EA5AE"/>
    <w:rsid w:val="287F5390"/>
    <w:rsid w:val="288BCCDC"/>
    <w:rsid w:val="288F2E39"/>
    <w:rsid w:val="2892CAA9"/>
    <w:rsid w:val="28937230"/>
    <w:rsid w:val="28982E51"/>
    <w:rsid w:val="289B14D4"/>
    <w:rsid w:val="28A015D3"/>
    <w:rsid w:val="28A53C97"/>
    <w:rsid w:val="28A81CFB"/>
    <w:rsid w:val="28AAAD01"/>
    <w:rsid w:val="28AC73F4"/>
    <w:rsid w:val="28AD78F4"/>
    <w:rsid w:val="28B29706"/>
    <w:rsid w:val="28B92E33"/>
    <w:rsid w:val="28C054C0"/>
    <w:rsid w:val="28C372E7"/>
    <w:rsid w:val="28C60C49"/>
    <w:rsid w:val="28C72E22"/>
    <w:rsid w:val="28C75279"/>
    <w:rsid w:val="28C8755A"/>
    <w:rsid w:val="28D3D08B"/>
    <w:rsid w:val="28DE1E40"/>
    <w:rsid w:val="28E317C2"/>
    <w:rsid w:val="28E3C64E"/>
    <w:rsid w:val="28EDE135"/>
    <w:rsid w:val="28F36FF2"/>
    <w:rsid w:val="28F3F9D1"/>
    <w:rsid w:val="28F5E31A"/>
    <w:rsid w:val="28F78E7E"/>
    <w:rsid w:val="28FD0A24"/>
    <w:rsid w:val="28FD1A57"/>
    <w:rsid w:val="2906D5E2"/>
    <w:rsid w:val="290963F6"/>
    <w:rsid w:val="290ADD30"/>
    <w:rsid w:val="290F13D9"/>
    <w:rsid w:val="291314C5"/>
    <w:rsid w:val="29146980"/>
    <w:rsid w:val="292172B0"/>
    <w:rsid w:val="292350BF"/>
    <w:rsid w:val="29262B47"/>
    <w:rsid w:val="29263361"/>
    <w:rsid w:val="2932DA35"/>
    <w:rsid w:val="2937BC54"/>
    <w:rsid w:val="2938692E"/>
    <w:rsid w:val="293B81AF"/>
    <w:rsid w:val="293D6935"/>
    <w:rsid w:val="29406A08"/>
    <w:rsid w:val="294270CE"/>
    <w:rsid w:val="29446A04"/>
    <w:rsid w:val="2946EA93"/>
    <w:rsid w:val="294DDCA2"/>
    <w:rsid w:val="2952B76A"/>
    <w:rsid w:val="29619BC9"/>
    <w:rsid w:val="2962027D"/>
    <w:rsid w:val="2966AFB1"/>
    <w:rsid w:val="296EAFA9"/>
    <w:rsid w:val="29738CED"/>
    <w:rsid w:val="2977F052"/>
    <w:rsid w:val="2988CACD"/>
    <w:rsid w:val="298CADDD"/>
    <w:rsid w:val="298EA40D"/>
    <w:rsid w:val="29958309"/>
    <w:rsid w:val="2996270E"/>
    <w:rsid w:val="2996C47B"/>
    <w:rsid w:val="299E867E"/>
    <w:rsid w:val="299EB23B"/>
    <w:rsid w:val="299F333C"/>
    <w:rsid w:val="299F6594"/>
    <w:rsid w:val="299FC7D3"/>
    <w:rsid w:val="29A1FC4A"/>
    <w:rsid w:val="29A35E75"/>
    <w:rsid w:val="29AB94DC"/>
    <w:rsid w:val="29B5FF7C"/>
    <w:rsid w:val="29B8487F"/>
    <w:rsid w:val="29BD8189"/>
    <w:rsid w:val="29BE943E"/>
    <w:rsid w:val="29BF9787"/>
    <w:rsid w:val="29C7139C"/>
    <w:rsid w:val="29C9AFFC"/>
    <w:rsid w:val="29D45981"/>
    <w:rsid w:val="29D61C1E"/>
    <w:rsid w:val="29D8BCC1"/>
    <w:rsid w:val="29DB1305"/>
    <w:rsid w:val="29DBE92C"/>
    <w:rsid w:val="29DF5DD4"/>
    <w:rsid w:val="29E2ADCE"/>
    <w:rsid w:val="29E4C008"/>
    <w:rsid w:val="29E94FB2"/>
    <w:rsid w:val="29EEC0BD"/>
    <w:rsid w:val="29FA9B61"/>
    <w:rsid w:val="29FB2E3C"/>
    <w:rsid w:val="29FD16E9"/>
    <w:rsid w:val="29FEEF75"/>
    <w:rsid w:val="2A02D9B4"/>
    <w:rsid w:val="2A053929"/>
    <w:rsid w:val="2A068147"/>
    <w:rsid w:val="2A07EBE9"/>
    <w:rsid w:val="2A09058E"/>
    <w:rsid w:val="2A0C51F7"/>
    <w:rsid w:val="2A0EABF9"/>
    <w:rsid w:val="2A10DFEB"/>
    <w:rsid w:val="2A1400E9"/>
    <w:rsid w:val="2A14245D"/>
    <w:rsid w:val="2A18FC88"/>
    <w:rsid w:val="2A1CC8F9"/>
    <w:rsid w:val="2A1FF728"/>
    <w:rsid w:val="2A20916D"/>
    <w:rsid w:val="2A247682"/>
    <w:rsid w:val="2A287DED"/>
    <w:rsid w:val="2A30317A"/>
    <w:rsid w:val="2A3E4C30"/>
    <w:rsid w:val="2A3F0D5F"/>
    <w:rsid w:val="2A416920"/>
    <w:rsid w:val="2A47087A"/>
    <w:rsid w:val="2A4DA8C9"/>
    <w:rsid w:val="2A552FD2"/>
    <w:rsid w:val="2A579E8E"/>
    <w:rsid w:val="2A59F9B0"/>
    <w:rsid w:val="2A628731"/>
    <w:rsid w:val="2A63B9DC"/>
    <w:rsid w:val="2A64ABC3"/>
    <w:rsid w:val="2A6B3BEC"/>
    <w:rsid w:val="2A6CDE63"/>
    <w:rsid w:val="2A7D04A2"/>
    <w:rsid w:val="2A7DC32B"/>
    <w:rsid w:val="2A811DE0"/>
    <w:rsid w:val="2A848AA2"/>
    <w:rsid w:val="2A8A21FF"/>
    <w:rsid w:val="2A8D1670"/>
    <w:rsid w:val="2A8E2BD2"/>
    <w:rsid w:val="2A90780F"/>
    <w:rsid w:val="2A93F8B6"/>
    <w:rsid w:val="2A974253"/>
    <w:rsid w:val="2A9EC092"/>
    <w:rsid w:val="2AA09B50"/>
    <w:rsid w:val="2AA2E7C3"/>
    <w:rsid w:val="2AA436BA"/>
    <w:rsid w:val="2AB36003"/>
    <w:rsid w:val="2AB3BD37"/>
    <w:rsid w:val="2ABD6DE2"/>
    <w:rsid w:val="2AC11D70"/>
    <w:rsid w:val="2AC22281"/>
    <w:rsid w:val="2AC2A36C"/>
    <w:rsid w:val="2AC5FD7D"/>
    <w:rsid w:val="2ACC808A"/>
    <w:rsid w:val="2AD03DA0"/>
    <w:rsid w:val="2AD2F921"/>
    <w:rsid w:val="2AD54C4B"/>
    <w:rsid w:val="2AD88DBC"/>
    <w:rsid w:val="2ADEDCE4"/>
    <w:rsid w:val="2AE42E8F"/>
    <w:rsid w:val="2AE69125"/>
    <w:rsid w:val="2AEA9C06"/>
    <w:rsid w:val="2AEB793F"/>
    <w:rsid w:val="2AEBCC7B"/>
    <w:rsid w:val="2AEC1102"/>
    <w:rsid w:val="2AEF1639"/>
    <w:rsid w:val="2AF08E5A"/>
    <w:rsid w:val="2AF4F248"/>
    <w:rsid w:val="2AFA3993"/>
    <w:rsid w:val="2AFBEEF2"/>
    <w:rsid w:val="2B001382"/>
    <w:rsid w:val="2B004B32"/>
    <w:rsid w:val="2B041C05"/>
    <w:rsid w:val="2B0436BC"/>
    <w:rsid w:val="2B0C1FBB"/>
    <w:rsid w:val="2B0C4AC3"/>
    <w:rsid w:val="2B18E20C"/>
    <w:rsid w:val="2B19D071"/>
    <w:rsid w:val="2B1AF3FE"/>
    <w:rsid w:val="2B1AF647"/>
    <w:rsid w:val="2B1B0DB1"/>
    <w:rsid w:val="2B1C2C56"/>
    <w:rsid w:val="2B1D0ACA"/>
    <w:rsid w:val="2B231A44"/>
    <w:rsid w:val="2B2B2D16"/>
    <w:rsid w:val="2B2B68EC"/>
    <w:rsid w:val="2B32AFA3"/>
    <w:rsid w:val="2B34931B"/>
    <w:rsid w:val="2B3B715B"/>
    <w:rsid w:val="2B3B7C6E"/>
    <w:rsid w:val="2B3DFF69"/>
    <w:rsid w:val="2B4433D7"/>
    <w:rsid w:val="2B44AA24"/>
    <w:rsid w:val="2B4D53A4"/>
    <w:rsid w:val="2B567A86"/>
    <w:rsid w:val="2B5BDF0C"/>
    <w:rsid w:val="2B5D7544"/>
    <w:rsid w:val="2B6010C9"/>
    <w:rsid w:val="2B61F867"/>
    <w:rsid w:val="2B6434F1"/>
    <w:rsid w:val="2B66989E"/>
    <w:rsid w:val="2B70394A"/>
    <w:rsid w:val="2B72597D"/>
    <w:rsid w:val="2B72ADD2"/>
    <w:rsid w:val="2B740D30"/>
    <w:rsid w:val="2B7473C6"/>
    <w:rsid w:val="2B751B48"/>
    <w:rsid w:val="2B786EDD"/>
    <w:rsid w:val="2B7BAF9C"/>
    <w:rsid w:val="2B7EBD49"/>
    <w:rsid w:val="2B8168E5"/>
    <w:rsid w:val="2B82FE21"/>
    <w:rsid w:val="2B893217"/>
    <w:rsid w:val="2B8C6058"/>
    <w:rsid w:val="2B8E9BDB"/>
    <w:rsid w:val="2B995EA2"/>
    <w:rsid w:val="2BA0847A"/>
    <w:rsid w:val="2BA47229"/>
    <w:rsid w:val="2BA6D545"/>
    <w:rsid w:val="2BA749BF"/>
    <w:rsid w:val="2BA7D3FC"/>
    <w:rsid w:val="2BA802AD"/>
    <w:rsid w:val="2BA85814"/>
    <w:rsid w:val="2BA9DC41"/>
    <w:rsid w:val="2BABD25B"/>
    <w:rsid w:val="2BABDD8B"/>
    <w:rsid w:val="2BB10D22"/>
    <w:rsid w:val="2BB9FA58"/>
    <w:rsid w:val="2BBC24B5"/>
    <w:rsid w:val="2BBDD55B"/>
    <w:rsid w:val="2BBDF6B8"/>
    <w:rsid w:val="2BBED116"/>
    <w:rsid w:val="2BC0CAD3"/>
    <w:rsid w:val="2BC3B2EF"/>
    <w:rsid w:val="2BC4CC71"/>
    <w:rsid w:val="2BC71EB3"/>
    <w:rsid w:val="2BC82E4F"/>
    <w:rsid w:val="2BC9288D"/>
    <w:rsid w:val="2BD6BC3F"/>
    <w:rsid w:val="2BD9FFAE"/>
    <w:rsid w:val="2BDEEFDD"/>
    <w:rsid w:val="2BE25820"/>
    <w:rsid w:val="2BEDE09A"/>
    <w:rsid w:val="2BEEF940"/>
    <w:rsid w:val="2BF2A744"/>
    <w:rsid w:val="2BF2FC22"/>
    <w:rsid w:val="2BF4653D"/>
    <w:rsid w:val="2BF4A2B3"/>
    <w:rsid w:val="2BF5A5C9"/>
    <w:rsid w:val="2BFAEBC7"/>
    <w:rsid w:val="2BFDD627"/>
    <w:rsid w:val="2BFF9D56"/>
    <w:rsid w:val="2C041DA3"/>
    <w:rsid w:val="2C047C4A"/>
    <w:rsid w:val="2C086EBA"/>
    <w:rsid w:val="2C0FD9F4"/>
    <w:rsid w:val="2C11C301"/>
    <w:rsid w:val="2C12BCD2"/>
    <w:rsid w:val="2C15B0D3"/>
    <w:rsid w:val="2C174D5C"/>
    <w:rsid w:val="2C23E597"/>
    <w:rsid w:val="2C2EC14C"/>
    <w:rsid w:val="2C2F308D"/>
    <w:rsid w:val="2C33AE27"/>
    <w:rsid w:val="2C34CD3E"/>
    <w:rsid w:val="2C35F16D"/>
    <w:rsid w:val="2C36871D"/>
    <w:rsid w:val="2C36DEE5"/>
    <w:rsid w:val="2C3C303F"/>
    <w:rsid w:val="2C3E2474"/>
    <w:rsid w:val="2C439F51"/>
    <w:rsid w:val="2C4C6FA6"/>
    <w:rsid w:val="2C4CA273"/>
    <w:rsid w:val="2C549E3F"/>
    <w:rsid w:val="2C56D917"/>
    <w:rsid w:val="2C58C026"/>
    <w:rsid w:val="2C59DF40"/>
    <w:rsid w:val="2C6269E5"/>
    <w:rsid w:val="2C6DE3EC"/>
    <w:rsid w:val="2C6E663A"/>
    <w:rsid w:val="2C707255"/>
    <w:rsid w:val="2C72376D"/>
    <w:rsid w:val="2C734AB1"/>
    <w:rsid w:val="2C747FCF"/>
    <w:rsid w:val="2C7537AD"/>
    <w:rsid w:val="2C79EE77"/>
    <w:rsid w:val="2C7D4D66"/>
    <w:rsid w:val="2C7FAA9E"/>
    <w:rsid w:val="2C80D890"/>
    <w:rsid w:val="2C88CC19"/>
    <w:rsid w:val="2C9F4407"/>
    <w:rsid w:val="2CA08473"/>
    <w:rsid w:val="2CA12FF6"/>
    <w:rsid w:val="2CA47A97"/>
    <w:rsid w:val="2CA49AEB"/>
    <w:rsid w:val="2CA5B75A"/>
    <w:rsid w:val="2CA8EE33"/>
    <w:rsid w:val="2CAB48BE"/>
    <w:rsid w:val="2CB3D857"/>
    <w:rsid w:val="2CB62131"/>
    <w:rsid w:val="2CBE46C4"/>
    <w:rsid w:val="2CC40B3C"/>
    <w:rsid w:val="2CC48A92"/>
    <w:rsid w:val="2CCC2A55"/>
    <w:rsid w:val="2CD1DFB7"/>
    <w:rsid w:val="2CD7B8C3"/>
    <w:rsid w:val="2CD967FC"/>
    <w:rsid w:val="2CDBB9A7"/>
    <w:rsid w:val="2CDCAEAF"/>
    <w:rsid w:val="2CE02B72"/>
    <w:rsid w:val="2CE1959E"/>
    <w:rsid w:val="2CE30FC0"/>
    <w:rsid w:val="2CE60317"/>
    <w:rsid w:val="2CE9A5D9"/>
    <w:rsid w:val="2CEE14AA"/>
    <w:rsid w:val="2CEEDE3D"/>
    <w:rsid w:val="2CFA9C43"/>
    <w:rsid w:val="2CFFEC4E"/>
    <w:rsid w:val="2D058536"/>
    <w:rsid w:val="2D05BB94"/>
    <w:rsid w:val="2D09EEBE"/>
    <w:rsid w:val="2D0A6435"/>
    <w:rsid w:val="2D0C9363"/>
    <w:rsid w:val="2D1242DA"/>
    <w:rsid w:val="2D195C0F"/>
    <w:rsid w:val="2D1FE296"/>
    <w:rsid w:val="2D2259DF"/>
    <w:rsid w:val="2D23CD26"/>
    <w:rsid w:val="2D2809DA"/>
    <w:rsid w:val="2D28ED05"/>
    <w:rsid w:val="2D2A4FD3"/>
    <w:rsid w:val="2D2A6B17"/>
    <w:rsid w:val="2D2BEF24"/>
    <w:rsid w:val="2D301099"/>
    <w:rsid w:val="2D3CFE83"/>
    <w:rsid w:val="2D3FFC6C"/>
    <w:rsid w:val="2D43C0C0"/>
    <w:rsid w:val="2D47E39E"/>
    <w:rsid w:val="2D4D8578"/>
    <w:rsid w:val="2D545117"/>
    <w:rsid w:val="2D55C14F"/>
    <w:rsid w:val="2D59D1E5"/>
    <w:rsid w:val="2D5F66DC"/>
    <w:rsid w:val="2D604300"/>
    <w:rsid w:val="2D63D1FD"/>
    <w:rsid w:val="2D6ADC42"/>
    <w:rsid w:val="2D6D8279"/>
    <w:rsid w:val="2D6F10F9"/>
    <w:rsid w:val="2D703927"/>
    <w:rsid w:val="2D70AAC0"/>
    <w:rsid w:val="2D72321C"/>
    <w:rsid w:val="2D73246F"/>
    <w:rsid w:val="2D75EDD0"/>
    <w:rsid w:val="2D78D406"/>
    <w:rsid w:val="2D8035C9"/>
    <w:rsid w:val="2D830E46"/>
    <w:rsid w:val="2D852E0B"/>
    <w:rsid w:val="2D87E980"/>
    <w:rsid w:val="2D884CEF"/>
    <w:rsid w:val="2D8CEB73"/>
    <w:rsid w:val="2D8F14C3"/>
    <w:rsid w:val="2D900D62"/>
    <w:rsid w:val="2D92973F"/>
    <w:rsid w:val="2D96DE8E"/>
    <w:rsid w:val="2D97003F"/>
    <w:rsid w:val="2D99B0E0"/>
    <w:rsid w:val="2D9CEA69"/>
    <w:rsid w:val="2DA279CD"/>
    <w:rsid w:val="2DAA1F93"/>
    <w:rsid w:val="2DAEB0D5"/>
    <w:rsid w:val="2DAFFB30"/>
    <w:rsid w:val="2DC957F3"/>
    <w:rsid w:val="2DCDDD25"/>
    <w:rsid w:val="2DCE9A5B"/>
    <w:rsid w:val="2DCF7FF2"/>
    <w:rsid w:val="2DD324AF"/>
    <w:rsid w:val="2DD5AC00"/>
    <w:rsid w:val="2DD63C00"/>
    <w:rsid w:val="2DDF2A78"/>
    <w:rsid w:val="2DE07CCE"/>
    <w:rsid w:val="2DE27766"/>
    <w:rsid w:val="2DE2DD3B"/>
    <w:rsid w:val="2DECD89A"/>
    <w:rsid w:val="2DED2CAC"/>
    <w:rsid w:val="2DF1E12B"/>
    <w:rsid w:val="2DF2AE96"/>
    <w:rsid w:val="2DF3A705"/>
    <w:rsid w:val="2DF5B7DE"/>
    <w:rsid w:val="2DF92CD2"/>
    <w:rsid w:val="2E03B1F8"/>
    <w:rsid w:val="2E0D609D"/>
    <w:rsid w:val="2E0E5333"/>
    <w:rsid w:val="2E1372E5"/>
    <w:rsid w:val="2E156522"/>
    <w:rsid w:val="2E158D7E"/>
    <w:rsid w:val="2E23AAE5"/>
    <w:rsid w:val="2E375985"/>
    <w:rsid w:val="2E38C4D7"/>
    <w:rsid w:val="2E39F351"/>
    <w:rsid w:val="2E458B9F"/>
    <w:rsid w:val="2E4AF5C6"/>
    <w:rsid w:val="2E56AD2D"/>
    <w:rsid w:val="2E59893E"/>
    <w:rsid w:val="2E5E3EB3"/>
    <w:rsid w:val="2E6205D9"/>
    <w:rsid w:val="2E689890"/>
    <w:rsid w:val="2E68CCAC"/>
    <w:rsid w:val="2E6E0F73"/>
    <w:rsid w:val="2E75171E"/>
    <w:rsid w:val="2E795EE5"/>
    <w:rsid w:val="2E7974B2"/>
    <w:rsid w:val="2E7D4208"/>
    <w:rsid w:val="2E86D1A1"/>
    <w:rsid w:val="2E881D4B"/>
    <w:rsid w:val="2E884A70"/>
    <w:rsid w:val="2E8CA488"/>
    <w:rsid w:val="2E8CB29A"/>
    <w:rsid w:val="2E96076C"/>
    <w:rsid w:val="2E9B97EB"/>
    <w:rsid w:val="2E9D1244"/>
    <w:rsid w:val="2EA62113"/>
    <w:rsid w:val="2EB5F298"/>
    <w:rsid w:val="2EC0C71B"/>
    <w:rsid w:val="2EC10583"/>
    <w:rsid w:val="2EC20817"/>
    <w:rsid w:val="2EC2369D"/>
    <w:rsid w:val="2EC618B5"/>
    <w:rsid w:val="2ED76E7D"/>
    <w:rsid w:val="2EDB76CE"/>
    <w:rsid w:val="2EDE6221"/>
    <w:rsid w:val="2EE20E11"/>
    <w:rsid w:val="2EE6B933"/>
    <w:rsid w:val="2EE702FA"/>
    <w:rsid w:val="2EE810B3"/>
    <w:rsid w:val="2EE88E03"/>
    <w:rsid w:val="2EE9565E"/>
    <w:rsid w:val="2EE97CB5"/>
    <w:rsid w:val="2EF2C14F"/>
    <w:rsid w:val="2EF2FA0E"/>
    <w:rsid w:val="2EF7C9C2"/>
    <w:rsid w:val="2EFBAA76"/>
    <w:rsid w:val="2EFD3634"/>
    <w:rsid w:val="2F003E27"/>
    <w:rsid w:val="2F0B23CE"/>
    <w:rsid w:val="2F125464"/>
    <w:rsid w:val="2F1A0531"/>
    <w:rsid w:val="2F1BD9D5"/>
    <w:rsid w:val="2F1E3FD3"/>
    <w:rsid w:val="2F207594"/>
    <w:rsid w:val="2F207818"/>
    <w:rsid w:val="2F21DD35"/>
    <w:rsid w:val="2F2E8D2B"/>
    <w:rsid w:val="2F30163E"/>
    <w:rsid w:val="2F37CA26"/>
    <w:rsid w:val="2F3A6104"/>
    <w:rsid w:val="2F4305F6"/>
    <w:rsid w:val="2F43F243"/>
    <w:rsid w:val="2F472D6D"/>
    <w:rsid w:val="2F4CE2CE"/>
    <w:rsid w:val="2F523E50"/>
    <w:rsid w:val="2F53BF84"/>
    <w:rsid w:val="2F5A4EBB"/>
    <w:rsid w:val="2F6A2574"/>
    <w:rsid w:val="2F7165B0"/>
    <w:rsid w:val="2F725A2F"/>
    <w:rsid w:val="2F7576FF"/>
    <w:rsid w:val="2F77BBEC"/>
    <w:rsid w:val="2F795D5C"/>
    <w:rsid w:val="2F79A34C"/>
    <w:rsid w:val="2F7B2C4D"/>
    <w:rsid w:val="2F7F24C5"/>
    <w:rsid w:val="2F7F67D8"/>
    <w:rsid w:val="2F853039"/>
    <w:rsid w:val="2F857046"/>
    <w:rsid w:val="2F8894ED"/>
    <w:rsid w:val="2F8FD35C"/>
    <w:rsid w:val="2F972A65"/>
    <w:rsid w:val="2FA7D130"/>
    <w:rsid w:val="2FAA3F87"/>
    <w:rsid w:val="2FB583E4"/>
    <w:rsid w:val="2FB6A371"/>
    <w:rsid w:val="2FB950F4"/>
    <w:rsid w:val="2FB9E3DB"/>
    <w:rsid w:val="2FBFA089"/>
    <w:rsid w:val="2FC060C7"/>
    <w:rsid w:val="2FC8EBAF"/>
    <w:rsid w:val="2FD546E7"/>
    <w:rsid w:val="2FD567D0"/>
    <w:rsid w:val="2FDCFE0D"/>
    <w:rsid w:val="2FDF7E65"/>
    <w:rsid w:val="2FE1F165"/>
    <w:rsid w:val="2FE75DB9"/>
    <w:rsid w:val="2FEB86BF"/>
    <w:rsid w:val="2FF1FF7E"/>
    <w:rsid w:val="2FF5E471"/>
    <w:rsid w:val="2FF69D9F"/>
    <w:rsid w:val="2FFA0D80"/>
    <w:rsid w:val="2FFF5EBC"/>
    <w:rsid w:val="3004735C"/>
    <w:rsid w:val="300FBD01"/>
    <w:rsid w:val="3010BD81"/>
    <w:rsid w:val="301E14A2"/>
    <w:rsid w:val="3024DE02"/>
    <w:rsid w:val="3028E481"/>
    <w:rsid w:val="302C6C30"/>
    <w:rsid w:val="3032DB3C"/>
    <w:rsid w:val="30338B0E"/>
    <w:rsid w:val="30349689"/>
    <w:rsid w:val="30355326"/>
    <w:rsid w:val="303699B3"/>
    <w:rsid w:val="303829E5"/>
    <w:rsid w:val="30396073"/>
    <w:rsid w:val="30456490"/>
    <w:rsid w:val="304AA09B"/>
    <w:rsid w:val="304C0B63"/>
    <w:rsid w:val="304E1F10"/>
    <w:rsid w:val="305190FD"/>
    <w:rsid w:val="3052817E"/>
    <w:rsid w:val="3055DCD2"/>
    <w:rsid w:val="3058186B"/>
    <w:rsid w:val="305E5A37"/>
    <w:rsid w:val="305FCEFB"/>
    <w:rsid w:val="30638968"/>
    <w:rsid w:val="30655D83"/>
    <w:rsid w:val="306612CB"/>
    <w:rsid w:val="3068B77F"/>
    <w:rsid w:val="306E3D18"/>
    <w:rsid w:val="306E7A28"/>
    <w:rsid w:val="308210F1"/>
    <w:rsid w:val="30858E12"/>
    <w:rsid w:val="3089553E"/>
    <w:rsid w:val="308B2871"/>
    <w:rsid w:val="308B670C"/>
    <w:rsid w:val="308D2529"/>
    <w:rsid w:val="308DF41F"/>
    <w:rsid w:val="30945279"/>
    <w:rsid w:val="3099418F"/>
    <w:rsid w:val="30A33EA8"/>
    <w:rsid w:val="30A4B02C"/>
    <w:rsid w:val="30A81B2F"/>
    <w:rsid w:val="30AC84AA"/>
    <w:rsid w:val="30AD0E94"/>
    <w:rsid w:val="30ADF782"/>
    <w:rsid w:val="30B02578"/>
    <w:rsid w:val="30B5A782"/>
    <w:rsid w:val="30B9C456"/>
    <w:rsid w:val="30BCC894"/>
    <w:rsid w:val="30C1EB1E"/>
    <w:rsid w:val="30C220DE"/>
    <w:rsid w:val="30C68790"/>
    <w:rsid w:val="30CCB67F"/>
    <w:rsid w:val="30CD8C7C"/>
    <w:rsid w:val="30D202D8"/>
    <w:rsid w:val="30D3860D"/>
    <w:rsid w:val="30D3E3A1"/>
    <w:rsid w:val="30D78299"/>
    <w:rsid w:val="30DDDE9C"/>
    <w:rsid w:val="30E8AB19"/>
    <w:rsid w:val="30EB1C53"/>
    <w:rsid w:val="30EB43E7"/>
    <w:rsid w:val="30EC9DE7"/>
    <w:rsid w:val="30ECE661"/>
    <w:rsid w:val="30F8B076"/>
    <w:rsid w:val="3100C59D"/>
    <w:rsid w:val="3104B012"/>
    <w:rsid w:val="3105CEBB"/>
    <w:rsid w:val="31066468"/>
    <w:rsid w:val="31097235"/>
    <w:rsid w:val="31160C6D"/>
    <w:rsid w:val="311A2CE9"/>
    <w:rsid w:val="311F5453"/>
    <w:rsid w:val="3124C559"/>
    <w:rsid w:val="3128472B"/>
    <w:rsid w:val="312B096A"/>
    <w:rsid w:val="3134E1FA"/>
    <w:rsid w:val="313CA661"/>
    <w:rsid w:val="314E821D"/>
    <w:rsid w:val="314ED487"/>
    <w:rsid w:val="3151A922"/>
    <w:rsid w:val="31520415"/>
    <w:rsid w:val="31644BB7"/>
    <w:rsid w:val="3164ACE2"/>
    <w:rsid w:val="3169F81D"/>
    <w:rsid w:val="316B216E"/>
    <w:rsid w:val="316B358F"/>
    <w:rsid w:val="316BAD15"/>
    <w:rsid w:val="316D151D"/>
    <w:rsid w:val="316F1036"/>
    <w:rsid w:val="31753A20"/>
    <w:rsid w:val="3176721F"/>
    <w:rsid w:val="3178352F"/>
    <w:rsid w:val="317A89CE"/>
    <w:rsid w:val="317D07A6"/>
    <w:rsid w:val="317ECF45"/>
    <w:rsid w:val="3182018A"/>
    <w:rsid w:val="3182CBC9"/>
    <w:rsid w:val="3186B5B3"/>
    <w:rsid w:val="3188D387"/>
    <w:rsid w:val="318C1444"/>
    <w:rsid w:val="319AFC2B"/>
    <w:rsid w:val="31A0B79A"/>
    <w:rsid w:val="31A26CEB"/>
    <w:rsid w:val="31A2DE21"/>
    <w:rsid w:val="31A5DF50"/>
    <w:rsid w:val="31A8FFEF"/>
    <w:rsid w:val="31A91728"/>
    <w:rsid w:val="31B12859"/>
    <w:rsid w:val="31B3A7CF"/>
    <w:rsid w:val="31B5E880"/>
    <w:rsid w:val="31B8B5CE"/>
    <w:rsid w:val="31BAF805"/>
    <w:rsid w:val="31C025DA"/>
    <w:rsid w:val="31D4FDA3"/>
    <w:rsid w:val="31DD4228"/>
    <w:rsid w:val="31EB9118"/>
    <w:rsid w:val="31ECE528"/>
    <w:rsid w:val="31F04A34"/>
    <w:rsid w:val="31F10EDA"/>
    <w:rsid w:val="31F2E24F"/>
    <w:rsid w:val="31FA4F1F"/>
    <w:rsid w:val="3201DFDC"/>
    <w:rsid w:val="320255E7"/>
    <w:rsid w:val="320620D5"/>
    <w:rsid w:val="32063398"/>
    <w:rsid w:val="320D0A5A"/>
    <w:rsid w:val="32139D69"/>
    <w:rsid w:val="321B6868"/>
    <w:rsid w:val="321C7F53"/>
    <w:rsid w:val="322670A3"/>
    <w:rsid w:val="322A600B"/>
    <w:rsid w:val="3230A1D8"/>
    <w:rsid w:val="3230B89E"/>
    <w:rsid w:val="3232D784"/>
    <w:rsid w:val="32385E40"/>
    <w:rsid w:val="32395FC2"/>
    <w:rsid w:val="323B73E9"/>
    <w:rsid w:val="323D13CD"/>
    <w:rsid w:val="3240CFAE"/>
    <w:rsid w:val="324C0EEA"/>
    <w:rsid w:val="324DEB08"/>
    <w:rsid w:val="325AC11D"/>
    <w:rsid w:val="32641775"/>
    <w:rsid w:val="326B30CE"/>
    <w:rsid w:val="326C5C07"/>
    <w:rsid w:val="326D3F4E"/>
    <w:rsid w:val="326ED521"/>
    <w:rsid w:val="326F7375"/>
    <w:rsid w:val="32730136"/>
    <w:rsid w:val="327D11AD"/>
    <w:rsid w:val="327E880C"/>
    <w:rsid w:val="327EB866"/>
    <w:rsid w:val="32810026"/>
    <w:rsid w:val="32864F09"/>
    <w:rsid w:val="32886AD7"/>
    <w:rsid w:val="32886C93"/>
    <w:rsid w:val="328981EB"/>
    <w:rsid w:val="3293331A"/>
    <w:rsid w:val="32947B11"/>
    <w:rsid w:val="329BF73F"/>
    <w:rsid w:val="329EBC66"/>
    <w:rsid w:val="329F7303"/>
    <w:rsid w:val="32A17D73"/>
    <w:rsid w:val="32A7C5A4"/>
    <w:rsid w:val="32ABB6F8"/>
    <w:rsid w:val="32AF9A64"/>
    <w:rsid w:val="32B0BF29"/>
    <w:rsid w:val="32B20202"/>
    <w:rsid w:val="32B46FC9"/>
    <w:rsid w:val="32B639FB"/>
    <w:rsid w:val="32C265B1"/>
    <w:rsid w:val="32C50A21"/>
    <w:rsid w:val="32C8DEFE"/>
    <w:rsid w:val="32D15B89"/>
    <w:rsid w:val="32D84DD4"/>
    <w:rsid w:val="32DA10A0"/>
    <w:rsid w:val="32DD5FDF"/>
    <w:rsid w:val="32DD912D"/>
    <w:rsid w:val="32E574E5"/>
    <w:rsid w:val="32E75793"/>
    <w:rsid w:val="32EAD4A4"/>
    <w:rsid w:val="32EEE4CB"/>
    <w:rsid w:val="32F62DD8"/>
    <w:rsid w:val="32FD60B5"/>
    <w:rsid w:val="32FEAE3A"/>
    <w:rsid w:val="32FF2020"/>
    <w:rsid w:val="3303AB0C"/>
    <w:rsid w:val="33065BFE"/>
    <w:rsid w:val="330EDD35"/>
    <w:rsid w:val="331B5B08"/>
    <w:rsid w:val="331B6F9A"/>
    <w:rsid w:val="331BA158"/>
    <w:rsid w:val="331DCD87"/>
    <w:rsid w:val="331DE312"/>
    <w:rsid w:val="331F51AC"/>
    <w:rsid w:val="3321EC8B"/>
    <w:rsid w:val="33233DC7"/>
    <w:rsid w:val="33291026"/>
    <w:rsid w:val="3329F3C0"/>
    <w:rsid w:val="332B5A8E"/>
    <w:rsid w:val="332E3576"/>
    <w:rsid w:val="33333D40"/>
    <w:rsid w:val="334417AA"/>
    <w:rsid w:val="33460FF3"/>
    <w:rsid w:val="334CD2F5"/>
    <w:rsid w:val="334DCED9"/>
    <w:rsid w:val="3351E78A"/>
    <w:rsid w:val="3353275F"/>
    <w:rsid w:val="335A02EA"/>
    <w:rsid w:val="335AC0AE"/>
    <w:rsid w:val="3364B199"/>
    <w:rsid w:val="336971FE"/>
    <w:rsid w:val="336B1E89"/>
    <w:rsid w:val="336EC550"/>
    <w:rsid w:val="336F3880"/>
    <w:rsid w:val="3373BDB6"/>
    <w:rsid w:val="33763163"/>
    <w:rsid w:val="33775BCB"/>
    <w:rsid w:val="338142C6"/>
    <w:rsid w:val="33820F88"/>
    <w:rsid w:val="3388B09D"/>
    <w:rsid w:val="338920EE"/>
    <w:rsid w:val="338FF3C7"/>
    <w:rsid w:val="3390E1C2"/>
    <w:rsid w:val="3395F04E"/>
    <w:rsid w:val="33A0951D"/>
    <w:rsid w:val="33A28DE0"/>
    <w:rsid w:val="33A356DA"/>
    <w:rsid w:val="33B1F0BF"/>
    <w:rsid w:val="33B343B1"/>
    <w:rsid w:val="33B85C2E"/>
    <w:rsid w:val="33B8C230"/>
    <w:rsid w:val="33C0566C"/>
    <w:rsid w:val="33C9F70C"/>
    <w:rsid w:val="33CE3EE8"/>
    <w:rsid w:val="33CEEC05"/>
    <w:rsid w:val="33D3D805"/>
    <w:rsid w:val="33D3DDFA"/>
    <w:rsid w:val="33E9BE07"/>
    <w:rsid w:val="33F0FF64"/>
    <w:rsid w:val="33F5AB87"/>
    <w:rsid w:val="33F6F721"/>
    <w:rsid w:val="3401D12C"/>
    <w:rsid w:val="3409D4D8"/>
    <w:rsid w:val="340CE1C0"/>
    <w:rsid w:val="341602A1"/>
    <w:rsid w:val="3423288E"/>
    <w:rsid w:val="3423577A"/>
    <w:rsid w:val="342C1C8D"/>
    <w:rsid w:val="342DA58A"/>
    <w:rsid w:val="34311462"/>
    <w:rsid w:val="34343BE6"/>
    <w:rsid w:val="343B525A"/>
    <w:rsid w:val="3441B76E"/>
    <w:rsid w:val="34462035"/>
    <w:rsid w:val="344988A9"/>
    <w:rsid w:val="344BE91B"/>
    <w:rsid w:val="34599C5B"/>
    <w:rsid w:val="345A6FE4"/>
    <w:rsid w:val="34721F15"/>
    <w:rsid w:val="34790DAB"/>
    <w:rsid w:val="347EFD68"/>
    <w:rsid w:val="34821151"/>
    <w:rsid w:val="34837797"/>
    <w:rsid w:val="3484213F"/>
    <w:rsid w:val="348A4DF4"/>
    <w:rsid w:val="348B91B1"/>
    <w:rsid w:val="349D961B"/>
    <w:rsid w:val="349F8B64"/>
    <w:rsid w:val="34A19F3D"/>
    <w:rsid w:val="34A36052"/>
    <w:rsid w:val="34ADE238"/>
    <w:rsid w:val="34AFF0B6"/>
    <w:rsid w:val="34BFA01D"/>
    <w:rsid w:val="34C5133B"/>
    <w:rsid w:val="34CE0809"/>
    <w:rsid w:val="34D12842"/>
    <w:rsid w:val="34D12DC5"/>
    <w:rsid w:val="34D78360"/>
    <w:rsid w:val="34DC7CE0"/>
    <w:rsid w:val="34E3F2ED"/>
    <w:rsid w:val="34E44493"/>
    <w:rsid w:val="34ED3637"/>
    <w:rsid w:val="34F41D5C"/>
    <w:rsid w:val="34FD119D"/>
    <w:rsid w:val="35020701"/>
    <w:rsid w:val="35094707"/>
    <w:rsid w:val="350B29AF"/>
    <w:rsid w:val="350F3D58"/>
    <w:rsid w:val="350FFD4A"/>
    <w:rsid w:val="35155D15"/>
    <w:rsid w:val="351BBDC7"/>
    <w:rsid w:val="351CD61C"/>
    <w:rsid w:val="35228203"/>
    <w:rsid w:val="35241DA3"/>
    <w:rsid w:val="352726ED"/>
    <w:rsid w:val="3527F2B1"/>
    <w:rsid w:val="35298695"/>
    <w:rsid w:val="35369B08"/>
    <w:rsid w:val="353B1FA2"/>
    <w:rsid w:val="353EB23E"/>
    <w:rsid w:val="3540FF0B"/>
    <w:rsid w:val="3547F325"/>
    <w:rsid w:val="35504858"/>
    <w:rsid w:val="35671DB9"/>
    <w:rsid w:val="35687570"/>
    <w:rsid w:val="356DE4B8"/>
    <w:rsid w:val="35753E0B"/>
    <w:rsid w:val="357C68A4"/>
    <w:rsid w:val="357D3F19"/>
    <w:rsid w:val="358DA993"/>
    <w:rsid w:val="3594D2A0"/>
    <w:rsid w:val="359ADF93"/>
    <w:rsid w:val="359EFD12"/>
    <w:rsid w:val="35A32BA1"/>
    <w:rsid w:val="35A4ABD2"/>
    <w:rsid w:val="35A6E50B"/>
    <w:rsid w:val="35A97A25"/>
    <w:rsid w:val="35AE3219"/>
    <w:rsid w:val="35AEDD3E"/>
    <w:rsid w:val="35B3D95B"/>
    <w:rsid w:val="35B698BE"/>
    <w:rsid w:val="35B72EF8"/>
    <w:rsid w:val="35B8B00E"/>
    <w:rsid w:val="35BB0D2D"/>
    <w:rsid w:val="35BD30AF"/>
    <w:rsid w:val="35BF8A51"/>
    <w:rsid w:val="35C3B94D"/>
    <w:rsid w:val="35CE5E42"/>
    <w:rsid w:val="35D0A3A9"/>
    <w:rsid w:val="35D15D52"/>
    <w:rsid w:val="35D32AED"/>
    <w:rsid w:val="35DA0EFD"/>
    <w:rsid w:val="35DD3168"/>
    <w:rsid w:val="35E35421"/>
    <w:rsid w:val="35E5922C"/>
    <w:rsid w:val="35EE579D"/>
    <w:rsid w:val="35EF8A9D"/>
    <w:rsid w:val="35F82B02"/>
    <w:rsid w:val="35F87FBA"/>
    <w:rsid w:val="35FD1ACF"/>
    <w:rsid w:val="35FE4AE8"/>
    <w:rsid w:val="35FE99F4"/>
    <w:rsid w:val="360A1180"/>
    <w:rsid w:val="360B552C"/>
    <w:rsid w:val="3612637F"/>
    <w:rsid w:val="36135713"/>
    <w:rsid w:val="36152119"/>
    <w:rsid w:val="361766EC"/>
    <w:rsid w:val="3617EE74"/>
    <w:rsid w:val="36182B32"/>
    <w:rsid w:val="3619F15E"/>
    <w:rsid w:val="36208EA4"/>
    <w:rsid w:val="3622E2ED"/>
    <w:rsid w:val="3623D398"/>
    <w:rsid w:val="36326236"/>
    <w:rsid w:val="3632CB12"/>
    <w:rsid w:val="3636557F"/>
    <w:rsid w:val="363852E9"/>
    <w:rsid w:val="363853CC"/>
    <w:rsid w:val="363B844F"/>
    <w:rsid w:val="36411AF5"/>
    <w:rsid w:val="364C6554"/>
    <w:rsid w:val="364D5B2D"/>
    <w:rsid w:val="364EB259"/>
    <w:rsid w:val="36510457"/>
    <w:rsid w:val="365356CE"/>
    <w:rsid w:val="3657B682"/>
    <w:rsid w:val="365C3F1C"/>
    <w:rsid w:val="365FDF37"/>
    <w:rsid w:val="367831DF"/>
    <w:rsid w:val="3679BA5E"/>
    <w:rsid w:val="367DCBE7"/>
    <w:rsid w:val="36810935"/>
    <w:rsid w:val="36823FCF"/>
    <w:rsid w:val="36851A99"/>
    <w:rsid w:val="3685941C"/>
    <w:rsid w:val="3689FE6A"/>
    <w:rsid w:val="368B8FB3"/>
    <w:rsid w:val="368C05DE"/>
    <w:rsid w:val="36921F1F"/>
    <w:rsid w:val="369CCB76"/>
    <w:rsid w:val="369F05B5"/>
    <w:rsid w:val="36A2C13C"/>
    <w:rsid w:val="36A3639A"/>
    <w:rsid w:val="36A72372"/>
    <w:rsid w:val="36A8C264"/>
    <w:rsid w:val="36AA9C0A"/>
    <w:rsid w:val="36AACCD3"/>
    <w:rsid w:val="36B2D473"/>
    <w:rsid w:val="36B4259E"/>
    <w:rsid w:val="36C04E36"/>
    <w:rsid w:val="36C18BE6"/>
    <w:rsid w:val="36C6648E"/>
    <w:rsid w:val="36C829E2"/>
    <w:rsid w:val="36CDE22F"/>
    <w:rsid w:val="36D21E1A"/>
    <w:rsid w:val="36D7A61F"/>
    <w:rsid w:val="36DA0E3B"/>
    <w:rsid w:val="36DE4029"/>
    <w:rsid w:val="36E71756"/>
    <w:rsid w:val="36E97F59"/>
    <w:rsid w:val="36EC1D51"/>
    <w:rsid w:val="36EE6DBE"/>
    <w:rsid w:val="36EEFD23"/>
    <w:rsid w:val="36F2D00B"/>
    <w:rsid w:val="36F49EDC"/>
    <w:rsid w:val="36F68655"/>
    <w:rsid w:val="3701133D"/>
    <w:rsid w:val="3705155E"/>
    <w:rsid w:val="3709F650"/>
    <w:rsid w:val="370CBF97"/>
    <w:rsid w:val="3712298D"/>
    <w:rsid w:val="371743C8"/>
    <w:rsid w:val="371FA465"/>
    <w:rsid w:val="372322F4"/>
    <w:rsid w:val="372AF61C"/>
    <w:rsid w:val="372C013F"/>
    <w:rsid w:val="373005EB"/>
    <w:rsid w:val="37313F32"/>
    <w:rsid w:val="3733DCEB"/>
    <w:rsid w:val="373F750C"/>
    <w:rsid w:val="3743368D"/>
    <w:rsid w:val="374B347F"/>
    <w:rsid w:val="374BBF6F"/>
    <w:rsid w:val="374EA026"/>
    <w:rsid w:val="375E2636"/>
    <w:rsid w:val="376B3325"/>
    <w:rsid w:val="376EAE38"/>
    <w:rsid w:val="377A2AC1"/>
    <w:rsid w:val="377B40AD"/>
    <w:rsid w:val="378EE58F"/>
    <w:rsid w:val="3794AD24"/>
    <w:rsid w:val="37971E9B"/>
    <w:rsid w:val="37984576"/>
    <w:rsid w:val="379E7DE5"/>
    <w:rsid w:val="37A7E1BC"/>
    <w:rsid w:val="37A978EA"/>
    <w:rsid w:val="37AB1FE9"/>
    <w:rsid w:val="37ABB787"/>
    <w:rsid w:val="37B34994"/>
    <w:rsid w:val="37C2A48E"/>
    <w:rsid w:val="37CC9BB8"/>
    <w:rsid w:val="37D13748"/>
    <w:rsid w:val="37D35937"/>
    <w:rsid w:val="37D63E43"/>
    <w:rsid w:val="37D797F5"/>
    <w:rsid w:val="37D9924E"/>
    <w:rsid w:val="37E510E8"/>
    <w:rsid w:val="37EF843A"/>
    <w:rsid w:val="37F7AAFD"/>
    <w:rsid w:val="37F93F19"/>
    <w:rsid w:val="3801CE32"/>
    <w:rsid w:val="3802DB61"/>
    <w:rsid w:val="3806001F"/>
    <w:rsid w:val="38063271"/>
    <w:rsid w:val="380A66A3"/>
    <w:rsid w:val="380C6FA2"/>
    <w:rsid w:val="380DB5A4"/>
    <w:rsid w:val="3818D6A9"/>
    <w:rsid w:val="381978E3"/>
    <w:rsid w:val="381BB192"/>
    <w:rsid w:val="381EC7E4"/>
    <w:rsid w:val="38237041"/>
    <w:rsid w:val="38276A05"/>
    <w:rsid w:val="3828FFBF"/>
    <w:rsid w:val="38294B27"/>
    <w:rsid w:val="38352DB3"/>
    <w:rsid w:val="3838A781"/>
    <w:rsid w:val="38451E97"/>
    <w:rsid w:val="384554E3"/>
    <w:rsid w:val="3848F354"/>
    <w:rsid w:val="38599CEC"/>
    <w:rsid w:val="385BB100"/>
    <w:rsid w:val="386032D7"/>
    <w:rsid w:val="38605DEC"/>
    <w:rsid w:val="38630BC6"/>
    <w:rsid w:val="3864861F"/>
    <w:rsid w:val="38663FD3"/>
    <w:rsid w:val="3868D66A"/>
    <w:rsid w:val="386D049F"/>
    <w:rsid w:val="3873917E"/>
    <w:rsid w:val="387D46A3"/>
    <w:rsid w:val="387EBBA2"/>
    <w:rsid w:val="38803772"/>
    <w:rsid w:val="38815F4E"/>
    <w:rsid w:val="3881FCBA"/>
    <w:rsid w:val="3884DC8A"/>
    <w:rsid w:val="3886FFC3"/>
    <w:rsid w:val="388756AA"/>
    <w:rsid w:val="388BF043"/>
    <w:rsid w:val="388ED9FB"/>
    <w:rsid w:val="38966579"/>
    <w:rsid w:val="389CE3E3"/>
    <w:rsid w:val="38A1AD67"/>
    <w:rsid w:val="38A239AC"/>
    <w:rsid w:val="38A402FD"/>
    <w:rsid w:val="38A8EB75"/>
    <w:rsid w:val="38B1278F"/>
    <w:rsid w:val="38B13025"/>
    <w:rsid w:val="38BC7400"/>
    <w:rsid w:val="38BC9505"/>
    <w:rsid w:val="38C4D24A"/>
    <w:rsid w:val="38CD1F86"/>
    <w:rsid w:val="38D63F38"/>
    <w:rsid w:val="38DE6D83"/>
    <w:rsid w:val="38E05188"/>
    <w:rsid w:val="38E08729"/>
    <w:rsid w:val="38E2FF38"/>
    <w:rsid w:val="38EBA2FF"/>
    <w:rsid w:val="38EF009D"/>
    <w:rsid w:val="38F40A4B"/>
    <w:rsid w:val="38FDCFA1"/>
    <w:rsid w:val="38FE4971"/>
    <w:rsid w:val="38FEA636"/>
    <w:rsid w:val="3900A4C7"/>
    <w:rsid w:val="39041AEB"/>
    <w:rsid w:val="390E8F1B"/>
    <w:rsid w:val="390F94AE"/>
    <w:rsid w:val="39100749"/>
    <w:rsid w:val="391C8D95"/>
    <w:rsid w:val="391CDFD3"/>
    <w:rsid w:val="391DAAE3"/>
    <w:rsid w:val="3922BA30"/>
    <w:rsid w:val="3929EA54"/>
    <w:rsid w:val="392CAC78"/>
    <w:rsid w:val="393801B5"/>
    <w:rsid w:val="39428774"/>
    <w:rsid w:val="3942E1C4"/>
    <w:rsid w:val="3946E1EF"/>
    <w:rsid w:val="3954B3AA"/>
    <w:rsid w:val="395798C2"/>
    <w:rsid w:val="3957F1D1"/>
    <w:rsid w:val="39588E14"/>
    <w:rsid w:val="39695764"/>
    <w:rsid w:val="396D7913"/>
    <w:rsid w:val="39702AD5"/>
    <w:rsid w:val="39703324"/>
    <w:rsid w:val="39768A9F"/>
    <w:rsid w:val="397F24CA"/>
    <w:rsid w:val="398346BE"/>
    <w:rsid w:val="3989015E"/>
    <w:rsid w:val="3989A673"/>
    <w:rsid w:val="398DE89D"/>
    <w:rsid w:val="399C3945"/>
    <w:rsid w:val="39A84AFB"/>
    <w:rsid w:val="39A91E95"/>
    <w:rsid w:val="39AA5FA6"/>
    <w:rsid w:val="39B051F4"/>
    <w:rsid w:val="39BE30D5"/>
    <w:rsid w:val="39BED186"/>
    <w:rsid w:val="39BF1190"/>
    <w:rsid w:val="39C02ED1"/>
    <w:rsid w:val="39CC44CC"/>
    <w:rsid w:val="39DA83D7"/>
    <w:rsid w:val="39DD0D3D"/>
    <w:rsid w:val="39E126EE"/>
    <w:rsid w:val="39E1EDBB"/>
    <w:rsid w:val="39E408D0"/>
    <w:rsid w:val="39E6204E"/>
    <w:rsid w:val="39E7FA69"/>
    <w:rsid w:val="39E90719"/>
    <w:rsid w:val="39F49C76"/>
    <w:rsid w:val="39F6EC99"/>
    <w:rsid w:val="39F6FFD8"/>
    <w:rsid w:val="39FAC7D6"/>
    <w:rsid w:val="39FEBE35"/>
    <w:rsid w:val="3A00F6CD"/>
    <w:rsid w:val="3A024A3A"/>
    <w:rsid w:val="3A029F19"/>
    <w:rsid w:val="3A0DE8C4"/>
    <w:rsid w:val="3A150B0A"/>
    <w:rsid w:val="3A17D3BA"/>
    <w:rsid w:val="3A19BC3A"/>
    <w:rsid w:val="3A1FC925"/>
    <w:rsid w:val="3A20CD3A"/>
    <w:rsid w:val="3A25DB99"/>
    <w:rsid w:val="3A32A945"/>
    <w:rsid w:val="3A33190C"/>
    <w:rsid w:val="3A381912"/>
    <w:rsid w:val="3A3994CC"/>
    <w:rsid w:val="3A3ACCB1"/>
    <w:rsid w:val="3A3C3026"/>
    <w:rsid w:val="3A3FB19D"/>
    <w:rsid w:val="3A43C943"/>
    <w:rsid w:val="3A48BA84"/>
    <w:rsid w:val="3A58FB6B"/>
    <w:rsid w:val="3A5CAB2C"/>
    <w:rsid w:val="3A67853D"/>
    <w:rsid w:val="3A75F8D7"/>
    <w:rsid w:val="3A7C59CA"/>
    <w:rsid w:val="3A7D24B8"/>
    <w:rsid w:val="3A810984"/>
    <w:rsid w:val="3A85C419"/>
    <w:rsid w:val="3A876CAA"/>
    <w:rsid w:val="3A87FEE6"/>
    <w:rsid w:val="3A8EC0F6"/>
    <w:rsid w:val="3A905012"/>
    <w:rsid w:val="3A92074B"/>
    <w:rsid w:val="3A931C45"/>
    <w:rsid w:val="3A96A0D8"/>
    <w:rsid w:val="3A99CBAB"/>
    <w:rsid w:val="3A9B2E35"/>
    <w:rsid w:val="3A9B8D7B"/>
    <w:rsid w:val="3AA03D0A"/>
    <w:rsid w:val="3AA12EBE"/>
    <w:rsid w:val="3AA7638F"/>
    <w:rsid w:val="3AA895FB"/>
    <w:rsid w:val="3AA94FEB"/>
    <w:rsid w:val="3AAB19DB"/>
    <w:rsid w:val="3AAB94A6"/>
    <w:rsid w:val="3AB00415"/>
    <w:rsid w:val="3AB17BAA"/>
    <w:rsid w:val="3AB2DF09"/>
    <w:rsid w:val="3AB3A596"/>
    <w:rsid w:val="3AB5F8F4"/>
    <w:rsid w:val="3ABD460D"/>
    <w:rsid w:val="3ACDD445"/>
    <w:rsid w:val="3AD25E53"/>
    <w:rsid w:val="3ADCD5B8"/>
    <w:rsid w:val="3ADF106A"/>
    <w:rsid w:val="3AE0D110"/>
    <w:rsid w:val="3AE4044D"/>
    <w:rsid w:val="3AEDD2DD"/>
    <w:rsid w:val="3AEFB55D"/>
    <w:rsid w:val="3AF03D65"/>
    <w:rsid w:val="3AF90FAB"/>
    <w:rsid w:val="3AF9E9E6"/>
    <w:rsid w:val="3AF9EE52"/>
    <w:rsid w:val="3AFD3599"/>
    <w:rsid w:val="3B00818B"/>
    <w:rsid w:val="3B17CF5F"/>
    <w:rsid w:val="3B1F5353"/>
    <w:rsid w:val="3B243AD8"/>
    <w:rsid w:val="3B2588B1"/>
    <w:rsid w:val="3B3131C5"/>
    <w:rsid w:val="3B3A2E44"/>
    <w:rsid w:val="3B401BD0"/>
    <w:rsid w:val="3B424CEA"/>
    <w:rsid w:val="3B460053"/>
    <w:rsid w:val="3B4F30EC"/>
    <w:rsid w:val="3B57E807"/>
    <w:rsid w:val="3B5C2568"/>
    <w:rsid w:val="3B657224"/>
    <w:rsid w:val="3B696616"/>
    <w:rsid w:val="3B6B3473"/>
    <w:rsid w:val="3B6CB329"/>
    <w:rsid w:val="3B6FDD61"/>
    <w:rsid w:val="3B72B1EF"/>
    <w:rsid w:val="3B7A4554"/>
    <w:rsid w:val="3B7BC4D0"/>
    <w:rsid w:val="3B88DC7F"/>
    <w:rsid w:val="3B898474"/>
    <w:rsid w:val="3B8A084A"/>
    <w:rsid w:val="3B8DE57D"/>
    <w:rsid w:val="3B8F4CA4"/>
    <w:rsid w:val="3B98703E"/>
    <w:rsid w:val="3B9C6673"/>
    <w:rsid w:val="3BA71CFE"/>
    <w:rsid w:val="3BA740AB"/>
    <w:rsid w:val="3BAAF8C4"/>
    <w:rsid w:val="3BAB1F29"/>
    <w:rsid w:val="3BAC017E"/>
    <w:rsid w:val="3BAC65C5"/>
    <w:rsid w:val="3BAE389F"/>
    <w:rsid w:val="3BB0A1FF"/>
    <w:rsid w:val="3BB5BCB7"/>
    <w:rsid w:val="3BB77B55"/>
    <w:rsid w:val="3BB96E8D"/>
    <w:rsid w:val="3BB9DFF9"/>
    <w:rsid w:val="3BBE54B8"/>
    <w:rsid w:val="3BC5A370"/>
    <w:rsid w:val="3BC79ECC"/>
    <w:rsid w:val="3BC97DC6"/>
    <w:rsid w:val="3BCBAE7F"/>
    <w:rsid w:val="3BCD9969"/>
    <w:rsid w:val="3BDA9C85"/>
    <w:rsid w:val="3BDE4C88"/>
    <w:rsid w:val="3BE42386"/>
    <w:rsid w:val="3BE7F7D1"/>
    <w:rsid w:val="3BF3D16C"/>
    <w:rsid w:val="3BFACB92"/>
    <w:rsid w:val="3C035DF4"/>
    <w:rsid w:val="3C073CE8"/>
    <w:rsid w:val="3C08064D"/>
    <w:rsid w:val="3C093FB3"/>
    <w:rsid w:val="3C094F09"/>
    <w:rsid w:val="3C0CCE2C"/>
    <w:rsid w:val="3C142B4F"/>
    <w:rsid w:val="3C1562AD"/>
    <w:rsid w:val="3C1A84FE"/>
    <w:rsid w:val="3C1AF813"/>
    <w:rsid w:val="3C1CFE74"/>
    <w:rsid w:val="3C1FD1C3"/>
    <w:rsid w:val="3C27047D"/>
    <w:rsid w:val="3C2E0735"/>
    <w:rsid w:val="3C2FA122"/>
    <w:rsid w:val="3C317AF4"/>
    <w:rsid w:val="3C376443"/>
    <w:rsid w:val="3C3964D6"/>
    <w:rsid w:val="3C3EBB79"/>
    <w:rsid w:val="3C480423"/>
    <w:rsid w:val="3C4F9D7B"/>
    <w:rsid w:val="3C54B337"/>
    <w:rsid w:val="3C5AF521"/>
    <w:rsid w:val="3C5B4D48"/>
    <w:rsid w:val="3C5C51B7"/>
    <w:rsid w:val="3C6B3E1F"/>
    <w:rsid w:val="3C6FCD93"/>
    <w:rsid w:val="3C7BE910"/>
    <w:rsid w:val="3C7BF8F5"/>
    <w:rsid w:val="3C7E46D7"/>
    <w:rsid w:val="3C83BAE4"/>
    <w:rsid w:val="3C8F2724"/>
    <w:rsid w:val="3C94A70C"/>
    <w:rsid w:val="3C97627C"/>
    <w:rsid w:val="3C97E599"/>
    <w:rsid w:val="3C98F282"/>
    <w:rsid w:val="3C9925C7"/>
    <w:rsid w:val="3C9D55F9"/>
    <w:rsid w:val="3CA4EF91"/>
    <w:rsid w:val="3CA500C7"/>
    <w:rsid w:val="3CA55A8D"/>
    <w:rsid w:val="3CA68BDC"/>
    <w:rsid w:val="3CA7E2E9"/>
    <w:rsid w:val="3CB3EE12"/>
    <w:rsid w:val="3CB4B344"/>
    <w:rsid w:val="3CB76A5E"/>
    <w:rsid w:val="3CB7F5E7"/>
    <w:rsid w:val="3CBC295A"/>
    <w:rsid w:val="3CBD2D89"/>
    <w:rsid w:val="3CC0FDB5"/>
    <w:rsid w:val="3CCF410B"/>
    <w:rsid w:val="3CCF609C"/>
    <w:rsid w:val="3CDAC684"/>
    <w:rsid w:val="3CDD06DC"/>
    <w:rsid w:val="3CDD66CE"/>
    <w:rsid w:val="3CE036A0"/>
    <w:rsid w:val="3CE26CFC"/>
    <w:rsid w:val="3CE5B9B2"/>
    <w:rsid w:val="3CEF2144"/>
    <w:rsid w:val="3CEFB024"/>
    <w:rsid w:val="3CF5FBA6"/>
    <w:rsid w:val="3CF7D44C"/>
    <w:rsid w:val="3CFFED05"/>
    <w:rsid w:val="3D000966"/>
    <w:rsid w:val="3D0E1D07"/>
    <w:rsid w:val="3D0F790C"/>
    <w:rsid w:val="3D10458C"/>
    <w:rsid w:val="3D10A244"/>
    <w:rsid w:val="3D19F869"/>
    <w:rsid w:val="3D2444F4"/>
    <w:rsid w:val="3D281C49"/>
    <w:rsid w:val="3D2B613F"/>
    <w:rsid w:val="3D2D5783"/>
    <w:rsid w:val="3D32CA99"/>
    <w:rsid w:val="3D36BB33"/>
    <w:rsid w:val="3D38F804"/>
    <w:rsid w:val="3D3B4A32"/>
    <w:rsid w:val="3D3C6D67"/>
    <w:rsid w:val="3D48FDE8"/>
    <w:rsid w:val="3D4E1327"/>
    <w:rsid w:val="3D50FCAE"/>
    <w:rsid w:val="3D525EBC"/>
    <w:rsid w:val="3D570AAC"/>
    <w:rsid w:val="3D5AA17B"/>
    <w:rsid w:val="3D627807"/>
    <w:rsid w:val="3D670983"/>
    <w:rsid w:val="3D6F4344"/>
    <w:rsid w:val="3D74CAB6"/>
    <w:rsid w:val="3D8215F9"/>
    <w:rsid w:val="3D903CA1"/>
    <w:rsid w:val="3D93F0FA"/>
    <w:rsid w:val="3D975305"/>
    <w:rsid w:val="3D9A44A0"/>
    <w:rsid w:val="3DA41315"/>
    <w:rsid w:val="3DA4A566"/>
    <w:rsid w:val="3DA4F1F5"/>
    <w:rsid w:val="3DA94AB4"/>
    <w:rsid w:val="3DAABCA5"/>
    <w:rsid w:val="3DB06CFA"/>
    <w:rsid w:val="3DBD96CF"/>
    <w:rsid w:val="3DC0CB69"/>
    <w:rsid w:val="3DC50DC8"/>
    <w:rsid w:val="3DC751DB"/>
    <w:rsid w:val="3DC8AFF6"/>
    <w:rsid w:val="3DCB3184"/>
    <w:rsid w:val="3DD17C65"/>
    <w:rsid w:val="3DD360E7"/>
    <w:rsid w:val="3DD9B487"/>
    <w:rsid w:val="3DDD42E6"/>
    <w:rsid w:val="3DDDB0D2"/>
    <w:rsid w:val="3DE0E7C4"/>
    <w:rsid w:val="3DE6468D"/>
    <w:rsid w:val="3DE8C65D"/>
    <w:rsid w:val="3DEC4D38"/>
    <w:rsid w:val="3DFB78C4"/>
    <w:rsid w:val="3E0C11C3"/>
    <w:rsid w:val="3E0FCE83"/>
    <w:rsid w:val="3E11C2EA"/>
    <w:rsid w:val="3E18FD35"/>
    <w:rsid w:val="3E1BDA9E"/>
    <w:rsid w:val="3E1BDCCE"/>
    <w:rsid w:val="3E1DC7E8"/>
    <w:rsid w:val="3E1E705D"/>
    <w:rsid w:val="3E25942D"/>
    <w:rsid w:val="3E26FDB2"/>
    <w:rsid w:val="3E299411"/>
    <w:rsid w:val="3E30B2B6"/>
    <w:rsid w:val="3E38A696"/>
    <w:rsid w:val="3E3D63E7"/>
    <w:rsid w:val="3E3F67A1"/>
    <w:rsid w:val="3E456DAB"/>
    <w:rsid w:val="3E462FA9"/>
    <w:rsid w:val="3E4810AA"/>
    <w:rsid w:val="3E48C1CD"/>
    <w:rsid w:val="3E49260F"/>
    <w:rsid w:val="3E4B239A"/>
    <w:rsid w:val="3E524621"/>
    <w:rsid w:val="3E5867BF"/>
    <w:rsid w:val="3E5923B4"/>
    <w:rsid w:val="3E59C2ED"/>
    <w:rsid w:val="3E5B6E87"/>
    <w:rsid w:val="3E5B9BEA"/>
    <w:rsid w:val="3E617AFD"/>
    <w:rsid w:val="3E61C77B"/>
    <w:rsid w:val="3E664E15"/>
    <w:rsid w:val="3E6C88A2"/>
    <w:rsid w:val="3E71F03C"/>
    <w:rsid w:val="3E7E60B2"/>
    <w:rsid w:val="3E83A026"/>
    <w:rsid w:val="3E86B895"/>
    <w:rsid w:val="3E8B5719"/>
    <w:rsid w:val="3E91DDAC"/>
    <w:rsid w:val="3EAD576C"/>
    <w:rsid w:val="3EB5C14C"/>
    <w:rsid w:val="3EB88AAC"/>
    <w:rsid w:val="3EBB4826"/>
    <w:rsid w:val="3EBD3473"/>
    <w:rsid w:val="3EC00860"/>
    <w:rsid w:val="3ECD1324"/>
    <w:rsid w:val="3ECE077B"/>
    <w:rsid w:val="3ED10C48"/>
    <w:rsid w:val="3ED26F2A"/>
    <w:rsid w:val="3ED3A750"/>
    <w:rsid w:val="3EDC3E48"/>
    <w:rsid w:val="3EDF01A8"/>
    <w:rsid w:val="3EE4AB50"/>
    <w:rsid w:val="3EEA60CD"/>
    <w:rsid w:val="3EEAC1BB"/>
    <w:rsid w:val="3EF0D018"/>
    <w:rsid w:val="3EFA6DF0"/>
    <w:rsid w:val="3EFB24F6"/>
    <w:rsid w:val="3F03AB25"/>
    <w:rsid w:val="3F04AC7E"/>
    <w:rsid w:val="3F04DE49"/>
    <w:rsid w:val="3F0766C9"/>
    <w:rsid w:val="3F146D12"/>
    <w:rsid w:val="3F19F9E5"/>
    <w:rsid w:val="3F1A041A"/>
    <w:rsid w:val="3F1A91AB"/>
    <w:rsid w:val="3F2234E0"/>
    <w:rsid w:val="3F28E9CA"/>
    <w:rsid w:val="3F2C7B20"/>
    <w:rsid w:val="3F2D9440"/>
    <w:rsid w:val="3F2DA8E6"/>
    <w:rsid w:val="3F424940"/>
    <w:rsid w:val="3F42B022"/>
    <w:rsid w:val="3F433B7C"/>
    <w:rsid w:val="3F47E581"/>
    <w:rsid w:val="3F4A7AB5"/>
    <w:rsid w:val="3F520FFC"/>
    <w:rsid w:val="3F540F8D"/>
    <w:rsid w:val="3F588F35"/>
    <w:rsid w:val="3F5CBD2A"/>
    <w:rsid w:val="3F60E2F2"/>
    <w:rsid w:val="3F622BC3"/>
    <w:rsid w:val="3F665FD0"/>
    <w:rsid w:val="3F681ED7"/>
    <w:rsid w:val="3F68AB9D"/>
    <w:rsid w:val="3F6C5E1B"/>
    <w:rsid w:val="3F6F0BF5"/>
    <w:rsid w:val="3F7825B9"/>
    <w:rsid w:val="3F79B980"/>
    <w:rsid w:val="3F8337FD"/>
    <w:rsid w:val="3F8B20BB"/>
    <w:rsid w:val="3F8C1C8B"/>
    <w:rsid w:val="3F8EAF9E"/>
    <w:rsid w:val="3F9074F5"/>
    <w:rsid w:val="3F99003A"/>
    <w:rsid w:val="3FA2DCF5"/>
    <w:rsid w:val="3FA983EF"/>
    <w:rsid w:val="3FAAD393"/>
    <w:rsid w:val="3FACF712"/>
    <w:rsid w:val="3FAE5A06"/>
    <w:rsid w:val="3FB38E67"/>
    <w:rsid w:val="3FBA6BFD"/>
    <w:rsid w:val="3FBBF182"/>
    <w:rsid w:val="3FBC3263"/>
    <w:rsid w:val="3FCA219B"/>
    <w:rsid w:val="3FDB3EEF"/>
    <w:rsid w:val="3FE0CBA2"/>
    <w:rsid w:val="3FE1C409"/>
    <w:rsid w:val="3FE2E1E3"/>
    <w:rsid w:val="3FE456C1"/>
    <w:rsid w:val="3FECC77A"/>
    <w:rsid w:val="3FF1EB06"/>
    <w:rsid w:val="3FF4BA01"/>
    <w:rsid w:val="3FF4EC80"/>
    <w:rsid w:val="3FF8C8C6"/>
    <w:rsid w:val="3FFB68B6"/>
    <w:rsid w:val="3FFEB041"/>
    <w:rsid w:val="400098FC"/>
    <w:rsid w:val="40033413"/>
    <w:rsid w:val="4004B62A"/>
    <w:rsid w:val="400733BB"/>
    <w:rsid w:val="400944BA"/>
    <w:rsid w:val="400A1A50"/>
    <w:rsid w:val="400BE5A1"/>
    <w:rsid w:val="400C3580"/>
    <w:rsid w:val="401467D7"/>
    <w:rsid w:val="401CE287"/>
    <w:rsid w:val="401D287C"/>
    <w:rsid w:val="402056E9"/>
    <w:rsid w:val="4022015D"/>
    <w:rsid w:val="40221064"/>
    <w:rsid w:val="4025AED7"/>
    <w:rsid w:val="402A72BF"/>
    <w:rsid w:val="402E9E4D"/>
    <w:rsid w:val="4032F831"/>
    <w:rsid w:val="4035B2A3"/>
    <w:rsid w:val="40363EFC"/>
    <w:rsid w:val="4036DAC0"/>
    <w:rsid w:val="40398ED0"/>
    <w:rsid w:val="403AD177"/>
    <w:rsid w:val="40400EAA"/>
    <w:rsid w:val="4042750C"/>
    <w:rsid w:val="4047BE4E"/>
    <w:rsid w:val="404DD0BC"/>
    <w:rsid w:val="40583A26"/>
    <w:rsid w:val="4063C10F"/>
    <w:rsid w:val="406B9697"/>
    <w:rsid w:val="4070AC5D"/>
    <w:rsid w:val="40724B38"/>
    <w:rsid w:val="40746FC7"/>
    <w:rsid w:val="4077F97C"/>
    <w:rsid w:val="4079A8C2"/>
    <w:rsid w:val="407F58CA"/>
    <w:rsid w:val="407F7602"/>
    <w:rsid w:val="40874D9C"/>
    <w:rsid w:val="4087D44D"/>
    <w:rsid w:val="40968DDE"/>
    <w:rsid w:val="40A8A6AC"/>
    <w:rsid w:val="40AC573F"/>
    <w:rsid w:val="40B026D8"/>
    <w:rsid w:val="40B3027B"/>
    <w:rsid w:val="40B51DA1"/>
    <w:rsid w:val="40B61096"/>
    <w:rsid w:val="40BA9477"/>
    <w:rsid w:val="40BB8C07"/>
    <w:rsid w:val="40BF4541"/>
    <w:rsid w:val="40BFEBF5"/>
    <w:rsid w:val="40C2B30C"/>
    <w:rsid w:val="40C8C354"/>
    <w:rsid w:val="40CDBA2F"/>
    <w:rsid w:val="40D02A45"/>
    <w:rsid w:val="40D0BF8B"/>
    <w:rsid w:val="40D382BC"/>
    <w:rsid w:val="40D908E8"/>
    <w:rsid w:val="40E49F3E"/>
    <w:rsid w:val="40E8CAE2"/>
    <w:rsid w:val="40EB05C9"/>
    <w:rsid w:val="40F86457"/>
    <w:rsid w:val="40FC1DB6"/>
    <w:rsid w:val="40FDF8B5"/>
    <w:rsid w:val="4100FD8E"/>
    <w:rsid w:val="4102CEDB"/>
    <w:rsid w:val="41056900"/>
    <w:rsid w:val="410E4478"/>
    <w:rsid w:val="411178B5"/>
    <w:rsid w:val="4111FCA7"/>
    <w:rsid w:val="4112D22D"/>
    <w:rsid w:val="4116E5BD"/>
    <w:rsid w:val="41175147"/>
    <w:rsid w:val="41192630"/>
    <w:rsid w:val="41196241"/>
    <w:rsid w:val="411EBE00"/>
    <w:rsid w:val="411F30F6"/>
    <w:rsid w:val="411F844C"/>
    <w:rsid w:val="41201B83"/>
    <w:rsid w:val="4138520D"/>
    <w:rsid w:val="41396076"/>
    <w:rsid w:val="4139D27A"/>
    <w:rsid w:val="414679C1"/>
    <w:rsid w:val="414ACAF9"/>
    <w:rsid w:val="414D04E5"/>
    <w:rsid w:val="414D2559"/>
    <w:rsid w:val="414DD71C"/>
    <w:rsid w:val="414F78C4"/>
    <w:rsid w:val="415B6121"/>
    <w:rsid w:val="41600FA8"/>
    <w:rsid w:val="41615BA9"/>
    <w:rsid w:val="41622D4A"/>
    <w:rsid w:val="41638B7F"/>
    <w:rsid w:val="41718E3A"/>
    <w:rsid w:val="417335C8"/>
    <w:rsid w:val="41754496"/>
    <w:rsid w:val="417A11F0"/>
    <w:rsid w:val="418806F4"/>
    <w:rsid w:val="41898B4A"/>
    <w:rsid w:val="418E8337"/>
    <w:rsid w:val="4191A8B9"/>
    <w:rsid w:val="41995E0D"/>
    <w:rsid w:val="419B84C3"/>
    <w:rsid w:val="419CC26A"/>
    <w:rsid w:val="419D5315"/>
    <w:rsid w:val="419D7064"/>
    <w:rsid w:val="419E0B21"/>
    <w:rsid w:val="41A17016"/>
    <w:rsid w:val="41A819C1"/>
    <w:rsid w:val="41A9E5C4"/>
    <w:rsid w:val="41AC6F25"/>
    <w:rsid w:val="41ADAF77"/>
    <w:rsid w:val="41AF84BF"/>
    <w:rsid w:val="41B72112"/>
    <w:rsid w:val="41B78F03"/>
    <w:rsid w:val="41B8E3BE"/>
    <w:rsid w:val="41BAE585"/>
    <w:rsid w:val="41C2E5BE"/>
    <w:rsid w:val="41C475D8"/>
    <w:rsid w:val="41C559F0"/>
    <w:rsid w:val="41D122CB"/>
    <w:rsid w:val="41D716F0"/>
    <w:rsid w:val="41D9830F"/>
    <w:rsid w:val="41DAC0F6"/>
    <w:rsid w:val="41DB2952"/>
    <w:rsid w:val="41DD706B"/>
    <w:rsid w:val="41E22D7F"/>
    <w:rsid w:val="41E6219D"/>
    <w:rsid w:val="41FCCB2E"/>
    <w:rsid w:val="4200CB10"/>
    <w:rsid w:val="420A8870"/>
    <w:rsid w:val="4216A2EB"/>
    <w:rsid w:val="4216C935"/>
    <w:rsid w:val="421AC04B"/>
    <w:rsid w:val="421AE7EF"/>
    <w:rsid w:val="421DADD9"/>
    <w:rsid w:val="421DCD56"/>
    <w:rsid w:val="4223F975"/>
    <w:rsid w:val="4224650F"/>
    <w:rsid w:val="4228A06D"/>
    <w:rsid w:val="42324F18"/>
    <w:rsid w:val="423BCC96"/>
    <w:rsid w:val="42425A91"/>
    <w:rsid w:val="42511590"/>
    <w:rsid w:val="4254A445"/>
    <w:rsid w:val="425762AF"/>
    <w:rsid w:val="42581282"/>
    <w:rsid w:val="426366E4"/>
    <w:rsid w:val="4268FC36"/>
    <w:rsid w:val="426FB5D9"/>
    <w:rsid w:val="4275D96D"/>
    <w:rsid w:val="4282DBE0"/>
    <w:rsid w:val="4285F858"/>
    <w:rsid w:val="428A85CA"/>
    <w:rsid w:val="428B5DE1"/>
    <w:rsid w:val="428D0016"/>
    <w:rsid w:val="428F4C4D"/>
    <w:rsid w:val="429110EA"/>
    <w:rsid w:val="4291F1EE"/>
    <w:rsid w:val="4293DCFF"/>
    <w:rsid w:val="429D1F58"/>
    <w:rsid w:val="429FE89A"/>
    <w:rsid w:val="429FEFED"/>
    <w:rsid w:val="42AA5DD1"/>
    <w:rsid w:val="42AE2800"/>
    <w:rsid w:val="42B24CD5"/>
    <w:rsid w:val="42B35112"/>
    <w:rsid w:val="42B50605"/>
    <w:rsid w:val="42B5290B"/>
    <w:rsid w:val="42B9D270"/>
    <w:rsid w:val="42BD51B4"/>
    <w:rsid w:val="42BD965D"/>
    <w:rsid w:val="42C1CC78"/>
    <w:rsid w:val="42C3BFB6"/>
    <w:rsid w:val="42C87A51"/>
    <w:rsid w:val="42CDB737"/>
    <w:rsid w:val="42CF2D58"/>
    <w:rsid w:val="42D010A9"/>
    <w:rsid w:val="42D142A7"/>
    <w:rsid w:val="42D67834"/>
    <w:rsid w:val="42D8E20D"/>
    <w:rsid w:val="42DB4ACD"/>
    <w:rsid w:val="42DC72CD"/>
    <w:rsid w:val="42DFB598"/>
    <w:rsid w:val="42E7BF33"/>
    <w:rsid w:val="42E7C4C6"/>
    <w:rsid w:val="42EEAD81"/>
    <w:rsid w:val="42F0DB4F"/>
    <w:rsid w:val="42F14F2D"/>
    <w:rsid w:val="42F6B7C9"/>
    <w:rsid w:val="42FEA7D4"/>
    <w:rsid w:val="43046C0B"/>
    <w:rsid w:val="4305B88F"/>
    <w:rsid w:val="4306C651"/>
    <w:rsid w:val="430A6E97"/>
    <w:rsid w:val="430B1F70"/>
    <w:rsid w:val="430E5F13"/>
    <w:rsid w:val="4316C77A"/>
    <w:rsid w:val="43192B94"/>
    <w:rsid w:val="431C6429"/>
    <w:rsid w:val="431CB2EF"/>
    <w:rsid w:val="431D8E5E"/>
    <w:rsid w:val="431F1EC7"/>
    <w:rsid w:val="4321E5F2"/>
    <w:rsid w:val="43246159"/>
    <w:rsid w:val="432B7C25"/>
    <w:rsid w:val="432F6C76"/>
    <w:rsid w:val="4331853A"/>
    <w:rsid w:val="4333D9AE"/>
    <w:rsid w:val="435240C1"/>
    <w:rsid w:val="435A028B"/>
    <w:rsid w:val="435A81BA"/>
    <w:rsid w:val="435F8952"/>
    <w:rsid w:val="43619213"/>
    <w:rsid w:val="43636901"/>
    <w:rsid w:val="4364730E"/>
    <w:rsid w:val="43647423"/>
    <w:rsid w:val="43657093"/>
    <w:rsid w:val="4366192C"/>
    <w:rsid w:val="436C392C"/>
    <w:rsid w:val="437175DC"/>
    <w:rsid w:val="43734271"/>
    <w:rsid w:val="4373C31F"/>
    <w:rsid w:val="4374F3F2"/>
    <w:rsid w:val="43763934"/>
    <w:rsid w:val="437C414F"/>
    <w:rsid w:val="438B0D90"/>
    <w:rsid w:val="43925595"/>
    <w:rsid w:val="43930D66"/>
    <w:rsid w:val="43933959"/>
    <w:rsid w:val="43A67F90"/>
    <w:rsid w:val="43ADD343"/>
    <w:rsid w:val="43AE43FA"/>
    <w:rsid w:val="43B6A8B9"/>
    <w:rsid w:val="43B786DA"/>
    <w:rsid w:val="43C2472E"/>
    <w:rsid w:val="43C984C4"/>
    <w:rsid w:val="43CB094D"/>
    <w:rsid w:val="43CBA381"/>
    <w:rsid w:val="43CCB847"/>
    <w:rsid w:val="43CFC96F"/>
    <w:rsid w:val="43D1FC4C"/>
    <w:rsid w:val="43D593C1"/>
    <w:rsid w:val="43DBA88E"/>
    <w:rsid w:val="43DDF0C8"/>
    <w:rsid w:val="43E5DAB8"/>
    <w:rsid w:val="43E71879"/>
    <w:rsid w:val="43EAA64B"/>
    <w:rsid w:val="43F026B5"/>
    <w:rsid w:val="43F09CCC"/>
    <w:rsid w:val="43FBB6E8"/>
    <w:rsid w:val="43FD6305"/>
    <w:rsid w:val="43FDFC59"/>
    <w:rsid w:val="4400CEB5"/>
    <w:rsid w:val="44042063"/>
    <w:rsid w:val="440A5F60"/>
    <w:rsid w:val="44190146"/>
    <w:rsid w:val="441E4B2D"/>
    <w:rsid w:val="441EDD59"/>
    <w:rsid w:val="442072C5"/>
    <w:rsid w:val="44223D40"/>
    <w:rsid w:val="44272E7E"/>
    <w:rsid w:val="442C106E"/>
    <w:rsid w:val="4430F502"/>
    <w:rsid w:val="443517B7"/>
    <w:rsid w:val="444B6C17"/>
    <w:rsid w:val="4459D9C5"/>
    <w:rsid w:val="445C032F"/>
    <w:rsid w:val="4470B1DD"/>
    <w:rsid w:val="44728CE2"/>
    <w:rsid w:val="44735D1E"/>
    <w:rsid w:val="447442CE"/>
    <w:rsid w:val="448414B9"/>
    <w:rsid w:val="4484B61A"/>
    <w:rsid w:val="4485982D"/>
    <w:rsid w:val="448C3F12"/>
    <w:rsid w:val="448D4DF6"/>
    <w:rsid w:val="44910B25"/>
    <w:rsid w:val="4494D104"/>
    <w:rsid w:val="449A8F71"/>
    <w:rsid w:val="449C6D39"/>
    <w:rsid w:val="449D1C48"/>
    <w:rsid w:val="449EAAC9"/>
    <w:rsid w:val="449F36AF"/>
    <w:rsid w:val="44A15962"/>
    <w:rsid w:val="44AAA0FD"/>
    <w:rsid w:val="44AEC22D"/>
    <w:rsid w:val="44B68656"/>
    <w:rsid w:val="44B6AC9B"/>
    <w:rsid w:val="44BA2B20"/>
    <w:rsid w:val="44C62CE8"/>
    <w:rsid w:val="44C6F67F"/>
    <w:rsid w:val="44CA0535"/>
    <w:rsid w:val="44CA4804"/>
    <w:rsid w:val="44CABA1D"/>
    <w:rsid w:val="44CC3F83"/>
    <w:rsid w:val="44CDF96C"/>
    <w:rsid w:val="44CF93C5"/>
    <w:rsid w:val="44D15722"/>
    <w:rsid w:val="44D2E6E3"/>
    <w:rsid w:val="44D66DA9"/>
    <w:rsid w:val="44D6922D"/>
    <w:rsid w:val="44D92A17"/>
    <w:rsid w:val="44E7F6B9"/>
    <w:rsid w:val="44F3D2ED"/>
    <w:rsid w:val="44F54E49"/>
    <w:rsid w:val="44F8D8BD"/>
    <w:rsid w:val="44FACC7B"/>
    <w:rsid w:val="44FC7B03"/>
    <w:rsid w:val="44FD4A31"/>
    <w:rsid w:val="44FE70AB"/>
    <w:rsid w:val="4500C2C1"/>
    <w:rsid w:val="45073348"/>
    <w:rsid w:val="45095D54"/>
    <w:rsid w:val="450C63C6"/>
    <w:rsid w:val="450EF7F6"/>
    <w:rsid w:val="4514B6C2"/>
    <w:rsid w:val="45167607"/>
    <w:rsid w:val="45180826"/>
    <w:rsid w:val="451A4392"/>
    <w:rsid w:val="452338A9"/>
    <w:rsid w:val="45261DF6"/>
    <w:rsid w:val="4533E5DA"/>
    <w:rsid w:val="453B09E3"/>
    <w:rsid w:val="453BC98C"/>
    <w:rsid w:val="45402CB5"/>
    <w:rsid w:val="454959AB"/>
    <w:rsid w:val="454A889C"/>
    <w:rsid w:val="454C2351"/>
    <w:rsid w:val="454D31C0"/>
    <w:rsid w:val="454D6939"/>
    <w:rsid w:val="454F7487"/>
    <w:rsid w:val="455503CB"/>
    <w:rsid w:val="4555DBB8"/>
    <w:rsid w:val="45563D6A"/>
    <w:rsid w:val="455B21D0"/>
    <w:rsid w:val="455E0F29"/>
    <w:rsid w:val="455E1008"/>
    <w:rsid w:val="4561A02F"/>
    <w:rsid w:val="456ABE91"/>
    <w:rsid w:val="456E60B3"/>
    <w:rsid w:val="45719ED6"/>
    <w:rsid w:val="4574CA58"/>
    <w:rsid w:val="457EF0F0"/>
    <w:rsid w:val="459170D4"/>
    <w:rsid w:val="4591A853"/>
    <w:rsid w:val="459767C4"/>
    <w:rsid w:val="4597D469"/>
    <w:rsid w:val="4598B75C"/>
    <w:rsid w:val="459C1AD8"/>
    <w:rsid w:val="459E8DEE"/>
    <w:rsid w:val="45A30721"/>
    <w:rsid w:val="45A43EB4"/>
    <w:rsid w:val="45AB9957"/>
    <w:rsid w:val="45B3632B"/>
    <w:rsid w:val="45B45D54"/>
    <w:rsid w:val="45B6C22C"/>
    <w:rsid w:val="45B7373C"/>
    <w:rsid w:val="45B92B1C"/>
    <w:rsid w:val="45BA697D"/>
    <w:rsid w:val="45BB0948"/>
    <w:rsid w:val="45BB66E2"/>
    <w:rsid w:val="45BCA543"/>
    <w:rsid w:val="45C12DED"/>
    <w:rsid w:val="45C190CB"/>
    <w:rsid w:val="45C4379C"/>
    <w:rsid w:val="45CA309F"/>
    <w:rsid w:val="45CF0063"/>
    <w:rsid w:val="45D1177B"/>
    <w:rsid w:val="45D1322B"/>
    <w:rsid w:val="45D74FE2"/>
    <w:rsid w:val="45DA6625"/>
    <w:rsid w:val="45DA94DB"/>
    <w:rsid w:val="45DC76EE"/>
    <w:rsid w:val="45E154D5"/>
    <w:rsid w:val="45E51BF5"/>
    <w:rsid w:val="45E545F6"/>
    <w:rsid w:val="45F3FB6D"/>
    <w:rsid w:val="45F6B921"/>
    <w:rsid w:val="45F87671"/>
    <w:rsid w:val="45FA57A3"/>
    <w:rsid w:val="45FCDC43"/>
    <w:rsid w:val="45FE654D"/>
    <w:rsid w:val="45FF4351"/>
    <w:rsid w:val="460692D5"/>
    <w:rsid w:val="4608D5DE"/>
    <w:rsid w:val="460B8E24"/>
    <w:rsid w:val="460DE21B"/>
    <w:rsid w:val="461A1426"/>
    <w:rsid w:val="461A3B19"/>
    <w:rsid w:val="461E87FA"/>
    <w:rsid w:val="462730A3"/>
    <w:rsid w:val="462B60B3"/>
    <w:rsid w:val="463409A8"/>
    <w:rsid w:val="46342E27"/>
    <w:rsid w:val="46343462"/>
    <w:rsid w:val="4634BE5D"/>
    <w:rsid w:val="463BB946"/>
    <w:rsid w:val="463EE6E1"/>
    <w:rsid w:val="4641E436"/>
    <w:rsid w:val="4646A484"/>
    <w:rsid w:val="464AA85D"/>
    <w:rsid w:val="464B8718"/>
    <w:rsid w:val="464C642B"/>
    <w:rsid w:val="46514CB1"/>
    <w:rsid w:val="46555A76"/>
    <w:rsid w:val="46587B21"/>
    <w:rsid w:val="465A3E8E"/>
    <w:rsid w:val="4662816D"/>
    <w:rsid w:val="4665A7D5"/>
    <w:rsid w:val="46680C91"/>
    <w:rsid w:val="46689A74"/>
    <w:rsid w:val="466D81BB"/>
    <w:rsid w:val="466DDEB7"/>
    <w:rsid w:val="466ED722"/>
    <w:rsid w:val="4670E66E"/>
    <w:rsid w:val="46726B36"/>
    <w:rsid w:val="467A1D79"/>
    <w:rsid w:val="467DE145"/>
    <w:rsid w:val="4682E353"/>
    <w:rsid w:val="4689E594"/>
    <w:rsid w:val="468C25A8"/>
    <w:rsid w:val="468E35F2"/>
    <w:rsid w:val="4693298B"/>
    <w:rsid w:val="46943163"/>
    <w:rsid w:val="469649CD"/>
    <w:rsid w:val="4697BA97"/>
    <w:rsid w:val="46A14376"/>
    <w:rsid w:val="46AA16A7"/>
    <w:rsid w:val="46ACBA39"/>
    <w:rsid w:val="46B02FE4"/>
    <w:rsid w:val="46B44D16"/>
    <w:rsid w:val="46B83537"/>
    <w:rsid w:val="46B9E8C9"/>
    <w:rsid w:val="46CEACF2"/>
    <w:rsid w:val="46D5AE6C"/>
    <w:rsid w:val="46DBB9FF"/>
    <w:rsid w:val="46DE5304"/>
    <w:rsid w:val="46EA7859"/>
    <w:rsid w:val="46EC7B25"/>
    <w:rsid w:val="46EE2093"/>
    <w:rsid w:val="46F0C4B5"/>
    <w:rsid w:val="46F648DA"/>
    <w:rsid w:val="46F6EC05"/>
    <w:rsid w:val="46FADC1F"/>
    <w:rsid w:val="46FBEA28"/>
    <w:rsid w:val="4701483B"/>
    <w:rsid w:val="470256C6"/>
    <w:rsid w:val="4705EBA4"/>
    <w:rsid w:val="47075E80"/>
    <w:rsid w:val="47173E5C"/>
    <w:rsid w:val="471B0A5A"/>
    <w:rsid w:val="4729D5EC"/>
    <w:rsid w:val="472EBA65"/>
    <w:rsid w:val="4730CDF6"/>
    <w:rsid w:val="4732D189"/>
    <w:rsid w:val="4733DD57"/>
    <w:rsid w:val="47396CAA"/>
    <w:rsid w:val="47447409"/>
    <w:rsid w:val="47454518"/>
    <w:rsid w:val="474DAEAA"/>
    <w:rsid w:val="474F2981"/>
    <w:rsid w:val="475314AB"/>
    <w:rsid w:val="4755B360"/>
    <w:rsid w:val="475B30E1"/>
    <w:rsid w:val="475C60EE"/>
    <w:rsid w:val="475EA979"/>
    <w:rsid w:val="475FE15C"/>
    <w:rsid w:val="476DBFD0"/>
    <w:rsid w:val="476DDB12"/>
    <w:rsid w:val="47748042"/>
    <w:rsid w:val="477A6D4C"/>
    <w:rsid w:val="4781B051"/>
    <w:rsid w:val="478C0A15"/>
    <w:rsid w:val="47966831"/>
    <w:rsid w:val="4798A33E"/>
    <w:rsid w:val="479DE849"/>
    <w:rsid w:val="479E2B6B"/>
    <w:rsid w:val="47A35BD3"/>
    <w:rsid w:val="47A53150"/>
    <w:rsid w:val="47A61671"/>
    <w:rsid w:val="47A87D9B"/>
    <w:rsid w:val="47AAB1D5"/>
    <w:rsid w:val="47AE08C9"/>
    <w:rsid w:val="47AE63AE"/>
    <w:rsid w:val="47B37028"/>
    <w:rsid w:val="47BD8545"/>
    <w:rsid w:val="47BE176F"/>
    <w:rsid w:val="47BFB3D6"/>
    <w:rsid w:val="47C34840"/>
    <w:rsid w:val="47C52475"/>
    <w:rsid w:val="47C9D279"/>
    <w:rsid w:val="47CB8AFD"/>
    <w:rsid w:val="47D15A94"/>
    <w:rsid w:val="47D4C3BA"/>
    <w:rsid w:val="47D67CFB"/>
    <w:rsid w:val="47D83AAE"/>
    <w:rsid w:val="47DEFD54"/>
    <w:rsid w:val="47E02366"/>
    <w:rsid w:val="47E2A968"/>
    <w:rsid w:val="47E3AF62"/>
    <w:rsid w:val="47ED0742"/>
    <w:rsid w:val="47FA13E3"/>
    <w:rsid w:val="47FD1430"/>
    <w:rsid w:val="48050ADD"/>
    <w:rsid w:val="480D7F69"/>
    <w:rsid w:val="480DA11B"/>
    <w:rsid w:val="4813912D"/>
    <w:rsid w:val="48150BF0"/>
    <w:rsid w:val="481A597E"/>
    <w:rsid w:val="481ED282"/>
    <w:rsid w:val="482763A2"/>
    <w:rsid w:val="482EEE34"/>
    <w:rsid w:val="4832E73E"/>
    <w:rsid w:val="483ADF7E"/>
    <w:rsid w:val="483F5E97"/>
    <w:rsid w:val="48445688"/>
    <w:rsid w:val="484501D2"/>
    <w:rsid w:val="484F3388"/>
    <w:rsid w:val="48568C12"/>
    <w:rsid w:val="48579803"/>
    <w:rsid w:val="485DECB1"/>
    <w:rsid w:val="48619DB4"/>
    <w:rsid w:val="4863A7F3"/>
    <w:rsid w:val="4866B222"/>
    <w:rsid w:val="48672FC9"/>
    <w:rsid w:val="486F766E"/>
    <w:rsid w:val="48701BFF"/>
    <w:rsid w:val="487393C2"/>
    <w:rsid w:val="48772000"/>
    <w:rsid w:val="48799439"/>
    <w:rsid w:val="48858C53"/>
    <w:rsid w:val="488C2F58"/>
    <w:rsid w:val="488C3FBA"/>
    <w:rsid w:val="488D4BBD"/>
    <w:rsid w:val="48983474"/>
    <w:rsid w:val="489ED361"/>
    <w:rsid w:val="48A19698"/>
    <w:rsid w:val="48A2C17D"/>
    <w:rsid w:val="48A60C2F"/>
    <w:rsid w:val="48A646E0"/>
    <w:rsid w:val="48AD6E2D"/>
    <w:rsid w:val="48AE57CB"/>
    <w:rsid w:val="48B38F27"/>
    <w:rsid w:val="48B767A7"/>
    <w:rsid w:val="48B812AB"/>
    <w:rsid w:val="48B957F8"/>
    <w:rsid w:val="48BF7931"/>
    <w:rsid w:val="48D40422"/>
    <w:rsid w:val="48D7369E"/>
    <w:rsid w:val="48D89969"/>
    <w:rsid w:val="48D953D5"/>
    <w:rsid w:val="48DBA746"/>
    <w:rsid w:val="48E0F34D"/>
    <w:rsid w:val="48EA003F"/>
    <w:rsid w:val="48F01AE8"/>
    <w:rsid w:val="48F1203F"/>
    <w:rsid w:val="48F5F0F0"/>
    <w:rsid w:val="48F9FDAF"/>
    <w:rsid w:val="4900053C"/>
    <w:rsid w:val="4904AC2A"/>
    <w:rsid w:val="49071B14"/>
    <w:rsid w:val="4917D8A3"/>
    <w:rsid w:val="4918C5BB"/>
    <w:rsid w:val="491C3736"/>
    <w:rsid w:val="491F38EB"/>
    <w:rsid w:val="4921C249"/>
    <w:rsid w:val="49297E90"/>
    <w:rsid w:val="492F43B1"/>
    <w:rsid w:val="4930D31A"/>
    <w:rsid w:val="49347672"/>
    <w:rsid w:val="49370416"/>
    <w:rsid w:val="4939DED9"/>
    <w:rsid w:val="493D0120"/>
    <w:rsid w:val="4942DE35"/>
    <w:rsid w:val="4949A097"/>
    <w:rsid w:val="494A4C0D"/>
    <w:rsid w:val="494BD9D9"/>
    <w:rsid w:val="4954961C"/>
    <w:rsid w:val="49552AC9"/>
    <w:rsid w:val="496743B7"/>
    <w:rsid w:val="4969918C"/>
    <w:rsid w:val="4969D047"/>
    <w:rsid w:val="496A5361"/>
    <w:rsid w:val="496EB0B3"/>
    <w:rsid w:val="496EEFB7"/>
    <w:rsid w:val="49725F30"/>
    <w:rsid w:val="4974162B"/>
    <w:rsid w:val="497526D9"/>
    <w:rsid w:val="497D71BA"/>
    <w:rsid w:val="498698BB"/>
    <w:rsid w:val="49890EBB"/>
    <w:rsid w:val="498B2470"/>
    <w:rsid w:val="498EF96F"/>
    <w:rsid w:val="49904402"/>
    <w:rsid w:val="499CE6C8"/>
    <w:rsid w:val="499DED71"/>
    <w:rsid w:val="49A4DA30"/>
    <w:rsid w:val="49AAB8EF"/>
    <w:rsid w:val="49AD4A03"/>
    <w:rsid w:val="49B4F756"/>
    <w:rsid w:val="49B5388F"/>
    <w:rsid w:val="49B84EFD"/>
    <w:rsid w:val="49B95AAB"/>
    <w:rsid w:val="49B9B0E1"/>
    <w:rsid w:val="49BBFDEA"/>
    <w:rsid w:val="49BF1E75"/>
    <w:rsid w:val="49C2E95D"/>
    <w:rsid w:val="49C3AE2C"/>
    <w:rsid w:val="49C67233"/>
    <w:rsid w:val="49D57817"/>
    <w:rsid w:val="49E24742"/>
    <w:rsid w:val="49E9727B"/>
    <w:rsid w:val="49F389DB"/>
    <w:rsid w:val="49F3FA6C"/>
    <w:rsid w:val="49F53D7F"/>
    <w:rsid w:val="49F95F36"/>
    <w:rsid w:val="49F9E666"/>
    <w:rsid w:val="49FFD49D"/>
    <w:rsid w:val="4A023CC2"/>
    <w:rsid w:val="4A029A4D"/>
    <w:rsid w:val="4A0C9D1B"/>
    <w:rsid w:val="4A12FA41"/>
    <w:rsid w:val="4A15E375"/>
    <w:rsid w:val="4A1D3DAF"/>
    <w:rsid w:val="4A1F6D60"/>
    <w:rsid w:val="4A2AB4B6"/>
    <w:rsid w:val="4A2C5AC6"/>
    <w:rsid w:val="4A38A460"/>
    <w:rsid w:val="4A46B356"/>
    <w:rsid w:val="4A476F55"/>
    <w:rsid w:val="4A4DEE56"/>
    <w:rsid w:val="4A53D957"/>
    <w:rsid w:val="4A613F1C"/>
    <w:rsid w:val="4A61FCB0"/>
    <w:rsid w:val="4A658577"/>
    <w:rsid w:val="4A6BB0AA"/>
    <w:rsid w:val="4A714E12"/>
    <w:rsid w:val="4A7AAFE9"/>
    <w:rsid w:val="4A85D667"/>
    <w:rsid w:val="4A86EC05"/>
    <w:rsid w:val="4A88ABF1"/>
    <w:rsid w:val="4A88C311"/>
    <w:rsid w:val="4A9076FE"/>
    <w:rsid w:val="4AA02931"/>
    <w:rsid w:val="4AA08159"/>
    <w:rsid w:val="4AA27804"/>
    <w:rsid w:val="4AA3BF6A"/>
    <w:rsid w:val="4AA41674"/>
    <w:rsid w:val="4AA83E9A"/>
    <w:rsid w:val="4AAAAD1E"/>
    <w:rsid w:val="4AAB24BE"/>
    <w:rsid w:val="4AAEF6D7"/>
    <w:rsid w:val="4AB176E2"/>
    <w:rsid w:val="4AB28E73"/>
    <w:rsid w:val="4AB47B73"/>
    <w:rsid w:val="4ABED0F9"/>
    <w:rsid w:val="4ABF7FF8"/>
    <w:rsid w:val="4AC22BE8"/>
    <w:rsid w:val="4AC60F85"/>
    <w:rsid w:val="4AC963E4"/>
    <w:rsid w:val="4ACCFE7D"/>
    <w:rsid w:val="4ACFA36D"/>
    <w:rsid w:val="4AD14F00"/>
    <w:rsid w:val="4AD5918D"/>
    <w:rsid w:val="4ADB29FF"/>
    <w:rsid w:val="4ADB4B89"/>
    <w:rsid w:val="4ADC60B6"/>
    <w:rsid w:val="4AE1266A"/>
    <w:rsid w:val="4AE47432"/>
    <w:rsid w:val="4AE5F0E0"/>
    <w:rsid w:val="4AE70654"/>
    <w:rsid w:val="4AE81EB7"/>
    <w:rsid w:val="4AF0F8BF"/>
    <w:rsid w:val="4AFAE1C5"/>
    <w:rsid w:val="4AFCDB37"/>
    <w:rsid w:val="4AFE5DCD"/>
    <w:rsid w:val="4B0B6747"/>
    <w:rsid w:val="4B0F2BF1"/>
    <w:rsid w:val="4B0F2CC0"/>
    <w:rsid w:val="4B16BBE2"/>
    <w:rsid w:val="4B17DD5E"/>
    <w:rsid w:val="4B18684E"/>
    <w:rsid w:val="4B1A029E"/>
    <w:rsid w:val="4B23C737"/>
    <w:rsid w:val="4B2C96B8"/>
    <w:rsid w:val="4B2D17CB"/>
    <w:rsid w:val="4B2D25B6"/>
    <w:rsid w:val="4B31A7D9"/>
    <w:rsid w:val="4B361EC5"/>
    <w:rsid w:val="4B38499C"/>
    <w:rsid w:val="4B3B7B55"/>
    <w:rsid w:val="4B4204C0"/>
    <w:rsid w:val="4B46911E"/>
    <w:rsid w:val="4B482C74"/>
    <w:rsid w:val="4B4AC7E0"/>
    <w:rsid w:val="4B4E00BD"/>
    <w:rsid w:val="4B560E51"/>
    <w:rsid w:val="4B568862"/>
    <w:rsid w:val="4B575FAA"/>
    <w:rsid w:val="4B61FC08"/>
    <w:rsid w:val="4B6AA10B"/>
    <w:rsid w:val="4B70AD70"/>
    <w:rsid w:val="4B70B3CB"/>
    <w:rsid w:val="4B77E631"/>
    <w:rsid w:val="4B7E11D8"/>
    <w:rsid w:val="4B842C79"/>
    <w:rsid w:val="4B97B527"/>
    <w:rsid w:val="4B99F109"/>
    <w:rsid w:val="4B9D0627"/>
    <w:rsid w:val="4BA0311C"/>
    <w:rsid w:val="4BA6552D"/>
    <w:rsid w:val="4BA92EB8"/>
    <w:rsid w:val="4BB16F99"/>
    <w:rsid w:val="4BB60695"/>
    <w:rsid w:val="4BB873B5"/>
    <w:rsid w:val="4BBE28C1"/>
    <w:rsid w:val="4BC20CB3"/>
    <w:rsid w:val="4BC361B2"/>
    <w:rsid w:val="4BC4256D"/>
    <w:rsid w:val="4BC77994"/>
    <w:rsid w:val="4BC7D935"/>
    <w:rsid w:val="4BD1547E"/>
    <w:rsid w:val="4BD28FF0"/>
    <w:rsid w:val="4BD42060"/>
    <w:rsid w:val="4BD73A35"/>
    <w:rsid w:val="4BD96C4E"/>
    <w:rsid w:val="4BDF79E4"/>
    <w:rsid w:val="4BE5F1EF"/>
    <w:rsid w:val="4BE756DE"/>
    <w:rsid w:val="4BEE2DDE"/>
    <w:rsid w:val="4BF6C3DD"/>
    <w:rsid w:val="4C01D7A0"/>
    <w:rsid w:val="4C01FF7A"/>
    <w:rsid w:val="4C04DE37"/>
    <w:rsid w:val="4C108B1F"/>
    <w:rsid w:val="4C1893A1"/>
    <w:rsid w:val="4C1D6948"/>
    <w:rsid w:val="4C1E9AC7"/>
    <w:rsid w:val="4C21DD4C"/>
    <w:rsid w:val="4C227F7B"/>
    <w:rsid w:val="4C242D01"/>
    <w:rsid w:val="4C2BC03E"/>
    <w:rsid w:val="4C2CCB43"/>
    <w:rsid w:val="4C2DAB65"/>
    <w:rsid w:val="4C316269"/>
    <w:rsid w:val="4C33DFDE"/>
    <w:rsid w:val="4C3461DB"/>
    <w:rsid w:val="4C395AA8"/>
    <w:rsid w:val="4C3E75F2"/>
    <w:rsid w:val="4C3FB00D"/>
    <w:rsid w:val="4C47DA04"/>
    <w:rsid w:val="4C4C54D4"/>
    <w:rsid w:val="4C4C71DF"/>
    <w:rsid w:val="4C513F68"/>
    <w:rsid w:val="4C535DEC"/>
    <w:rsid w:val="4C5E6B1E"/>
    <w:rsid w:val="4C802FCE"/>
    <w:rsid w:val="4C82F9C1"/>
    <w:rsid w:val="4C83D45E"/>
    <w:rsid w:val="4C8EE169"/>
    <w:rsid w:val="4C9519D9"/>
    <w:rsid w:val="4C9AD830"/>
    <w:rsid w:val="4C9C0F5F"/>
    <w:rsid w:val="4CA3AAC7"/>
    <w:rsid w:val="4CA3E839"/>
    <w:rsid w:val="4CA4487C"/>
    <w:rsid w:val="4CAB5087"/>
    <w:rsid w:val="4CABDDE3"/>
    <w:rsid w:val="4CAFC881"/>
    <w:rsid w:val="4CB55939"/>
    <w:rsid w:val="4CBB6C4E"/>
    <w:rsid w:val="4CC28215"/>
    <w:rsid w:val="4CC65BB3"/>
    <w:rsid w:val="4CCBA525"/>
    <w:rsid w:val="4CD8BE31"/>
    <w:rsid w:val="4CDAD1FA"/>
    <w:rsid w:val="4CE48244"/>
    <w:rsid w:val="4CF11F61"/>
    <w:rsid w:val="4CF89ABF"/>
    <w:rsid w:val="4CFA79D7"/>
    <w:rsid w:val="4D0AEC69"/>
    <w:rsid w:val="4D0B2FE3"/>
    <w:rsid w:val="4D16A34C"/>
    <w:rsid w:val="4D183BCF"/>
    <w:rsid w:val="4D22C2CC"/>
    <w:rsid w:val="4D265F66"/>
    <w:rsid w:val="4D2977A1"/>
    <w:rsid w:val="4D2C48C4"/>
    <w:rsid w:val="4D324E91"/>
    <w:rsid w:val="4D32EC80"/>
    <w:rsid w:val="4D39A23B"/>
    <w:rsid w:val="4D3FFA15"/>
    <w:rsid w:val="4D4022CC"/>
    <w:rsid w:val="4D4147CF"/>
    <w:rsid w:val="4D428C0F"/>
    <w:rsid w:val="4D4C0E40"/>
    <w:rsid w:val="4D5036A7"/>
    <w:rsid w:val="4D56B33F"/>
    <w:rsid w:val="4D56BE31"/>
    <w:rsid w:val="4D5989A2"/>
    <w:rsid w:val="4D5A5464"/>
    <w:rsid w:val="4D62F4A8"/>
    <w:rsid w:val="4D7A1B24"/>
    <w:rsid w:val="4D81F64D"/>
    <w:rsid w:val="4D83C045"/>
    <w:rsid w:val="4D859994"/>
    <w:rsid w:val="4D85C89C"/>
    <w:rsid w:val="4D863545"/>
    <w:rsid w:val="4D8771B5"/>
    <w:rsid w:val="4D8BB78A"/>
    <w:rsid w:val="4D8E53F0"/>
    <w:rsid w:val="4D91F37A"/>
    <w:rsid w:val="4D95AFFB"/>
    <w:rsid w:val="4D984AA4"/>
    <w:rsid w:val="4D9BC839"/>
    <w:rsid w:val="4DA490C3"/>
    <w:rsid w:val="4DA78C0A"/>
    <w:rsid w:val="4DAA3262"/>
    <w:rsid w:val="4DAC2782"/>
    <w:rsid w:val="4DAD0894"/>
    <w:rsid w:val="4DB99690"/>
    <w:rsid w:val="4DBEF3DF"/>
    <w:rsid w:val="4DBFD664"/>
    <w:rsid w:val="4DD534FA"/>
    <w:rsid w:val="4DE33C02"/>
    <w:rsid w:val="4DE8C43B"/>
    <w:rsid w:val="4DFCAD78"/>
    <w:rsid w:val="4DFFFACE"/>
    <w:rsid w:val="4E04A84F"/>
    <w:rsid w:val="4E0E22E1"/>
    <w:rsid w:val="4E1837A8"/>
    <w:rsid w:val="4E18FB87"/>
    <w:rsid w:val="4E1BD85D"/>
    <w:rsid w:val="4E1D100A"/>
    <w:rsid w:val="4E1EDD14"/>
    <w:rsid w:val="4E1F2904"/>
    <w:rsid w:val="4E28DBC5"/>
    <w:rsid w:val="4E2A2468"/>
    <w:rsid w:val="4E2A45FE"/>
    <w:rsid w:val="4E32807F"/>
    <w:rsid w:val="4E3431B8"/>
    <w:rsid w:val="4E35951E"/>
    <w:rsid w:val="4E3F27ED"/>
    <w:rsid w:val="4E3F3F8F"/>
    <w:rsid w:val="4E3F71C9"/>
    <w:rsid w:val="4E48DA8B"/>
    <w:rsid w:val="4E4D18EE"/>
    <w:rsid w:val="4E4E2924"/>
    <w:rsid w:val="4E526685"/>
    <w:rsid w:val="4E527E36"/>
    <w:rsid w:val="4E53B994"/>
    <w:rsid w:val="4E54DB6C"/>
    <w:rsid w:val="4E57134C"/>
    <w:rsid w:val="4E593091"/>
    <w:rsid w:val="4E5A8CC3"/>
    <w:rsid w:val="4E5C20A4"/>
    <w:rsid w:val="4E5D916C"/>
    <w:rsid w:val="4E7BF656"/>
    <w:rsid w:val="4E7CBB91"/>
    <w:rsid w:val="4E935AF7"/>
    <w:rsid w:val="4E938F33"/>
    <w:rsid w:val="4E962583"/>
    <w:rsid w:val="4E99A3F3"/>
    <w:rsid w:val="4E9A9E43"/>
    <w:rsid w:val="4E9D6AC6"/>
    <w:rsid w:val="4EAB1C1A"/>
    <w:rsid w:val="4EAC28FC"/>
    <w:rsid w:val="4EB52302"/>
    <w:rsid w:val="4EB936D9"/>
    <w:rsid w:val="4EC627E0"/>
    <w:rsid w:val="4EC76EBD"/>
    <w:rsid w:val="4ECB93A7"/>
    <w:rsid w:val="4ED58E99"/>
    <w:rsid w:val="4EFDAFB7"/>
    <w:rsid w:val="4EFE1139"/>
    <w:rsid w:val="4F09AF0C"/>
    <w:rsid w:val="4F0D3CDF"/>
    <w:rsid w:val="4F0E4B5F"/>
    <w:rsid w:val="4F0ED3F9"/>
    <w:rsid w:val="4F117C9B"/>
    <w:rsid w:val="4F15F70B"/>
    <w:rsid w:val="4F2CA624"/>
    <w:rsid w:val="4F369396"/>
    <w:rsid w:val="4F3BA80C"/>
    <w:rsid w:val="4F3DDEE3"/>
    <w:rsid w:val="4F45EFC3"/>
    <w:rsid w:val="4F47C0BE"/>
    <w:rsid w:val="4F4D64D9"/>
    <w:rsid w:val="4F51E3E3"/>
    <w:rsid w:val="4F536018"/>
    <w:rsid w:val="4F56037D"/>
    <w:rsid w:val="4F57D319"/>
    <w:rsid w:val="4F582406"/>
    <w:rsid w:val="4F6414EA"/>
    <w:rsid w:val="4F6E9EF1"/>
    <w:rsid w:val="4F7175AA"/>
    <w:rsid w:val="4F794A9B"/>
    <w:rsid w:val="4F80EC5B"/>
    <w:rsid w:val="4F855062"/>
    <w:rsid w:val="4F88B980"/>
    <w:rsid w:val="4F8B4CB0"/>
    <w:rsid w:val="4F8CA19E"/>
    <w:rsid w:val="4F939D9B"/>
    <w:rsid w:val="4F984610"/>
    <w:rsid w:val="4F9B1001"/>
    <w:rsid w:val="4F9DF96F"/>
    <w:rsid w:val="4F9F6A80"/>
    <w:rsid w:val="4FA6026E"/>
    <w:rsid w:val="4FA7255F"/>
    <w:rsid w:val="4FB4D494"/>
    <w:rsid w:val="4FBBC813"/>
    <w:rsid w:val="4FC055D0"/>
    <w:rsid w:val="4FC11667"/>
    <w:rsid w:val="4FC53231"/>
    <w:rsid w:val="4FC83F9A"/>
    <w:rsid w:val="4FCBE7B6"/>
    <w:rsid w:val="4FCEA0D6"/>
    <w:rsid w:val="4FD87915"/>
    <w:rsid w:val="4FD9E197"/>
    <w:rsid w:val="4FDDD0EE"/>
    <w:rsid w:val="4FDF604E"/>
    <w:rsid w:val="4FDFCF08"/>
    <w:rsid w:val="4FE3B659"/>
    <w:rsid w:val="4FE45908"/>
    <w:rsid w:val="4FE5C2CE"/>
    <w:rsid w:val="4FE7D395"/>
    <w:rsid w:val="4FE8FF46"/>
    <w:rsid w:val="4FF2BB48"/>
    <w:rsid w:val="4FF9152A"/>
    <w:rsid w:val="4FFB66D3"/>
    <w:rsid w:val="4FFE530D"/>
    <w:rsid w:val="5003F424"/>
    <w:rsid w:val="5005952B"/>
    <w:rsid w:val="5006031F"/>
    <w:rsid w:val="5008F7D0"/>
    <w:rsid w:val="50094522"/>
    <w:rsid w:val="501657FB"/>
    <w:rsid w:val="501DC0CE"/>
    <w:rsid w:val="501EAAFA"/>
    <w:rsid w:val="501FADE3"/>
    <w:rsid w:val="50229C2F"/>
    <w:rsid w:val="5028A3E2"/>
    <w:rsid w:val="502A343A"/>
    <w:rsid w:val="504CC379"/>
    <w:rsid w:val="504FB133"/>
    <w:rsid w:val="50519D99"/>
    <w:rsid w:val="50522F69"/>
    <w:rsid w:val="50559EDD"/>
    <w:rsid w:val="50574C14"/>
    <w:rsid w:val="505B6145"/>
    <w:rsid w:val="50625AD8"/>
    <w:rsid w:val="5064465D"/>
    <w:rsid w:val="5064D18A"/>
    <w:rsid w:val="5065547F"/>
    <w:rsid w:val="5065B60D"/>
    <w:rsid w:val="506E003B"/>
    <w:rsid w:val="506FB33B"/>
    <w:rsid w:val="5075CF19"/>
    <w:rsid w:val="507A23D5"/>
    <w:rsid w:val="50859EF0"/>
    <w:rsid w:val="508628EF"/>
    <w:rsid w:val="50868C22"/>
    <w:rsid w:val="509E6AD5"/>
    <w:rsid w:val="50A241FF"/>
    <w:rsid w:val="50AB3A0D"/>
    <w:rsid w:val="50AC8846"/>
    <w:rsid w:val="50ACAC59"/>
    <w:rsid w:val="50B3130F"/>
    <w:rsid w:val="50B3FA49"/>
    <w:rsid w:val="50B5DF6D"/>
    <w:rsid w:val="50B77165"/>
    <w:rsid w:val="50B95E5D"/>
    <w:rsid w:val="50BA15C8"/>
    <w:rsid w:val="50BAFDD5"/>
    <w:rsid w:val="50BBA1E6"/>
    <w:rsid w:val="50BD3CE6"/>
    <w:rsid w:val="50C13BB4"/>
    <w:rsid w:val="50C1D47E"/>
    <w:rsid w:val="50C8E934"/>
    <w:rsid w:val="50CD9DA1"/>
    <w:rsid w:val="50D578BD"/>
    <w:rsid w:val="50D82984"/>
    <w:rsid w:val="50D8D997"/>
    <w:rsid w:val="50DAE640"/>
    <w:rsid w:val="50E22060"/>
    <w:rsid w:val="50E6B264"/>
    <w:rsid w:val="50EDDB0E"/>
    <w:rsid w:val="50EE5686"/>
    <w:rsid w:val="50F00B36"/>
    <w:rsid w:val="50F27F73"/>
    <w:rsid w:val="50F717EA"/>
    <w:rsid w:val="50F7D839"/>
    <w:rsid w:val="51042F3D"/>
    <w:rsid w:val="5112B405"/>
    <w:rsid w:val="511338AB"/>
    <w:rsid w:val="5119CD8A"/>
    <w:rsid w:val="511E547E"/>
    <w:rsid w:val="511F4D0C"/>
    <w:rsid w:val="512A5580"/>
    <w:rsid w:val="512BD0EE"/>
    <w:rsid w:val="512D43BA"/>
    <w:rsid w:val="512FFCE2"/>
    <w:rsid w:val="513714DB"/>
    <w:rsid w:val="5144F385"/>
    <w:rsid w:val="51455A64"/>
    <w:rsid w:val="51492B2A"/>
    <w:rsid w:val="514F4B60"/>
    <w:rsid w:val="51572233"/>
    <w:rsid w:val="515E96F3"/>
    <w:rsid w:val="515F6540"/>
    <w:rsid w:val="51613C9A"/>
    <w:rsid w:val="51732E34"/>
    <w:rsid w:val="51756332"/>
    <w:rsid w:val="51759E8A"/>
    <w:rsid w:val="51810230"/>
    <w:rsid w:val="5181A7C6"/>
    <w:rsid w:val="5183E8CC"/>
    <w:rsid w:val="518A341D"/>
    <w:rsid w:val="518A7D45"/>
    <w:rsid w:val="51947CBF"/>
    <w:rsid w:val="519A03DF"/>
    <w:rsid w:val="519B7959"/>
    <w:rsid w:val="519DE539"/>
    <w:rsid w:val="51A12E2A"/>
    <w:rsid w:val="51A5788E"/>
    <w:rsid w:val="51A8AB70"/>
    <w:rsid w:val="51B255E1"/>
    <w:rsid w:val="51B38434"/>
    <w:rsid w:val="51B3D386"/>
    <w:rsid w:val="51B572CD"/>
    <w:rsid w:val="51B630C6"/>
    <w:rsid w:val="51B6754B"/>
    <w:rsid w:val="51B849E4"/>
    <w:rsid w:val="51BC496D"/>
    <w:rsid w:val="51C63B81"/>
    <w:rsid w:val="51D280A2"/>
    <w:rsid w:val="51D48229"/>
    <w:rsid w:val="51D7AF71"/>
    <w:rsid w:val="51DC7545"/>
    <w:rsid w:val="51DD44AF"/>
    <w:rsid w:val="51E275AD"/>
    <w:rsid w:val="51E2E071"/>
    <w:rsid w:val="51E414CE"/>
    <w:rsid w:val="51EF0392"/>
    <w:rsid w:val="51FB2D66"/>
    <w:rsid w:val="5205A2AC"/>
    <w:rsid w:val="5207B15F"/>
    <w:rsid w:val="52111E63"/>
    <w:rsid w:val="52124FEF"/>
    <w:rsid w:val="5212CF31"/>
    <w:rsid w:val="52137F0B"/>
    <w:rsid w:val="5217B70D"/>
    <w:rsid w:val="521A7A20"/>
    <w:rsid w:val="52211EE5"/>
    <w:rsid w:val="5223155E"/>
    <w:rsid w:val="52242E57"/>
    <w:rsid w:val="52251444"/>
    <w:rsid w:val="522B6840"/>
    <w:rsid w:val="523378C0"/>
    <w:rsid w:val="5234D19F"/>
    <w:rsid w:val="52367282"/>
    <w:rsid w:val="5237DCB8"/>
    <w:rsid w:val="523C92BD"/>
    <w:rsid w:val="52479B2D"/>
    <w:rsid w:val="5247F86E"/>
    <w:rsid w:val="52487805"/>
    <w:rsid w:val="5248D803"/>
    <w:rsid w:val="524C5D87"/>
    <w:rsid w:val="5252966F"/>
    <w:rsid w:val="5257DA63"/>
    <w:rsid w:val="525AA130"/>
    <w:rsid w:val="525D680E"/>
    <w:rsid w:val="525F3D38"/>
    <w:rsid w:val="5268333C"/>
    <w:rsid w:val="526940A7"/>
    <w:rsid w:val="526C12BE"/>
    <w:rsid w:val="526CA844"/>
    <w:rsid w:val="526DA74B"/>
    <w:rsid w:val="526F9D06"/>
    <w:rsid w:val="5277DA9D"/>
    <w:rsid w:val="527CE5EA"/>
    <w:rsid w:val="5282CB04"/>
    <w:rsid w:val="528332DA"/>
    <w:rsid w:val="52838ACD"/>
    <w:rsid w:val="5284FB26"/>
    <w:rsid w:val="528852F2"/>
    <w:rsid w:val="528BFB74"/>
    <w:rsid w:val="528D113D"/>
    <w:rsid w:val="5292726E"/>
    <w:rsid w:val="52933F96"/>
    <w:rsid w:val="529B1A77"/>
    <w:rsid w:val="52A3D4D3"/>
    <w:rsid w:val="52A42BF7"/>
    <w:rsid w:val="52A585E5"/>
    <w:rsid w:val="52A60A16"/>
    <w:rsid w:val="52AAD726"/>
    <w:rsid w:val="52AD3F0E"/>
    <w:rsid w:val="52B403B3"/>
    <w:rsid w:val="52B51199"/>
    <w:rsid w:val="52B67619"/>
    <w:rsid w:val="52B8EC4C"/>
    <w:rsid w:val="52BB4FEA"/>
    <w:rsid w:val="52BB5852"/>
    <w:rsid w:val="52C1D052"/>
    <w:rsid w:val="52CA2941"/>
    <w:rsid w:val="52CCBFBA"/>
    <w:rsid w:val="52CDD81F"/>
    <w:rsid w:val="52CE85D6"/>
    <w:rsid w:val="52D3B642"/>
    <w:rsid w:val="52D94979"/>
    <w:rsid w:val="52DF5F60"/>
    <w:rsid w:val="52E482A2"/>
    <w:rsid w:val="52EF9543"/>
    <w:rsid w:val="52F2310A"/>
    <w:rsid w:val="52F402CA"/>
    <w:rsid w:val="52F953EE"/>
    <w:rsid w:val="52FF3ECF"/>
    <w:rsid w:val="52FF7C2E"/>
    <w:rsid w:val="530014C9"/>
    <w:rsid w:val="53033EAD"/>
    <w:rsid w:val="53051CE8"/>
    <w:rsid w:val="53082690"/>
    <w:rsid w:val="5308E092"/>
    <w:rsid w:val="530A0474"/>
    <w:rsid w:val="530DC60C"/>
    <w:rsid w:val="530EE5B2"/>
    <w:rsid w:val="530F1315"/>
    <w:rsid w:val="53109336"/>
    <w:rsid w:val="5311DED9"/>
    <w:rsid w:val="53125BF1"/>
    <w:rsid w:val="53171C21"/>
    <w:rsid w:val="5320BFC3"/>
    <w:rsid w:val="532CAD57"/>
    <w:rsid w:val="53309808"/>
    <w:rsid w:val="533728AB"/>
    <w:rsid w:val="53376EF8"/>
    <w:rsid w:val="53424A68"/>
    <w:rsid w:val="534416C6"/>
    <w:rsid w:val="53458524"/>
    <w:rsid w:val="5346C953"/>
    <w:rsid w:val="5346FD23"/>
    <w:rsid w:val="534DF404"/>
    <w:rsid w:val="535078AC"/>
    <w:rsid w:val="5353316B"/>
    <w:rsid w:val="5356E811"/>
    <w:rsid w:val="535717A3"/>
    <w:rsid w:val="5358B0A5"/>
    <w:rsid w:val="535E840C"/>
    <w:rsid w:val="53644AD4"/>
    <w:rsid w:val="536A95DB"/>
    <w:rsid w:val="53755CA4"/>
    <w:rsid w:val="537B8B67"/>
    <w:rsid w:val="537E2DE4"/>
    <w:rsid w:val="5388E656"/>
    <w:rsid w:val="538AA3DE"/>
    <w:rsid w:val="538E562D"/>
    <w:rsid w:val="538FA125"/>
    <w:rsid w:val="539631A9"/>
    <w:rsid w:val="5396D22B"/>
    <w:rsid w:val="53A4BE2F"/>
    <w:rsid w:val="53AD89CC"/>
    <w:rsid w:val="53B1709E"/>
    <w:rsid w:val="53B46527"/>
    <w:rsid w:val="53B97EF7"/>
    <w:rsid w:val="53B9B451"/>
    <w:rsid w:val="53BA3EF8"/>
    <w:rsid w:val="53BE9D57"/>
    <w:rsid w:val="53C1FCAD"/>
    <w:rsid w:val="53C27643"/>
    <w:rsid w:val="53C490A0"/>
    <w:rsid w:val="53D0218B"/>
    <w:rsid w:val="53DE485C"/>
    <w:rsid w:val="53DEA823"/>
    <w:rsid w:val="53DEEA53"/>
    <w:rsid w:val="53E47205"/>
    <w:rsid w:val="53E545E9"/>
    <w:rsid w:val="53E89741"/>
    <w:rsid w:val="53EBA5CD"/>
    <w:rsid w:val="53EE62BB"/>
    <w:rsid w:val="53F033C4"/>
    <w:rsid w:val="53F51962"/>
    <w:rsid w:val="53F70938"/>
    <w:rsid w:val="53FA9F2D"/>
    <w:rsid w:val="53FB43EE"/>
    <w:rsid w:val="53FBA59A"/>
    <w:rsid w:val="53FE601B"/>
    <w:rsid w:val="53FE8947"/>
    <w:rsid w:val="54020A93"/>
    <w:rsid w:val="540631F0"/>
    <w:rsid w:val="540DCF1B"/>
    <w:rsid w:val="5411968F"/>
    <w:rsid w:val="54123749"/>
    <w:rsid w:val="5414453F"/>
    <w:rsid w:val="5414D5C1"/>
    <w:rsid w:val="5416A9E1"/>
    <w:rsid w:val="54185716"/>
    <w:rsid w:val="5418E9A0"/>
    <w:rsid w:val="541B71FA"/>
    <w:rsid w:val="541D8E2F"/>
    <w:rsid w:val="541F4F7F"/>
    <w:rsid w:val="54203E2F"/>
    <w:rsid w:val="5420AACD"/>
    <w:rsid w:val="5421852A"/>
    <w:rsid w:val="54252304"/>
    <w:rsid w:val="54295186"/>
    <w:rsid w:val="542C5165"/>
    <w:rsid w:val="54303FFE"/>
    <w:rsid w:val="54388A3A"/>
    <w:rsid w:val="5442BA7B"/>
    <w:rsid w:val="54470D7A"/>
    <w:rsid w:val="54508AAC"/>
    <w:rsid w:val="545129DD"/>
    <w:rsid w:val="545C6402"/>
    <w:rsid w:val="54633C25"/>
    <w:rsid w:val="546F0973"/>
    <w:rsid w:val="546F0C40"/>
    <w:rsid w:val="54736B4D"/>
    <w:rsid w:val="5473B0AB"/>
    <w:rsid w:val="5473EE69"/>
    <w:rsid w:val="54824978"/>
    <w:rsid w:val="5485168A"/>
    <w:rsid w:val="54883B1C"/>
    <w:rsid w:val="54891DEF"/>
    <w:rsid w:val="548EC326"/>
    <w:rsid w:val="5495636D"/>
    <w:rsid w:val="549AD49E"/>
    <w:rsid w:val="549BEBA2"/>
    <w:rsid w:val="54A3EEB0"/>
    <w:rsid w:val="54A9B213"/>
    <w:rsid w:val="54AB9E1A"/>
    <w:rsid w:val="54B62AB7"/>
    <w:rsid w:val="54B9DAD4"/>
    <w:rsid w:val="54BD9706"/>
    <w:rsid w:val="54C70B32"/>
    <w:rsid w:val="54C9A0C7"/>
    <w:rsid w:val="54CBA591"/>
    <w:rsid w:val="54D70222"/>
    <w:rsid w:val="54DA35FE"/>
    <w:rsid w:val="54DDCBC3"/>
    <w:rsid w:val="54E43F72"/>
    <w:rsid w:val="54E4CF3C"/>
    <w:rsid w:val="54E82BE8"/>
    <w:rsid w:val="54E9ABBC"/>
    <w:rsid w:val="54EB60EC"/>
    <w:rsid w:val="54EE2287"/>
    <w:rsid w:val="54EEFD08"/>
    <w:rsid w:val="54F64F07"/>
    <w:rsid w:val="54FFFA59"/>
    <w:rsid w:val="55019B65"/>
    <w:rsid w:val="5504448B"/>
    <w:rsid w:val="5506715D"/>
    <w:rsid w:val="550BE673"/>
    <w:rsid w:val="550EFC13"/>
    <w:rsid w:val="5511FBFE"/>
    <w:rsid w:val="5518EBA4"/>
    <w:rsid w:val="551D6478"/>
    <w:rsid w:val="5521F7DA"/>
    <w:rsid w:val="55240822"/>
    <w:rsid w:val="55261E9A"/>
    <w:rsid w:val="552B298F"/>
    <w:rsid w:val="552EAF11"/>
    <w:rsid w:val="552F8B33"/>
    <w:rsid w:val="55315F4B"/>
    <w:rsid w:val="55322742"/>
    <w:rsid w:val="5532FFAB"/>
    <w:rsid w:val="5535068E"/>
    <w:rsid w:val="553648A1"/>
    <w:rsid w:val="553CA054"/>
    <w:rsid w:val="554A2722"/>
    <w:rsid w:val="55502344"/>
    <w:rsid w:val="555487D8"/>
    <w:rsid w:val="55593CAF"/>
    <w:rsid w:val="555A5136"/>
    <w:rsid w:val="555D2A82"/>
    <w:rsid w:val="55610F1D"/>
    <w:rsid w:val="55652A90"/>
    <w:rsid w:val="5565A942"/>
    <w:rsid w:val="55668FBD"/>
    <w:rsid w:val="556CD229"/>
    <w:rsid w:val="557317FD"/>
    <w:rsid w:val="557E54D2"/>
    <w:rsid w:val="557FCE44"/>
    <w:rsid w:val="5581115E"/>
    <w:rsid w:val="5583B0F2"/>
    <w:rsid w:val="5585AD79"/>
    <w:rsid w:val="558A61FA"/>
    <w:rsid w:val="558C7B51"/>
    <w:rsid w:val="55907ACF"/>
    <w:rsid w:val="5594AE90"/>
    <w:rsid w:val="559B0AD9"/>
    <w:rsid w:val="559E6A0C"/>
    <w:rsid w:val="559EF0F9"/>
    <w:rsid w:val="55A1521F"/>
    <w:rsid w:val="55AA12A0"/>
    <w:rsid w:val="55ABD6EA"/>
    <w:rsid w:val="55AD9094"/>
    <w:rsid w:val="55B0E271"/>
    <w:rsid w:val="55C11EC6"/>
    <w:rsid w:val="55C77BF2"/>
    <w:rsid w:val="55C9601D"/>
    <w:rsid w:val="55CD211B"/>
    <w:rsid w:val="55CEF2B5"/>
    <w:rsid w:val="55D03F66"/>
    <w:rsid w:val="55D8071D"/>
    <w:rsid w:val="55DB0F49"/>
    <w:rsid w:val="55DB102E"/>
    <w:rsid w:val="55E0F592"/>
    <w:rsid w:val="55E19E7A"/>
    <w:rsid w:val="55EAC1F3"/>
    <w:rsid w:val="55F0DB7E"/>
    <w:rsid w:val="55F26A38"/>
    <w:rsid w:val="55F58618"/>
    <w:rsid w:val="55F698E9"/>
    <w:rsid w:val="55F9020F"/>
    <w:rsid w:val="56035765"/>
    <w:rsid w:val="560680A0"/>
    <w:rsid w:val="5606CAE0"/>
    <w:rsid w:val="56074E3A"/>
    <w:rsid w:val="560C9BA6"/>
    <w:rsid w:val="56130A0B"/>
    <w:rsid w:val="5618EB47"/>
    <w:rsid w:val="561BE347"/>
    <w:rsid w:val="56202504"/>
    <w:rsid w:val="562804FC"/>
    <w:rsid w:val="562844B0"/>
    <w:rsid w:val="56386419"/>
    <w:rsid w:val="563CF41F"/>
    <w:rsid w:val="564299A0"/>
    <w:rsid w:val="56457B15"/>
    <w:rsid w:val="56477570"/>
    <w:rsid w:val="565329FB"/>
    <w:rsid w:val="565888F8"/>
    <w:rsid w:val="565A681A"/>
    <w:rsid w:val="565DA0DA"/>
    <w:rsid w:val="565ED00E"/>
    <w:rsid w:val="565FB4EE"/>
    <w:rsid w:val="5662C96C"/>
    <w:rsid w:val="566A840C"/>
    <w:rsid w:val="5671176B"/>
    <w:rsid w:val="56722C23"/>
    <w:rsid w:val="56729402"/>
    <w:rsid w:val="56755240"/>
    <w:rsid w:val="5676367F"/>
    <w:rsid w:val="5677C1B4"/>
    <w:rsid w:val="56790922"/>
    <w:rsid w:val="567A832A"/>
    <w:rsid w:val="567E7CE2"/>
    <w:rsid w:val="567F174E"/>
    <w:rsid w:val="5680DA34"/>
    <w:rsid w:val="5689BB4F"/>
    <w:rsid w:val="568B277B"/>
    <w:rsid w:val="568DF0D2"/>
    <w:rsid w:val="5694A264"/>
    <w:rsid w:val="569865AD"/>
    <w:rsid w:val="5699B3DC"/>
    <w:rsid w:val="569EF757"/>
    <w:rsid w:val="56A216DC"/>
    <w:rsid w:val="56A6B080"/>
    <w:rsid w:val="56A6E0A4"/>
    <w:rsid w:val="56B08876"/>
    <w:rsid w:val="56B2FD25"/>
    <w:rsid w:val="56B4EE4C"/>
    <w:rsid w:val="56B7BAE1"/>
    <w:rsid w:val="56BA8BE8"/>
    <w:rsid w:val="56BBD511"/>
    <w:rsid w:val="56C61675"/>
    <w:rsid w:val="56CAD128"/>
    <w:rsid w:val="56CF8B9F"/>
    <w:rsid w:val="56D4AA1C"/>
    <w:rsid w:val="56D68EC1"/>
    <w:rsid w:val="56E278D5"/>
    <w:rsid w:val="56E280EE"/>
    <w:rsid w:val="56ED8D30"/>
    <w:rsid w:val="56EF653B"/>
    <w:rsid w:val="56F0220B"/>
    <w:rsid w:val="56F24960"/>
    <w:rsid w:val="570B8724"/>
    <w:rsid w:val="570C0FAE"/>
    <w:rsid w:val="570F0983"/>
    <w:rsid w:val="57104D19"/>
    <w:rsid w:val="57114DF8"/>
    <w:rsid w:val="5715C606"/>
    <w:rsid w:val="5716ECC0"/>
    <w:rsid w:val="571B3EE7"/>
    <w:rsid w:val="5725800D"/>
    <w:rsid w:val="5725A24C"/>
    <w:rsid w:val="5725DD3E"/>
    <w:rsid w:val="57264F7D"/>
    <w:rsid w:val="5729F175"/>
    <w:rsid w:val="572AC561"/>
    <w:rsid w:val="572CBF00"/>
    <w:rsid w:val="57323DDE"/>
    <w:rsid w:val="57327BED"/>
    <w:rsid w:val="5733CF59"/>
    <w:rsid w:val="5734EAF7"/>
    <w:rsid w:val="5737B836"/>
    <w:rsid w:val="57383576"/>
    <w:rsid w:val="573B4AA1"/>
    <w:rsid w:val="57405D75"/>
    <w:rsid w:val="57531CD2"/>
    <w:rsid w:val="575D95BB"/>
    <w:rsid w:val="57632D65"/>
    <w:rsid w:val="576F78BE"/>
    <w:rsid w:val="57703621"/>
    <w:rsid w:val="57713EA7"/>
    <w:rsid w:val="577310BE"/>
    <w:rsid w:val="5779BBCE"/>
    <w:rsid w:val="5784D17F"/>
    <w:rsid w:val="5786ED35"/>
    <w:rsid w:val="578A51AC"/>
    <w:rsid w:val="578CED08"/>
    <w:rsid w:val="578FCE17"/>
    <w:rsid w:val="57975874"/>
    <w:rsid w:val="5798B5B2"/>
    <w:rsid w:val="579DFCB0"/>
    <w:rsid w:val="57A02377"/>
    <w:rsid w:val="57A82640"/>
    <w:rsid w:val="57A98ACC"/>
    <w:rsid w:val="57A9D6A1"/>
    <w:rsid w:val="57A9D717"/>
    <w:rsid w:val="57B2E5D1"/>
    <w:rsid w:val="57B2F94B"/>
    <w:rsid w:val="57B4D661"/>
    <w:rsid w:val="57B6D814"/>
    <w:rsid w:val="57B721B8"/>
    <w:rsid w:val="57C18E6B"/>
    <w:rsid w:val="57C5ECBB"/>
    <w:rsid w:val="57CB39C4"/>
    <w:rsid w:val="57D16335"/>
    <w:rsid w:val="57D81CF0"/>
    <w:rsid w:val="57D9643C"/>
    <w:rsid w:val="57D9999A"/>
    <w:rsid w:val="57DA7580"/>
    <w:rsid w:val="57DA987A"/>
    <w:rsid w:val="57DB5F12"/>
    <w:rsid w:val="57DC2FCA"/>
    <w:rsid w:val="57DD0B2A"/>
    <w:rsid w:val="57DD7716"/>
    <w:rsid w:val="57E0B2C8"/>
    <w:rsid w:val="57E836DD"/>
    <w:rsid w:val="57F24083"/>
    <w:rsid w:val="57F2C8DA"/>
    <w:rsid w:val="57F5176A"/>
    <w:rsid w:val="57F80895"/>
    <w:rsid w:val="57F864FE"/>
    <w:rsid w:val="58054F6C"/>
    <w:rsid w:val="580797C9"/>
    <w:rsid w:val="580C800F"/>
    <w:rsid w:val="580D5468"/>
    <w:rsid w:val="580E8CDF"/>
    <w:rsid w:val="580F6283"/>
    <w:rsid w:val="5816E058"/>
    <w:rsid w:val="5816EB12"/>
    <w:rsid w:val="581A193B"/>
    <w:rsid w:val="5822E384"/>
    <w:rsid w:val="5826D183"/>
    <w:rsid w:val="5827F2D2"/>
    <w:rsid w:val="58294EA2"/>
    <w:rsid w:val="582C8371"/>
    <w:rsid w:val="583501D0"/>
    <w:rsid w:val="5837E4CC"/>
    <w:rsid w:val="583A5574"/>
    <w:rsid w:val="583B6CB4"/>
    <w:rsid w:val="58441C68"/>
    <w:rsid w:val="58462106"/>
    <w:rsid w:val="584751B9"/>
    <w:rsid w:val="584F6171"/>
    <w:rsid w:val="58518B44"/>
    <w:rsid w:val="5852DE57"/>
    <w:rsid w:val="58542A71"/>
    <w:rsid w:val="5855A03A"/>
    <w:rsid w:val="5858FD6C"/>
    <w:rsid w:val="585C4817"/>
    <w:rsid w:val="58606B9A"/>
    <w:rsid w:val="5866B69A"/>
    <w:rsid w:val="586B7665"/>
    <w:rsid w:val="5874B007"/>
    <w:rsid w:val="587BC74E"/>
    <w:rsid w:val="58823449"/>
    <w:rsid w:val="5884CEAF"/>
    <w:rsid w:val="5886F85A"/>
    <w:rsid w:val="588C550D"/>
    <w:rsid w:val="5894DA93"/>
    <w:rsid w:val="5895AD65"/>
    <w:rsid w:val="589DE8ED"/>
    <w:rsid w:val="589FA7E6"/>
    <w:rsid w:val="58A10205"/>
    <w:rsid w:val="58A73B08"/>
    <w:rsid w:val="58A8C4DA"/>
    <w:rsid w:val="58AAB2C5"/>
    <w:rsid w:val="58ABA918"/>
    <w:rsid w:val="58B8E5F4"/>
    <w:rsid w:val="58BC0BF2"/>
    <w:rsid w:val="58C4835A"/>
    <w:rsid w:val="58C509F4"/>
    <w:rsid w:val="58C5820B"/>
    <w:rsid w:val="58D61835"/>
    <w:rsid w:val="58D8A256"/>
    <w:rsid w:val="58E13CD9"/>
    <w:rsid w:val="58E377F1"/>
    <w:rsid w:val="58E40B3D"/>
    <w:rsid w:val="58E44F59"/>
    <w:rsid w:val="58EAD040"/>
    <w:rsid w:val="58F4E8F8"/>
    <w:rsid w:val="58FB1D51"/>
    <w:rsid w:val="58FC8C3C"/>
    <w:rsid w:val="59056CE1"/>
    <w:rsid w:val="5908A719"/>
    <w:rsid w:val="590FA47D"/>
    <w:rsid w:val="5916E526"/>
    <w:rsid w:val="5921059B"/>
    <w:rsid w:val="5929D5EC"/>
    <w:rsid w:val="592A0CC7"/>
    <w:rsid w:val="592A6C65"/>
    <w:rsid w:val="592C23A4"/>
    <w:rsid w:val="592F3724"/>
    <w:rsid w:val="593432D6"/>
    <w:rsid w:val="5934B472"/>
    <w:rsid w:val="5936388A"/>
    <w:rsid w:val="5938402D"/>
    <w:rsid w:val="59393406"/>
    <w:rsid w:val="59422338"/>
    <w:rsid w:val="594316E3"/>
    <w:rsid w:val="59460EC9"/>
    <w:rsid w:val="59461052"/>
    <w:rsid w:val="59462B8B"/>
    <w:rsid w:val="594A33C0"/>
    <w:rsid w:val="594AE642"/>
    <w:rsid w:val="594C8B9D"/>
    <w:rsid w:val="594DCE90"/>
    <w:rsid w:val="59545C63"/>
    <w:rsid w:val="595E15FE"/>
    <w:rsid w:val="5964339E"/>
    <w:rsid w:val="59692F2F"/>
    <w:rsid w:val="596A5F87"/>
    <w:rsid w:val="596BE63C"/>
    <w:rsid w:val="5971800E"/>
    <w:rsid w:val="59805DEA"/>
    <w:rsid w:val="5982EF52"/>
    <w:rsid w:val="59879A35"/>
    <w:rsid w:val="598932CD"/>
    <w:rsid w:val="59898DA1"/>
    <w:rsid w:val="598AD43F"/>
    <w:rsid w:val="598BE513"/>
    <w:rsid w:val="59913BEE"/>
    <w:rsid w:val="59939CAF"/>
    <w:rsid w:val="599A6027"/>
    <w:rsid w:val="599F7573"/>
    <w:rsid w:val="59A2594C"/>
    <w:rsid w:val="59A7A4D1"/>
    <w:rsid w:val="59AD6395"/>
    <w:rsid w:val="59AFCF28"/>
    <w:rsid w:val="59B01C00"/>
    <w:rsid w:val="59B0453D"/>
    <w:rsid w:val="59B2CE06"/>
    <w:rsid w:val="59B6E6AF"/>
    <w:rsid w:val="59B7533B"/>
    <w:rsid w:val="59BA2D3D"/>
    <w:rsid w:val="59BB83CF"/>
    <w:rsid w:val="59BC411B"/>
    <w:rsid w:val="59BD0190"/>
    <w:rsid w:val="59BF4705"/>
    <w:rsid w:val="59CBE3C6"/>
    <w:rsid w:val="59CEC6BA"/>
    <w:rsid w:val="59CEDDE9"/>
    <w:rsid w:val="59D18EA8"/>
    <w:rsid w:val="59D1B501"/>
    <w:rsid w:val="59D4EB1C"/>
    <w:rsid w:val="59D8C66C"/>
    <w:rsid w:val="59DFA082"/>
    <w:rsid w:val="59E9B9D3"/>
    <w:rsid w:val="59EA5E71"/>
    <w:rsid w:val="59FAE4A6"/>
    <w:rsid w:val="5A00847F"/>
    <w:rsid w:val="5A01074B"/>
    <w:rsid w:val="5A022CD9"/>
    <w:rsid w:val="5A045D49"/>
    <w:rsid w:val="5A07141B"/>
    <w:rsid w:val="5A168895"/>
    <w:rsid w:val="5A1B07C0"/>
    <w:rsid w:val="5A20E65A"/>
    <w:rsid w:val="5A28F9F2"/>
    <w:rsid w:val="5A2E5640"/>
    <w:rsid w:val="5A33EA0C"/>
    <w:rsid w:val="5A36E37E"/>
    <w:rsid w:val="5A377C98"/>
    <w:rsid w:val="5A37B36E"/>
    <w:rsid w:val="5A38F593"/>
    <w:rsid w:val="5A3970A4"/>
    <w:rsid w:val="5A3BB78C"/>
    <w:rsid w:val="5A3FA25C"/>
    <w:rsid w:val="5A416818"/>
    <w:rsid w:val="5A4A2419"/>
    <w:rsid w:val="5A608CFF"/>
    <w:rsid w:val="5A60F909"/>
    <w:rsid w:val="5A628BCE"/>
    <w:rsid w:val="5A6DF34B"/>
    <w:rsid w:val="5A7566DD"/>
    <w:rsid w:val="5A76D9CC"/>
    <w:rsid w:val="5A84C11F"/>
    <w:rsid w:val="5A850E2D"/>
    <w:rsid w:val="5A872524"/>
    <w:rsid w:val="5A892A07"/>
    <w:rsid w:val="5A89C135"/>
    <w:rsid w:val="5A8B250D"/>
    <w:rsid w:val="5A8E65DF"/>
    <w:rsid w:val="5A92A28C"/>
    <w:rsid w:val="5A97B811"/>
    <w:rsid w:val="5A985ACE"/>
    <w:rsid w:val="5A9A2BB5"/>
    <w:rsid w:val="5AA12F9C"/>
    <w:rsid w:val="5AA35D07"/>
    <w:rsid w:val="5AABD301"/>
    <w:rsid w:val="5AAC5865"/>
    <w:rsid w:val="5AAC9546"/>
    <w:rsid w:val="5AACD8D6"/>
    <w:rsid w:val="5AAECE38"/>
    <w:rsid w:val="5AAF9124"/>
    <w:rsid w:val="5AB6A21A"/>
    <w:rsid w:val="5AC0BAF1"/>
    <w:rsid w:val="5AC24D8C"/>
    <w:rsid w:val="5AC936B1"/>
    <w:rsid w:val="5ACCDFF0"/>
    <w:rsid w:val="5ACD0A29"/>
    <w:rsid w:val="5ACDE16C"/>
    <w:rsid w:val="5AD04899"/>
    <w:rsid w:val="5AD3B96F"/>
    <w:rsid w:val="5AD960A8"/>
    <w:rsid w:val="5ADCF37E"/>
    <w:rsid w:val="5ADDEE75"/>
    <w:rsid w:val="5AE554AE"/>
    <w:rsid w:val="5AE93A5B"/>
    <w:rsid w:val="5AED2887"/>
    <w:rsid w:val="5AF9E226"/>
    <w:rsid w:val="5AFAD88C"/>
    <w:rsid w:val="5B0016CD"/>
    <w:rsid w:val="5B0B83DE"/>
    <w:rsid w:val="5B0FDE44"/>
    <w:rsid w:val="5B11C911"/>
    <w:rsid w:val="5B129BD6"/>
    <w:rsid w:val="5B167BF6"/>
    <w:rsid w:val="5B16B529"/>
    <w:rsid w:val="5B171ED6"/>
    <w:rsid w:val="5B17F137"/>
    <w:rsid w:val="5B1D0167"/>
    <w:rsid w:val="5B1F5BB2"/>
    <w:rsid w:val="5B1F6F8A"/>
    <w:rsid w:val="5B203EB8"/>
    <w:rsid w:val="5B23B840"/>
    <w:rsid w:val="5B2C1732"/>
    <w:rsid w:val="5B2CDF4E"/>
    <w:rsid w:val="5B35133D"/>
    <w:rsid w:val="5B39E0FB"/>
    <w:rsid w:val="5B3B8C79"/>
    <w:rsid w:val="5B3F5FA0"/>
    <w:rsid w:val="5B3FA848"/>
    <w:rsid w:val="5B497304"/>
    <w:rsid w:val="5B4B0047"/>
    <w:rsid w:val="5B5B5849"/>
    <w:rsid w:val="5B5B5E2C"/>
    <w:rsid w:val="5B602D0A"/>
    <w:rsid w:val="5B6116E8"/>
    <w:rsid w:val="5B636F12"/>
    <w:rsid w:val="5B65A463"/>
    <w:rsid w:val="5B6CE42F"/>
    <w:rsid w:val="5B6FB876"/>
    <w:rsid w:val="5B76478B"/>
    <w:rsid w:val="5B81794C"/>
    <w:rsid w:val="5B81CA99"/>
    <w:rsid w:val="5B820AD0"/>
    <w:rsid w:val="5B837D93"/>
    <w:rsid w:val="5B8F205D"/>
    <w:rsid w:val="5B909528"/>
    <w:rsid w:val="5B91E959"/>
    <w:rsid w:val="5B9D32A6"/>
    <w:rsid w:val="5BA74B79"/>
    <w:rsid w:val="5BAA555D"/>
    <w:rsid w:val="5BAE4576"/>
    <w:rsid w:val="5BB5EE1B"/>
    <w:rsid w:val="5BB779CE"/>
    <w:rsid w:val="5BBCF0B8"/>
    <w:rsid w:val="5BC330C6"/>
    <w:rsid w:val="5BC7596D"/>
    <w:rsid w:val="5BC79B11"/>
    <w:rsid w:val="5BCADC0B"/>
    <w:rsid w:val="5BD2A269"/>
    <w:rsid w:val="5BD40BD5"/>
    <w:rsid w:val="5BD426F6"/>
    <w:rsid w:val="5BD95399"/>
    <w:rsid w:val="5BE37AFB"/>
    <w:rsid w:val="5BE3A47D"/>
    <w:rsid w:val="5BE8ED4A"/>
    <w:rsid w:val="5BEFAC0E"/>
    <w:rsid w:val="5BF227DC"/>
    <w:rsid w:val="5BF9823F"/>
    <w:rsid w:val="5C0204E8"/>
    <w:rsid w:val="5C0A90A7"/>
    <w:rsid w:val="5C0BD5B4"/>
    <w:rsid w:val="5C0E18D4"/>
    <w:rsid w:val="5C0FBE22"/>
    <w:rsid w:val="5C17AA87"/>
    <w:rsid w:val="5C1B39BA"/>
    <w:rsid w:val="5C1D66B8"/>
    <w:rsid w:val="5C21A35F"/>
    <w:rsid w:val="5C220FEA"/>
    <w:rsid w:val="5C23DF4A"/>
    <w:rsid w:val="5C25EF1F"/>
    <w:rsid w:val="5C2858AD"/>
    <w:rsid w:val="5C28B9D4"/>
    <w:rsid w:val="5C2C290F"/>
    <w:rsid w:val="5C2C39FF"/>
    <w:rsid w:val="5C35F665"/>
    <w:rsid w:val="5C3A2210"/>
    <w:rsid w:val="5C3F0B8A"/>
    <w:rsid w:val="5C47401E"/>
    <w:rsid w:val="5C4CBC37"/>
    <w:rsid w:val="5C4CF34C"/>
    <w:rsid w:val="5C4D9470"/>
    <w:rsid w:val="5C4DA2DC"/>
    <w:rsid w:val="5C59BB45"/>
    <w:rsid w:val="5C5B77DB"/>
    <w:rsid w:val="5C69BF6D"/>
    <w:rsid w:val="5C6A622D"/>
    <w:rsid w:val="5C6AB954"/>
    <w:rsid w:val="5C6D6F29"/>
    <w:rsid w:val="5C6E0558"/>
    <w:rsid w:val="5C6F6E7E"/>
    <w:rsid w:val="5C742C6E"/>
    <w:rsid w:val="5C7685C9"/>
    <w:rsid w:val="5C7A911E"/>
    <w:rsid w:val="5C802333"/>
    <w:rsid w:val="5C8A096A"/>
    <w:rsid w:val="5C92BCCA"/>
    <w:rsid w:val="5C950881"/>
    <w:rsid w:val="5C9878F7"/>
    <w:rsid w:val="5C9B8730"/>
    <w:rsid w:val="5CA18CC8"/>
    <w:rsid w:val="5CA18D81"/>
    <w:rsid w:val="5CA53504"/>
    <w:rsid w:val="5CA55453"/>
    <w:rsid w:val="5CA816D2"/>
    <w:rsid w:val="5CA95F30"/>
    <w:rsid w:val="5CAA197A"/>
    <w:rsid w:val="5CAD30E2"/>
    <w:rsid w:val="5CB2688D"/>
    <w:rsid w:val="5CB3864F"/>
    <w:rsid w:val="5CB5AFCF"/>
    <w:rsid w:val="5CB7B611"/>
    <w:rsid w:val="5CBE0824"/>
    <w:rsid w:val="5CC499BB"/>
    <w:rsid w:val="5CC7CF1D"/>
    <w:rsid w:val="5CC8315A"/>
    <w:rsid w:val="5CCBF83A"/>
    <w:rsid w:val="5CD240B4"/>
    <w:rsid w:val="5CD2EEBA"/>
    <w:rsid w:val="5CD3EDC9"/>
    <w:rsid w:val="5CD40C34"/>
    <w:rsid w:val="5CD46011"/>
    <w:rsid w:val="5CD99BD0"/>
    <w:rsid w:val="5CE745C6"/>
    <w:rsid w:val="5CEF687B"/>
    <w:rsid w:val="5CF2F25B"/>
    <w:rsid w:val="5CF43A23"/>
    <w:rsid w:val="5CF8D6A7"/>
    <w:rsid w:val="5CF9BD40"/>
    <w:rsid w:val="5CFBC2E9"/>
    <w:rsid w:val="5CFC02E0"/>
    <w:rsid w:val="5CFC1DC3"/>
    <w:rsid w:val="5CFD7C2E"/>
    <w:rsid w:val="5CFE48D5"/>
    <w:rsid w:val="5D0344BF"/>
    <w:rsid w:val="5D0816AE"/>
    <w:rsid w:val="5D0B65D9"/>
    <w:rsid w:val="5D14AA7A"/>
    <w:rsid w:val="5D2173B4"/>
    <w:rsid w:val="5D2890E1"/>
    <w:rsid w:val="5D2DC664"/>
    <w:rsid w:val="5D2F9C2C"/>
    <w:rsid w:val="5D3442F9"/>
    <w:rsid w:val="5D37F6F3"/>
    <w:rsid w:val="5D40E48E"/>
    <w:rsid w:val="5D4F18F0"/>
    <w:rsid w:val="5D53E365"/>
    <w:rsid w:val="5D5992FC"/>
    <w:rsid w:val="5D5A7C43"/>
    <w:rsid w:val="5D5B8E7A"/>
    <w:rsid w:val="5D68A2E4"/>
    <w:rsid w:val="5D77C3EA"/>
    <w:rsid w:val="5D793EA4"/>
    <w:rsid w:val="5D7B73CC"/>
    <w:rsid w:val="5D7DE62F"/>
    <w:rsid w:val="5D860688"/>
    <w:rsid w:val="5D8608B1"/>
    <w:rsid w:val="5D8681A1"/>
    <w:rsid w:val="5D92BEA4"/>
    <w:rsid w:val="5D97F8FA"/>
    <w:rsid w:val="5D9BFC93"/>
    <w:rsid w:val="5DAACC19"/>
    <w:rsid w:val="5DAF06C6"/>
    <w:rsid w:val="5DB02F9A"/>
    <w:rsid w:val="5DB7E083"/>
    <w:rsid w:val="5DBF7652"/>
    <w:rsid w:val="5DC38158"/>
    <w:rsid w:val="5DC4F7A0"/>
    <w:rsid w:val="5DC5FF95"/>
    <w:rsid w:val="5DCB6497"/>
    <w:rsid w:val="5DCBF705"/>
    <w:rsid w:val="5DCE5ADE"/>
    <w:rsid w:val="5DD4426F"/>
    <w:rsid w:val="5DDED1F5"/>
    <w:rsid w:val="5DE5B55D"/>
    <w:rsid w:val="5DE8D0EA"/>
    <w:rsid w:val="5DEA7540"/>
    <w:rsid w:val="5DF6473D"/>
    <w:rsid w:val="5DF6E378"/>
    <w:rsid w:val="5DFAF9C1"/>
    <w:rsid w:val="5E02B25B"/>
    <w:rsid w:val="5E03F6C2"/>
    <w:rsid w:val="5E043033"/>
    <w:rsid w:val="5E062723"/>
    <w:rsid w:val="5E13DA5E"/>
    <w:rsid w:val="5E160A6B"/>
    <w:rsid w:val="5E17F599"/>
    <w:rsid w:val="5E1A20E6"/>
    <w:rsid w:val="5E1BD89A"/>
    <w:rsid w:val="5E1FB59F"/>
    <w:rsid w:val="5E28252E"/>
    <w:rsid w:val="5E2AE0C9"/>
    <w:rsid w:val="5E2D38E7"/>
    <w:rsid w:val="5E301562"/>
    <w:rsid w:val="5E325084"/>
    <w:rsid w:val="5E338BDC"/>
    <w:rsid w:val="5E39D48B"/>
    <w:rsid w:val="5E39D5C2"/>
    <w:rsid w:val="5E43168F"/>
    <w:rsid w:val="5E44235E"/>
    <w:rsid w:val="5E4D9FD9"/>
    <w:rsid w:val="5E5276F6"/>
    <w:rsid w:val="5E5357F4"/>
    <w:rsid w:val="5E5E721F"/>
    <w:rsid w:val="5E69A48D"/>
    <w:rsid w:val="5E6EFA8B"/>
    <w:rsid w:val="5E6F2AAE"/>
    <w:rsid w:val="5E6F8AF4"/>
    <w:rsid w:val="5E77FCA9"/>
    <w:rsid w:val="5E815B4A"/>
    <w:rsid w:val="5E864E24"/>
    <w:rsid w:val="5E887A4A"/>
    <w:rsid w:val="5E88AA99"/>
    <w:rsid w:val="5E8A10E6"/>
    <w:rsid w:val="5E9050C4"/>
    <w:rsid w:val="5E9145A3"/>
    <w:rsid w:val="5E91488E"/>
    <w:rsid w:val="5E926C1E"/>
    <w:rsid w:val="5E94B443"/>
    <w:rsid w:val="5E9A6F88"/>
    <w:rsid w:val="5E9C5DF3"/>
    <w:rsid w:val="5E9D688E"/>
    <w:rsid w:val="5EA3BD9F"/>
    <w:rsid w:val="5EAA59B0"/>
    <w:rsid w:val="5EAB4DA5"/>
    <w:rsid w:val="5EABB0B7"/>
    <w:rsid w:val="5EB83837"/>
    <w:rsid w:val="5EB84692"/>
    <w:rsid w:val="5EBE1EA8"/>
    <w:rsid w:val="5ECD3A84"/>
    <w:rsid w:val="5ECD42C4"/>
    <w:rsid w:val="5ED49E63"/>
    <w:rsid w:val="5ED5BA61"/>
    <w:rsid w:val="5EDB97C1"/>
    <w:rsid w:val="5EDF5D1F"/>
    <w:rsid w:val="5EE26D19"/>
    <w:rsid w:val="5EE3FC8F"/>
    <w:rsid w:val="5EE6429B"/>
    <w:rsid w:val="5EE96796"/>
    <w:rsid w:val="5EEB1598"/>
    <w:rsid w:val="5EF049B9"/>
    <w:rsid w:val="5EF31FAE"/>
    <w:rsid w:val="5EF80287"/>
    <w:rsid w:val="5EF8D444"/>
    <w:rsid w:val="5EFF0AEA"/>
    <w:rsid w:val="5F017955"/>
    <w:rsid w:val="5F1F9130"/>
    <w:rsid w:val="5F209863"/>
    <w:rsid w:val="5F242C1E"/>
    <w:rsid w:val="5F2A5E84"/>
    <w:rsid w:val="5F3795E2"/>
    <w:rsid w:val="5F39B13D"/>
    <w:rsid w:val="5F4254AF"/>
    <w:rsid w:val="5F441B33"/>
    <w:rsid w:val="5F454504"/>
    <w:rsid w:val="5F4A336D"/>
    <w:rsid w:val="5F4F105D"/>
    <w:rsid w:val="5F4F6EE2"/>
    <w:rsid w:val="5F524A0E"/>
    <w:rsid w:val="5F598088"/>
    <w:rsid w:val="5F5AACB4"/>
    <w:rsid w:val="5F5C1EA4"/>
    <w:rsid w:val="5F5CB169"/>
    <w:rsid w:val="5F6415BB"/>
    <w:rsid w:val="5F660244"/>
    <w:rsid w:val="5F69D926"/>
    <w:rsid w:val="5F73DDA8"/>
    <w:rsid w:val="5F85B9C2"/>
    <w:rsid w:val="5F8AE884"/>
    <w:rsid w:val="5F8D9425"/>
    <w:rsid w:val="5F8F581E"/>
    <w:rsid w:val="5F9ABE16"/>
    <w:rsid w:val="5FA7BB07"/>
    <w:rsid w:val="5FA87D26"/>
    <w:rsid w:val="5FA9370A"/>
    <w:rsid w:val="5FB18833"/>
    <w:rsid w:val="5FB940DC"/>
    <w:rsid w:val="5FBCE605"/>
    <w:rsid w:val="5FBE35F2"/>
    <w:rsid w:val="5FC4A055"/>
    <w:rsid w:val="5FCA6F5A"/>
    <w:rsid w:val="5FCB0061"/>
    <w:rsid w:val="5FCE1B7F"/>
    <w:rsid w:val="5FCEBE4C"/>
    <w:rsid w:val="5FD053B7"/>
    <w:rsid w:val="5FD3C4D5"/>
    <w:rsid w:val="5FD9BA31"/>
    <w:rsid w:val="5FD9C33A"/>
    <w:rsid w:val="5FDBA5A2"/>
    <w:rsid w:val="5FE6046D"/>
    <w:rsid w:val="5FE7B3C9"/>
    <w:rsid w:val="5FEDAFDB"/>
    <w:rsid w:val="5FEEF5C0"/>
    <w:rsid w:val="5FF4C4B9"/>
    <w:rsid w:val="5FFCE53F"/>
    <w:rsid w:val="5FFEC413"/>
    <w:rsid w:val="5FFF6662"/>
    <w:rsid w:val="60004B6F"/>
    <w:rsid w:val="600AD3F1"/>
    <w:rsid w:val="600BCE88"/>
    <w:rsid w:val="600FDB5F"/>
    <w:rsid w:val="6010E2EE"/>
    <w:rsid w:val="60131CC0"/>
    <w:rsid w:val="60136BB5"/>
    <w:rsid w:val="601815A0"/>
    <w:rsid w:val="601B3018"/>
    <w:rsid w:val="60245C9C"/>
    <w:rsid w:val="6028B197"/>
    <w:rsid w:val="602A0DBC"/>
    <w:rsid w:val="602AB7A6"/>
    <w:rsid w:val="602B64C4"/>
    <w:rsid w:val="602D6790"/>
    <w:rsid w:val="602E199D"/>
    <w:rsid w:val="60346323"/>
    <w:rsid w:val="603A21FE"/>
    <w:rsid w:val="603A3D36"/>
    <w:rsid w:val="603DAA4D"/>
    <w:rsid w:val="603E8439"/>
    <w:rsid w:val="60438E53"/>
    <w:rsid w:val="6049F039"/>
    <w:rsid w:val="605098DE"/>
    <w:rsid w:val="60530160"/>
    <w:rsid w:val="605515CC"/>
    <w:rsid w:val="6058C725"/>
    <w:rsid w:val="6064D89F"/>
    <w:rsid w:val="6067C783"/>
    <w:rsid w:val="60689CBC"/>
    <w:rsid w:val="606B6E4B"/>
    <w:rsid w:val="606FB10D"/>
    <w:rsid w:val="6070E0E4"/>
    <w:rsid w:val="6071E48B"/>
    <w:rsid w:val="60789720"/>
    <w:rsid w:val="607BAD8E"/>
    <w:rsid w:val="60820A43"/>
    <w:rsid w:val="60880944"/>
    <w:rsid w:val="60888C23"/>
    <w:rsid w:val="608A4091"/>
    <w:rsid w:val="608A8A79"/>
    <w:rsid w:val="608FCB2B"/>
    <w:rsid w:val="6094E58D"/>
    <w:rsid w:val="609522A6"/>
    <w:rsid w:val="6098C2AE"/>
    <w:rsid w:val="6098FC26"/>
    <w:rsid w:val="6099CCCE"/>
    <w:rsid w:val="60A2A450"/>
    <w:rsid w:val="60A76ECB"/>
    <w:rsid w:val="60A86059"/>
    <w:rsid w:val="60A9B949"/>
    <w:rsid w:val="60A9E898"/>
    <w:rsid w:val="60ADE0AA"/>
    <w:rsid w:val="60AFEA85"/>
    <w:rsid w:val="60B1105D"/>
    <w:rsid w:val="60B2189C"/>
    <w:rsid w:val="60B47792"/>
    <w:rsid w:val="60B77DE7"/>
    <w:rsid w:val="60C2DD04"/>
    <w:rsid w:val="60C4B02D"/>
    <w:rsid w:val="60C4FF36"/>
    <w:rsid w:val="60C98FC0"/>
    <w:rsid w:val="60CA8621"/>
    <w:rsid w:val="60CDA593"/>
    <w:rsid w:val="60CE6410"/>
    <w:rsid w:val="60D3EC39"/>
    <w:rsid w:val="60D728C6"/>
    <w:rsid w:val="60DCD2F2"/>
    <w:rsid w:val="60EF6C09"/>
    <w:rsid w:val="60F00C6C"/>
    <w:rsid w:val="60F11136"/>
    <w:rsid w:val="60F535D4"/>
    <w:rsid w:val="60FD2C94"/>
    <w:rsid w:val="6101FCA4"/>
    <w:rsid w:val="61047129"/>
    <w:rsid w:val="61049377"/>
    <w:rsid w:val="6104C92D"/>
    <w:rsid w:val="61114A91"/>
    <w:rsid w:val="6117684E"/>
    <w:rsid w:val="6117A7A0"/>
    <w:rsid w:val="611BAA14"/>
    <w:rsid w:val="61221123"/>
    <w:rsid w:val="6125FEC1"/>
    <w:rsid w:val="6128321B"/>
    <w:rsid w:val="6128DDDD"/>
    <w:rsid w:val="612FA7BD"/>
    <w:rsid w:val="61329EAB"/>
    <w:rsid w:val="61396F0A"/>
    <w:rsid w:val="613D9D8D"/>
    <w:rsid w:val="613FF0CA"/>
    <w:rsid w:val="614E7034"/>
    <w:rsid w:val="61511E47"/>
    <w:rsid w:val="61513366"/>
    <w:rsid w:val="6151D673"/>
    <w:rsid w:val="615432B3"/>
    <w:rsid w:val="615C183C"/>
    <w:rsid w:val="615D332D"/>
    <w:rsid w:val="615E9EBF"/>
    <w:rsid w:val="61600421"/>
    <w:rsid w:val="61627293"/>
    <w:rsid w:val="6165205D"/>
    <w:rsid w:val="616BF232"/>
    <w:rsid w:val="616EA43F"/>
    <w:rsid w:val="6178532A"/>
    <w:rsid w:val="617D9AE1"/>
    <w:rsid w:val="6188F3BB"/>
    <w:rsid w:val="618E1645"/>
    <w:rsid w:val="618E893E"/>
    <w:rsid w:val="618FB444"/>
    <w:rsid w:val="6196C595"/>
    <w:rsid w:val="61997B4F"/>
    <w:rsid w:val="61998BCF"/>
    <w:rsid w:val="619C436B"/>
    <w:rsid w:val="619CE0B5"/>
    <w:rsid w:val="61A5B81A"/>
    <w:rsid w:val="61AC4F7B"/>
    <w:rsid w:val="61B97809"/>
    <w:rsid w:val="61BB1A6D"/>
    <w:rsid w:val="61BDD380"/>
    <w:rsid w:val="61BF0130"/>
    <w:rsid w:val="61BF5BB4"/>
    <w:rsid w:val="61C0B75C"/>
    <w:rsid w:val="61C0EC7A"/>
    <w:rsid w:val="61CF1789"/>
    <w:rsid w:val="61D6F690"/>
    <w:rsid w:val="61E2A4D0"/>
    <w:rsid w:val="61E865A6"/>
    <w:rsid w:val="61EABF00"/>
    <w:rsid w:val="61EB873C"/>
    <w:rsid w:val="61EF607F"/>
    <w:rsid w:val="61EFAFA4"/>
    <w:rsid w:val="61F3279A"/>
    <w:rsid w:val="61F38EB8"/>
    <w:rsid w:val="61F41F50"/>
    <w:rsid w:val="61F48AAD"/>
    <w:rsid w:val="61F50411"/>
    <w:rsid w:val="61FE62C2"/>
    <w:rsid w:val="6201CFB1"/>
    <w:rsid w:val="6205A25B"/>
    <w:rsid w:val="620C170E"/>
    <w:rsid w:val="621165AD"/>
    <w:rsid w:val="62146105"/>
    <w:rsid w:val="621725C2"/>
    <w:rsid w:val="62177EC6"/>
    <w:rsid w:val="62198E80"/>
    <w:rsid w:val="6225BB72"/>
    <w:rsid w:val="6226262E"/>
    <w:rsid w:val="6226AFCC"/>
    <w:rsid w:val="622EC792"/>
    <w:rsid w:val="623A79BE"/>
    <w:rsid w:val="623CD0A2"/>
    <w:rsid w:val="623D3AC2"/>
    <w:rsid w:val="6242D415"/>
    <w:rsid w:val="62439EF7"/>
    <w:rsid w:val="62446E83"/>
    <w:rsid w:val="6247E65C"/>
    <w:rsid w:val="6249456E"/>
    <w:rsid w:val="624B86EC"/>
    <w:rsid w:val="624DBCA0"/>
    <w:rsid w:val="624F4AEA"/>
    <w:rsid w:val="62556076"/>
    <w:rsid w:val="6255A65E"/>
    <w:rsid w:val="62580DCA"/>
    <w:rsid w:val="625B456E"/>
    <w:rsid w:val="625E46DC"/>
    <w:rsid w:val="6264DD7A"/>
    <w:rsid w:val="626CB898"/>
    <w:rsid w:val="627031DF"/>
    <w:rsid w:val="627434F7"/>
    <w:rsid w:val="6275E061"/>
    <w:rsid w:val="627B85F5"/>
    <w:rsid w:val="627E6BE6"/>
    <w:rsid w:val="628079C3"/>
    <w:rsid w:val="6283968F"/>
    <w:rsid w:val="6288C374"/>
    <w:rsid w:val="62918AF6"/>
    <w:rsid w:val="6293F0A2"/>
    <w:rsid w:val="62968B28"/>
    <w:rsid w:val="629A3316"/>
    <w:rsid w:val="62AC80DE"/>
    <w:rsid w:val="62B27D33"/>
    <w:rsid w:val="62BD5079"/>
    <w:rsid w:val="62C9EE16"/>
    <w:rsid w:val="62CBBFE5"/>
    <w:rsid w:val="62CE7DCF"/>
    <w:rsid w:val="62D5936E"/>
    <w:rsid w:val="62D733D6"/>
    <w:rsid w:val="62E4C7EA"/>
    <w:rsid w:val="62E6EC61"/>
    <w:rsid w:val="62EAB3EA"/>
    <w:rsid w:val="62EB5810"/>
    <w:rsid w:val="62EC7FF6"/>
    <w:rsid w:val="62ED9B2A"/>
    <w:rsid w:val="62F45B3C"/>
    <w:rsid w:val="62F632E5"/>
    <w:rsid w:val="62F74A83"/>
    <w:rsid w:val="6300588C"/>
    <w:rsid w:val="63013AAC"/>
    <w:rsid w:val="630A259F"/>
    <w:rsid w:val="630A45BE"/>
    <w:rsid w:val="630BABAD"/>
    <w:rsid w:val="631351F8"/>
    <w:rsid w:val="631414D4"/>
    <w:rsid w:val="631517EA"/>
    <w:rsid w:val="631AF22F"/>
    <w:rsid w:val="632880C2"/>
    <w:rsid w:val="632A8056"/>
    <w:rsid w:val="6332CC80"/>
    <w:rsid w:val="6332DEEB"/>
    <w:rsid w:val="6333F933"/>
    <w:rsid w:val="633645DB"/>
    <w:rsid w:val="6346B52E"/>
    <w:rsid w:val="63474D0C"/>
    <w:rsid w:val="63482E7E"/>
    <w:rsid w:val="634B4E42"/>
    <w:rsid w:val="634CE5BA"/>
    <w:rsid w:val="634D5437"/>
    <w:rsid w:val="6358E946"/>
    <w:rsid w:val="63598D39"/>
    <w:rsid w:val="635ACDE2"/>
    <w:rsid w:val="635ACE61"/>
    <w:rsid w:val="635E9E8E"/>
    <w:rsid w:val="636985AF"/>
    <w:rsid w:val="636C6855"/>
    <w:rsid w:val="637723B8"/>
    <w:rsid w:val="637AD4CB"/>
    <w:rsid w:val="637C2E6A"/>
    <w:rsid w:val="637D3757"/>
    <w:rsid w:val="637F3C4A"/>
    <w:rsid w:val="63832D5E"/>
    <w:rsid w:val="63852C52"/>
    <w:rsid w:val="638C04E7"/>
    <w:rsid w:val="638DA057"/>
    <w:rsid w:val="63999A62"/>
    <w:rsid w:val="639B2B4B"/>
    <w:rsid w:val="639BB475"/>
    <w:rsid w:val="639DEEC1"/>
    <w:rsid w:val="63A4DB7D"/>
    <w:rsid w:val="63AA6A2A"/>
    <w:rsid w:val="63AABD61"/>
    <w:rsid w:val="63C220FB"/>
    <w:rsid w:val="63C24FB0"/>
    <w:rsid w:val="63C32565"/>
    <w:rsid w:val="63CA564D"/>
    <w:rsid w:val="63CF979A"/>
    <w:rsid w:val="63DA26D2"/>
    <w:rsid w:val="63DBABDC"/>
    <w:rsid w:val="63DBE8C4"/>
    <w:rsid w:val="63EC08B6"/>
    <w:rsid w:val="63EC2DBA"/>
    <w:rsid w:val="63F56004"/>
    <w:rsid w:val="63F72167"/>
    <w:rsid w:val="64016999"/>
    <w:rsid w:val="64057FB9"/>
    <w:rsid w:val="640793AD"/>
    <w:rsid w:val="64093C7D"/>
    <w:rsid w:val="640DDC03"/>
    <w:rsid w:val="6413EEB4"/>
    <w:rsid w:val="641843DB"/>
    <w:rsid w:val="64185864"/>
    <w:rsid w:val="641CEA24"/>
    <w:rsid w:val="6422BFEE"/>
    <w:rsid w:val="64268C85"/>
    <w:rsid w:val="64302D27"/>
    <w:rsid w:val="6438DFF7"/>
    <w:rsid w:val="643ACE04"/>
    <w:rsid w:val="643C959F"/>
    <w:rsid w:val="64419212"/>
    <w:rsid w:val="644306D0"/>
    <w:rsid w:val="6445101A"/>
    <w:rsid w:val="64461B69"/>
    <w:rsid w:val="644A9DD5"/>
    <w:rsid w:val="644E1B6F"/>
    <w:rsid w:val="64584869"/>
    <w:rsid w:val="645DBDAD"/>
    <w:rsid w:val="646321FE"/>
    <w:rsid w:val="6464D7A6"/>
    <w:rsid w:val="64681442"/>
    <w:rsid w:val="64698532"/>
    <w:rsid w:val="646B584D"/>
    <w:rsid w:val="646C8E49"/>
    <w:rsid w:val="6486D1EF"/>
    <w:rsid w:val="648BD4D0"/>
    <w:rsid w:val="648BE26D"/>
    <w:rsid w:val="648D162D"/>
    <w:rsid w:val="64912243"/>
    <w:rsid w:val="6493AF44"/>
    <w:rsid w:val="649A17CF"/>
    <w:rsid w:val="649B4EF1"/>
    <w:rsid w:val="64A5BDB9"/>
    <w:rsid w:val="64AD3473"/>
    <w:rsid w:val="64B27D4F"/>
    <w:rsid w:val="64B9CA98"/>
    <w:rsid w:val="64BE221D"/>
    <w:rsid w:val="64C2CB9E"/>
    <w:rsid w:val="64C38030"/>
    <w:rsid w:val="64C3BCCA"/>
    <w:rsid w:val="64C83993"/>
    <w:rsid w:val="64C9CB88"/>
    <w:rsid w:val="64CCA2A4"/>
    <w:rsid w:val="64D1CB12"/>
    <w:rsid w:val="64D5748D"/>
    <w:rsid w:val="64D7E3BE"/>
    <w:rsid w:val="64D889E2"/>
    <w:rsid w:val="64DBF0A3"/>
    <w:rsid w:val="64E15BFD"/>
    <w:rsid w:val="64F43303"/>
    <w:rsid w:val="64F6BF54"/>
    <w:rsid w:val="64F9CC72"/>
    <w:rsid w:val="64FE2E65"/>
    <w:rsid w:val="64FE9166"/>
    <w:rsid w:val="6510D2E2"/>
    <w:rsid w:val="6512F32D"/>
    <w:rsid w:val="65141634"/>
    <w:rsid w:val="65158FA9"/>
    <w:rsid w:val="6515CD83"/>
    <w:rsid w:val="6517BAEA"/>
    <w:rsid w:val="6524C148"/>
    <w:rsid w:val="652900F4"/>
    <w:rsid w:val="652BDB4E"/>
    <w:rsid w:val="652F9FBF"/>
    <w:rsid w:val="6532FB80"/>
    <w:rsid w:val="6536580B"/>
    <w:rsid w:val="6541F24E"/>
    <w:rsid w:val="6545D0E8"/>
    <w:rsid w:val="6546DBDC"/>
    <w:rsid w:val="654E7CA6"/>
    <w:rsid w:val="655A1794"/>
    <w:rsid w:val="655D98DC"/>
    <w:rsid w:val="65623BAA"/>
    <w:rsid w:val="6562D5C4"/>
    <w:rsid w:val="65693F5D"/>
    <w:rsid w:val="65792A54"/>
    <w:rsid w:val="657E8E4C"/>
    <w:rsid w:val="6584AEA8"/>
    <w:rsid w:val="658601FE"/>
    <w:rsid w:val="6587DDA6"/>
    <w:rsid w:val="658806DC"/>
    <w:rsid w:val="65880D1E"/>
    <w:rsid w:val="659346D5"/>
    <w:rsid w:val="65975AC1"/>
    <w:rsid w:val="65AA2354"/>
    <w:rsid w:val="65AC40E2"/>
    <w:rsid w:val="65B7DEC3"/>
    <w:rsid w:val="65BB79F4"/>
    <w:rsid w:val="65C359A8"/>
    <w:rsid w:val="65CA262B"/>
    <w:rsid w:val="65CBBB95"/>
    <w:rsid w:val="65CDC719"/>
    <w:rsid w:val="65CF98E8"/>
    <w:rsid w:val="65D6FFC4"/>
    <w:rsid w:val="65DA029C"/>
    <w:rsid w:val="65DB3731"/>
    <w:rsid w:val="65E22272"/>
    <w:rsid w:val="65E2E082"/>
    <w:rsid w:val="65F056C4"/>
    <w:rsid w:val="65F814C6"/>
    <w:rsid w:val="65F845E3"/>
    <w:rsid w:val="65F97203"/>
    <w:rsid w:val="65FC7B69"/>
    <w:rsid w:val="660FA18B"/>
    <w:rsid w:val="66147279"/>
    <w:rsid w:val="6621D870"/>
    <w:rsid w:val="662B54B8"/>
    <w:rsid w:val="662E3816"/>
    <w:rsid w:val="662FC05F"/>
    <w:rsid w:val="66341B09"/>
    <w:rsid w:val="66360EFF"/>
    <w:rsid w:val="6636405C"/>
    <w:rsid w:val="66381305"/>
    <w:rsid w:val="66387CC7"/>
    <w:rsid w:val="663CD961"/>
    <w:rsid w:val="663F859C"/>
    <w:rsid w:val="664768C1"/>
    <w:rsid w:val="664CE5C7"/>
    <w:rsid w:val="6655CD0E"/>
    <w:rsid w:val="6658CB5B"/>
    <w:rsid w:val="66599CD9"/>
    <w:rsid w:val="666187C4"/>
    <w:rsid w:val="66633123"/>
    <w:rsid w:val="66660A31"/>
    <w:rsid w:val="6668B048"/>
    <w:rsid w:val="6673CC40"/>
    <w:rsid w:val="66775DE3"/>
    <w:rsid w:val="6678D7AC"/>
    <w:rsid w:val="667AF8D7"/>
    <w:rsid w:val="667B5DD9"/>
    <w:rsid w:val="667DD012"/>
    <w:rsid w:val="66809C39"/>
    <w:rsid w:val="66825DBC"/>
    <w:rsid w:val="66862362"/>
    <w:rsid w:val="6689B027"/>
    <w:rsid w:val="6694A6FB"/>
    <w:rsid w:val="6694E6B4"/>
    <w:rsid w:val="669ABF83"/>
    <w:rsid w:val="66AD11FD"/>
    <w:rsid w:val="66AEB15D"/>
    <w:rsid w:val="66B006FE"/>
    <w:rsid w:val="66B00BB4"/>
    <w:rsid w:val="66B76C4A"/>
    <w:rsid w:val="66BCF584"/>
    <w:rsid w:val="66C3B18C"/>
    <w:rsid w:val="66D10C32"/>
    <w:rsid w:val="66D166B6"/>
    <w:rsid w:val="66D7027A"/>
    <w:rsid w:val="66E35971"/>
    <w:rsid w:val="66E436BD"/>
    <w:rsid w:val="66E6FF4D"/>
    <w:rsid w:val="66E91723"/>
    <w:rsid w:val="66EF3801"/>
    <w:rsid w:val="66F772D0"/>
    <w:rsid w:val="66FAEA86"/>
    <w:rsid w:val="66FCAD69"/>
    <w:rsid w:val="67040938"/>
    <w:rsid w:val="670977AD"/>
    <w:rsid w:val="67106C92"/>
    <w:rsid w:val="6716F3ED"/>
    <w:rsid w:val="6717982C"/>
    <w:rsid w:val="6719A589"/>
    <w:rsid w:val="671C72E3"/>
    <w:rsid w:val="671C919A"/>
    <w:rsid w:val="6722A504"/>
    <w:rsid w:val="67300E73"/>
    <w:rsid w:val="6736F0AD"/>
    <w:rsid w:val="6737ED96"/>
    <w:rsid w:val="673DCBC8"/>
    <w:rsid w:val="673FEA4B"/>
    <w:rsid w:val="67401D0E"/>
    <w:rsid w:val="67491243"/>
    <w:rsid w:val="674ADF0F"/>
    <w:rsid w:val="67513719"/>
    <w:rsid w:val="67564E35"/>
    <w:rsid w:val="6758F8DE"/>
    <w:rsid w:val="6759ED46"/>
    <w:rsid w:val="675AB75E"/>
    <w:rsid w:val="675AD64C"/>
    <w:rsid w:val="675ED711"/>
    <w:rsid w:val="67625D9B"/>
    <w:rsid w:val="6768C803"/>
    <w:rsid w:val="676D3726"/>
    <w:rsid w:val="676F27C6"/>
    <w:rsid w:val="67755935"/>
    <w:rsid w:val="6779AA6E"/>
    <w:rsid w:val="677BEA98"/>
    <w:rsid w:val="6787F8A9"/>
    <w:rsid w:val="6788B696"/>
    <w:rsid w:val="678AE7FC"/>
    <w:rsid w:val="67929C2E"/>
    <w:rsid w:val="67972B21"/>
    <w:rsid w:val="679CD355"/>
    <w:rsid w:val="679E6810"/>
    <w:rsid w:val="67A2D15C"/>
    <w:rsid w:val="67B279DE"/>
    <w:rsid w:val="67BAE576"/>
    <w:rsid w:val="67BEF3DC"/>
    <w:rsid w:val="67C29E4B"/>
    <w:rsid w:val="67C44EE3"/>
    <w:rsid w:val="67C8728D"/>
    <w:rsid w:val="67D5245A"/>
    <w:rsid w:val="67D60720"/>
    <w:rsid w:val="67D6A24B"/>
    <w:rsid w:val="67D6BD19"/>
    <w:rsid w:val="67D96C43"/>
    <w:rsid w:val="67D9EE7B"/>
    <w:rsid w:val="67DB55ED"/>
    <w:rsid w:val="67DE770B"/>
    <w:rsid w:val="67E1481A"/>
    <w:rsid w:val="67E5250A"/>
    <w:rsid w:val="67E58B8D"/>
    <w:rsid w:val="67E599A8"/>
    <w:rsid w:val="67E7B98D"/>
    <w:rsid w:val="67E851AB"/>
    <w:rsid w:val="67EC57ED"/>
    <w:rsid w:val="67EE26F8"/>
    <w:rsid w:val="67FF6301"/>
    <w:rsid w:val="67FFAB80"/>
    <w:rsid w:val="68151560"/>
    <w:rsid w:val="681525B4"/>
    <w:rsid w:val="681576BA"/>
    <w:rsid w:val="68194DBD"/>
    <w:rsid w:val="681A3E49"/>
    <w:rsid w:val="681AC998"/>
    <w:rsid w:val="681BC7B7"/>
    <w:rsid w:val="681CE8EC"/>
    <w:rsid w:val="681DBC63"/>
    <w:rsid w:val="68246C3F"/>
    <w:rsid w:val="6827C4D6"/>
    <w:rsid w:val="68290524"/>
    <w:rsid w:val="68301B9A"/>
    <w:rsid w:val="6834A5D5"/>
    <w:rsid w:val="6834B71B"/>
    <w:rsid w:val="683B8D44"/>
    <w:rsid w:val="683E549F"/>
    <w:rsid w:val="684019DC"/>
    <w:rsid w:val="68448595"/>
    <w:rsid w:val="684A8F1A"/>
    <w:rsid w:val="684D911D"/>
    <w:rsid w:val="685750C4"/>
    <w:rsid w:val="685CA76E"/>
    <w:rsid w:val="6864A9BE"/>
    <w:rsid w:val="68669748"/>
    <w:rsid w:val="6867114F"/>
    <w:rsid w:val="686FF031"/>
    <w:rsid w:val="68755BB8"/>
    <w:rsid w:val="687EDEDF"/>
    <w:rsid w:val="687FDC3C"/>
    <w:rsid w:val="6882087A"/>
    <w:rsid w:val="68877075"/>
    <w:rsid w:val="688847F9"/>
    <w:rsid w:val="688B908B"/>
    <w:rsid w:val="68911929"/>
    <w:rsid w:val="68965F22"/>
    <w:rsid w:val="68973FED"/>
    <w:rsid w:val="689EFAC0"/>
    <w:rsid w:val="689F4A2C"/>
    <w:rsid w:val="68A28B85"/>
    <w:rsid w:val="68A7290F"/>
    <w:rsid w:val="68A8A061"/>
    <w:rsid w:val="68AAB1E6"/>
    <w:rsid w:val="68AE2B8A"/>
    <w:rsid w:val="68AEFF0F"/>
    <w:rsid w:val="68AF6B16"/>
    <w:rsid w:val="68B9D7A7"/>
    <w:rsid w:val="68BD9752"/>
    <w:rsid w:val="68BEFB56"/>
    <w:rsid w:val="68C0727B"/>
    <w:rsid w:val="68C5326F"/>
    <w:rsid w:val="68C9517A"/>
    <w:rsid w:val="68CB2B19"/>
    <w:rsid w:val="68CBE904"/>
    <w:rsid w:val="68D1AC67"/>
    <w:rsid w:val="68D399CF"/>
    <w:rsid w:val="68E7FB5A"/>
    <w:rsid w:val="68E976BA"/>
    <w:rsid w:val="68EAE885"/>
    <w:rsid w:val="68EAE8FF"/>
    <w:rsid w:val="68ED2236"/>
    <w:rsid w:val="68EE848B"/>
    <w:rsid w:val="68EFD353"/>
    <w:rsid w:val="68F3A485"/>
    <w:rsid w:val="68F4E69A"/>
    <w:rsid w:val="68FFA92A"/>
    <w:rsid w:val="6903F615"/>
    <w:rsid w:val="69068972"/>
    <w:rsid w:val="691929D0"/>
    <w:rsid w:val="691EED03"/>
    <w:rsid w:val="692149F4"/>
    <w:rsid w:val="6922960A"/>
    <w:rsid w:val="69249443"/>
    <w:rsid w:val="6924A00A"/>
    <w:rsid w:val="692C3000"/>
    <w:rsid w:val="692E065A"/>
    <w:rsid w:val="6936FEF9"/>
    <w:rsid w:val="6945F20F"/>
    <w:rsid w:val="694852BB"/>
    <w:rsid w:val="694BDC06"/>
    <w:rsid w:val="6959CA8E"/>
    <w:rsid w:val="695B0398"/>
    <w:rsid w:val="695C55A7"/>
    <w:rsid w:val="696408EB"/>
    <w:rsid w:val="6966CB2C"/>
    <w:rsid w:val="6967E119"/>
    <w:rsid w:val="69681F22"/>
    <w:rsid w:val="696AD79B"/>
    <w:rsid w:val="696AEB11"/>
    <w:rsid w:val="696FAA32"/>
    <w:rsid w:val="69797821"/>
    <w:rsid w:val="697CB85E"/>
    <w:rsid w:val="697D4BC7"/>
    <w:rsid w:val="697FBE98"/>
    <w:rsid w:val="698E6A4D"/>
    <w:rsid w:val="698EA360"/>
    <w:rsid w:val="69929F75"/>
    <w:rsid w:val="699446B4"/>
    <w:rsid w:val="699AC17D"/>
    <w:rsid w:val="699EC1FC"/>
    <w:rsid w:val="69A949A8"/>
    <w:rsid w:val="69ACB333"/>
    <w:rsid w:val="69AE2A8C"/>
    <w:rsid w:val="69AF3736"/>
    <w:rsid w:val="69B27F0A"/>
    <w:rsid w:val="69B5D184"/>
    <w:rsid w:val="69B997E8"/>
    <w:rsid w:val="69BC3B78"/>
    <w:rsid w:val="69BF1838"/>
    <w:rsid w:val="69C0FED5"/>
    <w:rsid w:val="69C1DA24"/>
    <w:rsid w:val="69CBF873"/>
    <w:rsid w:val="69CC5FE9"/>
    <w:rsid w:val="69D0A83D"/>
    <w:rsid w:val="69D921F3"/>
    <w:rsid w:val="69D9B453"/>
    <w:rsid w:val="69DC5F09"/>
    <w:rsid w:val="69DECDB2"/>
    <w:rsid w:val="69E30194"/>
    <w:rsid w:val="69E87403"/>
    <w:rsid w:val="69EAF9DD"/>
    <w:rsid w:val="69EB0F65"/>
    <w:rsid w:val="69EB40C7"/>
    <w:rsid w:val="69EFDB11"/>
    <w:rsid w:val="69F84CF4"/>
    <w:rsid w:val="69FE6456"/>
    <w:rsid w:val="6A062A1C"/>
    <w:rsid w:val="6A06A9D3"/>
    <w:rsid w:val="6A0B46B5"/>
    <w:rsid w:val="6A103459"/>
    <w:rsid w:val="6A152870"/>
    <w:rsid w:val="6A17B053"/>
    <w:rsid w:val="6A1873B5"/>
    <w:rsid w:val="6A1CEC1D"/>
    <w:rsid w:val="6A256990"/>
    <w:rsid w:val="6A2627C5"/>
    <w:rsid w:val="6A2893CE"/>
    <w:rsid w:val="6A2998B8"/>
    <w:rsid w:val="6A2D9037"/>
    <w:rsid w:val="6A32AE1D"/>
    <w:rsid w:val="6A34443C"/>
    <w:rsid w:val="6A36ACD1"/>
    <w:rsid w:val="6A374A21"/>
    <w:rsid w:val="6A3A9AA4"/>
    <w:rsid w:val="6A3DA042"/>
    <w:rsid w:val="6A41DF45"/>
    <w:rsid w:val="6A421864"/>
    <w:rsid w:val="6A4375A8"/>
    <w:rsid w:val="6A44F1C8"/>
    <w:rsid w:val="6A45BF21"/>
    <w:rsid w:val="6A462539"/>
    <w:rsid w:val="6A485E13"/>
    <w:rsid w:val="6A4AD26A"/>
    <w:rsid w:val="6A4B124D"/>
    <w:rsid w:val="6A4FFC8B"/>
    <w:rsid w:val="6A51E90C"/>
    <w:rsid w:val="6A542590"/>
    <w:rsid w:val="6A54AF8B"/>
    <w:rsid w:val="6A59A210"/>
    <w:rsid w:val="6A59A347"/>
    <w:rsid w:val="6A5CF354"/>
    <w:rsid w:val="6A60AF66"/>
    <w:rsid w:val="6A619C93"/>
    <w:rsid w:val="6A674F41"/>
    <w:rsid w:val="6A677B8A"/>
    <w:rsid w:val="6A6A909D"/>
    <w:rsid w:val="6A6BBA97"/>
    <w:rsid w:val="6A6FC099"/>
    <w:rsid w:val="6A78D807"/>
    <w:rsid w:val="6A7D3E09"/>
    <w:rsid w:val="6A7D95CE"/>
    <w:rsid w:val="6A7F2154"/>
    <w:rsid w:val="6A7FF46A"/>
    <w:rsid w:val="6A888FC8"/>
    <w:rsid w:val="6A8B286B"/>
    <w:rsid w:val="6A8C57AC"/>
    <w:rsid w:val="6A97B5E5"/>
    <w:rsid w:val="6A984C4D"/>
    <w:rsid w:val="6A995F2C"/>
    <w:rsid w:val="6A9BF80F"/>
    <w:rsid w:val="6A9E9F8A"/>
    <w:rsid w:val="6AA2664A"/>
    <w:rsid w:val="6AA41383"/>
    <w:rsid w:val="6AA9CA5C"/>
    <w:rsid w:val="6AAC34C1"/>
    <w:rsid w:val="6AAFFA48"/>
    <w:rsid w:val="6AB160D2"/>
    <w:rsid w:val="6AB5E343"/>
    <w:rsid w:val="6AB872F1"/>
    <w:rsid w:val="6ABE0B94"/>
    <w:rsid w:val="6AC01256"/>
    <w:rsid w:val="6AC4EA73"/>
    <w:rsid w:val="6ACEAFDA"/>
    <w:rsid w:val="6ACF840F"/>
    <w:rsid w:val="6AD41B70"/>
    <w:rsid w:val="6AD5434B"/>
    <w:rsid w:val="6ADE9BDB"/>
    <w:rsid w:val="6ADF4A52"/>
    <w:rsid w:val="6AE0DEF5"/>
    <w:rsid w:val="6AF52B37"/>
    <w:rsid w:val="6AF5AE4D"/>
    <w:rsid w:val="6AF70812"/>
    <w:rsid w:val="6AFC389C"/>
    <w:rsid w:val="6AFEB457"/>
    <w:rsid w:val="6AFF2614"/>
    <w:rsid w:val="6B0368CD"/>
    <w:rsid w:val="6B051069"/>
    <w:rsid w:val="6B07D30B"/>
    <w:rsid w:val="6B0AD7B2"/>
    <w:rsid w:val="6B0D1538"/>
    <w:rsid w:val="6B173CB6"/>
    <w:rsid w:val="6B194EEE"/>
    <w:rsid w:val="6B1A8FA3"/>
    <w:rsid w:val="6B201413"/>
    <w:rsid w:val="6B284C14"/>
    <w:rsid w:val="6B2EBE6B"/>
    <w:rsid w:val="6B3271B3"/>
    <w:rsid w:val="6B403743"/>
    <w:rsid w:val="6B43A05A"/>
    <w:rsid w:val="6B49125F"/>
    <w:rsid w:val="6B4BC626"/>
    <w:rsid w:val="6B520F7C"/>
    <w:rsid w:val="6B5A0549"/>
    <w:rsid w:val="6B5DD6E8"/>
    <w:rsid w:val="6B60EBB2"/>
    <w:rsid w:val="6B633939"/>
    <w:rsid w:val="6B63BE09"/>
    <w:rsid w:val="6B64D82F"/>
    <w:rsid w:val="6B689057"/>
    <w:rsid w:val="6B6B06EA"/>
    <w:rsid w:val="6B6BD0F4"/>
    <w:rsid w:val="6B76C730"/>
    <w:rsid w:val="6B7C4BB6"/>
    <w:rsid w:val="6B8140C1"/>
    <w:rsid w:val="6B8378AC"/>
    <w:rsid w:val="6B8E7E6D"/>
    <w:rsid w:val="6B91780A"/>
    <w:rsid w:val="6B947FD3"/>
    <w:rsid w:val="6B959627"/>
    <w:rsid w:val="6B98C0A6"/>
    <w:rsid w:val="6BA96D37"/>
    <w:rsid w:val="6BAB1A44"/>
    <w:rsid w:val="6BAE11BC"/>
    <w:rsid w:val="6BB59173"/>
    <w:rsid w:val="6BB9AA8A"/>
    <w:rsid w:val="6BBAF213"/>
    <w:rsid w:val="6BBD3BDD"/>
    <w:rsid w:val="6BC32A76"/>
    <w:rsid w:val="6BC94B47"/>
    <w:rsid w:val="6BCDC473"/>
    <w:rsid w:val="6BD48755"/>
    <w:rsid w:val="6BD6D1E7"/>
    <w:rsid w:val="6BDB070E"/>
    <w:rsid w:val="6BE648F2"/>
    <w:rsid w:val="6BEA6D44"/>
    <w:rsid w:val="6BEB0DD1"/>
    <w:rsid w:val="6BEB9FA2"/>
    <w:rsid w:val="6BF2605F"/>
    <w:rsid w:val="6BF49D5F"/>
    <w:rsid w:val="6BF8090D"/>
    <w:rsid w:val="6BFE6662"/>
    <w:rsid w:val="6BFE7B2E"/>
    <w:rsid w:val="6BFEA83A"/>
    <w:rsid w:val="6C02A567"/>
    <w:rsid w:val="6C03B188"/>
    <w:rsid w:val="6C0AF309"/>
    <w:rsid w:val="6C0AFF66"/>
    <w:rsid w:val="6C0B414F"/>
    <w:rsid w:val="6C0D4537"/>
    <w:rsid w:val="6C0E49C4"/>
    <w:rsid w:val="6C0F1871"/>
    <w:rsid w:val="6C137042"/>
    <w:rsid w:val="6C13F8A0"/>
    <w:rsid w:val="6C14E6F3"/>
    <w:rsid w:val="6C166E61"/>
    <w:rsid w:val="6C1A16B0"/>
    <w:rsid w:val="6C224CD3"/>
    <w:rsid w:val="6C23402F"/>
    <w:rsid w:val="6C2D118C"/>
    <w:rsid w:val="6C30AAFC"/>
    <w:rsid w:val="6C372AFA"/>
    <w:rsid w:val="6C37E3FD"/>
    <w:rsid w:val="6C38C347"/>
    <w:rsid w:val="6C3A14B4"/>
    <w:rsid w:val="6C3A8F0E"/>
    <w:rsid w:val="6C3DDD15"/>
    <w:rsid w:val="6C3F3239"/>
    <w:rsid w:val="6C40ED5D"/>
    <w:rsid w:val="6C416ED6"/>
    <w:rsid w:val="6C4C2845"/>
    <w:rsid w:val="6C4E4130"/>
    <w:rsid w:val="6C50F92B"/>
    <w:rsid w:val="6C549B9F"/>
    <w:rsid w:val="6C5BF435"/>
    <w:rsid w:val="6C5D8428"/>
    <w:rsid w:val="6C675E1F"/>
    <w:rsid w:val="6C6A2B0B"/>
    <w:rsid w:val="6C6A85DF"/>
    <w:rsid w:val="6C6AEA6F"/>
    <w:rsid w:val="6C6CCB21"/>
    <w:rsid w:val="6C6CD9D6"/>
    <w:rsid w:val="6C703CBD"/>
    <w:rsid w:val="6C771314"/>
    <w:rsid w:val="6C7F98CE"/>
    <w:rsid w:val="6C81DAB3"/>
    <w:rsid w:val="6C93357C"/>
    <w:rsid w:val="6C9DD990"/>
    <w:rsid w:val="6C9F1DD5"/>
    <w:rsid w:val="6CA2F17C"/>
    <w:rsid w:val="6CA92B4B"/>
    <w:rsid w:val="6CAADE5C"/>
    <w:rsid w:val="6CAD3FC6"/>
    <w:rsid w:val="6CB08AF7"/>
    <w:rsid w:val="6CB0EEB1"/>
    <w:rsid w:val="6CB3B015"/>
    <w:rsid w:val="6CB3EBD3"/>
    <w:rsid w:val="6CB55E12"/>
    <w:rsid w:val="6CB975BE"/>
    <w:rsid w:val="6CC4D5E7"/>
    <w:rsid w:val="6CC5A429"/>
    <w:rsid w:val="6CCA3AA6"/>
    <w:rsid w:val="6CCD38AB"/>
    <w:rsid w:val="6CD0CF1B"/>
    <w:rsid w:val="6CD6A782"/>
    <w:rsid w:val="6CDA115D"/>
    <w:rsid w:val="6CE2CB5C"/>
    <w:rsid w:val="6CEF39F4"/>
    <w:rsid w:val="6CF9472C"/>
    <w:rsid w:val="6CFA9310"/>
    <w:rsid w:val="6CFCEE12"/>
    <w:rsid w:val="6CFF79D3"/>
    <w:rsid w:val="6D00D198"/>
    <w:rsid w:val="6D02F060"/>
    <w:rsid w:val="6D037F8A"/>
    <w:rsid w:val="6D03CA8E"/>
    <w:rsid w:val="6D058BF0"/>
    <w:rsid w:val="6D071B6F"/>
    <w:rsid w:val="6D0B9D4D"/>
    <w:rsid w:val="6D0E9D38"/>
    <w:rsid w:val="6D1C5806"/>
    <w:rsid w:val="6D1CB7D1"/>
    <w:rsid w:val="6D1CE8C8"/>
    <w:rsid w:val="6D207AB5"/>
    <w:rsid w:val="6D21BCC3"/>
    <w:rsid w:val="6D233054"/>
    <w:rsid w:val="6D262CF3"/>
    <w:rsid w:val="6D290032"/>
    <w:rsid w:val="6D292E31"/>
    <w:rsid w:val="6D29471D"/>
    <w:rsid w:val="6D2960EB"/>
    <w:rsid w:val="6D29663F"/>
    <w:rsid w:val="6D2D99FD"/>
    <w:rsid w:val="6D31CF39"/>
    <w:rsid w:val="6D31E841"/>
    <w:rsid w:val="6D3782A9"/>
    <w:rsid w:val="6D392189"/>
    <w:rsid w:val="6D3C27A6"/>
    <w:rsid w:val="6D4373C9"/>
    <w:rsid w:val="6D46FD2A"/>
    <w:rsid w:val="6D49356B"/>
    <w:rsid w:val="6D4AA753"/>
    <w:rsid w:val="6D4ABEAD"/>
    <w:rsid w:val="6D501C71"/>
    <w:rsid w:val="6D5BC9CE"/>
    <w:rsid w:val="6D5E6027"/>
    <w:rsid w:val="6D6075A4"/>
    <w:rsid w:val="6D61E0CD"/>
    <w:rsid w:val="6D63066E"/>
    <w:rsid w:val="6D653E38"/>
    <w:rsid w:val="6D65B51D"/>
    <w:rsid w:val="6D68D105"/>
    <w:rsid w:val="6D68E824"/>
    <w:rsid w:val="6D6EE4A9"/>
    <w:rsid w:val="6D73CE85"/>
    <w:rsid w:val="6D8439C1"/>
    <w:rsid w:val="6D8AEC05"/>
    <w:rsid w:val="6D94C2A6"/>
    <w:rsid w:val="6D9ABF3E"/>
    <w:rsid w:val="6D9D0E49"/>
    <w:rsid w:val="6DA6F003"/>
    <w:rsid w:val="6DAB1306"/>
    <w:rsid w:val="6DABE62A"/>
    <w:rsid w:val="6DB2836C"/>
    <w:rsid w:val="6DB34715"/>
    <w:rsid w:val="6DB591F9"/>
    <w:rsid w:val="6DB72E66"/>
    <w:rsid w:val="6DC408CF"/>
    <w:rsid w:val="6DC760EC"/>
    <w:rsid w:val="6DD19B5F"/>
    <w:rsid w:val="6DD689E5"/>
    <w:rsid w:val="6DDA1900"/>
    <w:rsid w:val="6DDDD310"/>
    <w:rsid w:val="6DDE552F"/>
    <w:rsid w:val="6DE549F7"/>
    <w:rsid w:val="6DEC08F9"/>
    <w:rsid w:val="6DF74939"/>
    <w:rsid w:val="6DF8FE4B"/>
    <w:rsid w:val="6E01D696"/>
    <w:rsid w:val="6E0B7E39"/>
    <w:rsid w:val="6E0C0FC3"/>
    <w:rsid w:val="6E0EF99C"/>
    <w:rsid w:val="6E108898"/>
    <w:rsid w:val="6E14319F"/>
    <w:rsid w:val="6E1447DC"/>
    <w:rsid w:val="6E1FFF03"/>
    <w:rsid w:val="6E22514A"/>
    <w:rsid w:val="6E2763F0"/>
    <w:rsid w:val="6E2798D2"/>
    <w:rsid w:val="6E42328D"/>
    <w:rsid w:val="6E460F32"/>
    <w:rsid w:val="6E488EC3"/>
    <w:rsid w:val="6E4FAC1B"/>
    <w:rsid w:val="6E54BB56"/>
    <w:rsid w:val="6E5B345D"/>
    <w:rsid w:val="6E60A34E"/>
    <w:rsid w:val="6E62429A"/>
    <w:rsid w:val="6E660D7A"/>
    <w:rsid w:val="6E66193F"/>
    <w:rsid w:val="6E6B2A8A"/>
    <w:rsid w:val="6E706D95"/>
    <w:rsid w:val="6E72D4F5"/>
    <w:rsid w:val="6E751710"/>
    <w:rsid w:val="6E8C34B9"/>
    <w:rsid w:val="6E8E1BA3"/>
    <w:rsid w:val="6E929B93"/>
    <w:rsid w:val="6E985D29"/>
    <w:rsid w:val="6E9E8EAF"/>
    <w:rsid w:val="6E9FF218"/>
    <w:rsid w:val="6EA395B1"/>
    <w:rsid w:val="6EAB0C82"/>
    <w:rsid w:val="6EBA64A5"/>
    <w:rsid w:val="6EBE2AA3"/>
    <w:rsid w:val="6EBE37E8"/>
    <w:rsid w:val="6EC4048D"/>
    <w:rsid w:val="6EC4CDB8"/>
    <w:rsid w:val="6EC5704F"/>
    <w:rsid w:val="6EC5D901"/>
    <w:rsid w:val="6EC6438A"/>
    <w:rsid w:val="6ECAD5A2"/>
    <w:rsid w:val="6ECB5617"/>
    <w:rsid w:val="6ECDAB44"/>
    <w:rsid w:val="6ED6A6C3"/>
    <w:rsid w:val="6EDDFF67"/>
    <w:rsid w:val="6EDEE8B0"/>
    <w:rsid w:val="6EE37A8C"/>
    <w:rsid w:val="6EE91925"/>
    <w:rsid w:val="6EEFBC9F"/>
    <w:rsid w:val="6EF28741"/>
    <w:rsid w:val="6EF45F67"/>
    <w:rsid w:val="6EF8CA13"/>
    <w:rsid w:val="6EFF00A7"/>
    <w:rsid w:val="6EFF6EDE"/>
    <w:rsid w:val="6F014E07"/>
    <w:rsid w:val="6F046FE1"/>
    <w:rsid w:val="6F06132F"/>
    <w:rsid w:val="6F0892EB"/>
    <w:rsid w:val="6F0C7C3C"/>
    <w:rsid w:val="6F115360"/>
    <w:rsid w:val="6F1333CC"/>
    <w:rsid w:val="6F18B128"/>
    <w:rsid w:val="6F195284"/>
    <w:rsid w:val="6F3F4328"/>
    <w:rsid w:val="6F4A8226"/>
    <w:rsid w:val="6F4CB683"/>
    <w:rsid w:val="6F4E332C"/>
    <w:rsid w:val="6F505422"/>
    <w:rsid w:val="6F50CFCC"/>
    <w:rsid w:val="6F55BC2A"/>
    <w:rsid w:val="6F5E0C7E"/>
    <w:rsid w:val="6F605287"/>
    <w:rsid w:val="6F63C5ED"/>
    <w:rsid w:val="6F63DB2E"/>
    <w:rsid w:val="6F664912"/>
    <w:rsid w:val="6F665E02"/>
    <w:rsid w:val="6F6A64F9"/>
    <w:rsid w:val="6F6EB037"/>
    <w:rsid w:val="6F706239"/>
    <w:rsid w:val="6F7D208D"/>
    <w:rsid w:val="6F7E1CA9"/>
    <w:rsid w:val="6F7FF183"/>
    <w:rsid w:val="6F85D469"/>
    <w:rsid w:val="6F8720E2"/>
    <w:rsid w:val="6F89EF2B"/>
    <w:rsid w:val="6F8C145E"/>
    <w:rsid w:val="6F8D9B84"/>
    <w:rsid w:val="6F968D13"/>
    <w:rsid w:val="6F9B6AFF"/>
    <w:rsid w:val="6F9F3B02"/>
    <w:rsid w:val="6FAEB88E"/>
    <w:rsid w:val="6FB0DEC8"/>
    <w:rsid w:val="6FB74ED5"/>
    <w:rsid w:val="6FBA465B"/>
    <w:rsid w:val="6FC1B01B"/>
    <w:rsid w:val="6FC4AF80"/>
    <w:rsid w:val="6FC93200"/>
    <w:rsid w:val="6FCA4278"/>
    <w:rsid w:val="6FCA89C2"/>
    <w:rsid w:val="6FD19246"/>
    <w:rsid w:val="6FD283A7"/>
    <w:rsid w:val="6FD6BD74"/>
    <w:rsid w:val="6FD88B13"/>
    <w:rsid w:val="6FD96B49"/>
    <w:rsid w:val="6FDB7B06"/>
    <w:rsid w:val="6FE1C05E"/>
    <w:rsid w:val="6FE3B193"/>
    <w:rsid w:val="6FE69FA7"/>
    <w:rsid w:val="6FE73411"/>
    <w:rsid w:val="6FED7315"/>
    <w:rsid w:val="6FF6FBF7"/>
    <w:rsid w:val="6FF92793"/>
    <w:rsid w:val="6FFAD6C1"/>
    <w:rsid w:val="6FFCA7A0"/>
    <w:rsid w:val="6FFDF823"/>
    <w:rsid w:val="6FFFBAE6"/>
    <w:rsid w:val="700276EB"/>
    <w:rsid w:val="7005CBD1"/>
    <w:rsid w:val="7005E694"/>
    <w:rsid w:val="7011121C"/>
    <w:rsid w:val="70121B83"/>
    <w:rsid w:val="7013A6E1"/>
    <w:rsid w:val="701AA3A4"/>
    <w:rsid w:val="703068FA"/>
    <w:rsid w:val="70334AF0"/>
    <w:rsid w:val="7041279B"/>
    <w:rsid w:val="70432997"/>
    <w:rsid w:val="7044FEC9"/>
    <w:rsid w:val="704BA15B"/>
    <w:rsid w:val="704C94C7"/>
    <w:rsid w:val="704FC110"/>
    <w:rsid w:val="7051052D"/>
    <w:rsid w:val="70597E93"/>
    <w:rsid w:val="705C7DCB"/>
    <w:rsid w:val="70607BA4"/>
    <w:rsid w:val="706416DB"/>
    <w:rsid w:val="706899F0"/>
    <w:rsid w:val="70693A42"/>
    <w:rsid w:val="706AD598"/>
    <w:rsid w:val="706B043B"/>
    <w:rsid w:val="706DBF1D"/>
    <w:rsid w:val="70713472"/>
    <w:rsid w:val="707886FF"/>
    <w:rsid w:val="70874119"/>
    <w:rsid w:val="7088512F"/>
    <w:rsid w:val="70890D6E"/>
    <w:rsid w:val="708AC470"/>
    <w:rsid w:val="70914EF7"/>
    <w:rsid w:val="709A77AF"/>
    <w:rsid w:val="70A0B54A"/>
    <w:rsid w:val="70AAA968"/>
    <w:rsid w:val="70AFFB02"/>
    <w:rsid w:val="70B0615A"/>
    <w:rsid w:val="70B31028"/>
    <w:rsid w:val="70BDBFB3"/>
    <w:rsid w:val="70C15277"/>
    <w:rsid w:val="70C31FE2"/>
    <w:rsid w:val="70C57832"/>
    <w:rsid w:val="70C8CD64"/>
    <w:rsid w:val="70CC7362"/>
    <w:rsid w:val="70D2E639"/>
    <w:rsid w:val="70D43FDD"/>
    <w:rsid w:val="70D53CE2"/>
    <w:rsid w:val="70D64090"/>
    <w:rsid w:val="70D6BC77"/>
    <w:rsid w:val="70D79FEB"/>
    <w:rsid w:val="70DA5A4A"/>
    <w:rsid w:val="70DDAD29"/>
    <w:rsid w:val="70EC0937"/>
    <w:rsid w:val="70F0FD30"/>
    <w:rsid w:val="70F261BC"/>
    <w:rsid w:val="70F6B3DA"/>
    <w:rsid w:val="70F719FD"/>
    <w:rsid w:val="70F753D1"/>
    <w:rsid w:val="70F753E9"/>
    <w:rsid w:val="70FA1D7D"/>
    <w:rsid w:val="70FB2A89"/>
    <w:rsid w:val="70FC5FFD"/>
    <w:rsid w:val="70FD89C5"/>
    <w:rsid w:val="70FEA32B"/>
    <w:rsid w:val="70FF2104"/>
    <w:rsid w:val="70FF484D"/>
    <w:rsid w:val="71010C91"/>
    <w:rsid w:val="71022B5E"/>
    <w:rsid w:val="71037746"/>
    <w:rsid w:val="7107E68E"/>
    <w:rsid w:val="7108BD8A"/>
    <w:rsid w:val="710AA779"/>
    <w:rsid w:val="710CC848"/>
    <w:rsid w:val="7115ACE8"/>
    <w:rsid w:val="711720A4"/>
    <w:rsid w:val="71186DAD"/>
    <w:rsid w:val="71312FFF"/>
    <w:rsid w:val="713184F0"/>
    <w:rsid w:val="7133F285"/>
    <w:rsid w:val="713878BB"/>
    <w:rsid w:val="71395F6A"/>
    <w:rsid w:val="713E1A81"/>
    <w:rsid w:val="7145D668"/>
    <w:rsid w:val="714CB3B6"/>
    <w:rsid w:val="7150F41B"/>
    <w:rsid w:val="7156C9ED"/>
    <w:rsid w:val="715B8AC8"/>
    <w:rsid w:val="715E3C76"/>
    <w:rsid w:val="7166AF2D"/>
    <w:rsid w:val="71698353"/>
    <w:rsid w:val="716B5CEC"/>
    <w:rsid w:val="716C46C3"/>
    <w:rsid w:val="716FA112"/>
    <w:rsid w:val="71766351"/>
    <w:rsid w:val="71783EB6"/>
    <w:rsid w:val="717CE532"/>
    <w:rsid w:val="717D1FCD"/>
    <w:rsid w:val="717F0728"/>
    <w:rsid w:val="717F2961"/>
    <w:rsid w:val="717F40A3"/>
    <w:rsid w:val="718272C1"/>
    <w:rsid w:val="71867F2D"/>
    <w:rsid w:val="718E3EE7"/>
    <w:rsid w:val="719A1600"/>
    <w:rsid w:val="719A57EE"/>
    <w:rsid w:val="719E42FE"/>
    <w:rsid w:val="71A19E55"/>
    <w:rsid w:val="71A3BB54"/>
    <w:rsid w:val="71A95D7E"/>
    <w:rsid w:val="71ABBDCD"/>
    <w:rsid w:val="71AE7588"/>
    <w:rsid w:val="71B3AC8B"/>
    <w:rsid w:val="71B60390"/>
    <w:rsid w:val="71B949D3"/>
    <w:rsid w:val="71BBD630"/>
    <w:rsid w:val="71C18BB6"/>
    <w:rsid w:val="71C6EFC9"/>
    <w:rsid w:val="71C80856"/>
    <w:rsid w:val="71CDB974"/>
    <w:rsid w:val="71D9B40E"/>
    <w:rsid w:val="71DD4F40"/>
    <w:rsid w:val="71DD6097"/>
    <w:rsid w:val="71DFC57A"/>
    <w:rsid w:val="71E7D579"/>
    <w:rsid w:val="71E80355"/>
    <w:rsid w:val="71EDE62B"/>
    <w:rsid w:val="71F15119"/>
    <w:rsid w:val="71F47D22"/>
    <w:rsid w:val="71FA6EAF"/>
    <w:rsid w:val="71FFD2BF"/>
    <w:rsid w:val="720519B1"/>
    <w:rsid w:val="7209F04D"/>
    <w:rsid w:val="720A95A5"/>
    <w:rsid w:val="720C0B4E"/>
    <w:rsid w:val="72105DB3"/>
    <w:rsid w:val="72117510"/>
    <w:rsid w:val="721B0A7B"/>
    <w:rsid w:val="721B943D"/>
    <w:rsid w:val="721E74C1"/>
    <w:rsid w:val="72229E98"/>
    <w:rsid w:val="72257B0A"/>
    <w:rsid w:val="72277DC3"/>
    <w:rsid w:val="7227A3E2"/>
    <w:rsid w:val="72294148"/>
    <w:rsid w:val="72294DED"/>
    <w:rsid w:val="722DD89F"/>
    <w:rsid w:val="722E9D6E"/>
    <w:rsid w:val="722EF763"/>
    <w:rsid w:val="723018F8"/>
    <w:rsid w:val="7234C46B"/>
    <w:rsid w:val="7238BDC2"/>
    <w:rsid w:val="7240D75D"/>
    <w:rsid w:val="72415794"/>
    <w:rsid w:val="72448105"/>
    <w:rsid w:val="724B1860"/>
    <w:rsid w:val="724C4286"/>
    <w:rsid w:val="7250D79A"/>
    <w:rsid w:val="7255E0C2"/>
    <w:rsid w:val="72618FF2"/>
    <w:rsid w:val="72697C23"/>
    <w:rsid w:val="726B8678"/>
    <w:rsid w:val="7274B1EC"/>
    <w:rsid w:val="72763412"/>
    <w:rsid w:val="727CDB58"/>
    <w:rsid w:val="727DAA0D"/>
    <w:rsid w:val="727E2023"/>
    <w:rsid w:val="727E43B2"/>
    <w:rsid w:val="7281953A"/>
    <w:rsid w:val="72875295"/>
    <w:rsid w:val="7290CD2F"/>
    <w:rsid w:val="729644F7"/>
    <w:rsid w:val="7298A8F3"/>
    <w:rsid w:val="729947B5"/>
    <w:rsid w:val="7299DEC0"/>
    <w:rsid w:val="72A1E321"/>
    <w:rsid w:val="72AEDF9E"/>
    <w:rsid w:val="72B194B9"/>
    <w:rsid w:val="72B2CF37"/>
    <w:rsid w:val="72B45CC1"/>
    <w:rsid w:val="72B79D5D"/>
    <w:rsid w:val="72B89C52"/>
    <w:rsid w:val="72C7ABE4"/>
    <w:rsid w:val="72C98EAD"/>
    <w:rsid w:val="72CC5914"/>
    <w:rsid w:val="72D05A02"/>
    <w:rsid w:val="72D37242"/>
    <w:rsid w:val="72D86FF8"/>
    <w:rsid w:val="72DBA3A9"/>
    <w:rsid w:val="72E4B391"/>
    <w:rsid w:val="72EA09DE"/>
    <w:rsid w:val="72EF4B2E"/>
    <w:rsid w:val="72EFC603"/>
    <w:rsid w:val="72F072D5"/>
    <w:rsid w:val="72F344AD"/>
    <w:rsid w:val="72F833F6"/>
    <w:rsid w:val="72F8FFFF"/>
    <w:rsid w:val="72FB4DC6"/>
    <w:rsid w:val="72FD1D2A"/>
    <w:rsid w:val="7301BC4B"/>
    <w:rsid w:val="73030BEA"/>
    <w:rsid w:val="730367E3"/>
    <w:rsid w:val="73055231"/>
    <w:rsid w:val="73064095"/>
    <w:rsid w:val="730A41FC"/>
    <w:rsid w:val="730AA720"/>
    <w:rsid w:val="730C0E5E"/>
    <w:rsid w:val="7318AC81"/>
    <w:rsid w:val="731AFB40"/>
    <w:rsid w:val="731BE532"/>
    <w:rsid w:val="731D62BE"/>
    <w:rsid w:val="731D9AAD"/>
    <w:rsid w:val="73232570"/>
    <w:rsid w:val="7323E6A2"/>
    <w:rsid w:val="732709B9"/>
    <w:rsid w:val="732A0180"/>
    <w:rsid w:val="732F4D50"/>
    <w:rsid w:val="7330D023"/>
    <w:rsid w:val="7334C979"/>
    <w:rsid w:val="7335C5F2"/>
    <w:rsid w:val="7338A47D"/>
    <w:rsid w:val="73465455"/>
    <w:rsid w:val="734B247B"/>
    <w:rsid w:val="73555BA2"/>
    <w:rsid w:val="7357156E"/>
    <w:rsid w:val="7357E0ED"/>
    <w:rsid w:val="73587F0B"/>
    <w:rsid w:val="7359D2C8"/>
    <w:rsid w:val="735C88AD"/>
    <w:rsid w:val="735CEA91"/>
    <w:rsid w:val="7362AA33"/>
    <w:rsid w:val="7365072C"/>
    <w:rsid w:val="7369E1C0"/>
    <w:rsid w:val="736BBBD2"/>
    <w:rsid w:val="736E6B03"/>
    <w:rsid w:val="737604C0"/>
    <w:rsid w:val="737B4F08"/>
    <w:rsid w:val="737CC409"/>
    <w:rsid w:val="737D55CB"/>
    <w:rsid w:val="7386FC44"/>
    <w:rsid w:val="738B0EFB"/>
    <w:rsid w:val="73904C88"/>
    <w:rsid w:val="739D6BF9"/>
    <w:rsid w:val="739EB048"/>
    <w:rsid w:val="73A2E87E"/>
    <w:rsid w:val="73A3FD86"/>
    <w:rsid w:val="73A67EB1"/>
    <w:rsid w:val="73A8B259"/>
    <w:rsid w:val="73ACCAC6"/>
    <w:rsid w:val="73B51418"/>
    <w:rsid w:val="73B8DCCE"/>
    <w:rsid w:val="73BD8EE2"/>
    <w:rsid w:val="73BFE183"/>
    <w:rsid w:val="73C31DCC"/>
    <w:rsid w:val="73C441A5"/>
    <w:rsid w:val="73C75ED9"/>
    <w:rsid w:val="73CFCFCD"/>
    <w:rsid w:val="73D2FE6B"/>
    <w:rsid w:val="73D3C490"/>
    <w:rsid w:val="73D3D965"/>
    <w:rsid w:val="73D8BC44"/>
    <w:rsid w:val="73DDD924"/>
    <w:rsid w:val="73E059FB"/>
    <w:rsid w:val="73E4FC82"/>
    <w:rsid w:val="73E5B9B0"/>
    <w:rsid w:val="73EC0C36"/>
    <w:rsid w:val="73EC125C"/>
    <w:rsid w:val="73ECA273"/>
    <w:rsid w:val="73F4350D"/>
    <w:rsid w:val="73F47F8D"/>
    <w:rsid w:val="73F7B3F3"/>
    <w:rsid w:val="73FAC766"/>
    <w:rsid w:val="73FAED34"/>
    <w:rsid w:val="740298D4"/>
    <w:rsid w:val="7408160F"/>
    <w:rsid w:val="740C62E0"/>
    <w:rsid w:val="740FE13D"/>
    <w:rsid w:val="741B3015"/>
    <w:rsid w:val="7420593C"/>
    <w:rsid w:val="74215216"/>
    <w:rsid w:val="7422009F"/>
    <w:rsid w:val="7429E7EB"/>
    <w:rsid w:val="742CB716"/>
    <w:rsid w:val="742D3D7E"/>
    <w:rsid w:val="742FC7C4"/>
    <w:rsid w:val="74314BA0"/>
    <w:rsid w:val="74341823"/>
    <w:rsid w:val="7434F6A1"/>
    <w:rsid w:val="7439B32C"/>
    <w:rsid w:val="743A58BD"/>
    <w:rsid w:val="743B3B6E"/>
    <w:rsid w:val="7443D0DA"/>
    <w:rsid w:val="74525C5A"/>
    <w:rsid w:val="74541DD8"/>
    <w:rsid w:val="745669C7"/>
    <w:rsid w:val="745FE8D6"/>
    <w:rsid w:val="74602CD5"/>
    <w:rsid w:val="746036E2"/>
    <w:rsid w:val="74612827"/>
    <w:rsid w:val="7463D84E"/>
    <w:rsid w:val="74686EC5"/>
    <w:rsid w:val="74751826"/>
    <w:rsid w:val="74752DBF"/>
    <w:rsid w:val="74767689"/>
    <w:rsid w:val="7477E000"/>
    <w:rsid w:val="747BB2C8"/>
    <w:rsid w:val="74838FC2"/>
    <w:rsid w:val="74847924"/>
    <w:rsid w:val="7484EC72"/>
    <w:rsid w:val="748B2085"/>
    <w:rsid w:val="748E4DCF"/>
    <w:rsid w:val="748FF0BF"/>
    <w:rsid w:val="7490C6F9"/>
    <w:rsid w:val="749242F9"/>
    <w:rsid w:val="7495234C"/>
    <w:rsid w:val="74972D6B"/>
    <w:rsid w:val="7497A566"/>
    <w:rsid w:val="749C2161"/>
    <w:rsid w:val="749E9C1D"/>
    <w:rsid w:val="749EA7F7"/>
    <w:rsid w:val="749EE834"/>
    <w:rsid w:val="74A4C46E"/>
    <w:rsid w:val="74A9E077"/>
    <w:rsid w:val="74AA6CAE"/>
    <w:rsid w:val="74AA7CD0"/>
    <w:rsid w:val="74BAA43D"/>
    <w:rsid w:val="74BB6964"/>
    <w:rsid w:val="74C04AF0"/>
    <w:rsid w:val="74C3753B"/>
    <w:rsid w:val="74C46785"/>
    <w:rsid w:val="74C4BFE7"/>
    <w:rsid w:val="74C6A740"/>
    <w:rsid w:val="74CD3FEC"/>
    <w:rsid w:val="74D49B04"/>
    <w:rsid w:val="74D5D947"/>
    <w:rsid w:val="74DD0798"/>
    <w:rsid w:val="74DE3535"/>
    <w:rsid w:val="74ED648E"/>
    <w:rsid w:val="74F1F2D3"/>
    <w:rsid w:val="74FB49BF"/>
    <w:rsid w:val="74FFA45F"/>
    <w:rsid w:val="75008180"/>
    <w:rsid w:val="75057DD8"/>
    <w:rsid w:val="7507C327"/>
    <w:rsid w:val="7508084A"/>
    <w:rsid w:val="75082628"/>
    <w:rsid w:val="7511D688"/>
    <w:rsid w:val="7517DF29"/>
    <w:rsid w:val="751D316B"/>
    <w:rsid w:val="75202D38"/>
    <w:rsid w:val="7522450D"/>
    <w:rsid w:val="7527C5E9"/>
    <w:rsid w:val="752C1B2B"/>
    <w:rsid w:val="7533A7D7"/>
    <w:rsid w:val="7536A493"/>
    <w:rsid w:val="7541AD4E"/>
    <w:rsid w:val="75432642"/>
    <w:rsid w:val="754581A2"/>
    <w:rsid w:val="7546B364"/>
    <w:rsid w:val="754982B6"/>
    <w:rsid w:val="754C5A6A"/>
    <w:rsid w:val="754D9BA0"/>
    <w:rsid w:val="7555EFFF"/>
    <w:rsid w:val="75567E29"/>
    <w:rsid w:val="7556B14F"/>
    <w:rsid w:val="755ACA80"/>
    <w:rsid w:val="755D315B"/>
    <w:rsid w:val="7564497C"/>
    <w:rsid w:val="7567CB79"/>
    <w:rsid w:val="756A54CF"/>
    <w:rsid w:val="7570D17D"/>
    <w:rsid w:val="7574148F"/>
    <w:rsid w:val="757815D5"/>
    <w:rsid w:val="75781EE3"/>
    <w:rsid w:val="75791F47"/>
    <w:rsid w:val="757C95A0"/>
    <w:rsid w:val="75867227"/>
    <w:rsid w:val="758C1572"/>
    <w:rsid w:val="7595CC27"/>
    <w:rsid w:val="7597CEB0"/>
    <w:rsid w:val="75989BE2"/>
    <w:rsid w:val="759BC48C"/>
    <w:rsid w:val="759C6275"/>
    <w:rsid w:val="759FED22"/>
    <w:rsid w:val="759FF944"/>
    <w:rsid w:val="75A90866"/>
    <w:rsid w:val="75AD8C46"/>
    <w:rsid w:val="75AF949F"/>
    <w:rsid w:val="75B1253B"/>
    <w:rsid w:val="75B226BB"/>
    <w:rsid w:val="75B4B5F9"/>
    <w:rsid w:val="75BA4FBA"/>
    <w:rsid w:val="75BB3039"/>
    <w:rsid w:val="75BC9AE3"/>
    <w:rsid w:val="75C37E2E"/>
    <w:rsid w:val="75C5E7DF"/>
    <w:rsid w:val="75C8B18E"/>
    <w:rsid w:val="75C951F0"/>
    <w:rsid w:val="75CA7AB2"/>
    <w:rsid w:val="75D1EF15"/>
    <w:rsid w:val="75D3666D"/>
    <w:rsid w:val="75DA9775"/>
    <w:rsid w:val="75DE488C"/>
    <w:rsid w:val="75DF0464"/>
    <w:rsid w:val="75DF27DC"/>
    <w:rsid w:val="75E5D85F"/>
    <w:rsid w:val="75E61555"/>
    <w:rsid w:val="75E6BA2D"/>
    <w:rsid w:val="75E978F6"/>
    <w:rsid w:val="75E98FAE"/>
    <w:rsid w:val="75EBEB09"/>
    <w:rsid w:val="75ECEEDE"/>
    <w:rsid w:val="75F19CE0"/>
    <w:rsid w:val="75FBE16C"/>
    <w:rsid w:val="75FEA100"/>
    <w:rsid w:val="7601214C"/>
    <w:rsid w:val="760BD6E3"/>
    <w:rsid w:val="760D2302"/>
    <w:rsid w:val="760D6B1E"/>
    <w:rsid w:val="760F6219"/>
    <w:rsid w:val="760FFD0F"/>
    <w:rsid w:val="76139C61"/>
    <w:rsid w:val="761401FE"/>
    <w:rsid w:val="76161085"/>
    <w:rsid w:val="761E4A38"/>
    <w:rsid w:val="76283475"/>
    <w:rsid w:val="7628F50A"/>
    <w:rsid w:val="76297440"/>
    <w:rsid w:val="7629C5D1"/>
    <w:rsid w:val="762A840E"/>
    <w:rsid w:val="762AAE86"/>
    <w:rsid w:val="76348118"/>
    <w:rsid w:val="7634DAC0"/>
    <w:rsid w:val="7639D247"/>
    <w:rsid w:val="763B8249"/>
    <w:rsid w:val="763CD2BF"/>
    <w:rsid w:val="764B85D2"/>
    <w:rsid w:val="764C0E87"/>
    <w:rsid w:val="764EF740"/>
    <w:rsid w:val="76526A45"/>
    <w:rsid w:val="765362DD"/>
    <w:rsid w:val="765C35F0"/>
    <w:rsid w:val="765C502A"/>
    <w:rsid w:val="7661B798"/>
    <w:rsid w:val="76636BAA"/>
    <w:rsid w:val="766390FB"/>
    <w:rsid w:val="76647BAA"/>
    <w:rsid w:val="76678463"/>
    <w:rsid w:val="767639FD"/>
    <w:rsid w:val="767B7A94"/>
    <w:rsid w:val="767C3232"/>
    <w:rsid w:val="767DEDD5"/>
    <w:rsid w:val="767F65B3"/>
    <w:rsid w:val="76872057"/>
    <w:rsid w:val="768DE5EA"/>
    <w:rsid w:val="769DBA4B"/>
    <w:rsid w:val="76A3ED03"/>
    <w:rsid w:val="76A446F2"/>
    <w:rsid w:val="76A5C550"/>
    <w:rsid w:val="76B9E852"/>
    <w:rsid w:val="76BDBCA2"/>
    <w:rsid w:val="76BFB929"/>
    <w:rsid w:val="76C28620"/>
    <w:rsid w:val="76C31E81"/>
    <w:rsid w:val="76C5CDAE"/>
    <w:rsid w:val="76C9E63C"/>
    <w:rsid w:val="76CB8F13"/>
    <w:rsid w:val="76CDABFC"/>
    <w:rsid w:val="76D07945"/>
    <w:rsid w:val="76D99B90"/>
    <w:rsid w:val="76E5F561"/>
    <w:rsid w:val="76EB5A27"/>
    <w:rsid w:val="76ECC2ED"/>
    <w:rsid w:val="76FBA765"/>
    <w:rsid w:val="76FD12F8"/>
    <w:rsid w:val="76FDF24C"/>
    <w:rsid w:val="76FE9EE3"/>
    <w:rsid w:val="770180C5"/>
    <w:rsid w:val="7703AAAB"/>
    <w:rsid w:val="7706F128"/>
    <w:rsid w:val="77118ABB"/>
    <w:rsid w:val="771FDB0D"/>
    <w:rsid w:val="7722A20B"/>
    <w:rsid w:val="772DF35D"/>
    <w:rsid w:val="772E1757"/>
    <w:rsid w:val="77386510"/>
    <w:rsid w:val="77463BF2"/>
    <w:rsid w:val="774D970B"/>
    <w:rsid w:val="77546BC1"/>
    <w:rsid w:val="775500DC"/>
    <w:rsid w:val="77585170"/>
    <w:rsid w:val="7761BB72"/>
    <w:rsid w:val="77646150"/>
    <w:rsid w:val="776634B4"/>
    <w:rsid w:val="77664E54"/>
    <w:rsid w:val="776C2635"/>
    <w:rsid w:val="776FCA08"/>
    <w:rsid w:val="77747E75"/>
    <w:rsid w:val="7775FD4D"/>
    <w:rsid w:val="777778BB"/>
    <w:rsid w:val="777A7A73"/>
    <w:rsid w:val="777B0B66"/>
    <w:rsid w:val="7786B113"/>
    <w:rsid w:val="778996BB"/>
    <w:rsid w:val="778A16AA"/>
    <w:rsid w:val="778A4DEB"/>
    <w:rsid w:val="778D2919"/>
    <w:rsid w:val="778D7295"/>
    <w:rsid w:val="7795002D"/>
    <w:rsid w:val="779CBFDF"/>
    <w:rsid w:val="77A16BFC"/>
    <w:rsid w:val="77A9D3D1"/>
    <w:rsid w:val="77AE5E9C"/>
    <w:rsid w:val="77AF2D12"/>
    <w:rsid w:val="77AF8892"/>
    <w:rsid w:val="77B45E43"/>
    <w:rsid w:val="77B9CAD5"/>
    <w:rsid w:val="77BA90C4"/>
    <w:rsid w:val="77BB14CA"/>
    <w:rsid w:val="77BC500C"/>
    <w:rsid w:val="77BC89BB"/>
    <w:rsid w:val="77BF3088"/>
    <w:rsid w:val="77C4DD1E"/>
    <w:rsid w:val="77C89CA0"/>
    <w:rsid w:val="77CE3B91"/>
    <w:rsid w:val="77D5D98D"/>
    <w:rsid w:val="77DC802F"/>
    <w:rsid w:val="77E0AF5C"/>
    <w:rsid w:val="77E6449A"/>
    <w:rsid w:val="77F1BD94"/>
    <w:rsid w:val="77F6B39C"/>
    <w:rsid w:val="77FD5AC8"/>
    <w:rsid w:val="780005FA"/>
    <w:rsid w:val="7809CBB6"/>
    <w:rsid w:val="78171E46"/>
    <w:rsid w:val="7819CDCB"/>
    <w:rsid w:val="781CDD7E"/>
    <w:rsid w:val="781D3AE1"/>
    <w:rsid w:val="78223C6B"/>
    <w:rsid w:val="78231184"/>
    <w:rsid w:val="78272A7E"/>
    <w:rsid w:val="782852CC"/>
    <w:rsid w:val="782E1737"/>
    <w:rsid w:val="78305FB9"/>
    <w:rsid w:val="783220B5"/>
    <w:rsid w:val="78364D0E"/>
    <w:rsid w:val="7837DC48"/>
    <w:rsid w:val="78387200"/>
    <w:rsid w:val="783E6766"/>
    <w:rsid w:val="783FEFE6"/>
    <w:rsid w:val="7846C40C"/>
    <w:rsid w:val="78537063"/>
    <w:rsid w:val="7854AF6B"/>
    <w:rsid w:val="785EF691"/>
    <w:rsid w:val="7862E745"/>
    <w:rsid w:val="7863D955"/>
    <w:rsid w:val="78643F94"/>
    <w:rsid w:val="78682855"/>
    <w:rsid w:val="786E32C9"/>
    <w:rsid w:val="786F1822"/>
    <w:rsid w:val="786FE2D8"/>
    <w:rsid w:val="7870E79B"/>
    <w:rsid w:val="7875C270"/>
    <w:rsid w:val="78891AE4"/>
    <w:rsid w:val="789A4A29"/>
    <w:rsid w:val="789A516F"/>
    <w:rsid w:val="789F4783"/>
    <w:rsid w:val="78B630EE"/>
    <w:rsid w:val="78B724D6"/>
    <w:rsid w:val="78B98E66"/>
    <w:rsid w:val="78BF1620"/>
    <w:rsid w:val="78C43B0E"/>
    <w:rsid w:val="78C93FCA"/>
    <w:rsid w:val="78CEC6C7"/>
    <w:rsid w:val="78D4DAF7"/>
    <w:rsid w:val="78D6ADF3"/>
    <w:rsid w:val="78E290CE"/>
    <w:rsid w:val="78E295DE"/>
    <w:rsid w:val="78E53522"/>
    <w:rsid w:val="78E6A4B1"/>
    <w:rsid w:val="78E75447"/>
    <w:rsid w:val="78ECF28F"/>
    <w:rsid w:val="78EFE8E1"/>
    <w:rsid w:val="78F2855C"/>
    <w:rsid w:val="78F6C81A"/>
    <w:rsid w:val="78F88EE2"/>
    <w:rsid w:val="78F8D1EA"/>
    <w:rsid w:val="78FB18D6"/>
    <w:rsid w:val="78FD32DB"/>
    <w:rsid w:val="79096A92"/>
    <w:rsid w:val="79114168"/>
    <w:rsid w:val="791142DD"/>
    <w:rsid w:val="7913E787"/>
    <w:rsid w:val="79144CA9"/>
    <w:rsid w:val="79156F05"/>
    <w:rsid w:val="7916E776"/>
    <w:rsid w:val="791B1F21"/>
    <w:rsid w:val="791B6C75"/>
    <w:rsid w:val="7922B09A"/>
    <w:rsid w:val="7922E72F"/>
    <w:rsid w:val="79304797"/>
    <w:rsid w:val="7939527B"/>
    <w:rsid w:val="793F7096"/>
    <w:rsid w:val="793F737C"/>
    <w:rsid w:val="794332C5"/>
    <w:rsid w:val="794C387C"/>
    <w:rsid w:val="794CCEA3"/>
    <w:rsid w:val="7950D12A"/>
    <w:rsid w:val="79590948"/>
    <w:rsid w:val="795DA5C5"/>
    <w:rsid w:val="79639CCC"/>
    <w:rsid w:val="7964C49F"/>
    <w:rsid w:val="79673322"/>
    <w:rsid w:val="796F6837"/>
    <w:rsid w:val="797297C1"/>
    <w:rsid w:val="79804D9F"/>
    <w:rsid w:val="7980A881"/>
    <w:rsid w:val="798222DC"/>
    <w:rsid w:val="798FE474"/>
    <w:rsid w:val="799D258C"/>
    <w:rsid w:val="79A06D2B"/>
    <w:rsid w:val="79A6C648"/>
    <w:rsid w:val="79A9E589"/>
    <w:rsid w:val="79AEEFBA"/>
    <w:rsid w:val="79B3E781"/>
    <w:rsid w:val="79B84210"/>
    <w:rsid w:val="79C08F54"/>
    <w:rsid w:val="79C0FF30"/>
    <w:rsid w:val="79C1190D"/>
    <w:rsid w:val="79C14D68"/>
    <w:rsid w:val="79C6FA8C"/>
    <w:rsid w:val="79C8CE1E"/>
    <w:rsid w:val="79C99EE5"/>
    <w:rsid w:val="79CE1AF2"/>
    <w:rsid w:val="79DAB92D"/>
    <w:rsid w:val="79DD61FB"/>
    <w:rsid w:val="79DE03A2"/>
    <w:rsid w:val="79E2DA0B"/>
    <w:rsid w:val="79E31E99"/>
    <w:rsid w:val="79E46CEF"/>
    <w:rsid w:val="79E54103"/>
    <w:rsid w:val="79F20254"/>
    <w:rsid w:val="79F3E06B"/>
    <w:rsid w:val="79F6C8F4"/>
    <w:rsid w:val="7A018522"/>
    <w:rsid w:val="7A033E4A"/>
    <w:rsid w:val="7A0F0BF5"/>
    <w:rsid w:val="7A0FE2B3"/>
    <w:rsid w:val="7A11850F"/>
    <w:rsid w:val="7A16D500"/>
    <w:rsid w:val="7A1BA3AD"/>
    <w:rsid w:val="7A1E35A1"/>
    <w:rsid w:val="7A1ED9BE"/>
    <w:rsid w:val="7A1FAFF6"/>
    <w:rsid w:val="7A2048C8"/>
    <w:rsid w:val="7A240868"/>
    <w:rsid w:val="7A24398C"/>
    <w:rsid w:val="7A2CBC3D"/>
    <w:rsid w:val="7A2FAB77"/>
    <w:rsid w:val="7A324BD0"/>
    <w:rsid w:val="7A34478F"/>
    <w:rsid w:val="7A387581"/>
    <w:rsid w:val="7A3CA9B0"/>
    <w:rsid w:val="7A3D008D"/>
    <w:rsid w:val="7A4277DD"/>
    <w:rsid w:val="7A446E9D"/>
    <w:rsid w:val="7A45DB5A"/>
    <w:rsid w:val="7A526021"/>
    <w:rsid w:val="7A5AFCCF"/>
    <w:rsid w:val="7A5B7E73"/>
    <w:rsid w:val="7A5D696C"/>
    <w:rsid w:val="7A6091B0"/>
    <w:rsid w:val="7A615D34"/>
    <w:rsid w:val="7A645BC9"/>
    <w:rsid w:val="7A68B2D0"/>
    <w:rsid w:val="7A6D0B7C"/>
    <w:rsid w:val="7A6DC709"/>
    <w:rsid w:val="7A6E3301"/>
    <w:rsid w:val="7A6EEE20"/>
    <w:rsid w:val="7A7EF54F"/>
    <w:rsid w:val="7A80A3D1"/>
    <w:rsid w:val="7A81E73C"/>
    <w:rsid w:val="7A8265BC"/>
    <w:rsid w:val="7A94ACC5"/>
    <w:rsid w:val="7A95CB8C"/>
    <w:rsid w:val="7A994EF4"/>
    <w:rsid w:val="7AA5800A"/>
    <w:rsid w:val="7AA9A24E"/>
    <w:rsid w:val="7AAC2143"/>
    <w:rsid w:val="7AB0E3E7"/>
    <w:rsid w:val="7ABC1979"/>
    <w:rsid w:val="7ABD6E10"/>
    <w:rsid w:val="7AC29CCC"/>
    <w:rsid w:val="7AC98B69"/>
    <w:rsid w:val="7AD52289"/>
    <w:rsid w:val="7AD5DA80"/>
    <w:rsid w:val="7AD82F3D"/>
    <w:rsid w:val="7ADA3556"/>
    <w:rsid w:val="7ADC70BB"/>
    <w:rsid w:val="7ADF2506"/>
    <w:rsid w:val="7ADFD0A5"/>
    <w:rsid w:val="7ADFDDDA"/>
    <w:rsid w:val="7AE06BBC"/>
    <w:rsid w:val="7AE4FDC3"/>
    <w:rsid w:val="7AEACE6E"/>
    <w:rsid w:val="7AF840F7"/>
    <w:rsid w:val="7AFA4153"/>
    <w:rsid w:val="7AFE5203"/>
    <w:rsid w:val="7B0165B5"/>
    <w:rsid w:val="7B01E210"/>
    <w:rsid w:val="7B0208B8"/>
    <w:rsid w:val="7B06AE22"/>
    <w:rsid w:val="7B0749A5"/>
    <w:rsid w:val="7B0CCDC1"/>
    <w:rsid w:val="7B0CEE25"/>
    <w:rsid w:val="7B12582C"/>
    <w:rsid w:val="7B180EE2"/>
    <w:rsid w:val="7B1BA79E"/>
    <w:rsid w:val="7B1E7A91"/>
    <w:rsid w:val="7B1ED013"/>
    <w:rsid w:val="7B2043A0"/>
    <w:rsid w:val="7B27ACE0"/>
    <w:rsid w:val="7B27FC93"/>
    <w:rsid w:val="7B2DE152"/>
    <w:rsid w:val="7B2E44AC"/>
    <w:rsid w:val="7B2E7398"/>
    <w:rsid w:val="7B341019"/>
    <w:rsid w:val="7B353259"/>
    <w:rsid w:val="7B533ED5"/>
    <w:rsid w:val="7B570CCE"/>
    <w:rsid w:val="7B5991C9"/>
    <w:rsid w:val="7B5F6B03"/>
    <w:rsid w:val="7B622184"/>
    <w:rsid w:val="7B6932E7"/>
    <w:rsid w:val="7B69B6F0"/>
    <w:rsid w:val="7B6ACA75"/>
    <w:rsid w:val="7B6B1050"/>
    <w:rsid w:val="7B6CB5BE"/>
    <w:rsid w:val="7B6EFB2E"/>
    <w:rsid w:val="7B7821ED"/>
    <w:rsid w:val="7B7DE2CF"/>
    <w:rsid w:val="7B88025F"/>
    <w:rsid w:val="7B8A6322"/>
    <w:rsid w:val="7B8AD5DD"/>
    <w:rsid w:val="7B94BD42"/>
    <w:rsid w:val="7B97D751"/>
    <w:rsid w:val="7B9A9B3F"/>
    <w:rsid w:val="7B9AFBF7"/>
    <w:rsid w:val="7B9F2152"/>
    <w:rsid w:val="7BA2EBA0"/>
    <w:rsid w:val="7BA3494D"/>
    <w:rsid w:val="7BA5D481"/>
    <w:rsid w:val="7BAA5D97"/>
    <w:rsid w:val="7BAB559C"/>
    <w:rsid w:val="7BABC754"/>
    <w:rsid w:val="7BB154AD"/>
    <w:rsid w:val="7BB70A59"/>
    <w:rsid w:val="7BB9F336"/>
    <w:rsid w:val="7BBD026D"/>
    <w:rsid w:val="7BC4592C"/>
    <w:rsid w:val="7BCF8C05"/>
    <w:rsid w:val="7BD01D35"/>
    <w:rsid w:val="7BD19089"/>
    <w:rsid w:val="7BDA4467"/>
    <w:rsid w:val="7BDFB76C"/>
    <w:rsid w:val="7BE80A6E"/>
    <w:rsid w:val="7BE8B59B"/>
    <w:rsid w:val="7BEB81E1"/>
    <w:rsid w:val="7C036AF6"/>
    <w:rsid w:val="7C05773D"/>
    <w:rsid w:val="7C06F29F"/>
    <w:rsid w:val="7C10D54B"/>
    <w:rsid w:val="7C1D5D7F"/>
    <w:rsid w:val="7C1D9FE1"/>
    <w:rsid w:val="7C1FF1AF"/>
    <w:rsid w:val="7C1FFB52"/>
    <w:rsid w:val="7C210A7D"/>
    <w:rsid w:val="7C2493B9"/>
    <w:rsid w:val="7C2CB243"/>
    <w:rsid w:val="7C2DD1F6"/>
    <w:rsid w:val="7C2E290E"/>
    <w:rsid w:val="7C30836E"/>
    <w:rsid w:val="7C31A9A3"/>
    <w:rsid w:val="7C4561C7"/>
    <w:rsid w:val="7C4704D1"/>
    <w:rsid w:val="7C50BDC9"/>
    <w:rsid w:val="7C52F5F8"/>
    <w:rsid w:val="7C56861B"/>
    <w:rsid w:val="7C57C3F2"/>
    <w:rsid w:val="7C5C74DF"/>
    <w:rsid w:val="7C600C8B"/>
    <w:rsid w:val="7C63FC45"/>
    <w:rsid w:val="7C79ABEA"/>
    <w:rsid w:val="7C7DD7AC"/>
    <w:rsid w:val="7C7FA7E0"/>
    <w:rsid w:val="7C7FB88A"/>
    <w:rsid w:val="7C882E72"/>
    <w:rsid w:val="7C95F128"/>
    <w:rsid w:val="7C995AAF"/>
    <w:rsid w:val="7C99BED9"/>
    <w:rsid w:val="7C9AE66B"/>
    <w:rsid w:val="7C9D2302"/>
    <w:rsid w:val="7C9D5F02"/>
    <w:rsid w:val="7C9E4844"/>
    <w:rsid w:val="7CA159F1"/>
    <w:rsid w:val="7CA9B4A1"/>
    <w:rsid w:val="7CAC9258"/>
    <w:rsid w:val="7CAF2D27"/>
    <w:rsid w:val="7CAF88AB"/>
    <w:rsid w:val="7CB127A8"/>
    <w:rsid w:val="7CB45E9C"/>
    <w:rsid w:val="7CB49EF1"/>
    <w:rsid w:val="7CB558A3"/>
    <w:rsid w:val="7CB71577"/>
    <w:rsid w:val="7CB953BB"/>
    <w:rsid w:val="7CBEA01A"/>
    <w:rsid w:val="7CC2CDDD"/>
    <w:rsid w:val="7CC3D6B6"/>
    <w:rsid w:val="7CCF4201"/>
    <w:rsid w:val="7CD21B40"/>
    <w:rsid w:val="7CD64B6B"/>
    <w:rsid w:val="7CD832A9"/>
    <w:rsid w:val="7CD840E0"/>
    <w:rsid w:val="7CD96E97"/>
    <w:rsid w:val="7CDBCE2E"/>
    <w:rsid w:val="7CDC86A7"/>
    <w:rsid w:val="7CE31307"/>
    <w:rsid w:val="7CE50E86"/>
    <w:rsid w:val="7CEEFF2F"/>
    <w:rsid w:val="7CF193A8"/>
    <w:rsid w:val="7CF265B9"/>
    <w:rsid w:val="7CF31E80"/>
    <w:rsid w:val="7CFAD180"/>
    <w:rsid w:val="7CFB125A"/>
    <w:rsid w:val="7CFD55D3"/>
    <w:rsid w:val="7D15C6DE"/>
    <w:rsid w:val="7D1861F7"/>
    <w:rsid w:val="7D19D10C"/>
    <w:rsid w:val="7D1F9985"/>
    <w:rsid w:val="7D21E29B"/>
    <w:rsid w:val="7D2B2237"/>
    <w:rsid w:val="7D2D46C8"/>
    <w:rsid w:val="7D318CBF"/>
    <w:rsid w:val="7D3D36B3"/>
    <w:rsid w:val="7D42A969"/>
    <w:rsid w:val="7D46185A"/>
    <w:rsid w:val="7D495E84"/>
    <w:rsid w:val="7D5038FC"/>
    <w:rsid w:val="7D5074FE"/>
    <w:rsid w:val="7D517B71"/>
    <w:rsid w:val="7D52C747"/>
    <w:rsid w:val="7D54CD0B"/>
    <w:rsid w:val="7D577695"/>
    <w:rsid w:val="7D5A8179"/>
    <w:rsid w:val="7D5B9B5C"/>
    <w:rsid w:val="7D5CF6DF"/>
    <w:rsid w:val="7D607225"/>
    <w:rsid w:val="7D64E99F"/>
    <w:rsid w:val="7D6D4DB3"/>
    <w:rsid w:val="7D70FBC8"/>
    <w:rsid w:val="7D7B94E4"/>
    <w:rsid w:val="7D831754"/>
    <w:rsid w:val="7D8D5B35"/>
    <w:rsid w:val="7D9C31D2"/>
    <w:rsid w:val="7D9C70DE"/>
    <w:rsid w:val="7D9FA20D"/>
    <w:rsid w:val="7D9FE6EE"/>
    <w:rsid w:val="7DA888FB"/>
    <w:rsid w:val="7DAD59CA"/>
    <w:rsid w:val="7DAF3F29"/>
    <w:rsid w:val="7DB57D45"/>
    <w:rsid w:val="7DBAF86A"/>
    <w:rsid w:val="7DC51B95"/>
    <w:rsid w:val="7DC62078"/>
    <w:rsid w:val="7DD733F6"/>
    <w:rsid w:val="7DD8A0D2"/>
    <w:rsid w:val="7DD8B03D"/>
    <w:rsid w:val="7DDDD2D3"/>
    <w:rsid w:val="7DDFAE78"/>
    <w:rsid w:val="7DEBDA24"/>
    <w:rsid w:val="7DF0A113"/>
    <w:rsid w:val="7DF20FFA"/>
    <w:rsid w:val="7DF31720"/>
    <w:rsid w:val="7DF38BBD"/>
    <w:rsid w:val="7DFB1FE4"/>
    <w:rsid w:val="7DFD6301"/>
    <w:rsid w:val="7DFD6B46"/>
    <w:rsid w:val="7E02E047"/>
    <w:rsid w:val="7E0D9507"/>
    <w:rsid w:val="7E0F6096"/>
    <w:rsid w:val="7E0FC883"/>
    <w:rsid w:val="7E146923"/>
    <w:rsid w:val="7E181C08"/>
    <w:rsid w:val="7E1C332E"/>
    <w:rsid w:val="7E20F7DA"/>
    <w:rsid w:val="7E21772D"/>
    <w:rsid w:val="7E233E31"/>
    <w:rsid w:val="7E2563CB"/>
    <w:rsid w:val="7E26405E"/>
    <w:rsid w:val="7E267143"/>
    <w:rsid w:val="7E28686F"/>
    <w:rsid w:val="7E301577"/>
    <w:rsid w:val="7E32BFC5"/>
    <w:rsid w:val="7E37E5EC"/>
    <w:rsid w:val="7E3DD8AE"/>
    <w:rsid w:val="7E4211EC"/>
    <w:rsid w:val="7E44C366"/>
    <w:rsid w:val="7E450D1D"/>
    <w:rsid w:val="7E54FA28"/>
    <w:rsid w:val="7E59D8E3"/>
    <w:rsid w:val="7E5FAC3C"/>
    <w:rsid w:val="7E6F9B07"/>
    <w:rsid w:val="7E715FF7"/>
    <w:rsid w:val="7E843F9B"/>
    <w:rsid w:val="7E84AA30"/>
    <w:rsid w:val="7E8812F3"/>
    <w:rsid w:val="7E89A59D"/>
    <w:rsid w:val="7E8F9ED9"/>
    <w:rsid w:val="7E922CC6"/>
    <w:rsid w:val="7E94F9F5"/>
    <w:rsid w:val="7E995338"/>
    <w:rsid w:val="7E9C2C13"/>
    <w:rsid w:val="7EA16392"/>
    <w:rsid w:val="7EAD4A4C"/>
    <w:rsid w:val="7EB1C35E"/>
    <w:rsid w:val="7EB5FC1A"/>
    <w:rsid w:val="7EB70521"/>
    <w:rsid w:val="7EC0E101"/>
    <w:rsid w:val="7EC57C69"/>
    <w:rsid w:val="7EC69CAC"/>
    <w:rsid w:val="7EC6BF1F"/>
    <w:rsid w:val="7EC79EC2"/>
    <w:rsid w:val="7ED40028"/>
    <w:rsid w:val="7ED9B7AE"/>
    <w:rsid w:val="7ED9D979"/>
    <w:rsid w:val="7EDA5C27"/>
    <w:rsid w:val="7EDBDA8B"/>
    <w:rsid w:val="7EDC3718"/>
    <w:rsid w:val="7EDCCB85"/>
    <w:rsid w:val="7EE4FF6F"/>
    <w:rsid w:val="7EE99139"/>
    <w:rsid w:val="7EEF566E"/>
    <w:rsid w:val="7EF1A170"/>
    <w:rsid w:val="7EF663AA"/>
    <w:rsid w:val="7EF9C352"/>
    <w:rsid w:val="7EF9C874"/>
    <w:rsid w:val="7EFD744C"/>
    <w:rsid w:val="7EFE4748"/>
    <w:rsid w:val="7F0108AC"/>
    <w:rsid w:val="7F060F57"/>
    <w:rsid w:val="7F0A0DF2"/>
    <w:rsid w:val="7F0BA5E4"/>
    <w:rsid w:val="7F117D77"/>
    <w:rsid w:val="7F141AEF"/>
    <w:rsid w:val="7F16A17B"/>
    <w:rsid w:val="7F1770BA"/>
    <w:rsid w:val="7F17C8CF"/>
    <w:rsid w:val="7F1AA1C1"/>
    <w:rsid w:val="7F1D02AD"/>
    <w:rsid w:val="7F1E8F01"/>
    <w:rsid w:val="7F2080B8"/>
    <w:rsid w:val="7F289C31"/>
    <w:rsid w:val="7F29044F"/>
    <w:rsid w:val="7F2B9345"/>
    <w:rsid w:val="7F2E2692"/>
    <w:rsid w:val="7F30A81C"/>
    <w:rsid w:val="7F316B8D"/>
    <w:rsid w:val="7F38007F"/>
    <w:rsid w:val="7F3AEEBB"/>
    <w:rsid w:val="7F3D1E99"/>
    <w:rsid w:val="7F3D93B0"/>
    <w:rsid w:val="7F3ED80D"/>
    <w:rsid w:val="7F3F684F"/>
    <w:rsid w:val="7F449D68"/>
    <w:rsid w:val="7F45DEAE"/>
    <w:rsid w:val="7F4CD435"/>
    <w:rsid w:val="7F4D5CA0"/>
    <w:rsid w:val="7F54185C"/>
    <w:rsid w:val="7F54538E"/>
    <w:rsid w:val="7F57CD78"/>
    <w:rsid w:val="7F5BB325"/>
    <w:rsid w:val="7F603E08"/>
    <w:rsid w:val="7F644B43"/>
    <w:rsid w:val="7F649DF3"/>
    <w:rsid w:val="7F670FAD"/>
    <w:rsid w:val="7F6B6BB4"/>
    <w:rsid w:val="7F6EBCBF"/>
    <w:rsid w:val="7F759EF1"/>
    <w:rsid w:val="7F76C1B7"/>
    <w:rsid w:val="7F789C76"/>
    <w:rsid w:val="7F80358E"/>
    <w:rsid w:val="7F829A50"/>
    <w:rsid w:val="7F84D87F"/>
    <w:rsid w:val="7F858CB3"/>
    <w:rsid w:val="7F861BAB"/>
    <w:rsid w:val="7F8DF65D"/>
    <w:rsid w:val="7F91CD89"/>
    <w:rsid w:val="7F961745"/>
    <w:rsid w:val="7FA2741C"/>
    <w:rsid w:val="7FA3152A"/>
    <w:rsid w:val="7FA489A6"/>
    <w:rsid w:val="7FA59FA3"/>
    <w:rsid w:val="7FA74F7E"/>
    <w:rsid w:val="7FABCF4E"/>
    <w:rsid w:val="7FB4DD3D"/>
    <w:rsid w:val="7FB4F5CC"/>
    <w:rsid w:val="7FB9AF24"/>
    <w:rsid w:val="7FC3CEFB"/>
    <w:rsid w:val="7FC48535"/>
    <w:rsid w:val="7FC4C542"/>
    <w:rsid w:val="7FC800B7"/>
    <w:rsid w:val="7FCE2C34"/>
    <w:rsid w:val="7FD3B7A4"/>
    <w:rsid w:val="7FD3BA1A"/>
    <w:rsid w:val="7FD9A963"/>
    <w:rsid w:val="7FDB6B62"/>
    <w:rsid w:val="7FDC4392"/>
    <w:rsid w:val="7FDDAF23"/>
    <w:rsid w:val="7FDFC617"/>
    <w:rsid w:val="7FE45AF2"/>
    <w:rsid w:val="7FE7129F"/>
    <w:rsid w:val="7FED745A"/>
    <w:rsid w:val="7FF39CEC"/>
    <w:rsid w:val="7FF870A5"/>
    <w:rsid w:val="7FFAE7A5"/>
    <w:rsid w:val="7FFE37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E7B74"/>
  <w15:chartTrackingRefBased/>
  <w15:docId w15:val="{64671F72-94AA-46D3-952E-90183AA6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AE8"/>
    <w:pPr>
      <w:jc w:val="both"/>
    </w:pPr>
    <w:rPr>
      <w:sz w:val="22"/>
    </w:rPr>
  </w:style>
  <w:style w:type="paragraph" w:styleId="Heading1">
    <w:name w:val="heading 1"/>
    <w:basedOn w:val="Normal"/>
    <w:next w:val="Normal"/>
    <w:link w:val="Heading1Char"/>
    <w:uiPriority w:val="9"/>
    <w:qFormat/>
    <w:rsid w:val="00CF5F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5F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5F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F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5F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5F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F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F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F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F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F5F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5F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F5F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5F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5F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F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F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FF6"/>
    <w:rPr>
      <w:rFonts w:eastAsiaTheme="majorEastAsia" w:cstheme="majorBidi"/>
      <w:color w:val="272727" w:themeColor="text1" w:themeTint="D8"/>
    </w:rPr>
  </w:style>
  <w:style w:type="paragraph" w:styleId="Title">
    <w:name w:val="Title"/>
    <w:basedOn w:val="Normal"/>
    <w:next w:val="Normal"/>
    <w:link w:val="TitleChar"/>
    <w:uiPriority w:val="10"/>
    <w:qFormat/>
    <w:rsid w:val="00CF5F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F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F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F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FF6"/>
    <w:pPr>
      <w:spacing w:before="160"/>
      <w:jc w:val="center"/>
    </w:pPr>
    <w:rPr>
      <w:i/>
      <w:iCs/>
      <w:color w:val="404040" w:themeColor="text1" w:themeTint="BF"/>
    </w:rPr>
  </w:style>
  <w:style w:type="character" w:customStyle="1" w:styleId="QuoteChar">
    <w:name w:val="Quote Char"/>
    <w:basedOn w:val="DefaultParagraphFont"/>
    <w:link w:val="Quote"/>
    <w:uiPriority w:val="29"/>
    <w:rsid w:val="00CF5FF6"/>
    <w:rPr>
      <w:i/>
      <w:iCs/>
      <w:color w:val="404040" w:themeColor="text1" w:themeTint="BF"/>
    </w:rPr>
  </w:style>
  <w:style w:type="paragraph" w:styleId="ListParagraph">
    <w:name w:val="List Paragraph"/>
    <w:aliases w:val="Recommendation,Single bullet style,List Paragraph1,List Paragraph11,List Paragraph111,L,F5 List Paragraph,Dot pt,CV text,Table text,Medium Grid 1 - Accent 21,Numbered Paragraph,List Paragraph2,NFP GP Bulleted List,FooterText,numbered,列出段"/>
    <w:basedOn w:val="Normal"/>
    <w:link w:val="ListParagraphChar"/>
    <w:uiPriority w:val="34"/>
    <w:qFormat/>
    <w:rsid w:val="00CF5FF6"/>
    <w:pPr>
      <w:ind w:left="720"/>
      <w:contextualSpacing/>
    </w:pPr>
  </w:style>
  <w:style w:type="character" w:styleId="IntenseEmphasis">
    <w:name w:val="Intense Emphasis"/>
    <w:basedOn w:val="DefaultParagraphFont"/>
    <w:uiPriority w:val="21"/>
    <w:qFormat/>
    <w:rsid w:val="00CF5FF6"/>
    <w:rPr>
      <w:i/>
      <w:iCs/>
      <w:color w:val="0F4761" w:themeColor="accent1" w:themeShade="BF"/>
    </w:rPr>
  </w:style>
  <w:style w:type="paragraph" w:styleId="IntenseQuote">
    <w:name w:val="Intense Quote"/>
    <w:basedOn w:val="Normal"/>
    <w:next w:val="Normal"/>
    <w:link w:val="IntenseQuoteChar"/>
    <w:uiPriority w:val="30"/>
    <w:qFormat/>
    <w:rsid w:val="00CF5F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FF6"/>
    <w:rPr>
      <w:i/>
      <w:iCs/>
      <w:color w:val="0F4761" w:themeColor="accent1" w:themeShade="BF"/>
    </w:rPr>
  </w:style>
  <w:style w:type="character" w:styleId="IntenseReference">
    <w:name w:val="Intense Reference"/>
    <w:basedOn w:val="DefaultParagraphFont"/>
    <w:uiPriority w:val="32"/>
    <w:qFormat/>
    <w:rsid w:val="00CF5FF6"/>
    <w:rPr>
      <w:b/>
      <w:bCs/>
      <w:smallCaps/>
      <w:color w:val="0F4761" w:themeColor="accent1" w:themeShade="BF"/>
      <w:spacing w:val="5"/>
    </w:rPr>
  </w:style>
  <w:style w:type="paragraph" w:customStyle="1" w:styleId="ReviewHeading">
    <w:name w:val="Review Heading"/>
    <w:basedOn w:val="Title"/>
    <w:link w:val="ReviewHeadingChar"/>
    <w:qFormat/>
    <w:rsid w:val="002610A7"/>
    <w:pPr>
      <w:jc w:val="left"/>
    </w:pPr>
    <w:rPr>
      <w:b/>
      <w:color w:val="000099"/>
    </w:rPr>
  </w:style>
  <w:style w:type="character" w:customStyle="1" w:styleId="ReviewHeadingChar">
    <w:name w:val="Review Heading Char"/>
    <w:basedOn w:val="TitleChar"/>
    <w:link w:val="ReviewHeading"/>
    <w:rsid w:val="002610A7"/>
    <w:rPr>
      <w:rFonts w:asciiTheme="majorHAnsi" w:eastAsiaTheme="majorEastAsia" w:hAnsiTheme="majorHAnsi" w:cstheme="majorBidi"/>
      <w:b/>
      <w:color w:val="000099"/>
      <w:spacing w:val="-10"/>
      <w:kern w:val="28"/>
      <w:sz w:val="56"/>
      <w:szCs w:val="56"/>
    </w:rPr>
  </w:style>
  <w:style w:type="paragraph" w:customStyle="1" w:styleId="ReviewHeading2">
    <w:name w:val="Review Heading 2"/>
    <w:basedOn w:val="Heading1"/>
    <w:link w:val="ReviewHeading2Char"/>
    <w:qFormat/>
    <w:rsid w:val="00CF5FF6"/>
    <w:rPr>
      <w:color w:val="000099"/>
    </w:rPr>
  </w:style>
  <w:style w:type="character" w:customStyle="1" w:styleId="ReviewHeading2Char">
    <w:name w:val="Review Heading 2 Char"/>
    <w:basedOn w:val="Heading1Char"/>
    <w:link w:val="ReviewHeading2"/>
    <w:rsid w:val="00CF5FF6"/>
    <w:rPr>
      <w:rFonts w:asciiTheme="majorHAnsi" w:eastAsiaTheme="majorEastAsia" w:hAnsiTheme="majorHAnsi" w:cstheme="majorBidi"/>
      <w:color w:val="000099"/>
      <w:sz w:val="40"/>
      <w:szCs w:val="40"/>
    </w:rPr>
  </w:style>
  <w:style w:type="paragraph" w:customStyle="1" w:styleId="ReviewHeading3">
    <w:name w:val="Review Heading 3"/>
    <w:basedOn w:val="Heading2"/>
    <w:link w:val="ReviewHeading3Char"/>
    <w:qFormat/>
    <w:rsid w:val="003B7DFB"/>
    <w:pPr>
      <w:jc w:val="left"/>
    </w:pPr>
    <w:rPr>
      <w:color w:val="000099"/>
    </w:rPr>
  </w:style>
  <w:style w:type="character" w:customStyle="1" w:styleId="ReviewHeading3Char">
    <w:name w:val="Review Heading 3 Char"/>
    <w:basedOn w:val="Heading2Char"/>
    <w:link w:val="ReviewHeading3"/>
    <w:rsid w:val="003B7DFB"/>
    <w:rPr>
      <w:rFonts w:asciiTheme="majorHAnsi" w:eastAsiaTheme="majorEastAsia" w:hAnsiTheme="majorHAnsi" w:cstheme="majorBidi"/>
      <w:color w:val="000099"/>
      <w:sz w:val="32"/>
      <w:szCs w:val="32"/>
    </w:rPr>
  </w:style>
  <w:style w:type="paragraph" w:customStyle="1" w:styleId="ReviewCallOutBox">
    <w:name w:val="Review Call Out Box"/>
    <w:basedOn w:val="Normal"/>
    <w:link w:val="ReviewCallOutBoxChar"/>
    <w:rsid w:val="000A2A03"/>
    <w:rPr>
      <w:color w:val="000000" w:themeColor="text1"/>
    </w:rPr>
  </w:style>
  <w:style w:type="character" w:customStyle="1" w:styleId="ReviewCallOutBoxChar">
    <w:name w:val="Review Call Out Box Char"/>
    <w:basedOn w:val="DefaultParagraphFont"/>
    <w:link w:val="ReviewCallOutBox"/>
    <w:rsid w:val="000A2A03"/>
    <w:rPr>
      <w:color w:val="000000" w:themeColor="text1"/>
    </w:rPr>
  </w:style>
  <w:style w:type="paragraph" w:styleId="Header">
    <w:name w:val="header"/>
    <w:basedOn w:val="Normal"/>
    <w:link w:val="HeaderChar"/>
    <w:uiPriority w:val="99"/>
    <w:unhideWhenUsed/>
    <w:rsid w:val="00C36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AB0"/>
  </w:style>
  <w:style w:type="paragraph" w:styleId="Footer">
    <w:name w:val="footer"/>
    <w:basedOn w:val="Normal"/>
    <w:link w:val="FooterChar"/>
    <w:uiPriority w:val="99"/>
    <w:unhideWhenUsed/>
    <w:rsid w:val="00C36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AB0"/>
  </w:style>
  <w:style w:type="paragraph" w:styleId="TOCHeading">
    <w:name w:val="TOC Heading"/>
    <w:basedOn w:val="Heading1"/>
    <w:next w:val="Normal"/>
    <w:uiPriority w:val="39"/>
    <w:unhideWhenUsed/>
    <w:qFormat/>
    <w:rsid w:val="004B7D3A"/>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783D29"/>
    <w:pPr>
      <w:tabs>
        <w:tab w:val="right" w:leader="dot" w:pos="9016"/>
      </w:tabs>
      <w:spacing w:after="100" w:line="259" w:lineRule="auto"/>
      <w:ind w:left="220" w:right="651"/>
    </w:pPr>
    <w:rPr>
      <w:rFonts w:eastAsiaTheme="minorEastAsia" w:cs="Times New Roman"/>
      <w:kern w:val="0"/>
      <w:sz w:val="20"/>
      <w:szCs w:val="22"/>
      <w:lang w:val="en-US"/>
      <w14:ligatures w14:val="none"/>
    </w:rPr>
  </w:style>
  <w:style w:type="paragraph" w:styleId="TOC1">
    <w:name w:val="toc 1"/>
    <w:basedOn w:val="Normal"/>
    <w:next w:val="Normal"/>
    <w:autoRedefine/>
    <w:uiPriority w:val="39"/>
    <w:unhideWhenUsed/>
    <w:rsid w:val="00582696"/>
    <w:pPr>
      <w:tabs>
        <w:tab w:val="right" w:leader="dot" w:pos="9016"/>
      </w:tabs>
      <w:spacing w:after="100" w:line="259" w:lineRule="auto"/>
    </w:pPr>
    <w:rPr>
      <w:rFonts w:eastAsiaTheme="minorEastAsia" w:cs="Times New Roman"/>
      <w:b/>
      <w:noProof/>
      <w:kern w:val="0"/>
      <w:sz w:val="20"/>
      <w:szCs w:val="20"/>
      <w:lang w:val="en-US"/>
      <w14:ligatures w14:val="none"/>
    </w:rPr>
  </w:style>
  <w:style w:type="paragraph" w:styleId="TOC3">
    <w:name w:val="toc 3"/>
    <w:basedOn w:val="Normal"/>
    <w:next w:val="Normal"/>
    <w:autoRedefine/>
    <w:uiPriority w:val="39"/>
    <w:unhideWhenUsed/>
    <w:rsid w:val="004B7D3A"/>
    <w:pPr>
      <w:spacing w:after="100" w:line="259" w:lineRule="auto"/>
      <w:ind w:left="440"/>
    </w:pPr>
    <w:rPr>
      <w:rFonts w:eastAsiaTheme="minorEastAsia" w:cs="Times New Roman"/>
      <w:kern w:val="0"/>
      <w:szCs w:val="22"/>
      <w:lang w:val="en-US"/>
      <w14:ligatures w14:val="none"/>
    </w:rPr>
  </w:style>
  <w:style w:type="character" w:styleId="Hyperlink">
    <w:name w:val="Hyperlink"/>
    <w:basedOn w:val="DefaultParagraphFont"/>
    <w:uiPriority w:val="99"/>
    <w:unhideWhenUsed/>
    <w:rsid w:val="00FD1060"/>
    <w:rPr>
      <w:color w:val="467886" w:themeColor="hyperlink"/>
      <w:u w:val="single"/>
    </w:rPr>
  </w:style>
  <w:style w:type="character" w:styleId="CommentReference">
    <w:name w:val="annotation reference"/>
    <w:basedOn w:val="DefaultParagraphFont"/>
    <w:uiPriority w:val="99"/>
    <w:semiHidden/>
    <w:unhideWhenUsed/>
    <w:rsid w:val="005E45F6"/>
    <w:rPr>
      <w:sz w:val="16"/>
      <w:szCs w:val="16"/>
    </w:rPr>
  </w:style>
  <w:style w:type="paragraph" w:styleId="CommentText">
    <w:name w:val="annotation text"/>
    <w:basedOn w:val="Normal"/>
    <w:link w:val="CommentTextChar"/>
    <w:uiPriority w:val="99"/>
    <w:unhideWhenUsed/>
    <w:rsid w:val="005E45F6"/>
    <w:pPr>
      <w:spacing w:line="240" w:lineRule="auto"/>
    </w:pPr>
    <w:rPr>
      <w:sz w:val="20"/>
      <w:szCs w:val="20"/>
    </w:rPr>
  </w:style>
  <w:style w:type="character" w:customStyle="1" w:styleId="CommentTextChar">
    <w:name w:val="Comment Text Char"/>
    <w:basedOn w:val="DefaultParagraphFont"/>
    <w:link w:val="CommentText"/>
    <w:uiPriority w:val="99"/>
    <w:rsid w:val="005E45F6"/>
    <w:rPr>
      <w:sz w:val="20"/>
      <w:szCs w:val="20"/>
    </w:rPr>
  </w:style>
  <w:style w:type="paragraph" w:styleId="CommentSubject">
    <w:name w:val="annotation subject"/>
    <w:basedOn w:val="CommentText"/>
    <w:next w:val="CommentText"/>
    <w:link w:val="CommentSubjectChar"/>
    <w:uiPriority w:val="99"/>
    <w:semiHidden/>
    <w:unhideWhenUsed/>
    <w:rsid w:val="005E45F6"/>
    <w:rPr>
      <w:b/>
      <w:bCs/>
    </w:rPr>
  </w:style>
  <w:style w:type="character" w:customStyle="1" w:styleId="CommentSubjectChar">
    <w:name w:val="Comment Subject Char"/>
    <w:basedOn w:val="CommentTextChar"/>
    <w:link w:val="CommentSubject"/>
    <w:uiPriority w:val="99"/>
    <w:semiHidden/>
    <w:rsid w:val="005E45F6"/>
    <w:rPr>
      <w:b/>
      <w:bCs/>
      <w:sz w:val="20"/>
      <w:szCs w:val="20"/>
    </w:rPr>
  </w:style>
  <w:style w:type="paragraph" w:styleId="Revision">
    <w:name w:val="Revision"/>
    <w:hidden/>
    <w:uiPriority w:val="99"/>
    <w:semiHidden/>
    <w:rsid w:val="00B66FEE"/>
    <w:pPr>
      <w:spacing w:after="0" w:line="240" w:lineRule="auto"/>
    </w:pPr>
  </w:style>
  <w:style w:type="paragraph" w:styleId="FootnoteText">
    <w:name w:val="footnote text"/>
    <w:basedOn w:val="Normal"/>
    <w:link w:val="FootnoteTextChar"/>
    <w:uiPriority w:val="99"/>
    <w:unhideWhenUsed/>
    <w:rsid w:val="003C5C28"/>
    <w:pPr>
      <w:spacing w:after="0" w:line="240" w:lineRule="auto"/>
    </w:pPr>
    <w:rPr>
      <w:rFonts w:eastAsiaTheme="minorEastAsia"/>
      <w:kern w:val="0"/>
      <w:sz w:val="20"/>
      <w:szCs w:val="20"/>
      <w:lang w:val="en-US" w:eastAsia="ja-JP"/>
      <w14:ligatures w14:val="none"/>
    </w:rPr>
  </w:style>
  <w:style w:type="character" w:customStyle="1" w:styleId="FootnoteTextChar">
    <w:name w:val="Footnote Text Char"/>
    <w:basedOn w:val="DefaultParagraphFont"/>
    <w:link w:val="FootnoteText"/>
    <w:uiPriority w:val="99"/>
    <w:rsid w:val="003C5C28"/>
    <w:rPr>
      <w:rFonts w:eastAsiaTheme="minorEastAsia"/>
      <w:kern w:val="0"/>
      <w:sz w:val="20"/>
      <w:szCs w:val="20"/>
      <w:lang w:val="en-US" w:eastAsia="ja-JP"/>
      <w14:ligatures w14:val="none"/>
    </w:rPr>
  </w:style>
  <w:style w:type="character" w:styleId="FootnoteReference">
    <w:name w:val="footnote reference"/>
    <w:basedOn w:val="DefaultParagraphFont"/>
    <w:uiPriority w:val="99"/>
    <w:semiHidden/>
    <w:unhideWhenUsed/>
    <w:rsid w:val="003C5C28"/>
    <w:rPr>
      <w:vertAlign w:val="superscript"/>
    </w:rPr>
  </w:style>
  <w:style w:type="table" w:styleId="TableGrid">
    <w:name w:val="Table Grid"/>
    <w:basedOn w:val="TableNormal"/>
    <w:uiPriority w:val="59"/>
    <w:rsid w:val="00847BBD"/>
    <w:pPr>
      <w:spacing w:before="60" w:after="60" w:line="240" w:lineRule="auto"/>
    </w:pPr>
    <w:rPr>
      <w:rFonts w:ascii="Cambria" w:eastAsia="Times New Roman" w:hAnsi="Cambria" w:cs="Times New Roman"/>
      <w:kern w:val="0"/>
      <w:sz w:val="18"/>
      <w:szCs w:val="20"/>
      <w:lang w:eastAsia="en-AU"/>
      <w14:ligatures w14:val="none"/>
    </w:rPr>
    <w:tblPr/>
  </w:style>
  <w:style w:type="paragraph" w:styleId="NoSpacing">
    <w:name w:val="No Spacing"/>
    <w:link w:val="NoSpacingChar"/>
    <w:uiPriority w:val="1"/>
    <w:qFormat/>
    <w:rsid w:val="00B712E2"/>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B712E2"/>
    <w:rPr>
      <w:rFonts w:eastAsiaTheme="minorEastAsia"/>
      <w:kern w:val="0"/>
      <w:sz w:val="22"/>
      <w:szCs w:val="22"/>
      <w:lang w:val="en-US"/>
      <w14:ligatures w14:val="none"/>
    </w:rPr>
  </w:style>
  <w:style w:type="paragraph" w:customStyle="1" w:styleId="RecsBox">
    <w:name w:val="Recs Box"/>
    <w:basedOn w:val="Normal"/>
    <w:link w:val="RecsBoxChar"/>
    <w:qFormat/>
    <w:rsid w:val="00D13788"/>
    <w:rPr>
      <w:rFonts w:ascii="Aptos" w:hAnsi="Aptos" w:cs="Calibri"/>
    </w:rPr>
  </w:style>
  <w:style w:type="character" w:customStyle="1" w:styleId="RecsBoxChar">
    <w:name w:val="Recs Box Char"/>
    <w:basedOn w:val="DefaultParagraphFont"/>
    <w:link w:val="RecsBox"/>
    <w:rsid w:val="003C39D4"/>
    <w:rPr>
      <w:rFonts w:ascii="Aptos" w:hAnsi="Aptos" w:cs="Calibri"/>
      <w:sz w:val="22"/>
    </w:rPr>
  </w:style>
  <w:style w:type="character" w:customStyle="1" w:styleId="ListParagraphChar">
    <w:name w:val="List Paragraph Char"/>
    <w:aliases w:val="Recommendation Char,Single bullet style Char,List Paragraph1 Char,List Paragraph11 Char,List Paragraph111 Char,L Char,F5 List Paragraph Char,Dot pt Char,CV text Char,Table text Char,Medium Grid 1 - Accent 21 Char,List Paragraph2 Char"/>
    <w:basedOn w:val="DefaultParagraphFont"/>
    <w:link w:val="ListParagraph"/>
    <w:uiPriority w:val="34"/>
    <w:rsid w:val="009A67C9"/>
  </w:style>
  <w:style w:type="character" w:styleId="Strong">
    <w:name w:val="Strong"/>
    <w:basedOn w:val="DefaultParagraphFont"/>
    <w:uiPriority w:val="22"/>
    <w:qFormat/>
    <w:rsid w:val="003C5379"/>
    <w:rPr>
      <w:b/>
      <w:bCs/>
    </w:rPr>
  </w:style>
  <w:style w:type="paragraph" w:styleId="NormalWeb">
    <w:name w:val="Normal (Web)"/>
    <w:basedOn w:val="Normal"/>
    <w:uiPriority w:val="99"/>
    <w:unhideWhenUsed/>
    <w:rsid w:val="003C5379"/>
    <w:pPr>
      <w:spacing w:after="200" w:line="276" w:lineRule="auto"/>
      <w:jc w:val="left"/>
    </w:pPr>
    <w:rPr>
      <w:rFonts w:ascii="Times New Roman" w:hAnsi="Times New Roman" w:cs="Times New Roman"/>
      <w:kern w:val="0"/>
      <w14:ligatures w14:val="none"/>
    </w:rPr>
  </w:style>
  <w:style w:type="table" w:styleId="PlainTable5">
    <w:name w:val="Plain Table 5"/>
    <w:basedOn w:val="TableNormal"/>
    <w:uiPriority w:val="45"/>
    <w:rsid w:val="00F021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op">
    <w:name w:val="eop"/>
    <w:basedOn w:val="DefaultParagraphFont"/>
    <w:rsid w:val="001631DA"/>
  </w:style>
  <w:style w:type="paragraph" w:customStyle="1" w:styleId="paragraph">
    <w:name w:val="paragraph"/>
    <w:basedOn w:val="Normal"/>
    <w:rsid w:val="006D3E10"/>
    <w:pPr>
      <w:spacing w:before="100" w:beforeAutospacing="1" w:after="100" w:afterAutospacing="1" w:line="240" w:lineRule="auto"/>
      <w:jc w:val="left"/>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6D3E10"/>
  </w:style>
  <w:style w:type="paragraph" w:styleId="Caption">
    <w:name w:val="caption"/>
    <w:basedOn w:val="Normal"/>
    <w:next w:val="Normal"/>
    <w:uiPriority w:val="35"/>
    <w:unhideWhenUsed/>
    <w:qFormat/>
    <w:rsid w:val="003204CB"/>
    <w:pPr>
      <w:spacing w:after="200" w:line="240" w:lineRule="auto"/>
      <w:jc w:val="left"/>
    </w:pPr>
    <w:rPr>
      <w:i/>
      <w:iCs/>
      <w:color w:val="0E2841" w:themeColor="text2"/>
      <w:kern w:val="0"/>
      <w:sz w:val="18"/>
      <w:szCs w:val="18"/>
      <w14:ligatures w14:val="none"/>
    </w:rPr>
  </w:style>
  <w:style w:type="character" w:styleId="UnresolvedMention">
    <w:name w:val="Unresolved Mention"/>
    <w:basedOn w:val="DefaultParagraphFont"/>
    <w:uiPriority w:val="99"/>
    <w:semiHidden/>
    <w:unhideWhenUsed/>
    <w:rsid w:val="00826E54"/>
    <w:rPr>
      <w:color w:val="605E5C"/>
      <w:shd w:val="clear" w:color="auto" w:fill="E1DFDD"/>
    </w:rPr>
  </w:style>
  <w:style w:type="paragraph" w:customStyle="1" w:styleId="Sub-Heading">
    <w:name w:val="Sub-Heading"/>
    <w:basedOn w:val="ReviewHeading3"/>
    <w:link w:val="Sub-HeadingChar"/>
    <w:qFormat/>
    <w:rsid w:val="00330FE3"/>
    <w:rPr>
      <w:rFonts w:eastAsia="Times New Roman"/>
      <w:i/>
      <w:iCs/>
      <w:sz w:val="28"/>
      <w:lang w:eastAsia="en-AU"/>
    </w:rPr>
  </w:style>
  <w:style w:type="character" w:customStyle="1" w:styleId="Sub-HeadingChar">
    <w:name w:val="Sub-Heading Char"/>
    <w:basedOn w:val="ReviewHeading3Char"/>
    <w:link w:val="Sub-Heading"/>
    <w:rsid w:val="00330FE3"/>
    <w:rPr>
      <w:rFonts w:asciiTheme="majorHAnsi" w:eastAsia="Times New Roman" w:hAnsiTheme="majorHAnsi" w:cstheme="majorBidi"/>
      <w:i/>
      <w:iCs/>
      <w:color w:val="000099"/>
      <w:sz w:val="28"/>
      <w:szCs w:val="32"/>
      <w:lang w:eastAsia="en-AU"/>
    </w:rPr>
  </w:style>
  <w:style w:type="table" w:styleId="PlainTable1">
    <w:name w:val="Plain Table 1"/>
    <w:basedOn w:val="TableNormal"/>
    <w:uiPriority w:val="41"/>
    <w:rsid w:val="004502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640044"/>
    <w:rPr>
      <w:color w:val="2B579A"/>
      <w:shd w:val="clear" w:color="auto" w:fill="E1DFDD"/>
    </w:rPr>
  </w:style>
  <w:style w:type="table" w:styleId="ListTable7Colorful">
    <w:name w:val="List Table 7 Colorful"/>
    <w:basedOn w:val="TableNormal"/>
    <w:uiPriority w:val="52"/>
    <w:rsid w:val="00EB04B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47E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26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w142649368">
    <w:name w:val="scxw142649368"/>
    <w:basedOn w:val="DefaultParagraphFont"/>
    <w:rsid w:val="009B67DC"/>
  </w:style>
  <w:style w:type="character" w:styleId="FollowedHyperlink">
    <w:name w:val="FollowedHyperlink"/>
    <w:basedOn w:val="DefaultParagraphFont"/>
    <w:uiPriority w:val="99"/>
    <w:semiHidden/>
    <w:unhideWhenUsed/>
    <w:rsid w:val="00856DD0"/>
    <w:rPr>
      <w:color w:val="96607D" w:themeColor="followedHyperlink"/>
      <w:u w:val="single"/>
    </w:rPr>
  </w:style>
  <w:style w:type="paragraph" w:styleId="BalloonText">
    <w:name w:val="Balloon Text"/>
    <w:basedOn w:val="Normal"/>
    <w:link w:val="BalloonTextChar"/>
    <w:uiPriority w:val="99"/>
    <w:semiHidden/>
    <w:unhideWhenUsed/>
    <w:rsid w:val="00382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EE8"/>
    <w:rPr>
      <w:rFonts w:ascii="Segoe UI" w:hAnsi="Segoe UI" w:cs="Segoe UI"/>
      <w:sz w:val="18"/>
      <w:szCs w:val="18"/>
    </w:rPr>
  </w:style>
  <w:style w:type="paragraph" w:styleId="Bibliography">
    <w:name w:val="Bibliography"/>
    <w:basedOn w:val="Normal"/>
    <w:next w:val="Normal"/>
    <w:uiPriority w:val="37"/>
    <w:semiHidden/>
    <w:unhideWhenUsed/>
    <w:rsid w:val="00382EE8"/>
  </w:style>
  <w:style w:type="paragraph" w:styleId="BlockText">
    <w:name w:val="Block Text"/>
    <w:basedOn w:val="Normal"/>
    <w:uiPriority w:val="99"/>
    <w:semiHidden/>
    <w:unhideWhenUsed/>
    <w:rsid w:val="00382EE8"/>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BodyText">
    <w:name w:val="Body Text"/>
    <w:basedOn w:val="Normal"/>
    <w:link w:val="BodyTextChar"/>
    <w:uiPriority w:val="99"/>
    <w:semiHidden/>
    <w:unhideWhenUsed/>
    <w:rsid w:val="00382EE8"/>
    <w:pPr>
      <w:spacing w:after="120"/>
    </w:pPr>
  </w:style>
  <w:style w:type="character" w:customStyle="1" w:styleId="BodyTextChar">
    <w:name w:val="Body Text Char"/>
    <w:basedOn w:val="DefaultParagraphFont"/>
    <w:link w:val="BodyText"/>
    <w:uiPriority w:val="99"/>
    <w:semiHidden/>
    <w:rsid w:val="00382EE8"/>
    <w:rPr>
      <w:sz w:val="22"/>
    </w:rPr>
  </w:style>
  <w:style w:type="paragraph" w:styleId="BodyText2">
    <w:name w:val="Body Text 2"/>
    <w:basedOn w:val="Normal"/>
    <w:link w:val="BodyText2Char"/>
    <w:uiPriority w:val="99"/>
    <w:semiHidden/>
    <w:unhideWhenUsed/>
    <w:rsid w:val="00382EE8"/>
    <w:pPr>
      <w:spacing w:after="120" w:line="480" w:lineRule="auto"/>
    </w:pPr>
  </w:style>
  <w:style w:type="character" w:customStyle="1" w:styleId="BodyText2Char">
    <w:name w:val="Body Text 2 Char"/>
    <w:basedOn w:val="DefaultParagraphFont"/>
    <w:link w:val="BodyText2"/>
    <w:uiPriority w:val="99"/>
    <w:semiHidden/>
    <w:rsid w:val="00382EE8"/>
    <w:rPr>
      <w:sz w:val="22"/>
    </w:rPr>
  </w:style>
  <w:style w:type="paragraph" w:styleId="BodyText3">
    <w:name w:val="Body Text 3"/>
    <w:basedOn w:val="Normal"/>
    <w:link w:val="BodyText3Char"/>
    <w:uiPriority w:val="99"/>
    <w:semiHidden/>
    <w:unhideWhenUsed/>
    <w:rsid w:val="00382EE8"/>
    <w:pPr>
      <w:spacing w:after="120"/>
    </w:pPr>
    <w:rPr>
      <w:sz w:val="16"/>
      <w:szCs w:val="16"/>
    </w:rPr>
  </w:style>
  <w:style w:type="character" w:customStyle="1" w:styleId="BodyText3Char">
    <w:name w:val="Body Text 3 Char"/>
    <w:basedOn w:val="DefaultParagraphFont"/>
    <w:link w:val="BodyText3"/>
    <w:uiPriority w:val="99"/>
    <w:semiHidden/>
    <w:rsid w:val="00382EE8"/>
    <w:rPr>
      <w:sz w:val="16"/>
      <w:szCs w:val="16"/>
    </w:rPr>
  </w:style>
  <w:style w:type="paragraph" w:styleId="BodyTextFirstIndent">
    <w:name w:val="Body Text First Indent"/>
    <w:basedOn w:val="BodyText"/>
    <w:link w:val="BodyTextFirstIndentChar"/>
    <w:uiPriority w:val="99"/>
    <w:semiHidden/>
    <w:unhideWhenUsed/>
    <w:rsid w:val="00382EE8"/>
    <w:pPr>
      <w:spacing w:after="160"/>
      <w:ind w:firstLine="360"/>
    </w:pPr>
  </w:style>
  <w:style w:type="character" w:customStyle="1" w:styleId="BodyTextFirstIndentChar">
    <w:name w:val="Body Text First Indent Char"/>
    <w:basedOn w:val="BodyTextChar"/>
    <w:link w:val="BodyTextFirstIndent"/>
    <w:uiPriority w:val="99"/>
    <w:semiHidden/>
    <w:rsid w:val="00382EE8"/>
    <w:rPr>
      <w:sz w:val="22"/>
    </w:rPr>
  </w:style>
  <w:style w:type="paragraph" w:styleId="BodyTextIndent">
    <w:name w:val="Body Text Indent"/>
    <w:basedOn w:val="Normal"/>
    <w:link w:val="BodyTextIndentChar"/>
    <w:uiPriority w:val="99"/>
    <w:semiHidden/>
    <w:unhideWhenUsed/>
    <w:rsid w:val="00382EE8"/>
    <w:pPr>
      <w:spacing w:after="120"/>
      <w:ind w:left="283"/>
    </w:pPr>
  </w:style>
  <w:style w:type="character" w:customStyle="1" w:styleId="BodyTextIndentChar">
    <w:name w:val="Body Text Indent Char"/>
    <w:basedOn w:val="DefaultParagraphFont"/>
    <w:link w:val="BodyTextIndent"/>
    <w:uiPriority w:val="99"/>
    <w:semiHidden/>
    <w:rsid w:val="00382EE8"/>
    <w:rPr>
      <w:sz w:val="22"/>
    </w:rPr>
  </w:style>
  <w:style w:type="paragraph" w:styleId="BodyTextFirstIndent2">
    <w:name w:val="Body Text First Indent 2"/>
    <w:basedOn w:val="BodyTextIndent"/>
    <w:link w:val="BodyTextFirstIndent2Char"/>
    <w:uiPriority w:val="99"/>
    <w:semiHidden/>
    <w:unhideWhenUsed/>
    <w:rsid w:val="00382EE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82EE8"/>
    <w:rPr>
      <w:sz w:val="22"/>
    </w:rPr>
  </w:style>
  <w:style w:type="paragraph" w:styleId="BodyTextIndent2">
    <w:name w:val="Body Text Indent 2"/>
    <w:basedOn w:val="Normal"/>
    <w:link w:val="BodyTextIndent2Char"/>
    <w:uiPriority w:val="99"/>
    <w:semiHidden/>
    <w:unhideWhenUsed/>
    <w:rsid w:val="00382EE8"/>
    <w:pPr>
      <w:spacing w:after="120" w:line="480" w:lineRule="auto"/>
      <w:ind w:left="283"/>
    </w:pPr>
  </w:style>
  <w:style w:type="character" w:customStyle="1" w:styleId="BodyTextIndent2Char">
    <w:name w:val="Body Text Indent 2 Char"/>
    <w:basedOn w:val="DefaultParagraphFont"/>
    <w:link w:val="BodyTextIndent2"/>
    <w:uiPriority w:val="99"/>
    <w:semiHidden/>
    <w:rsid w:val="00382EE8"/>
    <w:rPr>
      <w:sz w:val="22"/>
    </w:rPr>
  </w:style>
  <w:style w:type="paragraph" w:styleId="BodyTextIndent3">
    <w:name w:val="Body Text Indent 3"/>
    <w:basedOn w:val="Normal"/>
    <w:link w:val="BodyTextIndent3Char"/>
    <w:uiPriority w:val="99"/>
    <w:semiHidden/>
    <w:unhideWhenUsed/>
    <w:rsid w:val="00382E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82EE8"/>
    <w:rPr>
      <w:sz w:val="16"/>
      <w:szCs w:val="16"/>
    </w:rPr>
  </w:style>
  <w:style w:type="paragraph" w:styleId="Closing">
    <w:name w:val="Closing"/>
    <w:basedOn w:val="Normal"/>
    <w:link w:val="ClosingChar"/>
    <w:uiPriority w:val="99"/>
    <w:semiHidden/>
    <w:unhideWhenUsed/>
    <w:rsid w:val="00382EE8"/>
    <w:pPr>
      <w:spacing w:after="0" w:line="240" w:lineRule="auto"/>
      <w:ind w:left="4252"/>
    </w:pPr>
  </w:style>
  <w:style w:type="character" w:customStyle="1" w:styleId="ClosingChar">
    <w:name w:val="Closing Char"/>
    <w:basedOn w:val="DefaultParagraphFont"/>
    <w:link w:val="Closing"/>
    <w:uiPriority w:val="99"/>
    <w:semiHidden/>
    <w:rsid w:val="00382EE8"/>
    <w:rPr>
      <w:sz w:val="22"/>
    </w:rPr>
  </w:style>
  <w:style w:type="paragraph" w:styleId="Date">
    <w:name w:val="Date"/>
    <w:basedOn w:val="Normal"/>
    <w:next w:val="Normal"/>
    <w:link w:val="DateChar"/>
    <w:uiPriority w:val="99"/>
    <w:semiHidden/>
    <w:unhideWhenUsed/>
    <w:rsid w:val="00382EE8"/>
  </w:style>
  <w:style w:type="character" w:customStyle="1" w:styleId="DateChar">
    <w:name w:val="Date Char"/>
    <w:basedOn w:val="DefaultParagraphFont"/>
    <w:link w:val="Date"/>
    <w:uiPriority w:val="99"/>
    <w:semiHidden/>
    <w:rsid w:val="00382EE8"/>
    <w:rPr>
      <w:sz w:val="22"/>
    </w:rPr>
  </w:style>
  <w:style w:type="paragraph" w:styleId="DocumentMap">
    <w:name w:val="Document Map"/>
    <w:basedOn w:val="Normal"/>
    <w:link w:val="DocumentMapChar"/>
    <w:uiPriority w:val="99"/>
    <w:semiHidden/>
    <w:unhideWhenUsed/>
    <w:rsid w:val="00382EE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82EE8"/>
    <w:rPr>
      <w:rFonts w:ascii="Segoe UI" w:hAnsi="Segoe UI" w:cs="Segoe UI"/>
      <w:sz w:val="16"/>
      <w:szCs w:val="16"/>
    </w:rPr>
  </w:style>
  <w:style w:type="paragraph" w:styleId="E-mailSignature">
    <w:name w:val="E-mail Signature"/>
    <w:basedOn w:val="Normal"/>
    <w:link w:val="E-mailSignatureChar"/>
    <w:uiPriority w:val="99"/>
    <w:semiHidden/>
    <w:unhideWhenUsed/>
    <w:rsid w:val="00382EE8"/>
    <w:pPr>
      <w:spacing w:after="0" w:line="240" w:lineRule="auto"/>
    </w:pPr>
  </w:style>
  <w:style w:type="character" w:customStyle="1" w:styleId="E-mailSignatureChar">
    <w:name w:val="E-mail Signature Char"/>
    <w:basedOn w:val="DefaultParagraphFont"/>
    <w:link w:val="E-mailSignature"/>
    <w:uiPriority w:val="99"/>
    <w:semiHidden/>
    <w:rsid w:val="00382EE8"/>
    <w:rPr>
      <w:sz w:val="22"/>
    </w:rPr>
  </w:style>
  <w:style w:type="paragraph" w:styleId="EndnoteText">
    <w:name w:val="endnote text"/>
    <w:basedOn w:val="Normal"/>
    <w:link w:val="EndnoteTextChar"/>
    <w:uiPriority w:val="99"/>
    <w:semiHidden/>
    <w:unhideWhenUsed/>
    <w:rsid w:val="00382E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2EE8"/>
    <w:rPr>
      <w:sz w:val="20"/>
      <w:szCs w:val="20"/>
    </w:rPr>
  </w:style>
  <w:style w:type="paragraph" w:styleId="EnvelopeAddress">
    <w:name w:val="envelope address"/>
    <w:basedOn w:val="Normal"/>
    <w:uiPriority w:val="99"/>
    <w:semiHidden/>
    <w:unhideWhenUsed/>
    <w:rsid w:val="00382EE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382EE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82EE8"/>
    <w:pPr>
      <w:spacing w:after="0" w:line="240" w:lineRule="auto"/>
    </w:pPr>
    <w:rPr>
      <w:i/>
      <w:iCs/>
    </w:rPr>
  </w:style>
  <w:style w:type="character" w:customStyle="1" w:styleId="HTMLAddressChar">
    <w:name w:val="HTML Address Char"/>
    <w:basedOn w:val="DefaultParagraphFont"/>
    <w:link w:val="HTMLAddress"/>
    <w:uiPriority w:val="99"/>
    <w:semiHidden/>
    <w:rsid w:val="00382EE8"/>
    <w:rPr>
      <w:i/>
      <w:iCs/>
      <w:sz w:val="22"/>
    </w:rPr>
  </w:style>
  <w:style w:type="paragraph" w:styleId="HTMLPreformatted">
    <w:name w:val="HTML Preformatted"/>
    <w:basedOn w:val="Normal"/>
    <w:link w:val="HTMLPreformattedChar"/>
    <w:uiPriority w:val="99"/>
    <w:semiHidden/>
    <w:unhideWhenUsed/>
    <w:rsid w:val="00382EE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82EE8"/>
    <w:rPr>
      <w:rFonts w:ascii="Consolas" w:hAnsi="Consolas"/>
      <w:sz w:val="20"/>
      <w:szCs w:val="20"/>
    </w:rPr>
  </w:style>
  <w:style w:type="paragraph" w:styleId="Index1">
    <w:name w:val="index 1"/>
    <w:basedOn w:val="Normal"/>
    <w:next w:val="Normal"/>
    <w:autoRedefine/>
    <w:uiPriority w:val="99"/>
    <w:semiHidden/>
    <w:unhideWhenUsed/>
    <w:rsid w:val="00382EE8"/>
    <w:pPr>
      <w:spacing w:after="0" w:line="240" w:lineRule="auto"/>
      <w:ind w:left="220" w:hanging="220"/>
    </w:pPr>
  </w:style>
  <w:style w:type="paragraph" w:styleId="Index2">
    <w:name w:val="index 2"/>
    <w:basedOn w:val="Normal"/>
    <w:next w:val="Normal"/>
    <w:autoRedefine/>
    <w:uiPriority w:val="99"/>
    <w:semiHidden/>
    <w:unhideWhenUsed/>
    <w:rsid w:val="00382EE8"/>
    <w:pPr>
      <w:spacing w:after="0" w:line="240" w:lineRule="auto"/>
      <w:ind w:left="440" w:hanging="220"/>
    </w:pPr>
  </w:style>
  <w:style w:type="paragraph" w:styleId="Index3">
    <w:name w:val="index 3"/>
    <w:basedOn w:val="Normal"/>
    <w:next w:val="Normal"/>
    <w:autoRedefine/>
    <w:uiPriority w:val="99"/>
    <w:semiHidden/>
    <w:unhideWhenUsed/>
    <w:rsid w:val="00382EE8"/>
    <w:pPr>
      <w:spacing w:after="0" w:line="240" w:lineRule="auto"/>
      <w:ind w:left="660" w:hanging="220"/>
    </w:pPr>
  </w:style>
  <w:style w:type="paragraph" w:styleId="Index4">
    <w:name w:val="index 4"/>
    <w:basedOn w:val="Normal"/>
    <w:next w:val="Normal"/>
    <w:autoRedefine/>
    <w:uiPriority w:val="99"/>
    <w:semiHidden/>
    <w:unhideWhenUsed/>
    <w:rsid w:val="00382EE8"/>
    <w:pPr>
      <w:spacing w:after="0" w:line="240" w:lineRule="auto"/>
      <w:ind w:left="880" w:hanging="220"/>
    </w:pPr>
  </w:style>
  <w:style w:type="paragraph" w:styleId="Index5">
    <w:name w:val="index 5"/>
    <w:basedOn w:val="Normal"/>
    <w:next w:val="Normal"/>
    <w:autoRedefine/>
    <w:uiPriority w:val="99"/>
    <w:semiHidden/>
    <w:unhideWhenUsed/>
    <w:rsid w:val="00382EE8"/>
    <w:pPr>
      <w:spacing w:after="0" w:line="240" w:lineRule="auto"/>
      <w:ind w:left="1100" w:hanging="220"/>
    </w:pPr>
  </w:style>
  <w:style w:type="paragraph" w:styleId="Index6">
    <w:name w:val="index 6"/>
    <w:basedOn w:val="Normal"/>
    <w:next w:val="Normal"/>
    <w:autoRedefine/>
    <w:uiPriority w:val="99"/>
    <w:semiHidden/>
    <w:unhideWhenUsed/>
    <w:rsid w:val="00382EE8"/>
    <w:pPr>
      <w:spacing w:after="0" w:line="240" w:lineRule="auto"/>
      <w:ind w:left="1320" w:hanging="220"/>
    </w:pPr>
  </w:style>
  <w:style w:type="paragraph" w:styleId="Index7">
    <w:name w:val="index 7"/>
    <w:basedOn w:val="Normal"/>
    <w:next w:val="Normal"/>
    <w:autoRedefine/>
    <w:uiPriority w:val="99"/>
    <w:semiHidden/>
    <w:unhideWhenUsed/>
    <w:rsid w:val="00382EE8"/>
    <w:pPr>
      <w:spacing w:after="0" w:line="240" w:lineRule="auto"/>
      <w:ind w:left="1540" w:hanging="220"/>
    </w:pPr>
  </w:style>
  <w:style w:type="paragraph" w:styleId="Index8">
    <w:name w:val="index 8"/>
    <w:basedOn w:val="Normal"/>
    <w:next w:val="Normal"/>
    <w:autoRedefine/>
    <w:uiPriority w:val="99"/>
    <w:semiHidden/>
    <w:unhideWhenUsed/>
    <w:rsid w:val="00382EE8"/>
    <w:pPr>
      <w:spacing w:after="0" w:line="240" w:lineRule="auto"/>
      <w:ind w:left="1760" w:hanging="220"/>
    </w:pPr>
  </w:style>
  <w:style w:type="paragraph" w:styleId="Index9">
    <w:name w:val="index 9"/>
    <w:basedOn w:val="Normal"/>
    <w:next w:val="Normal"/>
    <w:autoRedefine/>
    <w:uiPriority w:val="99"/>
    <w:semiHidden/>
    <w:unhideWhenUsed/>
    <w:rsid w:val="00382EE8"/>
    <w:pPr>
      <w:spacing w:after="0" w:line="240" w:lineRule="auto"/>
      <w:ind w:left="1980" w:hanging="220"/>
    </w:pPr>
  </w:style>
  <w:style w:type="paragraph" w:styleId="IndexHeading">
    <w:name w:val="index heading"/>
    <w:basedOn w:val="Normal"/>
    <w:next w:val="Index1"/>
    <w:uiPriority w:val="99"/>
    <w:semiHidden/>
    <w:unhideWhenUsed/>
    <w:rsid w:val="00382EE8"/>
    <w:rPr>
      <w:rFonts w:asciiTheme="majorHAnsi" w:eastAsiaTheme="majorEastAsia" w:hAnsiTheme="majorHAnsi" w:cstheme="majorBidi"/>
      <w:b/>
      <w:bCs/>
    </w:rPr>
  </w:style>
  <w:style w:type="paragraph" w:styleId="List">
    <w:name w:val="List"/>
    <w:basedOn w:val="Normal"/>
    <w:uiPriority w:val="99"/>
    <w:semiHidden/>
    <w:unhideWhenUsed/>
    <w:rsid w:val="00382EE8"/>
    <w:pPr>
      <w:ind w:left="283" w:hanging="283"/>
      <w:contextualSpacing/>
    </w:pPr>
  </w:style>
  <w:style w:type="paragraph" w:styleId="List2">
    <w:name w:val="List 2"/>
    <w:basedOn w:val="Normal"/>
    <w:uiPriority w:val="99"/>
    <w:semiHidden/>
    <w:unhideWhenUsed/>
    <w:rsid w:val="00382EE8"/>
    <w:pPr>
      <w:ind w:left="566" w:hanging="283"/>
      <w:contextualSpacing/>
    </w:pPr>
  </w:style>
  <w:style w:type="paragraph" w:styleId="List3">
    <w:name w:val="List 3"/>
    <w:basedOn w:val="Normal"/>
    <w:uiPriority w:val="99"/>
    <w:semiHidden/>
    <w:unhideWhenUsed/>
    <w:rsid w:val="00382EE8"/>
    <w:pPr>
      <w:ind w:left="849" w:hanging="283"/>
      <w:contextualSpacing/>
    </w:pPr>
  </w:style>
  <w:style w:type="paragraph" w:styleId="List4">
    <w:name w:val="List 4"/>
    <w:basedOn w:val="Normal"/>
    <w:uiPriority w:val="99"/>
    <w:semiHidden/>
    <w:unhideWhenUsed/>
    <w:rsid w:val="00382EE8"/>
    <w:pPr>
      <w:ind w:left="1132" w:hanging="283"/>
      <w:contextualSpacing/>
    </w:pPr>
  </w:style>
  <w:style w:type="paragraph" w:styleId="List5">
    <w:name w:val="List 5"/>
    <w:basedOn w:val="Normal"/>
    <w:uiPriority w:val="99"/>
    <w:semiHidden/>
    <w:unhideWhenUsed/>
    <w:rsid w:val="00382EE8"/>
    <w:pPr>
      <w:ind w:left="1415" w:hanging="283"/>
      <w:contextualSpacing/>
    </w:pPr>
  </w:style>
  <w:style w:type="paragraph" w:styleId="ListBullet">
    <w:name w:val="List Bullet"/>
    <w:basedOn w:val="Normal"/>
    <w:uiPriority w:val="99"/>
    <w:semiHidden/>
    <w:unhideWhenUsed/>
    <w:rsid w:val="00382EE8"/>
    <w:pPr>
      <w:numPr>
        <w:numId w:val="161"/>
      </w:numPr>
      <w:contextualSpacing/>
    </w:pPr>
  </w:style>
  <w:style w:type="paragraph" w:styleId="ListBullet2">
    <w:name w:val="List Bullet 2"/>
    <w:basedOn w:val="Normal"/>
    <w:uiPriority w:val="99"/>
    <w:semiHidden/>
    <w:unhideWhenUsed/>
    <w:rsid w:val="00382EE8"/>
    <w:pPr>
      <w:numPr>
        <w:numId w:val="162"/>
      </w:numPr>
      <w:contextualSpacing/>
    </w:pPr>
  </w:style>
  <w:style w:type="paragraph" w:styleId="ListBullet3">
    <w:name w:val="List Bullet 3"/>
    <w:basedOn w:val="Normal"/>
    <w:uiPriority w:val="99"/>
    <w:semiHidden/>
    <w:unhideWhenUsed/>
    <w:rsid w:val="00382EE8"/>
    <w:pPr>
      <w:numPr>
        <w:numId w:val="163"/>
      </w:numPr>
      <w:contextualSpacing/>
    </w:pPr>
  </w:style>
  <w:style w:type="paragraph" w:styleId="ListBullet4">
    <w:name w:val="List Bullet 4"/>
    <w:basedOn w:val="Normal"/>
    <w:uiPriority w:val="99"/>
    <w:semiHidden/>
    <w:unhideWhenUsed/>
    <w:rsid w:val="00382EE8"/>
    <w:pPr>
      <w:numPr>
        <w:numId w:val="164"/>
      </w:numPr>
      <w:contextualSpacing/>
    </w:pPr>
  </w:style>
  <w:style w:type="paragraph" w:styleId="ListBullet5">
    <w:name w:val="List Bullet 5"/>
    <w:basedOn w:val="Normal"/>
    <w:uiPriority w:val="99"/>
    <w:semiHidden/>
    <w:unhideWhenUsed/>
    <w:rsid w:val="00382EE8"/>
    <w:pPr>
      <w:numPr>
        <w:numId w:val="165"/>
      </w:numPr>
      <w:contextualSpacing/>
    </w:pPr>
  </w:style>
  <w:style w:type="paragraph" w:styleId="ListContinue">
    <w:name w:val="List Continue"/>
    <w:basedOn w:val="Normal"/>
    <w:uiPriority w:val="99"/>
    <w:semiHidden/>
    <w:unhideWhenUsed/>
    <w:rsid w:val="00382EE8"/>
    <w:pPr>
      <w:spacing w:after="120"/>
      <w:ind w:left="283"/>
      <w:contextualSpacing/>
    </w:pPr>
  </w:style>
  <w:style w:type="paragraph" w:styleId="ListContinue2">
    <w:name w:val="List Continue 2"/>
    <w:basedOn w:val="Normal"/>
    <w:uiPriority w:val="99"/>
    <w:semiHidden/>
    <w:unhideWhenUsed/>
    <w:rsid w:val="00382EE8"/>
    <w:pPr>
      <w:spacing w:after="120"/>
      <w:ind w:left="566"/>
      <w:contextualSpacing/>
    </w:pPr>
  </w:style>
  <w:style w:type="paragraph" w:styleId="ListContinue3">
    <w:name w:val="List Continue 3"/>
    <w:basedOn w:val="Normal"/>
    <w:uiPriority w:val="99"/>
    <w:semiHidden/>
    <w:unhideWhenUsed/>
    <w:rsid w:val="00382EE8"/>
    <w:pPr>
      <w:spacing w:after="120"/>
      <w:ind w:left="849"/>
      <w:contextualSpacing/>
    </w:pPr>
  </w:style>
  <w:style w:type="paragraph" w:styleId="ListContinue4">
    <w:name w:val="List Continue 4"/>
    <w:basedOn w:val="Normal"/>
    <w:uiPriority w:val="99"/>
    <w:semiHidden/>
    <w:unhideWhenUsed/>
    <w:rsid w:val="00382EE8"/>
    <w:pPr>
      <w:spacing w:after="120"/>
      <w:ind w:left="1132"/>
      <w:contextualSpacing/>
    </w:pPr>
  </w:style>
  <w:style w:type="paragraph" w:styleId="ListContinue5">
    <w:name w:val="List Continue 5"/>
    <w:basedOn w:val="Normal"/>
    <w:uiPriority w:val="99"/>
    <w:semiHidden/>
    <w:unhideWhenUsed/>
    <w:rsid w:val="00382EE8"/>
    <w:pPr>
      <w:spacing w:after="120"/>
      <w:ind w:left="1415"/>
      <w:contextualSpacing/>
    </w:pPr>
  </w:style>
  <w:style w:type="paragraph" w:styleId="ListNumber">
    <w:name w:val="List Number"/>
    <w:basedOn w:val="Normal"/>
    <w:uiPriority w:val="99"/>
    <w:semiHidden/>
    <w:unhideWhenUsed/>
    <w:rsid w:val="00382EE8"/>
    <w:pPr>
      <w:numPr>
        <w:numId w:val="166"/>
      </w:numPr>
      <w:contextualSpacing/>
    </w:pPr>
  </w:style>
  <w:style w:type="paragraph" w:styleId="ListNumber2">
    <w:name w:val="List Number 2"/>
    <w:basedOn w:val="Normal"/>
    <w:uiPriority w:val="99"/>
    <w:semiHidden/>
    <w:unhideWhenUsed/>
    <w:rsid w:val="00382EE8"/>
    <w:pPr>
      <w:numPr>
        <w:numId w:val="167"/>
      </w:numPr>
      <w:contextualSpacing/>
    </w:pPr>
  </w:style>
  <w:style w:type="paragraph" w:styleId="ListNumber3">
    <w:name w:val="List Number 3"/>
    <w:basedOn w:val="Normal"/>
    <w:uiPriority w:val="99"/>
    <w:semiHidden/>
    <w:unhideWhenUsed/>
    <w:rsid w:val="00382EE8"/>
    <w:pPr>
      <w:numPr>
        <w:numId w:val="168"/>
      </w:numPr>
      <w:contextualSpacing/>
    </w:pPr>
  </w:style>
  <w:style w:type="paragraph" w:styleId="ListNumber4">
    <w:name w:val="List Number 4"/>
    <w:basedOn w:val="Normal"/>
    <w:uiPriority w:val="99"/>
    <w:semiHidden/>
    <w:unhideWhenUsed/>
    <w:rsid w:val="00382EE8"/>
    <w:pPr>
      <w:numPr>
        <w:numId w:val="169"/>
      </w:numPr>
      <w:contextualSpacing/>
    </w:pPr>
  </w:style>
  <w:style w:type="paragraph" w:styleId="ListNumber5">
    <w:name w:val="List Number 5"/>
    <w:basedOn w:val="Normal"/>
    <w:uiPriority w:val="99"/>
    <w:semiHidden/>
    <w:unhideWhenUsed/>
    <w:rsid w:val="00382EE8"/>
    <w:pPr>
      <w:numPr>
        <w:numId w:val="170"/>
      </w:numPr>
      <w:contextualSpacing/>
    </w:pPr>
  </w:style>
  <w:style w:type="paragraph" w:styleId="MacroText">
    <w:name w:val="macro"/>
    <w:link w:val="MacroTextChar"/>
    <w:uiPriority w:val="99"/>
    <w:semiHidden/>
    <w:unhideWhenUsed/>
    <w:rsid w:val="00382EE8"/>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382EE8"/>
    <w:rPr>
      <w:rFonts w:ascii="Consolas" w:hAnsi="Consolas"/>
      <w:sz w:val="20"/>
      <w:szCs w:val="20"/>
    </w:rPr>
  </w:style>
  <w:style w:type="paragraph" w:styleId="MessageHeader">
    <w:name w:val="Message Header"/>
    <w:basedOn w:val="Normal"/>
    <w:link w:val="MessageHeaderChar"/>
    <w:uiPriority w:val="99"/>
    <w:semiHidden/>
    <w:unhideWhenUsed/>
    <w:rsid w:val="00382E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382EE8"/>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382EE8"/>
    <w:pPr>
      <w:ind w:left="720"/>
    </w:pPr>
  </w:style>
  <w:style w:type="paragraph" w:styleId="NoteHeading">
    <w:name w:val="Note Heading"/>
    <w:basedOn w:val="Normal"/>
    <w:next w:val="Normal"/>
    <w:link w:val="NoteHeadingChar"/>
    <w:uiPriority w:val="99"/>
    <w:semiHidden/>
    <w:unhideWhenUsed/>
    <w:rsid w:val="00382EE8"/>
    <w:pPr>
      <w:spacing w:after="0" w:line="240" w:lineRule="auto"/>
    </w:pPr>
  </w:style>
  <w:style w:type="character" w:customStyle="1" w:styleId="NoteHeadingChar">
    <w:name w:val="Note Heading Char"/>
    <w:basedOn w:val="DefaultParagraphFont"/>
    <w:link w:val="NoteHeading"/>
    <w:uiPriority w:val="99"/>
    <w:semiHidden/>
    <w:rsid w:val="00382EE8"/>
    <w:rPr>
      <w:sz w:val="22"/>
    </w:rPr>
  </w:style>
  <w:style w:type="paragraph" w:styleId="PlainText">
    <w:name w:val="Plain Text"/>
    <w:basedOn w:val="Normal"/>
    <w:link w:val="PlainTextChar"/>
    <w:uiPriority w:val="99"/>
    <w:semiHidden/>
    <w:unhideWhenUsed/>
    <w:rsid w:val="00382EE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82EE8"/>
    <w:rPr>
      <w:rFonts w:ascii="Consolas" w:hAnsi="Consolas"/>
      <w:sz w:val="21"/>
      <w:szCs w:val="21"/>
    </w:rPr>
  </w:style>
  <w:style w:type="paragraph" w:styleId="Salutation">
    <w:name w:val="Salutation"/>
    <w:basedOn w:val="Normal"/>
    <w:next w:val="Normal"/>
    <w:link w:val="SalutationChar"/>
    <w:uiPriority w:val="99"/>
    <w:semiHidden/>
    <w:unhideWhenUsed/>
    <w:rsid w:val="00382EE8"/>
  </w:style>
  <w:style w:type="character" w:customStyle="1" w:styleId="SalutationChar">
    <w:name w:val="Salutation Char"/>
    <w:basedOn w:val="DefaultParagraphFont"/>
    <w:link w:val="Salutation"/>
    <w:uiPriority w:val="99"/>
    <w:semiHidden/>
    <w:rsid w:val="00382EE8"/>
    <w:rPr>
      <w:sz w:val="22"/>
    </w:rPr>
  </w:style>
  <w:style w:type="paragraph" w:styleId="Signature">
    <w:name w:val="Signature"/>
    <w:basedOn w:val="Normal"/>
    <w:link w:val="SignatureChar"/>
    <w:uiPriority w:val="99"/>
    <w:semiHidden/>
    <w:unhideWhenUsed/>
    <w:rsid w:val="00382EE8"/>
    <w:pPr>
      <w:spacing w:after="0" w:line="240" w:lineRule="auto"/>
      <w:ind w:left="4252"/>
    </w:pPr>
  </w:style>
  <w:style w:type="character" w:customStyle="1" w:styleId="SignatureChar">
    <w:name w:val="Signature Char"/>
    <w:basedOn w:val="DefaultParagraphFont"/>
    <w:link w:val="Signature"/>
    <w:uiPriority w:val="99"/>
    <w:semiHidden/>
    <w:rsid w:val="00382EE8"/>
    <w:rPr>
      <w:sz w:val="22"/>
    </w:rPr>
  </w:style>
  <w:style w:type="paragraph" w:styleId="TableofAuthorities">
    <w:name w:val="table of authorities"/>
    <w:basedOn w:val="Normal"/>
    <w:next w:val="Normal"/>
    <w:uiPriority w:val="99"/>
    <w:semiHidden/>
    <w:unhideWhenUsed/>
    <w:rsid w:val="00382EE8"/>
    <w:pPr>
      <w:spacing w:after="0"/>
      <w:ind w:left="220" w:hanging="220"/>
    </w:pPr>
  </w:style>
  <w:style w:type="paragraph" w:styleId="TableofFigures">
    <w:name w:val="table of figures"/>
    <w:basedOn w:val="Normal"/>
    <w:next w:val="Normal"/>
    <w:uiPriority w:val="99"/>
    <w:semiHidden/>
    <w:unhideWhenUsed/>
    <w:rsid w:val="00382EE8"/>
    <w:pPr>
      <w:spacing w:after="0"/>
    </w:pPr>
  </w:style>
  <w:style w:type="paragraph" w:styleId="TOAHeading">
    <w:name w:val="toa heading"/>
    <w:basedOn w:val="Normal"/>
    <w:next w:val="Normal"/>
    <w:uiPriority w:val="99"/>
    <w:semiHidden/>
    <w:unhideWhenUsed/>
    <w:rsid w:val="00382EE8"/>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382EE8"/>
    <w:pPr>
      <w:spacing w:after="100"/>
      <w:ind w:left="660"/>
    </w:pPr>
  </w:style>
  <w:style w:type="paragraph" w:styleId="TOC5">
    <w:name w:val="toc 5"/>
    <w:basedOn w:val="Normal"/>
    <w:next w:val="Normal"/>
    <w:autoRedefine/>
    <w:uiPriority w:val="39"/>
    <w:semiHidden/>
    <w:unhideWhenUsed/>
    <w:rsid w:val="00382EE8"/>
    <w:pPr>
      <w:spacing w:after="100"/>
      <w:ind w:left="880"/>
    </w:pPr>
  </w:style>
  <w:style w:type="paragraph" w:styleId="TOC6">
    <w:name w:val="toc 6"/>
    <w:basedOn w:val="Normal"/>
    <w:next w:val="Normal"/>
    <w:autoRedefine/>
    <w:uiPriority w:val="39"/>
    <w:semiHidden/>
    <w:unhideWhenUsed/>
    <w:rsid w:val="00382EE8"/>
    <w:pPr>
      <w:spacing w:after="100"/>
      <w:ind w:left="1100"/>
    </w:pPr>
  </w:style>
  <w:style w:type="paragraph" w:styleId="TOC7">
    <w:name w:val="toc 7"/>
    <w:basedOn w:val="Normal"/>
    <w:next w:val="Normal"/>
    <w:autoRedefine/>
    <w:uiPriority w:val="39"/>
    <w:semiHidden/>
    <w:unhideWhenUsed/>
    <w:rsid w:val="00382EE8"/>
    <w:pPr>
      <w:spacing w:after="100"/>
      <w:ind w:left="1320"/>
    </w:pPr>
  </w:style>
  <w:style w:type="paragraph" w:styleId="TOC8">
    <w:name w:val="toc 8"/>
    <w:basedOn w:val="Normal"/>
    <w:next w:val="Normal"/>
    <w:autoRedefine/>
    <w:uiPriority w:val="39"/>
    <w:semiHidden/>
    <w:unhideWhenUsed/>
    <w:rsid w:val="00382EE8"/>
    <w:pPr>
      <w:spacing w:after="100"/>
      <w:ind w:left="1540"/>
    </w:pPr>
  </w:style>
  <w:style w:type="paragraph" w:styleId="TOC9">
    <w:name w:val="toc 9"/>
    <w:basedOn w:val="Normal"/>
    <w:next w:val="Normal"/>
    <w:autoRedefine/>
    <w:uiPriority w:val="39"/>
    <w:semiHidden/>
    <w:unhideWhenUsed/>
    <w:rsid w:val="00382EE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ceew.gov.au/sites/default/files/documents/review-framework-snowy-water-inquiry-outcomes-implementation-deed.pdf" TargetMode="External"/><Relationship Id="rId21" Type="http://schemas.openxmlformats.org/officeDocument/2006/relationships/hyperlink" Target="https://www.dcceew.gov.au/sites/default/files/documents/tor-review-snowy-water-inquiry-outcomes-implementation-deed.pdf" TargetMode="External"/><Relationship Id="rId42" Type="http://schemas.openxmlformats.org/officeDocument/2006/relationships/footer" Target="footer3.xml"/><Relationship Id="rId47" Type="http://schemas.openxmlformats.org/officeDocument/2006/relationships/footer" Target="footer5.xml"/><Relationship Id="rId63" Type="http://schemas.openxmlformats.org/officeDocument/2006/relationships/image" Target="media/image20.png"/><Relationship Id="rId68" Type="http://schemas.openxmlformats.org/officeDocument/2006/relationships/hyperlink" Target="https://www.water.dcceew.nsw.gov.au/our-work/plans-and-strategies/regional-water-strategies-program"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www.dcceew.gov.au/water/policy/publications/technical-expert-group-input-review-snowy-water-inquiry-outcomes-implementation-deed" TargetMode="External"/><Relationship Id="rId37" Type="http://schemas.openxmlformats.org/officeDocument/2006/relationships/hyperlink" Target="https://www.dcceew.gov.au/water/policy/publications/technical-expert-group-input-review-snowy-water-inquiry-outcomes-implementation-deed" TargetMode="External"/><Relationship Id="rId53" Type="http://schemas.openxmlformats.org/officeDocument/2006/relationships/image" Target="media/image15.jpeg"/><Relationship Id="rId58" Type="http://schemas.openxmlformats.org/officeDocument/2006/relationships/image" Target="media/image16.png"/><Relationship Id="rId74" Type="http://schemas.openxmlformats.org/officeDocument/2006/relationships/hyperlink" Target="https://arrc.au/about/our-work" TargetMode="External"/><Relationship Id="rId79" Type="http://schemas.openxmlformats.org/officeDocument/2006/relationships/hyperlink" Target="https://www.uppersnowylandcare.org.au/" TargetMode="External"/><Relationship Id="rId5" Type="http://schemas.openxmlformats.org/officeDocument/2006/relationships/numbering" Target="numbering.xml"/><Relationship Id="rId61" Type="http://schemas.openxmlformats.org/officeDocument/2006/relationships/hyperlink" Target="https://www.aemo.com.au/newsroom/media-release/renewables-lift-supply-share-as-batteries-re-shape-energy-markets" TargetMode="External"/><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dcceew.gov.au/sites/default/files/documents/tor-review-snowy-water-inquiry-outcomes-implementation-deed.pdf" TargetMode="External"/><Relationship Id="rId30" Type="http://schemas.openxmlformats.org/officeDocument/2006/relationships/image" Target="media/image9.png"/><Relationship Id="rId35" Type="http://schemas.openxmlformats.org/officeDocument/2006/relationships/hyperlink" Target="https://www.dcceew.gov.au/water/policy/publications/technical-expert-group-input-review-snowy-water-inquiry-outcomes-implementation-deed" TargetMode="External"/><Relationship Id="rId43" Type="http://schemas.openxmlformats.org/officeDocument/2006/relationships/image" Target="media/image12.png"/><Relationship Id="rId48" Type="http://schemas.openxmlformats.org/officeDocument/2006/relationships/header" Target="header4.xml"/><Relationship Id="rId56" Type="http://schemas.openxmlformats.org/officeDocument/2006/relationships/hyperlink" Target="https://www.dcceew.gov.au/sites/default/files/documents/review-issues-analysis-snowy-water-inquiry-outcomes-implementation-deed.pdf" TargetMode="External"/><Relationship Id="rId64" Type="http://schemas.openxmlformats.org/officeDocument/2006/relationships/image" Target="media/image21.png"/><Relationship Id="rId69" Type="http://schemas.openxmlformats.org/officeDocument/2006/relationships/hyperlink" Target="https://www.act.gov.au/__data/assets/pdf_file/0012/3022212/act-water-strategy-2025-45.pdf" TargetMode="External"/><Relationship Id="rId77" Type="http://schemas.openxmlformats.org/officeDocument/2006/relationships/hyperlink" Target="https://egcma.com.au/"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yperlink" Target="https://www.act.gov.au/__data/assets/pdf_file/0007/919357/ACT-and-Region-Catchment-Strategy-ACCESS.pdf" TargetMode="External"/><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hyperlink" Target="https://www.dcceew.gov.au/water/policy/publications/technical-expert-group-input-review-snowy-water-inquiry-outcomes-implementation-deed" TargetMode="External"/><Relationship Id="rId46" Type="http://schemas.openxmlformats.org/officeDocument/2006/relationships/footer" Target="footer4.xml"/><Relationship Id="rId59" Type="http://schemas.openxmlformats.org/officeDocument/2006/relationships/image" Target="media/image17.png"/><Relationship Id="rId67" Type="http://schemas.openxmlformats.org/officeDocument/2006/relationships/hyperlink" Target="https://www.water.dcceew.nsw.gov.au/our-work/projects-and-programs/nsw-aboriginal-water-strategy" TargetMode="External"/><Relationship Id="rId20" Type="http://schemas.openxmlformats.org/officeDocument/2006/relationships/hyperlink" Target="https://www.dcceew.gov.au/sites/default/files/documents/tor-review-snowy-water-inquiry-outcomes-implementation-deed.pdf" TargetMode="External"/><Relationship Id="rId41" Type="http://schemas.openxmlformats.org/officeDocument/2006/relationships/footer" Target="footer2.xml"/><Relationship Id="rId54" Type="http://schemas.openxmlformats.org/officeDocument/2006/relationships/hyperlink" Target="https://www.dcceew.gov.au/sites/default/files/documents/review-issues-analysis-snowy-water-inquiry-outcomes-implementation-deed.pdf" TargetMode="External"/><Relationship Id="rId62" Type="http://schemas.openxmlformats.org/officeDocument/2006/relationships/image" Target="media/image19.png"/><Relationship Id="rId70" Type="http://schemas.openxmlformats.org/officeDocument/2006/relationships/hyperlink" Target="https://www.upperbidgeereach.org.au/" TargetMode="External"/><Relationship Id="rId75" Type="http://schemas.openxmlformats.org/officeDocument/2006/relationships/hyperlink" Target="https://www.dcceew.gov.au/water/policy/programs/water-reform/improving-health-upper-murrumbidgee/program"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 TargetMode="External"/><Relationship Id="rId23" Type="http://schemas.openxmlformats.org/officeDocument/2006/relationships/hyperlink" Target="https://consult.dcceew.gov.au/swioid-independent-review" TargetMode="External"/><Relationship Id="rId28" Type="http://schemas.openxmlformats.org/officeDocument/2006/relationships/hyperlink" Target="https://www.dcceew.gov.au/water/policy/programs/water-reform/improving-health-upper-murrumbidgee/deed" TargetMode="External"/><Relationship Id="rId36" Type="http://schemas.openxmlformats.org/officeDocument/2006/relationships/hyperlink" Target="https://www.dcceew.gov.au/water/policy/publications/technical-expert-group-input-review-snowy-water-inquiry-outcomes-implementation-deed" TargetMode="External"/><Relationship Id="rId49" Type="http://schemas.openxmlformats.org/officeDocument/2006/relationships/footer" Target="footer6.xml"/><Relationship Id="rId57" Type="http://schemas.openxmlformats.org/officeDocument/2006/relationships/hyperlink" Target="https://www.dcceew.gov.au/sites/default/files/documents/review-issues-analysis-snowy-water-inquiry-outcomes-implementation-deed.pdf" TargetMode="External"/><Relationship Id="rId10" Type="http://schemas.openxmlformats.org/officeDocument/2006/relationships/endnotes" Target="endnotes.xml"/><Relationship Id="rId31" Type="http://schemas.openxmlformats.org/officeDocument/2006/relationships/hyperlink" Target="https://www.dcceew.gov.au/water/policy/publications/technical-expert-group-input-review-snowy-water-inquiry-outcomes-implementation-deed" TargetMode="External"/><Relationship Id="rId44" Type="http://schemas.openxmlformats.org/officeDocument/2006/relationships/header" Target="header2.xml"/><Relationship Id="rId52" Type="http://schemas.openxmlformats.org/officeDocument/2006/relationships/hyperlink" Target="https://www.dcceew.gov.au/water/policy/programs/water-reform/improving-health-upper-murrumbidgee/program" TargetMode="External"/><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hyperlink" Target="https://www.upperbidgeereach.org.au/" TargetMode="External"/><Relationship Id="rId78" Type="http://schemas.openxmlformats.org/officeDocument/2006/relationships/hyperlink" Target="https://www.snowyriverinterstatelandcare.net/"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dcceew.gov.au" TargetMode="External"/><Relationship Id="rId18" Type="http://schemas.openxmlformats.org/officeDocument/2006/relationships/image" Target="media/image5.jpeg"/><Relationship Id="rId39" Type="http://schemas.openxmlformats.org/officeDocument/2006/relationships/header" Target="header1.xml"/><Relationship Id="rId34" Type="http://schemas.openxmlformats.org/officeDocument/2006/relationships/image" Target="media/image11.svg"/><Relationship Id="rId50" Type="http://schemas.openxmlformats.org/officeDocument/2006/relationships/image" Target="media/image13.png"/><Relationship Id="rId55" Type="http://schemas.openxmlformats.org/officeDocument/2006/relationships/hyperlink" Target="https://www.dcceew.gov.au/sites/default/files/documents/review-issues-analysis-snowy-water-inquiry-outcomes-implementation-deed.pdf" TargetMode="External"/><Relationship Id="rId76" Type="http://schemas.openxmlformats.org/officeDocument/2006/relationships/hyperlink" Target="https://www.dcceew.gov.au/sites/default/files/documents/improving-health-upper-murrumbidgee-background-context.pdf" TargetMode="External"/><Relationship Id="rId7" Type="http://schemas.openxmlformats.org/officeDocument/2006/relationships/settings" Target="settings.xml"/><Relationship Id="rId71" Type="http://schemas.openxmlformats.org/officeDocument/2006/relationships/hyperlink" Target="https://riversofcarbon.org.au/" TargetMode="External"/><Relationship Id="rId2" Type="http://schemas.openxmlformats.org/officeDocument/2006/relationships/customXml" Target="../customXml/item2.xml"/><Relationship Id="rId29" Type="http://schemas.openxmlformats.org/officeDocument/2006/relationships/hyperlink" Target="https://www.dcceew.gov.au/sites/default/files/documents/review-framework-snowy-water-inquiry-outcomes-implementation-deed.pdf" TargetMode="External"/><Relationship Id="rId24" Type="http://schemas.openxmlformats.org/officeDocument/2006/relationships/hyperlink" Target="https://www.dcceew.gov.au/sites/default/files/documents/review-framework-snowy-water-inquiry-outcomes-implementation-deed.pdf" TargetMode="External"/><Relationship Id="rId40" Type="http://schemas.openxmlformats.org/officeDocument/2006/relationships/footer" Target="footer1.xml"/><Relationship Id="rId45" Type="http://schemas.openxmlformats.org/officeDocument/2006/relationships/header" Target="header3.xml"/><Relationship Id="rId66" Type="http://schemas.openxmlformats.org/officeDocument/2006/relationships/hyperlink" Target="https://www.water.vic.gov.au/our-programs/aboriginal-water-program/water-is-life-roadma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sult.dcceew.gov.au/swioid-independent-review/new-survey/view/124" TargetMode="External"/><Relationship Id="rId13" Type="http://schemas.openxmlformats.org/officeDocument/2006/relationships/hyperlink" Target="https://www.bom.gov.au/climate/drought/" TargetMode="External"/><Relationship Id="rId18" Type="http://schemas.openxmlformats.org/officeDocument/2006/relationships/hyperlink" Target="https://www.dcceew.gov.au/sites/default/files/documents/snowy-river-cultural-values-community-expectations.pdf" TargetMode="External"/><Relationship Id="rId3" Type="http://schemas.openxmlformats.org/officeDocument/2006/relationships/hyperlink" Target="https://onlinelibrary.wiley.com/doi/abs/10.1111/j.1365-2427.2009.02204.x" TargetMode="External"/><Relationship Id="rId21" Type="http://schemas.openxmlformats.org/officeDocument/2006/relationships/hyperlink" Target="https://www.act.gov.au/__data/assets/pdf_file/0011/2868455/ACT-Water-Security-Vulnerability-Assessment-Technical-Report-2025.pdf" TargetMode="External"/><Relationship Id="rId7" Type="http://schemas.openxmlformats.org/officeDocument/2006/relationships/hyperlink" Target="https://doi.org/10.1071/MF21209" TargetMode="External"/><Relationship Id="rId12" Type="http://schemas.openxmlformats.org/officeDocument/2006/relationships/hyperlink" Target="https://www.dcceew.gov.au/sites/default/files/documents/review-issues-analysis-snowy-water-inquiry-outcomes-implementation-deed.pdf" TargetMode="External"/><Relationship Id="rId17" Type="http://schemas.openxmlformats.org/officeDocument/2006/relationships/hyperlink" Target="https://consult.dcceew.gov.au/swioid-independent-review/new-survey/view/124" TargetMode="External"/><Relationship Id="rId25" Type="http://schemas.openxmlformats.org/officeDocument/2006/relationships/hyperlink" Target="https://www.act.gov.au/__data/assets/pdf_file/0014/3004304/act-and-region-catchment-management-coordination-group-annual-report-2024-25.pdf" TargetMode="External"/><Relationship Id="rId2" Type="http://schemas.openxmlformats.org/officeDocument/2006/relationships/hyperlink" Target="https://doi.org/10.1071/MF24286" TargetMode="External"/><Relationship Id="rId16" Type="http://schemas.openxmlformats.org/officeDocument/2006/relationships/hyperlink" Target="https://consult.dcceew.gov.au/swioid-independent-review/new-survey/view/124" TargetMode="External"/><Relationship Id="rId20" Type="http://schemas.openxmlformats.org/officeDocument/2006/relationships/hyperlink" Target="https://www.act.gov.au/__data/assets/pdf_file/0011/2868455/ACT-Water-Security-Vulnerability-Assessment-Technical-Report-2025.pdf" TargetMode="External"/><Relationship Id="rId1" Type="http://schemas.openxmlformats.org/officeDocument/2006/relationships/hyperlink" Target="https://doi.org/10.1071/MF24286" TargetMode="External"/><Relationship Id="rId6" Type="http://schemas.openxmlformats.org/officeDocument/2006/relationships/hyperlink" Target="https://publications.water.nsw.gov.au/watergroupjspui/bitstream/100/3281/1/Snowy_Scientific_Committee_2010_-_The_adequacy_of_environmental_flows_to_the_upper_Murrumbidgee.pdf" TargetMode="External"/><Relationship Id="rId11" Type="http://schemas.openxmlformats.org/officeDocument/2006/relationships/hyperlink" Target="https://www.dcceew.gov.au/sites/default/files/documents/review-issues-analysis-snowy-water-inquiry-outcomes-implementation-deed.pdf" TargetMode="External"/><Relationship Id="rId24" Type="http://schemas.openxmlformats.org/officeDocument/2006/relationships/hyperlink" Target="https://www.dcceew.gov.au/sites/default/files/sitecollectiondocuments/water/Intergovernmental-Agreement-on-a-national-water-initiative.pdf" TargetMode="External"/><Relationship Id="rId5" Type="http://schemas.openxmlformats.org/officeDocument/2006/relationships/hyperlink" Target="https://doi.org/10.1071/MF24286" TargetMode="External"/><Relationship Id="rId15" Type="http://schemas.openxmlformats.org/officeDocument/2006/relationships/hyperlink" Target="https://www.dcceew.gov.au/sites/default/files/documents/review-issues-analysis-snowy-water-inquiry-outcomes-implementation-deed.pdf" TargetMode="External"/><Relationship Id="rId23" Type="http://schemas.openxmlformats.org/officeDocument/2006/relationships/hyperlink" Target="http://www.dcceew.gov.au/sites/default/files/documents/issues-consultation-ind-review-snowy-water-inquiry-summary-report.pdf" TargetMode="External"/><Relationship Id="rId10" Type="http://schemas.openxmlformats.org/officeDocument/2006/relationships/hyperlink" Target="https://www.dcceew.gov.au/sites/default/files/documents/review-issues-analysis-snowy-water-inquiry-outcomes-implementation-deed.pdf" TargetMode="External"/><Relationship Id="rId19" Type="http://schemas.openxmlformats.org/officeDocument/2006/relationships/hyperlink" Target="https://www.dcceew.gov.au/sites/default/files/documents/snowy-river-cultural-values-community-expectations.pdf" TargetMode="External"/><Relationship Id="rId4" Type="http://schemas.openxmlformats.org/officeDocument/2006/relationships/hyperlink" Target="https://doi.org/10.1890/130134" TargetMode="External"/><Relationship Id="rId9" Type="http://schemas.openxmlformats.org/officeDocument/2006/relationships/hyperlink" Target="https://www.bom.gov.au/climate/drought/" TargetMode="External"/><Relationship Id="rId14" Type="http://schemas.openxmlformats.org/officeDocument/2006/relationships/hyperlink" Target="https://www.dcceew.gov.au/sites/default/files/documents/review-issues-analysis-snowy-water-inquiry-outcomes-implementation-deed.pdf" TargetMode="External"/><Relationship Id="rId22" Type="http://schemas.openxmlformats.org/officeDocument/2006/relationships/hyperlink" Target="https://www.dcceew.gov.au/sites/default/files/documents/snowy-river-cultural-values-community-expect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2B88C9CF63CF48B254D9A087535962" ma:contentTypeVersion="6" ma:contentTypeDescription="Create a new document." ma:contentTypeScope="" ma:versionID="7bc05fa561ea14a7de0fd7bfb5ee2aa2">
  <xsd:schema xmlns:xsd="http://www.w3.org/2001/XMLSchema" xmlns:xs="http://www.w3.org/2001/XMLSchema" xmlns:p="http://schemas.microsoft.com/office/2006/metadata/properties" xmlns:ns1="http://schemas.microsoft.com/sharepoint/v3" xmlns:ns2="68ab0a97-421f-4ea2-a6a8-1ce3be472a53" xmlns:ns3="1e9fcf7e-0af2-4703-aa90-1c01fd641ba9" xmlns:ns4="ad4e79a7-2397-4f70-9bda-8276d2b14cac" targetNamespace="http://schemas.microsoft.com/office/2006/metadata/properties" ma:root="true" ma:fieldsID="3a08a3674ad038d182382eb1de0d515c" ns1:_="" ns2:_="" ns3:_="" ns4:_="">
    <xsd:import namespace="http://schemas.microsoft.com/sharepoint/v3"/>
    <xsd:import namespace="68ab0a97-421f-4ea2-a6a8-1ce3be472a53"/>
    <xsd:import namespace="1e9fcf7e-0af2-4703-aa90-1c01fd641ba9"/>
    <xsd:import namespace="ad4e79a7-2397-4f70-9bda-8276d2b14c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MediaLengthInSeconds" minOccurs="0"/>
                <xsd:element ref="ns3:People" minOccurs="0"/>
                <xsd:element ref="ns3:MediaServiceSearchProperties" minOccurs="0"/>
                <xsd:element ref="ns1:_ip_UnifiedCompliancePolicyProperties" minOccurs="0"/>
                <xsd:element ref="ns1:_ip_UnifiedCompliancePolicyUIAction" minOccurs="0"/>
                <xsd:element ref="ns4:lcf76f155ced4ddcb4097134ff3c332f"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ab0a97-421f-4ea2-a6a8-1ce3be472a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9fcf7e-0af2-4703-aa90-1c01fd641b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People" ma:index="19" nillable="true" ma:displayName="People" ma:list="UserInfo" ma:SharePointGroup="0" ma:internalName="Peop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4e79a7-2397-4f70-9bda-8276d2b14ca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4e79a7-2397-4f70-9bda-8276d2b14cac">
      <Terms xmlns="http://schemas.microsoft.com/office/infopath/2007/PartnerControls"/>
    </lcf76f155ced4ddcb4097134ff3c332f>
    <People xmlns="1e9fcf7e-0af2-4703-aa90-1c01fd641ba9">
      <UserInfo>
        <DisplayName/>
        <AccountId xsi:nil="true"/>
        <AccountType/>
      </UserInfo>
    </People>
  </documentManagement>
</p:properties>
</file>

<file path=customXml/itemProps1.xml><?xml version="1.0" encoding="utf-8"?>
<ds:datastoreItem xmlns:ds="http://schemas.openxmlformats.org/officeDocument/2006/customXml" ds:itemID="{9C596643-1210-434B-A364-4CDE27B15A79}">
  <ds:schemaRefs>
    <ds:schemaRef ds:uri="http://schemas.microsoft.com/sharepoint/v3/contenttype/forms"/>
  </ds:schemaRefs>
</ds:datastoreItem>
</file>

<file path=customXml/itemProps2.xml><?xml version="1.0" encoding="utf-8"?>
<ds:datastoreItem xmlns:ds="http://schemas.openxmlformats.org/officeDocument/2006/customXml" ds:itemID="{8B7148F8-567B-4707-91C8-CA884E5BF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ab0a97-421f-4ea2-a6a8-1ce3be472a53"/>
    <ds:schemaRef ds:uri="1e9fcf7e-0af2-4703-aa90-1c01fd641ba9"/>
    <ds:schemaRef ds:uri="ad4e79a7-2397-4f70-9bda-8276d2b14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7467C2-7217-4E8F-BBC7-C91E7B06C216}">
  <ds:schemaRefs>
    <ds:schemaRef ds:uri="http://schemas.openxmlformats.org/officeDocument/2006/bibliography"/>
  </ds:schemaRefs>
</ds:datastoreItem>
</file>

<file path=customXml/itemProps4.xml><?xml version="1.0" encoding="utf-8"?>
<ds:datastoreItem xmlns:ds="http://schemas.openxmlformats.org/officeDocument/2006/customXml" ds:itemID="{F5BB7DD9-61D9-40B7-8146-89520249BC42}">
  <ds:schemaRefs>
    <ds:schemaRef ds:uri="http://schemas.microsoft.com/office/2006/metadata/properties"/>
    <ds:schemaRef ds:uri="http://schemas.microsoft.com/office/infopath/2007/PartnerControls"/>
    <ds:schemaRef ds:uri="http://schemas.microsoft.com/sharepoint/v3"/>
    <ds:schemaRef ds:uri="ad4e79a7-2397-4f70-9bda-8276d2b14cac"/>
    <ds:schemaRef ds:uri="1e9fcf7e-0af2-4703-aa90-1c01fd641ba9"/>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39</TotalTime>
  <Pages>175</Pages>
  <Words>55131</Words>
  <Characters>357249</Characters>
  <Application>Microsoft Office Word</Application>
  <DocSecurity>0</DocSecurity>
  <Lines>6379</Lines>
  <Paragraphs>2945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409435</CharactersWithSpaces>
  <SharedDoc>false</SharedDoc>
  <HLinks>
    <vt:vector size="744" baseType="variant">
      <vt:variant>
        <vt:i4>8323130</vt:i4>
      </vt:variant>
      <vt:variant>
        <vt:i4>552</vt:i4>
      </vt:variant>
      <vt:variant>
        <vt:i4>0</vt:i4>
      </vt:variant>
      <vt:variant>
        <vt:i4>5</vt:i4>
      </vt:variant>
      <vt:variant>
        <vt:lpwstr>https://www.uppersnowylandcare.org.au/</vt:lpwstr>
      </vt:variant>
      <vt:variant>
        <vt:lpwstr/>
      </vt:variant>
      <vt:variant>
        <vt:i4>4194334</vt:i4>
      </vt:variant>
      <vt:variant>
        <vt:i4>549</vt:i4>
      </vt:variant>
      <vt:variant>
        <vt:i4>0</vt:i4>
      </vt:variant>
      <vt:variant>
        <vt:i4>5</vt:i4>
      </vt:variant>
      <vt:variant>
        <vt:lpwstr>https://www.snowyriverinterstatelandcare.net/</vt:lpwstr>
      </vt:variant>
      <vt:variant>
        <vt:lpwstr/>
      </vt:variant>
      <vt:variant>
        <vt:i4>65608</vt:i4>
      </vt:variant>
      <vt:variant>
        <vt:i4>546</vt:i4>
      </vt:variant>
      <vt:variant>
        <vt:i4>0</vt:i4>
      </vt:variant>
      <vt:variant>
        <vt:i4>5</vt:i4>
      </vt:variant>
      <vt:variant>
        <vt:lpwstr>https://egcma.com.au/</vt:lpwstr>
      </vt:variant>
      <vt:variant>
        <vt:lpwstr/>
      </vt:variant>
      <vt:variant>
        <vt:i4>8257587</vt:i4>
      </vt:variant>
      <vt:variant>
        <vt:i4>543</vt:i4>
      </vt:variant>
      <vt:variant>
        <vt:i4>0</vt:i4>
      </vt:variant>
      <vt:variant>
        <vt:i4>5</vt:i4>
      </vt:variant>
      <vt:variant>
        <vt:lpwstr>https://www.dcceew.gov.au/sites/default/files/documents/improving-health-upper-murrumbidgee-background-context.pdf</vt:lpwstr>
      </vt:variant>
      <vt:variant>
        <vt:lpwstr/>
      </vt:variant>
      <vt:variant>
        <vt:i4>4325448</vt:i4>
      </vt:variant>
      <vt:variant>
        <vt:i4>540</vt:i4>
      </vt:variant>
      <vt:variant>
        <vt:i4>0</vt:i4>
      </vt:variant>
      <vt:variant>
        <vt:i4>5</vt:i4>
      </vt:variant>
      <vt:variant>
        <vt:lpwstr>https://www.dcceew.gov.au/water/policy/programs/water-reform/improving-health-upper-murrumbidgee/program</vt:lpwstr>
      </vt:variant>
      <vt:variant>
        <vt:lpwstr/>
      </vt:variant>
      <vt:variant>
        <vt:i4>2752618</vt:i4>
      </vt:variant>
      <vt:variant>
        <vt:i4>537</vt:i4>
      </vt:variant>
      <vt:variant>
        <vt:i4>0</vt:i4>
      </vt:variant>
      <vt:variant>
        <vt:i4>5</vt:i4>
      </vt:variant>
      <vt:variant>
        <vt:lpwstr>https://arrc.au/about/our-work</vt:lpwstr>
      </vt:variant>
      <vt:variant>
        <vt:lpwstr/>
      </vt:variant>
      <vt:variant>
        <vt:i4>196701</vt:i4>
      </vt:variant>
      <vt:variant>
        <vt:i4>534</vt:i4>
      </vt:variant>
      <vt:variant>
        <vt:i4>0</vt:i4>
      </vt:variant>
      <vt:variant>
        <vt:i4>5</vt:i4>
      </vt:variant>
      <vt:variant>
        <vt:lpwstr>https://www.upperbidgeereach.org.au/</vt:lpwstr>
      </vt:variant>
      <vt:variant>
        <vt:lpwstr/>
      </vt:variant>
      <vt:variant>
        <vt:i4>4653160</vt:i4>
      </vt:variant>
      <vt:variant>
        <vt:i4>531</vt:i4>
      </vt:variant>
      <vt:variant>
        <vt:i4>0</vt:i4>
      </vt:variant>
      <vt:variant>
        <vt:i4>5</vt:i4>
      </vt:variant>
      <vt:variant>
        <vt:lpwstr>https://www.act.gov.au/__data/assets/pdf_file/0007/919357/ACT-and-Region-Catchment-Strategy-ACCESS.pdf</vt:lpwstr>
      </vt:variant>
      <vt:variant>
        <vt:lpwstr/>
      </vt:variant>
      <vt:variant>
        <vt:i4>2293792</vt:i4>
      </vt:variant>
      <vt:variant>
        <vt:i4>528</vt:i4>
      </vt:variant>
      <vt:variant>
        <vt:i4>0</vt:i4>
      </vt:variant>
      <vt:variant>
        <vt:i4>5</vt:i4>
      </vt:variant>
      <vt:variant>
        <vt:lpwstr>https://riversofcarbon.org.au/</vt:lpwstr>
      </vt:variant>
      <vt:variant>
        <vt:lpwstr/>
      </vt:variant>
      <vt:variant>
        <vt:i4>196701</vt:i4>
      </vt:variant>
      <vt:variant>
        <vt:i4>525</vt:i4>
      </vt:variant>
      <vt:variant>
        <vt:i4>0</vt:i4>
      </vt:variant>
      <vt:variant>
        <vt:i4>5</vt:i4>
      </vt:variant>
      <vt:variant>
        <vt:lpwstr>https://www.upperbidgeereach.org.au/</vt:lpwstr>
      </vt:variant>
      <vt:variant>
        <vt:lpwstr/>
      </vt:variant>
      <vt:variant>
        <vt:i4>2359327</vt:i4>
      </vt:variant>
      <vt:variant>
        <vt:i4>522</vt:i4>
      </vt:variant>
      <vt:variant>
        <vt:i4>0</vt:i4>
      </vt:variant>
      <vt:variant>
        <vt:i4>5</vt:i4>
      </vt:variant>
      <vt:variant>
        <vt:lpwstr>https://www.act.gov.au/__data/assets/pdf_file/0012/3022212/act-water-strategy-2025-45.pdf</vt:lpwstr>
      </vt:variant>
      <vt:variant>
        <vt:lpwstr/>
      </vt:variant>
      <vt:variant>
        <vt:i4>6750269</vt:i4>
      </vt:variant>
      <vt:variant>
        <vt:i4>519</vt:i4>
      </vt:variant>
      <vt:variant>
        <vt:i4>0</vt:i4>
      </vt:variant>
      <vt:variant>
        <vt:i4>5</vt:i4>
      </vt:variant>
      <vt:variant>
        <vt:lpwstr>https://www.water.dcceew.nsw.gov.au/our-work/plans-and-strategies/regional-water-strategies-program</vt:lpwstr>
      </vt:variant>
      <vt:variant>
        <vt:lpwstr/>
      </vt:variant>
      <vt:variant>
        <vt:i4>1376329</vt:i4>
      </vt:variant>
      <vt:variant>
        <vt:i4>516</vt:i4>
      </vt:variant>
      <vt:variant>
        <vt:i4>0</vt:i4>
      </vt:variant>
      <vt:variant>
        <vt:i4>5</vt:i4>
      </vt:variant>
      <vt:variant>
        <vt:lpwstr>https://www.water.dcceew.nsw.gov.au/our-work/projects-and-programs/nsw-aboriginal-water-strategy</vt:lpwstr>
      </vt:variant>
      <vt:variant>
        <vt:lpwstr/>
      </vt:variant>
      <vt:variant>
        <vt:i4>1048579</vt:i4>
      </vt:variant>
      <vt:variant>
        <vt:i4>513</vt:i4>
      </vt:variant>
      <vt:variant>
        <vt:i4>0</vt:i4>
      </vt:variant>
      <vt:variant>
        <vt:i4>5</vt:i4>
      </vt:variant>
      <vt:variant>
        <vt:lpwstr>https://www.water.vic.gov.au/our-programs/aboriginal-water-program/water-is-life-roadmap</vt:lpwstr>
      </vt:variant>
      <vt:variant>
        <vt:lpwstr/>
      </vt:variant>
      <vt:variant>
        <vt:i4>5308439</vt:i4>
      </vt:variant>
      <vt:variant>
        <vt:i4>501</vt:i4>
      </vt:variant>
      <vt:variant>
        <vt:i4>0</vt:i4>
      </vt:variant>
      <vt:variant>
        <vt:i4>5</vt:i4>
      </vt:variant>
      <vt:variant>
        <vt:lpwstr>https://www.aemo.com.au/newsroom/media-release/renewables-lift-supply-share-as-batteries-re-shape-energy-markets</vt:lpwstr>
      </vt:variant>
      <vt:variant>
        <vt:lpwstr/>
      </vt:variant>
      <vt:variant>
        <vt:i4>2162750</vt:i4>
      </vt:variant>
      <vt:variant>
        <vt:i4>483</vt:i4>
      </vt:variant>
      <vt:variant>
        <vt:i4>0</vt:i4>
      </vt:variant>
      <vt:variant>
        <vt:i4>5</vt:i4>
      </vt:variant>
      <vt:variant>
        <vt:lpwstr>https://www.dcceew.gov.au/sites/default/files/documents/review-issues-analysis-snowy-water-inquiry-outcomes-implementation-deed.pdf</vt:lpwstr>
      </vt:variant>
      <vt:variant>
        <vt:lpwstr/>
      </vt:variant>
      <vt:variant>
        <vt:i4>2162750</vt:i4>
      </vt:variant>
      <vt:variant>
        <vt:i4>480</vt:i4>
      </vt:variant>
      <vt:variant>
        <vt:i4>0</vt:i4>
      </vt:variant>
      <vt:variant>
        <vt:i4>5</vt:i4>
      </vt:variant>
      <vt:variant>
        <vt:lpwstr>https://www.dcceew.gov.au/sites/default/files/documents/review-issues-analysis-snowy-water-inquiry-outcomes-implementation-deed.pdf</vt:lpwstr>
      </vt:variant>
      <vt:variant>
        <vt:lpwstr/>
      </vt:variant>
      <vt:variant>
        <vt:i4>2162750</vt:i4>
      </vt:variant>
      <vt:variant>
        <vt:i4>477</vt:i4>
      </vt:variant>
      <vt:variant>
        <vt:i4>0</vt:i4>
      </vt:variant>
      <vt:variant>
        <vt:i4>5</vt:i4>
      </vt:variant>
      <vt:variant>
        <vt:lpwstr>https://www.dcceew.gov.au/sites/default/files/documents/review-issues-analysis-snowy-water-inquiry-outcomes-implementation-deed.pdf</vt:lpwstr>
      </vt:variant>
      <vt:variant>
        <vt:lpwstr/>
      </vt:variant>
      <vt:variant>
        <vt:i4>2162750</vt:i4>
      </vt:variant>
      <vt:variant>
        <vt:i4>474</vt:i4>
      </vt:variant>
      <vt:variant>
        <vt:i4>0</vt:i4>
      </vt:variant>
      <vt:variant>
        <vt:i4>5</vt:i4>
      </vt:variant>
      <vt:variant>
        <vt:lpwstr>https://www.dcceew.gov.au/sites/default/files/documents/review-issues-analysis-snowy-water-inquiry-outcomes-implementation-deed.pdf</vt:lpwstr>
      </vt:variant>
      <vt:variant>
        <vt:lpwstr/>
      </vt:variant>
      <vt:variant>
        <vt:i4>4325448</vt:i4>
      </vt:variant>
      <vt:variant>
        <vt:i4>468</vt:i4>
      </vt:variant>
      <vt:variant>
        <vt:i4>0</vt:i4>
      </vt:variant>
      <vt:variant>
        <vt:i4>5</vt:i4>
      </vt:variant>
      <vt:variant>
        <vt:lpwstr>https://www.dcceew.gov.au/water/policy/programs/water-reform/improving-health-upper-murrumbidgee/program</vt:lpwstr>
      </vt:variant>
      <vt:variant>
        <vt:lpwstr/>
      </vt:variant>
      <vt:variant>
        <vt:i4>1507393</vt:i4>
      </vt:variant>
      <vt:variant>
        <vt:i4>453</vt:i4>
      </vt:variant>
      <vt:variant>
        <vt:i4>0</vt:i4>
      </vt:variant>
      <vt:variant>
        <vt:i4>5</vt:i4>
      </vt:variant>
      <vt:variant>
        <vt:lpwstr>https://www.dcceew.gov.au/sites/default/files/documents/review-framework-snowy-water-inquiry-outcomes-implementation-deed.pdf</vt:lpwstr>
      </vt:variant>
      <vt:variant>
        <vt:lpwstr/>
      </vt:variant>
      <vt:variant>
        <vt:i4>3342448</vt:i4>
      </vt:variant>
      <vt:variant>
        <vt:i4>450</vt:i4>
      </vt:variant>
      <vt:variant>
        <vt:i4>0</vt:i4>
      </vt:variant>
      <vt:variant>
        <vt:i4>5</vt:i4>
      </vt:variant>
      <vt:variant>
        <vt:lpwstr>https://www.dcceew.gov.au/sites/default/files/documents/tor-review-snowy-water-inquiry-outcomes-implementation-deed.pdf</vt:lpwstr>
      </vt:variant>
      <vt:variant>
        <vt:lpwstr/>
      </vt:variant>
      <vt:variant>
        <vt:i4>1507393</vt:i4>
      </vt:variant>
      <vt:variant>
        <vt:i4>447</vt:i4>
      </vt:variant>
      <vt:variant>
        <vt:i4>0</vt:i4>
      </vt:variant>
      <vt:variant>
        <vt:i4>5</vt:i4>
      </vt:variant>
      <vt:variant>
        <vt:lpwstr>https://www.dcceew.gov.au/sites/default/files/documents/review-framework-snowy-water-inquiry-outcomes-implementation-deed.pdf</vt:lpwstr>
      </vt:variant>
      <vt:variant>
        <vt:lpwstr/>
      </vt:variant>
      <vt:variant>
        <vt:i4>1507393</vt:i4>
      </vt:variant>
      <vt:variant>
        <vt:i4>441</vt:i4>
      </vt:variant>
      <vt:variant>
        <vt:i4>0</vt:i4>
      </vt:variant>
      <vt:variant>
        <vt:i4>5</vt:i4>
      </vt:variant>
      <vt:variant>
        <vt:lpwstr>https://www.dcceew.gov.au/sites/default/files/documents/review-framework-snowy-water-inquiry-outcomes-implementation-deed.pdf</vt:lpwstr>
      </vt:variant>
      <vt:variant>
        <vt:lpwstr/>
      </vt:variant>
      <vt:variant>
        <vt:i4>8257583</vt:i4>
      </vt:variant>
      <vt:variant>
        <vt:i4>438</vt:i4>
      </vt:variant>
      <vt:variant>
        <vt:i4>0</vt:i4>
      </vt:variant>
      <vt:variant>
        <vt:i4>5</vt:i4>
      </vt:variant>
      <vt:variant>
        <vt:lpwstr>https://consult.dcceew.gov.au/swioid-independent-review</vt:lpwstr>
      </vt:variant>
      <vt:variant>
        <vt:lpwstr/>
      </vt:variant>
      <vt:variant>
        <vt:i4>3342448</vt:i4>
      </vt:variant>
      <vt:variant>
        <vt:i4>432</vt:i4>
      </vt:variant>
      <vt:variant>
        <vt:i4>0</vt:i4>
      </vt:variant>
      <vt:variant>
        <vt:i4>5</vt:i4>
      </vt:variant>
      <vt:variant>
        <vt:lpwstr>https://www.dcceew.gov.au/sites/default/files/documents/tor-review-snowy-water-inquiry-outcomes-implementation-deed.pdf</vt:lpwstr>
      </vt:variant>
      <vt:variant>
        <vt:lpwstr/>
      </vt:variant>
      <vt:variant>
        <vt:i4>3342448</vt:i4>
      </vt:variant>
      <vt:variant>
        <vt:i4>429</vt:i4>
      </vt:variant>
      <vt:variant>
        <vt:i4>0</vt:i4>
      </vt:variant>
      <vt:variant>
        <vt:i4>5</vt:i4>
      </vt:variant>
      <vt:variant>
        <vt:lpwstr>https://www.dcceew.gov.au/sites/default/files/documents/tor-review-snowy-water-inquiry-outcomes-implementation-deed.pdf</vt:lpwstr>
      </vt:variant>
      <vt:variant>
        <vt:lpwstr/>
      </vt:variant>
      <vt:variant>
        <vt:i4>1835060</vt:i4>
      </vt:variant>
      <vt:variant>
        <vt:i4>419</vt:i4>
      </vt:variant>
      <vt:variant>
        <vt:i4>0</vt:i4>
      </vt:variant>
      <vt:variant>
        <vt:i4>5</vt:i4>
      </vt:variant>
      <vt:variant>
        <vt:lpwstr/>
      </vt:variant>
      <vt:variant>
        <vt:lpwstr>_Toc233801519</vt:lpwstr>
      </vt:variant>
      <vt:variant>
        <vt:i4>1835060</vt:i4>
      </vt:variant>
      <vt:variant>
        <vt:i4>413</vt:i4>
      </vt:variant>
      <vt:variant>
        <vt:i4>0</vt:i4>
      </vt:variant>
      <vt:variant>
        <vt:i4>5</vt:i4>
      </vt:variant>
      <vt:variant>
        <vt:lpwstr/>
      </vt:variant>
      <vt:variant>
        <vt:lpwstr>_Toc233801518</vt:lpwstr>
      </vt:variant>
      <vt:variant>
        <vt:i4>1835060</vt:i4>
      </vt:variant>
      <vt:variant>
        <vt:i4>407</vt:i4>
      </vt:variant>
      <vt:variant>
        <vt:i4>0</vt:i4>
      </vt:variant>
      <vt:variant>
        <vt:i4>5</vt:i4>
      </vt:variant>
      <vt:variant>
        <vt:lpwstr/>
      </vt:variant>
      <vt:variant>
        <vt:lpwstr>_Toc233801517</vt:lpwstr>
      </vt:variant>
      <vt:variant>
        <vt:i4>1835060</vt:i4>
      </vt:variant>
      <vt:variant>
        <vt:i4>401</vt:i4>
      </vt:variant>
      <vt:variant>
        <vt:i4>0</vt:i4>
      </vt:variant>
      <vt:variant>
        <vt:i4>5</vt:i4>
      </vt:variant>
      <vt:variant>
        <vt:lpwstr/>
      </vt:variant>
      <vt:variant>
        <vt:lpwstr>_Toc233801516</vt:lpwstr>
      </vt:variant>
      <vt:variant>
        <vt:i4>1835060</vt:i4>
      </vt:variant>
      <vt:variant>
        <vt:i4>395</vt:i4>
      </vt:variant>
      <vt:variant>
        <vt:i4>0</vt:i4>
      </vt:variant>
      <vt:variant>
        <vt:i4>5</vt:i4>
      </vt:variant>
      <vt:variant>
        <vt:lpwstr/>
      </vt:variant>
      <vt:variant>
        <vt:lpwstr>_Toc233801515</vt:lpwstr>
      </vt:variant>
      <vt:variant>
        <vt:i4>1835060</vt:i4>
      </vt:variant>
      <vt:variant>
        <vt:i4>389</vt:i4>
      </vt:variant>
      <vt:variant>
        <vt:i4>0</vt:i4>
      </vt:variant>
      <vt:variant>
        <vt:i4>5</vt:i4>
      </vt:variant>
      <vt:variant>
        <vt:lpwstr/>
      </vt:variant>
      <vt:variant>
        <vt:lpwstr>_Toc233801514</vt:lpwstr>
      </vt:variant>
      <vt:variant>
        <vt:i4>1835060</vt:i4>
      </vt:variant>
      <vt:variant>
        <vt:i4>383</vt:i4>
      </vt:variant>
      <vt:variant>
        <vt:i4>0</vt:i4>
      </vt:variant>
      <vt:variant>
        <vt:i4>5</vt:i4>
      </vt:variant>
      <vt:variant>
        <vt:lpwstr/>
      </vt:variant>
      <vt:variant>
        <vt:lpwstr>_Toc233801513</vt:lpwstr>
      </vt:variant>
      <vt:variant>
        <vt:i4>1835060</vt:i4>
      </vt:variant>
      <vt:variant>
        <vt:i4>377</vt:i4>
      </vt:variant>
      <vt:variant>
        <vt:i4>0</vt:i4>
      </vt:variant>
      <vt:variant>
        <vt:i4>5</vt:i4>
      </vt:variant>
      <vt:variant>
        <vt:lpwstr/>
      </vt:variant>
      <vt:variant>
        <vt:lpwstr>_Toc233801512</vt:lpwstr>
      </vt:variant>
      <vt:variant>
        <vt:i4>1835060</vt:i4>
      </vt:variant>
      <vt:variant>
        <vt:i4>371</vt:i4>
      </vt:variant>
      <vt:variant>
        <vt:i4>0</vt:i4>
      </vt:variant>
      <vt:variant>
        <vt:i4>5</vt:i4>
      </vt:variant>
      <vt:variant>
        <vt:lpwstr/>
      </vt:variant>
      <vt:variant>
        <vt:lpwstr>_Toc233801511</vt:lpwstr>
      </vt:variant>
      <vt:variant>
        <vt:i4>1835060</vt:i4>
      </vt:variant>
      <vt:variant>
        <vt:i4>365</vt:i4>
      </vt:variant>
      <vt:variant>
        <vt:i4>0</vt:i4>
      </vt:variant>
      <vt:variant>
        <vt:i4>5</vt:i4>
      </vt:variant>
      <vt:variant>
        <vt:lpwstr/>
      </vt:variant>
      <vt:variant>
        <vt:lpwstr>_Toc233801510</vt:lpwstr>
      </vt:variant>
      <vt:variant>
        <vt:i4>1900596</vt:i4>
      </vt:variant>
      <vt:variant>
        <vt:i4>359</vt:i4>
      </vt:variant>
      <vt:variant>
        <vt:i4>0</vt:i4>
      </vt:variant>
      <vt:variant>
        <vt:i4>5</vt:i4>
      </vt:variant>
      <vt:variant>
        <vt:lpwstr/>
      </vt:variant>
      <vt:variant>
        <vt:lpwstr>_Toc233801509</vt:lpwstr>
      </vt:variant>
      <vt:variant>
        <vt:i4>1900596</vt:i4>
      </vt:variant>
      <vt:variant>
        <vt:i4>353</vt:i4>
      </vt:variant>
      <vt:variant>
        <vt:i4>0</vt:i4>
      </vt:variant>
      <vt:variant>
        <vt:i4>5</vt:i4>
      </vt:variant>
      <vt:variant>
        <vt:lpwstr/>
      </vt:variant>
      <vt:variant>
        <vt:lpwstr>_Toc233801508</vt:lpwstr>
      </vt:variant>
      <vt:variant>
        <vt:i4>1900596</vt:i4>
      </vt:variant>
      <vt:variant>
        <vt:i4>347</vt:i4>
      </vt:variant>
      <vt:variant>
        <vt:i4>0</vt:i4>
      </vt:variant>
      <vt:variant>
        <vt:i4>5</vt:i4>
      </vt:variant>
      <vt:variant>
        <vt:lpwstr/>
      </vt:variant>
      <vt:variant>
        <vt:lpwstr>_Toc233801507</vt:lpwstr>
      </vt:variant>
      <vt:variant>
        <vt:i4>1900596</vt:i4>
      </vt:variant>
      <vt:variant>
        <vt:i4>341</vt:i4>
      </vt:variant>
      <vt:variant>
        <vt:i4>0</vt:i4>
      </vt:variant>
      <vt:variant>
        <vt:i4>5</vt:i4>
      </vt:variant>
      <vt:variant>
        <vt:lpwstr/>
      </vt:variant>
      <vt:variant>
        <vt:lpwstr>_Toc233801506</vt:lpwstr>
      </vt:variant>
      <vt:variant>
        <vt:i4>1900596</vt:i4>
      </vt:variant>
      <vt:variant>
        <vt:i4>335</vt:i4>
      </vt:variant>
      <vt:variant>
        <vt:i4>0</vt:i4>
      </vt:variant>
      <vt:variant>
        <vt:i4>5</vt:i4>
      </vt:variant>
      <vt:variant>
        <vt:lpwstr/>
      </vt:variant>
      <vt:variant>
        <vt:lpwstr>_Toc233801505</vt:lpwstr>
      </vt:variant>
      <vt:variant>
        <vt:i4>1900596</vt:i4>
      </vt:variant>
      <vt:variant>
        <vt:i4>329</vt:i4>
      </vt:variant>
      <vt:variant>
        <vt:i4>0</vt:i4>
      </vt:variant>
      <vt:variant>
        <vt:i4>5</vt:i4>
      </vt:variant>
      <vt:variant>
        <vt:lpwstr/>
      </vt:variant>
      <vt:variant>
        <vt:lpwstr>_Toc233801504</vt:lpwstr>
      </vt:variant>
      <vt:variant>
        <vt:i4>1900596</vt:i4>
      </vt:variant>
      <vt:variant>
        <vt:i4>323</vt:i4>
      </vt:variant>
      <vt:variant>
        <vt:i4>0</vt:i4>
      </vt:variant>
      <vt:variant>
        <vt:i4>5</vt:i4>
      </vt:variant>
      <vt:variant>
        <vt:lpwstr/>
      </vt:variant>
      <vt:variant>
        <vt:lpwstr>_Toc233801503</vt:lpwstr>
      </vt:variant>
      <vt:variant>
        <vt:i4>1900596</vt:i4>
      </vt:variant>
      <vt:variant>
        <vt:i4>317</vt:i4>
      </vt:variant>
      <vt:variant>
        <vt:i4>0</vt:i4>
      </vt:variant>
      <vt:variant>
        <vt:i4>5</vt:i4>
      </vt:variant>
      <vt:variant>
        <vt:lpwstr/>
      </vt:variant>
      <vt:variant>
        <vt:lpwstr>_Toc233801502</vt:lpwstr>
      </vt:variant>
      <vt:variant>
        <vt:i4>1900596</vt:i4>
      </vt:variant>
      <vt:variant>
        <vt:i4>311</vt:i4>
      </vt:variant>
      <vt:variant>
        <vt:i4>0</vt:i4>
      </vt:variant>
      <vt:variant>
        <vt:i4>5</vt:i4>
      </vt:variant>
      <vt:variant>
        <vt:lpwstr/>
      </vt:variant>
      <vt:variant>
        <vt:lpwstr>_Toc233801501</vt:lpwstr>
      </vt:variant>
      <vt:variant>
        <vt:i4>1900596</vt:i4>
      </vt:variant>
      <vt:variant>
        <vt:i4>305</vt:i4>
      </vt:variant>
      <vt:variant>
        <vt:i4>0</vt:i4>
      </vt:variant>
      <vt:variant>
        <vt:i4>5</vt:i4>
      </vt:variant>
      <vt:variant>
        <vt:lpwstr/>
      </vt:variant>
      <vt:variant>
        <vt:lpwstr>_Toc233801500</vt:lpwstr>
      </vt:variant>
      <vt:variant>
        <vt:i4>1310773</vt:i4>
      </vt:variant>
      <vt:variant>
        <vt:i4>299</vt:i4>
      </vt:variant>
      <vt:variant>
        <vt:i4>0</vt:i4>
      </vt:variant>
      <vt:variant>
        <vt:i4>5</vt:i4>
      </vt:variant>
      <vt:variant>
        <vt:lpwstr/>
      </vt:variant>
      <vt:variant>
        <vt:lpwstr>_Toc233801499</vt:lpwstr>
      </vt:variant>
      <vt:variant>
        <vt:i4>1310773</vt:i4>
      </vt:variant>
      <vt:variant>
        <vt:i4>293</vt:i4>
      </vt:variant>
      <vt:variant>
        <vt:i4>0</vt:i4>
      </vt:variant>
      <vt:variant>
        <vt:i4>5</vt:i4>
      </vt:variant>
      <vt:variant>
        <vt:lpwstr/>
      </vt:variant>
      <vt:variant>
        <vt:lpwstr>_Toc233801498</vt:lpwstr>
      </vt:variant>
      <vt:variant>
        <vt:i4>1310773</vt:i4>
      </vt:variant>
      <vt:variant>
        <vt:i4>287</vt:i4>
      </vt:variant>
      <vt:variant>
        <vt:i4>0</vt:i4>
      </vt:variant>
      <vt:variant>
        <vt:i4>5</vt:i4>
      </vt:variant>
      <vt:variant>
        <vt:lpwstr/>
      </vt:variant>
      <vt:variant>
        <vt:lpwstr>_Toc233801497</vt:lpwstr>
      </vt:variant>
      <vt:variant>
        <vt:i4>1310773</vt:i4>
      </vt:variant>
      <vt:variant>
        <vt:i4>281</vt:i4>
      </vt:variant>
      <vt:variant>
        <vt:i4>0</vt:i4>
      </vt:variant>
      <vt:variant>
        <vt:i4>5</vt:i4>
      </vt:variant>
      <vt:variant>
        <vt:lpwstr/>
      </vt:variant>
      <vt:variant>
        <vt:lpwstr>_Toc233801496</vt:lpwstr>
      </vt:variant>
      <vt:variant>
        <vt:i4>1310773</vt:i4>
      </vt:variant>
      <vt:variant>
        <vt:i4>275</vt:i4>
      </vt:variant>
      <vt:variant>
        <vt:i4>0</vt:i4>
      </vt:variant>
      <vt:variant>
        <vt:i4>5</vt:i4>
      </vt:variant>
      <vt:variant>
        <vt:lpwstr/>
      </vt:variant>
      <vt:variant>
        <vt:lpwstr>_Toc233801495</vt:lpwstr>
      </vt:variant>
      <vt:variant>
        <vt:i4>1310773</vt:i4>
      </vt:variant>
      <vt:variant>
        <vt:i4>269</vt:i4>
      </vt:variant>
      <vt:variant>
        <vt:i4>0</vt:i4>
      </vt:variant>
      <vt:variant>
        <vt:i4>5</vt:i4>
      </vt:variant>
      <vt:variant>
        <vt:lpwstr/>
      </vt:variant>
      <vt:variant>
        <vt:lpwstr>_Toc233801494</vt:lpwstr>
      </vt:variant>
      <vt:variant>
        <vt:i4>1310773</vt:i4>
      </vt:variant>
      <vt:variant>
        <vt:i4>263</vt:i4>
      </vt:variant>
      <vt:variant>
        <vt:i4>0</vt:i4>
      </vt:variant>
      <vt:variant>
        <vt:i4>5</vt:i4>
      </vt:variant>
      <vt:variant>
        <vt:lpwstr/>
      </vt:variant>
      <vt:variant>
        <vt:lpwstr>_Toc233801493</vt:lpwstr>
      </vt:variant>
      <vt:variant>
        <vt:i4>1310773</vt:i4>
      </vt:variant>
      <vt:variant>
        <vt:i4>257</vt:i4>
      </vt:variant>
      <vt:variant>
        <vt:i4>0</vt:i4>
      </vt:variant>
      <vt:variant>
        <vt:i4>5</vt:i4>
      </vt:variant>
      <vt:variant>
        <vt:lpwstr/>
      </vt:variant>
      <vt:variant>
        <vt:lpwstr>_Toc233801492</vt:lpwstr>
      </vt:variant>
      <vt:variant>
        <vt:i4>1310773</vt:i4>
      </vt:variant>
      <vt:variant>
        <vt:i4>251</vt:i4>
      </vt:variant>
      <vt:variant>
        <vt:i4>0</vt:i4>
      </vt:variant>
      <vt:variant>
        <vt:i4>5</vt:i4>
      </vt:variant>
      <vt:variant>
        <vt:lpwstr/>
      </vt:variant>
      <vt:variant>
        <vt:lpwstr>_Toc233801491</vt:lpwstr>
      </vt:variant>
      <vt:variant>
        <vt:i4>1310773</vt:i4>
      </vt:variant>
      <vt:variant>
        <vt:i4>245</vt:i4>
      </vt:variant>
      <vt:variant>
        <vt:i4>0</vt:i4>
      </vt:variant>
      <vt:variant>
        <vt:i4>5</vt:i4>
      </vt:variant>
      <vt:variant>
        <vt:lpwstr/>
      </vt:variant>
      <vt:variant>
        <vt:lpwstr>_Toc233801490</vt:lpwstr>
      </vt:variant>
      <vt:variant>
        <vt:i4>1376309</vt:i4>
      </vt:variant>
      <vt:variant>
        <vt:i4>239</vt:i4>
      </vt:variant>
      <vt:variant>
        <vt:i4>0</vt:i4>
      </vt:variant>
      <vt:variant>
        <vt:i4>5</vt:i4>
      </vt:variant>
      <vt:variant>
        <vt:lpwstr/>
      </vt:variant>
      <vt:variant>
        <vt:lpwstr>_Toc233801489</vt:lpwstr>
      </vt:variant>
      <vt:variant>
        <vt:i4>1376309</vt:i4>
      </vt:variant>
      <vt:variant>
        <vt:i4>233</vt:i4>
      </vt:variant>
      <vt:variant>
        <vt:i4>0</vt:i4>
      </vt:variant>
      <vt:variant>
        <vt:i4>5</vt:i4>
      </vt:variant>
      <vt:variant>
        <vt:lpwstr/>
      </vt:variant>
      <vt:variant>
        <vt:lpwstr>_Toc233801488</vt:lpwstr>
      </vt:variant>
      <vt:variant>
        <vt:i4>1376309</vt:i4>
      </vt:variant>
      <vt:variant>
        <vt:i4>227</vt:i4>
      </vt:variant>
      <vt:variant>
        <vt:i4>0</vt:i4>
      </vt:variant>
      <vt:variant>
        <vt:i4>5</vt:i4>
      </vt:variant>
      <vt:variant>
        <vt:lpwstr/>
      </vt:variant>
      <vt:variant>
        <vt:lpwstr>_Toc233801487</vt:lpwstr>
      </vt:variant>
      <vt:variant>
        <vt:i4>1376309</vt:i4>
      </vt:variant>
      <vt:variant>
        <vt:i4>221</vt:i4>
      </vt:variant>
      <vt:variant>
        <vt:i4>0</vt:i4>
      </vt:variant>
      <vt:variant>
        <vt:i4>5</vt:i4>
      </vt:variant>
      <vt:variant>
        <vt:lpwstr/>
      </vt:variant>
      <vt:variant>
        <vt:lpwstr>_Toc233801486</vt:lpwstr>
      </vt:variant>
      <vt:variant>
        <vt:i4>1376309</vt:i4>
      </vt:variant>
      <vt:variant>
        <vt:i4>215</vt:i4>
      </vt:variant>
      <vt:variant>
        <vt:i4>0</vt:i4>
      </vt:variant>
      <vt:variant>
        <vt:i4>5</vt:i4>
      </vt:variant>
      <vt:variant>
        <vt:lpwstr/>
      </vt:variant>
      <vt:variant>
        <vt:lpwstr>_Toc233801485</vt:lpwstr>
      </vt:variant>
      <vt:variant>
        <vt:i4>1376309</vt:i4>
      </vt:variant>
      <vt:variant>
        <vt:i4>209</vt:i4>
      </vt:variant>
      <vt:variant>
        <vt:i4>0</vt:i4>
      </vt:variant>
      <vt:variant>
        <vt:i4>5</vt:i4>
      </vt:variant>
      <vt:variant>
        <vt:lpwstr/>
      </vt:variant>
      <vt:variant>
        <vt:lpwstr>_Toc233801484</vt:lpwstr>
      </vt:variant>
      <vt:variant>
        <vt:i4>1376309</vt:i4>
      </vt:variant>
      <vt:variant>
        <vt:i4>203</vt:i4>
      </vt:variant>
      <vt:variant>
        <vt:i4>0</vt:i4>
      </vt:variant>
      <vt:variant>
        <vt:i4>5</vt:i4>
      </vt:variant>
      <vt:variant>
        <vt:lpwstr/>
      </vt:variant>
      <vt:variant>
        <vt:lpwstr>_Toc233801483</vt:lpwstr>
      </vt:variant>
      <vt:variant>
        <vt:i4>1376309</vt:i4>
      </vt:variant>
      <vt:variant>
        <vt:i4>197</vt:i4>
      </vt:variant>
      <vt:variant>
        <vt:i4>0</vt:i4>
      </vt:variant>
      <vt:variant>
        <vt:i4>5</vt:i4>
      </vt:variant>
      <vt:variant>
        <vt:lpwstr/>
      </vt:variant>
      <vt:variant>
        <vt:lpwstr>_Toc233801482</vt:lpwstr>
      </vt:variant>
      <vt:variant>
        <vt:i4>1376309</vt:i4>
      </vt:variant>
      <vt:variant>
        <vt:i4>191</vt:i4>
      </vt:variant>
      <vt:variant>
        <vt:i4>0</vt:i4>
      </vt:variant>
      <vt:variant>
        <vt:i4>5</vt:i4>
      </vt:variant>
      <vt:variant>
        <vt:lpwstr/>
      </vt:variant>
      <vt:variant>
        <vt:lpwstr>_Toc233801481</vt:lpwstr>
      </vt:variant>
      <vt:variant>
        <vt:i4>1376309</vt:i4>
      </vt:variant>
      <vt:variant>
        <vt:i4>185</vt:i4>
      </vt:variant>
      <vt:variant>
        <vt:i4>0</vt:i4>
      </vt:variant>
      <vt:variant>
        <vt:i4>5</vt:i4>
      </vt:variant>
      <vt:variant>
        <vt:lpwstr/>
      </vt:variant>
      <vt:variant>
        <vt:lpwstr>_Toc233801480</vt:lpwstr>
      </vt:variant>
      <vt:variant>
        <vt:i4>1703989</vt:i4>
      </vt:variant>
      <vt:variant>
        <vt:i4>179</vt:i4>
      </vt:variant>
      <vt:variant>
        <vt:i4>0</vt:i4>
      </vt:variant>
      <vt:variant>
        <vt:i4>5</vt:i4>
      </vt:variant>
      <vt:variant>
        <vt:lpwstr/>
      </vt:variant>
      <vt:variant>
        <vt:lpwstr>_Toc233801479</vt:lpwstr>
      </vt:variant>
      <vt:variant>
        <vt:i4>1703989</vt:i4>
      </vt:variant>
      <vt:variant>
        <vt:i4>173</vt:i4>
      </vt:variant>
      <vt:variant>
        <vt:i4>0</vt:i4>
      </vt:variant>
      <vt:variant>
        <vt:i4>5</vt:i4>
      </vt:variant>
      <vt:variant>
        <vt:lpwstr/>
      </vt:variant>
      <vt:variant>
        <vt:lpwstr>_Toc233801478</vt:lpwstr>
      </vt:variant>
      <vt:variant>
        <vt:i4>1703989</vt:i4>
      </vt:variant>
      <vt:variant>
        <vt:i4>167</vt:i4>
      </vt:variant>
      <vt:variant>
        <vt:i4>0</vt:i4>
      </vt:variant>
      <vt:variant>
        <vt:i4>5</vt:i4>
      </vt:variant>
      <vt:variant>
        <vt:lpwstr/>
      </vt:variant>
      <vt:variant>
        <vt:lpwstr>_Toc233801477</vt:lpwstr>
      </vt:variant>
      <vt:variant>
        <vt:i4>1703989</vt:i4>
      </vt:variant>
      <vt:variant>
        <vt:i4>161</vt:i4>
      </vt:variant>
      <vt:variant>
        <vt:i4>0</vt:i4>
      </vt:variant>
      <vt:variant>
        <vt:i4>5</vt:i4>
      </vt:variant>
      <vt:variant>
        <vt:lpwstr/>
      </vt:variant>
      <vt:variant>
        <vt:lpwstr>_Toc233801476</vt:lpwstr>
      </vt:variant>
      <vt:variant>
        <vt:i4>1703989</vt:i4>
      </vt:variant>
      <vt:variant>
        <vt:i4>155</vt:i4>
      </vt:variant>
      <vt:variant>
        <vt:i4>0</vt:i4>
      </vt:variant>
      <vt:variant>
        <vt:i4>5</vt:i4>
      </vt:variant>
      <vt:variant>
        <vt:lpwstr/>
      </vt:variant>
      <vt:variant>
        <vt:lpwstr>_Toc233801475</vt:lpwstr>
      </vt:variant>
      <vt:variant>
        <vt:i4>1703989</vt:i4>
      </vt:variant>
      <vt:variant>
        <vt:i4>149</vt:i4>
      </vt:variant>
      <vt:variant>
        <vt:i4>0</vt:i4>
      </vt:variant>
      <vt:variant>
        <vt:i4>5</vt:i4>
      </vt:variant>
      <vt:variant>
        <vt:lpwstr/>
      </vt:variant>
      <vt:variant>
        <vt:lpwstr>_Toc233801474</vt:lpwstr>
      </vt:variant>
      <vt:variant>
        <vt:i4>1703989</vt:i4>
      </vt:variant>
      <vt:variant>
        <vt:i4>143</vt:i4>
      </vt:variant>
      <vt:variant>
        <vt:i4>0</vt:i4>
      </vt:variant>
      <vt:variant>
        <vt:i4>5</vt:i4>
      </vt:variant>
      <vt:variant>
        <vt:lpwstr/>
      </vt:variant>
      <vt:variant>
        <vt:lpwstr>_Toc233801473</vt:lpwstr>
      </vt:variant>
      <vt:variant>
        <vt:i4>1703989</vt:i4>
      </vt:variant>
      <vt:variant>
        <vt:i4>137</vt:i4>
      </vt:variant>
      <vt:variant>
        <vt:i4>0</vt:i4>
      </vt:variant>
      <vt:variant>
        <vt:i4>5</vt:i4>
      </vt:variant>
      <vt:variant>
        <vt:lpwstr/>
      </vt:variant>
      <vt:variant>
        <vt:lpwstr>_Toc233801472</vt:lpwstr>
      </vt:variant>
      <vt:variant>
        <vt:i4>1703989</vt:i4>
      </vt:variant>
      <vt:variant>
        <vt:i4>131</vt:i4>
      </vt:variant>
      <vt:variant>
        <vt:i4>0</vt:i4>
      </vt:variant>
      <vt:variant>
        <vt:i4>5</vt:i4>
      </vt:variant>
      <vt:variant>
        <vt:lpwstr/>
      </vt:variant>
      <vt:variant>
        <vt:lpwstr>_Toc233801471</vt:lpwstr>
      </vt:variant>
      <vt:variant>
        <vt:i4>1703989</vt:i4>
      </vt:variant>
      <vt:variant>
        <vt:i4>125</vt:i4>
      </vt:variant>
      <vt:variant>
        <vt:i4>0</vt:i4>
      </vt:variant>
      <vt:variant>
        <vt:i4>5</vt:i4>
      </vt:variant>
      <vt:variant>
        <vt:lpwstr/>
      </vt:variant>
      <vt:variant>
        <vt:lpwstr>_Toc233801470</vt:lpwstr>
      </vt:variant>
      <vt:variant>
        <vt:i4>1769525</vt:i4>
      </vt:variant>
      <vt:variant>
        <vt:i4>119</vt:i4>
      </vt:variant>
      <vt:variant>
        <vt:i4>0</vt:i4>
      </vt:variant>
      <vt:variant>
        <vt:i4>5</vt:i4>
      </vt:variant>
      <vt:variant>
        <vt:lpwstr/>
      </vt:variant>
      <vt:variant>
        <vt:lpwstr>_Toc233801469</vt:lpwstr>
      </vt:variant>
      <vt:variant>
        <vt:i4>1769525</vt:i4>
      </vt:variant>
      <vt:variant>
        <vt:i4>113</vt:i4>
      </vt:variant>
      <vt:variant>
        <vt:i4>0</vt:i4>
      </vt:variant>
      <vt:variant>
        <vt:i4>5</vt:i4>
      </vt:variant>
      <vt:variant>
        <vt:lpwstr/>
      </vt:variant>
      <vt:variant>
        <vt:lpwstr>_Toc233801468</vt:lpwstr>
      </vt:variant>
      <vt:variant>
        <vt:i4>1769525</vt:i4>
      </vt:variant>
      <vt:variant>
        <vt:i4>107</vt:i4>
      </vt:variant>
      <vt:variant>
        <vt:i4>0</vt:i4>
      </vt:variant>
      <vt:variant>
        <vt:i4>5</vt:i4>
      </vt:variant>
      <vt:variant>
        <vt:lpwstr/>
      </vt:variant>
      <vt:variant>
        <vt:lpwstr>_Toc233801467</vt:lpwstr>
      </vt:variant>
      <vt:variant>
        <vt:i4>1769525</vt:i4>
      </vt:variant>
      <vt:variant>
        <vt:i4>101</vt:i4>
      </vt:variant>
      <vt:variant>
        <vt:i4>0</vt:i4>
      </vt:variant>
      <vt:variant>
        <vt:i4>5</vt:i4>
      </vt:variant>
      <vt:variant>
        <vt:lpwstr/>
      </vt:variant>
      <vt:variant>
        <vt:lpwstr>_Toc233801466</vt:lpwstr>
      </vt:variant>
      <vt:variant>
        <vt:i4>1769525</vt:i4>
      </vt:variant>
      <vt:variant>
        <vt:i4>95</vt:i4>
      </vt:variant>
      <vt:variant>
        <vt:i4>0</vt:i4>
      </vt:variant>
      <vt:variant>
        <vt:i4>5</vt:i4>
      </vt:variant>
      <vt:variant>
        <vt:lpwstr/>
      </vt:variant>
      <vt:variant>
        <vt:lpwstr>_Toc233801465</vt:lpwstr>
      </vt:variant>
      <vt:variant>
        <vt:i4>1769525</vt:i4>
      </vt:variant>
      <vt:variant>
        <vt:i4>89</vt:i4>
      </vt:variant>
      <vt:variant>
        <vt:i4>0</vt:i4>
      </vt:variant>
      <vt:variant>
        <vt:i4>5</vt:i4>
      </vt:variant>
      <vt:variant>
        <vt:lpwstr/>
      </vt:variant>
      <vt:variant>
        <vt:lpwstr>_Toc233801464</vt:lpwstr>
      </vt:variant>
      <vt:variant>
        <vt:i4>1769525</vt:i4>
      </vt:variant>
      <vt:variant>
        <vt:i4>83</vt:i4>
      </vt:variant>
      <vt:variant>
        <vt:i4>0</vt:i4>
      </vt:variant>
      <vt:variant>
        <vt:i4>5</vt:i4>
      </vt:variant>
      <vt:variant>
        <vt:lpwstr/>
      </vt:variant>
      <vt:variant>
        <vt:lpwstr>_Toc233801463</vt:lpwstr>
      </vt:variant>
      <vt:variant>
        <vt:i4>1769525</vt:i4>
      </vt:variant>
      <vt:variant>
        <vt:i4>77</vt:i4>
      </vt:variant>
      <vt:variant>
        <vt:i4>0</vt:i4>
      </vt:variant>
      <vt:variant>
        <vt:i4>5</vt:i4>
      </vt:variant>
      <vt:variant>
        <vt:lpwstr/>
      </vt:variant>
      <vt:variant>
        <vt:lpwstr>_Toc233801462</vt:lpwstr>
      </vt:variant>
      <vt:variant>
        <vt:i4>1769525</vt:i4>
      </vt:variant>
      <vt:variant>
        <vt:i4>71</vt:i4>
      </vt:variant>
      <vt:variant>
        <vt:i4>0</vt:i4>
      </vt:variant>
      <vt:variant>
        <vt:i4>5</vt:i4>
      </vt:variant>
      <vt:variant>
        <vt:lpwstr/>
      </vt:variant>
      <vt:variant>
        <vt:lpwstr>_Toc233801461</vt:lpwstr>
      </vt:variant>
      <vt:variant>
        <vt:i4>1769525</vt:i4>
      </vt:variant>
      <vt:variant>
        <vt:i4>65</vt:i4>
      </vt:variant>
      <vt:variant>
        <vt:i4>0</vt:i4>
      </vt:variant>
      <vt:variant>
        <vt:i4>5</vt:i4>
      </vt:variant>
      <vt:variant>
        <vt:lpwstr/>
      </vt:variant>
      <vt:variant>
        <vt:lpwstr>_Toc233801460</vt:lpwstr>
      </vt:variant>
      <vt:variant>
        <vt:i4>1572917</vt:i4>
      </vt:variant>
      <vt:variant>
        <vt:i4>59</vt:i4>
      </vt:variant>
      <vt:variant>
        <vt:i4>0</vt:i4>
      </vt:variant>
      <vt:variant>
        <vt:i4>5</vt:i4>
      </vt:variant>
      <vt:variant>
        <vt:lpwstr/>
      </vt:variant>
      <vt:variant>
        <vt:lpwstr>_Toc233801459</vt:lpwstr>
      </vt:variant>
      <vt:variant>
        <vt:i4>1572917</vt:i4>
      </vt:variant>
      <vt:variant>
        <vt:i4>53</vt:i4>
      </vt:variant>
      <vt:variant>
        <vt:i4>0</vt:i4>
      </vt:variant>
      <vt:variant>
        <vt:i4>5</vt:i4>
      </vt:variant>
      <vt:variant>
        <vt:lpwstr/>
      </vt:variant>
      <vt:variant>
        <vt:lpwstr>_Toc233801458</vt:lpwstr>
      </vt:variant>
      <vt:variant>
        <vt:i4>1572917</vt:i4>
      </vt:variant>
      <vt:variant>
        <vt:i4>47</vt:i4>
      </vt:variant>
      <vt:variant>
        <vt:i4>0</vt:i4>
      </vt:variant>
      <vt:variant>
        <vt:i4>5</vt:i4>
      </vt:variant>
      <vt:variant>
        <vt:lpwstr/>
      </vt:variant>
      <vt:variant>
        <vt:lpwstr>_Toc233801457</vt:lpwstr>
      </vt:variant>
      <vt:variant>
        <vt:i4>1572917</vt:i4>
      </vt:variant>
      <vt:variant>
        <vt:i4>41</vt:i4>
      </vt:variant>
      <vt:variant>
        <vt:i4>0</vt:i4>
      </vt:variant>
      <vt:variant>
        <vt:i4>5</vt:i4>
      </vt:variant>
      <vt:variant>
        <vt:lpwstr/>
      </vt:variant>
      <vt:variant>
        <vt:lpwstr>_Toc233801456</vt:lpwstr>
      </vt:variant>
      <vt:variant>
        <vt:i4>1572917</vt:i4>
      </vt:variant>
      <vt:variant>
        <vt:i4>35</vt:i4>
      </vt:variant>
      <vt:variant>
        <vt:i4>0</vt:i4>
      </vt:variant>
      <vt:variant>
        <vt:i4>5</vt:i4>
      </vt:variant>
      <vt:variant>
        <vt:lpwstr/>
      </vt:variant>
      <vt:variant>
        <vt:lpwstr>_Toc233801455</vt:lpwstr>
      </vt:variant>
      <vt:variant>
        <vt:i4>1572917</vt:i4>
      </vt:variant>
      <vt:variant>
        <vt:i4>29</vt:i4>
      </vt:variant>
      <vt:variant>
        <vt:i4>0</vt:i4>
      </vt:variant>
      <vt:variant>
        <vt:i4>5</vt:i4>
      </vt:variant>
      <vt:variant>
        <vt:lpwstr/>
      </vt:variant>
      <vt:variant>
        <vt:lpwstr>_Toc233801454</vt:lpwstr>
      </vt:variant>
      <vt:variant>
        <vt:i4>1572917</vt:i4>
      </vt:variant>
      <vt:variant>
        <vt:i4>23</vt:i4>
      </vt:variant>
      <vt:variant>
        <vt:i4>0</vt:i4>
      </vt:variant>
      <vt:variant>
        <vt:i4>5</vt:i4>
      </vt:variant>
      <vt:variant>
        <vt:lpwstr/>
      </vt:variant>
      <vt:variant>
        <vt:lpwstr>_Toc233801453</vt:lpwstr>
      </vt:variant>
      <vt:variant>
        <vt:i4>1572917</vt:i4>
      </vt:variant>
      <vt:variant>
        <vt:i4>17</vt:i4>
      </vt:variant>
      <vt:variant>
        <vt:i4>0</vt:i4>
      </vt:variant>
      <vt:variant>
        <vt:i4>5</vt:i4>
      </vt:variant>
      <vt:variant>
        <vt:lpwstr/>
      </vt:variant>
      <vt:variant>
        <vt:lpwstr>_Toc233801452</vt:lpwstr>
      </vt:variant>
      <vt:variant>
        <vt:i4>1572917</vt:i4>
      </vt:variant>
      <vt:variant>
        <vt:i4>11</vt:i4>
      </vt:variant>
      <vt:variant>
        <vt:i4>0</vt:i4>
      </vt:variant>
      <vt:variant>
        <vt:i4>5</vt:i4>
      </vt:variant>
      <vt:variant>
        <vt:lpwstr/>
      </vt:variant>
      <vt:variant>
        <vt:lpwstr>_Toc233801451</vt:lpwstr>
      </vt:variant>
      <vt:variant>
        <vt:i4>6684728</vt:i4>
      </vt:variant>
      <vt:variant>
        <vt:i4>6</vt:i4>
      </vt:variant>
      <vt:variant>
        <vt:i4>0</vt:i4>
      </vt:variant>
      <vt:variant>
        <vt:i4>5</vt:i4>
      </vt:variant>
      <vt:variant>
        <vt:lpwstr>https://www.dcceew.gov.au/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5505130</vt:i4>
      </vt:variant>
      <vt:variant>
        <vt:i4>72</vt:i4>
      </vt:variant>
      <vt:variant>
        <vt:i4>0</vt:i4>
      </vt:variant>
      <vt:variant>
        <vt:i4>5</vt:i4>
      </vt:variant>
      <vt:variant>
        <vt:lpwstr>https://www.act.gov.au/__data/assets/pdf_file/0014/3004304/act-and-region-catchment-management-coordination-group-annual-report-2024-25.pdf</vt:lpwstr>
      </vt:variant>
      <vt:variant>
        <vt:lpwstr/>
      </vt:variant>
      <vt:variant>
        <vt:i4>3145826</vt:i4>
      </vt:variant>
      <vt:variant>
        <vt:i4>69</vt:i4>
      </vt:variant>
      <vt:variant>
        <vt:i4>0</vt:i4>
      </vt:variant>
      <vt:variant>
        <vt:i4>5</vt:i4>
      </vt:variant>
      <vt:variant>
        <vt:lpwstr>https://www.dcceew.gov.au/sites/default/files/sitecollectiondocuments/water/Intergovernmental-Agreement-on-a-national-water-initiative.pdf</vt:lpwstr>
      </vt:variant>
      <vt:variant>
        <vt:lpwstr/>
      </vt:variant>
      <vt:variant>
        <vt:i4>5832778</vt:i4>
      </vt:variant>
      <vt:variant>
        <vt:i4>66</vt:i4>
      </vt:variant>
      <vt:variant>
        <vt:i4>0</vt:i4>
      </vt:variant>
      <vt:variant>
        <vt:i4>5</vt:i4>
      </vt:variant>
      <vt:variant>
        <vt:lpwstr>http://www.dcceew.gov.au/sites/default/files/documents/issues-consultation-ind-review-snowy-water-inquiry-summary-report.pdf</vt:lpwstr>
      </vt:variant>
      <vt:variant>
        <vt:lpwstr/>
      </vt:variant>
      <vt:variant>
        <vt:i4>8323122</vt:i4>
      </vt:variant>
      <vt:variant>
        <vt:i4>63</vt:i4>
      </vt:variant>
      <vt:variant>
        <vt:i4>0</vt:i4>
      </vt:variant>
      <vt:variant>
        <vt:i4>5</vt:i4>
      </vt:variant>
      <vt:variant>
        <vt:lpwstr>https://www.dcceew.gov.au/sites/default/files/documents/snowy-river-cultural-values-community-expectations.pdf</vt:lpwstr>
      </vt:variant>
      <vt:variant>
        <vt:lpwstr/>
      </vt:variant>
      <vt:variant>
        <vt:i4>3014732</vt:i4>
      </vt:variant>
      <vt:variant>
        <vt:i4>60</vt:i4>
      </vt:variant>
      <vt:variant>
        <vt:i4>0</vt:i4>
      </vt:variant>
      <vt:variant>
        <vt:i4>5</vt:i4>
      </vt:variant>
      <vt:variant>
        <vt:lpwstr>https://www.act.gov.au/__data/assets/pdf_file/0011/2868455/ACT-Water-Security-Vulnerability-Assessment-Technical-Report-2025.pdf</vt:lpwstr>
      </vt:variant>
      <vt:variant>
        <vt:lpwstr/>
      </vt:variant>
      <vt:variant>
        <vt:i4>3014732</vt:i4>
      </vt:variant>
      <vt:variant>
        <vt:i4>57</vt:i4>
      </vt:variant>
      <vt:variant>
        <vt:i4>0</vt:i4>
      </vt:variant>
      <vt:variant>
        <vt:i4>5</vt:i4>
      </vt:variant>
      <vt:variant>
        <vt:lpwstr>https://www.act.gov.au/__data/assets/pdf_file/0011/2868455/ACT-Water-Security-Vulnerability-Assessment-Technical-Report-2025.pdf</vt:lpwstr>
      </vt:variant>
      <vt:variant>
        <vt:lpwstr/>
      </vt:variant>
      <vt:variant>
        <vt:i4>8323122</vt:i4>
      </vt:variant>
      <vt:variant>
        <vt:i4>54</vt:i4>
      </vt:variant>
      <vt:variant>
        <vt:i4>0</vt:i4>
      </vt:variant>
      <vt:variant>
        <vt:i4>5</vt:i4>
      </vt:variant>
      <vt:variant>
        <vt:lpwstr>https://www.dcceew.gov.au/sites/default/files/documents/snowy-river-cultural-values-community-expectations.pdf</vt:lpwstr>
      </vt:variant>
      <vt:variant>
        <vt:lpwstr/>
      </vt:variant>
      <vt:variant>
        <vt:i4>8323122</vt:i4>
      </vt:variant>
      <vt:variant>
        <vt:i4>51</vt:i4>
      </vt:variant>
      <vt:variant>
        <vt:i4>0</vt:i4>
      </vt:variant>
      <vt:variant>
        <vt:i4>5</vt:i4>
      </vt:variant>
      <vt:variant>
        <vt:lpwstr>https://www.dcceew.gov.au/sites/default/files/documents/snowy-river-cultural-values-community-expectations.pdf</vt:lpwstr>
      </vt:variant>
      <vt:variant>
        <vt:lpwstr/>
      </vt:variant>
      <vt:variant>
        <vt:i4>7143461</vt:i4>
      </vt:variant>
      <vt:variant>
        <vt:i4>48</vt:i4>
      </vt:variant>
      <vt:variant>
        <vt:i4>0</vt:i4>
      </vt:variant>
      <vt:variant>
        <vt:i4>5</vt:i4>
      </vt:variant>
      <vt:variant>
        <vt:lpwstr>https://consult.dcceew.gov.au/swioid-independent-review/new-survey/view/124</vt:lpwstr>
      </vt:variant>
      <vt:variant>
        <vt:lpwstr/>
      </vt:variant>
      <vt:variant>
        <vt:i4>7143461</vt:i4>
      </vt:variant>
      <vt:variant>
        <vt:i4>45</vt:i4>
      </vt:variant>
      <vt:variant>
        <vt:i4>0</vt:i4>
      </vt:variant>
      <vt:variant>
        <vt:i4>5</vt:i4>
      </vt:variant>
      <vt:variant>
        <vt:lpwstr>https://consult.dcceew.gov.au/swioid-independent-review/new-survey/view/124</vt:lpwstr>
      </vt:variant>
      <vt:variant>
        <vt:lpwstr/>
      </vt:variant>
      <vt:variant>
        <vt:i4>2162750</vt:i4>
      </vt:variant>
      <vt:variant>
        <vt:i4>42</vt:i4>
      </vt:variant>
      <vt:variant>
        <vt:i4>0</vt:i4>
      </vt:variant>
      <vt:variant>
        <vt:i4>5</vt:i4>
      </vt:variant>
      <vt:variant>
        <vt:lpwstr>https://www.dcceew.gov.au/sites/default/files/documents/review-issues-analysis-snowy-water-inquiry-outcomes-implementation-deed.pdf</vt:lpwstr>
      </vt:variant>
      <vt:variant>
        <vt:lpwstr/>
      </vt:variant>
      <vt:variant>
        <vt:i4>2162750</vt:i4>
      </vt:variant>
      <vt:variant>
        <vt:i4>39</vt:i4>
      </vt:variant>
      <vt:variant>
        <vt:i4>0</vt:i4>
      </vt:variant>
      <vt:variant>
        <vt:i4>5</vt:i4>
      </vt:variant>
      <vt:variant>
        <vt:lpwstr>https://www.dcceew.gov.au/sites/default/files/documents/review-issues-analysis-snowy-water-inquiry-outcomes-implementation-deed.pdf</vt:lpwstr>
      </vt:variant>
      <vt:variant>
        <vt:lpwstr/>
      </vt:variant>
      <vt:variant>
        <vt:i4>2818085</vt:i4>
      </vt:variant>
      <vt:variant>
        <vt:i4>36</vt:i4>
      </vt:variant>
      <vt:variant>
        <vt:i4>0</vt:i4>
      </vt:variant>
      <vt:variant>
        <vt:i4>5</vt:i4>
      </vt:variant>
      <vt:variant>
        <vt:lpwstr>https://www.bom.gov.au/climate/drought/</vt:lpwstr>
      </vt:variant>
      <vt:variant>
        <vt:lpwstr/>
      </vt:variant>
      <vt:variant>
        <vt:i4>2162750</vt:i4>
      </vt:variant>
      <vt:variant>
        <vt:i4>33</vt:i4>
      </vt:variant>
      <vt:variant>
        <vt:i4>0</vt:i4>
      </vt:variant>
      <vt:variant>
        <vt:i4>5</vt:i4>
      </vt:variant>
      <vt:variant>
        <vt:lpwstr>https://www.dcceew.gov.au/sites/default/files/documents/review-issues-analysis-snowy-water-inquiry-outcomes-implementation-deed.pdf</vt:lpwstr>
      </vt:variant>
      <vt:variant>
        <vt:lpwstr/>
      </vt:variant>
      <vt:variant>
        <vt:i4>2162750</vt:i4>
      </vt:variant>
      <vt:variant>
        <vt:i4>30</vt:i4>
      </vt:variant>
      <vt:variant>
        <vt:i4>0</vt:i4>
      </vt:variant>
      <vt:variant>
        <vt:i4>5</vt:i4>
      </vt:variant>
      <vt:variant>
        <vt:lpwstr>https://www.dcceew.gov.au/sites/default/files/documents/review-issues-analysis-snowy-water-inquiry-outcomes-implementation-deed.pdf</vt:lpwstr>
      </vt:variant>
      <vt:variant>
        <vt:lpwstr/>
      </vt:variant>
      <vt:variant>
        <vt:i4>2162750</vt:i4>
      </vt:variant>
      <vt:variant>
        <vt:i4>27</vt:i4>
      </vt:variant>
      <vt:variant>
        <vt:i4>0</vt:i4>
      </vt:variant>
      <vt:variant>
        <vt:i4>5</vt:i4>
      </vt:variant>
      <vt:variant>
        <vt:lpwstr>https://www.dcceew.gov.au/sites/default/files/documents/review-issues-analysis-snowy-water-inquiry-outcomes-implementation-deed.pdf</vt:lpwstr>
      </vt:variant>
      <vt:variant>
        <vt:lpwstr/>
      </vt:variant>
      <vt:variant>
        <vt:i4>2818085</vt:i4>
      </vt:variant>
      <vt:variant>
        <vt:i4>24</vt:i4>
      </vt:variant>
      <vt:variant>
        <vt:i4>0</vt:i4>
      </vt:variant>
      <vt:variant>
        <vt:i4>5</vt:i4>
      </vt:variant>
      <vt:variant>
        <vt:lpwstr>https://www.bom.gov.au/climate/drought/</vt:lpwstr>
      </vt:variant>
      <vt:variant>
        <vt:lpwstr/>
      </vt:variant>
      <vt:variant>
        <vt:i4>7143461</vt:i4>
      </vt:variant>
      <vt:variant>
        <vt:i4>21</vt:i4>
      </vt:variant>
      <vt:variant>
        <vt:i4>0</vt:i4>
      </vt:variant>
      <vt:variant>
        <vt:i4>5</vt:i4>
      </vt:variant>
      <vt:variant>
        <vt:lpwstr>https://consult.dcceew.gov.au/swioid-independent-review/new-survey/view/124</vt:lpwstr>
      </vt:variant>
      <vt:variant>
        <vt:lpwstr/>
      </vt:variant>
      <vt:variant>
        <vt:i4>7536694</vt:i4>
      </vt:variant>
      <vt:variant>
        <vt:i4>18</vt:i4>
      </vt:variant>
      <vt:variant>
        <vt:i4>0</vt:i4>
      </vt:variant>
      <vt:variant>
        <vt:i4>5</vt:i4>
      </vt:variant>
      <vt:variant>
        <vt:lpwstr>https://doi.org/10.1071/MF21209</vt:lpwstr>
      </vt:variant>
      <vt:variant>
        <vt:lpwstr/>
      </vt:variant>
      <vt:variant>
        <vt:i4>3539008</vt:i4>
      </vt:variant>
      <vt:variant>
        <vt:i4>15</vt:i4>
      </vt:variant>
      <vt:variant>
        <vt:i4>0</vt:i4>
      </vt:variant>
      <vt:variant>
        <vt:i4>5</vt:i4>
      </vt:variant>
      <vt:variant>
        <vt:lpwstr>https://publications.water.nsw.gov.au/watergroupjspui/bitstream/100/3281/1/Snowy_Scientific_Committee_2010_-_The_adequacy_of_environmental_flows_to_the_upper_Murrumbidgee.pdf</vt:lpwstr>
      </vt:variant>
      <vt:variant>
        <vt:lpwstr/>
      </vt:variant>
      <vt:variant>
        <vt:i4>8257590</vt:i4>
      </vt:variant>
      <vt:variant>
        <vt:i4>12</vt:i4>
      </vt:variant>
      <vt:variant>
        <vt:i4>0</vt:i4>
      </vt:variant>
      <vt:variant>
        <vt:i4>5</vt:i4>
      </vt:variant>
      <vt:variant>
        <vt:lpwstr>https://doi.org/10.1071/MF24286</vt:lpwstr>
      </vt:variant>
      <vt:variant>
        <vt:lpwstr/>
      </vt:variant>
      <vt:variant>
        <vt:i4>2883680</vt:i4>
      </vt:variant>
      <vt:variant>
        <vt:i4>9</vt:i4>
      </vt:variant>
      <vt:variant>
        <vt:i4>0</vt:i4>
      </vt:variant>
      <vt:variant>
        <vt:i4>5</vt:i4>
      </vt:variant>
      <vt:variant>
        <vt:lpwstr>https://doi.org/10.1890/130134</vt:lpwstr>
      </vt:variant>
      <vt:variant>
        <vt:lpwstr/>
      </vt:variant>
      <vt:variant>
        <vt:i4>327700</vt:i4>
      </vt:variant>
      <vt:variant>
        <vt:i4>6</vt:i4>
      </vt:variant>
      <vt:variant>
        <vt:i4>0</vt:i4>
      </vt:variant>
      <vt:variant>
        <vt:i4>5</vt:i4>
      </vt:variant>
      <vt:variant>
        <vt:lpwstr>https://onlinelibrary.wiley.com/doi/abs/10.1111/j.1365-2427.2009.02204.x</vt:lpwstr>
      </vt:variant>
      <vt:variant>
        <vt:lpwstr/>
      </vt:variant>
      <vt:variant>
        <vt:i4>8257590</vt:i4>
      </vt:variant>
      <vt:variant>
        <vt:i4>3</vt:i4>
      </vt:variant>
      <vt:variant>
        <vt:i4>0</vt:i4>
      </vt:variant>
      <vt:variant>
        <vt:i4>5</vt:i4>
      </vt:variant>
      <vt:variant>
        <vt:lpwstr>https://doi.org/10.1071/MF24286</vt:lpwstr>
      </vt:variant>
      <vt:variant>
        <vt:lpwstr/>
      </vt:variant>
      <vt:variant>
        <vt:i4>8257590</vt:i4>
      </vt:variant>
      <vt:variant>
        <vt:i4>0</vt:i4>
      </vt:variant>
      <vt:variant>
        <vt:i4>0</vt:i4>
      </vt:variant>
      <vt:variant>
        <vt:i4>5</vt:i4>
      </vt:variant>
      <vt:variant>
        <vt:lpwstr>https://doi.org/10.1071/MF24286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HANKS</dc:creator>
  <cp:keywords/>
  <dc:description/>
  <cp:lastModifiedBy>Barbara COLLETT</cp:lastModifiedBy>
  <cp:revision>22</cp:revision>
  <cp:lastPrinted>2026-07-06T06:31:00Z</cp:lastPrinted>
  <dcterms:created xsi:type="dcterms:W3CDTF">2026-07-05T23:55:00Z</dcterms:created>
  <dcterms:modified xsi:type="dcterms:W3CDTF">2026-07-06T06:32:00Z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24e43199,500426d4,2572795d</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3a465c96,3a789924,7fd4eb85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ContentTypeId">
    <vt:lpwstr>0x010100032B88C9CF63CF48B254D9A087535962</vt:lpwstr>
  </property>
  <property fmtid="{D5CDD505-2E9C-101B-9397-08002B2CF9AE}" pid="9" name="Record_x0020_Classification">
    <vt:lpwstr/>
  </property>
  <property fmtid="{D5CDD505-2E9C-101B-9397-08002B2CF9AE}" pid="10" name="MediaServiceImageTags">
    <vt:lpwstr/>
  </property>
  <property fmtid="{D5CDD505-2E9C-101B-9397-08002B2CF9AE}" pid="11" name="h64465b6520a47a58f1168c7a3f04764">
    <vt:lpwstr/>
  </property>
  <property fmtid="{D5CDD505-2E9C-101B-9397-08002B2CF9AE}" pid="12" name="Record Classification">
    <vt:lpwstr/>
  </property>
</Properties>
</file>