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54A1" w14:textId="77777777" w:rsidR="006E5D6E" w:rsidRDefault="00EC3468" w:rsidP="00350FFA">
      <w:pPr>
        <w:ind w:left="-1474"/>
      </w:pPr>
      <w:r>
        <w:rPr>
          <w:noProof/>
        </w:rPr>
        <w:drawing>
          <wp:anchor distT="0" distB="0" distL="114300" distR="114300" simplePos="0" relativeHeight="251658240" behindDoc="1" locked="0" layoutInCell="1" allowOverlap="1" wp14:anchorId="45EE00CE" wp14:editId="56A1C7F6">
            <wp:simplePos x="0" y="0"/>
            <wp:positionH relativeFrom="character">
              <wp:posOffset>71755</wp:posOffset>
            </wp:positionH>
            <wp:positionV relativeFrom="paragraph">
              <wp:posOffset>-900430</wp:posOffset>
            </wp:positionV>
            <wp:extent cx="7614000" cy="107640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614000" cy="10764000"/>
                    </a:xfrm>
                    <a:prstGeom prst="rect">
                      <a:avLst/>
                    </a:prstGeom>
                  </pic:spPr>
                </pic:pic>
              </a:graphicData>
            </a:graphic>
            <wp14:sizeRelH relativeFrom="page">
              <wp14:pctWidth>0</wp14:pctWidth>
            </wp14:sizeRelH>
            <wp14:sizeRelV relativeFrom="page">
              <wp14:pctHeight>0</wp14:pctHeight>
            </wp14:sizeRelV>
          </wp:anchor>
        </w:drawing>
      </w:r>
    </w:p>
    <w:p w14:paraId="203886B9" w14:textId="77777777" w:rsidR="00930CDA" w:rsidRDefault="00337D19" w:rsidP="00930CDA">
      <w:pPr>
        <w:spacing w:after="160" w:line="720" w:lineRule="auto"/>
        <w:rPr>
          <w:noProof/>
          <w:lang w:eastAsia="en-AU"/>
        </w:rPr>
      </w:pPr>
      <w:r>
        <w:rPr>
          <w:noProof/>
        </w:rPr>
        <w:drawing>
          <wp:inline distT="0" distB="0" distL="0" distR="0" wp14:anchorId="1780FC24" wp14:editId="4A55A767">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inline>
        </w:drawing>
      </w:r>
    </w:p>
    <w:p w14:paraId="5A5D1C37" w14:textId="77777777" w:rsidR="00D86D07" w:rsidRDefault="00D86D07" w:rsidP="000B2701">
      <w:pPr>
        <w:pStyle w:val="Subtitle"/>
        <w:spacing w:before="240"/>
        <w:ind w:left="1276"/>
        <w:rPr>
          <w:rFonts w:ascii="Aptos SemiBold" w:eastAsiaTheme="majorEastAsia" w:hAnsi="Aptos SemiBold" w:cstheme="majorBidi"/>
          <w:b/>
          <w:noProof/>
          <w:color w:val="FFFFFF" w:themeColor="background1"/>
          <w:spacing w:val="-10"/>
          <w:kern w:val="28"/>
          <w:sz w:val="72"/>
          <w:szCs w:val="56"/>
          <w:lang w:eastAsia="en-AU"/>
        </w:rPr>
      </w:pPr>
      <w:r w:rsidRPr="00D86D07">
        <w:rPr>
          <w:rFonts w:ascii="Aptos SemiBold" w:eastAsiaTheme="majorEastAsia" w:hAnsi="Aptos SemiBold" w:cstheme="majorBidi"/>
          <w:b/>
          <w:noProof/>
          <w:color w:val="FFFFFF" w:themeColor="background1"/>
          <w:spacing w:val="-10"/>
          <w:kern w:val="28"/>
          <w:sz w:val="72"/>
          <w:szCs w:val="56"/>
          <w:lang w:eastAsia="en-AU"/>
        </w:rPr>
        <w:t>A revised methodology for the Australian Apprenticeship Priority List</w:t>
      </w:r>
    </w:p>
    <w:p w14:paraId="057B58F1" w14:textId="071EDEC0" w:rsidR="00EA67FC" w:rsidRDefault="16A0C8E3" w:rsidP="008B5203">
      <w:pPr>
        <w:pStyle w:val="Subtitle"/>
        <w:spacing w:before="240"/>
        <w:ind w:left="1276"/>
        <w:rPr>
          <w:noProof/>
          <w:lang w:eastAsia="en-AU"/>
        </w:rPr>
      </w:pPr>
      <w:r w:rsidRPr="4149B8EB">
        <w:rPr>
          <w:noProof/>
          <w:lang w:eastAsia="en-AU"/>
        </w:rPr>
        <w:t xml:space="preserve">A Discussion Paper </w:t>
      </w:r>
      <w:r w:rsidR="19B6331F" w:rsidRPr="4149B8EB">
        <w:rPr>
          <w:noProof/>
          <w:lang w:eastAsia="en-AU"/>
        </w:rPr>
        <w:t xml:space="preserve">on </w:t>
      </w:r>
      <w:r w:rsidR="5D162398" w:rsidRPr="4149B8EB">
        <w:rPr>
          <w:noProof/>
          <w:lang w:eastAsia="en-AU"/>
        </w:rPr>
        <w:t xml:space="preserve">recommendations </w:t>
      </w:r>
      <w:r w:rsidRPr="4149B8EB">
        <w:rPr>
          <w:noProof/>
          <w:lang w:eastAsia="en-AU"/>
        </w:rPr>
        <w:t xml:space="preserve">to </w:t>
      </w:r>
      <w:r w:rsidR="42C62DDC" w:rsidRPr="4149B8EB">
        <w:rPr>
          <w:noProof/>
          <w:lang w:eastAsia="en-AU"/>
        </w:rPr>
        <w:t xml:space="preserve">support </w:t>
      </w:r>
      <w:r w:rsidRPr="4149B8EB">
        <w:rPr>
          <w:noProof/>
          <w:lang w:eastAsia="en-AU"/>
        </w:rPr>
        <w:t xml:space="preserve">a </w:t>
      </w:r>
      <w:r w:rsidR="43D9ED86" w:rsidRPr="4149B8EB">
        <w:rPr>
          <w:noProof/>
          <w:lang w:eastAsia="en-AU"/>
        </w:rPr>
        <w:t xml:space="preserve">more </w:t>
      </w:r>
      <w:r w:rsidRPr="4149B8EB">
        <w:rPr>
          <w:noProof/>
          <w:lang w:eastAsia="en-AU"/>
        </w:rPr>
        <w:t>targeted apprenticeship gateway to improve economic and social outcomes</w:t>
      </w:r>
      <w:bookmarkStart w:id="0" w:name="_Toc30065222"/>
      <w:r>
        <w:br w:type="page"/>
      </w:r>
    </w:p>
    <w:p w14:paraId="680FC7FA" w14:textId="77777777" w:rsidR="007855CC" w:rsidRDefault="007855CC" w:rsidP="007855CC">
      <w:pPr>
        <w:sectPr w:rsidR="007855CC" w:rsidSect="00FF0BC9">
          <w:footerReference w:type="default" r:id="rId14"/>
          <w:type w:val="continuous"/>
          <w:pgSz w:w="11906" w:h="16838"/>
          <w:pgMar w:top="1418" w:right="1440" w:bottom="1559" w:left="1276" w:header="709" w:footer="709" w:gutter="0"/>
          <w:cols w:space="708"/>
          <w:titlePg/>
          <w:docGrid w:linePitch="360"/>
        </w:sectPr>
      </w:pPr>
    </w:p>
    <w:p w14:paraId="5A7866A2" w14:textId="26C283F9" w:rsidR="001A7D34" w:rsidRPr="001941CE" w:rsidRDefault="001A7D34" w:rsidP="001941CE">
      <w:pPr>
        <w:pStyle w:val="Heading1"/>
        <w:spacing w:before="200"/>
        <w:rPr>
          <w:sz w:val="40"/>
          <w:szCs w:val="40"/>
        </w:rPr>
      </w:pPr>
      <w:bookmarkStart w:id="1" w:name="_Toc197523701"/>
      <w:bookmarkEnd w:id="0"/>
      <w:r w:rsidRPr="001941CE">
        <w:rPr>
          <w:sz w:val="40"/>
          <w:szCs w:val="40"/>
        </w:rPr>
        <w:t>Overview</w:t>
      </w:r>
      <w:bookmarkEnd w:id="1"/>
    </w:p>
    <w:p w14:paraId="5806355C" w14:textId="77D7C061" w:rsidR="001A7D34" w:rsidRDefault="001A7D34">
      <w:pPr>
        <w:spacing w:after="120"/>
        <w:rPr>
          <w:rFonts w:ascii="Aptos" w:hAnsi="Aptos"/>
        </w:rPr>
      </w:pPr>
      <w:r w:rsidRPr="018393F8">
        <w:rPr>
          <w:rFonts w:ascii="Aptos" w:hAnsi="Aptos"/>
        </w:rPr>
        <w:t>The Australian Apprenticeship Priority List (the Priority List) identifies occupations eligible for apprenticeship incentives provided by the Australian Government. The Priority List is a tool used to prioritise government investment in the Australian Apprenticeship Incentive System (the Incentive System</w:t>
      </w:r>
      <w:r w:rsidR="008B3B1E" w:rsidRPr="018393F8">
        <w:rPr>
          <w:rFonts w:ascii="Aptos" w:hAnsi="Aptos"/>
        </w:rPr>
        <w:t>),</w:t>
      </w:r>
      <w:r w:rsidRPr="018393F8">
        <w:rPr>
          <w:rFonts w:ascii="Aptos" w:hAnsi="Aptos"/>
        </w:rPr>
        <w:t xml:space="preserve"> balancing the finite resources of government while aiming to maximise return on investment by encouraging apprenticeship commencements and completions in </w:t>
      </w:r>
      <w:r w:rsidR="004D6BB6">
        <w:rPr>
          <w:rFonts w:ascii="Aptos" w:hAnsi="Aptos"/>
        </w:rPr>
        <w:t>V</w:t>
      </w:r>
      <w:r w:rsidR="004D6BB6" w:rsidRPr="00A355DF">
        <w:rPr>
          <w:rFonts w:ascii="Aptos" w:hAnsi="Aptos"/>
        </w:rPr>
        <w:t>ET-level occupations with genuine apprenticeship pathways that are facing national skills shortage</w:t>
      </w:r>
      <w:r w:rsidR="004442DA">
        <w:rPr>
          <w:rFonts w:ascii="Aptos" w:hAnsi="Aptos"/>
        </w:rPr>
        <w:t>.</w:t>
      </w:r>
    </w:p>
    <w:p w14:paraId="4920E9E8" w14:textId="605B965E" w:rsidR="0009049A" w:rsidRDefault="001A7D34" w:rsidP="4149B8EB">
      <w:pPr>
        <w:rPr>
          <w:rFonts w:ascii="Aptos" w:hAnsi="Aptos"/>
        </w:rPr>
      </w:pPr>
      <w:r w:rsidRPr="4149B8EB">
        <w:rPr>
          <w:rFonts w:ascii="Aptos" w:hAnsi="Aptos"/>
        </w:rPr>
        <w:t>The current methodology</w:t>
      </w:r>
      <w:r w:rsidR="009268E4" w:rsidRPr="4149B8EB">
        <w:rPr>
          <w:rFonts w:ascii="Aptos" w:hAnsi="Aptos"/>
        </w:rPr>
        <w:t xml:space="preserve"> </w:t>
      </w:r>
      <w:r w:rsidR="641103A8" w:rsidRPr="4149B8EB">
        <w:rPr>
          <w:rFonts w:ascii="Aptos" w:hAnsi="Aptos"/>
        </w:rPr>
        <w:t>determines priority</w:t>
      </w:r>
      <w:r w:rsidRPr="4149B8EB">
        <w:rPr>
          <w:rFonts w:ascii="Aptos" w:hAnsi="Aptos"/>
        </w:rPr>
        <w:t xml:space="preserve"> based on occupation classifications by the Australian Bureau of Statistics (ABS) and shortage analysis by Job and Skills Australia (JSA)</w:t>
      </w:r>
      <w:r w:rsidR="004E4D39" w:rsidRPr="4149B8EB">
        <w:rPr>
          <w:rFonts w:ascii="Aptos" w:hAnsi="Aptos"/>
        </w:rPr>
        <w:t>.</w:t>
      </w:r>
      <w:r w:rsidR="0009049A">
        <w:rPr>
          <w:rFonts w:ascii="Aptos" w:hAnsi="Aptos"/>
        </w:rPr>
        <w:t xml:space="preserve"> An overview o</w:t>
      </w:r>
      <w:r w:rsidR="00BD48EE">
        <w:rPr>
          <w:rFonts w:ascii="Aptos" w:hAnsi="Aptos"/>
        </w:rPr>
        <w:t>f</w:t>
      </w:r>
      <w:r w:rsidR="0009049A">
        <w:rPr>
          <w:rFonts w:ascii="Aptos" w:hAnsi="Aptos"/>
        </w:rPr>
        <w:t xml:space="preserve"> the process and governance is set out </w:t>
      </w:r>
      <w:hyperlink w:anchor="_Current_methodology" w:history="1">
        <w:r w:rsidR="003602AE">
          <w:rPr>
            <w:rStyle w:val="Hyperlink"/>
            <w:rFonts w:ascii="Aptos" w:hAnsi="Aptos"/>
          </w:rPr>
          <w:t xml:space="preserve">in the current methodology section. </w:t>
        </w:r>
      </w:hyperlink>
    </w:p>
    <w:p w14:paraId="0709ABC3" w14:textId="55810F4E" w:rsidR="001A7D34" w:rsidRDefault="0009049A" w:rsidP="4149B8EB">
      <w:pPr>
        <w:rPr>
          <w:rFonts w:ascii="Aptos" w:hAnsi="Aptos"/>
        </w:rPr>
      </w:pPr>
      <w:r>
        <w:rPr>
          <w:rFonts w:ascii="Aptos" w:hAnsi="Aptos"/>
        </w:rPr>
        <w:t>T</w:t>
      </w:r>
      <w:r w:rsidR="002670D1" w:rsidRPr="4149B8EB">
        <w:rPr>
          <w:rFonts w:ascii="Aptos" w:hAnsi="Aptos"/>
        </w:rPr>
        <w:t xml:space="preserve">he </w:t>
      </w:r>
      <w:r w:rsidR="57F725DA" w:rsidRPr="4149B8EB">
        <w:rPr>
          <w:rFonts w:ascii="Aptos" w:hAnsi="Aptos"/>
        </w:rPr>
        <w:t>Strategic Review of the Australian Apprenticeship Incentive System</w:t>
      </w:r>
      <w:r w:rsidR="002670D1" w:rsidRPr="4149B8EB">
        <w:rPr>
          <w:rFonts w:ascii="Aptos" w:hAnsi="Aptos"/>
        </w:rPr>
        <w:t xml:space="preserve"> (the Strategic Review) </w:t>
      </w:r>
      <w:r w:rsidR="563F6DF5" w:rsidRPr="4149B8EB">
        <w:rPr>
          <w:rFonts w:ascii="Aptos" w:hAnsi="Aptos"/>
        </w:rPr>
        <w:t xml:space="preserve">recommended </w:t>
      </w:r>
      <w:r w:rsidR="00253091">
        <w:rPr>
          <w:rFonts w:ascii="Aptos" w:hAnsi="Aptos"/>
        </w:rPr>
        <w:t>transitioning to an incentives gateway</w:t>
      </w:r>
      <w:r w:rsidR="00BD48EE">
        <w:rPr>
          <w:rFonts w:ascii="Aptos" w:hAnsi="Aptos"/>
        </w:rPr>
        <w:t xml:space="preserve"> that is</w:t>
      </w:r>
      <w:r w:rsidR="00253091">
        <w:rPr>
          <w:rFonts w:ascii="Aptos" w:hAnsi="Aptos"/>
        </w:rPr>
        <w:t xml:space="preserve"> aligned with the government’s economic priorities and social equity objectives</w:t>
      </w:r>
      <w:r w:rsidR="007977BB">
        <w:rPr>
          <w:rFonts w:ascii="Aptos" w:hAnsi="Aptos"/>
        </w:rPr>
        <w:t>, and</w:t>
      </w:r>
      <w:r w:rsidR="00253091">
        <w:rPr>
          <w:rFonts w:ascii="Aptos" w:hAnsi="Aptos"/>
        </w:rPr>
        <w:t xml:space="preserve"> is </w:t>
      </w:r>
      <w:r>
        <w:rPr>
          <w:rFonts w:ascii="Aptos" w:hAnsi="Aptos"/>
        </w:rPr>
        <w:t>transparen</w:t>
      </w:r>
      <w:r w:rsidR="00253091">
        <w:rPr>
          <w:rFonts w:ascii="Aptos" w:hAnsi="Aptos"/>
        </w:rPr>
        <w:t>t</w:t>
      </w:r>
      <w:r>
        <w:rPr>
          <w:rFonts w:ascii="Aptos" w:hAnsi="Aptos"/>
        </w:rPr>
        <w:t xml:space="preserve">, </w:t>
      </w:r>
      <w:r w:rsidR="00BD48EE">
        <w:rPr>
          <w:rFonts w:ascii="Aptos" w:hAnsi="Aptos"/>
        </w:rPr>
        <w:t xml:space="preserve">and informed by </w:t>
      </w:r>
      <w:r w:rsidR="00253091">
        <w:rPr>
          <w:rFonts w:ascii="Aptos" w:hAnsi="Aptos"/>
        </w:rPr>
        <w:t>evidence-ba</w:t>
      </w:r>
      <w:r w:rsidR="00BD48EE">
        <w:rPr>
          <w:rFonts w:ascii="Aptos" w:hAnsi="Aptos"/>
        </w:rPr>
        <w:t>cked advice from JSA</w:t>
      </w:r>
      <w:r w:rsidR="00253091">
        <w:rPr>
          <w:rFonts w:ascii="Aptos" w:hAnsi="Aptos"/>
        </w:rPr>
        <w:t xml:space="preserve"> (Recommendation 2.1)</w:t>
      </w:r>
      <w:r w:rsidR="001A7D34" w:rsidRPr="4149B8EB">
        <w:rPr>
          <w:rFonts w:ascii="Aptos" w:hAnsi="Aptos"/>
        </w:rPr>
        <w:t xml:space="preserve">. </w:t>
      </w:r>
    </w:p>
    <w:p w14:paraId="7D26ADB6" w14:textId="77777777" w:rsidR="0009049A" w:rsidRDefault="490B02E8" w:rsidP="4149B8EB">
      <w:pPr>
        <w:rPr>
          <w:rFonts w:ascii="Aptos" w:eastAsia="Aptos Display" w:hAnsi="Aptos" w:cs="Aptos Display"/>
          <w:color w:val="000000" w:themeColor="text1"/>
        </w:rPr>
      </w:pPr>
      <w:r w:rsidRPr="00E61E94">
        <w:rPr>
          <w:rFonts w:ascii="Aptos" w:eastAsia="Aptos Display" w:hAnsi="Aptos" w:cs="Aptos Display"/>
          <w:color w:val="000000" w:themeColor="text1"/>
        </w:rPr>
        <w:t xml:space="preserve">This discussion paper explores the Strategic Review’s evidence, findings and recommendation </w:t>
      </w:r>
      <w:r w:rsidR="467A6522" w:rsidRPr="00E61E94">
        <w:rPr>
          <w:rFonts w:ascii="Aptos" w:eastAsia="Aptos Display" w:hAnsi="Aptos" w:cs="Aptos Display"/>
          <w:color w:val="000000" w:themeColor="text1"/>
        </w:rPr>
        <w:t xml:space="preserve">for </w:t>
      </w:r>
      <w:r w:rsidRPr="00E61E94">
        <w:rPr>
          <w:rFonts w:ascii="Aptos" w:eastAsia="Aptos Display" w:hAnsi="Aptos" w:cs="Aptos Display"/>
          <w:color w:val="000000" w:themeColor="text1"/>
        </w:rPr>
        <w:t xml:space="preserve">a new </w:t>
      </w:r>
      <w:r w:rsidR="5E336DA5" w:rsidRPr="00E61E94">
        <w:rPr>
          <w:rFonts w:ascii="Aptos" w:eastAsia="Aptos Display" w:hAnsi="Aptos" w:cs="Aptos Display"/>
          <w:color w:val="000000" w:themeColor="text1"/>
        </w:rPr>
        <w:t xml:space="preserve">principles-based </w:t>
      </w:r>
      <w:r w:rsidRPr="00E61E94">
        <w:rPr>
          <w:rFonts w:ascii="Aptos" w:eastAsia="Aptos Display" w:hAnsi="Aptos" w:cs="Aptos Display"/>
          <w:color w:val="000000" w:themeColor="text1"/>
        </w:rPr>
        <w:t>methodology for the Priority List. The purpose of this paper is to gather your feedback on</w:t>
      </w:r>
      <w:r w:rsidR="0009049A">
        <w:rPr>
          <w:rFonts w:ascii="Aptos" w:eastAsia="Aptos Display" w:hAnsi="Aptos" w:cs="Aptos Display"/>
          <w:color w:val="000000" w:themeColor="text1"/>
        </w:rPr>
        <w:t>:</w:t>
      </w:r>
      <w:r w:rsidR="1E7A99C0" w:rsidRPr="00E61E94">
        <w:rPr>
          <w:rFonts w:ascii="Aptos" w:eastAsia="Aptos Display" w:hAnsi="Aptos" w:cs="Aptos Display"/>
          <w:color w:val="000000" w:themeColor="text1"/>
        </w:rPr>
        <w:t xml:space="preserve"> </w:t>
      </w:r>
    </w:p>
    <w:p w14:paraId="39F52129" w14:textId="3D0F2E9F" w:rsidR="0009049A" w:rsidRDefault="00EC30B6" w:rsidP="0009049A">
      <w:pPr>
        <w:pStyle w:val="ListParagraph"/>
        <w:numPr>
          <w:ilvl w:val="0"/>
          <w:numId w:val="26"/>
        </w:numPr>
        <w:rPr>
          <w:rFonts w:ascii="Aptos" w:eastAsia="Aptos Display" w:hAnsi="Aptos" w:cs="Aptos Display"/>
          <w:color w:val="000000" w:themeColor="text1"/>
        </w:rPr>
      </w:pPr>
      <w:r>
        <w:rPr>
          <w:rFonts w:ascii="Aptos" w:eastAsia="Aptos Display" w:hAnsi="Aptos" w:cs="Aptos Display"/>
        </w:rPr>
        <w:t xml:space="preserve">Elements of the </w:t>
      </w:r>
      <w:hyperlink w:anchor="_Strategic_Review_Recommendation" w:history="1">
        <w:r w:rsidR="00253091" w:rsidRPr="005C3CCF">
          <w:rPr>
            <w:rStyle w:val="Hyperlink"/>
            <w:rFonts w:ascii="Aptos" w:eastAsia="Aptos Display" w:hAnsi="Aptos" w:cs="Aptos Display"/>
            <w:color w:val="auto"/>
            <w:u w:val="none"/>
          </w:rPr>
          <w:t>Strategic Review R</w:t>
        </w:r>
        <w:r w:rsidR="1E7A99C0" w:rsidRPr="005C3CCF">
          <w:rPr>
            <w:rStyle w:val="Hyperlink"/>
            <w:rFonts w:ascii="Aptos" w:eastAsia="Aptos Display" w:hAnsi="Aptos" w:cs="Aptos Display"/>
            <w:color w:val="auto"/>
            <w:u w:val="none"/>
          </w:rPr>
          <w:t>ecommendation</w:t>
        </w:r>
        <w:r w:rsidR="00253091" w:rsidRPr="005C3CCF">
          <w:rPr>
            <w:rStyle w:val="Hyperlink"/>
            <w:rFonts w:ascii="Aptos" w:eastAsia="Aptos Display" w:hAnsi="Aptos" w:cs="Aptos Display"/>
            <w:color w:val="auto"/>
            <w:u w:val="none"/>
          </w:rPr>
          <w:t xml:space="preserve"> 2.1</w:t>
        </w:r>
      </w:hyperlink>
      <w:r>
        <w:rPr>
          <w:rFonts w:ascii="Aptos" w:eastAsia="Aptos Display" w:hAnsi="Aptos" w:cs="Aptos Display"/>
        </w:rPr>
        <w:t xml:space="preserve"> </w:t>
      </w:r>
      <w:r w:rsidR="00893671">
        <w:rPr>
          <w:rFonts w:ascii="Aptos" w:eastAsia="Aptos Display" w:hAnsi="Aptos" w:cs="Aptos Display"/>
        </w:rPr>
        <w:t>regarding</w:t>
      </w:r>
      <w:r>
        <w:rPr>
          <w:rFonts w:ascii="Aptos" w:eastAsia="Aptos Display" w:hAnsi="Aptos" w:cs="Aptos Display"/>
        </w:rPr>
        <w:t xml:space="preserve"> the Priority List</w:t>
      </w:r>
      <w:r>
        <w:rPr>
          <w:rFonts w:ascii="Aptos" w:eastAsia="Aptos Display" w:hAnsi="Aptos" w:cs="Aptos Display"/>
          <w:color w:val="000000" w:themeColor="text1"/>
        </w:rPr>
        <w:t xml:space="preserve"> (see recommendation below).</w:t>
      </w:r>
      <w:r w:rsidR="1E7A99C0" w:rsidRPr="005C3CCF">
        <w:rPr>
          <w:rFonts w:ascii="Aptos" w:eastAsia="Aptos Display" w:hAnsi="Aptos" w:cs="Aptos Display"/>
          <w:color w:val="000000" w:themeColor="text1"/>
        </w:rPr>
        <w:t xml:space="preserve"> </w:t>
      </w:r>
      <w:r w:rsidR="0009049A" w:rsidRPr="005C3CCF">
        <w:rPr>
          <w:rFonts w:ascii="Aptos" w:eastAsia="Aptos Display" w:hAnsi="Aptos" w:cs="Aptos Display"/>
          <w:color w:val="000000" w:themeColor="text1"/>
        </w:rPr>
        <w:t xml:space="preserve"> </w:t>
      </w:r>
    </w:p>
    <w:p w14:paraId="0737F7C0" w14:textId="6B76B699" w:rsidR="0009049A" w:rsidRDefault="001E33B8" w:rsidP="0009049A">
      <w:pPr>
        <w:pStyle w:val="ListParagraph"/>
        <w:numPr>
          <w:ilvl w:val="0"/>
          <w:numId w:val="26"/>
        </w:numPr>
        <w:rPr>
          <w:rFonts w:ascii="Aptos" w:eastAsia="Aptos Display" w:hAnsi="Aptos" w:cs="Aptos Display"/>
          <w:color w:val="000000" w:themeColor="text1"/>
        </w:rPr>
      </w:pPr>
      <w:r>
        <w:rPr>
          <w:rFonts w:ascii="Aptos" w:eastAsia="Aptos Display" w:hAnsi="Aptos" w:cs="Aptos Display"/>
          <w:color w:val="000000" w:themeColor="text1"/>
        </w:rPr>
        <w:t>Potential</w:t>
      </w:r>
      <w:r w:rsidRPr="005C3CCF">
        <w:rPr>
          <w:rFonts w:ascii="Aptos" w:eastAsia="Aptos Display" w:hAnsi="Aptos" w:cs="Aptos Display"/>
          <w:color w:val="000000" w:themeColor="text1"/>
        </w:rPr>
        <w:t xml:space="preserve"> </w:t>
      </w:r>
      <w:r w:rsidR="1E7A99C0" w:rsidRPr="005C3CCF">
        <w:rPr>
          <w:rFonts w:ascii="Aptos" w:eastAsia="Aptos Display" w:hAnsi="Aptos" w:cs="Aptos Display"/>
          <w:color w:val="000000" w:themeColor="text1"/>
        </w:rPr>
        <w:t>principles</w:t>
      </w:r>
      <w:r>
        <w:rPr>
          <w:rFonts w:ascii="Aptos" w:eastAsia="Aptos Display" w:hAnsi="Aptos" w:cs="Aptos Display"/>
          <w:color w:val="000000" w:themeColor="text1"/>
        </w:rPr>
        <w:t xml:space="preserve"> to underpin a revised methodology for </w:t>
      </w:r>
      <w:r w:rsidR="0009049A">
        <w:rPr>
          <w:rFonts w:ascii="Aptos" w:eastAsia="Aptos Display" w:hAnsi="Aptos" w:cs="Aptos Display"/>
          <w:color w:val="000000" w:themeColor="text1"/>
        </w:rPr>
        <w:t>the Priority List</w:t>
      </w:r>
      <w:r>
        <w:rPr>
          <w:rFonts w:ascii="Aptos" w:eastAsia="Aptos Display" w:hAnsi="Aptos" w:cs="Aptos Display"/>
          <w:color w:val="000000" w:themeColor="text1"/>
        </w:rPr>
        <w:t>.</w:t>
      </w:r>
      <w:r w:rsidR="490B02E8" w:rsidRPr="005C3CCF">
        <w:rPr>
          <w:rFonts w:ascii="Aptos" w:eastAsia="Aptos Display" w:hAnsi="Aptos" w:cs="Aptos Display"/>
          <w:color w:val="000000" w:themeColor="text1"/>
        </w:rPr>
        <w:t xml:space="preserve"> </w:t>
      </w:r>
    </w:p>
    <w:p w14:paraId="02AE6B90" w14:textId="75077EE0" w:rsidR="0009049A" w:rsidRPr="005C3CCF" w:rsidRDefault="00BD48EE" w:rsidP="005C3CCF">
      <w:pPr>
        <w:pStyle w:val="ListParagraph"/>
        <w:numPr>
          <w:ilvl w:val="0"/>
          <w:numId w:val="26"/>
        </w:numPr>
        <w:rPr>
          <w:rFonts w:ascii="Aptos" w:eastAsia="Aptos Display" w:hAnsi="Aptos" w:cs="Aptos Display"/>
          <w:color w:val="000000" w:themeColor="text1"/>
        </w:rPr>
      </w:pPr>
      <w:r>
        <w:rPr>
          <w:rFonts w:ascii="Aptos" w:eastAsia="Aptos Display" w:hAnsi="Aptos" w:cs="Aptos Display"/>
          <w:color w:val="000000" w:themeColor="text1"/>
        </w:rPr>
        <w:t>A</w:t>
      </w:r>
      <w:r w:rsidR="490B02E8" w:rsidRPr="005C3CCF">
        <w:rPr>
          <w:rFonts w:ascii="Aptos" w:eastAsia="Aptos Display" w:hAnsi="Aptos" w:cs="Aptos Display"/>
          <w:color w:val="000000" w:themeColor="text1"/>
        </w:rPr>
        <w:t xml:space="preserve">ny additional evidence you wish to share and your insights on potential impacts if government adopted </w:t>
      </w:r>
      <w:r w:rsidR="001E33B8">
        <w:rPr>
          <w:rFonts w:ascii="Aptos" w:eastAsia="Aptos Display" w:hAnsi="Aptos" w:cs="Aptos Display"/>
          <w:color w:val="000000" w:themeColor="text1"/>
        </w:rPr>
        <w:t>Strategic Review R</w:t>
      </w:r>
      <w:r w:rsidR="3BBC7EE4" w:rsidRPr="005C3CCF">
        <w:rPr>
          <w:rFonts w:ascii="Aptos" w:eastAsia="Aptos Display" w:hAnsi="Aptos" w:cs="Aptos Display"/>
          <w:color w:val="000000" w:themeColor="text1"/>
        </w:rPr>
        <w:t>ecommendation</w:t>
      </w:r>
      <w:r w:rsidR="001E33B8">
        <w:rPr>
          <w:rFonts w:ascii="Aptos" w:eastAsia="Aptos Display" w:hAnsi="Aptos" w:cs="Aptos Display"/>
          <w:color w:val="000000" w:themeColor="text1"/>
        </w:rPr>
        <w:t xml:space="preserve"> 2.1</w:t>
      </w:r>
      <w:r w:rsidR="490B02E8" w:rsidRPr="005C3CCF">
        <w:rPr>
          <w:rFonts w:ascii="Aptos" w:eastAsia="Aptos Display" w:hAnsi="Aptos" w:cs="Aptos Display"/>
          <w:color w:val="000000" w:themeColor="text1"/>
        </w:rPr>
        <w:t xml:space="preserve">. </w:t>
      </w:r>
    </w:p>
    <w:p w14:paraId="694E1A07" w14:textId="3E594B66" w:rsidR="008C0212" w:rsidRPr="00B8719A" w:rsidRDefault="490B02E8" w:rsidP="4149B8EB">
      <w:pPr>
        <w:rPr>
          <w:rFonts w:ascii="Aptos" w:eastAsia="Aptos" w:hAnsi="Aptos" w:cs="Aptos"/>
        </w:rPr>
      </w:pPr>
      <w:r w:rsidRPr="00E61E94">
        <w:rPr>
          <w:rFonts w:ascii="Aptos" w:eastAsia="Aptos Display" w:hAnsi="Aptos" w:cs="Aptos Display"/>
          <w:color w:val="000000" w:themeColor="text1"/>
        </w:rPr>
        <w:t>When reading this paper, consideration should be given to the Strategic Review’s argument for focussing government’s finite funding envelope on a more targeted and prioritised Incentive System.</w:t>
      </w:r>
    </w:p>
    <w:p w14:paraId="24B1B31E" w14:textId="77777777" w:rsidR="001A7D34" w:rsidRPr="001941CE" w:rsidRDefault="001A7D34" w:rsidP="001941CE">
      <w:pPr>
        <w:pStyle w:val="Heading1"/>
        <w:spacing w:before="200"/>
        <w:rPr>
          <w:sz w:val="40"/>
          <w:szCs w:val="40"/>
        </w:rPr>
      </w:pPr>
      <w:bookmarkStart w:id="2" w:name="_Toc197523702"/>
      <w:bookmarkStart w:id="3" w:name="_Toc197589960"/>
      <w:r w:rsidRPr="001941CE">
        <w:rPr>
          <w:sz w:val="40"/>
          <w:szCs w:val="40"/>
        </w:rPr>
        <w:t>Rationale</w:t>
      </w:r>
      <w:bookmarkEnd w:id="2"/>
      <w:bookmarkEnd w:id="3"/>
    </w:p>
    <w:p w14:paraId="50314F1B" w14:textId="70280948" w:rsidR="001A7D34" w:rsidRDefault="001A7D34" w:rsidP="001A7D34">
      <w:pPr>
        <w:spacing w:after="120"/>
        <w:rPr>
          <w:rFonts w:ascii="Aptos" w:hAnsi="Aptos"/>
        </w:rPr>
      </w:pPr>
      <w:r w:rsidRPr="37FDE516">
        <w:rPr>
          <w:rFonts w:ascii="Aptos" w:hAnsi="Aptos"/>
        </w:rPr>
        <w:t xml:space="preserve">The Strategic Review, published in January 2025, recommended the “gateway” to the incentive system is revised to better align with Australia’s economic priorities and social equity objectives to support critical skills needs. </w:t>
      </w:r>
      <w:r w:rsidR="00735D61">
        <w:rPr>
          <w:rFonts w:ascii="Aptos" w:hAnsi="Aptos"/>
        </w:rPr>
        <w:t>It</w:t>
      </w:r>
      <w:r w:rsidRPr="37FDE516">
        <w:rPr>
          <w:rFonts w:ascii="Aptos" w:hAnsi="Aptos"/>
        </w:rPr>
        <w:t xml:space="preserve"> raised the following </w:t>
      </w:r>
      <w:r w:rsidR="00735D61">
        <w:rPr>
          <w:rFonts w:ascii="Aptos" w:hAnsi="Aptos"/>
        </w:rPr>
        <w:t>concerns with</w:t>
      </w:r>
      <w:r>
        <w:rPr>
          <w:rFonts w:ascii="Aptos" w:hAnsi="Aptos"/>
        </w:rPr>
        <w:t xml:space="preserve"> </w:t>
      </w:r>
      <w:r w:rsidRPr="37FDE516">
        <w:rPr>
          <w:rFonts w:ascii="Aptos" w:hAnsi="Aptos"/>
        </w:rPr>
        <w:t>the current Priority List methodology:</w:t>
      </w:r>
    </w:p>
    <w:p w14:paraId="0EB48F8C" w14:textId="780D1BFC" w:rsidR="001A7D34" w:rsidRPr="00303762" w:rsidRDefault="001A7D34" w:rsidP="001A7D34">
      <w:pPr>
        <w:pStyle w:val="ListParagraph"/>
        <w:numPr>
          <w:ilvl w:val="0"/>
          <w:numId w:val="20"/>
        </w:numPr>
        <w:spacing w:after="120" w:line="276" w:lineRule="auto"/>
        <w:ind w:left="714" w:hanging="357"/>
        <w:contextualSpacing w:val="0"/>
        <w:rPr>
          <w:rFonts w:ascii="Aptos" w:hAnsi="Aptos"/>
        </w:rPr>
      </w:pPr>
      <w:r w:rsidRPr="1EE75621">
        <w:rPr>
          <w:rFonts w:ascii="Aptos" w:hAnsi="Aptos"/>
        </w:rPr>
        <w:t xml:space="preserve">There are occupations in national shortage eligible to receive a government incentive payment despite not representing value for money or a demonstrable public benefit, such as horse trainers, </w:t>
      </w:r>
      <w:r w:rsidR="009F5073">
        <w:rPr>
          <w:rFonts w:ascii="Aptos" w:hAnsi="Aptos"/>
        </w:rPr>
        <w:t>flight attendant</w:t>
      </w:r>
      <w:r w:rsidR="00EC5824">
        <w:rPr>
          <w:rFonts w:ascii="Aptos" w:hAnsi="Aptos"/>
        </w:rPr>
        <w:t>s</w:t>
      </w:r>
      <w:r w:rsidRPr="1EE75621">
        <w:rPr>
          <w:rFonts w:ascii="Aptos" w:hAnsi="Aptos"/>
        </w:rPr>
        <w:t xml:space="preserve"> and gymnastics coaches. </w:t>
      </w:r>
    </w:p>
    <w:p w14:paraId="3FF3A9A7" w14:textId="184472D4" w:rsidR="001A7D34" w:rsidRPr="00303762" w:rsidRDefault="00A80EF1" w:rsidP="001A7D34">
      <w:pPr>
        <w:pStyle w:val="ListParagraph"/>
        <w:numPr>
          <w:ilvl w:val="0"/>
          <w:numId w:val="20"/>
        </w:numPr>
        <w:spacing w:after="120" w:line="276" w:lineRule="auto"/>
        <w:ind w:left="714" w:hanging="357"/>
        <w:contextualSpacing w:val="0"/>
        <w:rPr>
          <w:rFonts w:ascii="Aptos" w:hAnsi="Aptos"/>
        </w:rPr>
      </w:pPr>
      <w:r>
        <w:rPr>
          <w:rFonts w:ascii="Aptos" w:hAnsi="Aptos"/>
        </w:rPr>
        <w:t>T</w:t>
      </w:r>
      <w:r w:rsidR="001A7D34" w:rsidRPr="003550DF">
        <w:rPr>
          <w:rFonts w:ascii="Aptos" w:hAnsi="Aptos"/>
        </w:rPr>
        <w:t xml:space="preserve">he Priority List’s focus on national shortage misses occupations that need apprentices, such as those </w:t>
      </w:r>
      <w:r w:rsidR="001A7D34">
        <w:rPr>
          <w:rFonts w:ascii="Aptos" w:hAnsi="Aptos"/>
        </w:rPr>
        <w:t>needed to meet</w:t>
      </w:r>
      <w:r w:rsidR="001A7D34" w:rsidRPr="003550DF">
        <w:rPr>
          <w:rFonts w:ascii="Aptos" w:hAnsi="Aptos"/>
        </w:rPr>
        <w:t xml:space="preserve"> specific jurisdictional or regional skills priorities</w:t>
      </w:r>
      <w:r w:rsidR="001A7D34">
        <w:rPr>
          <w:rFonts w:ascii="Aptos" w:hAnsi="Aptos"/>
        </w:rPr>
        <w:t xml:space="preserve"> and those important for Australia’s broader economy and social fabric.</w:t>
      </w:r>
    </w:p>
    <w:p w14:paraId="01C04390" w14:textId="77777777" w:rsidR="001A7D34" w:rsidRPr="00303762" w:rsidRDefault="001A7D34" w:rsidP="001A7D34">
      <w:pPr>
        <w:pStyle w:val="ListParagraph"/>
        <w:numPr>
          <w:ilvl w:val="0"/>
          <w:numId w:val="20"/>
        </w:numPr>
        <w:spacing w:after="120" w:line="276" w:lineRule="auto"/>
        <w:ind w:left="714" w:hanging="357"/>
        <w:contextualSpacing w:val="0"/>
        <w:rPr>
          <w:rFonts w:ascii="Aptos" w:hAnsi="Aptos"/>
        </w:rPr>
      </w:pPr>
      <w:r w:rsidRPr="25719E6D">
        <w:rPr>
          <w:rFonts w:ascii="Aptos" w:hAnsi="Aptos"/>
        </w:rPr>
        <w:t xml:space="preserve">The Priority List is not always flexible enough to address emerging skills shortages in occupations that might only be small in numbers yet critical for a particular industry. </w:t>
      </w:r>
    </w:p>
    <w:p w14:paraId="47ECA143" w14:textId="77777777" w:rsidR="001A7D34" w:rsidRDefault="001A7D34" w:rsidP="001A7D34">
      <w:pPr>
        <w:pStyle w:val="ListParagraph"/>
        <w:numPr>
          <w:ilvl w:val="0"/>
          <w:numId w:val="20"/>
        </w:numPr>
        <w:spacing w:after="120" w:line="276" w:lineRule="auto"/>
        <w:ind w:left="714" w:hanging="357"/>
        <w:contextualSpacing w:val="0"/>
        <w:rPr>
          <w:rFonts w:ascii="Aptos" w:hAnsi="Aptos"/>
        </w:rPr>
      </w:pPr>
      <w:r w:rsidRPr="00E03DEE">
        <w:rPr>
          <w:rFonts w:ascii="Aptos" w:hAnsi="Aptos"/>
        </w:rPr>
        <w:t>There is limited transparency over how the Priority List is updated and maintained.</w:t>
      </w:r>
    </w:p>
    <w:p w14:paraId="5BF358CA" w14:textId="01DBAF08" w:rsidR="001A7D34" w:rsidRDefault="001A7D34" w:rsidP="001A7D34">
      <w:pPr>
        <w:pStyle w:val="ListParagraph"/>
        <w:numPr>
          <w:ilvl w:val="0"/>
          <w:numId w:val="20"/>
        </w:numPr>
        <w:spacing w:after="120" w:line="276" w:lineRule="auto"/>
        <w:ind w:left="714" w:hanging="357"/>
        <w:contextualSpacing w:val="0"/>
        <w:rPr>
          <w:rFonts w:ascii="Aptos" w:hAnsi="Aptos"/>
        </w:rPr>
      </w:pPr>
      <w:r>
        <w:rPr>
          <w:rFonts w:ascii="Aptos" w:hAnsi="Aptos"/>
        </w:rPr>
        <w:t xml:space="preserve">Producing </w:t>
      </w:r>
      <w:r w:rsidRPr="00F6071B">
        <w:rPr>
          <w:rFonts w:ascii="Aptos" w:hAnsi="Aptos"/>
        </w:rPr>
        <w:t>a smaller</w:t>
      </w:r>
      <w:r>
        <w:rPr>
          <w:rFonts w:ascii="Aptos" w:hAnsi="Aptos"/>
        </w:rPr>
        <w:t xml:space="preserve">, </w:t>
      </w:r>
      <w:r w:rsidRPr="00F6071B">
        <w:rPr>
          <w:rFonts w:ascii="Aptos" w:hAnsi="Aptos"/>
        </w:rPr>
        <w:t xml:space="preserve">more targeted </w:t>
      </w:r>
      <w:r>
        <w:rPr>
          <w:rFonts w:ascii="Aptos" w:hAnsi="Aptos"/>
        </w:rPr>
        <w:t>Priority L</w:t>
      </w:r>
      <w:r w:rsidRPr="00F6071B">
        <w:rPr>
          <w:rFonts w:ascii="Aptos" w:hAnsi="Aptos"/>
        </w:rPr>
        <w:t xml:space="preserve">ist could </w:t>
      </w:r>
      <w:r>
        <w:rPr>
          <w:rFonts w:ascii="Aptos" w:hAnsi="Aptos"/>
        </w:rPr>
        <w:t xml:space="preserve">support </w:t>
      </w:r>
      <w:r w:rsidRPr="00F6071B">
        <w:rPr>
          <w:rFonts w:ascii="Aptos" w:hAnsi="Aptos"/>
        </w:rPr>
        <w:t xml:space="preserve">an increase </w:t>
      </w:r>
      <w:r>
        <w:rPr>
          <w:rFonts w:ascii="Aptos" w:hAnsi="Aptos"/>
        </w:rPr>
        <w:t>to</w:t>
      </w:r>
      <w:r w:rsidRPr="00F6071B">
        <w:rPr>
          <w:rFonts w:ascii="Aptos" w:hAnsi="Aptos"/>
        </w:rPr>
        <w:t xml:space="preserve"> the quantum of financial incentives provided to apprentices and employers</w:t>
      </w:r>
      <w:r>
        <w:rPr>
          <w:rFonts w:ascii="Aptos" w:hAnsi="Aptos"/>
        </w:rPr>
        <w:t xml:space="preserve"> within the same funding envelope (i.e. the same funding split between fewer priority occupations).</w:t>
      </w:r>
    </w:p>
    <w:p w14:paraId="21A218DF" w14:textId="14F5F826" w:rsidR="001A7D34" w:rsidRDefault="001A7D34" w:rsidP="001A7D34">
      <w:pPr>
        <w:rPr>
          <w:rFonts w:ascii="Aptos" w:hAnsi="Aptos"/>
        </w:rPr>
      </w:pPr>
      <w:r w:rsidRPr="1EE75621">
        <w:rPr>
          <w:rFonts w:ascii="Aptos" w:hAnsi="Aptos"/>
        </w:rPr>
        <w:t>Government must determine how best to prioritise and address these issues. In doing so, Australia’s economic and social equity objectives</w:t>
      </w:r>
      <w:r w:rsidR="00067F9A">
        <w:rPr>
          <w:rFonts w:ascii="Aptos" w:hAnsi="Aptos"/>
        </w:rPr>
        <w:t xml:space="preserve"> must be better defined</w:t>
      </w:r>
      <w:r w:rsidRPr="1EE75621">
        <w:rPr>
          <w:rFonts w:ascii="Aptos" w:hAnsi="Aptos"/>
        </w:rPr>
        <w:t xml:space="preserve"> – beyond just identifying key industries – to inform the methodology and identify a flexible yet consistent approach to updating the list on an annual basis using the new methodology. </w:t>
      </w:r>
    </w:p>
    <w:p w14:paraId="44CE3C9C" w14:textId="0F995FC6" w:rsidR="00BB60D0" w:rsidRPr="002A0020" w:rsidRDefault="00BB60D0" w:rsidP="002A0020">
      <w:pPr>
        <w:pStyle w:val="Heading2"/>
        <w:rPr>
          <w:sz w:val="36"/>
          <w:szCs w:val="36"/>
        </w:rPr>
      </w:pPr>
      <w:bookmarkStart w:id="4" w:name="_Strategic_Review_Recommendation"/>
      <w:bookmarkEnd w:id="4"/>
      <w:r w:rsidRPr="002A0020">
        <w:rPr>
          <w:sz w:val="36"/>
          <w:szCs w:val="36"/>
        </w:rPr>
        <w:t>Strategic Review Recommendation 2.1</w:t>
      </w:r>
    </w:p>
    <w:p w14:paraId="5A319C76" w14:textId="77777777" w:rsidR="00BB60D0" w:rsidRPr="002A0020" w:rsidRDefault="00BB60D0" w:rsidP="002A0020">
      <w:pPr>
        <w:spacing w:after="100"/>
        <w:rPr>
          <w:rFonts w:ascii="Aptos" w:hAnsi="Aptos"/>
          <w:i/>
          <w:iCs/>
        </w:rPr>
      </w:pPr>
      <w:r w:rsidRPr="002A0020">
        <w:rPr>
          <w:rFonts w:ascii="Aptos" w:hAnsi="Aptos"/>
          <w:i/>
          <w:iCs/>
        </w:rPr>
        <w:t xml:space="preserve">The Australian Government aligns incentives with its economic priorities and social equity objectives, informed by evidence-backed advice from Jobs and Skills Australia, the Australian Bureau of Statistics and the Department of Employment and Workplace Relations. The gateway to the incentive system is reframed using the following process: </w:t>
      </w:r>
    </w:p>
    <w:p w14:paraId="0995C400" w14:textId="77777777" w:rsidR="00BB60D0" w:rsidRPr="002A0020" w:rsidRDefault="00BB60D0" w:rsidP="002A0020">
      <w:pPr>
        <w:pStyle w:val="ListParagraph"/>
        <w:numPr>
          <w:ilvl w:val="0"/>
          <w:numId w:val="28"/>
        </w:numPr>
        <w:spacing w:line="276" w:lineRule="auto"/>
        <w:rPr>
          <w:rFonts w:ascii="Aptos" w:hAnsi="Aptos"/>
          <w:i/>
          <w:iCs/>
        </w:rPr>
      </w:pPr>
      <w:r w:rsidRPr="002A0020">
        <w:rPr>
          <w:rFonts w:ascii="Aptos" w:hAnsi="Aptos"/>
          <w:i/>
          <w:iCs/>
        </w:rPr>
        <w:t xml:space="preserve">The current employer incentive settings and eligibility remain in place until 1 July 2025. </w:t>
      </w:r>
    </w:p>
    <w:p w14:paraId="48E79EE3" w14:textId="77777777" w:rsidR="00BB60D0" w:rsidRPr="002A0020" w:rsidRDefault="00BB60D0" w:rsidP="002A0020">
      <w:pPr>
        <w:pStyle w:val="ListParagraph"/>
        <w:numPr>
          <w:ilvl w:val="0"/>
          <w:numId w:val="28"/>
        </w:numPr>
        <w:spacing w:line="276" w:lineRule="auto"/>
        <w:rPr>
          <w:rFonts w:ascii="Aptos" w:hAnsi="Aptos"/>
          <w:i/>
          <w:iCs/>
        </w:rPr>
      </w:pPr>
      <w:r w:rsidRPr="002A0020">
        <w:rPr>
          <w:rFonts w:ascii="Aptos" w:hAnsi="Aptos"/>
          <w:i/>
          <w:iCs/>
        </w:rPr>
        <w:t xml:space="preserve">The transition to an incentives gateway aligned with the Government’s economic priorities and social equity objectives is transparent, evidence-based and allows sufficient time to engage with stakeholders. </w:t>
      </w:r>
    </w:p>
    <w:p w14:paraId="313B4D83" w14:textId="77777777" w:rsidR="00BB60D0" w:rsidRPr="002A0020" w:rsidRDefault="00BB60D0" w:rsidP="002A0020">
      <w:pPr>
        <w:pStyle w:val="ListParagraph"/>
        <w:numPr>
          <w:ilvl w:val="0"/>
          <w:numId w:val="28"/>
        </w:numPr>
        <w:spacing w:line="276" w:lineRule="auto"/>
        <w:rPr>
          <w:rFonts w:ascii="Aptos" w:hAnsi="Aptos"/>
          <w:i/>
          <w:iCs/>
        </w:rPr>
      </w:pPr>
      <w:r w:rsidRPr="002A0020">
        <w:rPr>
          <w:rFonts w:ascii="Aptos" w:hAnsi="Aptos"/>
          <w:i/>
          <w:iCs/>
        </w:rPr>
        <w:t xml:space="preserve">The Minister for Skills and Training determines the Government’s economic priorities and social equity objectives. This determination directs the work of Jobs and Skills Australia and the Department of Employment and Workplace Relations. </w:t>
      </w:r>
    </w:p>
    <w:p w14:paraId="43D5DDBA" w14:textId="77777777" w:rsidR="00BB60D0" w:rsidRPr="002A0020" w:rsidRDefault="00BB60D0" w:rsidP="002A0020">
      <w:pPr>
        <w:pStyle w:val="ListParagraph"/>
        <w:numPr>
          <w:ilvl w:val="0"/>
          <w:numId w:val="28"/>
        </w:numPr>
        <w:spacing w:line="276" w:lineRule="auto"/>
        <w:rPr>
          <w:rFonts w:ascii="Aptos" w:hAnsi="Aptos"/>
          <w:i/>
          <w:iCs/>
        </w:rPr>
      </w:pPr>
      <w:r w:rsidRPr="002A0020">
        <w:rPr>
          <w:rFonts w:ascii="Aptos" w:hAnsi="Aptos"/>
          <w:i/>
          <w:iCs/>
        </w:rPr>
        <w:t xml:space="preserve">Jobs and Skills Australia, in collaboration with the Australian Bureau of Statistics, identifies national, state/territory and regional skill shortages that align with the Government’s economic priorities. The Department of Employment and Workplace Relations considers occupations beyond the current priority of Australian and New Zealand Standard Classification of Occupations Major Groups 3 and 4 to ensure they capture construction and construction-related occupations, as well as information and communications technology occupations at the vocational education and training-level that are in shortage. Jobs and Skills Australia quantifies the extent of shortage in each occupation. </w:t>
      </w:r>
    </w:p>
    <w:p w14:paraId="465A7593" w14:textId="377FFB3B" w:rsidR="00BB60D0" w:rsidRPr="002A0020" w:rsidRDefault="00BB60D0" w:rsidP="002A0020">
      <w:pPr>
        <w:pStyle w:val="ListParagraph"/>
        <w:numPr>
          <w:ilvl w:val="0"/>
          <w:numId w:val="28"/>
        </w:numPr>
        <w:spacing w:line="276" w:lineRule="auto"/>
        <w:rPr>
          <w:rFonts w:ascii="Aptos" w:hAnsi="Aptos"/>
          <w:i/>
          <w:iCs/>
        </w:rPr>
      </w:pPr>
      <w:r w:rsidRPr="002A0020">
        <w:rPr>
          <w:rFonts w:ascii="Aptos" w:hAnsi="Aptos"/>
          <w:i/>
          <w:iCs/>
        </w:rPr>
        <w:t xml:space="preserve">The Department of Employment and Workplace Relations reviews the data provided by Jobs and Skills Australia to ensure it aligns with the Minister’s determination regarding national economic priorities and social equity objectives. </w:t>
      </w:r>
      <w:bookmarkStart w:id="5" w:name="_Hlk201311127"/>
      <w:r w:rsidRPr="002A0020">
        <w:rPr>
          <w:rFonts w:ascii="Aptos" w:hAnsi="Aptos"/>
          <w:i/>
          <w:iCs/>
        </w:rPr>
        <w:t xml:space="preserve">The department </w:t>
      </w:r>
      <w:proofErr w:type="gramStart"/>
      <w:r w:rsidRPr="002A0020">
        <w:rPr>
          <w:rFonts w:ascii="Aptos" w:hAnsi="Aptos"/>
          <w:i/>
          <w:iCs/>
        </w:rPr>
        <w:t>takes into account</w:t>
      </w:r>
      <w:proofErr w:type="gramEnd"/>
      <w:r w:rsidRPr="002A0020">
        <w:rPr>
          <w:rFonts w:ascii="Aptos" w:hAnsi="Aptos"/>
          <w:i/>
          <w:iCs/>
        </w:rPr>
        <w:t xml:space="preserve"> the extent of non-compliance and the level of wage premium as it applies to an occupation in determining the appropriate gateway to the incentive system. Further, the department recommends the level of employer incentives and apprentice support payments having regard to the macro-economic environment.</w:t>
      </w:r>
      <w:bookmarkEnd w:id="5"/>
    </w:p>
    <w:p w14:paraId="62A0F488" w14:textId="77777777" w:rsidR="001A7D34" w:rsidRPr="001941CE" w:rsidRDefault="001A7D34" w:rsidP="001941CE">
      <w:pPr>
        <w:pStyle w:val="Heading1"/>
        <w:spacing w:before="200"/>
        <w:rPr>
          <w:sz w:val="40"/>
          <w:szCs w:val="40"/>
        </w:rPr>
      </w:pPr>
      <w:bookmarkStart w:id="6" w:name="_Current_methodology"/>
      <w:bookmarkStart w:id="7" w:name="_Toc197523703"/>
      <w:bookmarkStart w:id="8" w:name="_Toc197589961"/>
      <w:bookmarkEnd w:id="6"/>
      <w:r w:rsidRPr="001941CE">
        <w:rPr>
          <w:sz w:val="40"/>
          <w:szCs w:val="40"/>
        </w:rPr>
        <w:t>Current methodology</w:t>
      </w:r>
      <w:bookmarkEnd w:id="7"/>
      <w:bookmarkEnd w:id="8"/>
    </w:p>
    <w:p w14:paraId="53D1F739" w14:textId="43B5B17D" w:rsidR="001A7D34" w:rsidRDefault="001A7D34" w:rsidP="001A7D34">
      <w:pPr>
        <w:spacing w:after="120"/>
        <w:rPr>
          <w:rFonts w:ascii="Aptos" w:hAnsi="Aptos"/>
        </w:rPr>
      </w:pPr>
      <w:r w:rsidRPr="1917006D">
        <w:rPr>
          <w:rFonts w:ascii="Aptos" w:hAnsi="Aptos"/>
        </w:rPr>
        <w:t xml:space="preserve">The Priority List represents a point-in-time assessment of occupations in shortage, where an apprenticeship is a required or preferred training pathway. Under current settings, </w:t>
      </w:r>
      <w:proofErr w:type="gramStart"/>
      <w:r w:rsidR="406151F9" w:rsidRPr="1917006D">
        <w:rPr>
          <w:rFonts w:ascii="Aptos" w:hAnsi="Aptos"/>
        </w:rPr>
        <w:t>the majority of</w:t>
      </w:r>
      <w:proofErr w:type="gramEnd"/>
      <w:r w:rsidR="406151F9" w:rsidRPr="1917006D">
        <w:rPr>
          <w:rFonts w:ascii="Aptos" w:hAnsi="Aptos"/>
        </w:rPr>
        <w:t xml:space="preserve"> </w:t>
      </w:r>
      <w:r w:rsidRPr="1917006D">
        <w:rPr>
          <w:rFonts w:ascii="Aptos" w:hAnsi="Aptos"/>
        </w:rPr>
        <w:t>apprenticeship incentive payments</w:t>
      </w:r>
      <w:r w:rsidR="00FB4FEC" w:rsidRPr="1917006D">
        <w:rPr>
          <w:rFonts w:ascii="Aptos" w:hAnsi="Aptos"/>
        </w:rPr>
        <w:t>, as well as assistance under the Australian Apprenticeship Support Loan (AASL) program,</w:t>
      </w:r>
      <w:r w:rsidRPr="1917006D">
        <w:rPr>
          <w:rFonts w:ascii="Aptos" w:hAnsi="Aptos"/>
        </w:rPr>
        <w:t xml:space="preserve"> are confined to apprenticeship occupations and qualifications on the Priority List. </w:t>
      </w:r>
    </w:p>
    <w:p w14:paraId="25D7082E" w14:textId="66FA33A9" w:rsidR="003A1BE2" w:rsidRPr="003A1BE2" w:rsidRDefault="003A1BE2" w:rsidP="003A1BE2">
      <w:pPr>
        <w:rPr>
          <w:rFonts w:ascii="Aptos" w:hAnsi="Aptos" w:cs="Arial"/>
        </w:rPr>
      </w:pPr>
      <w:r>
        <w:rPr>
          <w:rFonts w:ascii="Aptos" w:hAnsi="Aptos" w:cs="Arial"/>
        </w:rPr>
        <w:t>T</w:t>
      </w:r>
      <w:r w:rsidRPr="6FD0F7FE">
        <w:rPr>
          <w:rFonts w:ascii="Aptos" w:hAnsi="Aptos" w:cs="Arial"/>
        </w:rPr>
        <w:t xml:space="preserve">he 2025 Priority List is based on the new Occupation Standard Classification for Australia </w:t>
      </w:r>
      <w:r>
        <w:rPr>
          <w:rFonts w:ascii="Aptos" w:hAnsi="Aptos" w:cs="Arial"/>
        </w:rPr>
        <w:t>(</w:t>
      </w:r>
      <w:r w:rsidRPr="6FD0F7FE">
        <w:rPr>
          <w:rFonts w:ascii="Aptos" w:hAnsi="Aptos" w:cs="Arial"/>
        </w:rPr>
        <w:t>OSCA</w:t>
      </w:r>
      <w:r>
        <w:rPr>
          <w:rFonts w:ascii="Aptos" w:hAnsi="Aptos" w:cs="Arial"/>
        </w:rPr>
        <w:t xml:space="preserve">) – previously the </w:t>
      </w:r>
      <w:r w:rsidRPr="0DA87928">
        <w:rPr>
          <w:rFonts w:ascii="Aptos" w:eastAsiaTheme="minorEastAsia" w:hAnsi="Aptos"/>
        </w:rPr>
        <w:t>Australian and</w:t>
      </w:r>
      <w:r w:rsidRPr="6FD0F7FE">
        <w:rPr>
          <w:rFonts w:ascii="Aptos" w:hAnsi="Aptos" w:cs="Arial"/>
        </w:rPr>
        <w:t xml:space="preserve"> New Zealand Standard </w:t>
      </w:r>
      <w:r w:rsidRPr="6FD0F7FE">
        <w:rPr>
          <w:rFonts w:ascii="Aptos" w:hAnsi="Aptos"/>
        </w:rPr>
        <w:t>Classification</w:t>
      </w:r>
      <w:r w:rsidRPr="6FD0F7FE">
        <w:rPr>
          <w:rFonts w:ascii="Aptos" w:hAnsi="Aptos" w:cs="Arial"/>
        </w:rPr>
        <w:t xml:space="preserve"> of Occupations</w:t>
      </w:r>
      <w:r>
        <w:rPr>
          <w:rFonts w:ascii="Aptos" w:hAnsi="Aptos" w:cs="Arial"/>
        </w:rPr>
        <w:t xml:space="preserve"> –</w:t>
      </w:r>
      <w:r w:rsidRPr="6FD0F7FE">
        <w:rPr>
          <w:rFonts w:ascii="Aptos" w:hAnsi="Aptos" w:cs="Arial"/>
        </w:rPr>
        <w:t xml:space="preserve"> to identify those occupations on the </w:t>
      </w:r>
      <w:r w:rsidR="00C316D1" w:rsidRPr="0019214E">
        <w:rPr>
          <w:rFonts w:ascii="Aptos" w:hAnsi="Aptos" w:cs="Arial"/>
        </w:rPr>
        <w:t xml:space="preserve">Occupational Shortage List </w:t>
      </w:r>
      <w:r w:rsidR="00C316D1">
        <w:rPr>
          <w:rFonts w:ascii="Aptos" w:hAnsi="Aptos" w:cs="Arial"/>
        </w:rPr>
        <w:t>(</w:t>
      </w:r>
      <w:r w:rsidRPr="6FD0F7FE">
        <w:rPr>
          <w:rFonts w:ascii="Aptos" w:hAnsi="Aptos" w:cs="Arial"/>
        </w:rPr>
        <w:t>OSL</w:t>
      </w:r>
      <w:r w:rsidR="00C316D1">
        <w:rPr>
          <w:rFonts w:ascii="Aptos" w:hAnsi="Aptos" w:cs="Arial"/>
        </w:rPr>
        <w:t>)</w:t>
      </w:r>
      <w:r w:rsidRPr="6FD0F7FE">
        <w:rPr>
          <w:rFonts w:ascii="Aptos" w:hAnsi="Aptos" w:cs="Arial"/>
        </w:rPr>
        <w:t xml:space="preserve"> that fall into either </w:t>
      </w:r>
      <w:r w:rsidRPr="0DA87928">
        <w:rPr>
          <w:rFonts w:ascii="Aptos" w:hAnsi="Aptos" w:cs="Arial"/>
          <w:i/>
          <w:iCs/>
        </w:rPr>
        <w:t>Major Group 3 – Technicians and Trades Workers</w:t>
      </w:r>
      <w:r w:rsidRPr="6FD0F7FE">
        <w:rPr>
          <w:rFonts w:ascii="Aptos" w:hAnsi="Aptos" w:cs="Arial"/>
        </w:rPr>
        <w:t xml:space="preserve"> or </w:t>
      </w:r>
      <w:r w:rsidRPr="0DA87928">
        <w:rPr>
          <w:rFonts w:ascii="Aptos" w:hAnsi="Aptos" w:cs="Arial"/>
          <w:i/>
          <w:iCs/>
        </w:rPr>
        <w:t>Major Group 4 – Community and Personal Service Workers</w:t>
      </w:r>
      <w:r w:rsidRPr="6FD0F7FE">
        <w:rPr>
          <w:rFonts w:ascii="Aptos" w:hAnsi="Aptos" w:cs="Arial"/>
        </w:rPr>
        <w:t>.</w:t>
      </w:r>
    </w:p>
    <w:p w14:paraId="39061C2D" w14:textId="2D13F4B0" w:rsidR="001A7D34" w:rsidRPr="00E03DEE" w:rsidRDefault="001A7D34" w:rsidP="001A7D34">
      <w:pPr>
        <w:spacing w:after="120"/>
        <w:rPr>
          <w:rFonts w:ascii="Aptos" w:hAnsi="Aptos"/>
        </w:rPr>
      </w:pPr>
      <w:r w:rsidRPr="2F1484CE">
        <w:rPr>
          <w:rFonts w:ascii="Aptos" w:hAnsi="Aptos"/>
        </w:rPr>
        <w:t>The Priority List is updated on 1 January</w:t>
      </w:r>
      <w:r>
        <w:rPr>
          <w:rFonts w:ascii="Aptos" w:hAnsi="Aptos"/>
        </w:rPr>
        <w:t xml:space="preserve"> each year</w:t>
      </w:r>
      <w:r w:rsidRPr="2F1484CE">
        <w:rPr>
          <w:rFonts w:ascii="Aptos" w:hAnsi="Aptos"/>
        </w:rPr>
        <w:t xml:space="preserve"> by </w:t>
      </w:r>
      <w:r>
        <w:rPr>
          <w:rFonts w:ascii="Aptos" w:hAnsi="Aptos"/>
        </w:rPr>
        <w:t>the Department of Employment and Workplace Relations (</w:t>
      </w:r>
      <w:r w:rsidRPr="2F1484CE">
        <w:rPr>
          <w:rFonts w:ascii="Aptos" w:hAnsi="Aptos"/>
        </w:rPr>
        <w:t>DEWR</w:t>
      </w:r>
      <w:r>
        <w:rPr>
          <w:rFonts w:ascii="Aptos" w:hAnsi="Aptos"/>
        </w:rPr>
        <w:t>)</w:t>
      </w:r>
      <w:r w:rsidRPr="2F1484CE">
        <w:rPr>
          <w:rFonts w:ascii="Aptos" w:hAnsi="Aptos"/>
        </w:rPr>
        <w:t xml:space="preserve">. Objectivity and a reliable evidence base are important factors in defining the methodology to ensure the Priority List </w:t>
      </w:r>
      <w:r>
        <w:rPr>
          <w:rFonts w:ascii="Aptos" w:hAnsi="Aptos"/>
        </w:rPr>
        <w:t xml:space="preserve">is not </w:t>
      </w:r>
      <w:r w:rsidRPr="18FD1338">
        <w:rPr>
          <w:rFonts w:ascii="Aptos" w:hAnsi="Aptos"/>
        </w:rPr>
        <w:t>predominantly influenced</w:t>
      </w:r>
      <w:r>
        <w:rPr>
          <w:rFonts w:ascii="Aptos" w:hAnsi="Aptos"/>
        </w:rPr>
        <w:t xml:space="preserve"> by </w:t>
      </w:r>
      <w:r w:rsidR="001E270A">
        <w:rPr>
          <w:rFonts w:ascii="Aptos" w:hAnsi="Aptos"/>
        </w:rPr>
        <w:t xml:space="preserve">stakeholder </w:t>
      </w:r>
      <w:r w:rsidRPr="683EE9D0">
        <w:rPr>
          <w:rFonts w:ascii="Aptos" w:hAnsi="Aptos"/>
        </w:rPr>
        <w:t>pressure</w:t>
      </w:r>
      <w:r w:rsidRPr="50EA1176">
        <w:rPr>
          <w:rFonts w:ascii="Aptos" w:hAnsi="Aptos"/>
        </w:rPr>
        <w:t>. </w:t>
      </w:r>
      <w:r>
        <w:rPr>
          <w:rFonts w:ascii="Aptos" w:hAnsi="Aptos"/>
        </w:rPr>
        <w:t xml:space="preserve">Only VET qualifications </w:t>
      </w:r>
      <w:r w:rsidR="00EC358C">
        <w:rPr>
          <w:rFonts w:ascii="Aptos" w:hAnsi="Aptos"/>
        </w:rPr>
        <w:t>(AQF</w:t>
      </w:r>
      <w:r w:rsidR="0097070B">
        <w:rPr>
          <w:rFonts w:ascii="Aptos" w:hAnsi="Aptos"/>
        </w:rPr>
        <w:t xml:space="preserve"> Level</w:t>
      </w:r>
      <w:r w:rsidR="00EC358C">
        <w:rPr>
          <w:rFonts w:ascii="Aptos" w:hAnsi="Aptos"/>
        </w:rPr>
        <w:t xml:space="preserve"> </w:t>
      </w:r>
      <w:r w:rsidR="00400FF9">
        <w:rPr>
          <w:rFonts w:ascii="Aptos" w:hAnsi="Aptos"/>
        </w:rPr>
        <w:t>6)</w:t>
      </w:r>
      <w:r w:rsidR="0097070B">
        <w:rPr>
          <w:rFonts w:ascii="Aptos" w:hAnsi="Aptos"/>
        </w:rPr>
        <w:t xml:space="preserve"> </w:t>
      </w:r>
      <w:r>
        <w:rPr>
          <w:rFonts w:ascii="Aptos" w:hAnsi="Aptos"/>
        </w:rPr>
        <w:t xml:space="preserve">are eligible to be included on the Priority List. </w:t>
      </w:r>
    </w:p>
    <w:p w14:paraId="3A73B55A" w14:textId="77777777" w:rsidR="001A7D34" w:rsidRPr="00E03DEE" w:rsidRDefault="001A7D34" w:rsidP="001A7D34">
      <w:pPr>
        <w:spacing w:after="120"/>
        <w:rPr>
          <w:rFonts w:ascii="Aptos" w:hAnsi="Aptos"/>
        </w:rPr>
      </w:pPr>
      <w:r w:rsidRPr="050A81EB">
        <w:rPr>
          <w:rFonts w:ascii="Aptos" w:hAnsi="Aptos"/>
        </w:rPr>
        <w:t>The current methodology for the Priority List identifies occupations that are: </w:t>
      </w:r>
    </w:p>
    <w:p w14:paraId="040110B8" w14:textId="6F6DE825" w:rsidR="001A7D34" w:rsidRPr="00E03DEE" w:rsidRDefault="001A7D34" w:rsidP="001A7D34">
      <w:pPr>
        <w:pStyle w:val="ListParagraph"/>
        <w:numPr>
          <w:ilvl w:val="0"/>
          <w:numId w:val="17"/>
        </w:numPr>
        <w:spacing w:after="0" w:line="276" w:lineRule="auto"/>
        <w:rPr>
          <w:rFonts w:ascii="Aptos" w:hAnsi="Aptos" w:cs="Arial"/>
        </w:rPr>
      </w:pPr>
      <w:r w:rsidRPr="00083836">
        <w:rPr>
          <w:rFonts w:ascii="Aptos" w:hAnsi="Aptos"/>
        </w:rPr>
        <w:t>classified</w:t>
      </w:r>
      <w:r w:rsidRPr="050A81EB">
        <w:rPr>
          <w:rFonts w:ascii="Aptos" w:hAnsi="Aptos" w:cs="Arial"/>
        </w:rPr>
        <w:t xml:space="preserve"> by the ABS as being in: </w:t>
      </w:r>
    </w:p>
    <w:p w14:paraId="37EB2036" w14:textId="77777777" w:rsidR="001A7D34" w:rsidRPr="00E03DEE" w:rsidRDefault="001A7D34" w:rsidP="001A7D34">
      <w:pPr>
        <w:pStyle w:val="ListNumber"/>
        <w:numPr>
          <w:ilvl w:val="2"/>
          <w:numId w:val="18"/>
        </w:numPr>
        <w:spacing w:line="240" w:lineRule="auto"/>
        <w:rPr>
          <w:rFonts w:ascii="Aptos" w:hAnsi="Aptos" w:cs="Arial"/>
        </w:rPr>
      </w:pPr>
      <w:r w:rsidRPr="050A81EB">
        <w:rPr>
          <w:rFonts w:ascii="Aptos" w:hAnsi="Aptos" w:cs="Arial"/>
        </w:rPr>
        <w:t xml:space="preserve">Major Group 3 - Trades and Technicians; or </w:t>
      </w:r>
    </w:p>
    <w:p w14:paraId="523F8864" w14:textId="3B3D8812" w:rsidR="001A7D34" w:rsidRPr="00E03DEE" w:rsidRDefault="001A7D34" w:rsidP="001A7D34">
      <w:pPr>
        <w:pStyle w:val="ListNumber"/>
        <w:numPr>
          <w:ilvl w:val="2"/>
          <w:numId w:val="18"/>
        </w:numPr>
        <w:spacing w:after="120" w:line="240" w:lineRule="auto"/>
        <w:rPr>
          <w:rFonts w:ascii="Aptos" w:hAnsi="Aptos" w:cs="Arial"/>
        </w:rPr>
      </w:pPr>
      <w:r w:rsidRPr="050A81EB">
        <w:rPr>
          <w:rFonts w:ascii="Aptos" w:hAnsi="Aptos" w:cs="Arial"/>
        </w:rPr>
        <w:t xml:space="preserve">Major Group 4 - Community and Personal </w:t>
      </w:r>
      <w:r w:rsidR="00E26B47">
        <w:rPr>
          <w:rFonts w:ascii="Aptos" w:hAnsi="Aptos" w:cs="Arial"/>
        </w:rPr>
        <w:t>Service</w:t>
      </w:r>
      <w:r w:rsidR="00E26B47" w:rsidRPr="050A81EB">
        <w:rPr>
          <w:rFonts w:ascii="Aptos" w:hAnsi="Aptos" w:cs="Arial"/>
        </w:rPr>
        <w:t xml:space="preserve"> </w:t>
      </w:r>
      <w:r w:rsidRPr="050A81EB">
        <w:rPr>
          <w:rFonts w:ascii="Aptos" w:hAnsi="Aptos" w:cs="Arial"/>
        </w:rPr>
        <w:t xml:space="preserve">Workers, </w:t>
      </w:r>
      <w:r w:rsidRPr="050A81EB">
        <w:rPr>
          <w:rFonts w:ascii="Aptos" w:hAnsi="Aptos" w:cs="Arial"/>
          <w:b/>
          <w:bCs/>
        </w:rPr>
        <w:t>and</w:t>
      </w:r>
    </w:p>
    <w:p w14:paraId="6A6036D2" w14:textId="533DA926" w:rsidR="001A7D34" w:rsidRPr="00465B9A" w:rsidRDefault="001A7D34" w:rsidP="001A7D34">
      <w:pPr>
        <w:pStyle w:val="ListParagraph"/>
        <w:numPr>
          <w:ilvl w:val="0"/>
          <w:numId w:val="17"/>
        </w:numPr>
        <w:spacing w:line="276" w:lineRule="auto"/>
        <w:rPr>
          <w:rFonts w:ascii="Aptos" w:hAnsi="Aptos" w:cs="Arial"/>
        </w:rPr>
      </w:pPr>
      <w:r w:rsidRPr="0019214E">
        <w:rPr>
          <w:rFonts w:ascii="Aptos" w:hAnsi="Aptos"/>
        </w:rPr>
        <w:t>assessed</w:t>
      </w:r>
      <w:r w:rsidRPr="0019214E">
        <w:rPr>
          <w:rFonts w:ascii="Aptos" w:hAnsi="Aptos" w:cs="Arial"/>
        </w:rPr>
        <w:t xml:space="preserve"> by JSA</w:t>
      </w:r>
      <w:r w:rsidR="00C316D1">
        <w:rPr>
          <w:rFonts w:ascii="Aptos" w:hAnsi="Aptos" w:cs="Arial"/>
        </w:rPr>
        <w:t xml:space="preserve"> </w:t>
      </w:r>
      <w:r w:rsidRPr="0019214E">
        <w:rPr>
          <w:rFonts w:ascii="Aptos" w:hAnsi="Aptos" w:cs="Arial"/>
        </w:rPr>
        <w:t>on the OSL as being in ‘national shortage’.</w:t>
      </w:r>
    </w:p>
    <w:p w14:paraId="082415F8" w14:textId="5EE4B5B1" w:rsidR="001A7D34" w:rsidRPr="00416059" w:rsidRDefault="001A7D34" w:rsidP="001A7D34">
      <w:pPr>
        <w:spacing w:after="120"/>
        <w:rPr>
          <w:rFonts w:ascii="Aptos" w:eastAsia="Calibri" w:hAnsi="Aptos" w:cs="Calibri"/>
          <w:color w:val="000000" w:themeColor="text1"/>
        </w:rPr>
      </w:pPr>
      <w:r w:rsidRPr="7F0794B5">
        <w:rPr>
          <w:rFonts w:ascii="Aptos" w:eastAsia="Calibri" w:hAnsi="Aptos" w:cs="Calibri"/>
          <w:color w:val="000000" w:themeColor="text1"/>
        </w:rPr>
        <w:t>Major Groups 3 and 4 are used because they largely contain occupations for which a</w:t>
      </w:r>
      <w:r>
        <w:rPr>
          <w:rFonts w:ascii="Aptos" w:eastAsia="Calibri" w:hAnsi="Aptos" w:cs="Calibri"/>
          <w:color w:val="000000" w:themeColor="text1"/>
        </w:rPr>
        <w:t xml:space="preserve">n </w:t>
      </w:r>
      <w:r w:rsidRPr="7F0794B5">
        <w:rPr>
          <w:rFonts w:ascii="Aptos" w:eastAsia="Calibri" w:hAnsi="Aptos" w:cs="Calibri"/>
          <w:color w:val="000000" w:themeColor="text1"/>
        </w:rPr>
        <w:t>apprenticeship pathway</w:t>
      </w:r>
      <w:r>
        <w:rPr>
          <w:rFonts w:ascii="Aptos" w:eastAsia="Calibri" w:hAnsi="Aptos" w:cs="Calibri"/>
          <w:color w:val="000000" w:themeColor="text1"/>
        </w:rPr>
        <w:t xml:space="preserve"> is a preferred mechanism for obtaining the relevant qualification to the occupational outcome</w:t>
      </w:r>
      <w:r w:rsidRPr="7F0794B5">
        <w:rPr>
          <w:rFonts w:ascii="Aptos" w:eastAsia="Calibri" w:hAnsi="Aptos" w:cs="Calibri"/>
          <w:color w:val="000000" w:themeColor="text1"/>
        </w:rPr>
        <w:t xml:space="preserve">. </w:t>
      </w:r>
      <w:r w:rsidR="00ED6045">
        <w:rPr>
          <w:rFonts w:ascii="Aptos" w:eastAsia="Calibri" w:hAnsi="Aptos" w:cs="Calibri"/>
          <w:color w:val="000000" w:themeColor="text1"/>
        </w:rPr>
        <w:t xml:space="preserve">A </w:t>
      </w:r>
      <w:r w:rsidRPr="7F0794B5">
        <w:rPr>
          <w:rFonts w:ascii="Aptos" w:eastAsia="Calibri" w:hAnsi="Aptos" w:cs="Calibri"/>
          <w:color w:val="000000" w:themeColor="text1"/>
        </w:rPr>
        <w:t>limitation of this methodology is that any apprenticeships which may exist outside of Major Groups 3 and 4 do not have access to incentives, even if their occupations may be in national shortage.</w:t>
      </w:r>
      <w:r>
        <w:rPr>
          <w:rFonts w:ascii="Aptos" w:eastAsia="Calibri" w:hAnsi="Aptos" w:cs="Calibri"/>
          <w:color w:val="000000" w:themeColor="text1"/>
        </w:rPr>
        <w:t xml:space="preserve"> </w:t>
      </w:r>
      <w:r>
        <w:rPr>
          <w:rFonts w:ascii="Aptos" w:hAnsi="Aptos"/>
        </w:rPr>
        <w:t xml:space="preserve">States and territories are also responsible for declaring an apprenticeship in the relevant occupation, including selecting the corresponding qualification. </w:t>
      </w:r>
    </w:p>
    <w:p w14:paraId="0061D2BB" w14:textId="267DA421" w:rsidR="00253091" w:rsidRDefault="001A7D34" w:rsidP="00253091">
      <w:pPr>
        <w:rPr>
          <w:b/>
          <w:sz w:val="40"/>
          <w:szCs w:val="40"/>
        </w:rPr>
      </w:pPr>
      <w:r w:rsidRPr="4149B8EB">
        <w:rPr>
          <w:rFonts w:ascii="Aptos" w:eastAsia="Calibri" w:hAnsi="Aptos" w:cs="Calibri"/>
          <w:color w:val="000000" w:themeColor="text1"/>
        </w:rPr>
        <w:t>Qualifications listed on the Priority List are updated at the end of each quarter (March, June, September) to identify and add any newly released qualifications. This ensures all qualifications included are</w:t>
      </w:r>
      <w:r w:rsidRPr="4149B8EB">
        <w:rPr>
          <w:rFonts w:ascii="Aptos" w:eastAsiaTheme="minorEastAsia" w:hAnsi="Aptos"/>
        </w:rPr>
        <w:t xml:space="preserve"> representative of skill and technological developments aligned to changing industry needs, and that no apprentice is disadvantaged while seeking to obtain support.</w:t>
      </w:r>
      <w:r w:rsidRPr="4149B8EB">
        <w:rPr>
          <w:rFonts w:ascii="Aptos" w:hAnsi="Aptos"/>
        </w:rPr>
        <w:t xml:space="preserve"> </w:t>
      </w:r>
      <w:r w:rsidR="00993229" w:rsidRPr="4149B8EB">
        <w:rPr>
          <w:rFonts w:ascii="Aptos" w:hAnsi="Aptos"/>
        </w:rPr>
        <w:t>Q</w:t>
      </w:r>
      <w:r w:rsidRPr="4149B8EB">
        <w:rPr>
          <w:rFonts w:ascii="Aptos" w:hAnsi="Aptos"/>
        </w:rPr>
        <w:t xml:space="preserve">ualifications or occupations are </w:t>
      </w:r>
      <w:r w:rsidR="00993229" w:rsidRPr="4149B8EB">
        <w:rPr>
          <w:rFonts w:ascii="Aptos" w:hAnsi="Aptos"/>
        </w:rPr>
        <w:t xml:space="preserve">only </w:t>
      </w:r>
      <w:r w:rsidRPr="4149B8EB">
        <w:rPr>
          <w:rFonts w:ascii="Aptos" w:hAnsi="Aptos"/>
        </w:rPr>
        <w:t xml:space="preserve">removed from the Priority List </w:t>
      </w:r>
      <w:proofErr w:type="gramStart"/>
      <w:r w:rsidR="00993229" w:rsidRPr="4149B8EB">
        <w:rPr>
          <w:rFonts w:ascii="Aptos" w:hAnsi="Aptos"/>
        </w:rPr>
        <w:t>at</w:t>
      </w:r>
      <w:proofErr w:type="gramEnd"/>
      <w:r w:rsidR="00993229" w:rsidRPr="4149B8EB">
        <w:rPr>
          <w:rFonts w:ascii="Aptos" w:hAnsi="Aptos"/>
        </w:rPr>
        <w:t xml:space="preserve"> 1 January each year</w:t>
      </w:r>
      <w:r w:rsidRPr="4149B8EB">
        <w:rPr>
          <w:rFonts w:ascii="Aptos" w:hAnsi="Aptos"/>
        </w:rPr>
        <w:t xml:space="preserve">. Training.gov.au is used to identify new qualifications. </w:t>
      </w:r>
      <w:bookmarkStart w:id="9" w:name="_Toc197523704"/>
      <w:bookmarkStart w:id="10" w:name="_Toc197589962"/>
    </w:p>
    <w:p w14:paraId="7B3739B8" w14:textId="3A58EBFB" w:rsidR="001A7D34" w:rsidRPr="002A0020" w:rsidRDefault="001A7D34" w:rsidP="002A0020">
      <w:pPr>
        <w:pStyle w:val="Heading1"/>
        <w:spacing w:before="200"/>
        <w:rPr>
          <w:sz w:val="40"/>
          <w:szCs w:val="40"/>
        </w:rPr>
      </w:pPr>
      <w:r w:rsidRPr="002A0020">
        <w:rPr>
          <w:sz w:val="40"/>
          <w:szCs w:val="40"/>
        </w:rPr>
        <w:t>Principles for developing the new Priority List</w:t>
      </w:r>
      <w:bookmarkEnd w:id="9"/>
      <w:bookmarkEnd w:id="10"/>
      <w:r w:rsidRPr="002A0020">
        <w:rPr>
          <w:sz w:val="40"/>
          <w:szCs w:val="40"/>
        </w:rPr>
        <w:t xml:space="preserve"> </w:t>
      </w:r>
    </w:p>
    <w:p w14:paraId="10AE4F18" w14:textId="09F9FF3D" w:rsidR="001A7D34" w:rsidRPr="00B84941" w:rsidRDefault="007A188C" w:rsidP="001A7D34">
      <w:pPr>
        <w:spacing w:after="120"/>
        <w:rPr>
          <w:rFonts w:ascii="Aptos" w:hAnsi="Aptos"/>
        </w:rPr>
      </w:pPr>
      <w:r w:rsidRPr="4149B8EB">
        <w:rPr>
          <w:rFonts w:ascii="Aptos" w:hAnsi="Aptos"/>
        </w:rPr>
        <w:t>The Strategic Review identified a</w:t>
      </w:r>
      <w:r w:rsidR="001A7D34" w:rsidRPr="4149B8EB">
        <w:rPr>
          <w:rFonts w:ascii="Aptos" w:hAnsi="Aptos"/>
        </w:rPr>
        <w:t xml:space="preserve"> new Priority List methodology could underpin </w:t>
      </w:r>
      <w:r w:rsidR="00D16A6A" w:rsidRPr="4149B8EB">
        <w:rPr>
          <w:rFonts w:ascii="Aptos" w:hAnsi="Aptos"/>
        </w:rPr>
        <w:t>eligi</w:t>
      </w:r>
      <w:r w:rsidR="00ED5BA4" w:rsidRPr="4149B8EB">
        <w:rPr>
          <w:rFonts w:ascii="Aptos" w:hAnsi="Aptos"/>
        </w:rPr>
        <w:t>bility for apprenticeship i</w:t>
      </w:r>
      <w:r w:rsidR="001A7D34" w:rsidRPr="4149B8EB">
        <w:rPr>
          <w:rFonts w:ascii="Aptos" w:hAnsi="Aptos"/>
        </w:rPr>
        <w:t>ncentive</w:t>
      </w:r>
      <w:r w:rsidR="00ED5BA4" w:rsidRPr="4149B8EB">
        <w:rPr>
          <w:rFonts w:ascii="Aptos" w:hAnsi="Aptos"/>
        </w:rPr>
        <w:t>s</w:t>
      </w:r>
      <w:r w:rsidR="001A7D34" w:rsidRPr="4149B8EB">
        <w:rPr>
          <w:rFonts w:ascii="Aptos" w:hAnsi="Aptos"/>
        </w:rPr>
        <w:t xml:space="preserve">. </w:t>
      </w:r>
      <w:r w:rsidR="4A1BD6B5" w:rsidRPr="4149B8EB">
        <w:rPr>
          <w:rFonts w:ascii="Aptos" w:hAnsi="Aptos"/>
        </w:rPr>
        <w:t xml:space="preserve">The Strategic Review recommended it </w:t>
      </w:r>
      <w:r w:rsidR="001A7D34" w:rsidRPr="4149B8EB">
        <w:rPr>
          <w:rFonts w:ascii="Aptos" w:hAnsi="Aptos"/>
        </w:rPr>
        <w:t xml:space="preserve">should seek to fiscally manage the Incentive System to balance investment towards current and emerging skills needs while also considering key </w:t>
      </w:r>
      <w:r w:rsidR="00927DA8" w:rsidRPr="4149B8EB">
        <w:rPr>
          <w:rFonts w:ascii="Aptos" w:hAnsi="Aptos"/>
        </w:rPr>
        <w:t>g</w:t>
      </w:r>
      <w:r w:rsidR="001A7D34" w:rsidRPr="4149B8EB">
        <w:rPr>
          <w:rFonts w:ascii="Aptos" w:hAnsi="Aptos"/>
        </w:rPr>
        <w:t>overnment economic and social priorities. Potential solutions involve a combination of principles and methodology, and ongoing responsibility.</w:t>
      </w:r>
    </w:p>
    <w:p w14:paraId="0A1CF9F4" w14:textId="51317D1C" w:rsidR="001A7D34" w:rsidRPr="00B84941" w:rsidRDefault="001A7D34" w:rsidP="001A7D34">
      <w:pPr>
        <w:spacing w:after="120"/>
        <w:rPr>
          <w:rFonts w:ascii="Aptos" w:hAnsi="Aptos"/>
        </w:rPr>
      </w:pPr>
      <w:r w:rsidRPr="00B84941">
        <w:rPr>
          <w:rFonts w:ascii="Aptos" w:hAnsi="Aptos"/>
        </w:rPr>
        <w:t>The following principles could be used as a guide in the development of the new methodology</w:t>
      </w:r>
      <w:r w:rsidR="0075457B">
        <w:rPr>
          <w:rFonts w:ascii="Aptos" w:hAnsi="Aptos"/>
        </w:rPr>
        <w:t xml:space="preserve">, </w:t>
      </w:r>
      <w:r w:rsidR="005E4904">
        <w:rPr>
          <w:rFonts w:ascii="Aptos" w:hAnsi="Aptos"/>
        </w:rPr>
        <w:t>aligned with the findings of the Strategic Review</w:t>
      </w:r>
      <w:r w:rsidR="00AF7F2C">
        <w:rPr>
          <w:rFonts w:ascii="Aptos" w:hAnsi="Aptos"/>
        </w:rPr>
        <w:t xml:space="preserve">. The </w:t>
      </w:r>
      <w:r w:rsidR="009E68FE">
        <w:rPr>
          <w:rFonts w:ascii="Aptos" w:hAnsi="Aptos"/>
        </w:rPr>
        <w:t>new Priority List</w:t>
      </w:r>
      <w:r w:rsidR="00AF7F2C">
        <w:rPr>
          <w:rFonts w:ascii="Aptos" w:hAnsi="Aptos"/>
        </w:rPr>
        <w:t xml:space="preserve"> should:</w:t>
      </w:r>
    </w:p>
    <w:p w14:paraId="14ADBBE4" w14:textId="4AACC9FD" w:rsidR="001A7D34" w:rsidRPr="00B84941" w:rsidRDefault="00AF7F2C" w:rsidP="001A7D34">
      <w:pPr>
        <w:pStyle w:val="ListParagraph"/>
        <w:numPr>
          <w:ilvl w:val="0"/>
          <w:numId w:val="16"/>
        </w:numPr>
        <w:spacing w:after="120" w:line="276" w:lineRule="auto"/>
        <w:contextualSpacing w:val="0"/>
        <w:rPr>
          <w:rFonts w:ascii="Aptos" w:hAnsi="Aptos"/>
        </w:rPr>
      </w:pPr>
      <w:r>
        <w:rPr>
          <w:rFonts w:ascii="Aptos" w:hAnsi="Aptos"/>
        </w:rPr>
        <w:t>B</w:t>
      </w:r>
      <w:r w:rsidR="001A7D34" w:rsidRPr="00B84941">
        <w:rPr>
          <w:rFonts w:ascii="Aptos" w:hAnsi="Aptos"/>
        </w:rPr>
        <w:t xml:space="preserve">e robust, objective, transparent and </w:t>
      </w:r>
      <w:proofErr w:type="gramStart"/>
      <w:r w:rsidR="001A7D34" w:rsidRPr="00B84941">
        <w:rPr>
          <w:rFonts w:ascii="Aptos" w:hAnsi="Aptos"/>
        </w:rPr>
        <w:t>evidence</w:t>
      </w:r>
      <w:r w:rsidR="00FF2ECA">
        <w:rPr>
          <w:rFonts w:ascii="Aptos" w:hAnsi="Aptos"/>
        </w:rPr>
        <w:t>-</w:t>
      </w:r>
      <w:r w:rsidR="001A7D34" w:rsidRPr="00B84941">
        <w:rPr>
          <w:rFonts w:ascii="Aptos" w:hAnsi="Aptos"/>
        </w:rPr>
        <w:t>based</w:t>
      </w:r>
      <w:proofErr w:type="gramEnd"/>
      <w:r w:rsidR="001A7D34" w:rsidRPr="00B84941">
        <w:rPr>
          <w:rFonts w:ascii="Aptos" w:hAnsi="Aptos"/>
        </w:rPr>
        <w:t>.</w:t>
      </w:r>
    </w:p>
    <w:p w14:paraId="680DE0C8" w14:textId="227C21B1" w:rsidR="001A7D34" w:rsidRPr="00B84941" w:rsidRDefault="00AF7F2C" w:rsidP="001A7D34">
      <w:pPr>
        <w:pStyle w:val="ListParagraph"/>
        <w:numPr>
          <w:ilvl w:val="0"/>
          <w:numId w:val="16"/>
        </w:numPr>
        <w:spacing w:after="120" w:line="276" w:lineRule="auto"/>
        <w:contextualSpacing w:val="0"/>
        <w:rPr>
          <w:rFonts w:ascii="Aptos" w:hAnsi="Aptos"/>
        </w:rPr>
      </w:pPr>
      <w:r>
        <w:rPr>
          <w:rFonts w:ascii="Aptos" w:hAnsi="Aptos"/>
        </w:rPr>
        <w:t>B</w:t>
      </w:r>
      <w:r w:rsidR="007D155F">
        <w:rPr>
          <w:rFonts w:ascii="Aptos" w:hAnsi="Aptos"/>
        </w:rPr>
        <w:t>e</w:t>
      </w:r>
      <w:r w:rsidR="007D155F" w:rsidRPr="00B84941">
        <w:rPr>
          <w:rFonts w:ascii="Aptos" w:hAnsi="Aptos"/>
        </w:rPr>
        <w:t xml:space="preserve"> </w:t>
      </w:r>
      <w:r w:rsidR="001A7D34" w:rsidRPr="00B84941">
        <w:rPr>
          <w:rFonts w:ascii="Aptos" w:hAnsi="Aptos"/>
        </w:rPr>
        <w:t>simple and easy to understand for system users.</w:t>
      </w:r>
    </w:p>
    <w:p w14:paraId="170FE457" w14:textId="77777777" w:rsidR="009521DD" w:rsidRDefault="00AF7F2C" w:rsidP="009521DD">
      <w:pPr>
        <w:pStyle w:val="ListParagraph"/>
        <w:numPr>
          <w:ilvl w:val="0"/>
          <w:numId w:val="16"/>
        </w:numPr>
        <w:spacing w:after="120" w:line="276" w:lineRule="auto"/>
        <w:contextualSpacing w:val="0"/>
        <w:rPr>
          <w:rFonts w:ascii="Aptos" w:hAnsi="Aptos"/>
        </w:rPr>
      </w:pPr>
      <w:r>
        <w:rPr>
          <w:rFonts w:ascii="Aptos" w:hAnsi="Aptos"/>
        </w:rPr>
        <w:t>B</w:t>
      </w:r>
      <w:r w:rsidR="00A111E5">
        <w:rPr>
          <w:rFonts w:ascii="Aptos" w:hAnsi="Aptos"/>
        </w:rPr>
        <w:t>e t</w:t>
      </w:r>
      <w:r w:rsidR="001A7D34" w:rsidRPr="00B84941">
        <w:rPr>
          <w:rFonts w:ascii="Aptos" w:hAnsi="Aptos"/>
        </w:rPr>
        <w:t xml:space="preserve">argeted at supporting critical sectors and national priorities, for example construction and housing, care and support, defence and manufacturing, and information and communications technology (ICT) occupations. </w:t>
      </w:r>
    </w:p>
    <w:p w14:paraId="6BF2E0B0" w14:textId="56C1777D" w:rsidR="001A7D34" w:rsidRPr="009521DD" w:rsidRDefault="0A912DF3" w:rsidP="009521DD">
      <w:pPr>
        <w:pStyle w:val="ListParagraph"/>
        <w:numPr>
          <w:ilvl w:val="0"/>
          <w:numId w:val="16"/>
        </w:numPr>
        <w:spacing w:after="120" w:line="276" w:lineRule="auto"/>
        <w:contextualSpacing w:val="0"/>
        <w:rPr>
          <w:rFonts w:ascii="Aptos" w:hAnsi="Aptos"/>
        </w:rPr>
      </w:pPr>
      <w:r w:rsidRPr="009521DD">
        <w:rPr>
          <w:rFonts w:ascii="Aptos" w:hAnsi="Aptos"/>
        </w:rPr>
        <w:t xml:space="preserve">Have the flexibility to </w:t>
      </w:r>
      <w:r w:rsidR="001A7D34" w:rsidRPr="009521DD">
        <w:rPr>
          <w:rFonts w:ascii="Aptos" w:hAnsi="Aptos"/>
        </w:rPr>
        <w:t>support</w:t>
      </w:r>
      <w:r w:rsidR="00B73EA9" w:rsidRPr="009521DD">
        <w:rPr>
          <w:rFonts w:ascii="Aptos" w:hAnsi="Aptos"/>
        </w:rPr>
        <w:t xml:space="preserve"> government’s key</w:t>
      </w:r>
      <w:r w:rsidR="001A7D34" w:rsidRPr="009521DD">
        <w:rPr>
          <w:rFonts w:ascii="Aptos" w:hAnsi="Aptos"/>
        </w:rPr>
        <w:t xml:space="preserve"> social objectives</w:t>
      </w:r>
      <w:r w:rsidR="000B3038" w:rsidRPr="009521DD">
        <w:rPr>
          <w:rFonts w:ascii="Aptos" w:hAnsi="Aptos"/>
        </w:rPr>
        <w:t>,</w:t>
      </w:r>
      <w:r w:rsidR="001A7D34" w:rsidRPr="009521DD">
        <w:rPr>
          <w:rFonts w:ascii="Aptos" w:hAnsi="Aptos"/>
        </w:rPr>
        <w:t xml:space="preserve"> including </w:t>
      </w:r>
      <w:r w:rsidR="00243217">
        <w:rPr>
          <w:rFonts w:ascii="Aptos" w:hAnsi="Aptos"/>
        </w:rPr>
        <w:t xml:space="preserve">the National Agreement on </w:t>
      </w:r>
      <w:r w:rsidR="001A7D34" w:rsidRPr="009521DD">
        <w:rPr>
          <w:rFonts w:ascii="Aptos" w:hAnsi="Aptos"/>
        </w:rPr>
        <w:t>Closing the Gap</w:t>
      </w:r>
      <w:r w:rsidR="009D506A">
        <w:rPr>
          <w:rFonts w:ascii="Aptos" w:hAnsi="Aptos"/>
        </w:rPr>
        <w:t>,</w:t>
      </w:r>
      <w:r w:rsidR="001A7D34" w:rsidRPr="009521DD">
        <w:rPr>
          <w:rFonts w:ascii="Aptos" w:hAnsi="Aptos"/>
        </w:rPr>
        <w:t xml:space="preserve"> gender equality</w:t>
      </w:r>
      <w:r w:rsidR="009D506A">
        <w:rPr>
          <w:rFonts w:ascii="Aptos" w:hAnsi="Aptos"/>
        </w:rPr>
        <w:t xml:space="preserve"> and outcomes under Australia’s Disability Strategy</w:t>
      </w:r>
      <w:r w:rsidR="00B73EA9" w:rsidRPr="009521DD">
        <w:rPr>
          <w:rFonts w:ascii="Aptos" w:hAnsi="Aptos"/>
        </w:rPr>
        <w:t>.</w:t>
      </w:r>
      <w:r w:rsidR="00B635DC">
        <w:rPr>
          <w:rFonts w:ascii="Aptos" w:hAnsi="Aptos"/>
        </w:rPr>
        <w:t xml:space="preserve"> </w:t>
      </w:r>
      <w:r w:rsidR="00B635DC" w:rsidRPr="2677CF70">
        <w:rPr>
          <w:rFonts w:ascii="Aptos" w:hAnsi="Aptos"/>
        </w:rPr>
        <w:t xml:space="preserve">This could be informed by analysis of employment outcomes for these groups across the skills system. </w:t>
      </w:r>
    </w:p>
    <w:p w14:paraId="5FA2A2EB" w14:textId="572C3680" w:rsidR="001A7D34" w:rsidRPr="00B84941" w:rsidRDefault="009E68FE" w:rsidP="001A7D34">
      <w:pPr>
        <w:pStyle w:val="ListParagraph"/>
        <w:numPr>
          <w:ilvl w:val="0"/>
          <w:numId w:val="15"/>
        </w:numPr>
        <w:spacing w:after="120" w:line="276" w:lineRule="auto"/>
        <w:contextualSpacing w:val="0"/>
        <w:rPr>
          <w:rFonts w:ascii="Aptos" w:hAnsi="Aptos"/>
        </w:rPr>
      </w:pPr>
      <w:bookmarkStart w:id="11" w:name="_Hlk201311333"/>
      <w:r>
        <w:rPr>
          <w:rFonts w:ascii="Aptos" w:hAnsi="Aptos"/>
        </w:rPr>
        <w:t>E</w:t>
      </w:r>
      <w:r w:rsidR="00E25522">
        <w:rPr>
          <w:rFonts w:ascii="Aptos" w:hAnsi="Aptos"/>
        </w:rPr>
        <w:t>nable o</w:t>
      </w:r>
      <w:r w:rsidR="001A7D34" w:rsidRPr="00B84941">
        <w:rPr>
          <w:rFonts w:ascii="Aptos" w:hAnsi="Aptos"/>
        </w:rPr>
        <w:t>pportunities to support specific priorities or needs of individual states and territories, and in regional areas. This could be informed by analysis of local labour market conditions and how apprenticeship use differs in each jurisdiction</w:t>
      </w:r>
      <w:r w:rsidR="008366CF">
        <w:rPr>
          <w:rFonts w:ascii="Aptos" w:hAnsi="Aptos"/>
        </w:rPr>
        <w:t>.</w:t>
      </w:r>
    </w:p>
    <w:bookmarkEnd w:id="11"/>
    <w:p w14:paraId="7D50E942" w14:textId="1836159F" w:rsidR="001A7D34" w:rsidRPr="00B84941" w:rsidRDefault="001A7D34" w:rsidP="001A7D34">
      <w:pPr>
        <w:pStyle w:val="ListParagraph"/>
        <w:numPr>
          <w:ilvl w:val="0"/>
          <w:numId w:val="16"/>
        </w:numPr>
        <w:spacing w:after="120" w:line="276" w:lineRule="auto"/>
        <w:contextualSpacing w:val="0"/>
        <w:rPr>
          <w:rFonts w:ascii="Aptos" w:hAnsi="Aptos"/>
        </w:rPr>
      </w:pPr>
      <w:r w:rsidRPr="00B84941">
        <w:rPr>
          <w:rFonts w:ascii="Aptos" w:hAnsi="Aptos"/>
        </w:rPr>
        <w:t>Consider other economic factors beyond skills shortage ratings such as wage premiums and the macro-economic conditions which have been found to influence behaviour</w:t>
      </w:r>
      <w:r w:rsidR="00E31A48">
        <w:rPr>
          <w:rFonts w:ascii="Aptos" w:hAnsi="Aptos"/>
        </w:rPr>
        <w:t xml:space="preserve"> (see below)</w:t>
      </w:r>
      <w:r w:rsidRPr="00B84941">
        <w:rPr>
          <w:rFonts w:ascii="Aptos" w:hAnsi="Aptos"/>
        </w:rPr>
        <w:t xml:space="preserve">. </w:t>
      </w:r>
    </w:p>
    <w:p w14:paraId="24118BA7" w14:textId="40114021" w:rsidR="001A7D34" w:rsidRPr="00B84941" w:rsidRDefault="0D3812E0">
      <w:pPr>
        <w:pStyle w:val="ListParagraph"/>
        <w:numPr>
          <w:ilvl w:val="0"/>
          <w:numId w:val="15"/>
        </w:numPr>
        <w:spacing w:after="120" w:line="276" w:lineRule="auto"/>
        <w:rPr>
          <w:rFonts w:ascii="Aptos" w:hAnsi="Aptos"/>
        </w:rPr>
      </w:pPr>
      <w:r w:rsidRPr="018393F8">
        <w:rPr>
          <w:rFonts w:ascii="Aptos" w:hAnsi="Aptos"/>
        </w:rPr>
        <w:t xml:space="preserve">Be more nuanced in selecting occupations from </w:t>
      </w:r>
      <w:r w:rsidR="001A7D34" w:rsidRPr="018393F8">
        <w:rPr>
          <w:rFonts w:ascii="Aptos" w:hAnsi="Aptos"/>
        </w:rPr>
        <w:t>Major Groups 3 and 4</w:t>
      </w:r>
      <w:r w:rsidR="582138A8" w:rsidRPr="018393F8">
        <w:rPr>
          <w:rFonts w:ascii="Aptos" w:hAnsi="Aptos"/>
        </w:rPr>
        <w:t xml:space="preserve">, </w:t>
      </w:r>
      <w:r w:rsidR="71DE7B5C" w:rsidRPr="018393F8">
        <w:rPr>
          <w:rFonts w:ascii="Aptos" w:hAnsi="Aptos"/>
        </w:rPr>
        <w:t xml:space="preserve">consider occupations from other Major Groups </w:t>
      </w:r>
      <w:r w:rsidR="001A7D34" w:rsidRPr="018393F8">
        <w:rPr>
          <w:rFonts w:ascii="Aptos" w:hAnsi="Aptos"/>
        </w:rPr>
        <w:t>that are in shortage and have a mandatory or preferred apprenticeship pathway</w:t>
      </w:r>
      <w:r w:rsidR="314238E6" w:rsidRPr="018393F8">
        <w:rPr>
          <w:rFonts w:ascii="Aptos" w:hAnsi="Aptos"/>
        </w:rPr>
        <w:t>,</w:t>
      </w:r>
      <w:r w:rsidR="001A7D34" w:rsidRPr="018393F8">
        <w:rPr>
          <w:rFonts w:ascii="Aptos" w:hAnsi="Aptos"/>
        </w:rPr>
        <w:t xml:space="preserve"> and </w:t>
      </w:r>
      <w:r w:rsidR="6BB11673" w:rsidRPr="018393F8">
        <w:rPr>
          <w:rFonts w:ascii="Aptos" w:hAnsi="Aptos"/>
        </w:rPr>
        <w:t xml:space="preserve">consider </w:t>
      </w:r>
      <w:r w:rsidR="001A7D34" w:rsidRPr="018393F8">
        <w:rPr>
          <w:rFonts w:ascii="Aptos" w:hAnsi="Aptos"/>
        </w:rPr>
        <w:t>occupations</w:t>
      </w:r>
      <w:r w:rsidR="00896406">
        <w:rPr>
          <w:rFonts w:ascii="Aptos" w:hAnsi="Aptos"/>
        </w:rPr>
        <w:t xml:space="preserve"> with specific qualification or licensing requirements or</w:t>
      </w:r>
      <w:r w:rsidR="001A7D34" w:rsidRPr="018393F8">
        <w:rPr>
          <w:rFonts w:ascii="Aptos" w:hAnsi="Aptos"/>
        </w:rPr>
        <w:t xml:space="preserve"> relevant to emerging apprenticeship models (such as </w:t>
      </w:r>
      <w:r w:rsidR="01F3A4C1" w:rsidRPr="018393F8">
        <w:rPr>
          <w:rFonts w:ascii="Aptos" w:hAnsi="Aptos"/>
        </w:rPr>
        <w:t>Higher</w:t>
      </w:r>
      <w:r w:rsidR="001A7D34" w:rsidRPr="018393F8">
        <w:rPr>
          <w:rFonts w:ascii="Aptos" w:hAnsi="Aptos"/>
        </w:rPr>
        <w:t xml:space="preserve"> </w:t>
      </w:r>
      <w:r w:rsidR="3BBB8A92" w:rsidRPr="018393F8">
        <w:rPr>
          <w:rFonts w:ascii="Aptos" w:hAnsi="Aptos"/>
        </w:rPr>
        <w:t>A</w:t>
      </w:r>
      <w:r w:rsidR="001A7D34" w:rsidRPr="018393F8">
        <w:rPr>
          <w:rFonts w:ascii="Aptos" w:hAnsi="Aptos"/>
        </w:rPr>
        <w:t>pprenticeships).</w:t>
      </w:r>
    </w:p>
    <w:p w14:paraId="5027571D" w14:textId="7544478F" w:rsidR="001A7D34" w:rsidRPr="00225365" w:rsidRDefault="001A7D34" w:rsidP="001A7D34">
      <w:pPr>
        <w:keepNext/>
        <w:keepLines/>
        <w:spacing w:before="240" w:after="0"/>
        <w:outlineLvl w:val="1"/>
        <w:rPr>
          <w:rFonts w:eastAsia="Yu Gothic Light" w:cs="Times New Roman"/>
          <w:b/>
          <w:color w:val="404246"/>
          <w:sz w:val="36"/>
          <w:szCs w:val="36"/>
        </w:rPr>
      </w:pPr>
      <w:bookmarkStart w:id="12" w:name="_Toc197523705"/>
      <w:bookmarkStart w:id="13" w:name="_Toc197589963"/>
      <w:r w:rsidRPr="00225365">
        <w:rPr>
          <w:rFonts w:eastAsia="Yu Gothic Light" w:cs="Times New Roman"/>
          <w:b/>
          <w:color w:val="404246"/>
          <w:sz w:val="36"/>
          <w:szCs w:val="36"/>
        </w:rPr>
        <w:t xml:space="preserve">Aligning </w:t>
      </w:r>
      <w:r w:rsidR="00001EFB">
        <w:rPr>
          <w:rFonts w:eastAsia="Yu Gothic Light" w:cs="Times New Roman"/>
          <w:b/>
          <w:color w:val="404246"/>
          <w:sz w:val="36"/>
          <w:szCs w:val="36"/>
        </w:rPr>
        <w:t xml:space="preserve">the Priority List </w:t>
      </w:r>
      <w:r w:rsidRPr="00225365">
        <w:rPr>
          <w:rFonts w:eastAsia="Yu Gothic Light" w:cs="Times New Roman"/>
          <w:b/>
          <w:color w:val="404246"/>
          <w:sz w:val="36"/>
          <w:szCs w:val="36"/>
        </w:rPr>
        <w:t>with the Government’s agenda</w:t>
      </w:r>
      <w:bookmarkEnd w:id="12"/>
      <w:bookmarkEnd w:id="13"/>
    </w:p>
    <w:p w14:paraId="1045DE63" w14:textId="6257CE72" w:rsidR="001A7D34" w:rsidRPr="00194375" w:rsidRDefault="00962374" w:rsidP="001A7D34">
      <w:pPr>
        <w:spacing w:after="120"/>
        <w:rPr>
          <w:rFonts w:ascii="Aptos" w:hAnsi="Aptos"/>
        </w:rPr>
      </w:pPr>
      <w:r>
        <w:rPr>
          <w:rFonts w:ascii="Aptos" w:hAnsi="Aptos"/>
        </w:rPr>
        <w:t>A</w:t>
      </w:r>
      <w:r w:rsidR="001A7D34" w:rsidRPr="00194375">
        <w:rPr>
          <w:rFonts w:ascii="Aptos" w:hAnsi="Aptos"/>
        </w:rPr>
        <w:t>s identified in the Strategic Review (Recommendation 2.1)</w:t>
      </w:r>
      <w:r>
        <w:rPr>
          <w:rFonts w:ascii="Aptos" w:hAnsi="Aptos"/>
        </w:rPr>
        <w:t>, priorities that align with the government’s age</w:t>
      </w:r>
      <w:r w:rsidR="00B055B7">
        <w:rPr>
          <w:rFonts w:ascii="Aptos" w:hAnsi="Aptos"/>
        </w:rPr>
        <w:t>n</w:t>
      </w:r>
      <w:r>
        <w:rPr>
          <w:rFonts w:ascii="Aptos" w:hAnsi="Aptos"/>
        </w:rPr>
        <w:t>da</w:t>
      </w:r>
      <w:r w:rsidR="001A7D34" w:rsidRPr="00194375">
        <w:rPr>
          <w:rFonts w:ascii="Aptos" w:hAnsi="Aptos"/>
        </w:rPr>
        <w:t xml:space="preserve"> might include, among other things, </w:t>
      </w:r>
      <w:r w:rsidR="007F06A9">
        <w:rPr>
          <w:rFonts w:ascii="Aptos" w:hAnsi="Aptos"/>
        </w:rPr>
        <w:t xml:space="preserve">those identified in </w:t>
      </w:r>
      <w:r w:rsidR="001A7D34" w:rsidRPr="00194375">
        <w:rPr>
          <w:rFonts w:ascii="Aptos" w:hAnsi="Aptos"/>
        </w:rPr>
        <w:t>the Defence Strategic Review, Data and Digital Government Strategy and the Future Made in Australia agenda, Working for Women: A Strategy for Gender Equality, the National Agreement on Closing the Gap,</w:t>
      </w:r>
      <w:r w:rsidR="006F79CA">
        <w:rPr>
          <w:rFonts w:ascii="Aptos" w:hAnsi="Aptos"/>
        </w:rPr>
        <w:t xml:space="preserve"> the First Nations Clean Energy Strategy,</w:t>
      </w:r>
      <w:r w:rsidR="001A7D34" w:rsidRPr="00194375">
        <w:rPr>
          <w:rFonts w:ascii="Aptos" w:hAnsi="Aptos"/>
        </w:rPr>
        <w:t xml:space="preserve"> Australia’s Disability Strategy 2021-2031, </w:t>
      </w:r>
      <w:r w:rsidR="001C0F05" w:rsidRPr="001C0F05">
        <w:rPr>
          <w:rFonts w:ascii="Aptos" w:hAnsi="Aptos"/>
        </w:rPr>
        <w:t>Care and Support Economy National Strateg</w:t>
      </w:r>
      <w:r w:rsidR="001C0F05">
        <w:rPr>
          <w:rFonts w:ascii="Aptos" w:hAnsi="Aptos"/>
        </w:rPr>
        <w:t xml:space="preserve">y, </w:t>
      </w:r>
      <w:r w:rsidR="001A7D34" w:rsidRPr="00194375">
        <w:rPr>
          <w:rFonts w:ascii="Aptos" w:hAnsi="Aptos"/>
        </w:rPr>
        <w:t xml:space="preserve">and aged care reforms. </w:t>
      </w:r>
      <w:r w:rsidR="008706A2">
        <w:rPr>
          <w:rFonts w:ascii="Aptos" w:hAnsi="Aptos"/>
        </w:rPr>
        <w:t xml:space="preserve">The government has also </w:t>
      </w:r>
      <w:r w:rsidR="00C661FB">
        <w:rPr>
          <w:rFonts w:ascii="Aptos" w:hAnsi="Aptos"/>
        </w:rPr>
        <w:t xml:space="preserve">committed to a </w:t>
      </w:r>
      <w:r w:rsidR="00C661FB" w:rsidRPr="00C661FB">
        <w:rPr>
          <w:rFonts w:ascii="Aptos" w:hAnsi="Aptos"/>
        </w:rPr>
        <w:t>Food Security Strategy to improve workforce shortages in the food supply chain</w:t>
      </w:r>
      <w:r w:rsidR="001B28CB">
        <w:rPr>
          <w:rFonts w:ascii="Aptos" w:hAnsi="Aptos"/>
        </w:rPr>
        <w:t>.</w:t>
      </w:r>
    </w:p>
    <w:p w14:paraId="3CC8CA2E" w14:textId="63C5D6EF" w:rsidR="00B81B60" w:rsidRDefault="00567BEF" w:rsidP="001A7D34">
      <w:pPr>
        <w:spacing w:after="120"/>
        <w:rPr>
          <w:rFonts w:ascii="Aptos" w:hAnsi="Aptos"/>
        </w:rPr>
      </w:pPr>
      <w:r>
        <w:rPr>
          <w:rFonts w:ascii="Aptos" w:hAnsi="Aptos"/>
        </w:rPr>
        <w:t xml:space="preserve">Other </w:t>
      </w:r>
      <w:r w:rsidR="004C75E6">
        <w:rPr>
          <w:rFonts w:ascii="Aptos" w:hAnsi="Aptos"/>
        </w:rPr>
        <w:t>options could be considered to help guide the Priority List methodology</w:t>
      </w:r>
      <w:r w:rsidR="00917F5F">
        <w:rPr>
          <w:rFonts w:ascii="Aptos" w:hAnsi="Aptos"/>
        </w:rPr>
        <w:t xml:space="preserve"> in a way that is more enduring beyond potential changes in government</w:t>
      </w:r>
      <w:r w:rsidR="004C75E6">
        <w:rPr>
          <w:rFonts w:ascii="Aptos" w:hAnsi="Aptos"/>
        </w:rPr>
        <w:t xml:space="preserve">, </w:t>
      </w:r>
      <w:r w:rsidR="00233471">
        <w:rPr>
          <w:rFonts w:ascii="Aptos" w:hAnsi="Aptos"/>
        </w:rPr>
        <w:t xml:space="preserve">such as those outlined in </w:t>
      </w:r>
      <w:r w:rsidR="00F664DB">
        <w:rPr>
          <w:rFonts w:ascii="Aptos" w:hAnsi="Aptos"/>
        </w:rPr>
        <w:t>t</w:t>
      </w:r>
      <w:r w:rsidR="00233471">
        <w:rPr>
          <w:rFonts w:ascii="Aptos" w:hAnsi="Aptos"/>
        </w:rPr>
        <w:t xml:space="preserve">he National Skills Agreement (NSA) and </w:t>
      </w:r>
      <w:r w:rsidR="00233471" w:rsidRPr="002C1CF8">
        <w:rPr>
          <w:rFonts w:ascii="Aptos" w:hAnsi="Aptos"/>
        </w:rPr>
        <w:t>Working Future: The Australian Government’s White Paper on Jobs and Opportunities</w:t>
      </w:r>
      <w:r w:rsidR="00233471">
        <w:rPr>
          <w:rFonts w:ascii="Aptos" w:hAnsi="Aptos"/>
        </w:rPr>
        <w:t xml:space="preserve"> (Employment White Paper).</w:t>
      </w:r>
      <w:r w:rsidR="0044449D" w:rsidRPr="0044449D">
        <w:t xml:space="preserve"> </w:t>
      </w:r>
      <w:r w:rsidR="0044449D" w:rsidRPr="0044449D">
        <w:rPr>
          <w:rFonts w:ascii="Aptos" w:hAnsi="Aptos"/>
        </w:rPr>
        <w:t xml:space="preserve">While the </w:t>
      </w:r>
      <w:r w:rsidR="0044449D">
        <w:rPr>
          <w:rFonts w:ascii="Aptos" w:hAnsi="Aptos"/>
        </w:rPr>
        <w:t>NSA</w:t>
      </w:r>
      <w:r w:rsidR="0044449D" w:rsidRPr="0044449D">
        <w:rPr>
          <w:rFonts w:ascii="Aptos" w:hAnsi="Aptos"/>
        </w:rPr>
        <w:t xml:space="preserve"> and Employment White Paper provide a tangible and objective view of</w:t>
      </w:r>
      <w:r w:rsidR="0044449D">
        <w:rPr>
          <w:rFonts w:ascii="Aptos" w:hAnsi="Aptos"/>
        </w:rPr>
        <w:t xml:space="preserve"> Australian</w:t>
      </w:r>
      <w:r w:rsidR="0044449D" w:rsidRPr="0044449D">
        <w:rPr>
          <w:rFonts w:ascii="Aptos" w:hAnsi="Aptos"/>
        </w:rPr>
        <w:t xml:space="preserve"> Government priorities, these each represent the point-in-time of their drafting.</w:t>
      </w:r>
    </w:p>
    <w:p w14:paraId="62C85C80" w14:textId="77777777" w:rsidR="001A7D34" w:rsidRPr="001719C5" w:rsidRDefault="001A7D34" w:rsidP="001A7D34">
      <w:pPr>
        <w:pStyle w:val="Heading3"/>
        <w:rPr>
          <w:rFonts w:eastAsia="Yu Gothic Light" w:cs="Times New Roman"/>
          <w:color w:val="62165C"/>
          <w:sz w:val="30"/>
          <w:szCs w:val="30"/>
        </w:rPr>
      </w:pPr>
      <w:bookmarkStart w:id="14" w:name="_Toc197523706"/>
      <w:bookmarkStart w:id="15" w:name="_Toc197589964"/>
      <w:r w:rsidRPr="001719C5">
        <w:rPr>
          <w:rFonts w:eastAsia="Yu Gothic Light" w:cs="Times New Roman"/>
          <w:color w:val="62165C"/>
          <w:sz w:val="30"/>
          <w:szCs w:val="30"/>
        </w:rPr>
        <w:t>The National Skills Agreement</w:t>
      </w:r>
      <w:bookmarkEnd w:id="14"/>
      <w:bookmarkEnd w:id="15"/>
    </w:p>
    <w:p w14:paraId="3B9192D6" w14:textId="01F84B52" w:rsidR="001A7D34" w:rsidRPr="00225D60" w:rsidRDefault="00836C54" w:rsidP="001A7D34">
      <w:pPr>
        <w:spacing w:after="120"/>
        <w:rPr>
          <w:rFonts w:ascii="Aptos" w:hAnsi="Aptos"/>
        </w:rPr>
      </w:pPr>
      <w:r>
        <w:rPr>
          <w:rFonts w:ascii="Aptos" w:hAnsi="Aptos"/>
        </w:rPr>
        <w:t>Using the NSA as guidance would</w:t>
      </w:r>
      <w:r w:rsidR="001A7D34" w:rsidRPr="00225D60">
        <w:rPr>
          <w:rFonts w:ascii="Aptos" w:hAnsi="Aptos"/>
        </w:rPr>
        <w:t xml:space="preserve"> </w:t>
      </w:r>
      <w:r>
        <w:rPr>
          <w:rFonts w:ascii="Aptos" w:hAnsi="Aptos"/>
        </w:rPr>
        <w:t xml:space="preserve">prioritise </w:t>
      </w:r>
      <w:r w:rsidR="001A7D34" w:rsidRPr="00225D60">
        <w:rPr>
          <w:rFonts w:ascii="Aptos" w:hAnsi="Aptos"/>
        </w:rPr>
        <w:t>occupations that align with gender equality</w:t>
      </w:r>
      <w:r w:rsidR="001A7D34" w:rsidRPr="00C46E94">
        <w:rPr>
          <w:rFonts w:ascii="Aptos" w:hAnsi="Aptos"/>
        </w:rPr>
        <w:t xml:space="preserve"> and</w:t>
      </w:r>
      <w:r w:rsidR="001A7D34" w:rsidRPr="00225D60">
        <w:rPr>
          <w:rFonts w:ascii="Aptos" w:hAnsi="Aptos"/>
        </w:rPr>
        <w:t xml:space="preserve"> Closing the Gap</w:t>
      </w:r>
      <w:r w:rsidR="001A7D34" w:rsidRPr="00C46E94">
        <w:rPr>
          <w:rFonts w:ascii="Aptos" w:hAnsi="Aptos"/>
        </w:rPr>
        <w:t xml:space="preserve"> initiatives</w:t>
      </w:r>
      <w:r w:rsidR="001A7D34" w:rsidRPr="00225D60">
        <w:rPr>
          <w:rFonts w:ascii="Aptos" w:hAnsi="Aptos"/>
        </w:rPr>
        <w:t>,</w:t>
      </w:r>
      <w:r w:rsidR="00921BB8">
        <w:rPr>
          <w:rFonts w:ascii="Aptos" w:hAnsi="Aptos"/>
        </w:rPr>
        <w:t xml:space="preserve"> a</w:t>
      </w:r>
      <w:r w:rsidR="00500F7B">
        <w:rPr>
          <w:rFonts w:ascii="Aptos" w:hAnsi="Aptos"/>
        </w:rPr>
        <w:t>s well as</w:t>
      </w:r>
      <w:r w:rsidR="001A7D34" w:rsidRPr="00C46E94">
        <w:rPr>
          <w:rFonts w:ascii="Aptos" w:hAnsi="Aptos"/>
        </w:rPr>
        <w:t xml:space="preserve"> those that deliver </w:t>
      </w:r>
      <w:r w:rsidR="001A7D34" w:rsidRPr="00225D60">
        <w:rPr>
          <w:rFonts w:ascii="Aptos" w:hAnsi="Aptos"/>
        </w:rPr>
        <w:t xml:space="preserve">housing supply, </w:t>
      </w:r>
      <w:r w:rsidR="001A7D34" w:rsidRPr="00C46E94">
        <w:rPr>
          <w:rFonts w:ascii="Aptos" w:hAnsi="Aptos"/>
        </w:rPr>
        <w:t>sustain</w:t>
      </w:r>
      <w:r w:rsidR="001A7D34" w:rsidRPr="00225D60">
        <w:rPr>
          <w:rFonts w:ascii="Aptos" w:hAnsi="Aptos"/>
        </w:rPr>
        <w:t xml:space="preserve"> essential care services, </w:t>
      </w:r>
      <w:r w:rsidR="001A7D34" w:rsidRPr="00C46E94">
        <w:rPr>
          <w:rFonts w:ascii="Aptos" w:hAnsi="Aptos"/>
        </w:rPr>
        <w:t>support</w:t>
      </w:r>
      <w:r w:rsidR="001A7D34" w:rsidRPr="00225D60">
        <w:rPr>
          <w:rFonts w:ascii="Aptos" w:hAnsi="Aptos"/>
        </w:rPr>
        <w:t xml:space="preserve"> the Net Zero transformation, </w:t>
      </w:r>
      <w:r w:rsidR="00BB6677">
        <w:rPr>
          <w:rFonts w:ascii="Aptos" w:hAnsi="Aptos"/>
        </w:rPr>
        <w:t xml:space="preserve">developing </w:t>
      </w:r>
      <w:r w:rsidR="00572AD7">
        <w:rPr>
          <w:rFonts w:ascii="Aptos" w:hAnsi="Aptos"/>
        </w:rPr>
        <w:t xml:space="preserve">Australia’s </w:t>
      </w:r>
      <w:r w:rsidR="006E3978">
        <w:rPr>
          <w:rFonts w:ascii="Aptos" w:hAnsi="Aptos"/>
        </w:rPr>
        <w:t>sovereign</w:t>
      </w:r>
      <w:r w:rsidR="00572AD7">
        <w:rPr>
          <w:rFonts w:ascii="Aptos" w:hAnsi="Aptos"/>
        </w:rPr>
        <w:t xml:space="preserve"> capability and food </w:t>
      </w:r>
      <w:r w:rsidR="006E3978">
        <w:rPr>
          <w:rFonts w:ascii="Aptos" w:hAnsi="Aptos"/>
        </w:rPr>
        <w:t xml:space="preserve">security, </w:t>
      </w:r>
      <w:r w:rsidR="001A7D34" w:rsidRPr="00225D60">
        <w:rPr>
          <w:rFonts w:ascii="Aptos" w:hAnsi="Aptos"/>
        </w:rPr>
        <w:t xml:space="preserve">and </w:t>
      </w:r>
      <w:r w:rsidR="001A7D34" w:rsidRPr="00C46E94">
        <w:rPr>
          <w:rFonts w:ascii="Aptos" w:hAnsi="Aptos"/>
        </w:rPr>
        <w:t>ensure</w:t>
      </w:r>
      <w:r w:rsidR="001A7D34" w:rsidRPr="00225D60">
        <w:rPr>
          <w:rFonts w:ascii="Aptos" w:hAnsi="Aptos"/>
        </w:rPr>
        <w:t xml:space="preserve"> Australia’s digital and technology capability.</w:t>
      </w:r>
      <w:r w:rsidR="001A7D34" w:rsidRPr="00C46E94">
        <w:rPr>
          <w:rFonts w:ascii="Arial" w:hAnsi="Arial" w:cs="Arial"/>
          <w:lang w:val="en-US"/>
        </w:rPr>
        <w:t>​</w:t>
      </w:r>
      <w:r w:rsidR="001A7D34" w:rsidRPr="00225D60">
        <w:rPr>
          <w:rFonts w:ascii="Aptos" w:hAnsi="Aptos" w:cs="Arial"/>
          <w:lang w:val="en-US"/>
        </w:rPr>
        <w:t xml:space="preserve"> </w:t>
      </w:r>
    </w:p>
    <w:p w14:paraId="5ABAEAA4" w14:textId="1536EFF2" w:rsidR="001A7D34" w:rsidRPr="00225D60" w:rsidRDefault="001A7D34" w:rsidP="001A7D34">
      <w:pPr>
        <w:rPr>
          <w:rFonts w:ascii="Aptos" w:hAnsi="Aptos"/>
        </w:rPr>
      </w:pPr>
      <w:r w:rsidRPr="4149B8EB">
        <w:rPr>
          <w:rFonts w:ascii="Aptos" w:hAnsi="Aptos"/>
        </w:rPr>
        <w:t>As the NSA has been agreed to between the Commonwealth, and State and Territory governments, aligning the Priority List with the NSA</w:t>
      </w:r>
      <w:r w:rsidR="00CD7CD8" w:rsidRPr="4149B8EB">
        <w:rPr>
          <w:rFonts w:ascii="Aptos" w:hAnsi="Aptos"/>
        </w:rPr>
        <w:t xml:space="preserve"> priorities</w:t>
      </w:r>
      <w:r w:rsidRPr="4149B8EB">
        <w:rPr>
          <w:rFonts w:ascii="Aptos" w:hAnsi="Aptos"/>
        </w:rPr>
        <w:t xml:space="preserve"> will contribute to the new stewardship model to support governments to work collaboratively towards </w:t>
      </w:r>
      <w:r w:rsidR="00E01E44" w:rsidRPr="4149B8EB">
        <w:rPr>
          <w:rFonts w:ascii="Aptos" w:hAnsi="Aptos"/>
        </w:rPr>
        <w:t xml:space="preserve">shared </w:t>
      </w:r>
      <w:r w:rsidRPr="4149B8EB">
        <w:rPr>
          <w:rFonts w:ascii="Aptos" w:hAnsi="Aptos"/>
        </w:rPr>
        <w:t>national priorities. The new national stewardship model aims to coordinate strategic investment in skills across the economy and support the delivery of local, regional and national priorities. Defining priorit</w:t>
      </w:r>
      <w:r w:rsidR="00153C51" w:rsidRPr="4149B8EB">
        <w:rPr>
          <w:rFonts w:ascii="Aptos" w:hAnsi="Aptos"/>
        </w:rPr>
        <w:t>ies</w:t>
      </w:r>
      <w:r w:rsidRPr="4149B8EB">
        <w:rPr>
          <w:rFonts w:ascii="Aptos" w:hAnsi="Aptos"/>
        </w:rPr>
        <w:t xml:space="preserve"> for the list based on the NSA </w:t>
      </w:r>
      <w:r w:rsidR="00987AD2" w:rsidRPr="4149B8EB">
        <w:rPr>
          <w:rFonts w:ascii="Aptos" w:hAnsi="Aptos"/>
        </w:rPr>
        <w:t xml:space="preserve">priorities </w:t>
      </w:r>
      <w:r w:rsidRPr="4149B8EB">
        <w:rPr>
          <w:rFonts w:ascii="Aptos" w:hAnsi="Aptos"/>
        </w:rPr>
        <w:t>will bolster the work of the Commonwealth, and State and Territory Governments to ensure Australia has the skilled workforce it needs now and into the future.</w:t>
      </w:r>
      <w:r w:rsidR="001C455B" w:rsidRPr="4149B8EB">
        <w:rPr>
          <w:rFonts w:ascii="Aptos" w:hAnsi="Aptos"/>
        </w:rPr>
        <w:t xml:space="preserve"> However, it </w:t>
      </w:r>
      <w:r w:rsidR="008F7050" w:rsidRPr="4149B8EB">
        <w:rPr>
          <w:rFonts w:ascii="Aptos" w:hAnsi="Aptos"/>
        </w:rPr>
        <w:t>is</w:t>
      </w:r>
      <w:r w:rsidR="001C455B" w:rsidRPr="4149B8EB">
        <w:rPr>
          <w:rFonts w:ascii="Aptos" w:hAnsi="Aptos"/>
        </w:rPr>
        <w:t xml:space="preserve"> worth noting that the </w:t>
      </w:r>
      <w:r w:rsidR="008F7050" w:rsidRPr="4149B8EB">
        <w:rPr>
          <w:rFonts w:ascii="Aptos" w:hAnsi="Aptos"/>
        </w:rPr>
        <w:t xml:space="preserve">current </w:t>
      </w:r>
      <w:r w:rsidR="001C455B" w:rsidRPr="4149B8EB">
        <w:rPr>
          <w:rFonts w:ascii="Aptos" w:hAnsi="Aptos"/>
        </w:rPr>
        <w:t xml:space="preserve">NSA </w:t>
      </w:r>
      <w:r w:rsidR="008F7050" w:rsidRPr="4149B8EB">
        <w:rPr>
          <w:rFonts w:ascii="Aptos" w:hAnsi="Aptos"/>
        </w:rPr>
        <w:t>runs</w:t>
      </w:r>
      <w:r w:rsidR="001C455B" w:rsidRPr="4149B8EB">
        <w:rPr>
          <w:rFonts w:ascii="Aptos" w:hAnsi="Aptos"/>
        </w:rPr>
        <w:t xml:space="preserve"> </w:t>
      </w:r>
      <w:r w:rsidR="00B7245E" w:rsidRPr="4149B8EB">
        <w:rPr>
          <w:rFonts w:ascii="Aptos" w:hAnsi="Aptos"/>
        </w:rPr>
        <w:t>until</w:t>
      </w:r>
      <w:r w:rsidR="001C455B" w:rsidRPr="4149B8EB">
        <w:rPr>
          <w:rFonts w:ascii="Aptos" w:hAnsi="Aptos"/>
        </w:rPr>
        <w:t xml:space="preserve"> </w:t>
      </w:r>
      <w:r w:rsidR="0024243C" w:rsidRPr="4149B8EB">
        <w:rPr>
          <w:rFonts w:ascii="Aptos" w:hAnsi="Aptos"/>
        </w:rPr>
        <w:t>the end of</w:t>
      </w:r>
      <w:r w:rsidR="001C455B" w:rsidRPr="4149B8EB">
        <w:rPr>
          <w:rFonts w:ascii="Aptos" w:hAnsi="Aptos"/>
        </w:rPr>
        <w:t xml:space="preserve"> 2028</w:t>
      </w:r>
      <w:r w:rsidR="009C570A">
        <w:rPr>
          <w:rFonts w:ascii="Aptos" w:hAnsi="Aptos"/>
        </w:rPr>
        <w:t xml:space="preserve"> (although priorities can be reviewed and changed)</w:t>
      </w:r>
      <w:r w:rsidR="001C455B" w:rsidRPr="4149B8EB">
        <w:rPr>
          <w:rFonts w:ascii="Aptos" w:hAnsi="Aptos"/>
        </w:rPr>
        <w:t>.</w:t>
      </w:r>
      <w:r w:rsidRPr="4149B8EB">
        <w:rPr>
          <w:rFonts w:ascii="Aptos" w:hAnsi="Aptos"/>
        </w:rPr>
        <w:t xml:space="preserve">  </w:t>
      </w:r>
    </w:p>
    <w:p w14:paraId="4FC879AF" w14:textId="77777777" w:rsidR="001A7D34" w:rsidRPr="001719C5" w:rsidRDefault="001A7D34" w:rsidP="001A7D34">
      <w:pPr>
        <w:pStyle w:val="Heading3"/>
        <w:rPr>
          <w:rFonts w:eastAsia="Yu Gothic Light" w:cs="Times New Roman"/>
          <w:color w:val="62165C"/>
          <w:sz w:val="30"/>
          <w:szCs w:val="30"/>
        </w:rPr>
      </w:pPr>
      <w:bookmarkStart w:id="16" w:name="_Toc197523707"/>
      <w:bookmarkStart w:id="17" w:name="_Toc197589965"/>
      <w:r w:rsidRPr="001719C5">
        <w:rPr>
          <w:rFonts w:eastAsia="Yu Gothic Light" w:cs="Times New Roman"/>
          <w:color w:val="62165C"/>
          <w:sz w:val="30"/>
          <w:szCs w:val="30"/>
        </w:rPr>
        <w:t>The Employment White Paper</w:t>
      </w:r>
      <w:bookmarkEnd w:id="16"/>
      <w:bookmarkEnd w:id="17"/>
      <w:r w:rsidRPr="001719C5">
        <w:rPr>
          <w:rFonts w:eastAsia="Yu Gothic Light" w:cs="Times New Roman"/>
          <w:color w:val="62165C"/>
          <w:sz w:val="30"/>
          <w:szCs w:val="30"/>
        </w:rPr>
        <w:t xml:space="preserve">  </w:t>
      </w:r>
    </w:p>
    <w:p w14:paraId="7D6EA63F" w14:textId="5FD0A9A1" w:rsidR="00AE3346" w:rsidRPr="00BC292B" w:rsidRDefault="00AE3346" w:rsidP="00AE3346">
      <w:pPr>
        <w:rPr>
          <w:rFonts w:ascii="Aptos" w:hAnsi="Aptos"/>
        </w:rPr>
      </w:pPr>
      <w:r w:rsidRPr="00727AD2">
        <w:rPr>
          <w:rFonts w:ascii="Aptos" w:hAnsi="Aptos"/>
        </w:rPr>
        <w:t xml:space="preserve">The Employment White Paper, released in 2023, outlines five key forces shaping Australia’s labour market: </w:t>
      </w:r>
      <w:r w:rsidRPr="00062B7E">
        <w:rPr>
          <w:rFonts w:ascii="Aptos" w:hAnsi="Aptos"/>
        </w:rPr>
        <w:t xml:space="preserve">population ageing, rising demand for quality care and support services, expanded digital expertise, enabling the net zero transformation, and geopolitical risk. </w:t>
      </w:r>
      <w:r w:rsidRPr="00BC292B">
        <w:rPr>
          <w:rFonts w:ascii="Aptos" w:hAnsi="Aptos"/>
        </w:rPr>
        <w:t>It emphasises the need to build a skilled and adaptive workforce to meet these challenges. The Employment White Paper highlights the importance of aligning education and training systems with evolving workforce needs to address skills shortages. Priority areas identified include the care and support economy, the clean energy sector, construction, education and training, and digital and technology-related fields. These sectors are central to achieving the Employment White Paper’s objectives of sustained and inclusive full employment, job security, and a dynamic, resilient economy.</w:t>
      </w:r>
    </w:p>
    <w:p w14:paraId="192AEC79" w14:textId="77777777" w:rsidR="001A7D34" w:rsidRPr="00C97C4B" w:rsidRDefault="001A7D34" w:rsidP="001A7D34">
      <w:pPr>
        <w:keepNext/>
        <w:keepLines/>
        <w:spacing w:before="240" w:after="0"/>
        <w:outlineLvl w:val="1"/>
        <w:rPr>
          <w:rFonts w:eastAsia="Yu Gothic Light" w:cs="Times New Roman"/>
          <w:b/>
          <w:color w:val="404246"/>
          <w:sz w:val="36"/>
          <w:szCs w:val="36"/>
        </w:rPr>
      </w:pPr>
      <w:bookmarkStart w:id="18" w:name="_Toc197523708"/>
      <w:bookmarkStart w:id="19" w:name="_Toc197589966"/>
      <w:r>
        <w:rPr>
          <w:rFonts w:eastAsia="Yu Gothic Light" w:cs="Times New Roman"/>
          <w:b/>
          <w:color w:val="404246"/>
          <w:sz w:val="36"/>
          <w:szCs w:val="36"/>
        </w:rPr>
        <w:t>Considering</w:t>
      </w:r>
      <w:r w:rsidRPr="00C97C4B">
        <w:rPr>
          <w:rFonts w:eastAsia="Yu Gothic Light" w:cs="Times New Roman"/>
          <w:b/>
          <w:color w:val="404246"/>
          <w:sz w:val="36"/>
          <w:szCs w:val="36"/>
        </w:rPr>
        <w:t xml:space="preserve"> </w:t>
      </w:r>
      <w:r>
        <w:rPr>
          <w:rFonts w:eastAsia="Yu Gothic Light" w:cs="Times New Roman"/>
          <w:b/>
          <w:color w:val="404246"/>
          <w:sz w:val="36"/>
          <w:szCs w:val="36"/>
        </w:rPr>
        <w:t>other economic factors</w:t>
      </w:r>
      <w:bookmarkEnd w:id="18"/>
      <w:bookmarkEnd w:id="19"/>
    </w:p>
    <w:p w14:paraId="1EBE939C" w14:textId="012A2F85" w:rsidR="001A7D34" w:rsidRDefault="001A7D34" w:rsidP="001A7D34">
      <w:pPr>
        <w:spacing w:after="120"/>
        <w:rPr>
          <w:rFonts w:ascii="Aptos" w:hAnsi="Aptos"/>
        </w:rPr>
      </w:pPr>
      <w:r>
        <w:rPr>
          <w:rFonts w:ascii="Aptos" w:hAnsi="Aptos"/>
        </w:rPr>
        <w:t xml:space="preserve">Two examples </w:t>
      </w:r>
      <w:r w:rsidR="00963036">
        <w:rPr>
          <w:rFonts w:ascii="Aptos" w:hAnsi="Aptos"/>
        </w:rPr>
        <w:t xml:space="preserve">were </w:t>
      </w:r>
      <w:r>
        <w:rPr>
          <w:rFonts w:ascii="Aptos" w:hAnsi="Aptos"/>
        </w:rPr>
        <w:t xml:space="preserve">presented </w:t>
      </w:r>
      <w:r w:rsidR="00963036">
        <w:rPr>
          <w:rFonts w:ascii="Aptos" w:hAnsi="Aptos"/>
        </w:rPr>
        <w:t xml:space="preserve">in </w:t>
      </w:r>
      <w:r>
        <w:rPr>
          <w:rFonts w:ascii="Aptos" w:hAnsi="Aptos"/>
        </w:rPr>
        <w:t xml:space="preserve">the </w:t>
      </w:r>
      <w:r w:rsidR="007A7259">
        <w:rPr>
          <w:rFonts w:ascii="Aptos" w:hAnsi="Aptos"/>
        </w:rPr>
        <w:t xml:space="preserve">Strategic </w:t>
      </w:r>
      <w:r>
        <w:rPr>
          <w:rFonts w:ascii="Aptos" w:hAnsi="Aptos"/>
        </w:rPr>
        <w:t xml:space="preserve">Review for how </w:t>
      </w:r>
      <w:r w:rsidR="0087656C">
        <w:rPr>
          <w:rFonts w:ascii="Aptos" w:hAnsi="Aptos"/>
        </w:rPr>
        <w:t>the</w:t>
      </w:r>
      <w:r>
        <w:rPr>
          <w:rFonts w:ascii="Aptos" w:hAnsi="Aptos"/>
        </w:rPr>
        <w:t xml:space="preserve"> </w:t>
      </w:r>
      <w:r w:rsidR="00963036">
        <w:rPr>
          <w:rFonts w:ascii="Aptos" w:hAnsi="Aptos"/>
        </w:rPr>
        <w:t>Priority List</w:t>
      </w:r>
      <w:r>
        <w:rPr>
          <w:rFonts w:ascii="Aptos" w:hAnsi="Aptos"/>
        </w:rPr>
        <w:t xml:space="preserve"> may support economic priorities beyond a binary skills shortage assessment</w:t>
      </w:r>
      <w:r w:rsidR="009C6573">
        <w:rPr>
          <w:rFonts w:ascii="Aptos" w:hAnsi="Aptos"/>
        </w:rPr>
        <w:t>,</w:t>
      </w:r>
      <w:r>
        <w:rPr>
          <w:rFonts w:ascii="Aptos" w:hAnsi="Aptos"/>
        </w:rPr>
        <w:t xml:space="preserve"> and include consideration of:</w:t>
      </w:r>
    </w:p>
    <w:p w14:paraId="10317D40" w14:textId="7D986DEB" w:rsidR="001A7D34" w:rsidRDefault="001A7D34" w:rsidP="001A7D34">
      <w:pPr>
        <w:pStyle w:val="ListParagraph"/>
        <w:numPr>
          <w:ilvl w:val="0"/>
          <w:numId w:val="16"/>
        </w:numPr>
        <w:spacing w:after="120" w:line="276" w:lineRule="auto"/>
        <w:ind w:left="714" w:hanging="357"/>
        <w:contextualSpacing w:val="0"/>
        <w:rPr>
          <w:rFonts w:ascii="Aptos" w:hAnsi="Aptos"/>
        </w:rPr>
      </w:pPr>
      <w:r w:rsidRPr="00271F73">
        <w:rPr>
          <w:rFonts w:ascii="Aptos" w:hAnsi="Aptos"/>
          <w:b/>
        </w:rPr>
        <w:t>Wage premiums</w:t>
      </w:r>
      <w:r>
        <w:rPr>
          <w:rFonts w:ascii="Aptos" w:hAnsi="Aptos"/>
        </w:rPr>
        <w:t xml:space="preserve"> – t</w:t>
      </w:r>
      <w:r w:rsidRPr="0079584B">
        <w:rPr>
          <w:rFonts w:ascii="Aptos" w:hAnsi="Aptos"/>
        </w:rPr>
        <w:t xml:space="preserve">he wage premium represents the amount of additional income a worker </w:t>
      </w:r>
      <w:r>
        <w:rPr>
          <w:rFonts w:ascii="Aptos" w:hAnsi="Aptos"/>
        </w:rPr>
        <w:t xml:space="preserve">is expected to </w:t>
      </w:r>
      <w:r w:rsidRPr="0079584B">
        <w:rPr>
          <w:rFonts w:ascii="Aptos" w:hAnsi="Aptos"/>
        </w:rPr>
        <w:t>receive for becoming qualified in their occupation</w:t>
      </w:r>
      <w:r>
        <w:rPr>
          <w:rFonts w:ascii="Aptos" w:hAnsi="Aptos"/>
        </w:rPr>
        <w:t xml:space="preserve"> (i.e. </w:t>
      </w:r>
      <w:r w:rsidRPr="0079584B">
        <w:rPr>
          <w:rFonts w:ascii="Aptos" w:hAnsi="Aptos"/>
        </w:rPr>
        <w:t>after successfully completing their apprenticeship</w:t>
      </w:r>
      <w:r>
        <w:rPr>
          <w:rFonts w:ascii="Aptos" w:hAnsi="Aptos"/>
        </w:rPr>
        <w:t>)</w:t>
      </w:r>
      <w:r w:rsidRPr="0079584B">
        <w:rPr>
          <w:rFonts w:ascii="Aptos" w:hAnsi="Aptos"/>
        </w:rPr>
        <w:t xml:space="preserve">. Wage premiums vary </w:t>
      </w:r>
      <w:r w:rsidR="0059160A">
        <w:rPr>
          <w:rFonts w:ascii="Aptos" w:hAnsi="Aptos"/>
        </w:rPr>
        <w:t>considerably</w:t>
      </w:r>
      <w:r w:rsidR="0059160A" w:rsidRPr="0079584B">
        <w:rPr>
          <w:rFonts w:ascii="Aptos" w:hAnsi="Aptos"/>
        </w:rPr>
        <w:t xml:space="preserve"> </w:t>
      </w:r>
      <w:r w:rsidRPr="0079584B">
        <w:rPr>
          <w:rFonts w:ascii="Aptos" w:hAnsi="Aptos"/>
        </w:rPr>
        <w:t>between industries and occupations and tend to be higher for apprenticeships than traineeships.</w:t>
      </w:r>
      <w:r>
        <w:rPr>
          <w:rFonts w:ascii="Aptos" w:hAnsi="Aptos"/>
        </w:rPr>
        <w:t xml:space="preserve"> </w:t>
      </w:r>
      <w:r w:rsidR="00086F5E">
        <w:rPr>
          <w:rFonts w:ascii="Aptos" w:hAnsi="Aptos"/>
        </w:rPr>
        <w:t>Wage premiums also vary between trade apprenticeships</w:t>
      </w:r>
      <w:r w:rsidR="00305BDD">
        <w:rPr>
          <w:rFonts w:ascii="Aptos" w:hAnsi="Aptos"/>
        </w:rPr>
        <w:t>,</w:t>
      </w:r>
      <w:r w:rsidR="00086F5E">
        <w:rPr>
          <w:rFonts w:ascii="Aptos" w:hAnsi="Aptos"/>
        </w:rPr>
        <w:t xml:space="preserve"> with electrician and plumbing apprenticeships having a higher wage premium compared to chef and hairdressing apprenticeships. </w:t>
      </w:r>
      <w:r>
        <w:rPr>
          <w:rFonts w:ascii="Aptos" w:hAnsi="Aptos"/>
        </w:rPr>
        <w:t xml:space="preserve">The </w:t>
      </w:r>
      <w:r w:rsidR="005E5C14">
        <w:rPr>
          <w:rFonts w:ascii="Aptos" w:hAnsi="Aptos"/>
        </w:rPr>
        <w:t xml:space="preserve">Strategic </w:t>
      </w:r>
      <w:r>
        <w:rPr>
          <w:rFonts w:ascii="Aptos" w:hAnsi="Aptos"/>
        </w:rPr>
        <w:t>Review found that, h</w:t>
      </w:r>
      <w:r w:rsidRPr="00CB6678">
        <w:rPr>
          <w:rFonts w:ascii="Aptos" w:hAnsi="Aptos"/>
        </w:rPr>
        <w:t xml:space="preserve">istorically, occupations with low wage premiums are more sensitive to the availability of incentive payments because </w:t>
      </w:r>
      <w:r>
        <w:rPr>
          <w:rFonts w:ascii="Aptos" w:hAnsi="Aptos"/>
        </w:rPr>
        <w:t xml:space="preserve">they </w:t>
      </w:r>
      <w:r w:rsidRPr="00CB6678">
        <w:rPr>
          <w:rFonts w:ascii="Aptos" w:hAnsi="Aptos"/>
        </w:rPr>
        <w:t>represent a larger share of the total value employers derive from their apprentice.</w:t>
      </w:r>
    </w:p>
    <w:p w14:paraId="559EAEDB" w14:textId="7626D5AD" w:rsidR="001A7D34" w:rsidRDefault="001A7D34" w:rsidP="001A7D34">
      <w:pPr>
        <w:pStyle w:val="ListParagraph"/>
        <w:numPr>
          <w:ilvl w:val="0"/>
          <w:numId w:val="16"/>
        </w:numPr>
        <w:spacing w:line="276" w:lineRule="auto"/>
        <w:rPr>
          <w:rFonts w:ascii="Aptos" w:hAnsi="Aptos"/>
        </w:rPr>
      </w:pPr>
      <w:r w:rsidRPr="00271F73">
        <w:rPr>
          <w:rFonts w:ascii="Aptos" w:hAnsi="Aptos"/>
          <w:b/>
        </w:rPr>
        <w:t>Macro</w:t>
      </w:r>
      <w:r>
        <w:rPr>
          <w:rFonts w:ascii="Aptos" w:hAnsi="Aptos"/>
          <w:b/>
          <w:bCs/>
        </w:rPr>
        <w:t>-</w:t>
      </w:r>
      <w:r w:rsidRPr="00271F73">
        <w:rPr>
          <w:rFonts w:ascii="Aptos" w:hAnsi="Aptos"/>
          <w:b/>
        </w:rPr>
        <w:t>economic conditions</w:t>
      </w:r>
      <w:r>
        <w:rPr>
          <w:rFonts w:ascii="Aptos" w:hAnsi="Aptos"/>
        </w:rPr>
        <w:t xml:space="preserve"> – the</w:t>
      </w:r>
      <w:r w:rsidR="005E5C14">
        <w:rPr>
          <w:rFonts w:ascii="Aptos" w:hAnsi="Aptos"/>
        </w:rPr>
        <w:t xml:space="preserve"> Strategic</w:t>
      </w:r>
      <w:r>
        <w:rPr>
          <w:rFonts w:ascii="Aptos" w:hAnsi="Aptos"/>
        </w:rPr>
        <w:t xml:space="preserve"> Review found t</w:t>
      </w:r>
      <w:r w:rsidRPr="008C12D6">
        <w:rPr>
          <w:rFonts w:ascii="Aptos" w:hAnsi="Aptos"/>
        </w:rPr>
        <w:t xml:space="preserve">rade apprenticeships are particularly responsive to changes in the business cycle, especially metal, electrical and building apprenticeships. </w:t>
      </w:r>
      <w:r>
        <w:rPr>
          <w:rFonts w:ascii="Aptos" w:hAnsi="Aptos"/>
        </w:rPr>
        <w:t>It suggested that, t</w:t>
      </w:r>
      <w:r w:rsidRPr="008C12D6">
        <w:rPr>
          <w:rFonts w:ascii="Aptos" w:hAnsi="Aptos"/>
        </w:rPr>
        <w:t>o be effective</w:t>
      </w:r>
      <w:r>
        <w:rPr>
          <w:rFonts w:ascii="Aptos" w:hAnsi="Aptos"/>
        </w:rPr>
        <w:t>,</w:t>
      </w:r>
      <w:r w:rsidRPr="008C12D6">
        <w:rPr>
          <w:rFonts w:ascii="Aptos" w:hAnsi="Aptos"/>
        </w:rPr>
        <w:t xml:space="preserve"> trade apprenticeship incentives </w:t>
      </w:r>
      <w:r>
        <w:rPr>
          <w:rFonts w:ascii="Aptos" w:hAnsi="Aptos"/>
        </w:rPr>
        <w:t>should</w:t>
      </w:r>
      <w:r w:rsidRPr="008C12D6">
        <w:rPr>
          <w:rFonts w:ascii="Aptos" w:hAnsi="Aptos"/>
        </w:rPr>
        <w:t xml:space="preserve"> ‘flex up’ when the unemployment rate rises.</w:t>
      </w:r>
      <w:r>
        <w:rPr>
          <w:rFonts w:ascii="Aptos" w:hAnsi="Aptos"/>
        </w:rPr>
        <w:t xml:space="preserve"> It also suggested e</w:t>
      </w:r>
      <w:r w:rsidRPr="00271F73">
        <w:rPr>
          <w:rFonts w:ascii="Aptos" w:hAnsi="Aptos"/>
        </w:rPr>
        <w:t>mployer incentives for trade apprenticeships should generally be higher than the incentives for traineeships, reflecting the duration of the apprenticeship.</w:t>
      </w:r>
    </w:p>
    <w:p w14:paraId="43A6E0A6" w14:textId="15BB91C4" w:rsidR="001A7D34" w:rsidRDefault="001A7D34" w:rsidP="001A7D34">
      <w:pPr>
        <w:spacing w:after="120" w:line="240" w:lineRule="auto"/>
        <w:rPr>
          <w:rFonts w:ascii="Aptos" w:hAnsi="Aptos"/>
        </w:rPr>
      </w:pPr>
      <w:r>
        <w:rPr>
          <w:rFonts w:ascii="Aptos" w:hAnsi="Aptos"/>
        </w:rPr>
        <w:t xml:space="preserve">Other </w:t>
      </w:r>
      <w:r w:rsidR="00DE0AC5">
        <w:rPr>
          <w:rFonts w:ascii="Aptos" w:hAnsi="Aptos"/>
        </w:rPr>
        <w:t xml:space="preserve">economic </w:t>
      </w:r>
      <w:r>
        <w:rPr>
          <w:rFonts w:ascii="Aptos" w:hAnsi="Aptos"/>
        </w:rPr>
        <w:t>factors</w:t>
      </w:r>
      <w:r w:rsidR="00C93DA6">
        <w:rPr>
          <w:rFonts w:ascii="Aptos" w:hAnsi="Aptos"/>
        </w:rPr>
        <w:t xml:space="preserve"> that</w:t>
      </w:r>
      <w:r>
        <w:rPr>
          <w:rFonts w:ascii="Aptos" w:hAnsi="Aptos"/>
        </w:rPr>
        <w:t xml:space="preserve"> might also be considered</w:t>
      </w:r>
      <w:r w:rsidR="00C93DA6">
        <w:rPr>
          <w:rFonts w:ascii="Aptos" w:hAnsi="Aptos"/>
        </w:rPr>
        <w:t xml:space="preserve"> include</w:t>
      </w:r>
      <w:r>
        <w:rPr>
          <w:rFonts w:ascii="Aptos" w:hAnsi="Aptos"/>
        </w:rPr>
        <w:t>:</w:t>
      </w:r>
    </w:p>
    <w:p w14:paraId="74051904" w14:textId="587F74E8" w:rsidR="001A7D34" w:rsidRDefault="001A7D34" w:rsidP="001A7D34">
      <w:pPr>
        <w:pStyle w:val="ListParagraph"/>
        <w:numPr>
          <w:ilvl w:val="0"/>
          <w:numId w:val="21"/>
        </w:numPr>
        <w:spacing w:after="120" w:line="240" w:lineRule="auto"/>
        <w:contextualSpacing w:val="0"/>
        <w:rPr>
          <w:rFonts w:ascii="Aptos" w:hAnsi="Aptos"/>
        </w:rPr>
      </w:pPr>
      <w:r>
        <w:rPr>
          <w:rFonts w:ascii="Aptos" w:hAnsi="Aptos"/>
        </w:rPr>
        <w:t>The cause of skill shortage and whether additional apprentices is a likely solution to occupational shortage</w:t>
      </w:r>
      <w:r w:rsidR="00C93DA6">
        <w:rPr>
          <w:rFonts w:ascii="Aptos" w:hAnsi="Aptos"/>
        </w:rPr>
        <w:t>.</w:t>
      </w:r>
    </w:p>
    <w:p w14:paraId="029DB10F" w14:textId="1C060C9F" w:rsidR="001A7D34" w:rsidRDefault="001A7D34" w:rsidP="001A7D34">
      <w:pPr>
        <w:pStyle w:val="ListParagraph"/>
        <w:numPr>
          <w:ilvl w:val="0"/>
          <w:numId w:val="21"/>
        </w:numPr>
        <w:spacing w:after="120" w:line="240" w:lineRule="auto"/>
        <w:contextualSpacing w:val="0"/>
        <w:rPr>
          <w:rFonts w:ascii="Aptos" w:hAnsi="Aptos"/>
        </w:rPr>
      </w:pPr>
      <w:r>
        <w:rPr>
          <w:rFonts w:ascii="Aptos" w:hAnsi="Aptos"/>
        </w:rPr>
        <w:t>The availability of training places</w:t>
      </w:r>
      <w:r w:rsidR="00C93DA6">
        <w:rPr>
          <w:rFonts w:ascii="Aptos" w:hAnsi="Aptos"/>
        </w:rPr>
        <w:t>.</w:t>
      </w:r>
      <w:r>
        <w:rPr>
          <w:rFonts w:ascii="Aptos" w:hAnsi="Aptos"/>
        </w:rPr>
        <w:t xml:space="preserve"> </w:t>
      </w:r>
    </w:p>
    <w:p w14:paraId="769E30A3" w14:textId="78482E37" w:rsidR="001A7D34" w:rsidRDefault="001A7D34" w:rsidP="001A7D34">
      <w:pPr>
        <w:pStyle w:val="ListParagraph"/>
        <w:numPr>
          <w:ilvl w:val="0"/>
          <w:numId w:val="21"/>
        </w:numPr>
        <w:spacing w:after="120" w:line="240" w:lineRule="auto"/>
        <w:contextualSpacing w:val="0"/>
        <w:rPr>
          <w:rFonts w:ascii="Aptos" w:hAnsi="Aptos"/>
        </w:rPr>
      </w:pPr>
      <w:r>
        <w:rPr>
          <w:rFonts w:ascii="Aptos" w:hAnsi="Aptos"/>
        </w:rPr>
        <w:t>Future demand based on project</w:t>
      </w:r>
      <w:r w:rsidR="003A5160">
        <w:rPr>
          <w:rFonts w:ascii="Aptos" w:hAnsi="Aptos"/>
        </w:rPr>
        <w:t>ed</w:t>
      </w:r>
      <w:r>
        <w:rPr>
          <w:rFonts w:ascii="Aptos" w:hAnsi="Aptos"/>
        </w:rPr>
        <w:t xml:space="preserve"> employment growth</w:t>
      </w:r>
      <w:r w:rsidR="00C93DA6">
        <w:rPr>
          <w:rFonts w:ascii="Aptos" w:hAnsi="Aptos"/>
        </w:rPr>
        <w:t>.</w:t>
      </w:r>
    </w:p>
    <w:p w14:paraId="2DBCD328" w14:textId="3FD5AC0B" w:rsidR="001A7D34" w:rsidRDefault="001A7D34" w:rsidP="018393F8">
      <w:pPr>
        <w:pStyle w:val="ListParagraph"/>
        <w:numPr>
          <w:ilvl w:val="0"/>
          <w:numId w:val="21"/>
        </w:numPr>
        <w:spacing w:after="120" w:line="240" w:lineRule="auto"/>
        <w:contextualSpacing w:val="0"/>
        <w:rPr>
          <w:rFonts w:ascii="Aptos" w:hAnsi="Aptos"/>
        </w:rPr>
      </w:pPr>
      <w:r w:rsidRPr="018393F8">
        <w:rPr>
          <w:rFonts w:ascii="Aptos" w:hAnsi="Aptos"/>
        </w:rPr>
        <w:t>Emerging occupations and apprenticeship models</w:t>
      </w:r>
      <w:r w:rsidR="4947ECD8" w:rsidRPr="018393F8">
        <w:rPr>
          <w:rFonts w:ascii="Aptos" w:hAnsi="Aptos"/>
        </w:rPr>
        <w:t>, including Higher Apprenticeships</w:t>
      </w:r>
      <w:r w:rsidR="00C93DA6" w:rsidRPr="018393F8">
        <w:rPr>
          <w:rFonts w:ascii="Aptos" w:hAnsi="Aptos"/>
        </w:rPr>
        <w:t>.</w:t>
      </w:r>
    </w:p>
    <w:p w14:paraId="3FFD6C57" w14:textId="325581D3" w:rsidR="001A7D34" w:rsidRDefault="001A7D34" w:rsidP="001A7D34">
      <w:pPr>
        <w:pStyle w:val="ListParagraph"/>
        <w:numPr>
          <w:ilvl w:val="0"/>
          <w:numId w:val="21"/>
        </w:numPr>
        <w:spacing w:after="120" w:line="240" w:lineRule="auto"/>
        <w:contextualSpacing w:val="0"/>
        <w:rPr>
          <w:rFonts w:ascii="Aptos" w:hAnsi="Aptos"/>
        </w:rPr>
      </w:pPr>
      <w:r>
        <w:rPr>
          <w:rFonts w:ascii="Aptos" w:hAnsi="Aptos"/>
        </w:rPr>
        <w:t>Outcomes from training and whether apprentices stay in the occupations they have trained for and experience positive wage progression</w:t>
      </w:r>
      <w:r w:rsidR="00C93DA6">
        <w:rPr>
          <w:rFonts w:ascii="Aptos" w:hAnsi="Aptos"/>
        </w:rPr>
        <w:t>.</w:t>
      </w:r>
    </w:p>
    <w:p w14:paraId="2440245A" w14:textId="3D7D5A1F" w:rsidR="00086F5E" w:rsidRDefault="00305BDD" w:rsidP="001A7D34">
      <w:pPr>
        <w:pStyle w:val="ListParagraph"/>
        <w:numPr>
          <w:ilvl w:val="0"/>
          <w:numId w:val="21"/>
        </w:numPr>
        <w:spacing w:after="120" w:line="240" w:lineRule="auto"/>
        <w:contextualSpacing w:val="0"/>
        <w:rPr>
          <w:rFonts w:ascii="Aptos" w:hAnsi="Aptos"/>
        </w:rPr>
      </w:pPr>
      <w:r>
        <w:rPr>
          <w:rFonts w:ascii="Aptos" w:hAnsi="Aptos"/>
        </w:rPr>
        <w:t>Employment</w:t>
      </w:r>
      <w:r w:rsidR="00086F5E">
        <w:rPr>
          <w:rFonts w:ascii="Aptos" w:hAnsi="Aptos"/>
        </w:rPr>
        <w:t xml:space="preserve"> outcomes </w:t>
      </w:r>
      <w:r>
        <w:rPr>
          <w:rFonts w:ascii="Aptos" w:hAnsi="Aptos"/>
        </w:rPr>
        <w:t>for</w:t>
      </w:r>
      <w:r w:rsidR="00086F5E">
        <w:rPr>
          <w:rFonts w:ascii="Aptos" w:hAnsi="Aptos"/>
        </w:rPr>
        <w:t xml:space="preserve"> occupations with licensing requirements.</w:t>
      </w:r>
    </w:p>
    <w:p w14:paraId="78321207" w14:textId="108DFAB5" w:rsidR="001A7D34" w:rsidRDefault="001A7D34" w:rsidP="007206CA">
      <w:pPr>
        <w:pStyle w:val="ListParagraph"/>
        <w:numPr>
          <w:ilvl w:val="0"/>
          <w:numId w:val="21"/>
        </w:numPr>
        <w:spacing w:after="120" w:line="240" w:lineRule="auto"/>
        <w:contextualSpacing w:val="0"/>
        <w:rPr>
          <w:rFonts w:ascii="Aptos" w:hAnsi="Aptos"/>
        </w:rPr>
      </w:pPr>
      <w:r>
        <w:rPr>
          <w:rFonts w:ascii="Aptos" w:hAnsi="Aptos"/>
        </w:rPr>
        <w:t>Incidences of non-compliance</w:t>
      </w:r>
      <w:r w:rsidR="00D074F1">
        <w:rPr>
          <w:rFonts w:ascii="Aptos" w:hAnsi="Aptos"/>
        </w:rPr>
        <w:t xml:space="preserve"> by employers</w:t>
      </w:r>
      <w:r w:rsidR="00880918">
        <w:rPr>
          <w:rFonts w:ascii="Aptos" w:hAnsi="Aptos"/>
        </w:rPr>
        <w:t xml:space="preserve"> or industries</w:t>
      </w:r>
      <w:r>
        <w:rPr>
          <w:rFonts w:ascii="Aptos" w:hAnsi="Aptos"/>
        </w:rPr>
        <w:t>, including wage theft</w:t>
      </w:r>
      <w:r w:rsidR="00D074F1">
        <w:rPr>
          <w:rFonts w:ascii="Aptos" w:hAnsi="Aptos"/>
        </w:rPr>
        <w:t>.</w:t>
      </w:r>
    </w:p>
    <w:p w14:paraId="0F43CD51" w14:textId="658537B8" w:rsidR="00E71D3E" w:rsidRDefault="00E71D3E" w:rsidP="00C316D1">
      <w:pPr>
        <w:pStyle w:val="ListParagraph"/>
        <w:numPr>
          <w:ilvl w:val="0"/>
          <w:numId w:val="21"/>
        </w:numPr>
        <w:spacing w:after="120" w:line="240" w:lineRule="auto"/>
        <w:contextualSpacing w:val="0"/>
        <w:rPr>
          <w:rFonts w:ascii="Aptos" w:hAnsi="Aptos"/>
        </w:rPr>
      </w:pPr>
      <w:r w:rsidRPr="00C316D1">
        <w:rPr>
          <w:rFonts w:ascii="Aptos" w:hAnsi="Aptos"/>
        </w:rPr>
        <w:t>Micro-economic conditions as factor influencing the decisions of an individual apprentice or employer, noting that household and business motivations may differ.</w:t>
      </w:r>
    </w:p>
    <w:p w14:paraId="774A4961" w14:textId="3F136EA5" w:rsidR="00EA1504" w:rsidRPr="00993229" w:rsidRDefault="00EA1504" w:rsidP="00993229">
      <w:pPr>
        <w:spacing w:after="120"/>
        <w:rPr>
          <w:rFonts w:ascii="Aptos" w:hAnsi="Aptos"/>
        </w:rPr>
      </w:pPr>
      <w:r w:rsidRPr="4149B8EB">
        <w:rPr>
          <w:rFonts w:ascii="Aptos" w:hAnsi="Aptos"/>
        </w:rPr>
        <w:t xml:space="preserve">While these potential options would provide </w:t>
      </w:r>
      <w:r w:rsidR="00F81965" w:rsidRPr="4149B8EB">
        <w:rPr>
          <w:rFonts w:ascii="Aptos" w:hAnsi="Aptos"/>
        </w:rPr>
        <w:t xml:space="preserve">the basis for a more nuanced methodology, </w:t>
      </w:r>
      <w:proofErr w:type="gramStart"/>
      <w:r w:rsidR="00F81965" w:rsidRPr="4149B8EB">
        <w:rPr>
          <w:rFonts w:ascii="Aptos" w:hAnsi="Aptos"/>
        </w:rPr>
        <w:t>th</w:t>
      </w:r>
      <w:r w:rsidR="00905E7A" w:rsidRPr="4149B8EB">
        <w:rPr>
          <w:rFonts w:ascii="Aptos" w:hAnsi="Aptos"/>
        </w:rPr>
        <w:t>ey  may</w:t>
      </w:r>
      <w:proofErr w:type="gramEnd"/>
      <w:r w:rsidR="00905E7A" w:rsidRPr="4149B8EB">
        <w:rPr>
          <w:rFonts w:ascii="Aptos" w:hAnsi="Aptos"/>
        </w:rPr>
        <w:t xml:space="preserve"> </w:t>
      </w:r>
      <w:r w:rsidRPr="4149B8EB">
        <w:rPr>
          <w:rFonts w:ascii="Aptos" w:hAnsi="Aptos"/>
        </w:rPr>
        <w:t xml:space="preserve">risk introducing additional complexity to the </w:t>
      </w:r>
      <w:r w:rsidR="00905E7A" w:rsidRPr="4149B8EB">
        <w:rPr>
          <w:rFonts w:ascii="Aptos" w:hAnsi="Aptos"/>
        </w:rPr>
        <w:t xml:space="preserve">Incentive System </w:t>
      </w:r>
      <w:r w:rsidRPr="4149B8EB">
        <w:rPr>
          <w:rFonts w:ascii="Aptos" w:hAnsi="Aptos"/>
        </w:rPr>
        <w:t>and may lead to significant additional costs</w:t>
      </w:r>
      <w:r w:rsidR="00905E7A" w:rsidRPr="4149B8EB">
        <w:rPr>
          <w:rFonts w:ascii="Aptos" w:hAnsi="Aptos"/>
        </w:rPr>
        <w:t xml:space="preserve"> for the Australian Government</w:t>
      </w:r>
      <w:r w:rsidRPr="4149B8EB">
        <w:rPr>
          <w:rFonts w:ascii="Aptos" w:hAnsi="Aptos"/>
        </w:rPr>
        <w:t>.</w:t>
      </w:r>
    </w:p>
    <w:p w14:paraId="33EAA13C" w14:textId="77777777" w:rsidR="001A7D34" w:rsidRPr="001D72EA" w:rsidRDefault="001A7D34" w:rsidP="001A7D34">
      <w:pPr>
        <w:keepNext/>
        <w:keepLines/>
        <w:spacing w:before="240" w:after="0"/>
        <w:outlineLvl w:val="1"/>
        <w:rPr>
          <w:rFonts w:eastAsia="Yu Gothic Light" w:cs="Times New Roman"/>
          <w:b/>
          <w:color w:val="404246"/>
          <w:sz w:val="36"/>
          <w:szCs w:val="36"/>
        </w:rPr>
      </w:pPr>
      <w:bookmarkStart w:id="20" w:name="_Toc197523709"/>
      <w:bookmarkStart w:id="21" w:name="_Toc197589967"/>
      <w:r w:rsidRPr="001D72EA">
        <w:rPr>
          <w:rFonts w:eastAsia="Yu Gothic Light" w:cs="Times New Roman"/>
          <w:b/>
          <w:color w:val="404246"/>
          <w:sz w:val="36"/>
          <w:szCs w:val="36"/>
        </w:rPr>
        <w:t xml:space="preserve">Considering </w:t>
      </w:r>
      <w:r>
        <w:rPr>
          <w:rFonts w:eastAsia="Yu Gothic Light" w:cs="Times New Roman"/>
          <w:b/>
          <w:color w:val="404246"/>
          <w:sz w:val="36"/>
          <w:szCs w:val="36"/>
        </w:rPr>
        <w:t>social equity objectives</w:t>
      </w:r>
      <w:bookmarkEnd w:id="20"/>
      <w:bookmarkEnd w:id="21"/>
    </w:p>
    <w:p w14:paraId="4B385D07" w14:textId="78D33517" w:rsidR="001A7D34" w:rsidRPr="001D72EA" w:rsidRDefault="001A7D34" w:rsidP="001A7D34">
      <w:pPr>
        <w:spacing w:after="120"/>
        <w:rPr>
          <w:rFonts w:ascii="Aptos" w:hAnsi="Aptos"/>
        </w:rPr>
      </w:pPr>
      <w:r w:rsidRPr="4149B8EB">
        <w:rPr>
          <w:rFonts w:ascii="Aptos" w:hAnsi="Aptos"/>
        </w:rPr>
        <w:t xml:space="preserve">While the incentive system is primarily focussed on addressing economic issues, such as skills shortage status, the </w:t>
      </w:r>
      <w:r w:rsidR="00237706" w:rsidRPr="4149B8EB">
        <w:rPr>
          <w:rFonts w:ascii="Aptos" w:hAnsi="Aptos"/>
        </w:rPr>
        <w:t xml:space="preserve">Strategic </w:t>
      </w:r>
      <w:r w:rsidRPr="4149B8EB">
        <w:rPr>
          <w:rFonts w:ascii="Aptos" w:hAnsi="Aptos"/>
        </w:rPr>
        <w:t xml:space="preserve">Review suggested it should also reflect a broader range of social equity objectives beyond just economic needs. For example, the </w:t>
      </w:r>
      <w:r w:rsidR="00ED5870" w:rsidRPr="4149B8EB">
        <w:rPr>
          <w:rFonts w:ascii="Aptos" w:hAnsi="Aptos"/>
        </w:rPr>
        <w:t xml:space="preserve">Strategic </w:t>
      </w:r>
      <w:r w:rsidRPr="4149B8EB">
        <w:rPr>
          <w:rFonts w:ascii="Aptos" w:hAnsi="Aptos"/>
        </w:rPr>
        <w:t>Review identified First Nations-specific roles</w:t>
      </w:r>
      <w:r w:rsidR="006C056E" w:rsidRPr="4149B8EB">
        <w:rPr>
          <w:rFonts w:ascii="Aptos" w:hAnsi="Aptos"/>
        </w:rPr>
        <w:t xml:space="preserve"> such as </w:t>
      </w:r>
      <w:r w:rsidR="00955D89">
        <w:rPr>
          <w:rFonts w:ascii="Aptos" w:hAnsi="Aptos"/>
        </w:rPr>
        <w:t xml:space="preserve">qualifications in the Indigenous </w:t>
      </w:r>
      <w:r w:rsidR="006C056E" w:rsidRPr="4149B8EB">
        <w:rPr>
          <w:rFonts w:ascii="Aptos" w:hAnsi="Aptos"/>
        </w:rPr>
        <w:t>Environment</w:t>
      </w:r>
      <w:r w:rsidR="009A2F0A">
        <w:rPr>
          <w:rFonts w:ascii="Aptos" w:hAnsi="Aptos"/>
        </w:rPr>
        <w:t>al</w:t>
      </w:r>
      <w:r w:rsidR="006C056E" w:rsidRPr="4149B8EB">
        <w:rPr>
          <w:rFonts w:ascii="Aptos" w:hAnsi="Aptos"/>
        </w:rPr>
        <w:t xml:space="preserve"> Health </w:t>
      </w:r>
      <w:r w:rsidR="009A2F0A">
        <w:rPr>
          <w:rFonts w:ascii="Aptos" w:hAnsi="Aptos"/>
        </w:rPr>
        <w:t>training package</w:t>
      </w:r>
      <w:r w:rsidRPr="4149B8EB">
        <w:rPr>
          <w:rFonts w:ascii="Aptos" w:hAnsi="Aptos"/>
        </w:rPr>
        <w:t>, which, while not being in shortage, are critical to First Nations communities</w:t>
      </w:r>
      <w:r w:rsidR="001D76FE" w:rsidRPr="4149B8EB">
        <w:rPr>
          <w:rFonts w:ascii="Aptos" w:hAnsi="Aptos"/>
        </w:rPr>
        <w:t xml:space="preserve"> due to </w:t>
      </w:r>
      <w:r w:rsidR="006C056E" w:rsidRPr="4149B8EB">
        <w:rPr>
          <w:rFonts w:ascii="Aptos" w:hAnsi="Aptos"/>
        </w:rPr>
        <w:t xml:space="preserve">the relationship between people and their </w:t>
      </w:r>
      <w:proofErr w:type="gramStart"/>
      <w:r w:rsidR="006C056E" w:rsidRPr="4149B8EB">
        <w:rPr>
          <w:rFonts w:ascii="Aptos" w:hAnsi="Aptos"/>
        </w:rPr>
        <w:t xml:space="preserve">environment </w:t>
      </w:r>
      <w:r w:rsidRPr="4149B8EB">
        <w:rPr>
          <w:rFonts w:ascii="Aptos" w:hAnsi="Aptos"/>
        </w:rPr>
        <w:t xml:space="preserve"> and</w:t>
      </w:r>
      <w:proofErr w:type="gramEnd"/>
      <w:r w:rsidRPr="4149B8EB">
        <w:rPr>
          <w:rFonts w:ascii="Aptos" w:hAnsi="Aptos"/>
        </w:rPr>
        <w:t>, consequently, to meeting commitments and targets</w:t>
      </w:r>
      <w:r w:rsidR="001D3BC8" w:rsidRPr="4149B8EB">
        <w:rPr>
          <w:rFonts w:ascii="Aptos" w:hAnsi="Aptos"/>
        </w:rPr>
        <w:t xml:space="preserve"> of the National Agreement on Closing the Gap</w:t>
      </w:r>
      <w:r w:rsidRPr="4149B8EB">
        <w:rPr>
          <w:rFonts w:ascii="Aptos" w:hAnsi="Aptos"/>
        </w:rPr>
        <w:t>.</w:t>
      </w:r>
    </w:p>
    <w:p w14:paraId="4C55B467" w14:textId="4CA41FE1" w:rsidR="001A7D34" w:rsidRDefault="001A7D34">
      <w:pPr>
        <w:tabs>
          <w:tab w:val="left" w:pos="4962"/>
        </w:tabs>
        <w:spacing w:after="120"/>
      </w:pPr>
      <w:r w:rsidRPr="001D72EA">
        <w:rPr>
          <w:rFonts w:ascii="Aptos" w:hAnsi="Aptos"/>
        </w:rPr>
        <w:t xml:space="preserve">The </w:t>
      </w:r>
      <w:r w:rsidR="000C6D13">
        <w:rPr>
          <w:rFonts w:ascii="Aptos" w:hAnsi="Aptos"/>
        </w:rPr>
        <w:t xml:space="preserve">Strategic </w:t>
      </w:r>
      <w:r w:rsidRPr="001D72EA">
        <w:rPr>
          <w:rFonts w:ascii="Aptos" w:hAnsi="Aptos"/>
        </w:rPr>
        <w:t xml:space="preserve">Review </w:t>
      </w:r>
      <w:r w:rsidR="000C6D13">
        <w:rPr>
          <w:rFonts w:ascii="Aptos" w:hAnsi="Aptos"/>
        </w:rPr>
        <w:t>noted</w:t>
      </w:r>
      <w:r w:rsidR="000C6D13" w:rsidRPr="001D72EA">
        <w:rPr>
          <w:rFonts w:ascii="Aptos" w:hAnsi="Aptos"/>
        </w:rPr>
        <w:t xml:space="preserve"> </w:t>
      </w:r>
      <w:r w:rsidRPr="001D72EA">
        <w:rPr>
          <w:rFonts w:ascii="Aptos" w:hAnsi="Aptos"/>
        </w:rPr>
        <w:t xml:space="preserve">that “the characterisation of a particular objective as economic or social equity is not intended to suggest some sort of binary categorisation. There is a clear intersection between a number of these objectives.” However, it may not always be so simple. </w:t>
      </w:r>
      <w:r w:rsidR="00CF71EA" w:rsidRPr="008354D5">
        <w:rPr>
          <w:rFonts w:ascii="Aptos" w:hAnsi="Aptos"/>
        </w:rPr>
        <w:t>Gender imbalance exists in several industries experiencing significant skill shortages. In 2023, around 54</w:t>
      </w:r>
      <w:r w:rsidR="00CF71EA">
        <w:rPr>
          <w:rFonts w:ascii="Aptos" w:hAnsi="Aptos"/>
        </w:rPr>
        <w:t xml:space="preserve"> per cent</w:t>
      </w:r>
      <w:r w:rsidR="00CF71EA" w:rsidRPr="008354D5">
        <w:rPr>
          <w:rFonts w:ascii="Aptos" w:hAnsi="Aptos"/>
        </w:rPr>
        <w:t xml:space="preserve"> of male-dominated trade occupations and around 40</w:t>
      </w:r>
      <w:r w:rsidR="00CF71EA">
        <w:rPr>
          <w:rFonts w:ascii="Aptos" w:hAnsi="Aptos"/>
        </w:rPr>
        <w:t xml:space="preserve"> per cent</w:t>
      </w:r>
      <w:r w:rsidR="00CF71EA" w:rsidRPr="008354D5">
        <w:rPr>
          <w:rFonts w:ascii="Aptos" w:hAnsi="Aptos"/>
        </w:rPr>
        <w:t xml:space="preserve"> of female-dominated occupations were in labour shortages</w:t>
      </w:r>
      <w:r w:rsidR="00CF71EA">
        <w:rPr>
          <w:rFonts w:ascii="Aptos" w:hAnsi="Aptos"/>
        </w:rPr>
        <w:t xml:space="preserve">. </w:t>
      </w:r>
      <w:r w:rsidRPr="001D72EA">
        <w:rPr>
          <w:rFonts w:ascii="Aptos" w:hAnsi="Aptos"/>
        </w:rPr>
        <w:t xml:space="preserve">For example, omitting </w:t>
      </w:r>
      <w:r w:rsidR="00CF71EA">
        <w:rPr>
          <w:rFonts w:ascii="Aptos" w:hAnsi="Aptos"/>
        </w:rPr>
        <w:t>certain</w:t>
      </w:r>
      <w:r w:rsidRPr="001D72EA">
        <w:rPr>
          <w:rFonts w:ascii="Aptos" w:hAnsi="Aptos"/>
        </w:rPr>
        <w:t xml:space="preserve"> profession</w:t>
      </w:r>
      <w:r w:rsidR="00CF71EA">
        <w:rPr>
          <w:rFonts w:ascii="Aptos" w:hAnsi="Aptos"/>
        </w:rPr>
        <w:t>s</w:t>
      </w:r>
      <w:r w:rsidR="00336A5D">
        <w:rPr>
          <w:rFonts w:ascii="Aptos" w:hAnsi="Aptos"/>
        </w:rPr>
        <w:t xml:space="preserve"> </w:t>
      </w:r>
      <w:r w:rsidR="00CF71EA">
        <w:rPr>
          <w:rFonts w:ascii="Aptos" w:hAnsi="Aptos"/>
        </w:rPr>
        <w:t>c</w:t>
      </w:r>
      <w:r w:rsidRPr="001D72EA">
        <w:rPr>
          <w:rFonts w:ascii="Aptos" w:hAnsi="Aptos"/>
        </w:rPr>
        <w:t xml:space="preserve">ould inadvertently </w:t>
      </w:r>
      <w:r w:rsidR="00336A5D">
        <w:rPr>
          <w:rFonts w:ascii="Aptos" w:hAnsi="Aptos"/>
        </w:rPr>
        <w:t>result in a gendered impact</w:t>
      </w:r>
      <w:r w:rsidRPr="001D72EA">
        <w:rPr>
          <w:rFonts w:ascii="Aptos" w:hAnsi="Aptos"/>
        </w:rPr>
        <w:t>.</w:t>
      </w:r>
      <w:r w:rsidR="008354D5" w:rsidRPr="008354D5">
        <w:t xml:space="preserve"> </w:t>
      </w:r>
    </w:p>
    <w:p w14:paraId="7F3D94DD" w14:textId="15C86672" w:rsidR="00931C4B" w:rsidRPr="001D72EA" w:rsidRDefault="00931C4B" w:rsidP="005C3CCF">
      <w:pPr>
        <w:tabs>
          <w:tab w:val="left" w:pos="4962"/>
        </w:tabs>
        <w:spacing w:after="120"/>
        <w:rPr>
          <w:rFonts w:ascii="Aptos" w:hAnsi="Aptos"/>
        </w:rPr>
      </w:pPr>
      <w:r w:rsidRPr="00931C4B">
        <w:rPr>
          <w:rFonts w:ascii="Aptos" w:hAnsi="Aptos"/>
        </w:rPr>
        <w:t>Women are more likely to be enrolled in apprenticeships for occupations in industries where women are overrepresented.</w:t>
      </w:r>
      <w:r w:rsidR="00E93026">
        <w:rPr>
          <w:rFonts w:ascii="Aptos" w:hAnsi="Aptos"/>
        </w:rPr>
        <w:t xml:space="preserve"> </w:t>
      </w:r>
      <w:r w:rsidR="002A0020">
        <w:rPr>
          <w:rFonts w:ascii="Aptos" w:hAnsi="Aptos"/>
        </w:rPr>
        <w:t xml:space="preserve">The Strategic Review found </w:t>
      </w:r>
      <w:r w:rsidRPr="00931C4B">
        <w:rPr>
          <w:rFonts w:ascii="Aptos" w:hAnsi="Aptos"/>
        </w:rPr>
        <w:t>that key barriers to the participation of women apprentices in male-dominated trades were gender expectations, cultural norms and misconceptions about women’s capabilities to perform in these roles</w:t>
      </w:r>
      <w:r w:rsidR="002A0020">
        <w:rPr>
          <w:rFonts w:ascii="Aptos" w:hAnsi="Aptos"/>
        </w:rPr>
        <w:t xml:space="preserve">. </w:t>
      </w:r>
      <w:r w:rsidRPr="00931C4B">
        <w:rPr>
          <w:rFonts w:ascii="Aptos" w:hAnsi="Aptos"/>
        </w:rPr>
        <w:t>These perceptions are formed early in life and influence the choices that boys and girls – and their parents – make about education and training through secondary school and beyond</w:t>
      </w:r>
      <w:r w:rsidR="002A0020">
        <w:rPr>
          <w:rFonts w:ascii="Aptos" w:hAnsi="Aptos"/>
        </w:rPr>
        <w:t>.</w:t>
      </w:r>
    </w:p>
    <w:p w14:paraId="0EF6AB9D" w14:textId="2B8FE0AB" w:rsidR="001A7D34" w:rsidRPr="001D72EA" w:rsidRDefault="001A7D34" w:rsidP="001A7D34">
      <w:pPr>
        <w:spacing w:after="120"/>
        <w:rPr>
          <w:rFonts w:ascii="Aptos" w:hAnsi="Aptos"/>
        </w:rPr>
      </w:pPr>
      <w:r w:rsidRPr="001D72EA">
        <w:rPr>
          <w:rFonts w:ascii="Aptos" w:hAnsi="Aptos"/>
        </w:rPr>
        <w:t xml:space="preserve">As economic requirements </w:t>
      </w:r>
      <w:r w:rsidR="00445D02">
        <w:rPr>
          <w:rFonts w:ascii="Aptos" w:hAnsi="Aptos"/>
        </w:rPr>
        <w:t xml:space="preserve">naturally </w:t>
      </w:r>
      <w:r w:rsidRPr="001D72EA">
        <w:rPr>
          <w:rFonts w:ascii="Aptos" w:hAnsi="Aptos"/>
        </w:rPr>
        <w:t xml:space="preserve">evolve, </w:t>
      </w:r>
      <w:r w:rsidR="00445D02">
        <w:rPr>
          <w:rFonts w:ascii="Aptos" w:hAnsi="Aptos"/>
        </w:rPr>
        <w:t>the Priority List methodology</w:t>
      </w:r>
      <w:r w:rsidR="00445D02" w:rsidRPr="001D72EA">
        <w:rPr>
          <w:rFonts w:ascii="Aptos" w:hAnsi="Aptos"/>
        </w:rPr>
        <w:t xml:space="preserve"> </w:t>
      </w:r>
      <w:r w:rsidRPr="001D72EA">
        <w:rPr>
          <w:rFonts w:ascii="Aptos" w:hAnsi="Aptos"/>
        </w:rPr>
        <w:t xml:space="preserve">must </w:t>
      </w:r>
      <w:r w:rsidR="00445D02">
        <w:rPr>
          <w:rFonts w:ascii="Aptos" w:hAnsi="Aptos"/>
        </w:rPr>
        <w:t>have</w:t>
      </w:r>
      <w:r w:rsidR="00445D02" w:rsidRPr="001D72EA">
        <w:rPr>
          <w:rFonts w:ascii="Aptos" w:hAnsi="Aptos"/>
        </w:rPr>
        <w:t xml:space="preserve"> </w:t>
      </w:r>
      <w:r w:rsidRPr="001D72EA">
        <w:rPr>
          <w:rFonts w:ascii="Aptos" w:hAnsi="Aptos"/>
        </w:rPr>
        <w:t>an adaptable approach to the criteria that establish</w:t>
      </w:r>
      <w:r w:rsidR="0089217B">
        <w:rPr>
          <w:rFonts w:ascii="Aptos" w:hAnsi="Aptos"/>
        </w:rPr>
        <w:t>es</w:t>
      </w:r>
      <w:r w:rsidRPr="001D72EA">
        <w:rPr>
          <w:rFonts w:ascii="Aptos" w:hAnsi="Aptos"/>
        </w:rPr>
        <w:t xml:space="preserve"> who qualifies for them, ensuring they align with wider social needs</w:t>
      </w:r>
      <w:r w:rsidR="00290B73">
        <w:rPr>
          <w:rFonts w:ascii="Aptos" w:hAnsi="Aptos"/>
        </w:rPr>
        <w:t xml:space="preserve"> (e.g.</w:t>
      </w:r>
      <w:r w:rsidRPr="001D72EA">
        <w:rPr>
          <w:rFonts w:ascii="Aptos" w:hAnsi="Aptos"/>
        </w:rPr>
        <w:t xml:space="preserve"> encouraging youth employment during economic downturns</w:t>
      </w:r>
      <w:r w:rsidR="00290B73">
        <w:rPr>
          <w:rFonts w:ascii="Aptos" w:hAnsi="Aptos"/>
        </w:rPr>
        <w:t>)</w:t>
      </w:r>
      <w:r w:rsidRPr="001D72EA">
        <w:rPr>
          <w:rFonts w:ascii="Aptos" w:hAnsi="Aptos"/>
        </w:rPr>
        <w:t xml:space="preserve">. </w:t>
      </w:r>
    </w:p>
    <w:p w14:paraId="1633F03E" w14:textId="63087581" w:rsidR="001A7D34" w:rsidRPr="001941CE" w:rsidRDefault="001A7D34" w:rsidP="001941CE">
      <w:pPr>
        <w:pStyle w:val="Heading1"/>
        <w:spacing w:before="200"/>
        <w:rPr>
          <w:sz w:val="40"/>
          <w:szCs w:val="40"/>
        </w:rPr>
      </w:pPr>
      <w:bookmarkStart w:id="22" w:name="_Toc197523711"/>
      <w:bookmarkStart w:id="23" w:name="_Toc197589969"/>
      <w:r w:rsidRPr="001941CE">
        <w:rPr>
          <w:sz w:val="40"/>
          <w:szCs w:val="40"/>
        </w:rPr>
        <w:t>Opportunities and Risks</w:t>
      </w:r>
      <w:bookmarkEnd w:id="22"/>
      <w:bookmarkEnd w:id="23"/>
    </w:p>
    <w:p w14:paraId="61942F45" w14:textId="77777777" w:rsidR="001A7D34" w:rsidRPr="00C349B4" w:rsidRDefault="001A7D34" w:rsidP="001A7D34">
      <w:pPr>
        <w:keepNext/>
        <w:keepLines/>
        <w:spacing w:before="120" w:after="0"/>
        <w:outlineLvl w:val="1"/>
        <w:rPr>
          <w:rFonts w:eastAsia="Yu Gothic Light" w:cs="Times New Roman"/>
          <w:b/>
          <w:color w:val="404246"/>
          <w:sz w:val="36"/>
          <w:szCs w:val="36"/>
        </w:rPr>
      </w:pPr>
      <w:bookmarkStart w:id="24" w:name="_Other_economic_factors"/>
      <w:bookmarkStart w:id="25" w:name="_Toc197523712"/>
      <w:bookmarkStart w:id="26" w:name="_Toc197589970"/>
      <w:bookmarkEnd w:id="24"/>
      <w:r w:rsidRPr="00C349B4">
        <w:rPr>
          <w:rFonts w:eastAsia="Yu Gothic Light" w:cs="Times New Roman"/>
          <w:b/>
          <w:color w:val="404246"/>
          <w:sz w:val="36"/>
          <w:szCs w:val="36"/>
        </w:rPr>
        <w:t>Balancing broad coverage versus targeted support</w:t>
      </w:r>
      <w:bookmarkEnd w:id="25"/>
      <w:bookmarkEnd w:id="26"/>
      <w:r w:rsidRPr="00C349B4">
        <w:rPr>
          <w:rFonts w:eastAsia="Yu Gothic Light" w:cs="Times New Roman"/>
          <w:b/>
          <w:color w:val="404246"/>
          <w:sz w:val="36"/>
          <w:szCs w:val="36"/>
        </w:rPr>
        <w:t xml:space="preserve"> </w:t>
      </w:r>
    </w:p>
    <w:p w14:paraId="0CE6657A" w14:textId="35148C29" w:rsidR="001A7D34" w:rsidRDefault="001A7D34" w:rsidP="001A7D34">
      <w:pPr>
        <w:spacing w:after="120"/>
        <w:rPr>
          <w:rFonts w:ascii="Aptos" w:hAnsi="Aptos"/>
        </w:rPr>
      </w:pPr>
      <w:r>
        <w:rPr>
          <w:rFonts w:ascii="Aptos" w:hAnsi="Aptos"/>
        </w:rPr>
        <w:t xml:space="preserve">The Strategic Review found that broad and homogenous incentives are less effective than targeted incentives. </w:t>
      </w:r>
      <w:r w:rsidRPr="00D955EF">
        <w:rPr>
          <w:rFonts w:ascii="Aptos" w:hAnsi="Aptos"/>
        </w:rPr>
        <w:t>The</w:t>
      </w:r>
      <w:r w:rsidR="00F96171">
        <w:rPr>
          <w:rFonts w:ascii="Aptos" w:hAnsi="Aptos"/>
        </w:rPr>
        <w:t xml:space="preserve"> former</w:t>
      </w:r>
      <w:r w:rsidRPr="00D955EF">
        <w:rPr>
          <w:rFonts w:ascii="Aptos" w:hAnsi="Aptos"/>
        </w:rPr>
        <w:t xml:space="preserve"> are associated with an increase in the probability of cancelling an apprenticeship, a lack of alignment with priority skills, and sharp practice.</w:t>
      </w:r>
      <w:r>
        <w:rPr>
          <w:rFonts w:ascii="Aptos" w:hAnsi="Aptos"/>
        </w:rPr>
        <w:t xml:space="preserve"> </w:t>
      </w:r>
      <w:r w:rsidRPr="00B40DCC">
        <w:rPr>
          <w:rFonts w:ascii="Aptos" w:hAnsi="Aptos"/>
        </w:rPr>
        <w:t xml:space="preserve">Furthermore, a surge in commencements occurring from a rapid or large increase in employer incentives can place significant pressure on service providers, </w:t>
      </w:r>
      <w:r>
        <w:rPr>
          <w:rFonts w:ascii="Aptos" w:hAnsi="Aptos"/>
        </w:rPr>
        <w:t>Registered Training Organisations (</w:t>
      </w:r>
      <w:r w:rsidRPr="00B40DCC">
        <w:rPr>
          <w:rFonts w:ascii="Aptos" w:hAnsi="Aptos"/>
        </w:rPr>
        <w:t>RTOs</w:t>
      </w:r>
      <w:r>
        <w:rPr>
          <w:rFonts w:ascii="Aptos" w:hAnsi="Aptos"/>
        </w:rPr>
        <w:t>)</w:t>
      </w:r>
      <w:r w:rsidRPr="00B40DCC">
        <w:rPr>
          <w:rFonts w:ascii="Aptos" w:hAnsi="Aptos"/>
        </w:rPr>
        <w:t xml:space="preserve"> and regulators, risking quality and facilitating sharp practice.</w:t>
      </w:r>
      <w:r>
        <w:rPr>
          <w:rFonts w:ascii="Aptos" w:hAnsi="Aptos"/>
        </w:rPr>
        <w:t xml:space="preserve"> Additionally, t</w:t>
      </w:r>
      <w:r w:rsidRPr="00463792">
        <w:rPr>
          <w:rFonts w:ascii="Aptos" w:hAnsi="Aptos"/>
        </w:rPr>
        <w:t xml:space="preserve">he more commencements are inflated, the lower the completion rate can be expected to fall, as more individuals </w:t>
      </w:r>
      <w:r>
        <w:rPr>
          <w:rFonts w:ascii="Aptos" w:hAnsi="Aptos"/>
        </w:rPr>
        <w:t>are enticed by the incentive rather than the idea of training.</w:t>
      </w:r>
    </w:p>
    <w:p w14:paraId="7DCFB303" w14:textId="267AC264" w:rsidR="001A7D34" w:rsidRDefault="00D52E9C" w:rsidP="001A7D34">
      <w:pPr>
        <w:spacing w:after="120"/>
        <w:rPr>
          <w:rFonts w:ascii="Aptos" w:hAnsi="Aptos"/>
        </w:rPr>
      </w:pPr>
      <w:r>
        <w:rPr>
          <w:rFonts w:ascii="Aptos" w:hAnsi="Aptos"/>
        </w:rPr>
        <w:t>Incentive</w:t>
      </w:r>
      <w:r w:rsidR="00BC41B1">
        <w:rPr>
          <w:rFonts w:ascii="Aptos" w:hAnsi="Aptos"/>
        </w:rPr>
        <w:t>s</w:t>
      </w:r>
      <w:r>
        <w:rPr>
          <w:rFonts w:ascii="Aptos" w:hAnsi="Aptos"/>
        </w:rPr>
        <w:t xml:space="preserve"> are </w:t>
      </w:r>
      <w:r w:rsidR="001219AF">
        <w:rPr>
          <w:rFonts w:ascii="Aptos" w:hAnsi="Aptos"/>
        </w:rPr>
        <w:t xml:space="preserve">provided within a finite government funding envelope. </w:t>
      </w:r>
      <w:r w:rsidR="001A7D34" w:rsidRPr="001F1507">
        <w:rPr>
          <w:rFonts w:ascii="Aptos" w:hAnsi="Aptos"/>
        </w:rPr>
        <w:t>C</w:t>
      </w:r>
      <w:r w:rsidR="001A7D34">
        <w:rPr>
          <w:rFonts w:ascii="Aptos" w:hAnsi="Aptos"/>
        </w:rPr>
        <w:t>areful c</w:t>
      </w:r>
      <w:r w:rsidR="001A7D34" w:rsidRPr="001F1507">
        <w:rPr>
          <w:rFonts w:ascii="Aptos" w:hAnsi="Aptos"/>
        </w:rPr>
        <w:t xml:space="preserve">onsideration </w:t>
      </w:r>
      <w:r w:rsidR="001A7D34">
        <w:rPr>
          <w:rFonts w:ascii="Aptos" w:hAnsi="Aptos"/>
        </w:rPr>
        <w:t xml:space="preserve">must </w:t>
      </w:r>
      <w:r w:rsidR="001A7D34" w:rsidRPr="001F1507">
        <w:rPr>
          <w:rFonts w:ascii="Aptos" w:hAnsi="Aptos"/>
        </w:rPr>
        <w:t xml:space="preserve">be </w:t>
      </w:r>
      <w:r w:rsidR="00801C14">
        <w:rPr>
          <w:rFonts w:ascii="Aptos" w:hAnsi="Aptos"/>
        </w:rPr>
        <w:t>given to</w:t>
      </w:r>
      <w:r w:rsidR="00AD5EDE" w:rsidRPr="001F1507">
        <w:rPr>
          <w:rFonts w:ascii="Aptos" w:hAnsi="Aptos"/>
        </w:rPr>
        <w:t xml:space="preserve"> </w:t>
      </w:r>
      <w:proofErr w:type="gramStart"/>
      <w:r w:rsidR="00D44E19">
        <w:rPr>
          <w:rFonts w:ascii="Aptos" w:hAnsi="Aptos"/>
        </w:rPr>
        <w:t>opening up</w:t>
      </w:r>
      <w:proofErr w:type="gramEnd"/>
      <w:r w:rsidR="00D44E19">
        <w:rPr>
          <w:rFonts w:ascii="Aptos" w:hAnsi="Aptos"/>
        </w:rPr>
        <w:t xml:space="preserve"> </w:t>
      </w:r>
      <w:r w:rsidR="001A7D34" w:rsidRPr="00427776">
        <w:rPr>
          <w:rFonts w:ascii="Aptos" w:hAnsi="Aptos"/>
        </w:rPr>
        <w:t>eligibility</w:t>
      </w:r>
      <w:r w:rsidR="001A7D34">
        <w:rPr>
          <w:rFonts w:ascii="Aptos" w:hAnsi="Aptos"/>
        </w:rPr>
        <w:t xml:space="preserve"> to the Incentive System</w:t>
      </w:r>
      <w:r w:rsidR="001A7D34" w:rsidRPr="00427776">
        <w:rPr>
          <w:rFonts w:ascii="Aptos" w:hAnsi="Aptos"/>
        </w:rPr>
        <w:t xml:space="preserve"> to additional occupations</w:t>
      </w:r>
      <w:r w:rsidR="004A40C7">
        <w:rPr>
          <w:rFonts w:ascii="Aptos" w:hAnsi="Aptos"/>
        </w:rPr>
        <w:t xml:space="preserve">, and whether </w:t>
      </w:r>
      <w:r w:rsidR="00D07C06">
        <w:rPr>
          <w:rFonts w:ascii="Aptos" w:hAnsi="Aptos"/>
        </w:rPr>
        <w:t>the Priority List enables</w:t>
      </w:r>
      <w:r>
        <w:rPr>
          <w:rFonts w:ascii="Aptos" w:hAnsi="Aptos"/>
        </w:rPr>
        <w:t xml:space="preserve"> a broad-based system which provides lower incentive value payments, or</w:t>
      </w:r>
      <w:r w:rsidR="001A7D34">
        <w:rPr>
          <w:rFonts w:ascii="Aptos" w:hAnsi="Aptos"/>
        </w:rPr>
        <w:t xml:space="preserve"> </w:t>
      </w:r>
      <w:r w:rsidR="00D07C06">
        <w:rPr>
          <w:rFonts w:ascii="Aptos" w:hAnsi="Aptos"/>
        </w:rPr>
        <w:t>sets out</w:t>
      </w:r>
      <w:r w:rsidR="001A7D34" w:rsidRPr="00427776">
        <w:rPr>
          <w:rFonts w:ascii="Aptos" w:hAnsi="Aptos"/>
        </w:rPr>
        <w:t xml:space="preserve"> a </w:t>
      </w:r>
      <w:r w:rsidR="00314C9B">
        <w:rPr>
          <w:rFonts w:ascii="Aptos" w:hAnsi="Aptos"/>
        </w:rPr>
        <w:t>tighter</w:t>
      </w:r>
      <w:r w:rsidR="001A7D34">
        <w:rPr>
          <w:rFonts w:ascii="Aptos" w:hAnsi="Aptos"/>
        </w:rPr>
        <w:t>, more targeted group of occupations</w:t>
      </w:r>
      <w:r>
        <w:rPr>
          <w:rFonts w:ascii="Aptos" w:hAnsi="Aptos"/>
        </w:rPr>
        <w:t xml:space="preserve"> in</w:t>
      </w:r>
      <w:r w:rsidR="001A7D34">
        <w:rPr>
          <w:rFonts w:ascii="Aptos" w:hAnsi="Aptos"/>
        </w:rPr>
        <w:t xml:space="preserve"> critical industries.</w:t>
      </w:r>
      <w:r w:rsidR="001A7D34" w:rsidRPr="2BE662F4">
        <w:rPr>
          <w:rFonts w:ascii="Aptos" w:hAnsi="Aptos"/>
        </w:rPr>
        <w:t xml:space="preserve"> </w:t>
      </w:r>
    </w:p>
    <w:p w14:paraId="2413750D" w14:textId="385F7C30" w:rsidR="001A7D34" w:rsidRDefault="001A7D34" w:rsidP="001A7D34">
      <w:pPr>
        <w:spacing w:after="120"/>
        <w:rPr>
          <w:rFonts w:ascii="Aptos" w:hAnsi="Aptos"/>
        </w:rPr>
      </w:pPr>
      <w:r>
        <w:rPr>
          <w:rFonts w:ascii="Aptos" w:hAnsi="Aptos"/>
        </w:rPr>
        <w:t>The revised methodology for the Priority List must also recognise that there are a finite number of potential apprentices</w:t>
      </w:r>
      <w:r w:rsidR="00C10B67">
        <w:rPr>
          <w:rFonts w:ascii="Aptos" w:hAnsi="Aptos"/>
        </w:rPr>
        <w:t>, and that there are various reasons (outside of financial incentives) why a potential apprentice chooses to take up an apprenticeship in an occupation – including pay, flexibility, and culture</w:t>
      </w:r>
      <w:r>
        <w:rPr>
          <w:rFonts w:ascii="Aptos" w:hAnsi="Aptos"/>
        </w:rPr>
        <w:t>. Therefore, identifying more occupations through the Priority List does not necessarily equate to an increase in apprenticeship commencements and completions.</w:t>
      </w:r>
    </w:p>
    <w:p w14:paraId="197E2A0C" w14:textId="7F3081A5" w:rsidR="001A7D34" w:rsidRDefault="001A7D34" w:rsidP="001A7D34">
      <w:pPr>
        <w:spacing w:after="120"/>
        <w:rPr>
          <w:rFonts w:ascii="Aptos" w:hAnsi="Aptos"/>
        </w:rPr>
      </w:pPr>
      <w:r w:rsidRPr="2E40DD51">
        <w:rPr>
          <w:rFonts w:ascii="Aptos" w:hAnsi="Aptos"/>
        </w:rPr>
        <w:t xml:space="preserve">There is an opportunity to restrict eligible Priority List occupations to areas where an apprenticeship is a necessary condition or the preferred/dominant pathway to completing a VET qualification. </w:t>
      </w:r>
      <w:r w:rsidRPr="003C5195">
        <w:rPr>
          <w:rFonts w:ascii="Aptos" w:hAnsi="Aptos"/>
        </w:rPr>
        <w:t>This</w:t>
      </w:r>
      <w:r w:rsidRPr="2E40DD51">
        <w:rPr>
          <w:rFonts w:ascii="Aptos" w:hAnsi="Aptos"/>
        </w:rPr>
        <w:t xml:space="preserve"> would allow incentives to be better targeted to where they are needed, ensure </w:t>
      </w:r>
      <w:r w:rsidR="00740058">
        <w:rPr>
          <w:rFonts w:ascii="Aptos" w:hAnsi="Aptos"/>
        </w:rPr>
        <w:t>a better return</w:t>
      </w:r>
      <w:r w:rsidRPr="2E40DD51">
        <w:rPr>
          <w:rFonts w:ascii="Aptos" w:hAnsi="Aptos"/>
        </w:rPr>
        <w:t xml:space="preserve"> on government investment, and avoid encouraging employers to engage an apprentice </w:t>
      </w:r>
      <w:proofErr w:type="gramStart"/>
      <w:r w:rsidRPr="2E40DD51">
        <w:rPr>
          <w:rFonts w:ascii="Aptos" w:hAnsi="Aptos"/>
        </w:rPr>
        <w:t>in order to</w:t>
      </w:r>
      <w:proofErr w:type="gramEnd"/>
      <w:r w:rsidRPr="2E40DD51">
        <w:rPr>
          <w:rFonts w:ascii="Aptos" w:hAnsi="Aptos"/>
        </w:rPr>
        <w:t xml:space="preserve"> access incentives where it is not strictly necessary. </w:t>
      </w:r>
      <w:r w:rsidR="001029C8">
        <w:rPr>
          <w:rFonts w:ascii="Aptos" w:hAnsi="Aptos"/>
        </w:rPr>
        <w:t>P</w:t>
      </w:r>
      <w:r w:rsidR="001029C8" w:rsidRPr="001029C8">
        <w:rPr>
          <w:rFonts w:ascii="Aptos" w:hAnsi="Aptos"/>
        </w:rPr>
        <w:t xml:space="preserve">revious consultation on </w:t>
      </w:r>
      <w:r w:rsidR="001029C8">
        <w:rPr>
          <w:rFonts w:ascii="Aptos" w:hAnsi="Aptos"/>
        </w:rPr>
        <w:t>the Priority List</w:t>
      </w:r>
      <w:r w:rsidR="001029C8" w:rsidRPr="001029C8">
        <w:rPr>
          <w:rFonts w:ascii="Aptos" w:hAnsi="Aptos"/>
        </w:rPr>
        <w:t xml:space="preserve"> has </w:t>
      </w:r>
      <w:r w:rsidR="006E03EC">
        <w:rPr>
          <w:rFonts w:ascii="Aptos" w:hAnsi="Aptos"/>
        </w:rPr>
        <w:t>demonstrated support</w:t>
      </w:r>
      <w:r w:rsidR="001029C8" w:rsidRPr="001029C8">
        <w:rPr>
          <w:rFonts w:ascii="Aptos" w:hAnsi="Aptos"/>
        </w:rPr>
        <w:t xml:space="preserve"> </w:t>
      </w:r>
      <w:r w:rsidR="009F4DF3">
        <w:rPr>
          <w:rFonts w:ascii="Aptos" w:hAnsi="Aptos"/>
        </w:rPr>
        <w:t xml:space="preserve">to </w:t>
      </w:r>
      <w:r w:rsidR="001029C8" w:rsidRPr="001029C8">
        <w:rPr>
          <w:rFonts w:ascii="Aptos" w:hAnsi="Aptos"/>
        </w:rPr>
        <w:t>focus on occupations more reliant on apprentices</w:t>
      </w:r>
      <w:r w:rsidR="003754BC">
        <w:rPr>
          <w:rFonts w:ascii="Aptos" w:hAnsi="Aptos"/>
        </w:rPr>
        <w:t>hip pathway</w:t>
      </w:r>
      <w:r w:rsidR="00B06552">
        <w:rPr>
          <w:rFonts w:ascii="Aptos" w:hAnsi="Aptos"/>
        </w:rPr>
        <w:t>s</w:t>
      </w:r>
      <w:r w:rsidR="001029C8">
        <w:rPr>
          <w:rFonts w:ascii="Aptos" w:hAnsi="Aptos"/>
        </w:rPr>
        <w:t xml:space="preserve">. </w:t>
      </w:r>
      <w:r w:rsidRPr="2E40DD51">
        <w:rPr>
          <w:rFonts w:ascii="Aptos" w:hAnsi="Aptos"/>
        </w:rPr>
        <w:t>This could include identifying and reducing instances of competing government investment in apprenticeship and VET pathways for the same occupations.</w:t>
      </w:r>
      <w:r>
        <w:rPr>
          <w:rFonts w:ascii="Aptos" w:hAnsi="Aptos"/>
        </w:rPr>
        <w:t xml:space="preserve"> </w:t>
      </w:r>
    </w:p>
    <w:p w14:paraId="181FDC4A" w14:textId="77777777" w:rsidR="001A7D34" w:rsidRPr="00197CC3" w:rsidRDefault="001A7D34" w:rsidP="001A7D34">
      <w:pPr>
        <w:keepNext/>
        <w:keepLines/>
        <w:spacing w:before="240" w:after="0"/>
        <w:outlineLvl w:val="1"/>
        <w:rPr>
          <w:sz w:val="36"/>
          <w:szCs w:val="36"/>
        </w:rPr>
      </w:pPr>
      <w:bookmarkStart w:id="27" w:name="_Maintaining_objectivity_and"/>
      <w:bookmarkStart w:id="28" w:name="_Toc197523713"/>
      <w:bookmarkStart w:id="29" w:name="_Toc197589971"/>
      <w:bookmarkEnd w:id="27"/>
      <w:r w:rsidRPr="00C349B4">
        <w:rPr>
          <w:rFonts w:eastAsia="Yu Gothic Light" w:cs="Times New Roman"/>
          <w:b/>
          <w:color w:val="404246"/>
          <w:sz w:val="36"/>
          <w:szCs w:val="36"/>
        </w:rPr>
        <w:t>Maintaining objectivity and transparency</w:t>
      </w:r>
      <w:bookmarkEnd w:id="28"/>
      <w:bookmarkEnd w:id="29"/>
    </w:p>
    <w:p w14:paraId="1952B2C4" w14:textId="50C722A3" w:rsidR="001A7D34" w:rsidRDefault="001A7D34" w:rsidP="001A7D34">
      <w:pPr>
        <w:spacing w:after="120"/>
        <w:rPr>
          <w:rFonts w:ascii="Aptos" w:hAnsi="Aptos"/>
        </w:rPr>
      </w:pPr>
      <w:r>
        <w:rPr>
          <w:rFonts w:ascii="Aptos" w:hAnsi="Aptos"/>
        </w:rPr>
        <w:t>T</w:t>
      </w:r>
      <w:r w:rsidRPr="7B61E08E">
        <w:rPr>
          <w:rFonts w:ascii="Aptos" w:hAnsi="Aptos"/>
        </w:rPr>
        <w:t>here is value in maintaining the current o</w:t>
      </w:r>
      <w:r w:rsidRPr="009C570A">
        <w:rPr>
          <w:rFonts w:ascii="Aptos" w:hAnsi="Aptos"/>
        </w:rPr>
        <w:t>bjective, impartial nature in which the OSL informs the Priority List. Reforms to the methodology should avoid changes that would make it more susceptible to untapped lobbying pressure. Without</w:t>
      </w:r>
      <w:r w:rsidRPr="7B61E08E">
        <w:rPr>
          <w:rFonts w:ascii="Aptos" w:hAnsi="Aptos"/>
        </w:rPr>
        <w:t xml:space="preserve"> an objective and impartial evidence base, maintaining the Priority List will become highly administratively burdensome. </w:t>
      </w:r>
      <w:r>
        <w:rPr>
          <w:rFonts w:ascii="Aptos" w:hAnsi="Aptos"/>
        </w:rPr>
        <w:t>E</w:t>
      </w:r>
      <w:r w:rsidRPr="7B61E08E">
        <w:rPr>
          <w:rFonts w:ascii="Aptos" w:hAnsi="Aptos"/>
        </w:rPr>
        <w:t>ligibility criteria should be informed by robust</w:t>
      </w:r>
      <w:r>
        <w:rPr>
          <w:rFonts w:ascii="Aptos" w:hAnsi="Aptos"/>
        </w:rPr>
        <w:t xml:space="preserve">, </w:t>
      </w:r>
      <w:r w:rsidRPr="7B61E08E">
        <w:rPr>
          <w:rFonts w:ascii="Aptos" w:hAnsi="Aptos"/>
        </w:rPr>
        <w:t xml:space="preserve">reliable data sources, such as the </w:t>
      </w:r>
      <w:r>
        <w:rPr>
          <w:rFonts w:ascii="Aptos" w:hAnsi="Aptos"/>
        </w:rPr>
        <w:t>OSL and labour market data</w:t>
      </w:r>
      <w:r w:rsidRPr="7B61E08E">
        <w:rPr>
          <w:rFonts w:ascii="Aptos" w:hAnsi="Aptos"/>
        </w:rPr>
        <w:t>.</w:t>
      </w:r>
      <w:r>
        <w:rPr>
          <w:rFonts w:ascii="Aptos" w:hAnsi="Aptos"/>
        </w:rPr>
        <w:t xml:space="preserve"> However, there may also be opportunities to establish formal consultation processes, providing a transparent and defensible pathway to inform </w:t>
      </w:r>
      <w:r w:rsidRPr="00882074">
        <w:rPr>
          <w:rFonts w:ascii="Aptos" w:hAnsi="Aptos"/>
        </w:rPr>
        <w:t xml:space="preserve">future iterations of the </w:t>
      </w:r>
      <w:r>
        <w:rPr>
          <w:rFonts w:ascii="Aptos" w:hAnsi="Aptos"/>
        </w:rPr>
        <w:t>P</w:t>
      </w:r>
      <w:r w:rsidRPr="00882074">
        <w:rPr>
          <w:rFonts w:ascii="Aptos" w:hAnsi="Aptos"/>
        </w:rPr>
        <w:t xml:space="preserve">riority </w:t>
      </w:r>
      <w:r>
        <w:rPr>
          <w:rFonts w:ascii="Aptos" w:hAnsi="Aptos"/>
        </w:rPr>
        <w:t>L</w:t>
      </w:r>
      <w:r w:rsidRPr="00882074">
        <w:rPr>
          <w:rFonts w:ascii="Aptos" w:hAnsi="Aptos"/>
        </w:rPr>
        <w:t>ist</w:t>
      </w:r>
      <w:r>
        <w:rPr>
          <w:rFonts w:ascii="Aptos" w:hAnsi="Aptos"/>
        </w:rPr>
        <w:t>.</w:t>
      </w:r>
      <w:r w:rsidR="005662BE">
        <w:rPr>
          <w:rFonts w:ascii="Aptos" w:hAnsi="Aptos"/>
        </w:rPr>
        <w:t xml:space="preserve"> This is also </w:t>
      </w:r>
      <w:r w:rsidR="003009DF">
        <w:rPr>
          <w:rFonts w:ascii="Aptos" w:hAnsi="Aptos"/>
        </w:rPr>
        <w:t>critical</w:t>
      </w:r>
      <w:r w:rsidR="005662BE">
        <w:rPr>
          <w:rFonts w:ascii="Aptos" w:hAnsi="Aptos"/>
        </w:rPr>
        <w:t xml:space="preserve"> to </w:t>
      </w:r>
      <w:r w:rsidR="00D95CF8">
        <w:rPr>
          <w:rFonts w:ascii="Aptos" w:hAnsi="Aptos"/>
        </w:rPr>
        <w:t xml:space="preserve">ensure the Priority </w:t>
      </w:r>
      <w:proofErr w:type="gramStart"/>
      <w:r w:rsidR="00D95CF8">
        <w:rPr>
          <w:rFonts w:ascii="Aptos" w:hAnsi="Aptos"/>
        </w:rPr>
        <w:t>List</w:t>
      </w:r>
      <w:proofErr w:type="gramEnd"/>
      <w:r w:rsidR="003C3313">
        <w:rPr>
          <w:rFonts w:ascii="Aptos" w:hAnsi="Aptos"/>
        </w:rPr>
        <w:t xml:space="preserve"> and its development</w:t>
      </w:r>
      <w:r w:rsidR="00D95CF8">
        <w:rPr>
          <w:rFonts w:ascii="Aptos" w:hAnsi="Aptos"/>
        </w:rPr>
        <w:t xml:space="preserve"> is </w:t>
      </w:r>
      <w:r w:rsidR="00C52BE0">
        <w:rPr>
          <w:rFonts w:ascii="Aptos" w:hAnsi="Aptos"/>
        </w:rPr>
        <w:t xml:space="preserve">aligned to the </w:t>
      </w:r>
      <w:r w:rsidR="004C7947">
        <w:rPr>
          <w:rFonts w:ascii="Aptos" w:hAnsi="Aptos"/>
        </w:rPr>
        <w:t xml:space="preserve">Outcomes and Priority Reforms of the </w:t>
      </w:r>
      <w:r w:rsidR="003C3313" w:rsidRPr="2E40DD51">
        <w:rPr>
          <w:rFonts w:ascii="Aptos" w:hAnsi="Aptos"/>
        </w:rPr>
        <w:t>National Agreement on Closing the Gap</w:t>
      </w:r>
      <w:r w:rsidR="00E26D21">
        <w:rPr>
          <w:rFonts w:ascii="Aptos" w:hAnsi="Aptos"/>
        </w:rPr>
        <w:t xml:space="preserve"> and with objectives of Working for Women: A Strategy for Gender Equality</w:t>
      </w:r>
      <w:r w:rsidR="003C3313">
        <w:rPr>
          <w:rFonts w:ascii="Aptos" w:hAnsi="Aptos"/>
        </w:rPr>
        <w:t>.</w:t>
      </w:r>
      <w:r w:rsidR="00403B48">
        <w:rPr>
          <w:rFonts w:ascii="Aptos" w:hAnsi="Aptos"/>
        </w:rPr>
        <w:t xml:space="preserve"> Further, the Priority List methodology should be easy to understand both for system-users and from an administrative perspective.</w:t>
      </w:r>
    </w:p>
    <w:p w14:paraId="72C7A1A9" w14:textId="4B457D30" w:rsidR="001A7D34" w:rsidRPr="00C349B4" w:rsidRDefault="001A7D34" w:rsidP="00C316D1">
      <w:pPr>
        <w:keepNext/>
        <w:keepLines/>
        <w:spacing w:before="240" w:after="0"/>
        <w:outlineLvl w:val="1"/>
        <w:rPr>
          <w:rFonts w:eastAsia="Yu Gothic Light" w:cs="Times New Roman"/>
          <w:b/>
          <w:color w:val="404246"/>
          <w:sz w:val="36"/>
          <w:szCs w:val="36"/>
        </w:rPr>
      </w:pPr>
      <w:bookmarkStart w:id="30" w:name="_Volatility_of_annual"/>
      <w:bookmarkStart w:id="31" w:name="_Toc197523714"/>
      <w:bookmarkStart w:id="32" w:name="_Toc197589972"/>
      <w:bookmarkEnd w:id="30"/>
      <w:r>
        <w:rPr>
          <w:rFonts w:eastAsia="Yu Gothic Light" w:cs="Times New Roman"/>
          <w:b/>
          <w:color w:val="404246"/>
          <w:sz w:val="36"/>
          <w:szCs w:val="36"/>
        </w:rPr>
        <w:t>Managing volatility and flexibility</w:t>
      </w:r>
      <w:bookmarkEnd w:id="31"/>
      <w:bookmarkEnd w:id="32"/>
    </w:p>
    <w:p w14:paraId="6F91D218" w14:textId="331C9363" w:rsidR="001A7D34" w:rsidRDefault="001A7D34" w:rsidP="001A7D34">
      <w:pPr>
        <w:spacing w:after="120"/>
        <w:rPr>
          <w:rFonts w:ascii="Aptos" w:hAnsi="Aptos"/>
        </w:rPr>
      </w:pPr>
      <w:r w:rsidRPr="00E03DEE">
        <w:rPr>
          <w:rFonts w:ascii="Aptos" w:hAnsi="Aptos"/>
        </w:rPr>
        <w:t>JSA</w:t>
      </w:r>
      <w:r w:rsidRPr="00FC65AE">
        <w:rPr>
          <w:rFonts w:ascii="Aptos" w:hAnsi="Aptos"/>
        </w:rPr>
        <w:t xml:space="preserve"> </w:t>
      </w:r>
      <w:r w:rsidR="003C0580">
        <w:rPr>
          <w:rFonts w:ascii="Aptos" w:hAnsi="Aptos"/>
        </w:rPr>
        <w:t>notes</w:t>
      </w:r>
      <w:r w:rsidRPr="00FC65AE">
        <w:rPr>
          <w:rFonts w:ascii="Aptos" w:hAnsi="Aptos"/>
        </w:rPr>
        <w:t xml:space="preserve"> the Priority List is highly sensitive to any annual changes in occupation ratings in the </w:t>
      </w:r>
      <w:r w:rsidRPr="00E03DEE">
        <w:rPr>
          <w:rFonts w:ascii="Aptos" w:hAnsi="Aptos"/>
        </w:rPr>
        <w:t>OSL</w:t>
      </w:r>
      <w:r w:rsidRPr="00FC65AE">
        <w:rPr>
          <w:rFonts w:ascii="Aptos" w:hAnsi="Aptos"/>
        </w:rPr>
        <w:t>. This would especially be the case if an occupation flips back and forth over the threshold for being considered by JSA as in shortage, which is currently set at occupations with a</w:t>
      </w:r>
      <w:r>
        <w:rPr>
          <w:rFonts w:ascii="Aptos" w:hAnsi="Aptos"/>
        </w:rPr>
        <w:t xml:space="preserve"> vacancy</w:t>
      </w:r>
      <w:r w:rsidRPr="00FC65AE">
        <w:rPr>
          <w:rFonts w:ascii="Aptos" w:hAnsi="Aptos"/>
        </w:rPr>
        <w:t xml:space="preserve"> fill rate below 67</w:t>
      </w:r>
      <w:r>
        <w:rPr>
          <w:rFonts w:ascii="Aptos" w:hAnsi="Aptos"/>
        </w:rPr>
        <w:t xml:space="preserve"> per cent</w:t>
      </w:r>
      <w:r w:rsidRPr="00FC65AE">
        <w:rPr>
          <w:rFonts w:ascii="Aptos" w:hAnsi="Aptos"/>
        </w:rPr>
        <w:t xml:space="preserve">. This potential volatility may affect business activities, planning and recruitment. Also, businesses may not have enough time to adjust and adapt to changes in </w:t>
      </w:r>
      <w:r w:rsidRPr="00E03DEE">
        <w:rPr>
          <w:rFonts w:ascii="Aptos" w:hAnsi="Aptos"/>
        </w:rPr>
        <w:t>OSL</w:t>
      </w:r>
      <w:r w:rsidRPr="00FC65AE">
        <w:rPr>
          <w:rFonts w:ascii="Aptos" w:hAnsi="Aptos"/>
        </w:rPr>
        <w:t xml:space="preserve"> ratings.</w:t>
      </w:r>
      <w:r>
        <w:rPr>
          <w:rFonts w:ascii="Aptos" w:hAnsi="Aptos"/>
        </w:rPr>
        <w:t xml:space="preserve"> Currently, t</w:t>
      </w:r>
      <w:r w:rsidRPr="00FC65AE">
        <w:rPr>
          <w:rFonts w:ascii="Aptos" w:hAnsi="Aptos"/>
        </w:rPr>
        <w:t>o reduce volatility, incentives are grandfathered for the length of an apprenticeship, even if the occupation is removed part-way through the apprentice’s journey. </w:t>
      </w:r>
    </w:p>
    <w:p w14:paraId="08C92802" w14:textId="0C073B0D" w:rsidR="008F17A5" w:rsidRDefault="006F6F3C" w:rsidP="007206CA">
      <w:pPr>
        <w:rPr>
          <w:rFonts w:eastAsia="Yu Gothic Light" w:cs="Times New Roman"/>
          <w:sz w:val="40"/>
          <w:szCs w:val="40"/>
        </w:rPr>
      </w:pPr>
      <w:r>
        <w:rPr>
          <w:rFonts w:ascii="Aptos" w:hAnsi="Aptos"/>
        </w:rPr>
        <w:t>While</w:t>
      </w:r>
      <w:r w:rsidR="001A7D34" w:rsidRPr="00F9050E">
        <w:rPr>
          <w:rFonts w:ascii="Aptos" w:hAnsi="Aptos"/>
        </w:rPr>
        <w:t xml:space="preserve"> the Priority List must still have a degree of flexibility to be responsive to the changing economic environment and </w:t>
      </w:r>
      <w:r w:rsidR="00D6557B">
        <w:rPr>
          <w:rFonts w:ascii="Aptos" w:hAnsi="Aptos"/>
        </w:rPr>
        <w:t>support</w:t>
      </w:r>
      <w:r w:rsidR="001A7D34" w:rsidRPr="00F9050E">
        <w:rPr>
          <w:rFonts w:ascii="Aptos" w:hAnsi="Aptos"/>
        </w:rPr>
        <w:t xml:space="preserve"> additional apprenticeship commencements in areas of skills needs</w:t>
      </w:r>
      <w:r w:rsidR="00D6557B">
        <w:rPr>
          <w:rFonts w:ascii="Aptos" w:hAnsi="Aptos"/>
        </w:rPr>
        <w:t>, m</w:t>
      </w:r>
      <w:r w:rsidR="001A7D34">
        <w:rPr>
          <w:rFonts w:ascii="Aptos" w:hAnsi="Aptos"/>
        </w:rPr>
        <w:t xml:space="preserve">oving to a dynamic list with constant updates may discourage employers from engaging in the apprenticeship system. Further consideration on how to balance a list that is responsive and flexible to economic conditions, as well as </w:t>
      </w:r>
      <w:r w:rsidR="001A7D34" w:rsidRPr="00F9050E">
        <w:rPr>
          <w:rFonts w:ascii="Aptos" w:hAnsi="Aptos"/>
        </w:rPr>
        <w:t xml:space="preserve">creating certainty </w:t>
      </w:r>
      <w:r w:rsidR="001A7D34">
        <w:rPr>
          <w:rFonts w:ascii="Aptos" w:hAnsi="Aptos"/>
        </w:rPr>
        <w:t>by</w:t>
      </w:r>
      <w:r w:rsidR="001A7D34" w:rsidRPr="00F9050E">
        <w:rPr>
          <w:rFonts w:ascii="Aptos" w:hAnsi="Aptos"/>
        </w:rPr>
        <w:t xml:space="preserve"> reducing volatility of annual shortage ratings</w:t>
      </w:r>
      <w:r w:rsidR="001A7D34">
        <w:rPr>
          <w:rFonts w:ascii="Aptos" w:hAnsi="Aptos"/>
        </w:rPr>
        <w:t>, is required</w:t>
      </w:r>
      <w:r w:rsidR="001A7D34" w:rsidRPr="00F9050E">
        <w:rPr>
          <w:rFonts w:ascii="Aptos" w:hAnsi="Aptos"/>
        </w:rPr>
        <w:t xml:space="preserve">. </w:t>
      </w:r>
      <w:r w:rsidR="006065FA">
        <w:rPr>
          <w:rFonts w:ascii="Aptos" w:hAnsi="Aptos"/>
        </w:rPr>
        <w:t>T</w:t>
      </w:r>
      <w:r w:rsidR="001A7D34">
        <w:rPr>
          <w:rFonts w:ascii="Aptos" w:hAnsi="Aptos"/>
        </w:rPr>
        <w:t xml:space="preserve">his </w:t>
      </w:r>
      <w:r w:rsidR="001A7D34" w:rsidRPr="00F9050E">
        <w:rPr>
          <w:rFonts w:ascii="Aptos" w:hAnsi="Aptos"/>
        </w:rPr>
        <w:t xml:space="preserve">could </w:t>
      </w:r>
      <w:r w:rsidR="001A7D34">
        <w:rPr>
          <w:rFonts w:ascii="Aptos" w:hAnsi="Aptos"/>
        </w:rPr>
        <w:t>include</w:t>
      </w:r>
      <w:r w:rsidR="001A7D34" w:rsidRPr="00F9050E">
        <w:rPr>
          <w:rFonts w:ascii="Aptos" w:hAnsi="Aptos"/>
        </w:rPr>
        <w:t xml:space="preserve"> </w:t>
      </w:r>
      <w:r w:rsidR="001A7D34">
        <w:rPr>
          <w:rFonts w:ascii="Aptos" w:hAnsi="Aptos"/>
        </w:rPr>
        <w:t>exploring whether to</w:t>
      </w:r>
      <w:r w:rsidR="00E67D0D">
        <w:rPr>
          <w:rFonts w:ascii="Aptos" w:hAnsi="Aptos"/>
        </w:rPr>
        <w:t xml:space="preserve"> direct</w:t>
      </w:r>
      <w:r w:rsidR="001A7D34">
        <w:rPr>
          <w:rFonts w:ascii="Aptos" w:hAnsi="Aptos"/>
        </w:rPr>
        <w:t xml:space="preserve"> </w:t>
      </w:r>
      <w:r w:rsidR="00B75B5F" w:rsidRPr="00B75B5F">
        <w:rPr>
          <w:rFonts w:ascii="Aptos" w:hAnsi="Aptos"/>
        </w:rPr>
        <w:t>incentive</w:t>
      </w:r>
      <w:r w:rsidR="006065FA">
        <w:rPr>
          <w:rFonts w:ascii="Aptos" w:hAnsi="Aptos"/>
        </w:rPr>
        <w:t xml:space="preserve">s </w:t>
      </w:r>
      <w:r w:rsidR="00E67D0D">
        <w:rPr>
          <w:rFonts w:ascii="Aptos" w:hAnsi="Aptos"/>
        </w:rPr>
        <w:t>t</w:t>
      </w:r>
      <w:r w:rsidR="00777B44">
        <w:rPr>
          <w:rFonts w:ascii="Aptos" w:hAnsi="Aptos"/>
        </w:rPr>
        <w:t xml:space="preserve">oward occupations exhibiting persistent shortages and retaining </w:t>
      </w:r>
      <w:r w:rsidR="001A7D34" w:rsidRPr="00F9050E">
        <w:rPr>
          <w:rFonts w:ascii="Aptos" w:hAnsi="Aptos"/>
        </w:rPr>
        <w:t>occupation</w:t>
      </w:r>
      <w:r w:rsidR="00A511F2">
        <w:rPr>
          <w:rFonts w:ascii="Aptos" w:hAnsi="Aptos"/>
        </w:rPr>
        <w:t>s</w:t>
      </w:r>
      <w:r w:rsidR="001A7D34" w:rsidRPr="00F9050E">
        <w:rPr>
          <w:rFonts w:ascii="Aptos" w:hAnsi="Aptos"/>
        </w:rPr>
        <w:t xml:space="preserve"> on the Priority List if </w:t>
      </w:r>
      <w:r w:rsidR="00214FD1">
        <w:rPr>
          <w:rFonts w:ascii="Aptos" w:hAnsi="Aptos"/>
        </w:rPr>
        <w:t>they</w:t>
      </w:r>
      <w:r w:rsidR="00214FD1" w:rsidRPr="00F9050E">
        <w:rPr>
          <w:rFonts w:ascii="Aptos" w:hAnsi="Aptos"/>
        </w:rPr>
        <w:t xml:space="preserve"> </w:t>
      </w:r>
      <w:r w:rsidR="001A7D34" w:rsidRPr="00F9050E">
        <w:rPr>
          <w:rFonts w:ascii="Aptos" w:hAnsi="Aptos"/>
        </w:rPr>
        <w:t>ha</w:t>
      </w:r>
      <w:r w:rsidR="00214FD1">
        <w:rPr>
          <w:rFonts w:ascii="Aptos" w:hAnsi="Aptos"/>
        </w:rPr>
        <w:t>ve</w:t>
      </w:r>
      <w:r w:rsidR="001A7D34" w:rsidRPr="00F9050E">
        <w:rPr>
          <w:rFonts w:ascii="Aptos" w:hAnsi="Aptos"/>
        </w:rPr>
        <w:t xml:space="preserve"> been in shortage in the last three years</w:t>
      </w:r>
      <w:r w:rsidR="00B64773">
        <w:rPr>
          <w:rFonts w:ascii="Aptos" w:hAnsi="Aptos"/>
        </w:rPr>
        <w:t>,</w:t>
      </w:r>
      <w:r w:rsidR="001A7D34" w:rsidRPr="00F9050E">
        <w:rPr>
          <w:rFonts w:ascii="Aptos" w:hAnsi="Aptos"/>
        </w:rPr>
        <w:t xml:space="preserve"> rather than just the most recent period.</w:t>
      </w:r>
      <w:r w:rsidR="001916F5">
        <w:rPr>
          <w:rFonts w:ascii="Aptos" w:hAnsi="Aptos"/>
        </w:rPr>
        <w:t xml:space="preserve"> This option has been supported through previous consultation on the Priority List.</w:t>
      </w:r>
      <w:bookmarkStart w:id="33" w:name="_Toc197523715"/>
      <w:bookmarkStart w:id="34" w:name="_Toc197589973"/>
    </w:p>
    <w:p w14:paraId="52FC6FC3" w14:textId="39BD4CED" w:rsidR="001A7D34" w:rsidRPr="001941CE" w:rsidRDefault="001A7D34" w:rsidP="001941CE">
      <w:pPr>
        <w:pStyle w:val="Heading1"/>
        <w:spacing w:before="200"/>
        <w:rPr>
          <w:sz w:val="40"/>
          <w:szCs w:val="40"/>
        </w:rPr>
      </w:pPr>
      <w:r w:rsidRPr="001941CE">
        <w:rPr>
          <w:sz w:val="40"/>
          <w:szCs w:val="40"/>
        </w:rPr>
        <w:t>Questions for discussion</w:t>
      </w:r>
      <w:bookmarkEnd w:id="33"/>
      <w:bookmarkEnd w:id="34"/>
    </w:p>
    <w:p w14:paraId="39586468" w14:textId="6EC839E2" w:rsidR="001A7D34" w:rsidRPr="0072246D" w:rsidRDefault="001A7D34" w:rsidP="00E22B1F">
      <w:pPr>
        <w:pStyle w:val="ListParagraph"/>
        <w:numPr>
          <w:ilvl w:val="0"/>
          <w:numId w:val="19"/>
        </w:numPr>
        <w:spacing w:after="100" w:line="276" w:lineRule="auto"/>
        <w:ind w:left="567" w:hanging="357"/>
        <w:contextualSpacing w:val="0"/>
        <w:rPr>
          <w:rFonts w:ascii="Aptos" w:hAnsi="Aptos"/>
        </w:rPr>
      </w:pPr>
      <w:r w:rsidRPr="0072246D">
        <w:rPr>
          <w:rFonts w:ascii="Aptos" w:hAnsi="Aptos"/>
        </w:rPr>
        <w:t>What</w:t>
      </w:r>
      <w:r w:rsidR="0022030D">
        <w:rPr>
          <w:rFonts w:ascii="Aptos" w:hAnsi="Aptos"/>
        </w:rPr>
        <w:t>, in your view,</w:t>
      </w:r>
      <w:r w:rsidRPr="0072246D">
        <w:rPr>
          <w:rFonts w:ascii="Aptos" w:hAnsi="Aptos"/>
        </w:rPr>
        <w:t xml:space="preserve"> </w:t>
      </w:r>
      <w:r w:rsidR="0022030D">
        <w:rPr>
          <w:rFonts w:ascii="Aptos" w:hAnsi="Aptos"/>
        </w:rPr>
        <w:t>should be</w:t>
      </w:r>
      <w:r w:rsidR="0022030D" w:rsidRPr="0072246D">
        <w:rPr>
          <w:rFonts w:ascii="Aptos" w:hAnsi="Aptos"/>
        </w:rPr>
        <w:t xml:space="preserve"> </w:t>
      </w:r>
      <w:r w:rsidRPr="0072246D">
        <w:rPr>
          <w:rFonts w:ascii="Aptos" w:hAnsi="Aptos"/>
        </w:rPr>
        <w:t xml:space="preserve">the </w:t>
      </w:r>
      <w:r w:rsidR="0022030D">
        <w:rPr>
          <w:rFonts w:ascii="Aptos" w:hAnsi="Aptos"/>
        </w:rPr>
        <w:t xml:space="preserve">core </w:t>
      </w:r>
      <w:r w:rsidRPr="0072246D">
        <w:rPr>
          <w:rFonts w:ascii="Aptos" w:hAnsi="Aptos"/>
        </w:rPr>
        <w:t>purpose and scope of the Priority List?</w:t>
      </w:r>
    </w:p>
    <w:p w14:paraId="0F72D05A" w14:textId="00CE8D94" w:rsidR="001A7D34" w:rsidRDefault="001A7D34" w:rsidP="00E22B1F">
      <w:pPr>
        <w:pStyle w:val="ListParagraph"/>
        <w:numPr>
          <w:ilvl w:val="0"/>
          <w:numId w:val="19"/>
        </w:numPr>
        <w:spacing w:after="100" w:line="276" w:lineRule="auto"/>
        <w:ind w:left="567" w:hanging="357"/>
        <w:rPr>
          <w:rFonts w:ascii="Aptos" w:hAnsi="Aptos"/>
        </w:rPr>
      </w:pPr>
      <w:r w:rsidRPr="0072246D">
        <w:rPr>
          <w:rFonts w:ascii="Aptos" w:hAnsi="Aptos"/>
        </w:rPr>
        <w:t xml:space="preserve">How </w:t>
      </w:r>
      <w:r>
        <w:rPr>
          <w:rFonts w:ascii="Aptos" w:hAnsi="Aptos"/>
        </w:rPr>
        <w:t>should</w:t>
      </w:r>
      <w:r w:rsidRPr="0072246D">
        <w:rPr>
          <w:rFonts w:ascii="Aptos" w:hAnsi="Aptos"/>
        </w:rPr>
        <w:t xml:space="preserve"> Australia’s economic and social equity objectives </w:t>
      </w:r>
      <w:r>
        <w:rPr>
          <w:rFonts w:ascii="Aptos" w:hAnsi="Aptos"/>
        </w:rPr>
        <w:t xml:space="preserve">be </w:t>
      </w:r>
      <w:r w:rsidRPr="0072246D">
        <w:rPr>
          <w:rFonts w:ascii="Aptos" w:hAnsi="Aptos"/>
        </w:rPr>
        <w:t>define</w:t>
      </w:r>
      <w:r>
        <w:rPr>
          <w:rFonts w:ascii="Aptos" w:hAnsi="Aptos"/>
        </w:rPr>
        <w:t>d</w:t>
      </w:r>
      <w:r w:rsidRPr="0072246D">
        <w:rPr>
          <w:rFonts w:ascii="Aptos" w:hAnsi="Aptos"/>
        </w:rPr>
        <w:t>?</w:t>
      </w:r>
    </w:p>
    <w:p w14:paraId="5C22B20F" w14:textId="25B78983" w:rsidR="00032B06" w:rsidRPr="0072246D" w:rsidRDefault="00032B06" w:rsidP="00E22B1F">
      <w:pPr>
        <w:pStyle w:val="ListParagraph"/>
        <w:numPr>
          <w:ilvl w:val="1"/>
          <w:numId w:val="19"/>
        </w:numPr>
        <w:spacing w:after="100" w:line="276" w:lineRule="auto"/>
        <w:ind w:left="993"/>
        <w:rPr>
          <w:rFonts w:ascii="Aptos" w:hAnsi="Aptos"/>
        </w:rPr>
      </w:pPr>
      <w:r>
        <w:rPr>
          <w:rFonts w:ascii="Aptos" w:hAnsi="Aptos"/>
        </w:rPr>
        <w:t xml:space="preserve">What is the best </w:t>
      </w:r>
      <w:r w:rsidR="001F5048">
        <w:rPr>
          <w:rFonts w:ascii="Aptos" w:hAnsi="Aptos"/>
        </w:rPr>
        <w:t>option</w:t>
      </w:r>
      <w:r>
        <w:rPr>
          <w:rFonts w:ascii="Aptos" w:hAnsi="Aptos"/>
        </w:rPr>
        <w:t xml:space="preserve"> to articulate Australia’s economic and social equity objectives to guide the Priority List? E.g. NSA, </w:t>
      </w:r>
      <w:r w:rsidR="001F6FA0">
        <w:rPr>
          <w:rFonts w:ascii="Aptos" w:hAnsi="Aptos"/>
        </w:rPr>
        <w:t xml:space="preserve">the National Agreement on Closing the Gap, </w:t>
      </w:r>
      <w:r>
        <w:rPr>
          <w:rFonts w:ascii="Aptos" w:hAnsi="Aptos"/>
        </w:rPr>
        <w:t>Employment White Paper or</w:t>
      </w:r>
      <w:r w:rsidR="001F5048">
        <w:rPr>
          <w:rFonts w:ascii="Aptos" w:hAnsi="Aptos"/>
        </w:rPr>
        <w:t xml:space="preserve"> other</w:t>
      </w:r>
      <w:r>
        <w:rPr>
          <w:rFonts w:ascii="Aptos" w:hAnsi="Aptos"/>
        </w:rPr>
        <w:t>?</w:t>
      </w:r>
    </w:p>
    <w:p w14:paraId="42AFD48D" w14:textId="77777777" w:rsidR="001A7D34" w:rsidRDefault="001A7D34" w:rsidP="00E22B1F">
      <w:pPr>
        <w:pStyle w:val="ListParagraph"/>
        <w:numPr>
          <w:ilvl w:val="1"/>
          <w:numId w:val="19"/>
        </w:numPr>
        <w:spacing w:after="100" w:line="276" w:lineRule="auto"/>
        <w:ind w:left="993"/>
        <w:rPr>
          <w:rFonts w:ascii="Aptos" w:hAnsi="Aptos"/>
        </w:rPr>
      </w:pPr>
      <w:r w:rsidRPr="450F9CEC">
        <w:rPr>
          <w:rFonts w:ascii="Aptos" w:hAnsi="Aptos"/>
        </w:rPr>
        <w:t>Is it feasible to consider macro-economic conditions in determining eligibility?</w:t>
      </w:r>
    </w:p>
    <w:p w14:paraId="6E7A067A" w14:textId="0F1A0989" w:rsidR="001A7D34" w:rsidRDefault="001A7D34" w:rsidP="00E22B1F">
      <w:pPr>
        <w:pStyle w:val="ListParagraph"/>
        <w:numPr>
          <w:ilvl w:val="1"/>
          <w:numId w:val="19"/>
        </w:numPr>
        <w:spacing w:after="100" w:line="276" w:lineRule="auto"/>
        <w:ind w:left="993"/>
        <w:contextualSpacing w:val="0"/>
        <w:rPr>
          <w:rFonts w:ascii="Aptos" w:hAnsi="Aptos"/>
        </w:rPr>
      </w:pPr>
      <w:r>
        <w:rPr>
          <w:rFonts w:ascii="Aptos" w:hAnsi="Aptos"/>
        </w:rPr>
        <w:t>Would it be appropriate to remove eligibility for occupations with low wage premiums and</w:t>
      </w:r>
      <w:r w:rsidR="009B1A41">
        <w:rPr>
          <w:rFonts w:ascii="Aptos" w:hAnsi="Aptos"/>
        </w:rPr>
        <w:t xml:space="preserve"> /or persistent levels of non-compliance with workplace laws? W</w:t>
      </w:r>
      <w:r>
        <w:rPr>
          <w:rFonts w:ascii="Aptos" w:hAnsi="Aptos"/>
        </w:rPr>
        <w:t>ould there be any perverse outcomes as a result?</w:t>
      </w:r>
    </w:p>
    <w:p w14:paraId="184FD17F" w14:textId="77777777" w:rsidR="00C86C0E" w:rsidRDefault="001A7D34" w:rsidP="00E22B1F">
      <w:pPr>
        <w:pStyle w:val="ListParagraph"/>
        <w:numPr>
          <w:ilvl w:val="0"/>
          <w:numId w:val="19"/>
        </w:numPr>
        <w:spacing w:after="100" w:line="276" w:lineRule="auto"/>
        <w:ind w:left="567"/>
        <w:contextualSpacing w:val="0"/>
        <w:rPr>
          <w:rFonts w:ascii="Aptos" w:hAnsi="Aptos"/>
        </w:rPr>
      </w:pPr>
      <w:r w:rsidRPr="00EE3B09">
        <w:rPr>
          <w:rFonts w:ascii="Aptos" w:hAnsi="Aptos"/>
        </w:rPr>
        <w:t xml:space="preserve">To what extent should the Incentive System be able to flex up and down (i.e. quantum and eligibility) in response to shifting economic conditions and how might this be balanced with ensuring objectivity and certainty? </w:t>
      </w:r>
    </w:p>
    <w:p w14:paraId="1E6B2073" w14:textId="63FCE13A" w:rsidR="00C86C0E" w:rsidRPr="00C86C0E" w:rsidRDefault="00C86C0E" w:rsidP="00C86C0E">
      <w:pPr>
        <w:pStyle w:val="ListParagraph"/>
        <w:numPr>
          <w:ilvl w:val="1"/>
          <w:numId w:val="19"/>
        </w:numPr>
        <w:spacing w:line="276" w:lineRule="auto"/>
        <w:ind w:left="993"/>
        <w:rPr>
          <w:rFonts w:ascii="Aptos" w:hAnsi="Aptos"/>
        </w:rPr>
      </w:pPr>
      <w:r w:rsidRPr="00C86C0E">
        <w:rPr>
          <w:rFonts w:ascii="Aptos" w:hAnsi="Aptos"/>
        </w:rPr>
        <w:t xml:space="preserve">If the Incentive System </w:t>
      </w:r>
      <w:proofErr w:type="gramStart"/>
      <w:r w:rsidRPr="00C86C0E">
        <w:rPr>
          <w:rFonts w:ascii="Aptos" w:hAnsi="Aptos"/>
        </w:rPr>
        <w:t>is able to</w:t>
      </w:r>
      <w:proofErr w:type="gramEnd"/>
      <w:r w:rsidRPr="00C86C0E">
        <w:rPr>
          <w:rFonts w:ascii="Aptos" w:hAnsi="Aptos"/>
        </w:rPr>
        <w:t xml:space="preserve"> flex up and down, how often should settings be reviewed to ensure appropriate adjustments are made</w:t>
      </w:r>
      <w:r>
        <w:rPr>
          <w:rFonts w:ascii="Aptos" w:hAnsi="Aptos"/>
        </w:rPr>
        <w:t>?</w:t>
      </w:r>
    </w:p>
    <w:p w14:paraId="671793AF" w14:textId="3ED8A572" w:rsidR="001A7D34" w:rsidRDefault="001A7D34" w:rsidP="00C86C0E">
      <w:pPr>
        <w:pStyle w:val="ListParagraph"/>
        <w:numPr>
          <w:ilvl w:val="0"/>
          <w:numId w:val="19"/>
        </w:numPr>
        <w:spacing w:before="240" w:after="100" w:line="276" w:lineRule="auto"/>
        <w:ind w:left="567"/>
        <w:contextualSpacing w:val="0"/>
        <w:rPr>
          <w:rFonts w:ascii="Aptos" w:hAnsi="Aptos"/>
        </w:rPr>
      </w:pPr>
      <w:r w:rsidRPr="51367F91">
        <w:rPr>
          <w:rFonts w:ascii="Aptos" w:hAnsi="Aptos"/>
        </w:rPr>
        <w:t>What is the most effective process for identifying and making updates to the Priority List</w:t>
      </w:r>
      <w:r w:rsidR="00DF76C4">
        <w:rPr>
          <w:rFonts w:ascii="Aptos" w:hAnsi="Aptos"/>
        </w:rPr>
        <w:t>, and at what frequency</w:t>
      </w:r>
      <w:r w:rsidRPr="51367F91">
        <w:rPr>
          <w:rFonts w:ascii="Aptos" w:hAnsi="Aptos"/>
        </w:rPr>
        <w:t>?</w:t>
      </w:r>
    </w:p>
    <w:p w14:paraId="0E899ADC" w14:textId="77777777" w:rsidR="001A7D34" w:rsidRPr="00E03DEE" w:rsidRDefault="001A7D34" w:rsidP="00E22B1F">
      <w:pPr>
        <w:pStyle w:val="ListParagraph"/>
        <w:numPr>
          <w:ilvl w:val="0"/>
          <w:numId w:val="19"/>
        </w:numPr>
        <w:spacing w:after="100" w:line="276" w:lineRule="auto"/>
        <w:ind w:left="567"/>
        <w:contextualSpacing w:val="0"/>
        <w:rPr>
          <w:rFonts w:ascii="Aptos" w:hAnsi="Aptos"/>
        </w:rPr>
      </w:pPr>
      <w:r>
        <w:rPr>
          <w:rFonts w:ascii="Aptos" w:hAnsi="Aptos"/>
        </w:rPr>
        <w:t>Should occupations with viable non-a</w:t>
      </w:r>
      <w:r w:rsidRPr="79985183">
        <w:rPr>
          <w:rFonts w:ascii="Aptos" w:hAnsi="Aptos"/>
        </w:rPr>
        <w:t>pprenticeship pathway</w:t>
      </w:r>
      <w:r>
        <w:rPr>
          <w:rFonts w:ascii="Aptos" w:hAnsi="Aptos"/>
        </w:rPr>
        <w:t>s have access to incentives</w:t>
      </w:r>
      <w:r w:rsidRPr="79985183">
        <w:rPr>
          <w:rFonts w:ascii="Aptos" w:hAnsi="Aptos"/>
        </w:rPr>
        <w:t>?</w:t>
      </w:r>
    </w:p>
    <w:p w14:paraId="5006AE2E" w14:textId="77777777" w:rsidR="001A7D34" w:rsidRDefault="001A7D34" w:rsidP="00E22B1F">
      <w:pPr>
        <w:pStyle w:val="ListParagraph"/>
        <w:numPr>
          <w:ilvl w:val="0"/>
          <w:numId w:val="19"/>
        </w:numPr>
        <w:spacing w:after="100" w:line="276" w:lineRule="auto"/>
        <w:ind w:left="567"/>
        <w:contextualSpacing w:val="0"/>
        <w:rPr>
          <w:rFonts w:ascii="Aptos" w:hAnsi="Aptos"/>
        </w:rPr>
      </w:pPr>
      <w:r w:rsidRPr="00E72E72">
        <w:rPr>
          <w:rFonts w:ascii="Aptos" w:hAnsi="Aptos"/>
        </w:rPr>
        <w:t>How can the</w:t>
      </w:r>
      <w:r w:rsidRPr="00084C18">
        <w:rPr>
          <w:rFonts w:ascii="Aptos" w:hAnsi="Aptos"/>
        </w:rPr>
        <w:t xml:space="preserve"> Priority List capture and support new and emerging occupations</w:t>
      </w:r>
      <w:r>
        <w:rPr>
          <w:rFonts w:ascii="Aptos" w:hAnsi="Aptos"/>
        </w:rPr>
        <w:t xml:space="preserve"> or apprenticeship pathways</w:t>
      </w:r>
      <w:r w:rsidRPr="00084C18">
        <w:rPr>
          <w:rFonts w:ascii="Aptos" w:hAnsi="Aptos"/>
        </w:rPr>
        <w:t>?</w:t>
      </w:r>
    </w:p>
    <w:p w14:paraId="2B5506C2" w14:textId="77777777" w:rsidR="001A7D34" w:rsidRDefault="001A7D34" w:rsidP="00E22B1F">
      <w:pPr>
        <w:pStyle w:val="ListParagraph"/>
        <w:numPr>
          <w:ilvl w:val="0"/>
          <w:numId w:val="19"/>
        </w:numPr>
        <w:spacing w:after="100" w:line="276" w:lineRule="auto"/>
        <w:ind w:left="567"/>
        <w:contextualSpacing w:val="0"/>
        <w:rPr>
          <w:rFonts w:ascii="Aptos" w:hAnsi="Aptos"/>
        </w:rPr>
      </w:pPr>
      <w:r>
        <w:rPr>
          <w:rFonts w:ascii="Aptos" w:hAnsi="Aptos"/>
        </w:rPr>
        <w:t>Should the Priority List have a jurisdictional or regional element to it?</w:t>
      </w:r>
    </w:p>
    <w:p w14:paraId="77F11777" w14:textId="77777777" w:rsidR="001A7D34" w:rsidRDefault="001A7D34" w:rsidP="00E22B1F">
      <w:pPr>
        <w:pStyle w:val="ListParagraph"/>
        <w:numPr>
          <w:ilvl w:val="0"/>
          <w:numId w:val="19"/>
        </w:numPr>
        <w:spacing w:after="100" w:line="276" w:lineRule="auto"/>
        <w:ind w:left="567"/>
        <w:contextualSpacing w:val="0"/>
        <w:rPr>
          <w:rFonts w:ascii="Aptos" w:hAnsi="Aptos"/>
        </w:rPr>
      </w:pPr>
      <w:r>
        <w:rPr>
          <w:rFonts w:ascii="Aptos" w:hAnsi="Aptos"/>
        </w:rPr>
        <w:t>Should government take a narrower approach to the Priority List to better target incentives to the most critical priorities and shortages?</w:t>
      </w:r>
    </w:p>
    <w:p w14:paraId="7EB41BA7" w14:textId="34DEA1E6" w:rsidR="005C3CCF" w:rsidRDefault="001A7D34" w:rsidP="005C3CCF">
      <w:pPr>
        <w:pStyle w:val="ListParagraph"/>
        <w:numPr>
          <w:ilvl w:val="0"/>
          <w:numId w:val="19"/>
        </w:numPr>
        <w:tabs>
          <w:tab w:val="left" w:pos="1480"/>
        </w:tabs>
        <w:spacing w:after="100" w:line="276" w:lineRule="auto"/>
        <w:ind w:left="567"/>
        <w:contextualSpacing w:val="0"/>
      </w:pPr>
      <w:r w:rsidRPr="00E22B1F">
        <w:rPr>
          <w:rFonts w:ascii="Aptos" w:hAnsi="Aptos"/>
        </w:rPr>
        <w:t>Should the Priority List identify different types of occupation shortages (i.e., attraction, completion or retention gaps) so that incentives can be tailored accordingly</w:t>
      </w:r>
      <w:bookmarkStart w:id="35" w:name="_Rationale"/>
      <w:bookmarkStart w:id="36" w:name="_The_Strategic_Review’s"/>
      <w:bookmarkEnd w:id="35"/>
      <w:bookmarkEnd w:id="36"/>
      <w:r w:rsidR="00E22B1F" w:rsidRPr="00E22B1F">
        <w:rPr>
          <w:rFonts w:ascii="Aptos" w:hAnsi="Aptos"/>
        </w:rPr>
        <w:t>?</w:t>
      </w:r>
    </w:p>
    <w:p w14:paraId="1244E6BF" w14:textId="5E49E63C" w:rsidR="001B7C9E" w:rsidRPr="009456DE" w:rsidRDefault="001B7C9E" w:rsidP="005C3CCF">
      <w:pPr>
        <w:pStyle w:val="ListParagraph"/>
        <w:numPr>
          <w:ilvl w:val="0"/>
          <w:numId w:val="19"/>
        </w:numPr>
        <w:tabs>
          <w:tab w:val="left" w:pos="1480"/>
        </w:tabs>
        <w:spacing w:after="100" w:line="276" w:lineRule="auto"/>
        <w:ind w:left="567"/>
        <w:contextualSpacing w:val="0"/>
      </w:pPr>
      <w:r>
        <w:t xml:space="preserve"> </w:t>
      </w:r>
      <w:r w:rsidR="005C3CCF" w:rsidRPr="005C3CCF">
        <w:t xml:space="preserve">The current Priority List </w:t>
      </w:r>
      <w:r w:rsidRPr="005C3CCF">
        <w:t>methodology</w:t>
      </w:r>
      <w:r w:rsidR="005C3CCF" w:rsidRPr="005C3CCF">
        <w:t xml:space="preserve"> is focused on OSC</w:t>
      </w:r>
      <w:r w:rsidR="00E956DC">
        <w:t>A</w:t>
      </w:r>
      <w:r w:rsidR="005C3CCF" w:rsidRPr="005C3CCF">
        <w:t xml:space="preserve"> Major Groups 3 (</w:t>
      </w:r>
      <w:r w:rsidR="005C3CCF" w:rsidRPr="005C3CCF">
        <w:rPr>
          <w:rFonts w:ascii="Aptos" w:hAnsi="Aptos" w:cs="Arial"/>
        </w:rPr>
        <w:t>Trades and Technicians</w:t>
      </w:r>
      <w:r w:rsidR="005C3CCF" w:rsidRPr="005C3CCF">
        <w:t>) and 4 (</w:t>
      </w:r>
      <w:r w:rsidR="005C3CCF" w:rsidRPr="005C3CCF">
        <w:rPr>
          <w:rFonts w:ascii="Aptos" w:hAnsi="Aptos" w:cs="Arial"/>
        </w:rPr>
        <w:t>Community and Personal Service Workers)</w:t>
      </w:r>
      <w:r w:rsidR="005C3CCF">
        <w:t xml:space="preserve">, </w:t>
      </w:r>
      <w:r w:rsidR="005C3CCF" w:rsidRPr="005C3CCF">
        <w:t>should this be expanded to other Major Groups and on what basis?</w:t>
      </w:r>
      <w:r w:rsidR="005C3CCF">
        <w:t xml:space="preserve"> </w:t>
      </w:r>
    </w:p>
    <w:sectPr w:rsidR="001B7C9E" w:rsidRPr="009456DE" w:rsidSect="00E22B1F">
      <w:headerReference w:type="default" r:id="rId15"/>
      <w:footerReference w:type="default" r:id="rId16"/>
      <w:footerReference w:type="first" r:id="rId17"/>
      <w:pgSz w:w="11907" w:h="1683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6760" w14:textId="77777777" w:rsidR="00721591" w:rsidRDefault="00721591" w:rsidP="0051352E">
      <w:pPr>
        <w:spacing w:after="0" w:line="240" w:lineRule="auto"/>
      </w:pPr>
      <w:r>
        <w:separator/>
      </w:r>
    </w:p>
  </w:endnote>
  <w:endnote w:type="continuationSeparator" w:id="0">
    <w:p w14:paraId="682FED7A" w14:textId="77777777" w:rsidR="00721591" w:rsidRDefault="00721591" w:rsidP="0051352E">
      <w:pPr>
        <w:spacing w:after="0" w:line="240" w:lineRule="auto"/>
      </w:pPr>
      <w:r>
        <w:continuationSeparator/>
      </w:r>
    </w:p>
  </w:endnote>
  <w:endnote w:type="continuationNotice" w:id="1">
    <w:p w14:paraId="1A24A1BF" w14:textId="77777777" w:rsidR="00721591" w:rsidRDefault="00721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E3D4" w14:textId="77777777" w:rsidR="00EA67FC" w:rsidRDefault="00EA67FC">
    <w:pPr>
      <w:pStyle w:val="Footer"/>
      <w:jc w:val="right"/>
    </w:pPr>
  </w:p>
  <w:p w14:paraId="72F82463"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233753"/>
      <w:docPartObj>
        <w:docPartGallery w:val="Page Numbers (Bottom of Page)"/>
        <w:docPartUnique/>
      </w:docPartObj>
    </w:sdtPr>
    <w:sdtEndPr>
      <w:rPr>
        <w:noProof/>
      </w:rPr>
    </w:sdtEndPr>
    <w:sdtContent>
      <w:p w14:paraId="6BA0E5C3" w14:textId="77777777" w:rsidR="001A7D34" w:rsidRDefault="001A7D34">
        <w:pPr>
          <w:pStyle w:val="Footer"/>
          <w:jc w:val="center"/>
        </w:pPr>
      </w:p>
      <w:p w14:paraId="169B6BB2" w14:textId="77777777" w:rsidR="001A7D34" w:rsidRPr="009A00AB" w:rsidRDefault="001A7D34">
        <w:pPr>
          <w:pStyle w:val="Footer"/>
          <w:jc w:val="right"/>
          <w:rPr>
            <w:sz w:val="18"/>
            <w:szCs w:val="18"/>
          </w:rPr>
        </w:pPr>
        <w:r>
          <w:t xml:space="preserve"> A revised methodology for the Australian Apprenticeship Priority List |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B899" w14:textId="77777777" w:rsidR="001A7D34" w:rsidRDefault="001A7D34">
    <w:pPr>
      <w:pStyle w:val="Footer"/>
    </w:pPr>
    <w:r>
      <w:rPr>
        <w:noProof/>
      </w:rPr>
      <mc:AlternateContent>
        <mc:Choice Requires="wps">
          <w:drawing>
            <wp:anchor distT="0" distB="0" distL="114300" distR="114300" simplePos="0" relativeHeight="251658240" behindDoc="0" locked="0" layoutInCell="1" allowOverlap="1" wp14:anchorId="3579CB23" wp14:editId="1C72CDA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DC5A61"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E6BB" w14:textId="77777777" w:rsidR="00721591" w:rsidRDefault="00721591" w:rsidP="0051352E">
      <w:pPr>
        <w:spacing w:after="0" w:line="240" w:lineRule="auto"/>
      </w:pPr>
      <w:r>
        <w:separator/>
      </w:r>
    </w:p>
  </w:footnote>
  <w:footnote w:type="continuationSeparator" w:id="0">
    <w:p w14:paraId="31952737" w14:textId="77777777" w:rsidR="00721591" w:rsidRDefault="00721591" w:rsidP="0051352E">
      <w:pPr>
        <w:spacing w:after="0" w:line="240" w:lineRule="auto"/>
      </w:pPr>
      <w:r>
        <w:continuationSeparator/>
      </w:r>
    </w:p>
  </w:footnote>
  <w:footnote w:type="continuationNotice" w:id="1">
    <w:p w14:paraId="33973878" w14:textId="77777777" w:rsidR="00721591" w:rsidRDefault="00721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0283" w14:textId="77777777" w:rsidR="001A7D34" w:rsidRDefault="001A7D34">
    <w:pPr>
      <w:pStyle w:val="Header"/>
    </w:pPr>
    <w:r>
      <w:rPr>
        <w:noProof/>
      </w:rPr>
      <mc:AlternateContent>
        <mc:Choice Requires="wps">
          <w:drawing>
            <wp:anchor distT="0" distB="0" distL="114300" distR="114300" simplePos="0" relativeHeight="251658241" behindDoc="0" locked="0" layoutInCell="1" allowOverlap="1" wp14:anchorId="233FE74B" wp14:editId="6598E443">
              <wp:simplePos x="0" y="0"/>
              <wp:positionH relativeFrom="column">
                <wp:posOffset>-891540</wp:posOffset>
              </wp:positionH>
              <wp:positionV relativeFrom="paragraph">
                <wp:posOffset>-3063240</wp:posOffset>
              </wp:positionV>
              <wp:extent cx="7595870" cy="254635"/>
              <wp:effectExtent l="0" t="0" r="5080" b="0"/>
              <wp:wrapNone/>
              <wp:docPr id="1164490455" name="Rectangle 3"/>
              <wp:cNvGraphicFramePr/>
              <a:graphic xmlns:a="http://schemas.openxmlformats.org/drawingml/2006/main">
                <a:graphicData uri="http://schemas.microsoft.com/office/word/2010/wordprocessingShape">
                  <wps:wsp>
                    <wps:cNvSpPr/>
                    <wps:spPr>
                      <a:xfrm>
                        <a:off x="0" y="0"/>
                        <a:ext cx="7595870" cy="25463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186758E" id="Rectangle 3" o:spid="_x0000_s1026" style="position:absolute;margin-left:-70.2pt;margin-top:-241.2pt;width:598.1pt;height:2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E/agIAACsFAAAOAAAAZHJzL2Uyb0RvYy54bWysVE1v2zAMvQ/YfxB0X+1kST+COkXQosOA&#10;oi3WDj2rslQbkEWNUuJkv36U5DhFW+ww7CJLIvlIPj36/GLbGbZR6FuwFZ8clZwpK6Fu7UvFfz5e&#10;fznlzAdha2HAqorvlOcXy8+fznu3UFNowNQKGYFYv+hdxZsQ3KIovGxUJ/wROGXJqAE7EeiIL0WN&#10;oif0zhTTsjwuesDaIUjlPd1eZSNfJnytlQx3WnsVmKk41RbSiml9jmuxPBeLFxSuaeVQhviHKjrR&#10;Wko6Ql2JINga23dQXSsRPOhwJKErQOtWqtQDdTMp33Tz0AinUi9EjncjTf7/wcrbzYO7R6Khd37h&#10;aRu72Grs4pfqY9tE1m4kS20Dk3R5Mj+bn54Qp5Js0/ns+Os8slkcoh368E1Bx+Km4kiPkTgSmxsf&#10;suveJSYzNq4WrltjsjXeFIe60i7sjMreP5RmbU2VTBNqkoy6NMg2gh5bSKlsmGRTI2qVryfzskyv&#10;TnWOEalqYwkwImvKP2IPAFGO77FzlYN/DFVJcWNw+bfCcvAYkTKDDWNw11rAjwAMdTVkzv57kjI1&#10;kaVnqHf3yBCy3r2T1y29wY3w4V4gCZyejYY23NGiDfQVh2HHWQP4+6P76E+6IytnPQ1Mxf2vtUDF&#10;mfluSZFnk9ksTlg6zOYnUzrga8vza4tdd5dAzzSh34OTaRv9g9lvNUL3RLO9ilnJJKyk3BWXAfeH&#10;y5AHmf4OUq1WyY2myolwYx+cjOCR1aixx+2TQDcIMZCEb2E/XGLxRo/ZN0ZaWK0D6DaJ9cDrwDdN&#10;ZBLO8PeII//6nLwO/7jlHwAAAP//AwBQSwMEFAAGAAgAAAAhAL93ZFDjAAAADwEAAA8AAABkcnMv&#10;ZG93bnJldi54bWxMj8FOwzAQRO9I/IO1SNxau0kKVYhTVZV6QQiJQA/c3HiJA7EdxW4a+Ho2J7jN&#10;7o5m3xTbyXZsxCG03klYLQUwdLXXrWskvL0eFhtgISqnVecdSvjGANvy+qpQufYX94JjFRtGIS7k&#10;SoKJsc85D7VBq8LS9+jo9uEHqyKNQ8P1oC4UbjueCHHHrWodfTCqx73B+qs6WwmPn/dpZcbd+JM+&#10;49H449P7YR+kvL2Zdg/AIk7xzwwzPqFDSUwnf3Y6sE7CYpWJjLyksk1CavaI9Zr6nOZdlqTAy4L/&#10;71H+AgAA//8DAFBLAQItABQABgAIAAAAIQC2gziS/gAAAOEBAAATAAAAAAAAAAAAAAAAAAAAAABb&#10;Q29udGVudF9UeXBlc10ueG1sUEsBAi0AFAAGAAgAAAAhADj9If/WAAAAlAEAAAsAAAAAAAAAAAAA&#10;AAAALwEAAF9yZWxzLy5yZWxzUEsBAi0AFAAGAAgAAAAhAA0DMT9qAgAAKwUAAA4AAAAAAAAAAAAA&#10;AAAALgIAAGRycy9lMm9Eb2MueG1sUEsBAi0AFAAGAAgAAAAhAL93ZFDjAAAADwEAAA8AAAAAAAAA&#10;AAAAAAAAxAQAAGRycy9kb3ducmV2LnhtbFBLBQYAAAAABAAEAPMAAADUBQAAAAA=&#10;" fillcolor="#5d7a38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476D7"/>
    <w:multiLevelType w:val="hybridMultilevel"/>
    <w:tmpl w:val="BDD6754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BC3FFA"/>
    <w:multiLevelType w:val="hybridMultilevel"/>
    <w:tmpl w:val="0DFE1324"/>
    <w:lvl w:ilvl="0" w:tplc="8AC40C2A">
      <w:numFmt w:val="bullet"/>
      <w:lvlText w:val=""/>
      <w:lvlJc w:val="left"/>
      <w:pPr>
        <w:ind w:left="720" w:hanging="360"/>
      </w:pPr>
      <w:rPr>
        <w:rFonts w:ascii="Symbol" w:eastAsia="Aptos Display" w:hAnsi="Symbol" w:cs="Aptos Displa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B92CC5"/>
    <w:multiLevelType w:val="hybridMultilevel"/>
    <w:tmpl w:val="88AA8B7C"/>
    <w:lvl w:ilvl="0" w:tplc="75ACDFA0">
      <w:start w:val="1"/>
      <w:numFmt w:val="bullet"/>
      <w:lvlText w:val=""/>
      <w:lvlJc w:val="left"/>
      <w:pPr>
        <w:ind w:left="720" w:hanging="360"/>
      </w:pPr>
      <w:rPr>
        <w:rFonts w:ascii="Symbol" w:hAnsi="Symbol"/>
      </w:rPr>
    </w:lvl>
    <w:lvl w:ilvl="1" w:tplc="9DAAF864">
      <w:start w:val="1"/>
      <w:numFmt w:val="bullet"/>
      <w:lvlText w:val=""/>
      <w:lvlJc w:val="left"/>
      <w:pPr>
        <w:ind w:left="720" w:hanging="360"/>
      </w:pPr>
      <w:rPr>
        <w:rFonts w:ascii="Symbol" w:hAnsi="Symbol"/>
      </w:rPr>
    </w:lvl>
    <w:lvl w:ilvl="2" w:tplc="BB7C08D6">
      <w:start w:val="1"/>
      <w:numFmt w:val="bullet"/>
      <w:lvlText w:val=""/>
      <w:lvlJc w:val="left"/>
      <w:pPr>
        <w:ind w:left="720" w:hanging="360"/>
      </w:pPr>
      <w:rPr>
        <w:rFonts w:ascii="Symbol" w:hAnsi="Symbol"/>
      </w:rPr>
    </w:lvl>
    <w:lvl w:ilvl="3" w:tplc="49E4FD18">
      <w:start w:val="1"/>
      <w:numFmt w:val="bullet"/>
      <w:lvlText w:val=""/>
      <w:lvlJc w:val="left"/>
      <w:pPr>
        <w:ind w:left="720" w:hanging="360"/>
      </w:pPr>
      <w:rPr>
        <w:rFonts w:ascii="Symbol" w:hAnsi="Symbol"/>
      </w:rPr>
    </w:lvl>
    <w:lvl w:ilvl="4" w:tplc="3DF2B7B0">
      <w:start w:val="1"/>
      <w:numFmt w:val="bullet"/>
      <w:lvlText w:val=""/>
      <w:lvlJc w:val="left"/>
      <w:pPr>
        <w:ind w:left="720" w:hanging="360"/>
      </w:pPr>
      <w:rPr>
        <w:rFonts w:ascii="Symbol" w:hAnsi="Symbol"/>
      </w:rPr>
    </w:lvl>
    <w:lvl w:ilvl="5" w:tplc="6820FD22">
      <w:start w:val="1"/>
      <w:numFmt w:val="bullet"/>
      <w:lvlText w:val=""/>
      <w:lvlJc w:val="left"/>
      <w:pPr>
        <w:ind w:left="720" w:hanging="360"/>
      </w:pPr>
      <w:rPr>
        <w:rFonts w:ascii="Symbol" w:hAnsi="Symbol"/>
      </w:rPr>
    </w:lvl>
    <w:lvl w:ilvl="6" w:tplc="A3BE2974">
      <w:start w:val="1"/>
      <w:numFmt w:val="bullet"/>
      <w:lvlText w:val=""/>
      <w:lvlJc w:val="left"/>
      <w:pPr>
        <w:ind w:left="720" w:hanging="360"/>
      </w:pPr>
      <w:rPr>
        <w:rFonts w:ascii="Symbol" w:hAnsi="Symbol"/>
      </w:rPr>
    </w:lvl>
    <w:lvl w:ilvl="7" w:tplc="9FEED9A2">
      <w:start w:val="1"/>
      <w:numFmt w:val="bullet"/>
      <w:lvlText w:val=""/>
      <w:lvlJc w:val="left"/>
      <w:pPr>
        <w:ind w:left="720" w:hanging="360"/>
      </w:pPr>
      <w:rPr>
        <w:rFonts w:ascii="Symbol" w:hAnsi="Symbol"/>
      </w:rPr>
    </w:lvl>
    <w:lvl w:ilvl="8" w:tplc="A68266AC">
      <w:start w:val="1"/>
      <w:numFmt w:val="bullet"/>
      <w:lvlText w:val=""/>
      <w:lvlJc w:val="left"/>
      <w:pPr>
        <w:ind w:left="720" w:hanging="360"/>
      </w:pPr>
      <w:rPr>
        <w:rFonts w:ascii="Symbol" w:hAnsi="Symbol"/>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AC53743"/>
    <w:multiLevelType w:val="multilevel"/>
    <w:tmpl w:val="768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B5E43"/>
    <w:multiLevelType w:val="hybridMultilevel"/>
    <w:tmpl w:val="03F2C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5B5B8F"/>
    <w:multiLevelType w:val="hybridMultilevel"/>
    <w:tmpl w:val="7C32F79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47F96B6E"/>
    <w:multiLevelType w:val="hybridMultilevel"/>
    <w:tmpl w:val="BDD6754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AF1075"/>
    <w:multiLevelType w:val="hybridMultilevel"/>
    <w:tmpl w:val="00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702F6"/>
    <w:multiLevelType w:val="hybridMultilevel"/>
    <w:tmpl w:val="7BFCF5F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FF043BD"/>
    <w:multiLevelType w:val="hybridMultilevel"/>
    <w:tmpl w:val="FB0C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D1E80"/>
    <w:multiLevelType w:val="hybridMultilevel"/>
    <w:tmpl w:val="9AD0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3D429C"/>
    <w:multiLevelType w:val="hybridMultilevel"/>
    <w:tmpl w:val="82321D70"/>
    <w:lvl w:ilvl="0" w:tplc="BA8C38D0">
      <w:start w:val="1"/>
      <w:numFmt w:val="bullet"/>
      <w:lvlText w:val=""/>
      <w:lvlJc w:val="left"/>
      <w:pPr>
        <w:ind w:left="720" w:hanging="360"/>
      </w:pPr>
      <w:rPr>
        <w:rFonts w:ascii="Symbol" w:hAnsi="Symbol" w:hint="default"/>
      </w:rPr>
    </w:lvl>
    <w:lvl w:ilvl="1" w:tplc="004007B4">
      <w:start w:val="1"/>
      <w:numFmt w:val="bullet"/>
      <w:lvlText w:val="o"/>
      <w:lvlJc w:val="left"/>
      <w:pPr>
        <w:ind w:left="1440" w:hanging="360"/>
      </w:pPr>
      <w:rPr>
        <w:rFonts w:ascii="Courier New" w:hAnsi="Courier New" w:hint="default"/>
      </w:rPr>
    </w:lvl>
    <w:lvl w:ilvl="2" w:tplc="DBAAB46C">
      <w:start w:val="1"/>
      <w:numFmt w:val="bullet"/>
      <w:lvlText w:val=""/>
      <w:lvlJc w:val="left"/>
      <w:pPr>
        <w:ind w:left="2160" w:hanging="360"/>
      </w:pPr>
      <w:rPr>
        <w:rFonts w:ascii="Wingdings" w:hAnsi="Wingdings" w:hint="default"/>
      </w:rPr>
    </w:lvl>
    <w:lvl w:ilvl="3" w:tplc="4B9C34FC">
      <w:start w:val="1"/>
      <w:numFmt w:val="bullet"/>
      <w:lvlText w:val=""/>
      <w:lvlJc w:val="left"/>
      <w:pPr>
        <w:ind w:left="2880" w:hanging="360"/>
      </w:pPr>
      <w:rPr>
        <w:rFonts w:ascii="Symbol" w:hAnsi="Symbol" w:hint="default"/>
      </w:rPr>
    </w:lvl>
    <w:lvl w:ilvl="4" w:tplc="03F077CE">
      <w:start w:val="1"/>
      <w:numFmt w:val="bullet"/>
      <w:lvlText w:val="o"/>
      <w:lvlJc w:val="left"/>
      <w:pPr>
        <w:ind w:left="3600" w:hanging="360"/>
      </w:pPr>
      <w:rPr>
        <w:rFonts w:ascii="Courier New" w:hAnsi="Courier New" w:hint="default"/>
      </w:rPr>
    </w:lvl>
    <w:lvl w:ilvl="5" w:tplc="A464098C">
      <w:start w:val="1"/>
      <w:numFmt w:val="bullet"/>
      <w:lvlText w:val=""/>
      <w:lvlJc w:val="left"/>
      <w:pPr>
        <w:ind w:left="4320" w:hanging="360"/>
      </w:pPr>
      <w:rPr>
        <w:rFonts w:ascii="Wingdings" w:hAnsi="Wingdings" w:hint="default"/>
      </w:rPr>
    </w:lvl>
    <w:lvl w:ilvl="6" w:tplc="AA644D3C">
      <w:start w:val="1"/>
      <w:numFmt w:val="bullet"/>
      <w:lvlText w:val=""/>
      <w:lvlJc w:val="left"/>
      <w:pPr>
        <w:ind w:left="5040" w:hanging="360"/>
      </w:pPr>
      <w:rPr>
        <w:rFonts w:ascii="Symbol" w:hAnsi="Symbol" w:hint="default"/>
      </w:rPr>
    </w:lvl>
    <w:lvl w:ilvl="7" w:tplc="6CFEE4BC">
      <w:start w:val="1"/>
      <w:numFmt w:val="bullet"/>
      <w:lvlText w:val="o"/>
      <w:lvlJc w:val="left"/>
      <w:pPr>
        <w:ind w:left="5760" w:hanging="360"/>
      </w:pPr>
      <w:rPr>
        <w:rFonts w:ascii="Courier New" w:hAnsi="Courier New" w:hint="default"/>
      </w:rPr>
    </w:lvl>
    <w:lvl w:ilvl="8" w:tplc="A65EEBCA">
      <w:start w:val="1"/>
      <w:numFmt w:val="bullet"/>
      <w:lvlText w:val=""/>
      <w:lvlJc w:val="left"/>
      <w:pPr>
        <w:ind w:left="6480" w:hanging="360"/>
      </w:pPr>
      <w:rPr>
        <w:rFonts w:ascii="Wingdings" w:hAnsi="Wingdings" w:hint="default"/>
      </w:rPr>
    </w:lvl>
  </w:abstractNum>
  <w:abstractNum w:abstractNumId="26" w15:restartNumberingAfterBreak="0">
    <w:nsid w:val="6BEA368E"/>
    <w:multiLevelType w:val="multilevel"/>
    <w:tmpl w:val="2E7CD9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BE46E1"/>
    <w:multiLevelType w:val="hybridMultilevel"/>
    <w:tmpl w:val="C204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B5F418"/>
    <w:multiLevelType w:val="hybridMultilevel"/>
    <w:tmpl w:val="2B281DF0"/>
    <w:lvl w:ilvl="0" w:tplc="D7381004">
      <w:start w:val="1"/>
      <w:numFmt w:val="bullet"/>
      <w:lvlText w:val=""/>
      <w:lvlJc w:val="left"/>
      <w:pPr>
        <w:ind w:left="720" w:hanging="360"/>
      </w:pPr>
      <w:rPr>
        <w:rFonts w:ascii="Symbol" w:hAnsi="Symbol" w:hint="default"/>
      </w:rPr>
    </w:lvl>
    <w:lvl w:ilvl="1" w:tplc="BCB63ACA">
      <w:start w:val="1"/>
      <w:numFmt w:val="bullet"/>
      <w:lvlText w:val="o"/>
      <w:lvlJc w:val="left"/>
      <w:pPr>
        <w:ind w:left="1440" w:hanging="360"/>
      </w:pPr>
      <w:rPr>
        <w:rFonts w:ascii="Courier New" w:hAnsi="Courier New" w:hint="default"/>
      </w:rPr>
    </w:lvl>
    <w:lvl w:ilvl="2" w:tplc="E37A486E">
      <w:start w:val="1"/>
      <w:numFmt w:val="bullet"/>
      <w:lvlText w:val=""/>
      <w:lvlJc w:val="left"/>
      <w:pPr>
        <w:ind w:left="2160" w:hanging="360"/>
      </w:pPr>
      <w:rPr>
        <w:rFonts w:ascii="Wingdings" w:hAnsi="Wingdings" w:hint="default"/>
      </w:rPr>
    </w:lvl>
    <w:lvl w:ilvl="3" w:tplc="241838E8">
      <w:start w:val="1"/>
      <w:numFmt w:val="bullet"/>
      <w:lvlText w:val=""/>
      <w:lvlJc w:val="left"/>
      <w:pPr>
        <w:ind w:left="2880" w:hanging="360"/>
      </w:pPr>
      <w:rPr>
        <w:rFonts w:ascii="Symbol" w:hAnsi="Symbol" w:hint="default"/>
      </w:rPr>
    </w:lvl>
    <w:lvl w:ilvl="4" w:tplc="AA309E28">
      <w:start w:val="1"/>
      <w:numFmt w:val="bullet"/>
      <w:lvlText w:val="o"/>
      <w:lvlJc w:val="left"/>
      <w:pPr>
        <w:ind w:left="3600" w:hanging="360"/>
      </w:pPr>
      <w:rPr>
        <w:rFonts w:ascii="Courier New" w:hAnsi="Courier New" w:hint="default"/>
      </w:rPr>
    </w:lvl>
    <w:lvl w:ilvl="5" w:tplc="FCAC1688">
      <w:start w:val="1"/>
      <w:numFmt w:val="bullet"/>
      <w:lvlText w:val=""/>
      <w:lvlJc w:val="left"/>
      <w:pPr>
        <w:ind w:left="4320" w:hanging="360"/>
      </w:pPr>
      <w:rPr>
        <w:rFonts w:ascii="Wingdings" w:hAnsi="Wingdings" w:hint="default"/>
      </w:rPr>
    </w:lvl>
    <w:lvl w:ilvl="6" w:tplc="B4886954">
      <w:start w:val="1"/>
      <w:numFmt w:val="bullet"/>
      <w:lvlText w:val=""/>
      <w:lvlJc w:val="left"/>
      <w:pPr>
        <w:ind w:left="5040" w:hanging="360"/>
      </w:pPr>
      <w:rPr>
        <w:rFonts w:ascii="Symbol" w:hAnsi="Symbol" w:hint="default"/>
      </w:rPr>
    </w:lvl>
    <w:lvl w:ilvl="7" w:tplc="4ED243AE">
      <w:start w:val="1"/>
      <w:numFmt w:val="bullet"/>
      <w:lvlText w:val="o"/>
      <w:lvlJc w:val="left"/>
      <w:pPr>
        <w:ind w:left="5760" w:hanging="360"/>
      </w:pPr>
      <w:rPr>
        <w:rFonts w:ascii="Courier New" w:hAnsi="Courier New" w:hint="default"/>
      </w:rPr>
    </w:lvl>
    <w:lvl w:ilvl="8" w:tplc="DED40458">
      <w:start w:val="1"/>
      <w:numFmt w:val="bullet"/>
      <w:lvlText w:val=""/>
      <w:lvlJc w:val="left"/>
      <w:pPr>
        <w:ind w:left="6480" w:hanging="360"/>
      </w:pPr>
      <w:rPr>
        <w:rFonts w:ascii="Wingdings" w:hAnsi="Wingdings" w:hint="default"/>
      </w:r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3"/>
  </w:num>
  <w:num w:numId="12" w16cid:durableId="226036663">
    <w:abstractNumId w:val="17"/>
  </w:num>
  <w:num w:numId="13" w16cid:durableId="621620155">
    <w:abstractNumId w:val="18"/>
  </w:num>
  <w:num w:numId="14" w16cid:durableId="118181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733530">
    <w:abstractNumId w:val="16"/>
  </w:num>
  <w:num w:numId="16" w16cid:durableId="1130200758">
    <w:abstractNumId w:val="27"/>
  </w:num>
  <w:num w:numId="17" w16cid:durableId="907691912">
    <w:abstractNumId w:val="20"/>
  </w:num>
  <w:num w:numId="18" w16cid:durableId="802770816">
    <w:abstractNumId w:val="26"/>
  </w:num>
  <w:num w:numId="19" w16cid:durableId="1809779260">
    <w:abstractNumId w:val="10"/>
  </w:num>
  <w:num w:numId="20" w16cid:durableId="1714647796">
    <w:abstractNumId w:val="21"/>
  </w:num>
  <w:num w:numId="21" w16cid:durableId="779570686">
    <w:abstractNumId w:val="23"/>
  </w:num>
  <w:num w:numId="22" w16cid:durableId="381444555">
    <w:abstractNumId w:val="15"/>
  </w:num>
  <w:num w:numId="23" w16cid:durableId="1773818810">
    <w:abstractNumId w:val="25"/>
  </w:num>
  <w:num w:numId="24" w16cid:durableId="1039282089">
    <w:abstractNumId w:val="28"/>
  </w:num>
  <w:num w:numId="25" w16cid:durableId="549420391">
    <w:abstractNumId w:val="12"/>
  </w:num>
  <w:num w:numId="26" w16cid:durableId="1521436631">
    <w:abstractNumId w:val="11"/>
  </w:num>
  <w:num w:numId="27" w16cid:durableId="750195504">
    <w:abstractNumId w:val="14"/>
  </w:num>
  <w:num w:numId="28" w16cid:durableId="195850366">
    <w:abstractNumId w:val="24"/>
  </w:num>
  <w:num w:numId="29" w16cid:durableId="151682195">
    <w:abstractNumId w:val="22"/>
  </w:num>
  <w:num w:numId="30" w16cid:durableId="13881389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9A"/>
    <w:rsid w:val="00001EFB"/>
    <w:rsid w:val="00003F9A"/>
    <w:rsid w:val="0000440E"/>
    <w:rsid w:val="0001181B"/>
    <w:rsid w:val="00012AF3"/>
    <w:rsid w:val="00012F82"/>
    <w:rsid w:val="00014983"/>
    <w:rsid w:val="00014CC7"/>
    <w:rsid w:val="00024C52"/>
    <w:rsid w:val="0002582B"/>
    <w:rsid w:val="00027833"/>
    <w:rsid w:val="00032B06"/>
    <w:rsid w:val="000342A9"/>
    <w:rsid w:val="00036CDB"/>
    <w:rsid w:val="00036FD8"/>
    <w:rsid w:val="00047942"/>
    <w:rsid w:val="000503E5"/>
    <w:rsid w:val="00052BBC"/>
    <w:rsid w:val="00063696"/>
    <w:rsid w:val="000646C2"/>
    <w:rsid w:val="00067F9A"/>
    <w:rsid w:val="00071FA9"/>
    <w:rsid w:val="0007306C"/>
    <w:rsid w:val="00077415"/>
    <w:rsid w:val="00080E67"/>
    <w:rsid w:val="000829E1"/>
    <w:rsid w:val="00086F5E"/>
    <w:rsid w:val="0009049A"/>
    <w:rsid w:val="000A2256"/>
    <w:rsid w:val="000A453D"/>
    <w:rsid w:val="000B2701"/>
    <w:rsid w:val="000B3038"/>
    <w:rsid w:val="000B5E25"/>
    <w:rsid w:val="000B6365"/>
    <w:rsid w:val="000C294B"/>
    <w:rsid w:val="000C699F"/>
    <w:rsid w:val="000C6D13"/>
    <w:rsid w:val="000D699C"/>
    <w:rsid w:val="000E19D9"/>
    <w:rsid w:val="000E3AD2"/>
    <w:rsid w:val="000E3D80"/>
    <w:rsid w:val="000F6D3E"/>
    <w:rsid w:val="000F6E99"/>
    <w:rsid w:val="00100874"/>
    <w:rsid w:val="00101CDE"/>
    <w:rsid w:val="001029C8"/>
    <w:rsid w:val="00104165"/>
    <w:rsid w:val="00107971"/>
    <w:rsid w:val="00116F87"/>
    <w:rsid w:val="00117BF7"/>
    <w:rsid w:val="00120F68"/>
    <w:rsid w:val="001219AF"/>
    <w:rsid w:val="00124F07"/>
    <w:rsid w:val="0012702F"/>
    <w:rsid w:val="00136E10"/>
    <w:rsid w:val="001370B7"/>
    <w:rsid w:val="001406DF"/>
    <w:rsid w:val="0014254C"/>
    <w:rsid w:val="001434E4"/>
    <w:rsid w:val="00143933"/>
    <w:rsid w:val="00143A9D"/>
    <w:rsid w:val="001459A1"/>
    <w:rsid w:val="00150801"/>
    <w:rsid w:val="00153C51"/>
    <w:rsid w:val="001560E2"/>
    <w:rsid w:val="00157F1D"/>
    <w:rsid w:val="00157F35"/>
    <w:rsid w:val="00161C3E"/>
    <w:rsid w:val="00164773"/>
    <w:rsid w:val="00175D75"/>
    <w:rsid w:val="001916F5"/>
    <w:rsid w:val="001941CE"/>
    <w:rsid w:val="00194375"/>
    <w:rsid w:val="00194B62"/>
    <w:rsid w:val="001A04A0"/>
    <w:rsid w:val="001A4943"/>
    <w:rsid w:val="001A6B2E"/>
    <w:rsid w:val="001A7D34"/>
    <w:rsid w:val="001B0168"/>
    <w:rsid w:val="001B28CB"/>
    <w:rsid w:val="001B3598"/>
    <w:rsid w:val="001B56EE"/>
    <w:rsid w:val="001B7C9E"/>
    <w:rsid w:val="001B7D21"/>
    <w:rsid w:val="001C0F05"/>
    <w:rsid w:val="001C455B"/>
    <w:rsid w:val="001C6651"/>
    <w:rsid w:val="001D0796"/>
    <w:rsid w:val="001D0A10"/>
    <w:rsid w:val="001D0BF4"/>
    <w:rsid w:val="001D0F24"/>
    <w:rsid w:val="001D3BC8"/>
    <w:rsid w:val="001D6104"/>
    <w:rsid w:val="001D76FE"/>
    <w:rsid w:val="001E270A"/>
    <w:rsid w:val="001E33B8"/>
    <w:rsid w:val="001F3D57"/>
    <w:rsid w:val="001F48B1"/>
    <w:rsid w:val="001F5048"/>
    <w:rsid w:val="001F6321"/>
    <w:rsid w:val="001F6FA0"/>
    <w:rsid w:val="001F7013"/>
    <w:rsid w:val="002029DF"/>
    <w:rsid w:val="00214FD1"/>
    <w:rsid w:val="00217EAB"/>
    <w:rsid w:val="0022030D"/>
    <w:rsid w:val="0022432F"/>
    <w:rsid w:val="0022498C"/>
    <w:rsid w:val="00230149"/>
    <w:rsid w:val="00230C6F"/>
    <w:rsid w:val="00233471"/>
    <w:rsid w:val="002375F5"/>
    <w:rsid w:val="00237706"/>
    <w:rsid w:val="00240C99"/>
    <w:rsid w:val="0024243C"/>
    <w:rsid w:val="00243217"/>
    <w:rsid w:val="00246442"/>
    <w:rsid w:val="00246AE8"/>
    <w:rsid w:val="0025028D"/>
    <w:rsid w:val="00253091"/>
    <w:rsid w:val="002534FD"/>
    <w:rsid w:val="002547A5"/>
    <w:rsid w:val="002620D5"/>
    <w:rsid w:val="0026411F"/>
    <w:rsid w:val="00264B15"/>
    <w:rsid w:val="00264FEE"/>
    <w:rsid w:val="002670D1"/>
    <w:rsid w:val="00271BA3"/>
    <w:rsid w:val="002724D0"/>
    <w:rsid w:val="002726B4"/>
    <w:rsid w:val="00274598"/>
    <w:rsid w:val="00274C00"/>
    <w:rsid w:val="00282C0E"/>
    <w:rsid w:val="00283587"/>
    <w:rsid w:val="002863CB"/>
    <w:rsid w:val="00290B73"/>
    <w:rsid w:val="002A0020"/>
    <w:rsid w:val="002A08A5"/>
    <w:rsid w:val="002A384B"/>
    <w:rsid w:val="002B1CE5"/>
    <w:rsid w:val="002B6D68"/>
    <w:rsid w:val="002C1975"/>
    <w:rsid w:val="002C205F"/>
    <w:rsid w:val="002C22C5"/>
    <w:rsid w:val="002C29F9"/>
    <w:rsid w:val="002C35B4"/>
    <w:rsid w:val="002C71E0"/>
    <w:rsid w:val="002D66CF"/>
    <w:rsid w:val="002D7EA9"/>
    <w:rsid w:val="002E4EF2"/>
    <w:rsid w:val="002E53A4"/>
    <w:rsid w:val="002F2D11"/>
    <w:rsid w:val="002F4DB3"/>
    <w:rsid w:val="003009DF"/>
    <w:rsid w:val="003017B1"/>
    <w:rsid w:val="00302D06"/>
    <w:rsid w:val="00305BDD"/>
    <w:rsid w:val="00306347"/>
    <w:rsid w:val="003077E1"/>
    <w:rsid w:val="00311EC2"/>
    <w:rsid w:val="00314C9B"/>
    <w:rsid w:val="00315E46"/>
    <w:rsid w:val="00316CE5"/>
    <w:rsid w:val="00317285"/>
    <w:rsid w:val="0032009F"/>
    <w:rsid w:val="0032615D"/>
    <w:rsid w:val="00332A30"/>
    <w:rsid w:val="00336107"/>
    <w:rsid w:val="00336735"/>
    <w:rsid w:val="00336A5D"/>
    <w:rsid w:val="00337D19"/>
    <w:rsid w:val="00342C59"/>
    <w:rsid w:val="00346A37"/>
    <w:rsid w:val="00346A54"/>
    <w:rsid w:val="00347878"/>
    <w:rsid w:val="00350FFA"/>
    <w:rsid w:val="00352995"/>
    <w:rsid w:val="00354022"/>
    <w:rsid w:val="00355A9B"/>
    <w:rsid w:val="003602AE"/>
    <w:rsid w:val="0036077C"/>
    <w:rsid w:val="003614F4"/>
    <w:rsid w:val="00362138"/>
    <w:rsid w:val="00363E74"/>
    <w:rsid w:val="00373E62"/>
    <w:rsid w:val="003754BC"/>
    <w:rsid w:val="00382F07"/>
    <w:rsid w:val="00386402"/>
    <w:rsid w:val="00391764"/>
    <w:rsid w:val="0039478A"/>
    <w:rsid w:val="00394A0D"/>
    <w:rsid w:val="00396119"/>
    <w:rsid w:val="00397B33"/>
    <w:rsid w:val="003A1A2D"/>
    <w:rsid w:val="003A1BE2"/>
    <w:rsid w:val="003A2555"/>
    <w:rsid w:val="003A5160"/>
    <w:rsid w:val="003A5A02"/>
    <w:rsid w:val="003A756E"/>
    <w:rsid w:val="003B00B7"/>
    <w:rsid w:val="003B0F57"/>
    <w:rsid w:val="003B184B"/>
    <w:rsid w:val="003C0580"/>
    <w:rsid w:val="003C2885"/>
    <w:rsid w:val="003C3158"/>
    <w:rsid w:val="003C3313"/>
    <w:rsid w:val="003D0347"/>
    <w:rsid w:val="003D2647"/>
    <w:rsid w:val="003D7469"/>
    <w:rsid w:val="003E098D"/>
    <w:rsid w:val="003F22C3"/>
    <w:rsid w:val="003F7635"/>
    <w:rsid w:val="003F786B"/>
    <w:rsid w:val="00400FF9"/>
    <w:rsid w:val="00403B48"/>
    <w:rsid w:val="0040455B"/>
    <w:rsid w:val="00405FCD"/>
    <w:rsid w:val="004071B5"/>
    <w:rsid w:val="0041686B"/>
    <w:rsid w:val="00416BE2"/>
    <w:rsid w:val="00426969"/>
    <w:rsid w:val="00427F65"/>
    <w:rsid w:val="00444092"/>
    <w:rsid w:val="004442DA"/>
    <w:rsid w:val="0044449D"/>
    <w:rsid w:val="00445D02"/>
    <w:rsid w:val="004461B8"/>
    <w:rsid w:val="004507FE"/>
    <w:rsid w:val="00451CEC"/>
    <w:rsid w:val="00451D51"/>
    <w:rsid w:val="00453C04"/>
    <w:rsid w:val="00455603"/>
    <w:rsid w:val="00461E62"/>
    <w:rsid w:val="00462676"/>
    <w:rsid w:val="00472D71"/>
    <w:rsid w:val="004755E1"/>
    <w:rsid w:val="0048256C"/>
    <w:rsid w:val="004830AA"/>
    <w:rsid w:val="00484A68"/>
    <w:rsid w:val="004867A2"/>
    <w:rsid w:val="00486A6F"/>
    <w:rsid w:val="00486FB6"/>
    <w:rsid w:val="00492104"/>
    <w:rsid w:val="00495FFE"/>
    <w:rsid w:val="00497764"/>
    <w:rsid w:val="004A301E"/>
    <w:rsid w:val="004A40C7"/>
    <w:rsid w:val="004B06BB"/>
    <w:rsid w:val="004C4FF4"/>
    <w:rsid w:val="004C75E6"/>
    <w:rsid w:val="004C7947"/>
    <w:rsid w:val="004D15BC"/>
    <w:rsid w:val="004D53BF"/>
    <w:rsid w:val="004D6BB6"/>
    <w:rsid w:val="004E4D39"/>
    <w:rsid w:val="004E577F"/>
    <w:rsid w:val="004F3331"/>
    <w:rsid w:val="004F4A1C"/>
    <w:rsid w:val="00500F7B"/>
    <w:rsid w:val="00501545"/>
    <w:rsid w:val="00503B48"/>
    <w:rsid w:val="00505653"/>
    <w:rsid w:val="005057BC"/>
    <w:rsid w:val="005115BB"/>
    <w:rsid w:val="00511A52"/>
    <w:rsid w:val="0051352E"/>
    <w:rsid w:val="005145C4"/>
    <w:rsid w:val="00516590"/>
    <w:rsid w:val="00517DA7"/>
    <w:rsid w:val="00520A33"/>
    <w:rsid w:val="005242E0"/>
    <w:rsid w:val="0052464C"/>
    <w:rsid w:val="00524AB0"/>
    <w:rsid w:val="00527749"/>
    <w:rsid w:val="00527AE4"/>
    <w:rsid w:val="00534CE4"/>
    <w:rsid w:val="00541133"/>
    <w:rsid w:val="0054599A"/>
    <w:rsid w:val="00545BC1"/>
    <w:rsid w:val="0054702A"/>
    <w:rsid w:val="00552317"/>
    <w:rsid w:val="00557E1E"/>
    <w:rsid w:val="0056343B"/>
    <w:rsid w:val="005634DD"/>
    <w:rsid w:val="005662BE"/>
    <w:rsid w:val="00566AFD"/>
    <w:rsid w:val="00567BEF"/>
    <w:rsid w:val="00572817"/>
    <w:rsid w:val="00572AD7"/>
    <w:rsid w:val="00576DBE"/>
    <w:rsid w:val="0058154B"/>
    <w:rsid w:val="005821F4"/>
    <w:rsid w:val="0058535E"/>
    <w:rsid w:val="00585F1B"/>
    <w:rsid w:val="005910CB"/>
    <w:rsid w:val="0059160A"/>
    <w:rsid w:val="00595933"/>
    <w:rsid w:val="005A21B8"/>
    <w:rsid w:val="005A437C"/>
    <w:rsid w:val="005B1DEF"/>
    <w:rsid w:val="005B563F"/>
    <w:rsid w:val="005C1C8D"/>
    <w:rsid w:val="005C2A19"/>
    <w:rsid w:val="005C2B18"/>
    <w:rsid w:val="005C2D99"/>
    <w:rsid w:val="005C3CCF"/>
    <w:rsid w:val="005C41C9"/>
    <w:rsid w:val="005C7F8D"/>
    <w:rsid w:val="005D2C22"/>
    <w:rsid w:val="005D3388"/>
    <w:rsid w:val="005D4E4B"/>
    <w:rsid w:val="005E2115"/>
    <w:rsid w:val="005E3556"/>
    <w:rsid w:val="005E4904"/>
    <w:rsid w:val="005E5C14"/>
    <w:rsid w:val="005E7881"/>
    <w:rsid w:val="005F37A4"/>
    <w:rsid w:val="005F7B1F"/>
    <w:rsid w:val="00602D5A"/>
    <w:rsid w:val="00603EF0"/>
    <w:rsid w:val="006065FA"/>
    <w:rsid w:val="0062072D"/>
    <w:rsid w:val="00621902"/>
    <w:rsid w:val="00621F84"/>
    <w:rsid w:val="00630DDF"/>
    <w:rsid w:val="00631B9A"/>
    <w:rsid w:val="00634A0B"/>
    <w:rsid w:val="006354BD"/>
    <w:rsid w:val="0063586C"/>
    <w:rsid w:val="006404FA"/>
    <w:rsid w:val="0064675C"/>
    <w:rsid w:val="0065023B"/>
    <w:rsid w:val="00651279"/>
    <w:rsid w:val="00656521"/>
    <w:rsid w:val="0065659E"/>
    <w:rsid w:val="0066290B"/>
    <w:rsid w:val="006637DC"/>
    <w:rsid w:val="0067328C"/>
    <w:rsid w:val="00683970"/>
    <w:rsid w:val="0068479C"/>
    <w:rsid w:val="00687177"/>
    <w:rsid w:val="00687E82"/>
    <w:rsid w:val="00691D13"/>
    <w:rsid w:val="00692346"/>
    <w:rsid w:val="00696F30"/>
    <w:rsid w:val="006A43CD"/>
    <w:rsid w:val="006A443A"/>
    <w:rsid w:val="006B0640"/>
    <w:rsid w:val="006C056E"/>
    <w:rsid w:val="006C2468"/>
    <w:rsid w:val="006C3A42"/>
    <w:rsid w:val="006C5904"/>
    <w:rsid w:val="006C66E0"/>
    <w:rsid w:val="006D2C61"/>
    <w:rsid w:val="006E03EC"/>
    <w:rsid w:val="006E2DD7"/>
    <w:rsid w:val="006E3978"/>
    <w:rsid w:val="006E5D6E"/>
    <w:rsid w:val="006E67F6"/>
    <w:rsid w:val="006F2357"/>
    <w:rsid w:val="006F47C1"/>
    <w:rsid w:val="006F6F3C"/>
    <w:rsid w:val="006F79CA"/>
    <w:rsid w:val="00700BB9"/>
    <w:rsid w:val="00700F2E"/>
    <w:rsid w:val="00701AD2"/>
    <w:rsid w:val="00701F25"/>
    <w:rsid w:val="00702372"/>
    <w:rsid w:val="00705268"/>
    <w:rsid w:val="00705988"/>
    <w:rsid w:val="00706799"/>
    <w:rsid w:val="00713FA6"/>
    <w:rsid w:val="00715384"/>
    <w:rsid w:val="00716374"/>
    <w:rsid w:val="007206CA"/>
    <w:rsid w:val="00721591"/>
    <w:rsid w:val="00721B03"/>
    <w:rsid w:val="00721BBD"/>
    <w:rsid w:val="007224E2"/>
    <w:rsid w:val="00722CF5"/>
    <w:rsid w:val="00726970"/>
    <w:rsid w:val="00735D61"/>
    <w:rsid w:val="00737327"/>
    <w:rsid w:val="00740058"/>
    <w:rsid w:val="0074177F"/>
    <w:rsid w:val="00743D7A"/>
    <w:rsid w:val="00745AC1"/>
    <w:rsid w:val="00746DD9"/>
    <w:rsid w:val="0075457B"/>
    <w:rsid w:val="00767B87"/>
    <w:rsid w:val="00770C35"/>
    <w:rsid w:val="00774222"/>
    <w:rsid w:val="0077662D"/>
    <w:rsid w:val="00776B67"/>
    <w:rsid w:val="00777B44"/>
    <w:rsid w:val="0078023A"/>
    <w:rsid w:val="007855CC"/>
    <w:rsid w:val="00787257"/>
    <w:rsid w:val="00790ACF"/>
    <w:rsid w:val="00794BDB"/>
    <w:rsid w:val="007977BB"/>
    <w:rsid w:val="007A0C23"/>
    <w:rsid w:val="007A151E"/>
    <w:rsid w:val="007A188C"/>
    <w:rsid w:val="007A7259"/>
    <w:rsid w:val="007A7AC6"/>
    <w:rsid w:val="007B11A7"/>
    <w:rsid w:val="007B1ABA"/>
    <w:rsid w:val="007B5295"/>
    <w:rsid w:val="007B5A3D"/>
    <w:rsid w:val="007B74C5"/>
    <w:rsid w:val="007B7D76"/>
    <w:rsid w:val="007C0359"/>
    <w:rsid w:val="007C15AB"/>
    <w:rsid w:val="007C2859"/>
    <w:rsid w:val="007C4F7A"/>
    <w:rsid w:val="007D0F12"/>
    <w:rsid w:val="007D155F"/>
    <w:rsid w:val="007D332D"/>
    <w:rsid w:val="007D6511"/>
    <w:rsid w:val="007E28D9"/>
    <w:rsid w:val="007E6D4E"/>
    <w:rsid w:val="007E71DE"/>
    <w:rsid w:val="007E7835"/>
    <w:rsid w:val="007F06A9"/>
    <w:rsid w:val="007F3A24"/>
    <w:rsid w:val="007F4822"/>
    <w:rsid w:val="00801C14"/>
    <w:rsid w:val="00817A5A"/>
    <w:rsid w:val="00822F6E"/>
    <w:rsid w:val="008237AE"/>
    <w:rsid w:val="008303B5"/>
    <w:rsid w:val="0083406D"/>
    <w:rsid w:val="008354D5"/>
    <w:rsid w:val="0083603D"/>
    <w:rsid w:val="008366CF"/>
    <w:rsid w:val="00836C54"/>
    <w:rsid w:val="00842578"/>
    <w:rsid w:val="00843DF7"/>
    <w:rsid w:val="00845F7C"/>
    <w:rsid w:val="008507C1"/>
    <w:rsid w:val="00850B4E"/>
    <w:rsid w:val="008525A4"/>
    <w:rsid w:val="008543CE"/>
    <w:rsid w:val="00861934"/>
    <w:rsid w:val="00866C37"/>
    <w:rsid w:val="008706A2"/>
    <w:rsid w:val="0087656C"/>
    <w:rsid w:val="00876638"/>
    <w:rsid w:val="00880918"/>
    <w:rsid w:val="008864CA"/>
    <w:rsid w:val="0088721A"/>
    <w:rsid w:val="0089195E"/>
    <w:rsid w:val="0089217B"/>
    <w:rsid w:val="00893671"/>
    <w:rsid w:val="00896406"/>
    <w:rsid w:val="008A48B2"/>
    <w:rsid w:val="008A62A0"/>
    <w:rsid w:val="008B17EB"/>
    <w:rsid w:val="008B2550"/>
    <w:rsid w:val="008B2CBC"/>
    <w:rsid w:val="008B3B1E"/>
    <w:rsid w:val="008B3EAD"/>
    <w:rsid w:val="008B5203"/>
    <w:rsid w:val="008B7166"/>
    <w:rsid w:val="008C0212"/>
    <w:rsid w:val="008C712E"/>
    <w:rsid w:val="008C7531"/>
    <w:rsid w:val="008C7C92"/>
    <w:rsid w:val="008D2BA3"/>
    <w:rsid w:val="008D612C"/>
    <w:rsid w:val="008E2854"/>
    <w:rsid w:val="008E338C"/>
    <w:rsid w:val="008E4E43"/>
    <w:rsid w:val="008E6479"/>
    <w:rsid w:val="008F0AC9"/>
    <w:rsid w:val="008F17A5"/>
    <w:rsid w:val="008F54DB"/>
    <w:rsid w:val="008F6EB3"/>
    <w:rsid w:val="008F7050"/>
    <w:rsid w:val="00900898"/>
    <w:rsid w:val="009037F7"/>
    <w:rsid w:val="009047C6"/>
    <w:rsid w:val="00905E7A"/>
    <w:rsid w:val="00913CAD"/>
    <w:rsid w:val="00914209"/>
    <w:rsid w:val="00917F5F"/>
    <w:rsid w:val="00921BB8"/>
    <w:rsid w:val="009220AA"/>
    <w:rsid w:val="00923836"/>
    <w:rsid w:val="00924770"/>
    <w:rsid w:val="0092599C"/>
    <w:rsid w:val="009263CD"/>
    <w:rsid w:val="009268E4"/>
    <w:rsid w:val="00927DA8"/>
    <w:rsid w:val="00930CDA"/>
    <w:rsid w:val="00931C4B"/>
    <w:rsid w:val="0093224A"/>
    <w:rsid w:val="0093473D"/>
    <w:rsid w:val="00941710"/>
    <w:rsid w:val="00944454"/>
    <w:rsid w:val="009456DE"/>
    <w:rsid w:val="00950043"/>
    <w:rsid w:val="009521DD"/>
    <w:rsid w:val="00955D89"/>
    <w:rsid w:val="0095636C"/>
    <w:rsid w:val="0096077D"/>
    <w:rsid w:val="00960F40"/>
    <w:rsid w:val="00961E23"/>
    <w:rsid w:val="00962374"/>
    <w:rsid w:val="00963036"/>
    <w:rsid w:val="009668C4"/>
    <w:rsid w:val="009668F2"/>
    <w:rsid w:val="00967206"/>
    <w:rsid w:val="0097070B"/>
    <w:rsid w:val="00972F57"/>
    <w:rsid w:val="00974968"/>
    <w:rsid w:val="009857E1"/>
    <w:rsid w:val="00986965"/>
    <w:rsid w:val="00986C64"/>
    <w:rsid w:val="00987AD2"/>
    <w:rsid w:val="0099051F"/>
    <w:rsid w:val="00991CF8"/>
    <w:rsid w:val="00992DF0"/>
    <w:rsid w:val="00993155"/>
    <w:rsid w:val="00993229"/>
    <w:rsid w:val="00995280"/>
    <w:rsid w:val="00996C68"/>
    <w:rsid w:val="009A2F0A"/>
    <w:rsid w:val="009A575D"/>
    <w:rsid w:val="009B069C"/>
    <w:rsid w:val="009B1A41"/>
    <w:rsid w:val="009B5BE1"/>
    <w:rsid w:val="009B76A8"/>
    <w:rsid w:val="009B7F3C"/>
    <w:rsid w:val="009C003B"/>
    <w:rsid w:val="009C0A06"/>
    <w:rsid w:val="009C267D"/>
    <w:rsid w:val="009C570A"/>
    <w:rsid w:val="009C5A78"/>
    <w:rsid w:val="009C6573"/>
    <w:rsid w:val="009D506A"/>
    <w:rsid w:val="009D7D71"/>
    <w:rsid w:val="009E3151"/>
    <w:rsid w:val="009E4E54"/>
    <w:rsid w:val="009E68FE"/>
    <w:rsid w:val="009F4363"/>
    <w:rsid w:val="009F4DF3"/>
    <w:rsid w:val="009F5073"/>
    <w:rsid w:val="009F6AF9"/>
    <w:rsid w:val="00A00AE6"/>
    <w:rsid w:val="00A01D00"/>
    <w:rsid w:val="00A041C3"/>
    <w:rsid w:val="00A10499"/>
    <w:rsid w:val="00A10588"/>
    <w:rsid w:val="00A10D40"/>
    <w:rsid w:val="00A111E5"/>
    <w:rsid w:val="00A14D4D"/>
    <w:rsid w:val="00A16829"/>
    <w:rsid w:val="00A208CF"/>
    <w:rsid w:val="00A22849"/>
    <w:rsid w:val="00A23804"/>
    <w:rsid w:val="00A24E6E"/>
    <w:rsid w:val="00A32795"/>
    <w:rsid w:val="00A33850"/>
    <w:rsid w:val="00A355DF"/>
    <w:rsid w:val="00A36868"/>
    <w:rsid w:val="00A43694"/>
    <w:rsid w:val="00A44CED"/>
    <w:rsid w:val="00A45124"/>
    <w:rsid w:val="00A511F2"/>
    <w:rsid w:val="00A51D19"/>
    <w:rsid w:val="00A53B29"/>
    <w:rsid w:val="00A53ED2"/>
    <w:rsid w:val="00A5518C"/>
    <w:rsid w:val="00A5650E"/>
    <w:rsid w:val="00A56FC7"/>
    <w:rsid w:val="00A57E70"/>
    <w:rsid w:val="00A62AB0"/>
    <w:rsid w:val="00A656DA"/>
    <w:rsid w:val="00A6574A"/>
    <w:rsid w:val="00A70913"/>
    <w:rsid w:val="00A72575"/>
    <w:rsid w:val="00A74071"/>
    <w:rsid w:val="00A7468D"/>
    <w:rsid w:val="00A80CAF"/>
    <w:rsid w:val="00A80EF1"/>
    <w:rsid w:val="00A844AC"/>
    <w:rsid w:val="00A85E0E"/>
    <w:rsid w:val="00A90829"/>
    <w:rsid w:val="00A922F6"/>
    <w:rsid w:val="00A96CC1"/>
    <w:rsid w:val="00AA124A"/>
    <w:rsid w:val="00AA2A96"/>
    <w:rsid w:val="00AA3E16"/>
    <w:rsid w:val="00AA5C0C"/>
    <w:rsid w:val="00AC00E5"/>
    <w:rsid w:val="00AC19D7"/>
    <w:rsid w:val="00AC2308"/>
    <w:rsid w:val="00AC2544"/>
    <w:rsid w:val="00AC3C4C"/>
    <w:rsid w:val="00AD0751"/>
    <w:rsid w:val="00AD0BBF"/>
    <w:rsid w:val="00AD2E49"/>
    <w:rsid w:val="00AD5EDE"/>
    <w:rsid w:val="00AD650C"/>
    <w:rsid w:val="00AD67C6"/>
    <w:rsid w:val="00AE005F"/>
    <w:rsid w:val="00AE3346"/>
    <w:rsid w:val="00AE52D1"/>
    <w:rsid w:val="00AE5E96"/>
    <w:rsid w:val="00AE6F75"/>
    <w:rsid w:val="00AF7F2C"/>
    <w:rsid w:val="00B0192B"/>
    <w:rsid w:val="00B04E33"/>
    <w:rsid w:val="00B055B7"/>
    <w:rsid w:val="00B06552"/>
    <w:rsid w:val="00B100CC"/>
    <w:rsid w:val="00B14B2B"/>
    <w:rsid w:val="00B31C14"/>
    <w:rsid w:val="00B31E62"/>
    <w:rsid w:val="00B324B6"/>
    <w:rsid w:val="00B324F3"/>
    <w:rsid w:val="00B40EDE"/>
    <w:rsid w:val="00B4357B"/>
    <w:rsid w:val="00B4670D"/>
    <w:rsid w:val="00B46C3B"/>
    <w:rsid w:val="00B51E3A"/>
    <w:rsid w:val="00B635DC"/>
    <w:rsid w:val="00B63E6A"/>
    <w:rsid w:val="00B63F17"/>
    <w:rsid w:val="00B64773"/>
    <w:rsid w:val="00B6689D"/>
    <w:rsid w:val="00B678C1"/>
    <w:rsid w:val="00B703D5"/>
    <w:rsid w:val="00B72368"/>
    <w:rsid w:val="00B7245E"/>
    <w:rsid w:val="00B73EA9"/>
    <w:rsid w:val="00B74710"/>
    <w:rsid w:val="00B75B5F"/>
    <w:rsid w:val="00B76927"/>
    <w:rsid w:val="00B80557"/>
    <w:rsid w:val="00B80DD6"/>
    <w:rsid w:val="00B81B24"/>
    <w:rsid w:val="00B81B60"/>
    <w:rsid w:val="00B8483D"/>
    <w:rsid w:val="00B84941"/>
    <w:rsid w:val="00B8719A"/>
    <w:rsid w:val="00B871C3"/>
    <w:rsid w:val="00B87A41"/>
    <w:rsid w:val="00B97FDB"/>
    <w:rsid w:val="00BA26F5"/>
    <w:rsid w:val="00BA42A4"/>
    <w:rsid w:val="00BB04DF"/>
    <w:rsid w:val="00BB1D51"/>
    <w:rsid w:val="00BB3A88"/>
    <w:rsid w:val="00BB47A1"/>
    <w:rsid w:val="00BB60D0"/>
    <w:rsid w:val="00BB6677"/>
    <w:rsid w:val="00BB711C"/>
    <w:rsid w:val="00BC39EB"/>
    <w:rsid w:val="00BC41B1"/>
    <w:rsid w:val="00BD0F3E"/>
    <w:rsid w:val="00BD2946"/>
    <w:rsid w:val="00BD3A04"/>
    <w:rsid w:val="00BD48EE"/>
    <w:rsid w:val="00BD7150"/>
    <w:rsid w:val="00BE161F"/>
    <w:rsid w:val="00BE6089"/>
    <w:rsid w:val="00BE737E"/>
    <w:rsid w:val="00BE774D"/>
    <w:rsid w:val="00BF1940"/>
    <w:rsid w:val="00C0155E"/>
    <w:rsid w:val="00C07410"/>
    <w:rsid w:val="00C10B67"/>
    <w:rsid w:val="00C20496"/>
    <w:rsid w:val="00C20991"/>
    <w:rsid w:val="00C316D1"/>
    <w:rsid w:val="00C31E64"/>
    <w:rsid w:val="00C31FBB"/>
    <w:rsid w:val="00C424A8"/>
    <w:rsid w:val="00C444D7"/>
    <w:rsid w:val="00C445A9"/>
    <w:rsid w:val="00C5074C"/>
    <w:rsid w:val="00C52BE0"/>
    <w:rsid w:val="00C54D58"/>
    <w:rsid w:val="00C573E1"/>
    <w:rsid w:val="00C62440"/>
    <w:rsid w:val="00C64CE5"/>
    <w:rsid w:val="00C661FB"/>
    <w:rsid w:val="00C80396"/>
    <w:rsid w:val="00C86C0E"/>
    <w:rsid w:val="00C918DE"/>
    <w:rsid w:val="00C93DA6"/>
    <w:rsid w:val="00C95DF6"/>
    <w:rsid w:val="00C96AD1"/>
    <w:rsid w:val="00CA6FAC"/>
    <w:rsid w:val="00CB07EA"/>
    <w:rsid w:val="00CC26BF"/>
    <w:rsid w:val="00CC4BA6"/>
    <w:rsid w:val="00CC5184"/>
    <w:rsid w:val="00CD19D8"/>
    <w:rsid w:val="00CD4270"/>
    <w:rsid w:val="00CD7CD8"/>
    <w:rsid w:val="00CE20EF"/>
    <w:rsid w:val="00CE5D4D"/>
    <w:rsid w:val="00CF449D"/>
    <w:rsid w:val="00CF6A60"/>
    <w:rsid w:val="00CF71EA"/>
    <w:rsid w:val="00D0036D"/>
    <w:rsid w:val="00D06827"/>
    <w:rsid w:val="00D074F1"/>
    <w:rsid w:val="00D07C06"/>
    <w:rsid w:val="00D108DA"/>
    <w:rsid w:val="00D16002"/>
    <w:rsid w:val="00D1656E"/>
    <w:rsid w:val="00D16A6A"/>
    <w:rsid w:val="00D1784D"/>
    <w:rsid w:val="00D21C5A"/>
    <w:rsid w:val="00D23168"/>
    <w:rsid w:val="00D2404A"/>
    <w:rsid w:val="00D27E7C"/>
    <w:rsid w:val="00D27EC5"/>
    <w:rsid w:val="00D3740E"/>
    <w:rsid w:val="00D44E19"/>
    <w:rsid w:val="00D46BF4"/>
    <w:rsid w:val="00D504A2"/>
    <w:rsid w:val="00D52E9C"/>
    <w:rsid w:val="00D5341B"/>
    <w:rsid w:val="00D570DE"/>
    <w:rsid w:val="00D57378"/>
    <w:rsid w:val="00D6136D"/>
    <w:rsid w:val="00D6557B"/>
    <w:rsid w:val="00D66E1B"/>
    <w:rsid w:val="00D736DC"/>
    <w:rsid w:val="00D77038"/>
    <w:rsid w:val="00D85271"/>
    <w:rsid w:val="00D867D4"/>
    <w:rsid w:val="00D86D07"/>
    <w:rsid w:val="00D90B73"/>
    <w:rsid w:val="00D90EB9"/>
    <w:rsid w:val="00D92AF0"/>
    <w:rsid w:val="00D94480"/>
    <w:rsid w:val="00D94E89"/>
    <w:rsid w:val="00D95167"/>
    <w:rsid w:val="00D95B66"/>
    <w:rsid w:val="00D95CF8"/>
    <w:rsid w:val="00D979D5"/>
    <w:rsid w:val="00DA02C8"/>
    <w:rsid w:val="00DA0A76"/>
    <w:rsid w:val="00DA0DE8"/>
    <w:rsid w:val="00DA12E5"/>
    <w:rsid w:val="00DA1B7B"/>
    <w:rsid w:val="00DA6D33"/>
    <w:rsid w:val="00DA720A"/>
    <w:rsid w:val="00DB1C86"/>
    <w:rsid w:val="00DB30A6"/>
    <w:rsid w:val="00DB4385"/>
    <w:rsid w:val="00DB79DF"/>
    <w:rsid w:val="00DC3156"/>
    <w:rsid w:val="00DD69F0"/>
    <w:rsid w:val="00DE0AC5"/>
    <w:rsid w:val="00DE10FB"/>
    <w:rsid w:val="00DE2900"/>
    <w:rsid w:val="00DE4697"/>
    <w:rsid w:val="00DE4D33"/>
    <w:rsid w:val="00DE51FB"/>
    <w:rsid w:val="00DE5D28"/>
    <w:rsid w:val="00DE61AD"/>
    <w:rsid w:val="00DF153F"/>
    <w:rsid w:val="00DF3137"/>
    <w:rsid w:val="00DF3DC8"/>
    <w:rsid w:val="00DF589A"/>
    <w:rsid w:val="00DF6EE6"/>
    <w:rsid w:val="00DF76C4"/>
    <w:rsid w:val="00DF7847"/>
    <w:rsid w:val="00E0167D"/>
    <w:rsid w:val="00E01726"/>
    <w:rsid w:val="00E01CB4"/>
    <w:rsid w:val="00E01E44"/>
    <w:rsid w:val="00E07236"/>
    <w:rsid w:val="00E1236D"/>
    <w:rsid w:val="00E12A48"/>
    <w:rsid w:val="00E15886"/>
    <w:rsid w:val="00E1648B"/>
    <w:rsid w:val="00E17982"/>
    <w:rsid w:val="00E22B1F"/>
    <w:rsid w:val="00E22CDE"/>
    <w:rsid w:val="00E25522"/>
    <w:rsid w:val="00E26B47"/>
    <w:rsid w:val="00E26D21"/>
    <w:rsid w:val="00E31A48"/>
    <w:rsid w:val="00E32E90"/>
    <w:rsid w:val="00E35691"/>
    <w:rsid w:val="00E35EFC"/>
    <w:rsid w:val="00E44685"/>
    <w:rsid w:val="00E47BE6"/>
    <w:rsid w:val="00E513F5"/>
    <w:rsid w:val="00E54F77"/>
    <w:rsid w:val="00E562A2"/>
    <w:rsid w:val="00E61E94"/>
    <w:rsid w:val="00E64A39"/>
    <w:rsid w:val="00E67D0D"/>
    <w:rsid w:val="00E71165"/>
    <w:rsid w:val="00E71D3E"/>
    <w:rsid w:val="00E72244"/>
    <w:rsid w:val="00E724A8"/>
    <w:rsid w:val="00E72BDF"/>
    <w:rsid w:val="00E747BC"/>
    <w:rsid w:val="00E75E8B"/>
    <w:rsid w:val="00E807EB"/>
    <w:rsid w:val="00E845D6"/>
    <w:rsid w:val="00E853F8"/>
    <w:rsid w:val="00E8602D"/>
    <w:rsid w:val="00E866AC"/>
    <w:rsid w:val="00E86C4E"/>
    <w:rsid w:val="00E92456"/>
    <w:rsid w:val="00E93026"/>
    <w:rsid w:val="00E956DC"/>
    <w:rsid w:val="00E963FA"/>
    <w:rsid w:val="00EA1504"/>
    <w:rsid w:val="00EA32F7"/>
    <w:rsid w:val="00EA4257"/>
    <w:rsid w:val="00EA4ED5"/>
    <w:rsid w:val="00EA67FC"/>
    <w:rsid w:val="00EB3915"/>
    <w:rsid w:val="00EC30B6"/>
    <w:rsid w:val="00EC3468"/>
    <w:rsid w:val="00EC358C"/>
    <w:rsid w:val="00EC5824"/>
    <w:rsid w:val="00EC5BE0"/>
    <w:rsid w:val="00EC7DBE"/>
    <w:rsid w:val="00EC7FD4"/>
    <w:rsid w:val="00ED2689"/>
    <w:rsid w:val="00ED2F64"/>
    <w:rsid w:val="00ED3309"/>
    <w:rsid w:val="00ED411A"/>
    <w:rsid w:val="00ED5870"/>
    <w:rsid w:val="00ED5BA4"/>
    <w:rsid w:val="00ED6045"/>
    <w:rsid w:val="00EE09B8"/>
    <w:rsid w:val="00EE1317"/>
    <w:rsid w:val="00EE554A"/>
    <w:rsid w:val="00EF0486"/>
    <w:rsid w:val="00EF2D7F"/>
    <w:rsid w:val="00F03F01"/>
    <w:rsid w:val="00F04265"/>
    <w:rsid w:val="00F1122C"/>
    <w:rsid w:val="00F17D38"/>
    <w:rsid w:val="00F20F6C"/>
    <w:rsid w:val="00F230CD"/>
    <w:rsid w:val="00F24FDA"/>
    <w:rsid w:val="00F30EF1"/>
    <w:rsid w:val="00F32438"/>
    <w:rsid w:val="00F34155"/>
    <w:rsid w:val="00F35A00"/>
    <w:rsid w:val="00F36F7E"/>
    <w:rsid w:val="00F37935"/>
    <w:rsid w:val="00F4065F"/>
    <w:rsid w:val="00F5160C"/>
    <w:rsid w:val="00F518F5"/>
    <w:rsid w:val="00F51C18"/>
    <w:rsid w:val="00F62F16"/>
    <w:rsid w:val="00F62F1E"/>
    <w:rsid w:val="00F64138"/>
    <w:rsid w:val="00F664DB"/>
    <w:rsid w:val="00F76764"/>
    <w:rsid w:val="00F77C08"/>
    <w:rsid w:val="00F8139C"/>
    <w:rsid w:val="00F81965"/>
    <w:rsid w:val="00F84504"/>
    <w:rsid w:val="00F84A58"/>
    <w:rsid w:val="00F922C0"/>
    <w:rsid w:val="00F92C77"/>
    <w:rsid w:val="00F96171"/>
    <w:rsid w:val="00F97ACD"/>
    <w:rsid w:val="00FA03BD"/>
    <w:rsid w:val="00FA2001"/>
    <w:rsid w:val="00FA31E2"/>
    <w:rsid w:val="00FA52D9"/>
    <w:rsid w:val="00FA639C"/>
    <w:rsid w:val="00FB49E6"/>
    <w:rsid w:val="00FB4AB9"/>
    <w:rsid w:val="00FB4BDB"/>
    <w:rsid w:val="00FB4FEC"/>
    <w:rsid w:val="00FB67CE"/>
    <w:rsid w:val="00FB6A1B"/>
    <w:rsid w:val="00FC10B9"/>
    <w:rsid w:val="00FC4D53"/>
    <w:rsid w:val="00FD0FD3"/>
    <w:rsid w:val="00FD2197"/>
    <w:rsid w:val="00FD656B"/>
    <w:rsid w:val="00FE566A"/>
    <w:rsid w:val="00FF0BC9"/>
    <w:rsid w:val="00FF117C"/>
    <w:rsid w:val="00FF2A99"/>
    <w:rsid w:val="00FF2ECA"/>
    <w:rsid w:val="00FF3A68"/>
    <w:rsid w:val="00FF51B9"/>
    <w:rsid w:val="00FF5B70"/>
    <w:rsid w:val="00FF5BB9"/>
    <w:rsid w:val="00FF61BE"/>
    <w:rsid w:val="00FF7C15"/>
    <w:rsid w:val="0108F699"/>
    <w:rsid w:val="011A5E8F"/>
    <w:rsid w:val="018393F8"/>
    <w:rsid w:val="01F3A4C1"/>
    <w:rsid w:val="02084C7A"/>
    <w:rsid w:val="02A4CB76"/>
    <w:rsid w:val="038DB446"/>
    <w:rsid w:val="0A912DF3"/>
    <w:rsid w:val="0D3812E0"/>
    <w:rsid w:val="0EFDB53D"/>
    <w:rsid w:val="1199C4AE"/>
    <w:rsid w:val="16A0C8E3"/>
    <w:rsid w:val="19113F31"/>
    <w:rsid w:val="1917006D"/>
    <w:rsid w:val="19B6331F"/>
    <w:rsid w:val="1E7A99C0"/>
    <w:rsid w:val="1F880E51"/>
    <w:rsid w:val="2309E930"/>
    <w:rsid w:val="238F2CAE"/>
    <w:rsid w:val="26471B86"/>
    <w:rsid w:val="2B8BE354"/>
    <w:rsid w:val="2CAC3FB8"/>
    <w:rsid w:val="30070EB4"/>
    <w:rsid w:val="314238E6"/>
    <w:rsid w:val="35A0DDF9"/>
    <w:rsid w:val="3BBB8A92"/>
    <w:rsid w:val="3BBC7EE4"/>
    <w:rsid w:val="406151F9"/>
    <w:rsid w:val="4149B8EB"/>
    <w:rsid w:val="42C62DDC"/>
    <w:rsid w:val="43D9ED86"/>
    <w:rsid w:val="467A6522"/>
    <w:rsid w:val="482CE6E1"/>
    <w:rsid w:val="490B02E8"/>
    <w:rsid w:val="4947ECD8"/>
    <w:rsid w:val="4A1BD6B5"/>
    <w:rsid w:val="4D4FA253"/>
    <w:rsid w:val="51331FDA"/>
    <w:rsid w:val="563F6DF5"/>
    <w:rsid w:val="57F725DA"/>
    <w:rsid w:val="582138A8"/>
    <w:rsid w:val="5D162398"/>
    <w:rsid w:val="5E336DA5"/>
    <w:rsid w:val="6037ABF6"/>
    <w:rsid w:val="604CF244"/>
    <w:rsid w:val="613AE650"/>
    <w:rsid w:val="62B4CEB8"/>
    <w:rsid w:val="641103A8"/>
    <w:rsid w:val="6BB11673"/>
    <w:rsid w:val="71DE7B5C"/>
    <w:rsid w:val="788A89B3"/>
    <w:rsid w:val="7E82DFD8"/>
    <w:rsid w:val="7EF98A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5AC8D"/>
  <w14:defaultImageDpi w14:val="330"/>
  <w15:chartTrackingRefBased/>
  <w15:docId w15:val="{EB793BDD-E821-4B88-B14A-F3444F4C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40"/>
    <w:pPr>
      <w:spacing w:after="200" w:line="276" w:lineRule="auto"/>
    </w:pPr>
    <w:rPr>
      <w:rFonts w:ascii="Aptos Display" w:hAnsi="Aptos Display"/>
    </w:rPr>
  </w:style>
  <w:style w:type="paragraph" w:styleId="Heading1">
    <w:name w:val="heading 1"/>
    <w:basedOn w:val="Normal"/>
    <w:next w:val="Normal"/>
    <w:link w:val="Heading1Char"/>
    <w:uiPriority w:val="9"/>
    <w:qFormat/>
    <w:rsid w:val="00FF3A68"/>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FF3A68"/>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FF3A68"/>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FF3A68"/>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62440"/>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62440"/>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62440"/>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0B2701"/>
    <w:pPr>
      <w:spacing w:before="72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0B2701"/>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0B2701"/>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0B2701"/>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FF3A68"/>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FF3A68"/>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FF3A68"/>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FF3A68"/>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62440"/>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62440"/>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FF3A68"/>
    <w:rPr>
      <w:color w:val="287DB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C62440"/>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SemiBold" w:hAnsi="Aptos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DF589A"/>
    <w:pPr>
      <w:spacing w:before="0"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7055A3" w:themeColor="followedHyperlink"/>
      <w:u w:val="single"/>
    </w:rPr>
  </w:style>
  <w:style w:type="character" w:customStyle="1" w:styleId="Heading7Char">
    <w:name w:val="Heading 7 Char"/>
    <w:basedOn w:val="DefaultParagraphFont"/>
    <w:link w:val="Heading7"/>
    <w:uiPriority w:val="9"/>
    <w:rsid w:val="00C62440"/>
    <w:rPr>
      <w:rFonts w:ascii="Aptos SemiBold" w:eastAsiaTheme="majorEastAsia" w:hAnsi="Aptos SemiBold" w:cstheme="majorBidi"/>
      <w:i/>
      <w:iCs/>
      <w:color w:val="0D2C6C" w:themeColor="accent5"/>
    </w:rPr>
  </w:style>
  <w:style w:type="character" w:styleId="CommentReference">
    <w:name w:val="annotation reference"/>
    <w:basedOn w:val="DefaultParagraphFont"/>
    <w:uiPriority w:val="99"/>
    <w:semiHidden/>
    <w:unhideWhenUsed/>
    <w:rsid w:val="001A7D34"/>
    <w:rPr>
      <w:sz w:val="16"/>
      <w:szCs w:val="16"/>
    </w:rPr>
  </w:style>
  <w:style w:type="paragraph" w:styleId="CommentText">
    <w:name w:val="annotation text"/>
    <w:basedOn w:val="Normal"/>
    <w:link w:val="CommentTextChar"/>
    <w:uiPriority w:val="99"/>
    <w:unhideWhenUsed/>
    <w:rsid w:val="001A7D34"/>
    <w:pPr>
      <w:spacing w:line="240" w:lineRule="auto"/>
    </w:pPr>
    <w:rPr>
      <w:sz w:val="20"/>
      <w:szCs w:val="20"/>
    </w:rPr>
  </w:style>
  <w:style w:type="character" w:customStyle="1" w:styleId="CommentTextChar">
    <w:name w:val="Comment Text Char"/>
    <w:basedOn w:val="DefaultParagraphFont"/>
    <w:link w:val="CommentText"/>
    <w:uiPriority w:val="99"/>
    <w:rsid w:val="001A7D34"/>
    <w:rPr>
      <w:rFonts w:ascii="Aptos Display" w:hAnsi="Aptos Display"/>
      <w:sz w:val="20"/>
      <w:szCs w:val="20"/>
    </w:rPr>
  </w:style>
  <w:style w:type="paragraph" w:styleId="Revision">
    <w:name w:val="Revision"/>
    <w:hidden/>
    <w:uiPriority w:val="99"/>
    <w:semiHidden/>
    <w:rsid w:val="009B1A41"/>
    <w:pPr>
      <w:spacing w:after="0" w:line="240" w:lineRule="auto"/>
    </w:pPr>
    <w:rPr>
      <w:rFonts w:ascii="Aptos Display" w:hAnsi="Aptos Display"/>
    </w:rPr>
  </w:style>
  <w:style w:type="paragraph" w:styleId="CommentSubject">
    <w:name w:val="annotation subject"/>
    <w:basedOn w:val="CommentText"/>
    <w:next w:val="CommentText"/>
    <w:link w:val="CommentSubjectChar"/>
    <w:uiPriority w:val="99"/>
    <w:semiHidden/>
    <w:unhideWhenUsed/>
    <w:rsid w:val="00D1656E"/>
    <w:rPr>
      <w:b/>
      <w:bCs/>
    </w:rPr>
  </w:style>
  <w:style w:type="character" w:customStyle="1" w:styleId="CommentSubjectChar">
    <w:name w:val="Comment Subject Char"/>
    <w:basedOn w:val="CommentTextChar"/>
    <w:link w:val="CommentSubject"/>
    <w:uiPriority w:val="99"/>
    <w:semiHidden/>
    <w:rsid w:val="00D1656E"/>
    <w:rPr>
      <w:rFonts w:ascii="Aptos Display" w:hAnsi="Aptos Display"/>
      <w:b/>
      <w:bCs/>
      <w:sz w:val="20"/>
      <w:szCs w:val="20"/>
    </w:rPr>
  </w:style>
  <w:style w:type="character" w:styleId="UnresolvedMention">
    <w:name w:val="Unresolved Mention"/>
    <w:basedOn w:val="DefaultParagraphFont"/>
    <w:uiPriority w:val="99"/>
    <w:unhideWhenUsed/>
    <w:rsid w:val="00373E62"/>
    <w:rPr>
      <w:color w:val="605E5C"/>
      <w:shd w:val="clear" w:color="auto" w:fill="E1DFDD"/>
    </w:rPr>
  </w:style>
  <w:style w:type="character" w:styleId="Mention">
    <w:name w:val="Mention"/>
    <w:basedOn w:val="DefaultParagraphFont"/>
    <w:uiPriority w:val="99"/>
    <w:unhideWhenUsed/>
    <w:rsid w:val="00DF3137"/>
    <w:rPr>
      <w:color w:val="2B579A"/>
      <w:shd w:val="clear" w:color="auto" w:fill="E1DFDD"/>
    </w:rPr>
  </w:style>
  <w:style w:type="paragraph" w:styleId="FootnoteText">
    <w:name w:val="footnote text"/>
    <w:basedOn w:val="Normal"/>
    <w:link w:val="FootnoteTextChar"/>
    <w:uiPriority w:val="99"/>
    <w:semiHidden/>
    <w:unhideWhenUsed/>
    <w:rsid w:val="009D7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D71"/>
    <w:rPr>
      <w:rFonts w:ascii="Aptos Display" w:hAnsi="Aptos Display"/>
      <w:sz w:val="20"/>
      <w:szCs w:val="20"/>
    </w:rPr>
  </w:style>
  <w:style w:type="character" w:styleId="FootnoteReference">
    <w:name w:val="footnote reference"/>
    <w:basedOn w:val="DefaultParagraphFont"/>
    <w:uiPriority w:val="99"/>
    <w:semiHidden/>
    <w:unhideWhenUsed/>
    <w:rsid w:val="009D7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DocumentType xmlns="a6ffbb11-35a5-4432-9331-947350e6133a"/>
    <Year xmlns="a6ffbb11-35a5-4432-9331-947350e6133a">2024</Year>
    <Notes xmlns="a6ffbb11-35a5-4432-9331-947350e6133a" xsi:nil="true"/>
    <Printed xmlns="a6ffbb11-35a5-4432-9331-947350e6133a">true</Printed>
    <Author0 xmlns="a6ffbb11-35a5-4432-9331-947350e6133a">
      <UserInfo>
        <DisplayName/>
        <AccountId xsi:nil="true"/>
        <AccountType/>
      </UserInfo>
    </Author0>
    <Comments xmlns="a6ffbb11-35a5-4432-9331-947350e6133a" xsi:nil="true"/>
    <FolderUse xmlns="a6ffbb11-35a5-4432-9331-947350e6133a" xsi:nil="true"/>
    <Person xmlns="a6ffbb11-35a5-4432-9331-947350e6133a">
      <UserInfo>
        <DisplayName/>
        <AccountId xsi:nil="true"/>
        <AccountType/>
      </UserInfo>
    </Person>
    <Workflow xmlns="a6ffbb11-35a5-4432-9331-947350e6133a"/>
    <Process xmlns="a6ffbb11-35a5-4432-9331-947350e61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31" ma:contentTypeDescription="Create a new document." ma:contentTypeScope="" ma:versionID="ee44d582e30513c55216f841f60fc000">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e422218351277c37f0bd9a6bb69b0cd"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element ref="ns2:Author0"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element name="Author0" ma:index="35"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3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1da406d-ebc4-416a-93b6-1e65940d4d98"/>
    <ds:schemaRef ds:uri="a6ffbb11-35a5-4432-9331-947350e6133a"/>
    <ds:schemaRef ds:uri="http://purl.org/dc/term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BDB1A0EE-9FEC-48E6-8D96-BFD97BE5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3781</Words>
  <Characters>21552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DEWR A4 Report Template - Portrait (grey cover)</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Tia Allardyce</dc:creator>
  <cp:keywords>DEWR A4 Report Template - Portrait (grey cover)</cp:keywords>
  <dc:description/>
  <cp:lastModifiedBy>KAN,Jennifer</cp:lastModifiedBy>
  <cp:revision>10</cp:revision>
  <dcterms:created xsi:type="dcterms:W3CDTF">2025-08-12T21:36:00Z</dcterms:created>
  <dcterms:modified xsi:type="dcterms:W3CDTF">2025-08-13T07:29:00Z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
  </property>
  <property fmtid="{D5CDD505-2E9C-101B-9397-08002B2CF9AE}" pid="6" name="Order">
    <vt:r8>189400</vt:r8>
  </property>
  <property fmtid="{D5CDD505-2E9C-101B-9397-08002B2CF9AE}" pid="7" name="IntranetKeywords">
    <vt:lpwstr/>
  </property>
  <property fmtid="{D5CDD505-2E9C-101B-9397-08002B2CF9AE}" pid="8" name="DocumentType">
    <vt:lpwstr>40;#Template|53a221cc-9320-4def-8306-8b4e731f6e2e</vt:lpwstr>
  </property>
  <property fmtid="{D5CDD505-2E9C-101B-9397-08002B2CF9AE}" pid="9" name="_ExtendedDescription">
    <vt:lpwstr>DEWR A4 Report Template - Portrait (grey cover)</vt:lpwstr>
  </property>
  <property fmtid="{D5CDD505-2E9C-101B-9397-08002B2CF9AE}" pid="10" name="Stream">
    <vt:lpwstr>41;#Corporate|7bb9040f-4cd9-44c7-bbc0-0be84bb7e1f8;#3;# Communication|e33a97c0-aa3b-4cc8-bf05-e9cabbeb225f</vt:lpwstr>
  </property>
  <property fmtid="{D5CDD505-2E9C-101B-9397-08002B2CF9AE}" pid="11" name="MSIP_Label_79d889eb-932f-4752-8739-64d25806ef64_Enabled">
    <vt:lpwstr>true</vt:lpwstr>
  </property>
  <property fmtid="{D5CDD505-2E9C-101B-9397-08002B2CF9AE}" pid="12" name="MSIP_Label_79d889eb-932f-4752-8739-64d25806ef64_SetDate">
    <vt:lpwstr>2025-05-07T23:34:32Z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54c39287-19c6-45ff-9e6e-63066cb489b2</vt:lpwstr>
  </property>
  <property fmtid="{D5CDD505-2E9C-101B-9397-08002B2CF9AE}" pid="17" name="MSIP_Label_79d889eb-932f-4752-8739-64d25806ef64_ContentBits">
    <vt:lpwstr>0</vt:lpwstr>
  </property>
  <property fmtid="{D5CDD505-2E9C-101B-9397-08002B2CF9AE}" pid="18" name="MSIP_Label_79d889eb-932f-4752-8739-64d25806ef64_Tag">
    <vt:lpwstr>10, 0, 1, 1</vt:lpwstr>
  </property>
  <property fmtid="{D5CDD505-2E9C-101B-9397-08002B2CF9AE}" pid="19" name="MediaServiceImageTags">
    <vt:lpwstr/>
  </property>
</Properties>
</file>