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B0D1" w14:textId="77777777" w:rsidR="00984FB8" w:rsidRPr="00C90260" w:rsidRDefault="00984FB8" w:rsidP="00C90260">
      <w:r>
        <w:rPr>
          <w:noProof/>
        </w:rPr>
        <w:drawing>
          <wp:inline distT="0" distB="0" distL="0" distR="0" wp14:anchorId="0CAAE4D3" wp14:editId="131934BE">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49091871" wp14:editId="33063954">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6E1A1CBD" w14:textId="6AD8A8F3" w:rsidR="00930CDA" w:rsidRPr="00984FB8" w:rsidRDefault="00271E05" w:rsidP="00C90260">
      <w:pPr>
        <w:pStyle w:val="Title"/>
        <w:ind w:left="1276"/>
        <w:rPr>
          <w:noProof/>
          <w:color w:val="404246"/>
          <w:lang w:eastAsia="en-AU"/>
        </w:rPr>
      </w:pPr>
      <w:r w:rsidRPr="00271E05">
        <w:rPr>
          <w:noProof/>
          <w:color w:val="404246"/>
          <w:lang w:eastAsia="en-AU"/>
        </w:rPr>
        <w:t>Secure Australian Jobs Code</w:t>
      </w:r>
    </w:p>
    <w:p w14:paraId="7ACD7532" w14:textId="7F946444" w:rsidR="00930CDA" w:rsidRPr="00B414BB" w:rsidRDefault="00271E05" w:rsidP="0047432B">
      <w:pPr>
        <w:pStyle w:val="Subtitle"/>
        <w:spacing w:before="240"/>
        <w:ind w:left="1276"/>
        <w:rPr>
          <w:color w:val="526800"/>
          <w:lang w:eastAsia="en-AU"/>
        </w:rPr>
      </w:pPr>
      <w:r w:rsidRPr="00B414BB">
        <w:rPr>
          <w:color w:val="526800"/>
          <w:lang w:eastAsia="en-AU"/>
        </w:rPr>
        <w:t>Consultation Paper</w:t>
      </w:r>
      <w:r w:rsidR="00930CDA" w:rsidRPr="00B414BB">
        <w:rPr>
          <w:color w:val="526800"/>
          <w:lang w:eastAsia="en-AU"/>
        </w:rPr>
        <w:br w:type="page"/>
      </w:r>
    </w:p>
    <w:p w14:paraId="3715E6CA" w14:textId="77777777" w:rsidR="00C56CB1" w:rsidRDefault="00C56CB1" w:rsidP="00C56CB1">
      <w:bookmarkStart w:id="0" w:name="_Toc30065222"/>
    </w:p>
    <w:p w14:paraId="5E43B550" w14:textId="31EC1E27" w:rsidR="00053554" w:rsidRPr="003C539C" w:rsidRDefault="00053554" w:rsidP="00843506">
      <w:pPr>
        <w:spacing w:before="8520" w:after="0"/>
      </w:pPr>
    </w:p>
    <w:p w14:paraId="30164FD2" w14:textId="77777777" w:rsidR="00053554" w:rsidRPr="003C539C" w:rsidRDefault="00053554" w:rsidP="00053554">
      <w:r w:rsidRPr="003C539C">
        <w:rPr>
          <w:noProof/>
        </w:rPr>
        <w:drawing>
          <wp:inline distT="0" distB="0" distL="0" distR="0" wp14:anchorId="57C8D9C8" wp14:editId="4F57C3AB">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300FB9C" w14:textId="77777777" w:rsidR="00053554" w:rsidRPr="00155022" w:rsidRDefault="00053554" w:rsidP="0005355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6" w:history="1">
        <w:r w:rsidRPr="00155022">
          <w:rPr>
            <w:rStyle w:val="Hyperlink"/>
          </w:rPr>
          <w:t>Creative Commons Attribution 4.0 International</w:t>
        </w:r>
      </w:hyperlink>
      <w:r w:rsidRPr="00155022">
        <w:t xml:space="preserve"> https://creativecommons.org/licenses/by/4.0/) licence.</w:t>
      </w:r>
    </w:p>
    <w:p w14:paraId="37C18516" w14:textId="77777777" w:rsidR="00053554" w:rsidRPr="00155022" w:rsidRDefault="00053554" w:rsidP="00053554">
      <w:r w:rsidRPr="00155022">
        <w:t xml:space="preserve">The details of the relevant licence conditions are available on the Creative Commons website (accessible using the links provided) as is the full legal code for the </w:t>
      </w:r>
      <w:hyperlink r:id="rId17" w:history="1">
        <w:r w:rsidRPr="00155022">
          <w:rPr>
            <w:rStyle w:val="Hyperlink"/>
          </w:rPr>
          <w:t>CC BY 4.0 International</w:t>
        </w:r>
      </w:hyperlink>
      <w:r w:rsidRPr="00155022">
        <w:t xml:space="preserve"> (https://creativecommons.org/licenses/by/4.0/legalcode)</w:t>
      </w:r>
    </w:p>
    <w:p w14:paraId="161B68AC" w14:textId="3B8720A7" w:rsidR="00EA67FC" w:rsidRDefault="00053554" w:rsidP="00053554">
      <w:r w:rsidRPr="003C539C">
        <w:t xml:space="preserve">The document must be attributed as the </w:t>
      </w:r>
      <w:r w:rsidR="00271E05">
        <w:t>Secure Australian Jobs Code Consultation Paper</w:t>
      </w:r>
      <w:r w:rsidRPr="003C539C">
        <w:t>.</w:t>
      </w:r>
      <w:r w:rsidR="00EA67FC">
        <w:br w:type="page"/>
      </w:r>
    </w:p>
    <w:p w14:paraId="348B537F" w14:textId="77777777" w:rsidR="007855CC" w:rsidRDefault="007855CC" w:rsidP="007855CC">
      <w:pPr>
        <w:sectPr w:rsidR="007855CC" w:rsidSect="00121EF8">
          <w:footerReference w:type="default" r:id="rId18"/>
          <w:type w:val="continuous"/>
          <w:pgSz w:w="11906" w:h="16838"/>
          <w:pgMar w:top="1418" w:right="1440" w:bottom="1559" w:left="1276" w:header="709" w:footer="709" w:gutter="0"/>
          <w:cols w:space="708"/>
          <w:docGrid w:linePitch="360"/>
        </w:sectPr>
      </w:pPr>
    </w:p>
    <w:sdt>
      <w:sdtPr>
        <w:rPr>
          <w:rFonts w:asciiTheme="minorHAnsi" w:eastAsiaTheme="minorEastAsia" w:hAnsiTheme="minorHAnsi" w:cstheme="minorBidi"/>
          <w:b w:val="0"/>
          <w:color w:val="000000" w:themeColor="text1"/>
          <w:sz w:val="22"/>
          <w:szCs w:val="22"/>
        </w:rPr>
        <w:id w:val="-139263470"/>
        <w:docPartObj>
          <w:docPartGallery w:val="Table of Contents"/>
          <w:docPartUnique/>
        </w:docPartObj>
      </w:sdtPr>
      <w:sdtEndPr>
        <w:rPr>
          <w:color w:val="auto"/>
        </w:rPr>
      </w:sdtEndPr>
      <w:sdtContent>
        <w:p w14:paraId="600EEDC6" w14:textId="26BFEE30" w:rsidR="007855CC" w:rsidRPr="003C539C" w:rsidRDefault="007855CC" w:rsidP="00C70AC9">
          <w:pPr>
            <w:pStyle w:val="TOCHeading"/>
            <w:spacing w:before="120"/>
          </w:pPr>
          <w:r w:rsidRPr="00D84395">
            <w:t>Contents</w:t>
          </w:r>
        </w:p>
        <w:p w14:paraId="61164D3B" w14:textId="68FCA3D6" w:rsidR="009A2F18" w:rsidRDefault="0095636C">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15128334" w:history="1">
            <w:r w:rsidR="009A2F18" w:rsidRPr="00825D10">
              <w:rPr>
                <w:rStyle w:val="Hyperlink"/>
                <w:noProof/>
              </w:rPr>
              <w:t>Consultation Process</w:t>
            </w:r>
            <w:r w:rsidR="009A2F18">
              <w:rPr>
                <w:noProof/>
                <w:webHidden/>
              </w:rPr>
              <w:tab/>
            </w:r>
            <w:r w:rsidR="009A2F18">
              <w:rPr>
                <w:noProof/>
                <w:webHidden/>
              </w:rPr>
              <w:fldChar w:fldCharType="begin"/>
            </w:r>
            <w:r w:rsidR="009A2F18">
              <w:rPr>
                <w:noProof/>
                <w:webHidden/>
              </w:rPr>
              <w:instrText xml:space="preserve"> PAGEREF _Toc215128334 \h </w:instrText>
            </w:r>
            <w:r w:rsidR="009A2F18">
              <w:rPr>
                <w:noProof/>
                <w:webHidden/>
              </w:rPr>
            </w:r>
            <w:r w:rsidR="009A2F18">
              <w:rPr>
                <w:noProof/>
                <w:webHidden/>
              </w:rPr>
              <w:fldChar w:fldCharType="separate"/>
            </w:r>
            <w:r w:rsidR="00212134">
              <w:rPr>
                <w:noProof/>
                <w:webHidden/>
              </w:rPr>
              <w:t>4</w:t>
            </w:r>
            <w:r w:rsidR="009A2F18">
              <w:rPr>
                <w:noProof/>
                <w:webHidden/>
              </w:rPr>
              <w:fldChar w:fldCharType="end"/>
            </w:r>
          </w:hyperlink>
        </w:p>
        <w:p w14:paraId="2F9DBE81" w14:textId="6847DF3F"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35" w:history="1">
            <w:r w:rsidRPr="00825D10">
              <w:rPr>
                <w:rStyle w:val="Hyperlink"/>
                <w:noProof/>
              </w:rPr>
              <w:t>Request for feedback and comments</w:t>
            </w:r>
            <w:r>
              <w:rPr>
                <w:noProof/>
                <w:webHidden/>
              </w:rPr>
              <w:tab/>
            </w:r>
            <w:r>
              <w:rPr>
                <w:noProof/>
                <w:webHidden/>
              </w:rPr>
              <w:fldChar w:fldCharType="begin"/>
            </w:r>
            <w:r>
              <w:rPr>
                <w:noProof/>
                <w:webHidden/>
              </w:rPr>
              <w:instrText xml:space="preserve"> PAGEREF _Toc215128335 \h </w:instrText>
            </w:r>
            <w:r>
              <w:rPr>
                <w:noProof/>
                <w:webHidden/>
              </w:rPr>
            </w:r>
            <w:r>
              <w:rPr>
                <w:noProof/>
                <w:webHidden/>
              </w:rPr>
              <w:fldChar w:fldCharType="separate"/>
            </w:r>
            <w:r w:rsidR="00212134">
              <w:rPr>
                <w:noProof/>
                <w:webHidden/>
              </w:rPr>
              <w:t>4</w:t>
            </w:r>
            <w:r>
              <w:rPr>
                <w:noProof/>
                <w:webHidden/>
              </w:rPr>
              <w:fldChar w:fldCharType="end"/>
            </w:r>
          </w:hyperlink>
        </w:p>
        <w:p w14:paraId="51A22E2F" w14:textId="1750B091" w:rsidR="009A2F18" w:rsidRDefault="009A2F18">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15128336" w:history="1">
            <w:r w:rsidRPr="00825D10">
              <w:rPr>
                <w:rStyle w:val="Hyperlink"/>
                <w:noProof/>
              </w:rPr>
              <w:t>Introduction</w:t>
            </w:r>
            <w:r>
              <w:rPr>
                <w:noProof/>
                <w:webHidden/>
              </w:rPr>
              <w:tab/>
            </w:r>
            <w:r>
              <w:rPr>
                <w:noProof/>
                <w:webHidden/>
              </w:rPr>
              <w:fldChar w:fldCharType="begin"/>
            </w:r>
            <w:r>
              <w:rPr>
                <w:noProof/>
                <w:webHidden/>
              </w:rPr>
              <w:instrText xml:space="preserve"> PAGEREF _Toc215128336 \h </w:instrText>
            </w:r>
            <w:r>
              <w:rPr>
                <w:noProof/>
                <w:webHidden/>
              </w:rPr>
            </w:r>
            <w:r>
              <w:rPr>
                <w:noProof/>
                <w:webHidden/>
              </w:rPr>
              <w:fldChar w:fldCharType="separate"/>
            </w:r>
            <w:r w:rsidR="00212134">
              <w:rPr>
                <w:noProof/>
                <w:webHidden/>
              </w:rPr>
              <w:t>5</w:t>
            </w:r>
            <w:r>
              <w:rPr>
                <w:noProof/>
                <w:webHidden/>
              </w:rPr>
              <w:fldChar w:fldCharType="end"/>
            </w:r>
          </w:hyperlink>
        </w:p>
        <w:p w14:paraId="55D29A50" w14:textId="43A5CAAB"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37" w:history="1">
            <w:r w:rsidRPr="00825D10">
              <w:rPr>
                <w:rStyle w:val="Hyperlink"/>
                <w:noProof/>
              </w:rPr>
              <w:t>Government actions already undertaken or underway</w:t>
            </w:r>
            <w:r>
              <w:rPr>
                <w:noProof/>
                <w:webHidden/>
              </w:rPr>
              <w:tab/>
            </w:r>
            <w:r>
              <w:rPr>
                <w:noProof/>
                <w:webHidden/>
              </w:rPr>
              <w:fldChar w:fldCharType="begin"/>
            </w:r>
            <w:r>
              <w:rPr>
                <w:noProof/>
                <w:webHidden/>
              </w:rPr>
              <w:instrText xml:space="preserve"> PAGEREF _Toc215128337 \h </w:instrText>
            </w:r>
            <w:r>
              <w:rPr>
                <w:noProof/>
                <w:webHidden/>
              </w:rPr>
            </w:r>
            <w:r>
              <w:rPr>
                <w:noProof/>
                <w:webHidden/>
              </w:rPr>
              <w:fldChar w:fldCharType="separate"/>
            </w:r>
            <w:r w:rsidR="00212134">
              <w:rPr>
                <w:noProof/>
                <w:webHidden/>
              </w:rPr>
              <w:t>5</w:t>
            </w:r>
            <w:r>
              <w:rPr>
                <w:noProof/>
                <w:webHidden/>
              </w:rPr>
              <w:fldChar w:fldCharType="end"/>
            </w:r>
          </w:hyperlink>
        </w:p>
        <w:p w14:paraId="0B76D5B8" w14:textId="65A91278"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38" w:history="1">
            <w:r w:rsidRPr="00825D10">
              <w:rPr>
                <w:rStyle w:val="Hyperlink"/>
                <w:noProof/>
              </w:rPr>
              <w:t>Outstanding policy objectives</w:t>
            </w:r>
            <w:r>
              <w:rPr>
                <w:noProof/>
                <w:webHidden/>
              </w:rPr>
              <w:tab/>
            </w:r>
            <w:r>
              <w:rPr>
                <w:noProof/>
                <w:webHidden/>
              </w:rPr>
              <w:fldChar w:fldCharType="begin"/>
            </w:r>
            <w:r>
              <w:rPr>
                <w:noProof/>
                <w:webHidden/>
              </w:rPr>
              <w:instrText xml:space="preserve"> PAGEREF _Toc215128338 \h </w:instrText>
            </w:r>
            <w:r>
              <w:rPr>
                <w:noProof/>
                <w:webHidden/>
              </w:rPr>
            </w:r>
            <w:r>
              <w:rPr>
                <w:noProof/>
                <w:webHidden/>
              </w:rPr>
              <w:fldChar w:fldCharType="separate"/>
            </w:r>
            <w:r w:rsidR="00212134">
              <w:rPr>
                <w:noProof/>
                <w:webHidden/>
              </w:rPr>
              <w:t>6</w:t>
            </w:r>
            <w:r>
              <w:rPr>
                <w:noProof/>
                <w:webHidden/>
              </w:rPr>
              <w:fldChar w:fldCharType="end"/>
            </w:r>
          </w:hyperlink>
        </w:p>
        <w:p w14:paraId="68F1A179" w14:textId="207E375F" w:rsidR="009A2F18" w:rsidRDefault="009A2F18">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15128339" w:history="1">
            <w:r w:rsidRPr="00825D10">
              <w:rPr>
                <w:rStyle w:val="Hyperlink"/>
                <w:noProof/>
              </w:rPr>
              <w:t>Issues for feedback</w:t>
            </w:r>
            <w:r>
              <w:rPr>
                <w:noProof/>
                <w:webHidden/>
              </w:rPr>
              <w:tab/>
            </w:r>
            <w:r>
              <w:rPr>
                <w:noProof/>
                <w:webHidden/>
              </w:rPr>
              <w:fldChar w:fldCharType="begin"/>
            </w:r>
            <w:r>
              <w:rPr>
                <w:noProof/>
                <w:webHidden/>
              </w:rPr>
              <w:instrText xml:space="preserve"> PAGEREF _Toc215128339 \h </w:instrText>
            </w:r>
            <w:r>
              <w:rPr>
                <w:noProof/>
                <w:webHidden/>
              </w:rPr>
            </w:r>
            <w:r>
              <w:rPr>
                <w:noProof/>
                <w:webHidden/>
              </w:rPr>
              <w:fldChar w:fldCharType="separate"/>
            </w:r>
            <w:r w:rsidR="00212134">
              <w:rPr>
                <w:noProof/>
                <w:webHidden/>
              </w:rPr>
              <w:t>7</w:t>
            </w:r>
            <w:r>
              <w:rPr>
                <w:noProof/>
                <w:webHidden/>
              </w:rPr>
              <w:fldChar w:fldCharType="end"/>
            </w:r>
          </w:hyperlink>
        </w:p>
        <w:p w14:paraId="18CC908D" w14:textId="2EF2F488"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40" w:history="1">
            <w:r w:rsidRPr="00825D10">
              <w:rPr>
                <w:rStyle w:val="Hyperlink"/>
                <w:noProof/>
              </w:rPr>
              <w:t>Issue 1: Key requirements of the Secure Jobs Code</w:t>
            </w:r>
            <w:r>
              <w:rPr>
                <w:noProof/>
                <w:webHidden/>
              </w:rPr>
              <w:tab/>
            </w:r>
            <w:r>
              <w:rPr>
                <w:noProof/>
                <w:webHidden/>
              </w:rPr>
              <w:fldChar w:fldCharType="begin"/>
            </w:r>
            <w:r>
              <w:rPr>
                <w:noProof/>
                <w:webHidden/>
              </w:rPr>
              <w:instrText xml:space="preserve"> PAGEREF _Toc215128340 \h </w:instrText>
            </w:r>
            <w:r>
              <w:rPr>
                <w:noProof/>
                <w:webHidden/>
              </w:rPr>
            </w:r>
            <w:r>
              <w:rPr>
                <w:noProof/>
                <w:webHidden/>
              </w:rPr>
              <w:fldChar w:fldCharType="separate"/>
            </w:r>
            <w:r w:rsidR="00212134">
              <w:rPr>
                <w:noProof/>
                <w:webHidden/>
              </w:rPr>
              <w:t>7</w:t>
            </w:r>
            <w:r>
              <w:rPr>
                <w:noProof/>
                <w:webHidden/>
              </w:rPr>
              <w:fldChar w:fldCharType="end"/>
            </w:r>
          </w:hyperlink>
        </w:p>
        <w:p w14:paraId="7AD232C8" w14:textId="28C268BD"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1" w:history="1">
            <w:r w:rsidRPr="00825D10">
              <w:rPr>
                <w:rStyle w:val="Hyperlink"/>
                <w:noProof/>
              </w:rPr>
              <w:t>Consultation Questions on Issue 1</w:t>
            </w:r>
            <w:r>
              <w:rPr>
                <w:noProof/>
                <w:webHidden/>
              </w:rPr>
              <w:tab/>
            </w:r>
            <w:r>
              <w:rPr>
                <w:noProof/>
                <w:webHidden/>
              </w:rPr>
              <w:fldChar w:fldCharType="begin"/>
            </w:r>
            <w:r>
              <w:rPr>
                <w:noProof/>
                <w:webHidden/>
              </w:rPr>
              <w:instrText xml:space="preserve"> PAGEREF _Toc215128341 \h </w:instrText>
            </w:r>
            <w:r>
              <w:rPr>
                <w:noProof/>
                <w:webHidden/>
              </w:rPr>
            </w:r>
            <w:r>
              <w:rPr>
                <w:noProof/>
                <w:webHidden/>
              </w:rPr>
              <w:fldChar w:fldCharType="separate"/>
            </w:r>
            <w:r w:rsidR="00212134">
              <w:rPr>
                <w:noProof/>
                <w:webHidden/>
              </w:rPr>
              <w:t>8</w:t>
            </w:r>
            <w:r>
              <w:rPr>
                <w:noProof/>
                <w:webHidden/>
              </w:rPr>
              <w:fldChar w:fldCharType="end"/>
            </w:r>
          </w:hyperlink>
        </w:p>
        <w:p w14:paraId="6CF32062" w14:textId="307998AE"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42" w:history="1">
            <w:r w:rsidRPr="00825D10">
              <w:rPr>
                <w:rStyle w:val="Hyperlink"/>
                <w:noProof/>
              </w:rPr>
              <w:t>Issue 2: Application of the Secure Jobs Code</w:t>
            </w:r>
            <w:r>
              <w:rPr>
                <w:noProof/>
                <w:webHidden/>
              </w:rPr>
              <w:tab/>
            </w:r>
            <w:r>
              <w:rPr>
                <w:noProof/>
                <w:webHidden/>
              </w:rPr>
              <w:fldChar w:fldCharType="begin"/>
            </w:r>
            <w:r>
              <w:rPr>
                <w:noProof/>
                <w:webHidden/>
              </w:rPr>
              <w:instrText xml:space="preserve"> PAGEREF _Toc215128342 \h </w:instrText>
            </w:r>
            <w:r>
              <w:rPr>
                <w:noProof/>
                <w:webHidden/>
              </w:rPr>
            </w:r>
            <w:r>
              <w:rPr>
                <w:noProof/>
                <w:webHidden/>
              </w:rPr>
              <w:fldChar w:fldCharType="separate"/>
            </w:r>
            <w:r w:rsidR="00212134">
              <w:rPr>
                <w:noProof/>
                <w:webHidden/>
              </w:rPr>
              <w:t>8</w:t>
            </w:r>
            <w:r>
              <w:rPr>
                <w:noProof/>
                <w:webHidden/>
              </w:rPr>
              <w:fldChar w:fldCharType="end"/>
            </w:r>
          </w:hyperlink>
        </w:p>
        <w:p w14:paraId="462E4803" w14:textId="79C6CFC6"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3" w:history="1">
            <w:r w:rsidRPr="00825D10">
              <w:rPr>
                <w:rStyle w:val="Hyperlink"/>
                <w:noProof/>
              </w:rPr>
              <w:t>Building and construction industry</w:t>
            </w:r>
            <w:r>
              <w:rPr>
                <w:noProof/>
                <w:webHidden/>
              </w:rPr>
              <w:tab/>
            </w:r>
            <w:r>
              <w:rPr>
                <w:noProof/>
                <w:webHidden/>
              </w:rPr>
              <w:fldChar w:fldCharType="begin"/>
            </w:r>
            <w:r>
              <w:rPr>
                <w:noProof/>
                <w:webHidden/>
              </w:rPr>
              <w:instrText xml:space="preserve"> PAGEREF _Toc215128343 \h </w:instrText>
            </w:r>
            <w:r>
              <w:rPr>
                <w:noProof/>
                <w:webHidden/>
              </w:rPr>
            </w:r>
            <w:r>
              <w:rPr>
                <w:noProof/>
                <w:webHidden/>
              </w:rPr>
              <w:fldChar w:fldCharType="separate"/>
            </w:r>
            <w:r w:rsidR="00212134">
              <w:rPr>
                <w:noProof/>
                <w:webHidden/>
              </w:rPr>
              <w:t>8</w:t>
            </w:r>
            <w:r>
              <w:rPr>
                <w:noProof/>
                <w:webHidden/>
              </w:rPr>
              <w:fldChar w:fldCharType="end"/>
            </w:r>
          </w:hyperlink>
        </w:p>
        <w:p w14:paraId="788D7108" w14:textId="23763391"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4" w:history="1">
            <w:r w:rsidRPr="00825D10">
              <w:rPr>
                <w:rStyle w:val="Hyperlink"/>
                <w:noProof/>
              </w:rPr>
              <w:t>Procurement contracts</w:t>
            </w:r>
            <w:r>
              <w:rPr>
                <w:noProof/>
                <w:webHidden/>
              </w:rPr>
              <w:tab/>
            </w:r>
            <w:r>
              <w:rPr>
                <w:noProof/>
                <w:webHidden/>
              </w:rPr>
              <w:fldChar w:fldCharType="begin"/>
            </w:r>
            <w:r>
              <w:rPr>
                <w:noProof/>
                <w:webHidden/>
              </w:rPr>
              <w:instrText xml:space="preserve"> PAGEREF _Toc215128344 \h </w:instrText>
            </w:r>
            <w:r>
              <w:rPr>
                <w:noProof/>
                <w:webHidden/>
              </w:rPr>
            </w:r>
            <w:r>
              <w:rPr>
                <w:noProof/>
                <w:webHidden/>
              </w:rPr>
              <w:fldChar w:fldCharType="separate"/>
            </w:r>
            <w:r w:rsidR="00212134">
              <w:rPr>
                <w:noProof/>
                <w:webHidden/>
              </w:rPr>
              <w:t>9</w:t>
            </w:r>
            <w:r>
              <w:rPr>
                <w:noProof/>
                <w:webHidden/>
              </w:rPr>
              <w:fldChar w:fldCharType="end"/>
            </w:r>
          </w:hyperlink>
        </w:p>
        <w:p w14:paraId="653626DB" w14:textId="3E79E704"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5" w:history="1">
            <w:r w:rsidRPr="00825D10">
              <w:rPr>
                <w:rStyle w:val="Hyperlink"/>
                <w:noProof/>
              </w:rPr>
              <w:t>Grants</w:t>
            </w:r>
            <w:r>
              <w:rPr>
                <w:noProof/>
                <w:webHidden/>
              </w:rPr>
              <w:tab/>
            </w:r>
            <w:r>
              <w:rPr>
                <w:noProof/>
                <w:webHidden/>
              </w:rPr>
              <w:fldChar w:fldCharType="begin"/>
            </w:r>
            <w:r>
              <w:rPr>
                <w:noProof/>
                <w:webHidden/>
              </w:rPr>
              <w:instrText xml:space="preserve"> PAGEREF _Toc215128345 \h </w:instrText>
            </w:r>
            <w:r>
              <w:rPr>
                <w:noProof/>
                <w:webHidden/>
              </w:rPr>
            </w:r>
            <w:r>
              <w:rPr>
                <w:noProof/>
                <w:webHidden/>
              </w:rPr>
              <w:fldChar w:fldCharType="separate"/>
            </w:r>
            <w:r w:rsidR="00212134">
              <w:rPr>
                <w:noProof/>
                <w:webHidden/>
              </w:rPr>
              <w:t>9</w:t>
            </w:r>
            <w:r>
              <w:rPr>
                <w:noProof/>
                <w:webHidden/>
              </w:rPr>
              <w:fldChar w:fldCharType="end"/>
            </w:r>
          </w:hyperlink>
        </w:p>
        <w:p w14:paraId="697D8F93" w14:textId="55A44587"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6" w:history="1">
            <w:r w:rsidRPr="00825D10">
              <w:rPr>
                <w:rStyle w:val="Hyperlink"/>
                <w:noProof/>
              </w:rPr>
              <w:t>Indirectly funded work</w:t>
            </w:r>
            <w:r>
              <w:rPr>
                <w:noProof/>
                <w:webHidden/>
              </w:rPr>
              <w:tab/>
            </w:r>
            <w:r>
              <w:rPr>
                <w:noProof/>
                <w:webHidden/>
              </w:rPr>
              <w:fldChar w:fldCharType="begin"/>
            </w:r>
            <w:r>
              <w:rPr>
                <w:noProof/>
                <w:webHidden/>
              </w:rPr>
              <w:instrText xml:space="preserve"> PAGEREF _Toc215128346 \h </w:instrText>
            </w:r>
            <w:r>
              <w:rPr>
                <w:noProof/>
                <w:webHidden/>
              </w:rPr>
            </w:r>
            <w:r>
              <w:rPr>
                <w:noProof/>
                <w:webHidden/>
              </w:rPr>
              <w:fldChar w:fldCharType="separate"/>
            </w:r>
            <w:r w:rsidR="00212134">
              <w:rPr>
                <w:noProof/>
                <w:webHidden/>
              </w:rPr>
              <w:t>10</w:t>
            </w:r>
            <w:r>
              <w:rPr>
                <w:noProof/>
                <w:webHidden/>
              </w:rPr>
              <w:fldChar w:fldCharType="end"/>
            </w:r>
          </w:hyperlink>
        </w:p>
        <w:p w14:paraId="10F9E973" w14:textId="6043F331"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7" w:history="1">
            <w:r w:rsidRPr="00825D10">
              <w:rPr>
                <w:rStyle w:val="Hyperlink"/>
                <w:noProof/>
              </w:rPr>
              <w:t>Financial thresholds</w:t>
            </w:r>
            <w:r>
              <w:rPr>
                <w:noProof/>
                <w:webHidden/>
              </w:rPr>
              <w:tab/>
            </w:r>
            <w:r>
              <w:rPr>
                <w:noProof/>
                <w:webHidden/>
              </w:rPr>
              <w:fldChar w:fldCharType="begin"/>
            </w:r>
            <w:r>
              <w:rPr>
                <w:noProof/>
                <w:webHidden/>
              </w:rPr>
              <w:instrText xml:space="preserve"> PAGEREF _Toc215128347 \h </w:instrText>
            </w:r>
            <w:r>
              <w:rPr>
                <w:noProof/>
                <w:webHidden/>
              </w:rPr>
            </w:r>
            <w:r>
              <w:rPr>
                <w:noProof/>
                <w:webHidden/>
              </w:rPr>
              <w:fldChar w:fldCharType="separate"/>
            </w:r>
            <w:r w:rsidR="00212134">
              <w:rPr>
                <w:noProof/>
                <w:webHidden/>
              </w:rPr>
              <w:t>10</w:t>
            </w:r>
            <w:r>
              <w:rPr>
                <w:noProof/>
                <w:webHidden/>
              </w:rPr>
              <w:fldChar w:fldCharType="end"/>
            </w:r>
          </w:hyperlink>
        </w:p>
        <w:p w14:paraId="5E7D9B98" w14:textId="01956E4F"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48" w:history="1">
            <w:r w:rsidRPr="00825D10">
              <w:rPr>
                <w:rStyle w:val="Hyperlink"/>
                <w:noProof/>
              </w:rPr>
              <w:t>Consultation Questions on Issue 2</w:t>
            </w:r>
            <w:r>
              <w:rPr>
                <w:noProof/>
                <w:webHidden/>
              </w:rPr>
              <w:tab/>
            </w:r>
            <w:r>
              <w:rPr>
                <w:noProof/>
                <w:webHidden/>
              </w:rPr>
              <w:fldChar w:fldCharType="begin"/>
            </w:r>
            <w:r>
              <w:rPr>
                <w:noProof/>
                <w:webHidden/>
              </w:rPr>
              <w:instrText xml:space="preserve"> PAGEREF _Toc215128348 \h </w:instrText>
            </w:r>
            <w:r>
              <w:rPr>
                <w:noProof/>
                <w:webHidden/>
              </w:rPr>
            </w:r>
            <w:r>
              <w:rPr>
                <w:noProof/>
                <w:webHidden/>
              </w:rPr>
              <w:fldChar w:fldCharType="separate"/>
            </w:r>
            <w:r w:rsidR="00212134">
              <w:rPr>
                <w:noProof/>
                <w:webHidden/>
              </w:rPr>
              <w:t>11</w:t>
            </w:r>
            <w:r>
              <w:rPr>
                <w:noProof/>
                <w:webHidden/>
              </w:rPr>
              <w:fldChar w:fldCharType="end"/>
            </w:r>
          </w:hyperlink>
        </w:p>
        <w:p w14:paraId="13C7069D" w14:textId="39FA7069"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49" w:history="1">
            <w:r w:rsidRPr="00825D10">
              <w:rPr>
                <w:rStyle w:val="Hyperlink"/>
                <w:noProof/>
              </w:rPr>
              <w:t>Issue 3: Implementation</w:t>
            </w:r>
            <w:r>
              <w:rPr>
                <w:noProof/>
                <w:webHidden/>
              </w:rPr>
              <w:tab/>
            </w:r>
            <w:r>
              <w:rPr>
                <w:noProof/>
                <w:webHidden/>
              </w:rPr>
              <w:fldChar w:fldCharType="begin"/>
            </w:r>
            <w:r>
              <w:rPr>
                <w:noProof/>
                <w:webHidden/>
              </w:rPr>
              <w:instrText xml:space="preserve"> PAGEREF _Toc215128349 \h </w:instrText>
            </w:r>
            <w:r>
              <w:rPr>
                <w:noProof/>
                <w:webHidden/>
              </w:rPr>
            </w:r>
            <w:r>
              <w:rPr>
                <w:noProof/>
                <w:webHidden/>
              </w:rPr>
              <w:fldChar w:fldCharType="separate"/>
            </w:r>
            <w:r w:rsidR="00212134">
              <w:rPr>
                <w:noProof/>
                <w:webHidden/>
              </w:rPr>
              <w:t>11</w:t>
            </w:r>
            <w:r>
              <w:rPr>
                <w:noProof/>
                <w:webHidden/>
              </w:rPr>
              <w:fldChar w:fldCharType="end"/>
            </w:r>
          </w:hyperlink>
        </w:p>
        <w:p w14:paraId="55557A31" w14:textId="2AC5C016"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0" w:history="1">
            <w:r w:rsidRPr="00825D10">
              <w:rPr>
                <w:rStyle w:val="Hyperlink"/>
                <w:noProof/>
              </w:rPr>
              <w:t>Changes to the Commonwealth Procurement Rules</w:t>
            </w:r>
            <w:r>
              <w:rPr>
                <w:noProof/>
                <w:webHidden/>
              </w:rPr>
              <w:tab/>
            </w:r>
            <w:r>
              <w:rPr>
                <w:noProof/>
                <w:webHidden/>
              </w:rPr>
              <w:fldChar w:fldCharType="begin"/>
            </w:r>
            <w:r>
              <w:rPr>
                <w:noProof/>
                <w:webHidden/>
              </w:rPr>
              <w:instrText xml:space="preserve"> PAGEREF _Toc215128350 \h </w:instrText>
            </w:r>
            <w:r>
              <w:rPr>
                <w:noProof/>
                <w:webHidden/>
              </w:rPr>
            </w:r>
            <w:r>
              <w:rPr>
                <w:noProof/>
                <w:webHidden/>
              </w:rPr>
              <w:fldChar w:fldCharType="separate"/>
            </w:r>
            <w:r w:rsidR="00212134">
              <w:rPr>
                <w:noProof/>
                <w:webHidden/>
              </w:rPr>
              <w:t>11</w:t>
            </w:r>
            <w:r>
              <w:rPr>
                <w:noProof/>
                <w:webHidden/>
              </w:rPr>
              <w:fldChar w:fldCharType="end"/>
            </w:r>
          </w:hyperlink>
        </w:p>
        <w:p w14:paraId="4B3D9CBE" w14:textId="2683D0F8"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1" w:history="1">
            <w:r w:rsidRPr="00825D10">
              <w:rPr>
                <w:rStyle w:val="Hyperlink"/>
                <w:rFonts w:eastAsia="Calibri"/>
                <w:noProof/>
              </w:rPr>
              <w:t>Establishment of Procurement and Grants Connected Policies</w:t>
            </w:r>
            <w:r>
              <w:rPr>
                <w:noProof/>
                <w:webHidden/>
              </w:rPr>
              <w:tab/>
            </w:r>
            <w:r>
              <w:rPr>
                <w:noProof/>
                <w:webHidden/>
              </w:rPr>
              <w:fldChar w:fldCharType="begin"/>
            </w:r>
            <w:r>
              <w:rPr>
                <w:noProof/>
                <w:webHidden/>
              </w:rPr>
              <w:instrText xml:space="preserve"> PAGEREF _Toc215128351 \h </w:instrText>
            </w:r>
            <w:r>
              <w:rPr>
                <w:noProof/>
                <w:webHidden/>
              </w:rPr>
            </w:r>
            <w:r>
              <w:rPr>
                <w:noProof/>
                <w:webHidden/>
              </w:rPr>
              <w:fldChar w:fldCharType="separate"/>
            </w:r>
            <w:r w:rsidR="00212134">
              <w:rPr>
                <w:noProof/>
                <w:webHidden/>
              </w:rPr>
              <w:t>11</w:t>
            </w:r>
            <w:r>
              <w:rPr>
                <w:noProof/>
                <w:webHidden/>
              </w:rPr>
              <w:fldChar w:fldCharType="end"/>
            </w:r>
          </w:hyperlink>
        </w:p>
        <w:p w14:paraId="15B2F0EE" w14:textId="26D08A04"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2" w:history="1">
            <w:r w:rsidRPr="00825D10">
              <w:rPr>
                <w:rStyle w:val="Hyperlink"/>
                <w:noProof/>
              </w:rPr>
              <w:t>Consultation Questions on Issue 3</w:t>
            </w:r>
            <w:r>
              <w:rPr>
                <w:noProof/>
                <w:webHidden/>
              </w:rPr>
              <w:tab/>
            </w:r>
            <w:r>
              <w:rPr>
                <w:noProof/>
                <w:webHidden/>
              </w:rPr>
              <w:fldChar w:fldCharType="begin"/>
            </w:r>
            <w:r>
              <w:rPr>
                <w:noProof/>
                <w:webHidden/>
              </w:rPr>
              <w:instrText xml:space="preserve"> PAGEREF _Toc215128352 \h </w:instrText>
            </w:r>
            <w:r>
              <w:rPr>
                <w:noProof/>
                <w:webHidden/>
              </w:rPr>
            </w:r>
            <w:r>
              <w:rPr>
                <w:noProof/>
                <w:webHidden/>
              </w:rPr>
              <w:fldChar w:fldCharType="separate"/>
            </w:r>
            <w:r w:rsidR="00212134">
              <w:rPr>
                <w:noProof/>
                <w:webHidden/>
              </w:rPr>
              <w:t>12</w:t>
            </w:r>
            <w:r>
              <w:rPr>
                <w:noProof/>
                <w:webHidden/>
              </w:rPr>
              <w:fldChar w:fldCharType="end"/>
            </w:r>
          </w:hyperlink>
        </w:p>
        <w:p w14:paraId="0CD18E04" w14:textId="50529675" w:rsidR="009A2F18" w:rsidRDefault="009A2F18">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15128353" w:history="1">
            <w:r w:rsidRPr="00825D10">
              <w:rPr>
                <w:rStyle w:val="Hyperlink"/>
                <w:noProof/>
              </w:rPr>
              <w:t>Issue 4: Compliance and Enforcement</w:t>
            </w:r>
            <w:r>
              <w:rPr>
                <w:noProof/>
                <w:webHidden/>
              </w:rPr>
              <w:tab/>
            </w:r>
            <w:r>
              <w:rPr>
                <w:noProof/>
                <w:webHidden/>
              </w:rPr>
              <w:fldChar w:fldCharType="begin"/>
            </w:r>
            <w:r>
              <w:rPr>
                <w:noProof/>
                <w:webHidden/>
              </w:rPr>
              <w:instrText xml:space="preserve"> PAGEREF _Toc215128353 \h </w:instrText>
            </w:r>
            <w:r>
              <w:rPr>
                <w:noProof/>
                <w:webHidden/>
              </w:rPr>
            </w:r>
            <w:r>
              <w:rPr>
                <w:noProof/>
                <w:webHidden/>
              </w:rPr>
              <w:fldChar w:fldCharType="separate"/>
            </w:r>
            <w:r w:rsidR="00212134">
              <w:rPr>
                <w:noProof/>
                <w:webHidden/>
              </w:rPr>
              <w:t>12</w:t>
            </w:r>
            <w:r>
              <w:rPr>
                <w:noProof/>
                <w:webHidden/>
              </w:rPr>
              <w:fldChar w:fldCharType="end"/>
            </w:r>
          </w:hyperlink>
        </w:p>
        <w:p w14:paraId="5E41E1BA" w14:textId="6B4561A3"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4" w:history="1">
            <w:r w:rsidRPr="00825D10">
              <w:rPr>
                <w:rStyle w:val="Hyperlink"/>
                <w:noProof/>
              </w:rPr>
              <w:t>Value for money related assessments</w:t>
            </w:r>
            <w:r>
              <w:rPr>
                <w:noProof/>
                <w:webHidden/>
              </w:rPr>
              <w:tab/>
            </w:r>
            <w:r>
              <w:rPr>
                <w:noProof/>
                <w:webHidden/>
              </w:rPr>
              <w:fldChar w:fldCharType="begin"/>
            </w:r>
            <w:r>
              <w:rPr>
                <w:noProof/>
                <w:webHidden/>
              </w:rPr>
              <w:instrText xml:space="preserve"> PAGEREF _Toc215128354 \h </w:instrText>
            </w:r>
            <w:r>
              <w:rPr>
                <w:noProof/>
                <w:webHidden/>
              </w:rPr>
            </w:r>
            <w:r>
              <w:rPr>
                <w:noProof/>
                <w:webHidden/>
              </w:rPr>
              <w:fldChar w:fldCharType="separate"/>
            </w:r>
            <w:r w:rsidR="00212134">
              <w:rPr>
                <w:noProof/>
                <w:webHidden/>
              </w:rPr>
              <w:t>12</w:t>
            </w:r>
            <w:r>
              <w:rPr>
                <w:noProof/>
                <w:webHidden/>
              </w:rPr>
              <w:fldChar w:fldCharType="end"/>
            </w:r>
          </w:hyperlink>
        </w:p>
        <w:p w14:paraId="207D9834" w14:textId="56E85D65"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5" w:history="1">
            <w:r w:rsidRPr="00825D10">
              <w:rPr>
                <w:rStyle w:val="Hyperlink"/>
                <w:noProof/>
              </w:rPr>
              <w:t>Pre-assessment certification</w:t>
            </w:r>
            <w:r>
              <w:rPr>
                <w:noProof/>
                <w:webHidden/>
              </w:rPr>
              <w:tab/>
            </w:r>
            <w:r>
              <w:rPr>
                <w:noProof/>
                <w:webHidden/>
              </w:rPr>
              <w:fldChar w:fldCharType="begin"/>
            </w:r>
            <w:r>
              <w:rPr>
                <w:noProof/>
                <w:webHidden/>
              </w:rPr>
              <w:instrText xml:space="preserve"> PAGEREF _Toc215128355 \h </w:instrText>
            </w:r>
            <w:r>
              <w:rPr>
                <w:noProof/>
                <w:webHidden/>
              </w:rPr>
            </w:r>
            <w:r>
              <w:rPr>
                <w:noProof/>
                <w:webHidden/>
              </w:rPr>
              <w:fldChar w:fldCharType="separate"/>
            </w:r>
            <w:r w:rsidR="00212134">
              <w:rPr>
                <w:noProof/>
                <w:webHidden/>
              </w:rPr>
              <w:t>12</w:t>
            </w:r>
            <w:r>
              <w:rPr>
                <w:noProof/>
                <w:webHidden/>
              </w:rPr>
              <w:fldChar w:fldCharType="end"/>
            </w:r>
          </w:hyperlink>
        </w:p>
        <w:p w14:paraId="0D44D17E" w14:textId="46BCB05D"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6" w:history="1">
            <w:r w:rsidRPr="00825D10">
              <w:rPr>
                <w:rStyle w:val="Hyperlink"/>
                <w:noProof/>
              </w:rPr>
              <w:t>Notification of non-compliance</w:t>
            </w:r>
            <w:r>
              <w:rPr>
                <w:noProof/>
                <w:webHidden/>
              </w:rPr>
              <w:tab/>
            </w:r>
            <w:r>
              <w:rPr>
                <w:noProof/>
                <w:webHidden/>
              </w:rPr>
              <w:fldChar w:fldCharType="begin"/>
            </w:r>
            <w:r>
              <w:rPr>
                <w:noProof/>
                <w:webHidden/>
              </w:rPr>
              <w:instrText xml:space="preserve"> PAGEREF _Toc215128356 \h </w:instrText>
            </w:r>
            <w:r>
              <w:rPr>
                <w:noProof/>
                <w:webHidden/>
              </w:rPr>
            </w:r>
            <w:r>
              <w:rPr>
                <w:noProof/>
                <w:webHidden/>
              </w:rPr>
              <w:fldChar w:fldCharType="separate"/>
            </w:r>
            <w:r w:rsidR="00212134">
              <w:rPr>
                <w:noProof/>
                <w:webHidden/>
              </w:rPr>
              <w:t>12</w:t>
            </w:r>
            <w:r>
              <w:rPr>
                <w:noProof/>
                <w:webHidden/>
              </w:rPr>
              <w:fldChar w:fldCharType="end"/>
            </w:r>
          </w:hyperlink>
        </w:p>
        <w:p w14:paraId="24259702" w14:textId="16E893FF"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7" w:history="1">
            <w:r w:rsidRPr="00825D10">
              <w:rPr>
                <w:rStyle w:val="Hyperlink"/>
                <w:rFonts w:eastAsia="Calibri"/>
                <w:noProof/>
              </w:rPr>
              <w:t>Remediation or termination</w:t>
            </w:r>
            <w:r>
              <w:rPr>
                <w:noProof/>
                <w:webHidden/>
              </w:rPr>
              <w:tab/>
            </w:r>
            <w:r>
              <w:rPr>
                <w:noProof/>
                <w:webHidden/>
              </w:rPr>
              <w:fldChar w:fldCharType="begin"/>
            </w:r>
            <w:r>
              <w:rPr>
                <w:noProof/>
                <w:webHidden/>
              </w:rPr>
              <w:instrText xml:space="preserve"> PAGEREF _Toc215128357 \h </w:instrText>
            </w:r>
            <w:r>
              <w:rPr>
                <w:noProof/>
                <w:webHidden/>
              </w:rPr>
            </w:r>
            <w:r>
              <w:rPr>
                <w:noProof/>
                <w:webHidden/>
              </w:rPr>
              <w:fldChar w:fldCharType="separate"/>
            </w:r>
            <w:r w:rsidR="00212134">
              <w:rPr>
                <w:noProof/>
                <w:webHidden/>
              </w:rPr>
              <w:t>13</w:t>
            </w:r>
            <w:r>
              <w:rPr>
                <w:noProof/>
                <w:webHidden/>
              </w:rPr>
              <w:fldChar w:fldCharType="end"/>
            </w:r>
          </w:hyperlink>
        </w:p>
        <w:p w14:paraId="511EDF19" w14:textId="6B76DFCC" w:rsidR="009A2F18" w:rsidRDefault="009A2F18">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15128358" w:history="1">
            <w:r w:rsidRPr="00825D10">
              <w:rPr>
                <w:rStyle w:val="Hyperlink"/>
                <w:noProof/>
              </w:rPr>
              <w:t>Consultation Questions on Issue 4</w:t>
            </w:r>
            <w:r>
              <w:rPr>
                <w:noProof/>
                <w:webHidden/>
              </w:rPr>
              <w:tab/>
            </w:r>
            <w:r>
              <w:rPr>
                <w:noProof/>
                <w:webHidden/>
              </w:rPr>
              <w:fldChar w:fldCharType="begin"/>
            </w:r>
            <w:r>
              <w:rPr>
                <w:noProof/>
                <w:webHidden/>
              </w:rPr>
              <w:instrText xml:space="preserve"> PAGEREF _Toc215128358 \h </w:instrText>
            </w:r>
            <w:r>
              <w:rPr>
                <w:noProof/>
                <w:webHidden/>
              </w:rPr>
            </w:r>
            <w:r>
              <w:rPr>
                <w:noProof/>
                <w:webHidden/>
              </w:rPr>
              <w:fldChar w:fldCharType="separate"/>
            </w:r>
            <w:r w:rsidR="00212134">
              <w:rPr>
                <w:noProof/>
                <w:webHidden/>
              </w:rPr>
              <w:t>13</w:t>
            </w:r>
            <w:r>
              <w:rPr>
                <w:noProof/>
                <w:webHidden/>
              </w:rPr>
              <w:fldChar w:fldCharType="end"/>
            </w:r>
          </w:hyperlink>
        </w:p>
        <w:p w14:paraId="2861A4D7" w14:textId="72F60DCF" w:rsidR="009A2F18" w:rsidRDefault="009A2F18">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15128359" w:history="1">
            <w:r w:rsidRPr="00825D10">
              <w:rPr>
                <w:rStyle w:val="Hyperlink"/>
                <w:noProof/>
              </w:rPr>
              <w:t>Next steps</w:t>
            </w:r>
            <w:r>
              <w:rPr>
                <w:noProof/>
                <w:webHidden/>
              </w:rPr>
              <w:tab/>
            </w:r>
            <w:r>
              <w:rPr>
                <w:noProof/>
                <w:webHidden/>
              </w:rPr>
              <w:fldChar w:fldCharType="begin"/>
            </w:r>
            <w:r>
              <w:rPr>
                <w:noProof/>
                <w:webHidden/>
              </w:rPr>
              <w:instrText xml:space="preserve"> PAGEREF _Toc215128359 \h </w:instrText>
            </w:r>
            <w:r>
              <w:rPr>
                <w:noProof/>
                <w:webHidden/>
              </w:rPr>
            </w:r>
            <w:r>
              <w:rPr>
                <w:noProof/>
                <w:webHidden/>
              </w:rPr>
              <w:fldChar w:fldCharType="separate"/>
            </w:r>
            <w:r w:rsidR="00212134">
              <w:rPr>
                <w:noProof/>
                <w:webHidden/>
              </w:rPr>
              <w:t>13</w:t>
            </w:r>
            <w:r>
              <w:rPr>
                <w:noProof/>
                <w:webHidden/>
              </w:rPr>
              <w:fldChar w:fldCharType="end"/>
            </w:r>
          </w:hyperlink>
        </w:p>
        <w:p w14:paraId="3F65D5DB" w14:textId="44FD8F04" w:rsidR="007855CC" w:rsidRPr="0095636C" w:rsidRDefault="0095636C" w:rsidP="0095636C">
          <w:r>
            <w:rPr>
              <w:rFonts w:ascii="Calibri" w:eastAsiaTheme="majorEastAsia" w:hAnsi="Calibri" w:cstheme="majorBidi"/>
              <w:b/>
              <w:color w:val="343741"/>
              <w:sz w:val="32"/>
              <w:szCs w:val="32"/>
            </w:rPr>
            <w:fldChar w:fldCharType="end"/>
          </w:r>
        </w:p>
      </w:sdtContent>
    </w:sdt>
    <w:p w14:paraId="40C9FD6A" w14:textId="77777777" w:rsidR="007855CC" w:rsidRPr="0095636C" w:rsidRDefault="007855CC" w:rsidP="0095636C">
      <w:r>
        <w:br w:type="page"/>
      </w:r>
    </w:p>
    <w:p w14:paraId="53781C0A" w14:textId="212ABE34" w:rsidR="00271E05" w:rsidRPr="00B666CD" w:rsidRDefault="00271E05" w:rsidP="0000166C">
      <w:pPr>
        <w:pStyle w:val="Heading1"/>
      </w:pPr>
      <w:bookmarkStart w:id="1" w:name="_Toc158640423"/>
      <w:bookmarkStart w:id="2" w:name="_Toc162515249"/>
      <w:bookmarkStart w:id="3" w:name="_Toc166747871"/>
      <w:bookmarkStart w:id="4" w:name="_Toc168652552"/>
      <w:bookmarkStart w:id="5" w:name="_Toc169594920"/>
      <w:bookmarkStart w:id="6" w:name="_Toc213319628"/>
      <w:bookmarkStart w:id="7" w:name="_Toc215128334"/>
      <w:bookmarkStart w:id="8" w:name="_Toc158640424"/>
      <w:bookmarkStart w:id="9" w:name="_Toc162515250"/>
      <w:r w:rsidRPr="00B666CD">
        <w:t>Consultation Process</w:t>
      </w:r>
      <w:bookmarkEnd w:id="1"/>
      <w:bookmarkEnd w:id="2"/>
      <w:bookmarkEnd w:id="3"/>
      <w:bookmarkEnd w:id="4"/>
      <w:bookmarkEnd w:id="5"/>
      <w:bookmarkEnd w:id="6"/>
      <w:bookmarkEnd w:id="7"/>
    </w:p>
    <w:p w14:paraId="41D88C5E" w14:textId="77777777" w:rsidR="00271E05" w:rsidRPr="00271E05" w:rsidRDefault="00271E05" w:rsidP="0000166C">
      <w:pPr>
        <w:pStyle w:val="Heading2"/>
      </w:pPr>
      <w:bookmarkStart w:id="10" w:name="_Toc166747872"/>
      <w:bookmarkStart w:id="11" w:name="_Toc168652553"/>
      <w:bookmarkStart w:id="12" w:name="_Toc169594921"/>
      <w:bookmarkStart w:id="13" w:name="_Toc213319629"/>
      <w:bookmarkStart w:id="14" w:name="_Toc215128335"/>
      <w:r w:rsidRPr="00271E05">
        <w:t>Request for feedback and comments</w:t>
      </w:r>
      <w:bookmarkEnd w:id="8"/>
      <w:bookmarkEnd w:id="9"/>
      <w:bookmarkEnd w:id="10"/>
      <w:bookmarkEnd w:id="11"/>
      <w:bookmarkEnd w:id="12"/>
      <w:bookmarkEnd w:id="13"/>
      <w:bookmarkEnd w:id="14"/>
    </w:p>
    <w:p w14:paraId="76F4BBD1" w14:textId="123DE3AD" w:rsidR="00271E05" w:rsidRDefault="00271E05" w:rsidP="00B414BB">
      <w:r w:rsidRPr="00A25EFF">
        <w:t>T</w:t>
      </w:r>
      <w:r w:rsidRPr="00B666CD">
        <w:t xml:space="preserve">his consultation paper </w:t>
      </w:r>
      <w:r>
        <w:t>seeks</w:t>
      </w:r>
      <w:r w:rsidRPr="00B666CD">
        <w:t xml:space="preserve"> stakeholder feedback to inform the development of the Secure Australian Jobs Code (Secure Jobs Code), </w:t>
      </w:r>
      <w:r>
        <w:t xml:space="preserve">including </w:t>
      </w:r>
      <w:r w:rsidRPr="00B666CD">
        <w:t xml:space="preserve">its application, implementation and compliance arrangements, to ensure </w:t>
      </w:r>
      <w:r>
        <w:t>g</w:t>
      </w:r>
      <w:r w:rsidRPr="00B666CD">
        <w:t xml:space="preserve">overnment expenditure is driving better outcomes for Australian workers without creating unnecessary red tape for businesses. </w:t>
      </w:r>
    </w:p>
    <w:p w14:paraId="253A5B6F" w14:textId="5CC192BB" w:rsidR="00271E05" w:rsidRPr="00B77DE2" w:rsidRDefault="00271E05" w:rsidP="00B414BB">
      <w:r>
        <w:t xml:space="preserve">We invite submissions on the questions raised in this consultation paper. Written submissions </w:t>
      </w:r>
      <w:r w:rsidR="00EC076D">
        <w:t xml:space="preserve">can </w:t>
      </w:r>
      <w:r>
        <w:t>be</w:t>
      </w:r>
      <w:r w:rsidR="00A07B81">
        <w:t xml:space="preserve"> made by visiting the</w:t>
      </w:r>
      <w:r w:rsidR="004C537D">
        <w:t xml:space="preserve"> Department of Employment and Workplace Relations’ </w:t>
      </w:r>
      <w:hyperlink r:id="rId19">
        <w:r w:rsidR="004C537D" w:rsidRPr="052E1CDD">
          <w:rPr>
            <w:rStyle w:val="Hyperlink"/>
          </w:rPr>
          <w:t>Consultation Hub</w:t>
        </w:r>
      </w:hyperlink>
      <w:r>
        <w:t xml:space="preserve"> by</w:t>
      </w:r>
      <w:r w:rsidR="710F50A7">
        <w:t xml:space="preserve"> 11.59pm Australian Eastern Daylight Time (AEDT)</w:t>
      </w:r>
      <w:r>
        <w:t xml:space="preserve"> </w:t>
      </w:r>
      <w:r w:rsidR="009F6180">
        <w:t>2</w:t>
      </w:r>
      <w:r w:rsidR="00662B84">
        <w:t>0</w:t>
      </w:r>
      <w:r w:rsidR="009F6180">
        <w:t xml:space="preserve"> February 2026</w:t>
      </w:r>
      <w:r>
        <w:t xml:space="preserve">. If you have any questions, please email </w:t>
      </w:r>
      <w:hyperlink r:id="rId20">
        <w:r w:rsidR="009B2258" w:rsidRPr="052E1CDD">
          <w:rPr>
            <w:rStyle w:val="Hyperlink"/>
          </w:rPr>
          <w:t>SecureJobsCode@dewr.gov.au</w:t>
        </w:r>
      </w:hyperlink>
      <w:r>
        <w:t>.</w:t>
      </w:r>
    </w:p>
    <w:p w14:paraId="05BC6F47" w14:textId="75377B85" w:rsidR="00271E05" w:rsidRPr="00B666CD" w:rsidRDefault="00271E05" w:rsidP="00B414BB">
      <w:r w:rsidRPr="00B666CD">
        <w:t xml:space="preserve">This paper has been prepared for consultation purposes. Decisions about the parameters and application of the Secure Jobs Code have not been taken and future decision-making will be informed by this consultation process. </w:t>
      </w:r>
    </w:p>
    <w:p w14:paraId="29059C42" w14:textId="77777777" w:rsidR="00271E05" w:rsidRPr="00B666CD" w:rsidRDefault="00271E05" w:rsidP="00B414BB">
      <w:pPr>
        <w:rPr>
          <w:b/>
          <w:bCs/>
        </w:rPr>
      </w:pPr>
      <w:r w:rsidRPr="00B666CD">
        <w:rPr>
          <w:b/>
          <w:bCs/>
        </w:rPr>
        <w:t>Confidentiality</w:t>
      </w:r>
    </w:p>
    <w:p w14:paraId="0F07D480" w14:textId="23F4EC93" w:rsidR="00271E05" w:rsidRPr="00B666CD" w:rsidRDefault="00271E05" w:rsidP="00B414BB">
      <w:r>
        <w:rPr>
          <w:rStyle w:val="ui-provider"/>
        </w:rPr>
        <w:t xml:space="preserve">We retain discretion about publishing and sharing submissions. We may also redact parts of published submissions if appropriate. If you do not want to have your submission published, please indicate this when making your submission. </w:t>
      </w:r>
    </w:p>
    <w:p w14:paraId="3A6FE108" w14:textId="254F4BAF" w:rsidR="00271E05" w:rsidRDefault="00271E05" w:rsidP="00B414BB">
      <w:r w:rsidRPr="00B666CD">
        <w:t xml:space="preserve">Please note that legal requirements, such as those imposed by the </w:t>
      </w:r>
      <w:r w:rsidRPr="00B666CD">
        <w:rPr>
          <w:i/>
          <w:iCs/>
        </w:rPr>
        <w:t>Freedom of Information Act 1982</w:t>
      </w:r>
      <w:r w:rsidRPr="00B666CD">
        <w:t xml:space="preserve">, may affect the confidentiality of your submission. </w:t>
      </w:r>
    </w:p>
    <w:p w14:paraId="6E173E54" w14:textId="77777777" w:rsidR="00271E05" w:rsidRDefault="00271E05" w:rsidP="00B414BB">
      <w:pPr>
        <w:spacing w:after="160"/>
      </w:pPr>
      <w:r>
        <w:br w:type="page"/>
      </w:r>
    </w:p>
    <w:p w14:paraId="06A6427A" w14:textId="77777777" w:rsidR="00271E05" w:rsidRPr="0000166C" w:rsidRDefault="00271E05" w:rsidP="000869E6">
      <w:pPr>
        <w:pStyle w:val="Heading1"/>
      </w:pPr>
      <w:bookmarkStart w:id="15" w:name="_Toc213319630"/>
      <w:bookmarkStart w:id="16" w:name="_Toc215128336"/>
      <w:bookmarkStart w:id="17" w:name="_Toc168652554"/>
      <w:bookmarkStart w:id="18" w:name="_Toc166747873"/>
      <w:bookmarkStart w:id="19" w:name="_Toc169594922"/>
      <w:r w:rsidRPr="0000166C">
        <w:t>Introduction</w:t>
      </w:r>
      <w:bookmarkEnd w:id="15"/>
      <w:bookmarkEnd w:id="16"/>
    </w:p>
    <w:p w14:paraId="3351090E" w14:textId="77777777" w:rsidR="00271E05" w:rsidRPr="000B4ED6" w:rsidRDefault="00271E05" w:rsidP="00B414BB">
      <w:pPr>
        <w:pStyle w:val="paragraph"/>
        <w:spacing w:before="0" w:beforeAutospacing="0" w:after="120" w:afterAutospacing="0" w:line="276" w:lineRule="auto"/>
        <w:textAlignment w:val="baseline"/>
        <w:rPr>
          <w:rStyle w:val="normaltextrun"/>
          <w:rFonts w:ascii="Aptos Display" w:eastAsiaTheme="majorEastAsia" w:hAnsi="Aptos Display" w:cstheme="minorBidi"/>
          <w:sz w:val="22"/>
          <w:szCs w:val="22"/>
        </w:rPr>
      </w:pPr>
      <w:r w:rsidRPr="000B4ED6">
        <w:rPr>
          <w:rStyle w:val="normaltextrun"/>
          <w:rFonts w:ascii="Aptos Display" w:eastAsiaTheme="majorEastAsia" w:hAnsi="Aptos Display" w:cstheme="minorBidi"/>
          <w:sz w:val="22"/>
          <w:szCs w:val="22"/>
        </w:rPr>
        <w:t xml:space="preserve">The Australian Government is committed to ensuring a dynamic and inclusive labour market in which Australians have access to safe, secure and </w:t>
      </w:r>
      <w:r w:rsidRPr="000B4ED6" w:rsidDel="00204F48">
        <w:rPr>
          <w:rStyle w:val="normaltextrun"/>
          <w:rFonts w:ascii="Aptos Display" w:eastAsiaTheme="majorEastAsia" w:hAnsi="Aptos Display" w:cstheme="minorBidi"/>
          <w:sz w:val="22"/>
          <w:szCs w:val="22"/>
        </w:rPr>
        <w:t>well</w:t>
      </w:r>
      <w:r w:rsidRPr="000B4ED6">
        <w:rPr>
          <w:rStyle w:val="normaltextrun"/>
          <w:rFonts w:ascii="Aptos Display" w:eastAsiaTheme="majorEastAsia" w:hAnsi="Aptos Display" w:cstheme="minorBidi"/>
          <w:sz w:val="22"/>
          <w:szCs w:val="22"/>
        </w:rPr>
        <w:t xml:space="preserve">-paid jobs, and where workers, employers and communities can adapt and thrive for a sustainable future. </w:t>
      </w:r>
    </w:p>
    <w:p w14:paraId="46D5238B" w14:textId="77777777" w:rsidR="00271E05" w:rsidRPr="000B4ED6" w:rsidRDefault="00271E05" w:rsidP="00B414BB">
      <w:pPr>
        <w:pStyle w:val="paragraph"/>
        <w:spacing w:before="0" w:beforeAutospacing="0" w:after="120" w:afterAutospacing="0" w:line="276" w:lineRule="auto"/>
        <w:textAlignment w:val="baseline"/>
        <w:rPr>
          <w:rStyle w:val="normaltextrun"/>
          <w:rFonts w:ascii="Aptos Display" w:eastAsiaTheme="minorHAnsi" w:hAnsi="Aptos Display" w:cstheme="minorHAnsi"/>
          <w:kern w:val="2"/>
          <w:sz w:val="22"/>
          <w:szCs w:val="22"/>
          <w:lang w:eastAsia="en-US"/>
          <w14:ligatures w14:val="standardContextual"/>
        </w:rPr>
      </w:pPr>
      <w:r w:rsidRPr="000B4ED6">
        <w:rPr>
          <w:rStyle w:val="normaltextrun"/>
          <w:rFonts w:ascii="Aptos Display" w:eastAsiaTheme="minorHAnsi" w:hAnsi="Aptos Display" w:cstheme="minorHAnsi"/>
          <w:kern w:val="2"/>
          <w:sz w:val="22"/>
          <w:szCs w:val="22"/>
          <w:lang w:eastAsia="en-US"/>
          <w14:ligatures w14:val="standardContextual"/>
        </w:rPr>
        <w:t>Suppliers who are providing goods and services for the operation of the government must be held to high standards, contribute to the shared goals of Australia, and do the right thing by workers. Suppliers meeting these standards should be recognised.</w:t>
      </w:r>
    </w:p>
    <w:p w14:paraId="79C173F1" w14:textId="130FC856" w:rsidR="00271E05" w:rsidRDefault="00271E05" w:rsidP="00B414BB">
      <w:pPr>
        <w:spacing w:after="120"/>
        <w:rPr>
          <w:rStyle w:val="normaltextrun"/>
        </w:rPr>
      </w:pPr>
      <w:bookmarkStart w:id="20" w:name="_Toc169594923"/>
      <w:r>
        <w:t>Under the</w:t>
      </w:r>
      <w:r w:rsidRPr="4C02572A">
        <w:rPr>
          <w:rStyle w:val="normaltextrun"/>
        </w:rPr>
        <w:t xml:space="preserve"> </w:t>
      </w:r>
      <w:hyperlink r:id="rId21" w:history="1">
        <w:r w:rsidRPr="0038646F">
          <w:rPr>
            <w:rStyle w:val="Hyperlink"/>
            <w:color w:val="auto"/>
            <w:u w:val="none"/>
          </w:rPr>
          <w:t>Buy Australian Plan</w:t>
        </w:r>
      </w:hyperlink>
      <w:r w:rsidRPr="001F3ACE">
        <w:rPr>
          <w:rStyle w:val="FootnoteReference"/>
        </w:rPr>
        <w:footnoteReference w:id="1"/>
      </w:r>
      <w:r w:rsidRPr="4C02572A">
        <w:rPr>
          <w:rStyle w:val="eop"/>
        </w:rPr>
        <w:t xml:space="preserve"> the </w:t>
      </w:r>
      <w:r>
        <w:rPr>
          <w:rStyle w:val="eop"/>
        </w:rPr>
        <w:t>g</w:t>
      </w:r>
      <w:r w:rsidRPr="4C02572A">
        <w:rPr>
          <w:rStyle w:val="eop"/>
        </w:rPr>
        <w:t xml:space="preserve">overnment committed to </w:t>
      </w:r>
      <w:r w:rsidRPr="4C02572A">
        <w:rPr>
          <w:rStyle w:val="normaltextrun"/>
        </w:rPr>
        <w:t>establish the Secure Jobs Code to prioritise secure work in government contracts and ensure government purchasing power is being used to support businesses that engage in</w:t>
      </w:r>
      <w:r w:rsidR="0047612A">
        <w:rPr>
          <w:rStyle w:val="normaltextrun"/>
        </w:rPr>
        <w:t xml:space="preserve"> lawful,</w:t>
      </w:r>
      <w:r w:rsidRPr="4C02572A">
        <w:rPr>
          <w:rStyle w:val="normaltextrun"/>
        </w:rPr>
        <w:t xml:space="preserve"> fair, equitable, ethical and sustainable practices.</w:t>
      </w:r>
      <w:r>
        <w:rPr>
          <w:rStyle w:val="normaltextrun"/>
        </w:rPr>
        <w:t xml:space="preserve"> The Secure Australian Jobs Plan</w:t>
      </w:r>
      <w:r w:rsidRPr="75112F9C">
        <w:rPr>
          <w:rStyle w:val="FootnoteReference"/>
        </w:rPr>
        <w:footnoteReference w:id="2"/>
      </w:r>
      <w:r>
        <w:rPr>
          <w:rStyle w:val="normaltextrun"/>
        </w:rPr>
        <w:t xml:space="preserve"> further sets out the key requirements of the Secure Jobs Code: </w:t>
      </w:r>
    </w:p>
    <w:p w14:paraId="7F4A4426" w14:textId="0A967AFF" w:rsidR="00271E05" w:rsidRPr="000B4ED6" w:rsidRDefault="0004279E"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sz w:val="22"/>
          <w:szCs w:val="22"/>
        </w:rPr>
      </w:pPr>
      <w:r>
        <w:rPr>
          <w:rFonts w:ascii="Aptos Display" w:hAnsi="Aptos Display" w:cstheme="minorBidi"/>
          <w:sz w:val="22"/>
          <w:szCs w:val="22"/>
        </w:rPr>
        <w:t>safe and secure jobs that are well-paid and have good conditions</w:t>
      </w:r>
    </w:p>
    <w:p w14:paraId="5F255DB0"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sz w:val="22"/>
          <w:szCs w:val="22"/>
        </w:rPr>
      </w:pPr>
      <w:r w:rsidRPr="000B4ED6">
        <w:rPr>
          <w:rFonts w:ascii="Aptos Display" w:hAnsi="Aptos Display" w:cstheme="minorBidi"/>
          <w:sz w:val="22"/>
          <w:szCs w:val="22"/>
        </w:rPr>
        <w:t>ethical and sustainable practices such as ensuring environmentally sustainable outcomes</w:t>
      </w:r>
    </w:p>
    <w:p w14:paraId="37881AC1"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sz w:val="22"/>
          <w:szCs w:val="22"/>
        </w:rPr>
      </w:pPr>
      <w:r w:rsidRPr="000B4ED6">
        <w:rPr>
          <w:rFonts w:ascii="Aptos Display" w:hAnsi="Aptos Display" w:cstheme="minorBidi"/>
          <w:sz w:val="22"/>
          <w:szCs w:val="22"/>
        </w:rPr>
        <w:t xml:space="preserve">compliance with the </w:t>
      </w:r>
      <w:r w:rsidRPr="000B4ED6">
        <w:rPr>
          <w:rFonts w:ascii="Aptos Display" w:hAnsi="Aptos Display" w:cstheme="minorBidi"/>
          <w:i/>
          <w:sz w:val="22"/>
          <w:szCs w:val="22"/>
        </w:rPr>
        <w:t>Workplace Gender Equality Act 2012</w:t>
      </w:r>
    </w:p>
    <w:p w14:paraId="7B773494"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sz w:val="22"/>
          <w:szCs w:val="22"/>
        </w:rPr>
      </w:pPr>
      <w:r w:rsidRPr="000B4ED6">
        <w:rPr>
          <w:rFonts w:ascii="Aptos Display" w:hAnsi="Aptos Display" w:cstheme="minorBidi"/>
          <w:sz w:val="22"/>
          <w:szCs w:val="22"/>
        </w:rPr>
        <w:t>the consideration of local industry workforce capability and capacity, particularly in regional Australia.</w:t>
      </w:r>
    </w:p>
    <w:p w14:paraId="27290322" w14:textId="77777777" w:rsidR="00271E05" w:rsidRPr="006E12E4" w:rsidRDefault="00271E05" w:rsidP="0000166C">
      <w:pPr>
        <w:pStyle w:val="Heading2"/>
      </w:pPr>
      <w:bookmarkStart w:id="21" w:name="_Toc213319631"/>
      <w:bookmarkStart w:id="22" w:name="_Toc215128337"/>
      <w:bookmarkEnd w:id="17"/>
      <w:bookmarkEnd w:id="18"/>
      <w:bookmarkEnd w:id="19"/>
      <w:bookmarkEnd w:id="20"/>
      <w:r>
        <w:t>Government actions already undertaken or underway</w:t>
      </w:r>
      <w:bookmarkEnd w:id="21"/>
      <w:bookmarkEnd w:id="22"/>
    </w:p>
    <w:p w14:paraId="6B6A0272" w14:textId="77777777" w:rsidR="00271E05" w:rsidRDefault="00271E05" w:rsidP="00B414BB">
      <w:pPr>
        <w:spacing w:after="120"/>
        <w:jc w:val="both"/>
        <w:rPr>
          <w:rStyle w:val="normaltextrun"/>
        </w:rPr>
      </w:pPr>
      <w:r w:rsidRPr="0017685E">
        <w:t xml:space="preserve">In developing the Secure Jobs Code, a key objective </w:t>
      </w:r>
      <w:r>
        <w:t>will be to</w:t>
      </w:r>
      <w:r w:rsidRPr="0017685E">
        <w:t xml:space="preserve"> avoid unnecessary duplication or overlap with existing or emerging government measures that address priority issues through public expenditure. Many of these measures already align with, and partially meet, the intended requirements of the Code. The consultation process will help ensure the Code complements these initiatives effectively.</w:t>
      </w:r>
    </w:p>
    <w:p w14:paraId="5CECBA1C" w14:textId="77777777" w:rsidR="00271E05" w:rsidRDefault="00271E05" w:rsidP="00B414BB">
      <w:pPr>
        <w:spacing w:before="120" w:after="120"/>
        <w:rPr>
          <w:rStyle w:val="normaltextrun"/>
        </w:rPr>
      </w:pPr>
      <w:r w:rsidRPr="00B666CD">
        <w:rPr>
          <w:rStyle w:val="normaltextrun"/>
        </w:rPr>
        <w:t xml:space="preserve">The </w:t>
      </w:r>
      <w:r>
        <w:rPr>
          <w:rStyle w:val="normaltextrun"/>
        </w:rPr>
        <w:t>g</w:t>
      </w:r>
      <w:r w:rsidRPr="00B666CD">
        <w:rPr>
          <w:rStyle w:val="normaltextrun"/>
        </w:rPr>
        <w:t>overnment has introduced a range of amendments to workplace relations laws to improve fairness, promote gender equality and job security, protect workers’ entitlements and increase wages, including</w:t>
      </w:r>
      <w:r>
        <w:rPr>
          <w:rStyle w:val="normaltextrun"/>
        </w:rPr>
        <w:t>:</w:t>
      </w:r>
    </w:p>
    <w:p w14:paraId="00ACB731"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i/>
          <w:sz w:val="22"/>
          <w:szCs w:val="22"/>
        </w:rPr>
      </w:pPr>
      <w:r w:rsidRPr="000B4ED6">
        <w:rPr>
          <w:rFonts w:ascii="Aptos Display" w:hAnsi="Aptos Display" w:cstheme="minorBidi"/>
          <w:i/>
          <w:sz w:val="22"/>
          <w:szCs w:val="22"/>
        </w:rPr>
        <w:t>Fair Work Amendment (Paid Family and Domestic Violence Leave) Act 2022</w:t>
      </w:r>
    </w:p>
    <w:p w14:paraId="7CFC7F4E"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i/>
          <w:sz w:val="22"/>
          <w:szCs w:val="22"/>
        </w:rPr>
      </w:pPr>
      <w:r w:rsidRPr="000B4ED6">
        <w:rPr>
          <w:rFonts w:ascii="Aptos Display" w:eastAsia="Calibri" w:hAnsi="Aptos Display" w:cstheme="minorBidi"/>
          <w:i/>
          <w:sz w:val="22"/>
          <w:szCs w:val="22"/>
        </w:rPr>
        <w:t>Fair Work Legislation Amendment (Secure Jobs, Better Pay) Act 2022</w:t>
      </w:r>
    </w:p>
    <w:p w14:paraId="7DACCF7D"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i/>
          <w:sz w:val="22"/>
          <w:szCs w:val="22"/>
        </w:rPr>
      </w:pPr>
      <w:r w:rsidRPr="000B4ED6">
        <w:rPr>
          <w:rFonts w:ascii="Aptos Display" w:eastAsia="Calibri" w:hAnsi="Aptos Display" w:cstheme="minorBidi"/>
          <w:i/>
          <w:sz w:val="22"/>
          <w:szCs w:val="22"/>
        </w:rPr>
        <w:t>Fair Work Legislation Amendment (Protecting Worker Entitlements) Act 2023</w:t>
      </w:r>
    </w:p>
    <w:p w14:paraId="69A0F966"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i/>
          <w:sz w:val="22"/>
          <w:szCs w:val="22"/>
        </w:rPr>
      </w:pPr>
      <w:r w:rsidRPr="000B4ED6">
        <w:rPr>
          <w:rFonts w:ascii="Aptos Display" w:eastAsia="Calibri" w:hAnsi="Aptos Display" w:cstheme="minorBidi"/>
          <w:i/>
          <w:sz w:val="22"/>
          <w:szCs w:val="22"/>
        </w:rPr>
        <w:t>Fair Work Legislation Amendment (Closing Loopholes) Act 2023</w:t>
      </w:r>
      <w:r w:rsidRPr="000B4ED6" w:rsidDel="001F26DA">
        <w:rPr>
          <w:rFonts w:ascii="Aptos Display" w:eastAsia="Calibri" w:hAnsi="Aptos Display" w:cstheme="minorBidi"/>
          <w:sz w:val="22"/>
          <w:szCs w:val="22"/>
        </w:rPr>
        <w:t xml:space="preserve"> </w:t>
      </w:r>
    </w:p>
    <w:p w14:paraId="5F8CBC28" w14:textId="77777777" w:rsidR="00271E05" w:rsidRPr="000B4ED6" w:rsidRDefault="00271E05" w:rsidP="00E54418">
      <w:pPr>
        <w:pStyle w:val="paragraph"/>
        <w:numPr>
          <w:ilvl w:val="0"/>
          <w:numId w:val="20"/>
        </w:numPr>
        <w:spacing w:before="120" w:beforeAutospacing="0" w:after="120" w:afterAutospacing="0" w:line="276" w:lineRule="auto"/>
        <w:ind w:left="709" w:hanging="304"/>
        <w:textAlignment w:val="baseline"/>
        <w:rPr>
          <w:rFonts w:ascii="Aptos Display" w:hAnsi="Aptos Display" w:cstheme="minorBidi"/>
          <w:i/>
          <w:sz w:val="22"/>
          <w:szCs w:val="22"/>
        </w:rPr>
      </w:pPr>
      <w:r w:rsidRPr="000B4ED6">
        <w:rPr>
          <w:rFonts w:ascii="Aptos Display" w:eastAsia="Calibri" w:hAnsi="Aptos Display" w:cstheme="minorBidi"/>
          <w:i/>
          <w:sz w:val="22"/>
          <w:szCs w:val="22"/>
        </w:rPr>
        <w:t>Fair Work Legislation Amendment (Closing Loopholes No. 2) Act 2024.</w:t>
      </w:r>
    </w:p>
    <w:p w14:paraId="351B3F45" w14:textId="6B5410A7" w:rsidR="00271E05" w:rsidRPr="00762E67" w:rsidRDefault="00271E05" w:rsidP="008C63AD">
      <w:pPr>
        <w:pStyle w:val="paragraph"/>
        <w:spacing w:before="0" w:beforeAutospacing="0" w:after="120" w:afterAutospacing="0" w:line="276" w:lineRule="auto"/>
        <w:rPr>
          <w:rFonts w:ascii="Aptos Display" w:hAnsi="Aptos Display" w:cstheme="minorHAnsi"/>
          <w:sz w:val="22"/>
          <w:szCs w:val="22"/>
        </w:rPr>
      </w:pPr>
      <w:r w:rsidRPr="00762E67">
        <w:rPr>
          <w:rStyle w:val="normaltextrun"/>
          <w:rFonts w:ascii="Aptos Display" w:eastAsiaTheme="majorEastAsia" w:hAnsi="Aptos Display" w:cstheme="minorBidi"/>
          <w:sz w:val="22"/>
          <w:szCs w:val="22"/>
        </w:rPr>
        <w:t xml:space="preserve">The government has also implemented other reforms and reviews in relation to the Commonwealth Procurement Framework </w:t>
      </w:r>
      <w:r w:rsidRPr="00762E67">
        <w:rPr>
          <w:rFonts w:ascii="Aptos Display" w:hAnsi="Aptos Display" w:cstheme="minorHAnsi"/>
          <w:sz w:val="22"/>
          <w:szCs w:val="22"/>
        </w:rPr>
        <w:t>which is underpinned by the Commonwealth Procurement Rules (CPRs). In</w:t>
      </w:r>
      <w:r w:rsidR="002873BB">
        <w:rPr>
          <w:rFonts w:ascii="Aptos Display" w:hAnsi="Aptos Display" w:cstheme="minorHAnsi"/>
          <w:sz w:val="22"/>
          <w:szCs w:val="22"/>
        </w:rPr>
        <w:t> </w:t>
      </w:r>
      <w:r w:rsidRPr="00762E67">
        <w:rPr>
          <w:rFonts w:ascii="Aptos Display" w:hAnsi="Aptos Display" w:cstheme="minorHAnsi"/>
          <w:sz w:val="22"/>
          <w:szCs w:val="22"/>
        </w:rPr>
        <w:t>October 2025, the Government updated the CPRs to reflect the government’s commitment to improving the competitive capability of Australian businesses participating in Commonwealth procurement, including changes to give effect to the government’s election commitment to prioritise Australian businesses in government procurements and contracts. The revised CPRs t</w:t>
      </w:r>
      <w:r w:rsidR="00A746D5" w:rsidRPr="00762E67">
        <w:rPr>
          <w:rFonts w:ascii="Aptos Display" w:hAnsi="Aptos Display" w:cstheme="minorHAnsi"/>
          <w:sz w:val="22"/>
          <w:szCs w:val="22"/>
        </w:rPr>
        <w:t>ook</w:t>
      </w:r>
      <w:r w:rsidRPr="00762E67">
        <w:rPr>
          <w:rFonts w:ascii="Aptos Display" w:hAnsi="Aptos Display" w:cstheme="minorHAnsi"/>
          <w:sz w:val="22"/>
          <w:szCs w:val="22"/>
        </w:rPr>
        <w:t xml:space="preserve"> effect</w:t>
      </w:r>
      <w:r w:rsidR="00C93019">
        <w:t xml:space="preserve"> </w:t>
      </w:r>
      <w:r w:rsidRPr="00762E67">
        <w:rPr>
          <w:rFonts w:ascii="Aptos Display" w:hAnsi="Aptos Display" w:cstheme="minorHAnsi"/>
          <w:sz w:val="22"/>
          <w:szCs w:val="22"/>
        </w:rPr>
        <w:t>on</w:t>
      </w:r>
      <w:r w:rsidR="0061015E">
        <w:rPr>
          <w:rFonts w:ascii="Aptos Display" w:hAnsi="Aptos Display" w:cstheme="minorHAnsi"/>
          <w:sz w:val="22"/>
          <w:szCs w:val="22"/>
        </w:rPr>
        <w:t xml:space="preserve"> </w:t>
      </w:r>
      <w:r w:rsidRPr="00762E67">
        <w:rPr>
          <w:rFonts w:ascii="Aptos Display" w:hAnsi="Aptos Display" w:cstheme="minorHAnsi"/>
          <w:sz w:val="22"/>
          <w:szCs w:val="22"/>
        </w:rPr>
        <w:t>17</w:t>
      </w:r>
      <w:r w:rsidR="00C93019">
        <w:rPr>
          <w:rFonts w:ascii="Aptos Display" w:hAnsi="Aptos Display" w:cstheme="minorHAnsi"/>
          <w:sz w:val="22"/>
          <w:szCs w:val="22"/>
        </w:rPr>
        <w:t> </w:t>
      </w:r>
      <w:r w:rsidRPr="00762E67">
        <w:rPr>
          <w:rFonts w:ascii="Aptos Display" w:hAnsi="Aptos Display" w:cstheme="minorHAnsi"/>
          <w:sz w:val="22"/>
          <w:szCs w:val="22"/>
        </w:rPr>
        <w:t>November 2025.</w:t>
      </w:r>
    </w:p>
    <w:p w14:paraId="715713C1" w14:textId="77777777" w:rsidR="00271E05" w:rsidRPr="000A1187" w:rsidRDefault="00271E05" w:rsidP="00B414BB">
      <w:pPr>
        <w:pStyle w:val="paragraph"/>
        <w:spacing w:before="0" w:beforeAutospacing="0" w:after="120" w:afterAutospacing="0" w:line="276" w:lineRule="auto"/>
        <w:textAlignment w:val="baseline"/>
        <w:rPr>
          <w:rFonts w:ascii="Aptos Display" w:hAnsi="Aptos Display" w:cstheme="minorBidi"/>
          <w:sz w:val="22"/>
          <w:szCs w:val="22"/>
        </w:rPr>
      </w:pPr>
      <w:r w:rsidRPr="000A1187">
        <w:rPr>
          <w:rFonts w:ascii="Aptos Display" w:hAnsi="Aptos Display" w:cstheme="minorBidi"/>
          <w:sz w:val="22"/>
          <w:szCs w:val="22"/>
        </w:rPr>
        <w:t>Key reforms include:</w:t>
      </w:r>
    </w:p>
    <w:p w14:paraId="349DBD36" w14:textId="77777777" w:rsidR="00271E05" w:rsidRPr="000A1187" w:rsidRDefault="00271E05" w:rsidP="00E54418">
      <w:pPr>
        <w:pStyle w:val="paragraph"/>
        <w:numPr>
          <w:ilvl w:val="0"/>
          <w:numId w:val="20"/>
        </w:numPr>
        <w:spacing w:before="120" w:beforeAutospacing="0" w:after="120" w:afterAutospacing="0" w:line="276" w:lineRule="auto"/>
        <w:ind w:left="709"/>
        <w:textAlignment w:val="baseline"/>
        <w:rPr>
          <w:rFonts w:ascii="Aptos Display" w:hAnsi="Aptos Display"/>
        </w:rPr>
      </w:pPr>
      <w:r w:rsidRPr="000A1187">
        <w:rPr>
          <w:rFonts w:ascii="Aptos Display" w:hAnsi="Aptos Display" w:cstheme="minorBidi"/>
          <w:sz w:val="22"/>
          <w:szCs w:val="22"/>
        </w:rPr>
        <w:t>implementation of the Environmentally Sustainable Procurement Policy, which encourages climate-conscious purchasing</w:t>
      </w:r>
      <w:r w:rsidRPr="000A1187">
        <w:rPr>
          <w:rStyle w:val="FootnoteReference"/>
          <w:rFonts w:ascii="Aptos Display" w:hAnsi="Aptos Display" w:cstheme="minorBidi"/>
          <w:sz w:val="22"/>
          <w:szCs w:val="22"/>
        </w:rPr>
        <w:footnoteReference w:id="3"/>
      </w:r>
      <w:r w:rsidRPr="000A1187" w:rsidDel="0083530E">
        <w:rPr>
          <w:rFonts w:ascii="Aptos Display" w:hAnsi="Aptos Display" w:cstheme="minorBidi"/>
          <w:sz w:val="22"/>
          <w:szCs w:val="22"/>
        </w:rPr>
        <w:t xml:space="preserve"> </w:t>
      </w:r>
    </w:p>
    <w:p w14:paraId="2270A240" w14:textId="57096694" w:rsidR="00271E05" w:rsidRPr="000A1187" w:rsidRDefault="00271E05" w:rsidP="00E54418">
      <w:pPr>
        <w:pStyle w:val="paragraph"/>
        <w:numPr>
          <w:ilvl w:val="0"/>
          <w:numId w:val="20"/>
        </w:numPr>
        <w:spacing w:before="120" w:beforeAutospacing="0" w:after="120" w:afterAutospacing="0" w:line="276" w:lineRule="auto"/>
        <w:ind w:left="709"/>
        <w:textAlignment w:val="baseline"/>
        <w:rPr>
          <w:rFonts w:ascii="Aptos Display" w:hAnsi="Aptos Display" w:cstheme="minorBidi"/>
          <w:sz w:val="22"/>
          <w:szCs w:val="22"/>
        </w:rPr>
      </w:pPr>
      <w:r w:rsidRPr="000A1187">
        <w:rPr>
          <w:rFonts w:ascii="Aptos Display" w:hAnsi="Aptos Display" w:cstheme="minorBidi"/>
          <w:sz w:val="22"/>
          <w:szCs w:val="22"/>
        </w:rPr>
        <w:t xml:space="preserve">strengthening the Workplace Gender Equality Procurement Principles and User Guide </w:t>
      </w:r>
      <w:r w:rsidR="0010703A">
        <w:rPr>
          <w:rFonts w:ascii="Aptos Display" w:hAnsi="Aptos Display" w:cstheme="minorBidi"/>
          <w:sz w:val="22"/>
          <w:szCs w:val="22"/>
        </w:rPr>
        <w:t>Procurement</w:t>
      </w:r>
      <w:r w:rsidR="00031080">
        <w:rPr>
          <w:rFonts w:ascii="Aptos Display" w:hAnsi="Aptos Display" w:cstheme="minorBidi"/>
          <w:sz w:val="22"/>
          <w:szCs w:val="22"/>
        </w:rPr>
        <w:t>-</w:t>
      </w:r>
      <w:r w:rsidRPr="000A1187">
        <w:rPr>
          <w:rFonts w:ascii="Aptos Display" w:hAnsi="Aptos Display" w:cstheme="minorBidi"/>
          <w:sz w:val="22"/>
          <w:szCs w:val="22"/>
        </w:rPr>
        <w:t xml:space="preserve">Connected Policy, which mandates procuring entities’ compliance with the </w:t>
      </w:r>
      <w:r w:rsidRPr="000A1187">
        <w:rPr>
          <w:rFonts w:ascii="Aptos Display" w:hAnsi="Aptos Display" w:cstheme="minorBidi"/>
          <w:i/>
          <w:sz w:val="22"/>
          <w:szCs w:val="22"/>
        </w:rPr>
        <w:t>Workplace Gender Equality Act 2012</w:t>
      </w:r>
      <w:r w:rsidRPr="000A1187">
        <w:rPr>
          <w:rStyle w:val="FootnoteReference"/>
          <w:rFonts w:ascii="Aptos Display" w:hAnsi="Aptos Display" w:cstheme="minorBidi"/>
          <w:sz w:val="22"/>
          <w:szCs w:val="22"/>
        </w:rPr>
        <w:footnoteReference w:id="4"/>
      </w:r>
    </w:p>
    <w:p w14:paraId="560D3EBA" w14:textId="77777777" w:rsidR="00271E05" w:rsidRPr="000A1187" w:rsidRDefault="00271E05" w:rsidP="00E54418">
      <w:pPr>
        <w:pStyle w:val="paragraph"/>
        <w:numPr>
          <w:ilvl w:val="0"/>
          <w:numId w:val="20"/>
        </w:numPr>
        <w:spacing w:before="120" w:beforeAutospacing="0" w:after="120" w:afterAutospacing="0" w:line="276" w:lineRule="auto"/>
        <w:ind w:left="709"/>
        <w:textAlignment w:val="baseline"/>
        <w:rPr>
          <w:rFonts w:ascii="Aptos Display" w:hAnsi="Aptos Display"/>
        </w:rPr>
      </w:pPr>
      <w:r w:rsidRPr="000A1187">
        <w:rPr>
          <w:rFonts w:ascii="Aptos Display" w:hAnsi="Aptos Display" w:cstheme="minorBidi"/>
          <w:sz w:val="22"/>
          <w:szCs w:val="22"/>
        </w:rPr>
        <w:t>updates to the Commonwealth Procurement Rules to support environmentally friendly goods and services</w:t>
      </w:r>
      <w:r w:rsidRPr="000A1187">
        <w:rPr>
          <w:rStyle w:val="FootnoteReference"/>
          <w:rFonts w:ascii="Aptos Display" w:hAnsi="Aptos Display" w:cstheme="minorBidi"/>
          <w:sz w:val="22"/>
          <w:szCs w:val="22"/>
        </w:rPr>
        <w:footnoteReference w:id="5"/>
      </w:r>
      <w:r w:rsidRPr="000A1187" w:rsidDel="001F26DA">
        <w:rPr>
          <w:rFonts w:ascii="Aptos Display" w:hAnsi="Aptos Display" w:cstheme="minorBidi"/>
          <w:sz w:val="22"/>
          <w:szCs w:val="22"/>
        </w:rPr>
        <w:t xml:space="preserve"> </w:t>
      </w:r>
    </w:p>
    <w:p w14:paraId="552C385D" w14:textId="77777777" w:rsidR="00271E05" w:rsidRPr="000A1187" w:rsidRDefault="00271E05" w:rsidP="00E54418">
      <w:pPr>
        <w:pStyle w:val="paragraph"/>
        <w:numPr>
          <w:ilvl w:val="0"/>
          <w:numId w:val="20"/>
        </w:numPr>
        <w:spacing w:before="120" w:beforeAutospacing="0" w:after="120" w:afterAutospacing="0" w:line="276" w:lineRule="auto"/>
        <w:ind w:left="709"/>
        <w:textAlignment w:val="baseline"/>
        <w:rPr>
          <w:rFonts w:ascii="Aptos Display" w:hAnsi="Aptos Display"/>
        </w:rPr>
      </w:pPr>
      <w:r w:rsidRPr="000A1187">
        <w:rPr>
          <w:rFonts w:ascii="Aptos Display" w:hAnsi="Aptos Display" w:cstheme="minorBidi"/>
          <w:sz w:val="22"/>
          <w:szCs w:val="22"/>
        </w:rPr>
        <w:t>introduction of the Commonwealth Supplier Code of Conduct (Supplier Code), which sets expectations for suppliers around work health and safety, employee welfare, ethical behaviour and sustainable business practices in all new Commonwealth contracts.</w:t>
      </w:r>
      <w:r w:rsidRPr="000A1187">
        <w:rPr>
          <w:rStyle w:val="FootnoteReference"/>
          <w:rFonts w:ascii="Aptos Display" w:hAnsi="Aptos Display" w:cstheme="minorBidi"/>
          <w:sz w:val="22"/>
          <w:szCs w:val="22"/>
        </w:rPr>
        <w:footnoteReference w:id="6"/>
      </w:r>
    </w:p>
    <w:p w14:paraId="1C7B3CFA" w14:textId="1334AE2C" w:rsidR="00271E05" w:rsidRDefault="00271E05" w:rsidP="00271E05">
      <w:pPr>
        <w:spacing w:before="120" w:after="120"/>
        <w:ind w:left="50"/>
        <w:rPr>
          <w:lang w:val="en-US"/>
        </w:rPr>
      </w:pPr>
      <w:r w:rsidRPr="000A29BA">
        <w:rPr>
          <w:lang w:val="en-US"/>
        </w:rPr>
        <w:t xml:space="preserve">The </w:t>
      </w:r>
      <w:r w:rsidRPr="000A29BA">
        <w:rPr>
          <w:i/>
          <w:iCs/>
          <w:lang w:val="en-US"/>
        </w:rPr>
        <w:t>Future Made in Australia Act 2024</w:t>
      </w:r>
      <w:r w:rsidRPr="000A29BA">
        <w:rPr>
          <w:lang w:val="en-US"/>
        </w:rPr>
        <w:t xml:space="preserve"> embeds Community Benefit Principles</w:t>
      </w:r>
      <w:r w:rsidR="00925355">
        <w:rPr>
          <w:lang w:val="en-US"/>
        </w:rPr>
        <w:t xml:space="preserve"> (CBPs)</w:t>
      </w:r>
      <w:r w:rsidRPr="000A29BA">
        <w:rPr>
          <w:lang w:val="en-US"/>
        </w:rPr>
        <w:t xml:space="preserve"> in relation to investments in priority industries which have a focus on building capability through investment in local communities, supply chain and skills and the promotion of diverse workforces and secure jobs. </w:t>
      </w:r>
    </w:p>
    <w:p w14:paraId="3EDEF998" w14:textId="4DF723A6" w:rsidR="00271E05" w:rsidRPr="000A29BA" w:rsidRDefault="00271E05" w:rsidP="00271E05">
      <w:pPr>
        <w:spacing w:before="120" w:after="120"/>
        <w:ind w:left="50"/>
        <w:rPr>
          <w:lang w:val="en-US"/>
        </w:rPr>
      </w:pPr>
      <w:r w:rsidRPr="000A29BA">
        <w:rPr>
          <w:lang w:val="en-US"/>
        </w:rPr>
        <w:t>The Australian Skills Guarantee</w:t>
      </w:r>
      <w:r>
        <w:rPr>
          <w:lang w:val="en-US"/>
        </w:rPr>
        <w:t xml:space="preserve"> Procurement Connected Policy</w:t>
      </w:r>
      <w:r w:rsidRPr="000A29BA">
        <w:rPr>
          <w:lang w:val="en-US"/>
        </w:rPr>
        <w:t xml:space="preserve"> sets national targets for apprentices, other ‘learning workers’ and women working on eligible construction and ICT projects.</w:t>
      </w:r>
    </w:p>
    <w:p w14:paraId="0B1A0D98" w14:textId="77777777" w:rsidR="00271E05" w:rsidRPr="00AE7A0F" w:rsidRDefault="00271E05" w:rsidP="0000166C">
      <w:pPr>
        <w:pStyle w:val="Heading2"/>
      </w:pPr>
      <w:bookmarkStart w:id="24" w:name="_Toc213319632"/>
      <w:bookmarkStart w:id="25" w:name="_Toc215128338"/>
      <w:r w:rsidRPr="00AE7A0F">
        <w:t>Outstanding policy objectives</w:t>
      </w:r>
      <w:bookmarkEnd w:id="24"/>
      <w:bookmarkEnd w:id="25"/>
      <w:r w:rsidRPr="00AE7A0F">
        <w:t xml:space="preserve"> </w:t>
      </w:r>
    </w:p>
    <w:p w14:paraId="01883DBD" w14:textId="77777777" w:rsidR="00271E05" w:rsidRDefault="00271E05" w:rsidP="00B414BB">
      <w:pPr>
        <w:spacing w:after="120"/>
        <w:rPr>
          <w:lang w:val="en-US"/>
        </w:rPr>
      </w:pPr>
      <w:r>
        <w:rPr>
          <w:lang w:val="en-US"/>
        </w:rPr>
        <w:t xml:space="preserve">While there are a number of measures that are relevant to the Secure Jobs Code, the government is seeking feedback to ensure the Code is focused on areas where it can have the most impact and does not create unnecessary regulatory or administrative burden on suppliers and procuring officials. </w:t>
      </w:r>
    </w:p>
    <w:p w14:paraId="62B53401" w14:textId="2FA2373F" w:rsidR="00271E05" w:rsidRDefault="00271E05" w:rsidP="00B414BB">
      <w:pPr>
        <w:spacing w:after="120"/>
      </w:pPr>
      <w:r w:rsidRPr="00C71ECD">
        <w:t xml:space="preserve">Recent reforms have strengthened legal requirements for fair treatment of workers and improved access to secure employment. Building on this foundation, the Secure Jobs Code will use the Commonwealth Procurement Framework as a strategic tool to encourage higher standards. It will support procuring entities to promote </w:t>
      </w:r>
      <w:r>
        <w:t xml:space="preserve">and prioritise </w:t>
      </w:r>
      <w:r w:rsidRPr="00C71ECD">
        <w:t xml:space="preserve">best practice among suppliers — particularly on Commonwealth </w:t>
      </w:r>
      <w:r w:rsidRPr="00E63B6A">
        <w:t xml:space="preserve">contract sites — in priority areas </w:t>
      </w:r>
      <w:r>
        <w:t>including</w:t>
      </w:r>
      <w:r w:rsidRPr="00E63B6A">
        <w:t xml:space="preserve"> work</w:t>
      </w:r>
      <w:r>
        <w:t>force</w:t>
      </w:r>
      <w:r w:rsidRPr="00E63B6A">
        <w:t xml:space="preserve"> capability, </w:t>
      </w:r>
      <w:r w:rsidR="006B310B">
        <w:t>safe and secure jobs</w:t>
      </w:r>
      <w:r w:rsidR="00941C02">
        <w:t xml:space="preserve"> that are well-paid and have good conditions</w:t>
      </w:r>
      <w:r w:rsidRPr="00E63B6A">
        <w:t>, and meaningful consultation between employers and workers.</w:t>
      </w:r>
      <w:bookmarkStart w:id="26" w:name="_Toc169606672"/>
      <w:bookmarkStart w:id="27" w:name="_Toc169612321"/>
      <w:bookmarkStart w:id="28" w:name="_Toc169613263"/>
      <w:bookmarkEnd w:id="26"/>
      <w:bookmarkEnd w:id="27"/>
      <w:bookmarkEnd w:id="28"/>
    </w:p>
    <w:p w14:paraId="7AE7BA8F" w14:textId="77777777" w:rsidR="00271E05" w:rsidRDefault="00271E05" w:rsidP="000869E6">
      <w:pPr>
        <w:pStyle w:val="Heading1"/>
        <w:spacing w:before="360"/>
      </w:pPr>
      <w:bookmarkStart w:id="29" w:name="_Toc215128339"/>
      <w:r>
        <w:t>Issues for feedback</w:t>
      </w:r>
      <w:bookmarkEnd w:id="29"/>
    </w:p>
    <w:p w14:paraId="26ED021A" w14:textId="77777777" w:rsidR="00271E05" w:rsidRDefault="00271E05" w:rsidP="00B414BB">
      <w:pPr>
        <w:spacing w:after="120"/>
      </w:pPr>
      <w:r w:rsidRPr="00487097">
        <w:t xml:space="preserve">The </w:t>
      </w:r>
      <w:r>
        <w:t>g</w:t>
      </w:r>
      <w:r w:rsidRPr="00487097">
        <w:t xml:space="preserve">overnment wants to hear from </w:t>
      </w:r>
      <w:r>
        <w:t xml:space="preserve">all impacted stakeholders, including </w:t>
      </w:r>
      <w:r w:rsidRPr="00487097">
        <w:t>businesses</w:t>
      </w:r>
      <w:r>
        <w:t xml:space="preserve"> of all sizes</w:t>
      </w:r>
      <w:r w:rsidRPr="00487097">
        <w:t xml:space="preserve">, </w:t>
      </w:r>
      <w:r>
        <w:t xml:space="preserve">workers and their unions, </w:t>
      </w:r>
      <w:r w:rsidRPr="00487097">
        <w:t xml:space="preserve">industry groups, not-for-profit organisations and the </w:t>
      </w:r>
      <w:r>
        <w:t xml:space="preserve">general </w:t>
      </w:r>
      <w:r w:rsidRPr="00487097">
        <w:t>public</w:t>
      </w:r>
      <w:r>
        <w:t>,</w:t>
      </w:r>
      <w:r w:rsidRPr="00487097">
        <w:t xml:space="preserve"> on the design of the Secure Jobs Code, including its application, implementation and compliance arrangements. </w:t>
      </w:r>
    </w:p>
    <w:p w14:paraId="6D76668D" w14:textId="77777777" w:rsidR="00271E05" w:rsidRPr="00013FDA" w:rsidRDefault="00271E05" w:rsidP="0000166C">
      <w:pPr>
        <w:pStyle w:val="Heading2"/>
      </w:pPr>
      <w:bookmarkStart w:id="30" w:name="_Toc213319634"/>
      <w:bookmarkStart w:id="31" w:name="_Toc215128340"/>
      <w:r w:rsidRPr="00013FDA">
        <w:t xml:space="preserve">Issue 1: </w:t>
      </w:r>
      <w:r>
        <w:t>K</w:t>
      </w:r>
      <w:r w:rsidRPr="00013FDA">
        <w:t xml:space="preserve">ey </w:t>
      </w:r>
      <w:r>
        <w:t>requirements</w:t>
      </w:r>
      <w:r w:rsidRPr="00013FDA">
        <w:t xml:space="preserve"> of the Secure Jobs Code</w:t>
      </w:r>
      <w:bookmarkEnd w:id="30"/>
      <w:bookmarkEnd w:id="31"/>
      <w:r w:rsidRPr="00013FDA">
        <w:t xml:space="preserve"> </w:t>
      </w:r>
    </w:p>
    <w:p w14:paraId="72491785" w14:textId="77777777" w:rsidR="00271E05" w:rsidRDefault="00271E05" w:rsidP="00B414BB">
      <w:pPr>
        <w:spacing w:after="120"/>
      </w:pPr>
      <w:r>
        <w:t xml:space="preserve">The key requirements of the Secure Jobs Code should be tailored to complement and build on, rather than duplicate, existing government initiatives. </w:t>
      </w:r>
      <w:r w:rsidRPr="002234DB">
        <w:t xml:space="preserve">The Secure Jobs Code </w:t>
      </w:r>
      <w:r>
        <w:t>will</w:t>
      </w:r>
      <w:r w:rsidRPr="002234DB">
        <w:t xml:space="preserve"> </w:t>
      </w:r>
      <w:r>
        <w:t>prioritise, through the Commonwealth resource management framework</w:t>
      </w:r>
      <w:r w:rsidRPr="002234DB">
        <w:t xml:space="preserve">, </w:t>
      </w:r>
      <w:r>
        <w:t xml:space="preserve">suppliers who promote and prioritise best practice in each of the priority areas. </w:t>
      </w:r>
    </w:p>
    <w:p w14:paraId="79184385" w14:textId="77777777" w:rsidR="00271E05" w:rsidRPr="00B666CD" w:rsidRDefault="00271E05" w:rsidP="00B414BB">
      <w:pPr>
        <w:spacing w:after="120"/>
      </w:pPr>
      <w:r w:rsidRPr="002234DB">
        <w:t xml:space="preserve">In addition to meeting minimum statutory obligations, </w:t>
      </w:r>
      <w:r>
        <w:t xml:space="preserve">the Secure Jobs Code </w:t>
      </w:r>
      <w:r w:rsidRPr="002234DB">
        <w:t>could require contracting entities to</w:t>
      </w:r>
      <w:r>
        <w:t xml:space="preserve"> demonstrate they</w:t>
      </w:r>
      <w:r w:rsidRPr="002234DB">
        <w:t>:</w:t>
      </w:r>
      <w:r>
        <w:t xml:space="preserve"> </w:t>
      </w:r>
    </w:p>
    <w:p w14:paraId="556A3FFE" w14:textId="4224846F" w:rsidR="00271E05" w:rsidRDefault="00271E05" w:rsidP="000C4DB8">
      <w:pPr>
        <w:pStyle w:val="ListParagraph"/>
        <w:numPr>
          <w:ilvl w:val="0"/>
          <w:numId w:val="23"/>
        </w:numPr>
        <w:spacing w:after="120" w:line="276" w:lineRule="auto"/>
        <w:ind w:left="709" w:hanging="349"/>
        <w:contextualSpacing w:val="0"/>
      </w:pPr>
      <w:r>
        <w:t>support</w:t>
      </w:r>
      <w:r w:rsidR="007D12C4">
        <w:t xml:space="preserve"> safe and secure jobs that are well paid and have good conditions</w:t>
      </w:r>
    </w:p>
    <w:p w14:paraId="6825CCBC" w14:textId="77777777" w:rsidR="00271E05" w:rsidRDefault="00271E05" w:rsidP="000C4DB8">
      <w:pPr>
        <w:pStyle w:val="ListParagraph"/>
        <w:numPr>
          <w:ilvl w:val="0"/>
          <w:numId w:val="23"/>
        </w:numPr>
        <w:spacing w:after="120" w:line="276" w:lineRule="auto"/>
        <w:ind w:left="709" w:hanging="349"/>
        <w:contextualSpacing w:val="0"/>
      </w:pPr>
      <w:r>
        <w:t>support addressing skills shortages and gender segregation in industries, for example, by complying with relevant government initiatives such as the Australian Skills Guarantee Procurement Connected Policy (for eligible Construction and ICT projects)</w:t>
      </w:r>
    </w:p>
    <w:p w14:paraId="0D2C43DB" w14:textId="32964C5B" w:rsidR="00271E05" w:rsidRPr="00B666CD" w:rsidRDefault="00271E05" w:rsidP="000C4DB8">
      <w:pPr>
        <w:pStyle w:val="ListParagraph"/>
        <w:numPr>
          <w:ilvl w:val="0"/>
          <w:numId w:val="23"/>
        </w:numPr>
        <w:spacing w:after="120" w:line="276" w:lineRule="auto"/>
        <w:ind w:left="709" w:hanging="349"/>
        <w:contextualSpacing w:val="0"/>
      </w:pPr>
      <w:r>
        <w:t>s</w:t>
      </w:r>
      <w:r w:rsidRPr="00B666CD">
        <w:t>upport freedom of association and representation in the workplace</w:t>
      </w:r>
    </w:p>
    <w:p w14:paraId="7633F030" w14:textId="77777777" w:rsidR="00271E05" w:rsidRDefault="00271E05" w:rsidP="000C4DB8">
      <w:pPr>
        <w:pStyle w:val="ListParagraph"/>
        <w:numPr>
          <w:ilvl w:val="0"/>
          <w:numId w:val="23"/>
        </w:numPr>
        <w:spacing w:after="120" w:line="276" w:lineRule="auto"/>
        <w:ind w:left="709" w:hanging="349"/>
        <w:contextualSpacing w:val="0"/>
      </w:pPr>
      <w:r>
        <w:t>e</w:t>
      </w:r>
      <w:r w:rsidRPr="00B91A95">
        <w:t>nsure a safe and healthy workplace, for example, by demonstrating achievement of industry performance standards in relation to WHS</w:t>
      </w:r>
    </w:p>
    <w:p w14:paraId="41925427" w14:textId="77777777" w:rsidR="00271E05" w:rsidRDefault="00271E05" w:rsidP="000C4DB8">
      <w:pPr>
        <w:pStyle w:val="ListParagraph"/>
        <w:numPr>
          <w:ilvl w:val="0"/>
          <w:numId w:val="23"/>
        </w:numPr>
        <w:spacing w:after="120" w:line="276" w:lineRule="auto"/>
        <w:ind w:left="709" w:hanging="349"/>
        <w:contextualSpacing w:val="0"/>
      </w:pPr>
      <w:r>
        <w:t xml:space="preserve">ensure that enterprise agreements used on government-funded projects are genuinely agreed </w:t>
      </w:r>
    </w:p>
    <w:p w14:paraId="25B3399B" w14:textId="77777777" w:rsidR="00271E05" w:rsidRPr="00AC6BCF" w:rsidRDefault="00271E05" w:rsidP="000C4DB8">
      <w:pPr>
        <w:pStyle w:val="ListParagraph"/>
        <w:numPr>
          <w:ilvl w:val="0"/>
          <w:numId w:val="23"/>
        </w:numPr>
        <w:spacing w:after="120" w:line="276" w:lineRule="auto"/>
        <w:ind w:left="709" w:hanging="349"/>
        <w:contextualSpacing w:val="0"/>
      </w:pPr>
      <w:r>
        <w:t xml:space="preserve">ensure that subcontractors and suppliers are paid on time and in full for work delivered. </w:t>
      </w:r>
    </w:p>
    <w:p w14:paraId="67B5B630" w14:textId="20FF877A" w:rsidR="00271E05" w:rsidRPr="00AC6BCF" w:rsidRDefault="00271E05" w:rsidP="00B414BB">
      <w:pPr>
        <w:spacing w:after="120"/>
      </w:pPr>
      <w:r w:rsidRPr="002234DB">
        <w:t xml:space="preserve">The Secure Jobs Code </w:t>
      </w:r>
      <w:r>
        <w:t xml:space="preserve">should </w:t>
      </w:r>
      <w:r w:rsidRPr="002234DB">
        <w:t xml:space="preserve">align </w:t>
      </w:r>
      <w:r>
        <w:t xml:space="preserve">with </w:t>
      </w:r>
      <w:r w:rsidRPr="002234DB">
        <w:t xml:space="preserve">amendments to the </w:t>
      </w:r>
      <w:r w:rsidRPr="006C6FEB">
        <w:rPr>
          <w:i/>
          <w:iCs/>
        </w:rPr>
        <w:t>Fair Work Act</w:t>
      </w:r>
      <w:r w:rsidR="006C6FEB" w:rsidRPr="006C6FEB">
        <w:rPr>
          <w:i/>
          <w:iCs/>
        </w:rPr>
        <w:t xml:space="preserve"> 2009</w:t>
      </w:r>
      <w:r w:rsidR="006C6FEB">
        <w:t xml:space="preserve"> (Cth) (Fair Work Act)</w:t>
      </w:r>
      <w:r>
        <w:t xml:space="preserve"> that promote gender equality and job security, protect workers’ entitlements and increase wages</w:t>
      </w:r>
      <w:r w:rsidR="00205F03">
        <w:t>, as well as align wit</w:t>
      </w:r>
      <w:r w:rsidR="00D657C2">
        <w:t xml:space="preserve">h the CBPs under the </w:t>
      </w:r>
      <w:r w:rsidR="00D657C2">
        <w:rPr>
          <w:i/>
          <w:iCs/>
        </w:rPr>
        <w:t>Future Made in Australia Act 2024.</w:t>
      </w:r>
    </w:p>
    <w:p w14:paraId="4ED3E35F" w14:textId="683439CA" w:rsidR="00271E05" w:rsidRPr="002362FB" w:rsidRDefault="00271E05" w:rsidP="00B414BB">
      <w:pPr>
        <w:spacing w:after="120"/>
        <w:rPr>
          <w:rFonts w:eastAsia="Calibri" w:cstheme="minorHAnsi"/>
        </w:rPr>
      </w:pPr>
      <w:r w:rsidRPr="002362FB">
        <w:rPr>
          <w:rFonts w:eastAsia="Calibri" w:cstheme="minorHAnsi"/>
        </w:rPr>
        <w:t xml:space="preserve">The Secure Jobs Code </w:t>
      </w:r>
      <w:r>
        <w:rPr>
          <w:rFonts w:eastAsia="Calibri" w:cstheme="minorHAnsi"/>
        </w:rPr>
        <w:t xml:space="preserve">should also </w:t>
      </w:r>
      <w:r w:rsidRPr="002362FB">
        <w:rPr>
          <w:rFonts w:eastAsia="Calibri" w:cstheme="minorHAnsi"/>
        </w:rPr>
        <w:t xml:space="preserve">support </w:t>
      </w:r>
      <w:r>
        <w:rPr>
          <w:rFonts w:eastAsia="Calibri" w:cstheme="minorHAnsi"/>
        </w:rPr>
        <w:t xml:space="preserve">and prioritise </w:t>
      </w:r>
      <w:r w:rsidRPr="002362FB">
        <w:rPr>
          <w:rFonts w:eastAsia="Calibri" w:cstheme="minorHAnsi"/>
        </w:rPr>
        <w:t xml:space="preserve">sustained and inclusive full employment. </w:t>
      </w:r>
      <w:r>
        <w:rPr>
          <w:rFonts w:eastAsia="Calibri" w:cstheme="minorHAnsi"/>
        </w:rPr>
        <w:t xml:space="preserve">As </w:t>
      </w:r>
      <w:r w:rsidRPr="00B666CD">
        <w:t>noted</w:t>
      </w:r>
      <w:r w:rsidRPr="002362FB">
        <w:rPr>
          <w:rFonts w:eastAsia="Calibri" w:cstheme="minorHAnsi"/>
        </w:rPr>
        <w:t xml:space="preserve"> </w:t>
      </w:r>
      <w:r>
        <w:rPr>
          <w:rFonts w:eastAsia="Calibri" w:cstheme="minorHAnsi"/>
        </w:rPr>
        <w:t xml:space="preserve">in </w:t>
      </w:r>
      <w:r w:rsidRPr="002362FB">
        <w:rPr>
          <w:rFonts w:eastAsia="Calibri" w:cstheme="minorHAnsi"/>
          <w:i/>
          <w:iCs/>
        </w:rPr>
        <w:t xml:space="preserve">Working </w:t>
      </w:r>
      <w:r w:rsidRPr="00B666CD">
        <w:rPr>
          <w:i/>
        </w:rPr>
        <w:t>Future: The Australian Government’s White Paper on Jobs and Opportunities</w:t>
      </w:r>
      <w:r>
        <w:rPr>
          <w:i/>
        </w:rPr>
        <w:t>,</w:t>
      </w:r>
      <w:r w:rsidRPr="00B666CD">
        <w:t xml:space="preserve"> </w:t>
      </w:r>
      <w:r w:rsidRPr="002362FB">
        <w:rPr>
          <w:rFonts w:eastAsia="Calibri" w:cstheme="minorHAnsi"/>
        </w:rPr>
        <w:t xml:space="preserve">the </w:t>
      </w:r>
      <w:r>
        <w:rPr>
          <w:rFonts w:eastAsia="Calibri" w:cstheme="minorHAnsi"/>
        </w:rPr>
        <w:t>g</w:t>
      </w:r>
      <w:r w:rsidRPr="002362FB">
        <w:rPr>
          <w:rFonts w:eastAsia="Calibri" w:cstheme="minorHAnsi"/>
        </w:rPr>
        <w:t>overnment is working to create an economy where everyone who wants a job can find one without having to search for too long, and that these jobs should be decent</w:t>
      </w:r>
      <w:r>
        <w:rPr>
          <w:rFonts w:eastAsia="Calibri" w:cstheme="minorHAnsi"/>
        </w:rPr>
        <w:t xml:space="preserve">, </w:t>
      </w:r>
      <w:r w:rsidRPr="002362FB">
        <w:rPr>
          <w:rFonts w:eastAsia="Calibri" w:cstheme="minorHAnsi"/>
        </w:rPr>
        <w:t>secure and fairly paid.</w:t>
      </w:r>
      <w:r w:rsidRPr="002362FB">
        <w:rPr>
          <w:rStyle w:val="FootnoteReference"/>
          <w:rFonts w:eastAsia="Calibri" w:cstheme="minorHAnsi"/>
        </w:rPr>
        <w:footnoteReference w:id="7"/>
      </w:r>
      <w:r w:rsidRPr="002362FB">
        <w:rPr>
          <w:rFonts w:eastAsia="Calibri" w:cstheme="minorHAnsi"/>
        </w:rPr>
        <w:t xml:space="preserve"> </w:t>
      </w:r>
    </w:p>
    <w:tbl>
      <w:tblPr>
        <w:tblStyle w:val="TableGrid"/>
        <w:tblW w:w="0" w:type="auto"/>
        <w:shd w:val="clear" w:color="auto" w:fill="E4EDD9" w:themeFill="background2" w:themeFillTint="33"/>
        <w:tblLook w:val="04A0" w:firstRow="1" w:lastRow="0" w:firstColumn="1" w:lastColumn="0" w:noHBand="0" w:noVBand="1"/>
      </w:tblPr>
      <w:tblGrid>
        <w:gridCol w:w="9016"/>
      </w:tblGrid>
      <w:tr w:rsidR="00271E05" w:rsidRPr="00B666CD" w14:paraId="34D47B11" w14:textId="77777777" w:rsidTr="00121EF8">
        <w:trPr>
          <w:trHeight w:val="3580"/>
        </w:trPr>
        <w:tc>
          <w:tcPr>
            <w:tcW w:w="9016" w:type="dxa"/>
            <w:shd w:val="clear" w:color="auto" w:fill="E4EDD9" w:themeFill="background2" w:themeFillTint="33"/>
          </w:tcPr>
          <w:p w14:paraId="31C6960B" w14:textId="264831EE" w:rsidR="00271E05" w:rsidRPr="007E3A2C" w:rsidRDefault="00271E05" w:rsidP="00295F90">
            <w:pPr>
              <w:pStyle w:val="Heading3"/>
              <w:rPr>
                <w:color w:val="0D2C6C" w:themeColor="accent5"/>
                <w:sz w:val="28"/>
                <w:szCs w:val="28"/>
              </w:rPr>
            </w:pPr>
            <w:bookmarkStart w:id="32" w:name="_Toc213319635"/>
            <w:bookmarkStart w:id="33" w:name="_Toc215128341"/>
            <w:r w:rsidRPr="007E3A2C">
              <w:rPr>
                <w:color w:val="0D2C6C" w:themeColor="accent5"/>
                <w:sz w:val="28"/>
                <w:szCs w:val="28"/>
              </w:rPr>
              <w:t>Consultation Questions on Issue 1</w:t>
            </w:r>
            <w:bookmarkEnd w:id="32"/>
            <w:r w:rsidRPr="007E3A2C">
              <w:rPr>
                <w:color w:val="0D2C6C" w:themeColor="accent5"/>
                <w:sz w:val="28"/>
                <w:szCs w:val="28"/>
              </w:rPr>
              <w:t>: Key requirements of the Secure Jobs Code</w:t>
            </w:r>
            <w:bookmarkEnd w:id="33"/>
          </w:p>
          <w:p w14:paraId="2A76F85E" w14:textId="77777777" w:rsidR="00271E05" w:rsidRPr="005425C2" w:rsidRDefault="00271E05" w:rsidP="00B414BB">
            <w:pPr>
              <w:pStyle w:val="ListParagraph"/>
              <w:numPr>
                <w:ilvl w:val="0"/>
                <w:numId w:val="28"/>
              </w:numPr>
              <w:spacing w:after="0" w:line="276" w:lineRule="auto"/>
              <w:ind w:left="357" w:hanging="357"/>
              <w:rPr>
                <w:rStyle w:val="eop"/>
                <w:rFonts w:cstheme="minorHAnsi"/>
              </w:rPr>
            </w:pPr>
            <w:r w:rsidRPr="005425C2">
              <w:rPr>
                <w:rStyle w:val="eop"/>
                <w:rFonts w:cstheme="minorHAnsi"/>
              </w:rPr>
              <w:t>How should a Secure Jobs Code operate to promote and prioritise safe, secure and well-paid jobs?</w:t>
            </w:r>
          </w:p>
          <w:p w14:paraId="3122F5DB" w14:textId="77777777" w:rsidR="00271E05" w:rsidRPr="005425C2" w:rsidRDefault="00271E05" w:rsidP="005425C2">
            <w:pPr>
              <w:pStyle w:val="ListParagraph"/>
              <w:numPr>
                <w:ilvl w:val="0"/>
                <w:numId w:val="28"/>
              </w:numPr>
              <w:spacing w:after="0" w:line="276" w:lineRule="auto"/>
              <w:ind w:left="357" w:hanging="357"/>
              <w:rPr>
                <w:rStyle w:val="eop"/>
                <w:rFonts w:cstheme="minorHAnsi"/>
              </w:rPr>
            </w:pPr>
            <w:r w:rsidRPr="005425C2">
              <w:rPr>
                <w:rStyle w:val="eop"/>
                <w:rFonts w:cstheme="minorHAnsi"/>
              </w:rPr>
              <w:t xml:space="preserve">What requirements should (or should not) be included? Why/why not? </w:t>
            </w:r>
          </w:p>
          <w:p w14:paraId="253EA5E1" w14:textId="77777777" w:rsidR="00271E05" w:rsidRPr="00772F47" w:rsidRDefault="00271E05" w:rsidP="00B414BB">
            <w:pPr>
              <w:pStyle w:val="ListParagraph"/>
              <w:numPr>
                <w:ilvl w:val="1"/>
                <w:numId w:val="24"/>
              </w:numPr>
              <w:spacing w:after="0" w:line="276" w:lineRule="auto"/>
              <w:contextualSpacing w:val="0"/>
              <w:rPr>
                <w:rStyle w:val="eop"/>
                <w:rFonts w:cstheme="minorHAnsi"/>
              </w:rPr>
            </w:pPr>
            <w:r w:rsidRPr="00772F47">
              <w:rPr>
                <w:rStyle w:val="eop"/>
                <w:rFonts w:cstheme="minorHAnsi"/>
              </w:rPr>
              <w:t xml:space="preserve">What might the minimum expectations for each of the proposed </w:t>
            </w:r>
            <w:r>
              <w:rPr>
                <w:rStyle w:val="eop"/>
                <w:rFonts w:cstheme="minorHAnsi"/>
              </w:rPr>
              <w:t>requirements</w:t>
            </w:r>
            <w:r w:rsidRPr="00772F47">
              <w:rPr>
                <w:rStyle w:val="eop"/>
                <w:rFonts w:cstheme="minorHAnsi"/>
              </w:rPr>
              <w:t xml:space="preserve"> be? </w:t>
            </w:r>
          </w:p>
          <w:p w14:paraId="6F6E81FA" w14:textId="77777777" w:rsidR="00271E05" w:rsidRPr="00772F47" w:rsidRDefault="00271E05" w:rsidP="00B414BB">
            <w:pPr>
              <w:pStyle w:val="ListParagraph"/>
              <w:numPr>
                <w:ilvl w:val="1"/>
                <w:numId w:val="24"/>
              </w:numPr>
              <w:spacing w:after="0" w:line="276" w:lineRule="auto"/>
              <w:contextualSpacing w:val="0"/>
              <w:rPr>
                <w:rStyle w:val="eop"/>
                <w:rFonts w:cstheme="minorHAnsi"/>
              </w:rPr>
            </w:pPr>
            <w:r w:rsidRPr="00772F47">
              <w:rPr>
                <w:rStyle w:val="eop"/>
                <w:rFonts w:cstheme="minorHAnsi"/>
              </w:rPr>
              <w:t xml:space="preserve">What other factors need to be considered with respect to these </w:t>
            </w:r>
            <w:r>
              <w:rPr>
                <w:rStyle w:val="eop"/>
                <w:rFonts w:cstheme="minorHAnsi"/>
              </w:rPr>
              <w:t>requirement</w:t>
            </w:r>
            <w:r w:rsidRPr="00772F47">
              <w:rPr>
                <w:rStyle w:val="eop"/>
                <w:rFonts w:cstheme="minorHAnsi"/>
              </w:rPr>
              <w:t>s?</w:t>
            </w:r>
          </w:p>
          <w:p w14:paraId="7D7D3A78" w14:textId="77777777" w:rsidR="00271E05" w:rsidRPr="00772F47" w:rsidRDefault="00271E05" w:rsidP="00B414BB">
            <w:pPr>
              <w:pStyle w:val="ListParagraph"/>
              <w:numPr>
                <w:ilvl w:val="1"/>
                <w:numId w:val="24"/>
              </w:numPr>
              <w:spacing w:after="0" w:line="276" w:lineRule="auto"/>
              <w:contextualSpacing w:val="0"/>
              <w:rPr>
                <w:rStyle w:val="eop"/>
                <w:rFonts w:cstheme="minorHAnsi"/>
              </w:rPr>
            </w:pPr>
            <w:r w:rsidRPr="00772F47">
              <w:rPr>
                <w:rStyle w:val="eop"/>
                <w:rFonts w:cstheme="minorHAnsi"/>
              </w:rPr>
              <w:t>How can the Secure Jobs Code best promote fair and harmonious workplaces, including in relation to agreement making?</w:t>
            </w:r>
          </w:p>
          <w:p w14:paraId="4839081A" w14:textId="77777777" w:rsidR="00271E05" w:rsidRPr="005425C2" w:rsidRDefault="00271E05" w:rsidP="005425C2">
            <w:pPr>
              <w:pStyle w:val="ListParagraph"/>
              <w:numPr>
                <w:ilvl w:val="0"/>
                <w:numId w:val="28"/>
              </w:numPr>
              <w:spacing w:after="0" w:line="276" w:lineRule="auto"/>
              <w:ind w:left="357" w:hanging="357"/>
              <w:rPr>
                <w:rStyle w:val="eop"/>
                <w:rFonts w:cstheme="minorHAnsi"/>
              </w:rPr>
            </w:pPr>
            <w:r w:rsidRPr="005425C2">
              <w:rPr>
                <w:rStyle w:val="eop"/>
                <w:rFonts w:cstheme="minorHAnsi"/>
              </w:rPr>
              <w:t>How should a Secure Jobs Code operate to promote inclusive job creation and workforce capability and capacity?</w:t>
            </w:r>
          </w:p>
          <w:p w14:paraId="4EF8A6AF" w14:textId="77777777" w:rsidR="00271E05" w:rsidRPr="00E1612E" w:rsidRDefault="00271E05" w:rsidP="00B414BB">
            <w:pPr>
              <w:pStyle w:val="ListParagraph"/>
              <w:numPr>
                <w:ilvl w:val="1"/>
                <w:numId w:val="24"/>
              </w:numPr>
              <w:spacing w:after="0" w:line="276" w:lineRule="auto"/>
              <w:contextualSpacing w:val="0"/>
              <w:rPr>
                <w:rStyle w:val="eop"/>
                <w:rFonts w:cstheme="minorHAnsi"/>
              </w:rPr>
            </w:pPr>
            <w:r w:rsidRPr="00772F47">
              <w:rPr>
                <w:rStyle w:val="eop"/>
                <w:rFonts w:cstheme="minorHAnsi"/>
              </w:rPr>
              <w:t xml:space="preserve">How might domestic capability and local supply chains be considered as part of the </w:t>
            </w:r>
            <w:r w:rsidRPr="00E1612E">
              <w:rPr>
                <w:rStyle w:val="eop"/>
                <w:rFonts w:cstheme="minorHAnsi"/>
              </w:rPr>
              <w:t>Secure Jobs Code?</w:t>
            </w:r>
          </w:p>
          <w:p w14:paraId="341F6E3A" w14:textId="77777777" w:rsidR="00271E05" w:rsidRPr="008A62BB" w:rsidRDefault="00271E05" w:rsidP="005425C2">
            <w:pPr>
              <w:pStyle w:val="ListParagraph"/>
              <w:numPr>
                <w:ilvl w:val="0"/>
                <w:numId w:val="28"/>
              </w:numPr>
              <w:spacing w:after="0" w:line="276" w:lineRule="auto"/>
              <w:ind w:left="357" w:hanging="357"/>
              <w:rPr>
                <w:rFonts w:asciiTheme="minorHAnsi" w:eastAsia="Calibri" w:hAnsiTheme="minorHAnsi" w:cstheme="minorHAnsi"/>
              </w:rPr>
            </w:pPr>
            <w:r w:rsidRPr="005425C2">
              <w:rPr>
                <w:rStyle w:val="eop"/>
                <w:rFonts w:cstheme="minorHAnsi"/>
              </w:rPr>
              <w:t>Are there any requirements that should be considered for inclusion?</w:t>
            </w:r>
          </w:p>
        </w:tc>
      </w:tr>
    </w:tbl>
    <w:p w14:paraId="4C61D6AA" w14:textId="77777777" w:rsidR="00271E05" w:rsidRPr="00013FDA" w:rsidRDefault="00271E05" w:rsidP="0000166C">
      <w:pPr>
        <w:pStyle w:val="Heading2"/>
      </w:pPr>
      <w:bookmarkStart w:id="34" w:name="_Toc213319636"/>
      <w:bookmarkStart w:id="35" w:name="_Toc215128342"/>
      <w:r w:rsidRPr="00013FDA">
        <w:t>Issue 2: Application of the Secure Jobs Code</w:t>
      </w:r>
      <w:bookmarkEnd w:id="34"/>
      <w:bookmarkEnd w:id="35"/>
    </w:p>
    <w:p w14:paraId="60750E73" w14:textId="1EBCE6E5" w:rsidR="00271E05" w:rsidRDefault="00271E05" w:rsidP="00B414BB">
      <w:pPr>
        <w:spacing w:after="120"/>
        <w:rPr>
          <w:lang w:val="en-US"/>
        </w:rPr>
      </w:pPr>
      <w:r w:rsidRPr="002362FB">
        <w:t xml:space="preserve">A key outcome of the consultation and development process will be to </w:t>
      </w:r>
      <w:r>
        <w:t>identify the scope and coverage of the Secure Jobs Code, including whether there should be specific requirements for the building and construction industry, and</w:t>
      </w:r>
      <w:r w:rsidRPr="002362FB">
        <w:t xml:space="preserve"> </w:t>
      </w:r>
      <w:r>
        <w:t xml:space="preserve">the </w:t>
      </w:r>
      <w:r w:rsidRPr="002362FB">
        <w:t xml:space="preserve">funding mechanisms to which the Secure Jobs Code </w:t>
      </w:r>
      <w:r>
        <w:t>sh</w:t>
      </w:r>
      <w:r w:rsidRPr="002362FB">
        <w:t>ould apply</w:t>
      </w:r>
      <w:r>
        <w:t xml:space="preserve"> to</w:t>
      </w:r>
      <w:r w:rsidRPr="002362FB">
        <w:t xml:space="preserve">, with the aim of delivering positive outcomes for business, workers and communities while avoiding </w:t>
      </w:r>
      <w:r>
        <w:t>duplication and unnecessary regulatory burden.</w:t>
      </w:r>
      <w:r w:rsidRPr="00005922">
        <w:rPr>
          <w:lang w:val="en-US"/>
        </w:rPr>
        <w:t xml:space="preserve"> </w:t>
      </w:r>
    </w:p>
    <w:p w14:paraId="05B831B0" w14:textId="0D3359F0" w:rsidR="00295F90" w:rsidRPr="00295F90" w:rsidRDefault="00271E05" w:rsidP="00295F90">
      <w:pPr>
        <w:spacing w:after="120"/>
        <w:rPr>
          <w:lang w:val="en-US"/>
        </w:rPr>
      </w:pPr>
      <w:r w:rsidRPr="00A40568">
        <w:rPr>
          <w:lang w:val="en-US"/>
        </w:rPr>
        <w:t xml:space="preserve">It will be important to ensure </w:t>
      </w:r>
      <w:r w:rsidRPr="00A40568" w:rsidDel="00963BD9">
        <w:rPr>
          <w:lang w:val="en-US"/>
        </w:rPr>
        <w:t>consistent</w:t>
      </w:r>
      <w:r w:rsidRPr="00A40568">
        <w:rPr>
          <w:lang w:val="en-US"/>
        </w:rPr>
        <w:t xml:space="preserve"> and coherent</w:t>
      </w:r>
      <w:r w:rsidRPr="00A40568" w:rsidDel="00963BD9">
        <w:rPr>
          <w:lang w:val="en-US"/>
        </w:rPr>
        <w:t xml:space="preserve"> application of the Code across </w:t>
      </w:r>
      <w:r w:rsidRPr="00A40568">
        <w:rPr>
          <w:lang w:val="en-US"/>
        </w:rPr>
        <w:t>g</w:t>
      </w:r>
      <w:r w:rsidRPr="00A40568" w:rsidDel="00963BD9">
        <w:rPr>
          <w:lang w:val="en-US"/>
        </w:rPr>
        <w:t>overnment financial levers</w:t>
      </w:r>
      <w:r w:rsidRPr="00A40568">
        <w:rPr>
          <w:lang w:val="en-US"/>
        </w:rPr>
        <w:t xml:space="preserve"> to mitigate the risk of incentivizing the preferencing of certain funding sources in order to avoid obligations under the Code</w:t>
      </w:r>
      <w:r w:rsidRPr="00A40568" w:rsidDel="00963BD9">
        <w:rPr>
          <w:lang w:val="en-US"/>
        </w:rPr>
        <w:t xml:space="preserve">. </w:t>
      </w:r>
    </w:p>
    <w:tbl>
      <w:tblPr>
        <w:tblStyle w:val="TableGrid"/>
        <w:tblpPr w:leftFromText="180" w:rightFromText="180" w:vertAnchor="text" w:tblpY="1"/>
        <w:tblOverlap w:val="never"/>
        <w:tblW w:w="0" w:type="auto"/>
        <w:shd w:val="clear" w:color="auto" w:fill="2CF9FF" w:themeFill="accent4" w:themeFillTint="99"/>
        <w:tblLook w:val="04A0" w:firstRow="1" w:lastRow="0" w:firstColumn="1" w:lastColumn="0" w:noHBand="0" w:noVBand="1"/>
      </w:tblPr>
      <w:tblGrid>
        <w:gridCol w:w="9070"/>
      </w:tblGrid>
      <w:tr w:rsidR="00271E05" w:rsidRPr="00B666CD" w14:paraId="6CFE386A" w14:textId="77777777" w:rsidTr="00295F90">
        <w:trPr>
          <w:trHeight w:val="972"/>
        </w:trPr>
        <w:tc>
          <w:tcPr>
            <w:tcW w:w="0" w:type="auto"/>
            <w:shd w:val="clear" w:color="auto" w:fill="D9D9D9" w:themeFill="background1" w:themeFillShade="D9"/>
          </w:tcPr>
          <w:p w14:paraId="0656F399" w14:textId="77777777" w:rsidR="00271E05" w:rsidRPr="007E3A2C" w:rsidRDefault="00271E05" w:rsidP="00295F90">
            <w:pPr>
              <w:pStyle w:val="Heading3"/>
              <w:rPr>
                <w:color w:val="0D2C6C" w:themeColor="accent5"/>
                <w:sz w:val="28"/>
                <w:szCs w:val="28"/>
              </w:rPr>
            </w:pPr>
            <w:bookmarkStart w:id="36" w:name="_Toc213319637"/>
            <w:bookmarkStart w:id="37" w:name="_Toc215128343"/>
            <w:bookmarkStart w:id="38" w:name="_Toc184212811"/>
            <w:r w:rsidRPr="007E3A2C">
              <w:rPr>
                <w:color w:val="0D2C6C" w:themeColor="accent5"/>
                <w:sz w:val="28"/>
                <w:szCs w:val="28"/>
              </w:rPr>
              <w:t>Building and construction industry</w:t>
            </w:r>
            <w:bookmarkEnd w:id="36"/>
            <w:bookmarkEnd w:id="37"/>
          </w:p>
          <w:p w14:paraId="50CBF312" w14:textId="77777777" w:rsidR="00271E05" w:rsidRDefault="00271E05" w:rsidP="00295F90">
            <w:r>
              <w:t xml:space="preserve">There are systemic and embedded cultural issues in the building and construction industry, and the Government has identified an opportunity to use its procurement powers to </w:t>
            </w:r>
            <w:r w:rsidRPr="008B27BA">
              <w:t>influenc</w:t>
            </w:r>
            <w:r>
              <w:t>e</w:t>
            </w:r>
            <w:r w:rsidRPr="008B27BA">
              <w:t xml:space="preserve"> change and driv</w:t>
            </w:r>
            <w:r>
              <w:t>e</w:t>
            </w:r>
            <w:r w:rsidRPr="008B27BA">
              <w:t xml:space="preserve"> mutually beneficial and lawful behaviour</w:t>
            </w:r>
            <w:r>
              <w:t>.</w:t>
            </w:r>
            <w:r>
              <w:rPr>
                <w:rStyle w:val="FootnoteReference"/>
              </w:rPr>
              <w:footnoteReference w:id="8"/>
            </w:r>
          </w:p>
          <w:p w14:paraId="3B38E61C" w14:textId="77777777" w:rsidR="00271E05" w:rsidRDefault="00271E05" w:rsidP="00295F90">
            <w:pPr>
              <w:spacing w:before="120" w:after="120"/>
            </w:pPr>
            <w:r>
              <w:t>There is broad consensus among industry stakeholders that persistent structural and cultural issues continue to impair the industry’s productivity and affect the wellbeing of its workers.</w:t>
            </w:r>
            <w:r w:rsidDel="001747AC">
              <w:rPr>
                <w:rStyle w:val="FootnoteReference"/>
              </w:rPr>
              <w:footnoteReference w:id="9"/>
            </w:r>
            <w:r>
              <w:t xml:space="preserve">  These include </w:t>
            </w:r>
            <w:r w:rsidRPr="00B85949">
              <w:t xml:space="preserve">overreliance </w:t>
            </w:r>
            <w:r>
              <w:t>on</w:t>
            </w:r>
            <w:r w:rsidRPr="00B85949">
              <w:t xml:space="preserve"> labour hire, </w:t>
            </w:r>
            <w:r>
              <w:t>low representation from women, and ongoing issues of gender-based violence, coercion, intimidation, corruption and criminality.</w:t>
            </w:r>
            <w:r>
              <w:rPr>
                <w:rStyle w:val="FootnoteReference"/>
              </w:rPr>
              <w:footnoteReference w:id="10"/>
            </w:r>
            <w:r>
              <w:t xml:space="preserve"> </w:t>
            </w:r>
          </w:p>
          <w:p w14:paraId="065BD7B6" w14:textId="77777777" w:rsidR="009D761C" w:rsidRDefault="00271E05" w:rsidP="00295F90">
            <w:pPr>
              <w:spacing w:before="120" w:after="120"/>
            </w:pPr>
            <w:r w:rsidRPr="00195267">
              <w:t>The Government is committed to addressing the range of challenges in the industry</w:t>
            </w:r>
            <w:r>
              <w:t xml:space="preserve"> and reforming</w:t>
            </w:r>
            <w:r w:rsidRPr="00195267">
              <w:t xml:space="preserve"> the </w:t>
            </w:r>
            <w:r>
              <w:t xml:space="preserve">industry’s </w:t>
            </w:r>
            <w:r w:rsidRPr="00195267">
              <w:t>culture</w:t>
            </w:r>
            <w:r>
              <w:t xml:space="preserve">, including through the establishment of the National Construction Industry Forum (NCIF). The NCIF is the industry’s leading national tripartite forum, </w:t>
            </w:r>
            <w:r w:rsidRPr="00F97BEB">
              <w:t xml:space="preserve">bringing together government, unions and business to </w:t>
            </w:r>
            <w:r>
              <w:t xml:space="preserve">provide advice to Government on a broad range of issues relating to work in the industry. </w:t>
            </w:r>
          </w:p>
          <w:p w14:paraId="14A389B4" w14:textId="51B2A2C1" w:rsidR="00271E05" w:rsidRDefault="009D761C" w:rsidP="00295F90">
            <w:pPr>
              <w:spacing w:before="120" w:after="120"/>
            </w:pPr>
            <w:r w:rsidRPr="009D761C">
              <w:t xml:space="preserve">The NCIF has agreed 9 recommendations should be acted on as the first tranche of implementation of its </w:t>
            </w:r>
            <w:r w:rsidRPr="009D761C">
              <w:rPr>
                <w:i/>
                <w:iCs/>
              </w:rPr>
              <w:t>Blueprint for the Future</w:t>
            </w:r>
            <w:r w:rsidRPr="009D761C">
              <w:t>, including advising on best practice for procurement frameworks and settings with a view to developing a nationally consistent set of procurement principles.</w:t>
            </w:r>
            <w:r w:rsidR="00271E05">
              <w:t xml:space="preserve"> </w:t>
            </w:r>
          </w:p>
          <w:p w14:paraId="60E6772F" w14:textId="46579D75" w:rsidR="00271E05" w:rsidRDefault="00271E05" w:rsidP="00295F90">
            <w:pPr>
              <w:spacing w:before="120" w:after="120"/>
            </w:pPr>
            <w:r>
              <w:t xml:space="preserve">The Secure Jobs Code would seek to complement the NCIF’s </w:t>
            </w:r>
            <w:r w:rsidR="00E3317E">
              <w:t>Blueprint</w:t>
            </w:r>
            <w:r>
              <w:rPr>
                <w:i/>
                <w:iCs/>
              </w:rPr>
              <w:t>,</w:t>
            </w:r>
            <w:r>
              <w:t xml:space="preserve"> including work that has commenced on the development of a Joint Construction Industry Charter (Charter). The Charter represents an industry-first attempt</w:t>
            </w:r>
            <w:r w:rsidRPr="00C93F52">
              <w:t xml:space="preserve"> to work together to codify shared goals and expectations for all construction industry participants.</w:t>
            </w:r>
          </w:p>
          <w:p w14:paraId="04773A24" w14:textId="44DB1B26" w:rsidR="00271E05" w:rsidRPr="008940D0" w:rsidRDefault="00271E05" w:rsidP="000C4DB8">
            <w:pPr>
              <w:spacing w:before="120" w:after="0"/>
            </w:pPr>
            <w:r>
              <w:t>While the potential scope of the Secure Jobs Code is broad, the government also wishes to explore whether sector-specific requirements are appropriate for the building and construction industry.</w:t>
            </w:r>
          </w:p>
        </w:tc>
      </w:tr>
    </w:tbl>
    <w:p w14:paraId="6FC72354" w14:textId="77777777" w:rsidR="00271E05" w:rsidRPr="00D011DE" w:rsidRDefault="00271E05" w:rsidP="0000166C">
      <w:pPr>
        <w:pStyle w:val="Heading3"/>
      </w:pPr>
      <w:bookmarkStart w:id="39" w:name="_Toc213319638"/>
      <w:bookmarkStart w:id="40" w:name="_Toc215128344"/>
      <w:r w:rsidRPr="00D011DE">
        <w:t>Procurement</w:t>
      </w:r>
      <w:bookmarkEnd w:id="38"/>
      <w:r w:rsidRPr="00D011DE">
        <w:t xml:space="preserve"> contracts</w:t>
      </w:r>
      <w:bookmarkEnd w:id="39"/>
      <w:bookmarkEnd w:id="40"/>
    </w:p>
    <w:p w14:paraId="45A35237" w14:textId="5F8553D9" w:rsidR="00271E05" w:rsidRDefault="00271E05" w:rsidP="00B414BB">
      <w:pPr>
        <w:spacing w:after="80"/>
      </w:pPr>
      <w:r>
        <w:t>The Commonwealth directly procured approximately $105 billion worth of goods and services in 2024-25.</w:t>
      </w:r>
      <w:r>
        <w:rPr>
          <w:rStyle w:val="FootnoteReference"/>
        </w:rPr>
        <w:footnoteReference w:id="11"/>
      </w:r>
      <w:r>
        <w:t xml:space="preserve"> The Secure Jobs Code will need to complement the current rules and guidelines that govern Commonwealth procurement, which is comprised of the CPRs, Department of Finance procurement guidelines and resources, </w:t>
      </w:r>
      <w:r w:rsidRPr="00366F78">
        <w:t>Procurement Connected Policies</w:t>
      </w:r>
      <w:r>
        <w:t xml:space="preserve"> (PCPs), and the recently implemented </w:t>
      </w:r>
      <w:r w:rsidDel="00730817">
        <w:t>Supplier Code</w:t>
      </w:r>
      <w:r>
        <w:t xml:space="preserve">. The Supplier Code outlines the Commonwealth’s minimum expectations of suppliers and their subcontractors while under contract with the Commonwealth, and includes expectations on suppliers’ health, safety and employee welfare policies. </w:t>
      </w:r>
    </w:p>
    <w:p w14:paraId="2595D5D5" w14:textId="77777777" w:rsidR="00271E05" w:rsidRDefault="00271E05" w:rsidP="00B414BB">
      <w:pPr>
        <w:spacing w:after="80"/>
      </w:pPr>
      <w:r w:rsidRPr="002362FB">
        <w:t xml:space="preserve">Feedback is sought on how the Secure Jobs Code </w:t>
      </w:r>
      <w:r>
        <w:t xml:space="preserve">should interact with the existing Commonwealth procurement framework. </w:t>
      </w:r>
    </w:p>
    <w:p w14:paraId="00391BA8" w14:textId="77777777" w:rsidR="00271E05" w:rsidRPr="00D011DE" w:rsidRDefault="00271E05" w:rsidP="0000166C">
      <w:pPr>
        <w:pStyle w:val="Heading3"/>
        <w:rPr>
          <w:rFonts w:ascii="Calibri" w:eastAsia="Calibri" w:hAnsi="Calibri" w:cs="Calibri"/>
        </w:rPr>
      </w:pPr>
      <w:bookmarkStart w:id="41" w:name="_Toc184212812"/>
      <w:bookmarkStart w:id="42" w:name="_Toc213319639"/>
      <w:bookmarkStart w:id="43" w:name="_Toc215128345"/>
      <w:r w:rsidRPr="00D011DE">
        <w:t>Grants</w:t>
      </w:r>
      <w:bookmarkEnd w:id="41"/>
      <w:bookmarkEnd w:id="42"/>
      <w:bookmarkEnd w:id="43"/>
    </w:p>
    <w:p w14:paraId="29E6B641" w14:textId="52939369" w:rsidR="00271E05" w:rsidRDefault="00271E05" w:rsidP="00B414BB">
      <w:pPr>
        <w:spacing w:after="120"/>
        <w:rPr>
          <w:rStyle w:val="FootnoteReference"/>
          <w:rFonts w:ascii="Calibri" w:eastAsia="Calibri" w:hAnsi="Calibri" w:cs="Calibri"/>
        </w:rPr>
      </w:pPr>
      <w:r>
        <w:t>The Commonwealth</w:t>
      </w:r>
      <w:r w:rsidDel="00FE0BFD">
        <w:t xml:space="preserve"> </w:t>
      </w:r>
      <w:r>
        <w:t>awards around $35 billion a year of grant funding to recipients, which is used for many purposes including supporting social services, community development initiatives and medical research.</w:t>
      </w:r>
      <w:r>
        <w:rPr>
          <w:rStyle w:val="FootnoteReference"/>
        </w:rPr>
        <w:footnoteReference w:id="12"/>
      </w:r>
      <w:r>
        <w:t xml:space="preserve"> </w:t>
      </w:r>
      <w:r w:rsidRPr="002362FB">
        <w:t xml:space="preserve">Commonwealth grants and procurements are governed by separate frameworks, but some policies apply to both types of spending, for example the </w:t>
      </w:r>
      <w:r>
        <w:t>Commonwealth Australian</w:t>
      </w:r>
      <w:r w:rsidRPr="002362FB">
        <w:t xml:space="preserve"> Industry Participation</w:t>
      </w:r>
      <w:r>
        <w:t xml:space="preserve"> (CAIP)</w:t>
      </w:r>
      <w:r w:rsidRPr="002362FB">
        <w:t xml:space="preserve"> policy, which applies to contracts, grants, payments and investments.</w:t>
      </w:r>
      <w:r w:rsidRPr="002362FB">
        <w:rPr>
          <w:rStyle w:val="FootnoteReference"/>
          <w:rFonts w:ascii="Calibri" w:eastAsia="Calibri" w:hAnsi="Calibri" w:cs="Calibri"/>
        </w:rPr>
        <w:footnoteReference w:id="13"/>
      </w:r>
      <w:r w:rsidRPr="002362FB">
        <w:rPr>
          <w:rStyle w:val="FootnoteReference"/>
          <w:rFonts w:ascii="Calibri" w:eastAsia="Calibri" w:hAnsi="Calibri" w:cs="Calibri"/>
        </w:rPr>
        <w:t xml:space="preserve">  </w:t>
      </w:r>
      <w:r>
        <w:t>Applying</w:t>
      </w:r>
      <w:r w:rsidR="001179C5">
        <w:t> </w:t>
      </w:r>
      <w:r>
        <w:t xml:space="preserve"> the Secure Jobs Code to grants </w:t>
      </w:r>
      <w:r w:rsidRPr="002362FB">
        <w:t>could be achieved through the development of a policy covering both grants and procurements, or by including additional clauses in grant opportunity guidelines and agreement templates.</w:t>
      </w:r>
      <w:r w:rsidRPr="002362FB">
        <w:rPr>
          <w:rStyle w:val="FootnoteReference"/>
          <w:rFonts w:ascii="Calibri" w:eastAsia="Calibri" w:hAnsi="Calibri" w:cs="Calibri"/>
        </w:rPr>
        <w:t xml:space="preserve"> </w:t>
      </w:r>
    </w:p>
    <w:p w14:paraId="12EA9443" w14:textId="77777777" w:rsidR="00271E05" w:rsidRPr="000A1187" w:rsidRDefault="00271E05" w:rsidP="00B414BB">
      <w:pPr>
        <w:spacing w:after="120"/>
        <w:rPr>
          <w:rFonts w:eastAsia="Calibri" w:cs="Calibri"/>
        </w:rPr>
      </w:pPr>
      <w:r w:rsidRPr="000A1187">
        <w:rPr>
          <w:rFonts w:eastAsia="Calibri" w:cs="Calibri"/>
        </w:rPr>
        <w:t>Careful consideration would need to be given to the types of grants that should be subject to these requirements, noting that grants are made to a wide variety of individuals and organisations. Striking an appropriate balance between the potential burden imposed on grantees and achieving the intended objectives of the grant program will be important.</w:t>
      </w:r>
    </w:p>
    <w:p w14:paraId="4C469C7D" w14:textId="77777777" w:rsidR="00271E05" w:rsidRPr="000A1187" w:rsidRDefault="00271E05" w:rsidP="00B414BB">
      <w:pPr>
        <w:spacing w:after="120"/>
        <w:rPr>
          <w:rFonts w:eastAsia="Calibri" w:cs="Calibri"/>
          <w:lang w:val="en-US"/>
        </w:rPr>
      </w:pPr>
      <w:r w:rsidRPr="000A1187" w:rsidDel="00963BD9">
        <w:rPr>
          <w:rFonts w:eastAsia="Calibri" w:cs="Calibri"/>
          <w:lang w:val="en-US"/>
        </w:rPr>
        <w:t xml:space="preserve">Feedback is sought on </w:t>
      </w:r>
      <w:r w:rsidRPr="000A1187">
        <w:rPr>
          <w:rFonts w:eastAsia="Calibri" w:cs="Calibri"/>
          <w:lang w:val="en-US"/>
        </w:rPr>
        <w:t>whether the Code should cover grants, and if so, which types.</w:t>
      </w:r>
    </w:p>
    <w:p w14:paraId="4BEE528F" w14:textId="77777777" w:rsidR="00271E05" w:rsidRPr="00D011DE" w:rsidRDefault="00271E05" w:rsidP="0000166C">
      <w:pPr>
        <w:pStyle w:val="Heading3"/>
        <w:rPr>
          <w:rFonts w:ascii="Calibri" w:eastAsia="Calibri" w:hAnsi="Calibri" w:cs="Calibri"/>
        </w:rPr>
      </w:pPr>
      <w:bookmarkStart w:id="44" w:name="_Toc213319640"/>
      <w:bookmarkStart w:id="45" w:name="_Toc215128346"/>
      <w:r w:rsidRPr="00D011DE">
        <w:t>Indirectly funded work</w:t>
      </w:r>
      <w:bookmarkEnd w:id="44"/>
      <w:bookmarkEnd w:id="45"/>
    </w:p>
    <w:p w14:paraId="10E2080D" w14:textId="77777777" w:rsidR="00271E05" w:rsidRDefault="00271E05" w:rsidP="00B414BB">
      <w:pPr>
        <w:spacing w:after="120"/>
        <w:rPr>
          <w:rFonts w:ascii="Calibri" w:eastAsia="Calibri" w:hAnsi="Calibri" w:cs="Calibri"/>
        </w:rPr>
      </w:pPr>
      <w:r w:rsidRPr="002362FB">
        <w:t xml:space="preserve">The Secure Jobs Code could be applied to </w:t>
      </w:r>
      <w:r>
        <w:t>indirectly funded work. A significant proportion of Commonwealth funding for projects is provided through indirect arrangements, such as providing support for state governments, councils or private companies that lead projects.</w:t>
      </w:r>
      <w:r w:rsidDel="005C4124">
        <w:t xml:space="preserve"> </w:t>
      </w:r>
      <w:r w:rsidRPr="002362FB">
        <w:t xml:space="preserve">Care would need to be taken to identify how best to apply the Secure Jobs Code to these initiatives, including the types of investments that would be subject to the requirements and the treatment of arrangements where the Commonwealth is not the majority investor. In addition, other frameworks guiding investment decision making must be considered, including the CBPs in the </w:t>
      </w:r>
      <w:r w:rsidRPr="002362FB">
        <w:rPr>
          <w:i/>
          <w:iCs/>
        </w:rPr>
        <w:t>Future Made in Australia Act 2024</w:t>
      </w:r>
      <w:r w:rsidRPr="002362FB">
        <w:t>.</w:t>
      </w:r>
      <w:r w:rsidRPr="002362FB" w:rsidDel="00585B35">
        <w:rPr>
          <w:rStyle w:val="FootnoteReference"/>
          <w:rFonts w:ascii="Calibri" w:eastAsia="Calibri" w:hAnsi="Calibri" w:cs="Calibri"/>
        </w:rPr>
        <w:t xml:space="preserve"> </w:t>
      </w:r>
    </w:p>
    <w:p w14:paraId="4A5B94DE" w14:textId="77777777" w:rsidR="00271E05" w:rsidRPr="000A1187" w:rsidRDefault="00271E05" w:rsidP="00B414BB">
      <w:pPr>
        <w:spacing w:after="120"/>
        <w:rPr>
          <w:rFonts w:eastAsia="Calibri" w:cs="Calibri"/>
          <w:lang w:val="en-US"/>
        </w:rPr>
      </w:pPr>
      <w:r w:rsidRPr="000A1187" w:rsidDel="00963BD9">
        <w:rPr>
          <w:rFonts w:eastAsia="Calibri" w:cs="Calibri"/>
          <w:lang w:val="en-US"/>
        </w:rPr>
        <w:t xml:space="preserve">Feedback is sought on </w:t>
      </w:r>
      <w:r w:rsidRPr="000A1187">
        <w:rPr>
          <w:rFonts w:eastAsia="Calibri" w:cs="Calibri"/>
          <w:lang w:val="en-US"/>
        </w:rPr>
        <w:t>whether the Code should cover indirectly funded work.</w:t>
      </w:r>
    </w:p>
    <w:p w14:paraId="366AE0B1" w14:textId="77777777" w:rsidR="00271E05" w:rsidRPr="00D011DE" w:rsidRDefault="00271E05" w:rsidP="0000166C">
      <w:pPr>
        <w:pStyle w:val="Heading3"/>
      </w:pPr>
      <w:bookmarkStart w:id="46" w:name="_Toc184212815"/>
      <w:bookmarkStart w:id="47" w:name="_Toc213319641"/>
      <w:bookmarkStart w:id="48" w:name="_Toc215128347"/>
      <w:r w:rsidRPr="00D011DE">
        <w:t>Financial thresholds</w:t>
      </w:r>
      <w:bookmarkEnd w:id="46"/>
      <w:bookmarkEnd w:id="47"/>
      <w:bookmarkEnd w:id="48"/>
    </w:p>
    <w:p w14:paraId="3D3AAA30" w14:textId="77777777" w:rsidR="00271E05" w:rsidRPr="004D5BF4" w:rsidRDefault="00271E05" w:rsidP="00B414BB">
      <w:pPr>
        <w:spacing w:after="120"/>
      </w:pPr>
      <w:r>
        <w:t xml:space="preserve">It is proposed that the Secure Jobs Code would apply to Commonwealth expenditure above a certain value threshold. </w:t>
      </w:r>
      <w:r w:rsidRPr="004D5BF4">
        <w:t xml:space="preserve">A value threshold ensures that the realised benefits of the </w:t>
      </w:r>
      <w:r>
        <w:t>Secure Jobs</w:t>
      </w:r>
      <w:r w:rsidRPr="004D5BF4">
        <w:t xml:space="preserve"> Code are not outweighed by its regulatory burden on suppliers and administrative costs on </w:t>
      </w:r>
      <w:r>
        <w:t>g</w:t>
      </w:r>
      <w:r w:rsidRPr="004D5BF4">
        <w:t>overnment</w:t>
      </w:r>
      <w:r>
        <w:t>, noting that lower value p</w:t>
      </w:r>
      <w:r w:rsidRPr="00F11296">
        <w:t xml:space="preserve">rojects </w:t>
      </w:r>
      <w:r>
        <w:t>are</w:t>
      </w:r>
      <w:r w:rsidRPr="00F11296">
        <w:t xml:space="preserve"> </w:t>
      </w:r>
      <w:r>
        <w:t>still</w:t>
      </w:r>
      <w:r w:rsidRPr="00F11296">
        <w:t xml:space="preserve"> captured by other initiatives such as the Supplier Code of Conduct.</w:t>
      </w:r>
    </w:p>
    <w:p w14:paraId="0E9FBCA5" w14:textId="3A8C45D2" w:rsidR="00271E05" w:rsidRDefault="00271E05" w:rsidP="00B414BB">
      <w:pPr>
        <w:spacing w:after="120"/>
      </w:pPr>
      <w:r>
        <w:t>For example, based on 2024-25 Commonwealth data, a value threshold of $20 million would result in the Secure Jobs Code covering approximately 72</w:t>
      </w:r>
      <w:r w:rsidDel="001C6E82">
        <w:t xml:space="preserve">% </w:t>
      </w:r>
      <w:r>
        <w:t>of all Commonwealth procurement spending, while applying to less than 1%</w:t>
      </w:r>
      <w:r w:rsidDel="003B1EDB">
        <w:t xml:space="preserve"> </w:t>
      </w:r>
      <w:r>
        <w:t>of all contracts.</w:t>
      </w:r>
      <w:r>
        <w:rPr>
          <w:rStyle w:val="FootnoteReference"/>
        </w:rPr>
        <w:footnoteReference w:id="14"/>
      </w:r>
      <w:r>
        <w:t xml:space="preserve"> </w:t>
      </w:r>
      <w:r w:rsidRPr="00A26DDD">
        <w:t>Similarly, applying this value threshold to grants would capture approximately 42% of all grant money awarded while applying to only 0.3% of all grants.</w:t>
      </w:r>
      <w:r w:rsidRPr="00A26DDD">
        <w:rPr>
          <w:rStyle w:val="FootnoteReference"/>
        </w:rPr>
        <w:footnoteReference w:id="15"/>
      </w:r>
      <w:r>
        <w:t xml:space="preserve"> </w:t>
      </w:r>
    </w:p>
    <w:p w14:paraId="2114CB2D" w14:textId="77777777" w:rsidR="00271E05" w:rsidRDefault="00271E05" w:rsidP="00B414BB">
      <w:pPr>
        <w:spacing w:after="120"/>
      </w:pPr>
      <w:r>
        <w:t>By applying the Secure Jobs Code to high value contracts, the government can minimise administrative and regulatory costs to both suppliers and the Commonwealth, while still ensuring the Code covers the majority of procurement activity by value.</w:t>
      </w:r>
      <w:r w:rsidDel="003F35D5">
        <w:t xml:space="preserve"> </w:t>
      </w:r>
      <w:r>
        <w:t>Consideration will also be given to aligning the value threshold with the upcoming Future Made in Australia support Rule.</w:t>
      </w:r>
    </w:p>
    <w:p w14:paraId="35C350E5" w14:textId="77777777" w:rsidR="00271E05" w:rsidRPr="00D85CAE" w:rsidRDefault="00271E05" w:rsidP="00B414BB">
      <w:pPr>
        <w:spacing w:after="120"/>
        <w:rPr>
          <w:highlight w:val="yellow"/>
        </w:rPr>
      </w:pPr>
      <w:r w:rsidRPr="000A1187">
        <w:rPr>
          <w:rFonts w:eastAsia="Calibri" w:cs="Calibri"/>
        </w:rPr>
        <w:t>Feedback is sought as to the most appropriate financial threshold for the Secure Jobs Code, and the degree to which a head contractor should be responsible for ensuring subcontractors follow these requirements.</w:t>
      </w:r>
    </w:p>
    <w:p w14:paraId="1147B2C0" w14:textId="2C832EDF" w:rsidR="00271E05" w:rsidRDefault="00271E05" w:rsidP="00271E05">
      <w:pPr>
        <w:rPr>
          <w:lang w:val="en-US"/>
        </w:rPr>
      </w:pPr>
      <w:r>
        <w:rPr>
          <w:lang w:val="en-US"/>
        </w:rPr>
        <w:t xml:space="preserve"> </w:t>
      </w:r>
    </w:p>
    <w:tbl>
      <w:tblPr>
        <w:tblStyle w:val="TableGrid"/>
        <w:tblW w:w="0" w:type="auto"/>
        <w:shd w:val="clear" w:color="auto" w:fill="E4EDD9" w:themeFill="background2" w:themeFillTint="33"/>
        <w:tblLook w:val="04A0" w:firstRow="1" w:lastRow="0" w:firstColumn="1" w:lastColumn="0" w:noHBand="0" w:noVBand="1"/>
      </w:tblPr>
      <w:tblGrid>
        <w:gridCol w:w="9016"/>
      </w:tblGrid>
      <w:tr w:rsidR="00271E05" w:rsidRPr="00B666CD" w14:paraId="7FCDEF95" w14:textId="77777777" w:rsidTr="00121EF8">
        <w:trPr>
          <w:trHeight w:val="2753"/>
        </w:trPr>
        <w:tc>
          <w:tcPr>
            <w:tcW w:w="9016" w:type="dxa"/>
            <w:shd w:val="clear" w:color="auto" w:fill="E4EDD9" w:themeFill="background2" w:themeFillTint="33"/>
          </w:tcPr>
          <w:p w14:paraId="06A11E82" w14:textId="77777777" w:rsidR="00271E05" w:rsidRPr="007E3A2C" w:rsidRDefault="00271E05" w:rsidP="00295F90">
            <w:pPr>
              <w:pStyle w:val="Heading3"/>
              <w:rPr>
                <w:color w:val="0D2C6C" w:themeColor="accent5"/>
                <w:sz w:val="28"/>
                <w:szCs w:val="28"/>
              </w:rPr>
            </w:pPr>
            <w:bookmarkStart w:id="49" w:name="_Toc213319643"/>
            <w:bookmarkStart w:id="50" w:name="_Toc215128348"/>
            <w:r w:rsidRPr="007E3A2C">
              <w:rPr>
                <w:color w:val="0D2C6C" w:themeColor="accent5"/>
                <w:sz w:val="28"/>
                <w:szCs w:val="28"/>
              </w:rPr>
              <w:t>Consultation Questions on Issue 2</w:t>
            </w:r>
            <w:bookmarkEnd w:id="49"/>
            <w:r w:rsidRPr="007E3A2C">
              <w:rPr>
                <w:color w:val="0D2C6C" w:themeColor="accent5"/>
                <w:sz w:val="28"/>
                <w:szCs w:val="28"/>
              </w:rPr>
              <w:t>:</w:t>
            </w:r>
            <w:r w:rsidRPr="00295F90">
              <w:rPr>
                <w:rStyle w:val="Heading3Char"/>
                <w:color w:val="0D2C6C" w:themeColor="accent5"/>
                <w:sz w:val="28"/>
                <w:szCs w:val="22"/>
              </w:rPr>
              <w:t xml:space="preserve"> Application of the Secure Jobs Code</w:t>
            </w:r>
            <w:bookmarkEnd w:id="50"/>
          </w:p>
          <w:p w14:paraId="6E1C21E3" w14:textId="0455E2C7" w:rsidR="00271E05" w:rsidRPr="00F058F5" w:rsidRDefault="00271E05" w:rsidP="00B414BB">
            <w:pPr>
              <w:pStyle w:val="ListParagraph"/>
              <w:numPr>
                <w:ilvl w:val="0"/>
                <w:numId w:val="28"/>
              </w:numPr>
              <w:spacing w:after="0" w:line="276" w:lineRule="auto"/>
              <w:ind w:left="357" w:hanging="357"/>
              <w:rPr>
                <w:rStyle w:val="eop"/>
                <w:rFonts w:cstheme="minorHAnsi"/>
              </w:rPr>
            </w:pPr>
            <w:r w:rsidRPr="00F058F5">
              <w:rPr>
                <w:rStyle w:val="eop"/>
                <w:rFonts w:cstheme="minorHAnsi"/>
              </w:rPr>
              <w:t xml:space="preserve">Should the Secure Jobs Code apply specific rules in </w:t>
            </w:r>
            <w:r w:rsidR="009246D4">
              <w:rPr>
                <w:rStyle w:val="eop"/>
                <w:rFonts w:cstheme="minorHAnsi"/>
              </w:rPr>
              <w:t>the building</w:t>
            </w:r>
            <w:r w:rsidRPr="00F058F5">
              <w:rPr>
                <w:rStyle w:val="eop"/>
                <w:rFonts w:cstheme="minorHAnsi"/>
              </w:rPr>
              <w:t xml:space="preserve"> and </w:t>
            </w:r>
            <w:r w:rsidR="009246D4">
              <w:rPr>
                <w:rStyle w:val="eop"/>
                <w:rFonts w:cstheme="minorHAnsi"/>
              </w:rPr>
              <w:t xml:space="preserve">construction </w:t>
            </w:r>
            <w:r w:rsidRPr="00F058F5">
              <w:rPr>
                <w:rStyle w:val="eop"/>
                <w:rFonts w:cstheme="minorHAnsi"/>
              </w:rPr>
              <w:t>sector? If so, provide details.</w:t>
            </w:r>
          </w:p>
          <w:p w14:paraId="484CF84D" w14:textId="77777777" w:rsidR="00271E05" w:rsidRPr="00F058F5" w:rsidRDefault="00271E05" w:rsidP="00B414BB">
            <w:pPr>
              <w:pStyle w:val="ListParagraph"/>
              <w:numPr>
                <w:ilvl w:val="0"/>
                <w:numId w:val="28"/>
              </w:numPr>
              <w:spacing w:after="0" w:line="276" w:lineRule="auto"/>
              <w:ind w:left="357" w:hanging="357"/>
              <w:rPr>
                <w:rStyle w:val="eop"/>
                <w:rFonts w:cstheme="minorHAnsi"/>
              </w:rPr>
            </w:pPr>
            <w:r w:rsidRPr="00F058F5">
              <w:rPr>
                <w:rStyle w:val="eop"/>
                <w:rFonts w:cstheme="minorHAnsi"/>
              </w:rPr>
              <w:t>Should the Secure Jobs Code apply to subcontractors? If so, what should this threshold be?</w:t>
            </w:r>
          </w:p>
          <w:p w14:paraId="4BDE7F1C" w14:textId="77777777" w:rsidR="00271E05" w:rsidRPr="00F058F5" w:rsidRDefault="00271E05" w:rsidP="00B414BB">
            <w:pPr>
              <w:pStyle w:val="ListParagraph"/>
              <w:numPr>
                <w:ilvl w:val="0"/>
                <w:numId w:val="28"/>
              </w:numPr>
              <w:spacing w:after="0" w:line="276" w:lineRule="auto"/>
              <w:ind w:left="357" w:hanging="357"/>
              <w:rPr>
                <w:rStyle w:val="eop"/>
                <w:rFonts w:cstheme="minorHAnsi"/>
              </w:rPr>
            </w:pPr>
            <w:r w:rsidRPr="00F058F5">
              <w:rPr>
                <w:rStyle w:val="eop"/>
                <w:rFonts w:cstheme="minorHAnsi"/>
              </w:rPr>
              <w:t xml:space="preserve">What types of funding processes (e.g. procurement, grants, other indirectly funded work) should the Secure Jobs Code apply to? </w:t>
            </w:r>
            <w:r w:rsidRPr="00F058F5">
              <w:rPr>
                <w:rStyle w:val="eop"/>
              </w:rPr>
              <w:t>Why/why not?</w:t>
            </w:r>
          </w:p>
          <w:p w14:paraId="0D368661" w14:textId="526CA6A8" w:rsidR="00271E05" w:rsidRPr="000C4DB8" w:rsidRDefault="00271E05" w:rsidP="000C4DB8">
            <w:pPr>
              <w:pStyle w:val="ListParagraph"/>
              <w:numPr>
                <w:ilvl w:val="0"/>
                <w:numId w:val="28"/>
              </w:numPr>
              <w:spacing w:after="0" w:line="276" w:lineRule="auto"/>
              <w:ind w:left="357" w:hanging="357"/>
            </w:pPr>
            <w:r w:rsidRPr="00F058F5">
              <w:rPr>
                <w:rStyle w:val="eop"/>
              </w:rPr>
              <w:t xml:space="preserve">What financial threshold should apply to the Secure Jobs Code? Should the financial threshold vary across different industries and sectors? </w:t>
            </w:r>
          </w:p>
        </w:tc>
      </w:tr>
    </w:tbl>
    <w:p w14:paraId="1A6D17C0" w14:textId="77777777" w:rsidR="00271E05" w:rsidRPr="00013FDA" w:rsidRDefault="00271E05" w:rsidP="0000166C">
      <w:pPr>
        <w:pStyle w:val="Heading2"/>
      </w:pPr>
      <w:bookmarkStart w:id="51" w:name="_Toc213319644"/>
      <w:bookmarkStart w:id="52" w:name="_Toc215128349"/>
      <w:r w:rsidRPr="00013FDA">
        <w:t>Issue 3: Implementation</w:t>
      </w:r>
      <w:bookmarkEnd w:id="51"/>
      <w:bookmarkEnd w:id="52"/>
    </w:p>
    <w:p w14:paraId="6634D486" w14:textId="3C438556" w:rsidR="00271E05" w:rsidRPr="00B666CD" w:rsidRDefault="00271E05" w:rsidP="00B414BB">
      <w:pPr>
        <w:spacing w:after="120"/>
        <w:rPr>
          <w:rStyle w:val="eop"/>
          <w:rFonts w:ascii="Calibri" w:hAnsi="Calibri" w:cs="Calibri"/>
          <w:color w:val="000000"/>
        </w:rPr>
      </w:pPr>
      <w:r w:rsidRPr="00B666CD">
        <w:t xml:space="preserve">There </w:t>
      </w:r>
      <w:r>
        <w:t>are a number</w:t>
      </w:r>
      <w:r w:rsidRPr="00B666CD">
        <w:t xml:space="preserve"> of options for implementing the Secure Jobs Code</w:t>
      </w:r>
      <w:r>
        <w:t xml:space="preserve">, including changes to the CPRs, or establishing a </w:t>
      </w:r>
      <w:r w:rsidR="00420273">
        <w:t>PCP</w:t>
      </w:r>
      <w:r>
        <w:t xml:space="preserve"> and grant connected policy</w:t>
      </w:r>
      <w:r w:rsidR="00420273">
        <w:t xml:space="preserve"> (GCP)</w:t>
      </w:r>
      <w:r>
        <w:t>.</w:t>
      </w:r>
    </w:p>
    <w:p w14:paraId="13CA063A" w14:textId="77777777" w:rsidR="00271E05" w:rsidRDefault="00271E05" w:rsidP="0000166C">
      <w:pPr>
        <w:pStyle w:val="Heading3"/>
      </w:pPr>
      <w:bookmarkStart w:id="53" w:name="_Toc213319645"/>
      <w:bookmarkStart w:id="54" w:name="_Toc215128350"/>
      <w:r>
        <w:t>Changes to the Commonwealth Procurement Rules</w:t>
      </w:r>
      <w:bookmarkEnd w:id="53"/>
      <w:bookmarkEnd w:id="54"/>
      <w:r>
        <w:t xml:space="preserve"> </w:t>
      </w:r>
    </w:p>
    <w:p w14:paraId="485DA7FA" w14:textId="77777777" w:rsidR="00271E05" w:rsidRPr="00F058F5" w:rsidRDefault="00271E05" w:rsidP="00B414BB">
      <w:pPr>
        <w:spacing w:after="120"/>
        <w:rPr>
          <w:rStyle w:val="eop"/>
          <w:rFonts w:eastAsiaTheme="majorEastAsia" w:cs="Calibri"/>
          <w:color w:val="000000"/>
          <w:sz w:val="26"/>
          <w:szCs w:val="26"/>
        </w:rPr>
      </w:pPr>
      <w:r>
        <w:t xml:space="preserve">For procurement, the implementation of the Secure Jobs Code </w:t>
      </w:r>
      <w:r w:rsidRPr="00F058F5">
        <w:rPr>
          <w:rStyle w:val="eop"/>
          <w:rFonts w:cs="Calibri"/>
          <w:color w:val="000000" w:themeColor="text1"/>
        </w:rPr>
        <w:t>could be achieved through</w:t>
      </w:r>
      <w:r w:rsidRPr="00F058F5" w:rsidDel="566F08C3">
        <w:rPr>
          <w:rStyle w:val="eop"/>
          <w:rFonts w:cs="Calibri"/>
          <w:color w:val="000000" w:themeColor="text1"/>
        </w:rPr>
        <w:t xml:space="preserve"> </w:t>
      </w:r>
      <w:r w:rsidRPr="00F058F5">
        <w:rPr>
          <w:rStyle w:val="eop"/>
          <w:rFonts w:cs="Calibri"/>
          <w:color w:val="000000" w:themeColor="text1"/>
        </w:rPr>
        <w:t>legislation, changes to the CPRs or the creation of a new PCP.</w:t>
      </w:r>
    </w:p>
    <w:p w14:paraId="4C01F18B" w14:textId="6816FA44" w:rsidR="00271E05" w:rsidRDefault="00271E05" w:rsidP="00B414BB">
      <w:pPr>
        <w:spacing w:after="120"/>
      </w:pPr>
      <w:r>
        <w:t xml:space="preserve">The CPRs are </w:t>
      </w:r>
      <w:r w:rsidRPr="007A2E02">
        <w:t xml:space="preserve">a legislative instrument under the </w:t>
      </w:r>
      <w:r w:rsidRPr="00152CCA">
        <w:rPr>
          <w:i/>
          <w:iCs/>
        </w:rPr>
        <w:t>Public Governance, Performance and Accountability Act 2013</w:t>
      </w:r>
      <w:r w:rsidRPr="007A2E02">
        <w:t xml:space="preserve">. </w:t>
      </w:r>
      <w:r>
        <w:t xml:space="preserve">The CPRs are the foundation of the Commonwealth procurement framework and </w:t>
      </w:r>
      <w:r w:rsidRPr="009860A3">
        <w:t xml:space="preserve">contain the </w:t>
      </w:r>
      <w:r>
        <w:t>core</w:t>
      </w:r>
      <w:r w:rsidRPr="009860A3">
        <w:t xml:space="preserve"> rules </w:t>
      </w:r>
      <w:r>
        <w:t xml:space="preserve">for </w:t>
      </w:r>
      <w:r w:rsidRPr="009860A3">
        <w:t xml:space="preserve">all </w:t>
      </w:r>
      <w:r>
        <w:t xml:space="preserve">Commonwealth </w:t>
      </w:r>
      <w:r w:rsidRPr="009860A3">
        <w:t>purchases</w:t>
      </w:r>
      <w:r>
        <w:t xml:space="preserve"> and govern </w:t>
      </w:r>
      <w:r w:rsidRPr="009860A3">
        <w:t xml:space="preserve">how </w:t>
      </w:r>
      <w:r>
        <w:t xml:space="preserve">government </w:t>
      </w:r>
      <w:r w:rsidRPr="009860A3">
        <w:t>entities buy goods and services.</w:t>
      </w:r>
      <w:r>
        <w:t xml:space="preserve"> </w:t>
      </w:r>
      <w:r w:rsidRPr="005F5357">
        <w:t xml:space="preserve">Australia is party to a range of free trade arrangements, and these arrangements are implemented domestically by legislation and/or Commonwealth policy. Relevant international obligations are incorporated in the CPRs.  </w:t>
      </w:r>
    </w:p>
    <w:p w14:paraId="019C4588" w14:textId="77777777" w:rsidR="00271E05" w:rsidRDefault="00271E05" w:rsidP="00B414BB">
      <w:pPr>
        <w:spacing w:after="120"/>
      </w:pPr>
      <w:r>
        <w:t xml:space="preserve"> </w:t>
      </w:r>
      <w:r w:rsidRPr="00DE4EDF">
        <w:t>The Supplier Code</w:t>
      </w:r>
      <w:r w:rsidDel="007947D1">
        <w:t xml:space="preserve"> </w:t>
      </w:r>
      <w:r>
        <w:t>outlines the Commonwealth’s minimum expectations of suppliers and their subcontractors</w:t>
      </w:r>
      <w:r w:rsidRPr="00DE4EDF">
        <w:t xml:space="preserve"> </w:t>
      </w:r>
      <w:r>
        <w:t>while under contract with the Commonwealth.</w:t>
      </w:r>
      <w:r w:rsidRPr="00DE4EDF">
        <w:t xml:space="preserve"> </w:t>
      </w:r>
    </w:p>
    <w:p w14:paraId="63241253" w14:textId="77777777" w:rsidR="00271E05" w:rsidRPr="00B666CD" w:rsidRDefault="00271E05" w:rsidP="0000166C">
      <w:pPr>
        <w:pStyle w:val="Heading3"/>
        <w:rPr>
          <w:rFonts w:eastAsia="Calibri"/>
        </w:rPr>
      </w:pPr>
      <w:bookmarkStart w:id="55" w:name="_Toc168652572"/>
      <w:bookmarkStart w:id="56" w:name="_Toc162968836"/>
      <w:bookmarkStart w:id="57" w:name="_Toc166747888"/>
      <w:bookmarkStart w:id="58" w:name="_Toc169594936"/>
      <w:bookmarkStart w:id="59" w:name="_Toc184212818"/>
      <w:bookmarkStart w:id="60" w:name="_Toc213319646"/>
      <w:bookmarkStart w:id="61" w:name="_Toc215128351"/>
      <w:r w:rsidRPr="00B666CD">
        <w:rPr>
          <w:rFonts w:eastAsia="Calibri"/>
        </w:rPr>
        <w:t xml:space="preserve">Establishment of Procurement and Grants Connected </w:t>
      </w:r>
      <w:bookmarkEnd w:id="55"/>
      <w:r w:rsidRPr="00B666CD">
        <w:rPr>
          <w:rFonts w:eastAsia="Calibri"/>
        </w:rPr>
        <w:t>Policies</w:t>
      </w:r>
      <w:bookmarkEnd w:id="56"/>
      <w:bookmarkEnd w:id="57"/>
      <w:bookmarkEnd w:id="58"/>
      <w:bookmarkEnd w:id="59"/>
      <w:bookmarkEnd w:id="60"/>
      <w:bookmarkEnd w:id="61"/>
    </w:p>
    <w:p w14:paraId="79DFE287" w14:textId="690C5AE7" w:rsidR="00271E05" w:rsidRPr="002362FB" w:rsidRDefault="00271E05" w:rsidP="00B414BB">
      <w:pPr>
        <w:spacing w:after="120"/>
      </w:pPr>
      <w:r w:rsidRPr="002362FB">
        <w:t xml:space="preserve">PCPs and GCPs operate in concert with the </w:t>
      </w:r>
      <w:r>
        <w:t>Commonwealth Resource Management Framework</w:t>
      </w:r>
      <w:r w:rsidR="0058194E">
        <w:t xml:space="preserve"> (</w:t>
      </w:r>
      <w:r w:rsidRPr="002362FB">
        <w:t xml:space="preserve">CPRs and </w:t>
      </w:r>
      <w:r w:rsidRPr="00AB4921">
        <w:t xml:space="preserve">Commonwealth Grants Rules and Principles </w:t>
      </w:r>
      <w:r>
        <w:t>(</w:t>
      </w:r>
      <w:r w:rsidRPr="002362FB">
        <w:t>CGRPs</w:t>
      </w:r>
      <w:r>
        <w:t>))</w:t>
      </w:r>
      <w:r w:rsidRPr="002362FB">
        <w:t xml:space="preserve"> to set out additional, more detailed, requirements that apply to specific procurements or grants</w:t>
      </w:r>
      <w:r>
        <w:t>.</w:t>
      </w:r>
      <w:r w:rsidRPr="002362FB">
        <w:t xml:space="preserve"> Section 4.9 and 4.10 of the CPRs, require non-corporate Commonwealth entities and prescribed corporate Commonwealth entities to comply with each relevant PCP. </w:t>
      </w:r>
      <w:r>
        <w:t>Paragraphs 4.14 and 4.15 of the CGRPs provide for grant connected policies.</w:t>
      </w:r>
    </w:p>
    <w:p w14:paraId="1D023B53" w14:textId="2CFE952A" w:rsidR="00271E05" w:rsidRPr="00A60C05" w:rsidRDefault="00271E05" w:rsidP="00B414BB">
      <w:pPr>
        <w:spacing w:after="120"/>
      </w:pPr>
      <w:r w:rsidRPr="002362FB">
        <w:t>A single policy can cover Commonwealth procurement, grants and investments. For example, the</w:t>
      </w:r>
      <w:r>
        <w:t xml:space="preserve"> CAIP </w:t>
      </w:r>
      <w:r w:rsidRPr="002362FB">
        <w:t>policy administered by the Department of Industry, Science and Resources applies to procurements, grants and investments. PCP</w:t>
      </w:r>
      <w:r w:rsidR="003B2CA2">
        <w:t>s</w:t>
      </w:r>
      <w:r w:rsidRPr="002362FB">
        <w:t xml:space="preserve"> and GCPs could be used to set out obligations for the Secure Jobs Code</w:t>
      </w:r>
      <w:r>
        <w:t>, noting that p</w:t>
      </w:r>
      <w:r w:rsidRPr="00C93CB9">
        <w:t>olicies must not impose a disproportionate regulatory burden.</w:t>
      </w:r>
    </w:p>
    <w:tbl>
      <w:tblPr>
        <w:tblStyle w:val="TableGrid"/>
        <w:tblW w:w="0" w:type="auto"/>
        <w:shd w:val="clear" w:color="auto" w:fill="E4EDD9" w:themeFill="background2" w:themeFillTint="33"/>
        <w:tblLook w:val="04A0" w:firstRow="1" w:lastRow="0" w:firstColumn="1" w:lastColumn="0" w:noHBand="0" w:noVBand="1"/>
      </w:tblPr>
      <w:tblGrid>
        <w:gridCol w:w="9016"/>
      </w:tblGrid>
      <w:tr w:rsidR="00271E05" w:rsidRPr="00B666CD" w14:paraId="7CD17AA9" w14:textId="77777777" w:rsidTr="00121EF8">
        <w:trPr>
          <w:trHeight w:val="1303"/>
        </w:trPr>
        <w:tc>
          <w:tcPr>
            <w:tcW w:w="9016" w:type="dxa"/>
            <w:shd w:val="clear" w:color="auto" w:fill="E4EDD9" w:themeFill="background2" w:themeFillTint="33"/>
          </w:tcPr>
          <w:p w14:paraId="79AA9061" w14:textId="77777777" w:rsidR="00271E05" w:rsidRPr="00295F90" w:rsidRDefault="00271E05" w:rsidP="00295F90">
            <w:pPr>
              <w:pStyle w:val="Heading3"/>
              <w:rPr>
                <w:sz w:val="28"/>
                <w:szCs w:val="28"/>
              </w:rPr>
            </w:pPr>
            <w:r>
              <w:t xml:space="preserve"> </w:t>
            </w:r>
            <w:bookmarkStart w:id="62" w:name="_Toc213319647"/>
            <w:bookmarkStart w:id="63" w:name="_Toc215128352"/>
            <w:r w:rsidRPr="007E3A2C">
              <w:rPr>
                <w:color w:val="0D2C6C" w:themeColor="accent5"/>
                <w:sz w:val="28"/>
                <w:szCs w:val="28"/>
              </w:rPr>
              <w:t>Consultation Questions on Issue 3</w:t>
            </w:r>
            <w:bookmarkEnd w:id="62"/>
            <w:r w:rsidRPr="007E3A2C">
              <w:rPr>
                <w:color w:val="0D2C6C" w:themeColor="accent5"/>
                <w:sz w:val="28"/>
                <w:szCs w:val="28"/>
              </w:rPr>
              <w:t>: Implementation</w:t>
            </w:r>
            <w:bookmarkEnd w:id="63"/>
          </w:p>
          <w:p w14:paraId="1F71C00B" w14:textId="77777777" w:rsidR="00271E05" w:rsidRPr="00F058F5" w:rsidRDefault="00271E05" w:rsidP="00B414BB">
            <w:pPr>
              <w:pStyle w:val="ListParagraph"/>
              <w:numPr>
                <w:ilvl w:val="0"/>
                <w:numId w:val="28"/>
              </w:numPr>
              <w:spacing w:after="0" w:line="276" w:lineRule="auto"/>
              <w:ind w:left="357" w:hanging="357"/>
              <w:rPr>
                <w:rStyle w:val="eop"/>
                <w:rFonts w:cstheme="minorHAnsi"/>
              </w:rPr>
            </w:pPr>
            <w:r w:rsidRPr="00F058F5">
              <w:rPr>
                <w:rStyle w:val="eop"/>
                <w:rFonts w:cstheme="minorHAnsi"/>
              </w:rPr>
              <w:t xml:space="preserve">How should the Secure Jobs Code be implemented? </w:t>
            </w:r>
          </w:p>
          <w:p w14:paraId="69E12190" w14:textId="77777777" w:rsidR="00271E05" w:rsidRPr="003C6391" w:rsidRDefault="00271E05" w:rsidP="00B414BB">
            <w:pPr>
              <w:pStyle w:val="ListParagraph"/>
              <w:numPr>
                <w:ilvl w:val="0"/>
                <w:numId w:val="28"/>
              </w:numPr>
              <w:spacing w:after="0" w:line="276" w:lineRule="auto"/>
              <w:ind w:left="357" w:hanging="357"/>
              <w:rPr>
                <w:rFonts w:asciiTheme="minorHAnsi" w:hAnsiTheme="minorHAnsi" w:cstheme="minorHAnsi"/>
              </w:rPr>
            </w:pPr>
            <w:r w:rsidRPr="00F058F5">
              <w:rPr>
                <w:rStyle w:val="eop"/>
                <w:rFonts w:cstheme="minorHAnsi"/>
              </w:rPr>
              <w:t>What are the merits or otherwise of using procurement and grants processes to implement a Secure Jobs Code?</w:t>
            </w:r>
          </w:p>
        </w:tc>
      </w:tr>
    </w:tbl>
    <w:p w14:paraId="0B5B8E13" w14:textId="77777777" w:rsidR="00271E05" w:rsidRPr="00013FDA" w:rsidRDefault="00271E05" w:rsidP="0000166C">
      <w:pPr>
        <w:pStyle w:val="Heading2"/>
      </w:pPr>
      <w:bookmarkStart w:id="64" w:name="_Toc213319648"/>
      <w:bookmarkStart w:id="65" w:name="_Toc215128353"/>
      <w:r w:rsidRPr="00013FDA">
        <w:t>Issue 4: Compliance and Enforcement</w:t>
      </w:r>
      <w:bookmarkEnd w:id="64"/>
      <w:bookmarkEnd w:id="65"/>
    </w:p>
    <w:p w14:paraId="526618F0" w14:textId="77777777" w:rsidR="00271E05" w:rsidRPr="00C32B5A" w:rsidRDefault="00271E05" w:rsidP="00B414BB">
      <w:pPr>
        <w:spacing w:after="120"/>
      </w:pPr>
      <w:r w:rsidRPr="002362FB">
        <w:t>The effective implementation of the Secure Jobs Code w</w:t>
      </w:r>
      <w:r>
        <w:t>ill</w:t>
      </w:r>
      <w:r w:rsidRPr="002362FB">
        <w:t xml:space="preserve"> require organisations to demonstrate their adherence to the Code. </w:t>
      </w:r>
      <w:r>
        <w:t>F</w:t>
      </w:r>
      <w:r w:rsidRPr="002362FB">
        <w:t xml:space="preserve">eedback on compliance and enforcement mechanisms </w:t>
      </w:r>
      <w:r>
        <w:t>will</w:t>
      </w:r>
      <w:r w:rsidRPr="002362FB">
        <w:t xml:space="preserve"> </w:t>
      </w:r>
      <w:r>
        <w:t xml:space="preserve">help to </w:t>
      </w:r>
      <w:r w:rsidRPr="002362FB">
        <w:t>ensure</w:t>
      </w:r>
      <w:r w:rsidRPr="002362FB" w:rsidDel="00A06B5E">
        <w:t xml:space="preserve"> </w:t>
      </w:r>
      <w:r w:rsidRPr="002362FB">
        <w:t>the practical implementation of the Secure Jobs Code is achievable for different size</w:t>
      </w:r>
      <w:r>
        <w:t>s</w:t>
      </w:r>
      <w:r w:rsidRPr="002362FB">
        <w:t xml:space="preserve"> and types of organisations.</w:t>
      </w:r>
    </w:p>
    <w:p w14:paraId="31D78535" w14:textId="77777777" w:rsidR="00271E05" w:rsidRPr="0000166C" w:rsidRDefault="00271E05" w:rsidP="0000166C">
      <w:pPr>
        <w:pStyle w:val="Heading3"/>
      </w:pPr>
      <w:bookmarkStart w:id="66" w:name="_Toc168652575"/>
      <w:bookmarkStart w:id="67" w:name="_Toc169594938"/>
      <w:bookmarkStart w:id="68" w:name="_Toc184212820"/>
      <w:bookmarkStart w:id="69" w:name="_Toc213319649"/>
      <w:bookmarkStart w:id="70" w:name="_Toc215128354"/>
      <w:r w:rsidRPr="0000166C">
        <w:t xml:space="preserve">Value for money </w:t>
      </w:r>
      <w:bookmarkEnd w:id="66"/>
      <w:bookmarkEnd w:id="67"/>
      <w:r w:rsidRPr="0000166C">
        <w:t>related assessments</w:t>
      </w:r>
      <w:bookmarkEnd w:id="68"/>
      <w:bookmarkEnd w:id="69"/>
      <w:bookmarkEnd w:id="70"/>
    </w:p>
    <w:p w14:paraId="341E09D0" w14:textId="77777777" w:rsidR="00271E05" w:rsidRPr="002362FB" w:rsidRDefault="00271E05" w:rsidP="00B414BB">
      <w:pPr>
        <w:spacing w:after="120"/>
      </w:pPr>
      <w:r>
        <w:t xml:space="preserve">One </w:t>
      </w:r>
      <w:r w:rsidRPr="002362FB">
        <w:t xml:space="preserve">option </w:t>
      </w:r>
      <w:r>
        <w:t xml:space="preserve">to assess compliance with the Secure Jobs Code is to </w:t>
      </w:r>
      <w:r w:rsidRPr="002362FB">
        <w:t xml:space="preserve">place a requirement on </w:t>
      </w:r>
      <w:r>
        <w:t xml:space="preserve">procuring </w:t>
      </w:r>
      <w:r w:rsidRPr="002362FB">
        <w:t>officials to consider</w:t>
      </w:r>
      <w:r>
        <w:t xml:space="preserve"> the capacity of organisations to adhere to the Code when making value for money assessments during the tender process. Value for money is the core rule of the CPRs and refers to</w:t>
      </w:r>
      <w:r w:rsidRPr="008C54BF">
        <w:t xml:space="preserve"> the optimal use of resources to achieve the best possible outcomes</w:t>
      </w:r>
      <w:r>
        <w:t>, including consideration of the relevant financial and non-financial costs and benefits</w:t>
      </w:r>
      <w:r w:rsidRPr="008C54BF">
        <w:t>.</w:t>
      </w:r>
      <w:r>
        <w:rPr>
          <w:rStyle w:val="FootnoteReference"/>
        </w:rPr>
        <w:footnoteReference w:id="16"/>
      </w:r>
      <w:r w:rsidRPr="008C54BF">
        <w:t xml:space="preserve"> </w:t>
      </w:r>
      <w:r>
        <w:t>Value for money involves</w:t>
      </w:r>
      <w:r w:rsidRPr="008C54BF">
        <w:t xml:space="preserve"> balancing cost, quality, and effectiveness to ensure that what is purchased or invested in delivers the greatest benefit for the resources used</w:t>
      </w:r>
      <w:r>
        <w:t xml:space="preserve">. </w:t>
      </w:r>
    </w:p>
    <w:p w14:paraId="7F6B35F1" w14:textId="77777777" w:rsidR="00271E05" w:rsidRPr="002362FB" w:rsidRDefault="00271E05" w:rsidP="00B414BB">
      <w:pPr>
        <w:spacing w:after="120"/>
      </w:pPr>
      <w:r>
        <w:t>U</w:t>
      </w:r>
      <w:r w:rsidRPr="002362FB">
        <w:t>nder the CPRs, when officials undertake a procurement</w:t>
      </w:r>
      <w:r>
        <w:t xml:space="preserve"> and subject to the scale, scope and risk of the procurement</w:t>
      </w:r>
      <w:r w:rsidRPr="002362FB">
        <w:t>, they must consider a potential supplier’s relevant experience and performance history when assessing value for money, among other things. This could include consideration of any unethical behaviour and/or deficiencies in performance under prior contracts</w:t>
      </w:r>
      <w:r>
        <w:t>,</w:t>
      </w:r>
      <w:r w:rsidRPr="002362FB">
        <w:t xml:space="preserve"> including failure to meet the requirements of the Secure Jobs Code. A supplier’s performance </w:t>
      </w:r>
      <w:r>
        <w:t>against</w:t>
      </w:r>
      <w:r w:rsidRPr="002362FB">
        <w:t xml:space="preserve"> the Secure Jobs Code would be a relevant consideration for officials when assessing tenders.</w:t>
      </w:r>
    </w:p>
    <w:p w14:paraId="4F016665" w14:textId="18EE860C" w:rsidR="00271E05" w:rsidRPr="002362FB" w:rsidRDefault="00271E05" w:rsidP="00B414BB">
      <w:pPr>
        <w:spacing w:after="120"/>
      </w:pPr>
      <w:r w:rsidRPr="002362FB">
        <w:t>Guidance would need to be provided to assist applicants</w:t>
      </w:r>
      <w:r w:rsidRPr="002362FB" w:rsidDel="00185623">
        <w:t xml:space="preserve"> </w:t>
      </w:r>
      <w:r w:rsidRPr="002362FB">
        <w:t>to understand the requirements of the Secure Jobs Code in preparing a submission, during the submission evaluation process, and</w:t>
      </w:r>
      <w:r w:rsidRPr="002362FB" w:rsidDel="00CF7C97">
        <w:t xml:space="preserve"> </w:t>
      </w:r>
      <w:r w:rsidRPr="002362FB">
        <w:t xml:space="preserve">in the contract management stage. </w:t>
      </w:r>
    </w:p>
    <w:p w14:paraId="03C216AC" w14:textId="77777777" w:rsidR="00271E05" w:rsidRPr="00B666CD" w:rsidRDefault="00271E05" w:rsidP="0000166C">
      <w:pPr>
        <w:pStyle w:val="Heading3"/>
      </w:pPr>
      <w:bookmarkStart w:id="71" w:name="_Toc213319650"/>
      <w:bookmarkStart w:id="72" w:name="_Toc215128355"/>
      <w:r>
        <w:t>Pre-assessment certification</w:t>
      </w:r>
      <w:bookmarkEnd w:id="71"/>
      <w:bookmarkEnd w:id="72"/>
    </w:p>
    <w:p w14:paraId="47EC8021" w14:textId="77777777" w:rsidR="00271E05" w:rsidRPr="002362FB" w:rsidRDefault="00271E05" w:rsidP="00B414BB">
      <w:pPr>
        <w:spacing w:after="120"/>
      </w:pPr>
      <w:r w:rsidRPr="002362FB">
        <w:t xml:space="preserve">A pre-assessment process is another option </w:t>
      </w:r>
      <w:r>
        <w:t xml:space="preserve">to assess </w:t>
      </w:r>
      <w:r w:rsidRPr="002362FB">
        <w:t>compliance</w:t>
      </w:r>
      <w:r>
        <w:t xml:space="preserve"> with the Code.</w:t>
      </w:r>
      <w:r w:rsidRPr="002362FB">
        <w:t xml:space="preserve"> </w:t>
      </w:r>
      <w:r>
        <w:t>A</w:t>
      </w:r>
      <w:r w:rsidRPr="002362FB">
        <w:t xml:space="preserve">pplicants would be required to </w:t>
      </w:r>
      <w:r>
        <w:t xml:space="preserve">demonstrate that </w:t>
      </w:r>
      <w:r w:rsidRPr="002362FB">
        <w:t xml:space="preserve">their </w:t>
      </w:r>
      <w:r>
        <w:t>organisation is</w:t>
      </w:r>
      <w:r w:rsidRPr="002362FB" w:rsidDel="00DE7D2E">
        <w:t xml:space="preserve"> </w:t>
      </w:r>
      <w:r>
        <w:t>compliant</w:t>
      </w:r>
      <w:r w:rsidRPr="002362FB">
        <w:t xml:space="preserve"> </w:t>
      </w:r>
      <w:r>
        <w:t>with</w:t>
      </w:r>
      <w:r w:rsidRPr="002362FB">
        <w:t xml:space="preserve"> the Secure Jobs Code</w:t>
      </w:r>
      <w:r>
        <w:t xml:space="preserve"> before being able to participate in a tender process</w:t>
      </w:r>
      <w:r w:rsidRPr="002362FB">
        <w:t xml:space="preserve">. A more </w:t>
      </w:r>
      <w:r>
        <w:t>substantial</w:t>
      </w:r>
      <w:r w:rsidRPr="002362FB">
        <w:t xml:space="preserve"> form of pre-assessment certification would be </w:t>
      </w:r>
      <w:r>
        <w:t xml:space="preserve">through </w:t>
      </w:r>
      <w:r w:rsidRPr="002362FB">
        <w:t>an accreditation scheme</w:t>
      </w:r>
      <w:r>
        <w:t>, where organisations must first become accredited before they are</w:t>
      </w:r>
      <w:r w:rsidRPr="002362FB">
        <w:t xml:space="preserve"> able to apply for applicable contracts. </w:t>
      </w:r>
    </w:p>
    <w:p w14:paraId="56FC3BF1" w14:textId="77777777" w:rsidR="00271E05" w:rsidRPr="00B666CD" w:rsidRDefault="00271E05" w:rsidP="0000166C">
      <w:pPr>
        <w:pStyle w:val="Heading3"/>
      </w:pPr>
      <w:bookmarkStart w:id="73" w:name="_Toc162968839"/>
      <w:bookmarkStart w:id="74" w:name="_Toc166747893"/>
      <w:bookmarkStart w:id="75" w:name="_Toc168652577"/>
      <w:bookmarkStart w:id="76" w:name="_Toc169594940"/>
      <w:bookmarkStart w:id="77" w:name="_Toc184212823"/>
      <w:bookmarkStart w:id="78" w:name="_Toc213319651"/>
      <w:bookmarkStart w:id="79" w:name="_Toc215128356"/>
      <w:r w:rsidRPr="00B666CD">
        <w:t>Notification of non-compliance</w:t>
      </w:r>
      <w:bookmarkEnd w:id="73"/>
      <w:bookmarkEnd w:id="74"/>
      <w:bookmarkEnd w:id="75"/>
      <w:bookmarkEnd w:id="76"/>
      <w:bookmarkEnd w:id="77"/>
      <w:bookmarkEnd w:id="78"/>
      <w:bookmarkEnd w:id="79"/>
    </w:p>
    <w:p w14:paraId="4AC3E982" w14:textId="7D6DE41F" w:rsidR="00271E05" w:rsidRPr="003C1556" w:rsidRDefault="00271E05" w:rsidP="00B414BB">
      <w:pPr>
        <w:spacing w:after="120"/>
        <w:rPr>
          <w:rFonts w:eastAsia="Calibri"/>
        </w:rPr>
      </w:pPr>
      <w:r>
        <w:t>An additional requirement could include that</w:t>
      </w:r>
      <w:r w:rsidR="004623E4">
        <w:t xml:space="preserve"> certain parties, such as the</w:t>
      </w:r>
      <w:r>
        <w:t xml:space="preserve"> r</w:t>
      </w:r>
      <w:r w:rsidRPr="002362FB">
        <w:t xml:space="preserve">ecipients of funding </w:t>
      </w:r>
      <w:r>
        <w:t>would</w:t>
      </w:r>
      <w:r w:rsidRPr="002362FB">
        <w:t xml:space="preserve"> </w:t>
      </w:r>
      <w:r>
        <w:t xml:space="preserve">have </w:t>
      </w:r>
      <w:r w:rsidRPr="002362FB">
        <w:t>to notify the contracting Commonwealth entity of an</w:t>
      </w:r>
      <w:r>
        <w:t>y</w:t>
      </w:r>
      <w:r w:rsidRPr="002362FB">
        <w:t xml:space="preserve"> instance of non-compliance with the Secure Jobs Code</w:t>
      </w:r>
      <w:r>
        <w:t xml:space="preserve"> and relevant laws</w:t>
      </w:r>
      <w:r w:rsidRPr="002362FB">
        <w:t xml:space="preserve">. The contracting entity would then engage with the </w:t>
      </w:r>
      <w:r>
        <w:t>suppliers</w:t>
      </w:r>
      <w:r w:rsidRPr="002362FB">
        <w:t xml:space="preserve"> to address those instances of non-compliance.</w:t>
      </w:r>
      <w:r w:rsidR="002E7BFF">
        <w:t xml:space="preserve"> </w:t>
      </w:r>
      <w:r w:rsidRPr="002362FB">
        <w:t xml:space="preserve">Material breaches of the law would need to be notified to the appropriate compliance body or law enforcement agency as soon as possible. </w:t>
      </w:r>
    </w:p>
    <w:p w14:paraId="58E1EBC1" w14:textId="77777777" w:rsidR="00271E05" w:rsidRPr="00B666CD" w:rsidRDefault="00271E05" w:rsidP="0000166C">
      <w:pPr>
        <w:pStyle w:val="Heading3"/>
        <w:rPr>
          <w:rFonts w:eastAsia="Calibri"/>
        </w:rPr>
      </w:pPr>
      <w:bookmarkStart w:id="80" w:name="_Toc162968840"/>
      <w:bookmarkStart w:id="81" w:name="_Toc166747894"/>
      <w:bookmarkStart w:id="82" w:name="_Toc168652579"/>
      <w:bookmarkStart w:id="83" w:name="_Toc169594942"/>
      <w:bookmarkStart w:id="84" w:name="_Toc184212825"/>
      <w:bookmarkStart w:id="85" w:name="_Toc213319652"/>
      <w:bookmarkStart w:id="86" w:name="_Toc215128357"/>
      <w:r w:rsidRPr="00B666CD">
        <w:rPr>
          <w:rFonts w:eastAsia="Calibri"/>
        </w:rPr>
        <w:t>Remediation or termination</w:t>
      </w:r>
      <w:bookmarkEnd w:id="80"/>
      <w:bookmarkEnd w:id="81"/>
      <w:bookmarkEnd w:id="82"/>
      <w:bookmarkEnd w:id="83"/>
      <w:bookmarkEnd w:id="84"/>
      <w:bookmarkEnd w:id="85"/>
      <w:bookmarkEnd w:id="86"/>
    </w:p>
    <w:p w14:paraId="6E1E288C" w14:textId="77777777" w:rsidR="00271E05" w:rsidRPr="002362FB" w:rsidRDefault="00271E05" w:rsidP="00B414BB">
      <w:pPr>
        <w:spacing w:after="120"/>
      </w:pPr>
      <w:r>
        <w:rPr>
          <w:lang w:val="en-US"/>
        </w:rPr>
        <w:t xml:space="preserve">A framework for dealing with </w:t>
      </w:r>
      <w:r w:rsidRPr="002362FB">
        <w:t xml:space="preserve">non-compliance with the Secure Jobs Code </w:t>
      </w:r>
      <w:r>
        <w:t xml:space="preserve">will need to be developed. Responding to non-compliance would </w:t>
      </w:r>
      <w:r w:rsidRPr="002362FB">
        <w:t xml:space="preserve">depend on the nature of </w:t>
      </w:r>
      <w:r>
        <w:t>breaches</w:t>
      </w:r>
      <w:r w:rsidRPr="002362FB">
        <w:t xml:space="preserve"> and the remediation options available. </w:t>
      </w:r>
    </w:p>
    <w:p w14:paraId="1606701C" w14:textId="77777777" w:rsidR="00271E05" w:rsidRDefault="00271E05" w:rsidP="00B414BB">
      <w:pPr>
        <w:spacing w:after="120"/>
        <w:rPr>
          <w:rFonts w:eastAsiaTheme="minorEastAsia"/>
        </w:rPr>
      </w:pPr>
      <w:r w:rsidRPr="002362FB">
        <w:t>For example, for minor</w:t>
      </w:r>
      <w:r>
        <w:t xml:space="preserve"> or </w:t>
      </w:r>
      <w:r w:rsidRPr="002362FB">
        <w:t>isolated breaches</w:t>
      </w:r>
      <w:r w:rsidRPr="002362FB" w:rsidDel="00322CB0">
        <w:t xml:space="preserve"> </w:t>
      </w:r>
      <w:r w:rsidRPr="002362FB">
        <w:t>of the Secure Jobs Code, remedial actions may be appropriate</w:t>
      </w:r>
      <w:r>
        <w:t>,</w:t>
      </w:r>
      <w:r w:rsidRPr="002362FB">
        <w:t xml:space="preserve"> </w:t>
      </w:r>
      <w:r>
        <w:t>such as</w:t>
      </w:r>
      <w:r w:rsidRPr="002362FB">
        <w:t xml:space="preserve"> undertaking specific action</w:t>
      </w:r>
      <w:r>
        <w:t>s</w:t>
      </w:r>
      <w:r w:rsidRPr="002362FB">
        <w:t xml:space="preserve"> by a specified date </w:t>
      </w:r>
      <w:r>
        <w:t>and/</w:t>
      </w:r>
      <w:r w:rsidRPr="002362FB">
        <w:t>or undertaking additional, independent or more detailed monitoring and evaluation of activities.</w:t>
      </w:r>
      <w:r>
        <w:t xml:space="preserve"> </w:t>
      </w:r>
      <w:r w:rsidRPr="002362FB">
        <w:t>Where corrective action is unsuccessful, or the nature of a breach is sufficiently egregious,</w:t>
      </w:r>
      <w:r>
        <w:t xml:space="preserve"> the most serious response could include a contract being terminated in accordance with a Termination for Cause clause.</w:t>
      </w:r>
      <w:r>
        <w:rPr>
          <w:rStyle w:val="FootnoteReference"/>
        </w:rPr>
        <w:footnoteReference w:id="17"/>
      </w:r>
      <w:r w:rsidRPr="00F10ED2">
        <w:rPr>
          <w:rFonts w:eastAsiaTheme="minorEastAsia"/>
        </w:rPr>
        <w:t xml:space="preserve"> </w:t>
      </w:r>
    </w:p>
    <w:tbl>
      <w:tblPr>
        <w:tblStyle w:val="TableGrid"/>
        <w:tblW w:w="0" w:type="auto"/>
        <w:shd w:val="clear" w:color="auto" w:fill="E4EDD9" w:themeFill="background2" w:themeFillTint="33"/>
        <w:tblLook w:val="04A0" w:firstRow="1" w:lastRow="0" w:firstColumn="1" w:lastColumn="0" w:noHBand="0" w:noVBand="1"/>
      </w:tblPr>
      <w:tblGrid>
        <w:gridCol w:w="9016"/>
      </w:tblGrid>
      <w:tr w:rsidR="00271E05" w:rsidRPr="00B666CD" w14:paraId="0B4E8ACF" w14:textId="77777777" w:rsidTr="00121EF8">
        <w:tc>
          <w:tcPr>
            <w:tcW w:w="9016" w:type="dxa"/>
            <w:shd w:val="clear" w:color="auto" w:fill="E4EDD9" w:themeFill="background2" w:themeFillTint="33"/>
          </w:tcPr>
          <w:p w14:paraId="10078F5B" w14:textId="77777777" w:rsidR="00271E05" w:rsidRPr="007E3A2C" w:rsidRDefault="00271E05" w:rsidP="00295F90">
            <w:pPr>
              <w:pStyle w:val="Heading3"/>
              <w:rPr>
                <w:color w:val="0D2C6C" w:themeColor="accent5"/>
                <w:sz w:val="28"/>
                <w:szCs w:val="20"/>
              </w:rPr>
            </w:pPr>
            <w:bookmarkStart w:id="87" w:name="_Toc213319653"/>
            <w:bookmarkStart w:id="88" w:name="_Toc215128358"/>
            <w:r w:rsidRPr="007E3A2C">
              <w:rPr>
                <w:color w:val="0D2C6C" w:themeColor="accent5"/>
                <w:sz w:val="28"/>
                <w:szCs w:val="20"/>
              </w:rPr>
              <w:t>Consultation Questions on Issue 4</w:t>
            </w:r>
            <w:bookmarkEnd w:id="87"/>
            <w:r w:rsidRPr="007E3A2C">
              <w:rPr>
                <w:color w:val="0D2C6C" w:themeColor="accent5"/>
                <w:sz w:val="28"/>
                <w:szCs w:val="20"/>
              </w:rPr>
              <w:t>: Compliance and Enforcement</w:t>
            </w:r>
            <w:bookmarkEnd w:id="88"/>
          </w:p>
          <w:p w14:paraId="0D135DD8" w14:textId="77777777" w:rsidR="00271E05" w:rsidRPr="00990A74" w:rsidRDefault="00271E05" w:rsidP="000C4DB8">
            <w:pPr>
              <w:pStyle w:val="paragraph"/>
              <w:numPr>
                <w:ilvl w:val="0"/>
                <w:numId w:val="26"/>
              </w:numPr>
              <w:spacing w:before="0" w:beforeAutospacing="0" w:after="0" w:afterAutospacing="0" w:line="276" w:lineRule="auto"/>
              <w:ind w:left="317" w:hanging="317"/>
              <w:textAlignment w:val="baseline"/>
              <w:rPr>
                <w:rStyle w:val="eop"/>
                <w:rFonts w:ascii="Aptos Display" w:eastAsia="Calibri" w:hAnsi="Aptos Display" w:cstheme="minorHAnsi"/>
                <w:kern w:val="2"/>
                <w:sz w:val="22"/>
                <w:szCs w:val="22"/>
                <w:lang w:eastAsia="en-US"/>
                <w14:ligatures w14:val="standardContextual"/>
              </w:rPr>
            </w:pPr>
            <w:r w:rsidRPr="00F058F5">
              <w:rPr>
                <w:rStyle w:val="eop"/>
                <w:rFonts w:ascii="Aptos Display" w:hAnsi="Aptos Display" w:cstheme="minorHAnsi"/>
                <w:sz w:val="22"/>
                <w:szCs w:val="22"/>
              </w:rPr>
              <w:t>How might compliance with a Secure Jobs Code be demonstrated, assessed, monitored and measured?</w:t>
            </w:r>
          </w:p>
          <w:p w14:paraId="2CCAC979" w14:textId="012B1B22" w:rsidR="00990A74" w:rsidRPr="00990A74" w:rsidRDefault="00990A74" w:rsidP="000C4DB8">
            <w:pPr>
              <w:pStyle w:val="paragraph"/>
              <w:numPr>
                <w:ilvl w:val="0"/>
                <w:numId w:val="26"/>
              </w:numPr>
              <w:spacing w:before="0" w:beforeAutospacing="0" w:after="0" w:afterAutospacing="0" w:line="276" w:lineRule="auto"/>
              <w:ind w:left="317" w:hanging="317"/>
              <w:textAlignment w:val="baseline"/>
              <w:rPr>
                <w:rStyle w:val="eop"/>
                <w:rFonts w:ascii="Aptos Display" w:hAnsi="Aptos Display" w:cstheme="minorHAnsi"/>
                <w:sz w:val="22"/>
                <w:szCs w:val="22"/>
              </w:rPr>
            </w:pPr>
            <w:r w:rsidRPr="00990A74">
              <w:rPr>
                <w:rStyle w:val="eop"/>
                <w:rFonts w:ascii="Aptos Display" w:hAnsi="Aptos Display" w:cstheme="minorHAnsi"/>
                <w:sz w:val="22"/>
                <w:szCs w:val="22"/>
              </w:rPr>
              <w:t>Which parties should be required to (or have standing to) notify the Commonwealth of non-compliance with the Secure Jobs Code?</w:t>
            </w:r>
          </w:p>
          <w:p w14:paraId="3B03DB65" w14:textId="77777777" w:rsidR="00271E05" w:rsidRPr="00522100" w:rsidRDefault="00271E05" w:rsidP="000C4DB8">
            <w:pPr>
              <w:pStyle w:val="ListParagraph"/>
              <w:numPr>
                <w:ilvl w:val="0"/>
                <w:numId w:val="26"/>
              </w:numPr>
              <w:spacing w:after="0" w:line="276" w:lineRule="auto"/>
              <w:ind w:left="317" w:hanging="317"/>
              <w:rPr>
                <w:rFonts w:eastAsia="Calibri" w:cstheme="minorHAnsi"/>
              </w:rPr>
            </w:pPr>
            <w:r w:rsidRPr="00522100">
              <w:rPr>
                <w:rFonts w:eastAsia="Calibri" w:cstheme="minorHAnsi"/>
              </w:rPr>
              <w:t xml:space="preserve">What other compliance mechanisms </w:t>
            </w:r>
            <w:r>
              <w:rPr>
                <w:rFonts w:eastAsia="Calibri" w:cstheme="minorHAnsi"/>
              </w:rPr>
              <w:t>sh</w:t>
            </w:r>
            <w:r w:rsidRPr="00522100">
              <w:rPr>
                <w:rFonts w:eastAsia="Calibri" w:cstheme="minorHAnsi"/>
              </w:rPr>
              <w:t xml:space="preserve">ould be considered and why? </w:t>
            </w:r>
          </w:p>
          <w:p w14:paraId="1E0486D0" w14:textId="77777777" w:rsidR="00271E05" w:rsidRPr="00F058F5" w:rsidRDefault="00271E05" w:rsidP="000C4DB8">
            <w:pPr>
              <w:pStyle w:val="paragraph"/>
              <w:numPr>
                <w:ilvl w:val="0"/>
                <w:numId w:val="26"/>
              </w:numPr>
              <w:spacing w:before="0" w:beforeAutospacing="0" w:after="0" w:afterAutospacing="0" w:line="276" w:lineRule="auto"/>
              <w:ind w:left="317" w:hanging="317"/>
              <w:textAlignment w:val="baseline"/>
              <w:rPr>
                <w:rStyle w:val="eop"/>
                <w:rFonts w:ascii="Aptos Display" w:eastAsia="Calibri" w:hAnsi="Aptos Display" w:cstheme="minorHAnsi"/>
                <w:kern w:val="2"/>
                <w:sz w:val="22"/>
                <w:szCs w:val="22"/>
                <w:lang w:eastAsia="en-US"/>
                <w14:ligatures w14:val="standardContextual"/>
              </w:rPr>
            </w:pPr>
            <w:r w:rsidRPr="00F058F5">
              <w:rPr>
                <w:rStyle w:val="eop"/>
                <w:rFonts w:ascii="Aptos Display" w:eastAsia="Calibri" w:hAnsi="Aptos Display" w:cstheme="minorHAnsi"/>
                <w:sz w:val="22"/>
                <w:szCs w:val="22"/>
              </w:rPr>
              <w:t>How should non-compliance with the Secure Jobs Code be managed?</w:t>
            </w:r>
          </w:p>
          <w:p w14:paraId="2EB49A3A" w14:textId="77777777" w:rsidR="00271E05" w:rsidRPr="00522100" w:rsidRDefault="00271E05" w:rsidP="000C4DB8">
            <w:pPr>
              <w:pStyle w:val="ListParagraph"/>
              <w:numPr>
                <w:ilvl w:val="1"/>
                <w:numId w:val="25"/>
              </w:numPr>
              <w:spacing w:after="0" w:line="276" w:lineRule="auto"/>
              <w:contextualSpacing w:val="0"/>
              <w:rPr>
                <w:rStyle w:val="eop"/>
                <w:rFonts w:eastAsia="Calibri" w:cstheme="minorHAnsi"/>
              </w:rPr>
            </w:pPr>
            <w:r w:rsidRPr="00522100">
              <w:rPr>
                <w:rStyle w:val="eop"/>
                <w:rFonts w:eastAsia="Calibri" w:cstheme="minorHAnsi"/>
              </w:rPr>
              <w:t>I</w:t>
            </w:r>
            <w:r w:rsidRPr="00522100">
              <w:rPr>
                <w:rStyle w:val="eop"/>
              </w:rPr>
              <w:t>s remedial action sufficient for minor non-compliance? Why/why not?</w:t>
            </w:r>
          </w:p>
          <w:p w14:paraId="618D738B" w14:textId="77777777" w:rsidR="00271E05" w:rsidRPr="00522100" w:rsidRDefault="00271E05" w:rsidP="000C4DB8">
            <w:pPr>
              <w:pStyle w:val="ListParagraph"/>
              <w:numPr>
                <w:ilvl w:val="1"/>
                <w:numId w:val="25"/>
              </w:numPr>
              <w:spacing w:after="0" w:line="276" w:lineRule="auto"/>
              <w:contextualSpacing w:val="0"/>
              <w:rPr>
                <w:rStyle w:val="eop"/>
                <w:rFonts w:eastAsia="Calibri" w:cstheme="minorHAnsi"/>
              </w:rPr>
            </w:pPr>
            <w:r w:rsidRPr="00522100">
              <w:rPr>
                <w:rStyle w:val="eop"/>
                <w:rFonts w:eastAsia="Calibri" w:cstheme="minorHAnsi"/>
              </w:rPr>
              <w:t xml:space="preserve">Is contract termination </w:t>
            </w:r>
            <w:r>
              <w:rPr>
                <w:rStyle w:val="eop"/>
                <w:rFonts w:eastAsia="Calibri" w:cstheme="minorHAnsi"/>
              </w:rPr>
              <w:t>appropriate</w:t>
            </w:r>
            <w:r w:rsidRPr="00522100">
              <w:rPr>
                <w:rStyle w:val="eop"/>
                <w:rFonts w:eastAsia="Calibri" w:cstheme="minorHAnsi"/>
              </w:rPr>
              <w:t xml:space="preserve"> for egregious non-compliance? </w:t>
            </w:r>
            <w:r>
              <w:rPr>
                <w:rStyle w:val="eop"/>
                <w:rFonts w:eastAsia="Calibri" w:cstheme="minorHAnsi"/>
              </w:rPr>
              <w:t>W</w:t>
            </w:r>
            <w:r w:rsidRPr="00522100">
              <w:rPr>
                <w:rStyle w:val="eop"/>
                <w:rFonts w:cstheme="minorHAnsi"/>
              </w:rPr>
              <w:t>hat should a penalty regime look like?</w:t>
            </w:r>
            <w:r w:rsidRPr="00522100">
              <w:rPr>
                <w:rStyle w:val="eop"/>
                <w:rFonts w:eastAsia="Calibri" w:cstheme="minorHAnsi"/>
              </w:rPr>
              <w:t xml:space="preserve"> </w:t>
            </w:r>
          </w:p>
          <w:p w14:paraId="0A96787C" w14:textId="77777777" w:rsidR="00271E05" w:rsidRPr="00522100" w:rsidRDefault="00271E05" w:rsidP="000C4DB8">
            <w:pPr>
              <w:pStyle w:val="ListParagraph"/>
              <w:numPr>
                <w:ilvl w:val="0"/>
                <w:numId w:val="26"/>
              </w:numPr>
              <w:spacing w:after="0" w:line="276" w:lineRule="auto"/>
              <w:ind w:left="317" w:hanging="317"/>
              <w:rPr>
                <w:rFonts w:eastAsia="Calibri" w:cstheme="minorHAnsi"/>
              </w:rPr>
            </w:pPr>
            <w:r w:rsidRPr="00522100">
              <w:rPr>
                <w:rFonts w:eastAsia="Calibri" w:cstheme="minorHAnsi"/>
              </w:rPr>
              <w:t xml:space="preserve">Should additional requirements apply to businesses and other entities with a history of non-compliance with matters covered by the Secure Jobs Code or those entities that have failed to meet obligations in previous </w:t>
            </w:r>
            <w:r>
              <w:rPr>
                <w:rFonts w:eastAsia="Calibri" w:cstheme="minorHAnsi"/>
              </w:rPr>
              <w:t>g</w:t>
            </w:r>
            <w:r w:rsidRPr="00522100">
              <w:rPr>
                <w:rFonts w:eastAsia="Calibri" w:cstheme="minorHAnsi"/>
              </w:rPr>
              <w:t>overnment engagements?</w:t>
            </w:r>
          </w:p>
          <w:p w14:paraId="4998F07B" w14:textId="77777777" w:rsidR="00271E05" w:rsidRPr="00401726" w:rsidRDefault="00271E05" w:rsidP="000C4DB8">
            <w:pPr>
              <w:pStyle w:val="ListParagraph"/>
              <w:numPr>
                <w:ilvl w:val="0"/>
                <w:numId w:val="26"/>
              </w:numPr>
              <w:spacing w:after="0" w:line="276" w:lineRule="auto"/>
              <w:ind w:left="317" w:hanging="317"/>
              <w:contextualSpacing w:val="0"/>
              <w:rPr>
                <w:rFonts w:eastAsia="Calibri" w:cstheme="minorHAnsi"/>
              </w:rPr>
            </w:pPr>
            <w:r>
              <w:rPr>
                <w:rFonts w:eastAsia="Calibri" w:cstheme="minorHAnsi"/>
              </w:rPr>
              <w:t xml:space="preserve">Who should be </w:t>
            </w:r>
            <w:r w:rsidRPr="00522100">
              <w:rPr>
                <w:rFonts w:eastAsia="Calibri" w:cstheme="minorHAnsi"/>
              </w:rPr>
              <w:t xml:space="preserve">responsible for </w:t>
            </w:r>
            <w:r>
              <w:rPr>
                <w:rFonts w:eastAsia="Calibri" w:cstheme="minorHAnsi"/>
              </w:rPr>
              <w:t xml:space="preserve">assessing compliance with and </w:t>
            </w:r>
            <w:r w:rsidRPr="00522100">
              <w:rPr>
                <w:rFonts w:eastAsia="Calibri" w:cstheme="minorHAnsi"/>
              </w:rPr>
              <w:t xml:space="preserve">enforcing the Secure Jobs Code? </w:t>
            </w:r>
          </w:p>
        </w:tc>
      </w:tr>
    </w:tbl>
    <w:p w14:paraId="5F2FDECB" w14:textId="77777777" w:rsidR="00271E05" w:rsidRPr="00B666CD" w:rsidRDefault="00271E05" w:rsidP="00B414BB">
      <w:pPr>
        <w:spacing w:after="0"/>
        <w:rPr>
          <w:rFonts w:cstheme="minorHAnsi"/>
          <w:color w:val="212529"/>
        </w:rPr>
      </w:pPr>
    </w:p>
    <w:p w14:paraId="4A830968" w14:textId="77777777" w:rsidR="00271E05" w:rsidRPr="00B666CD" w:rsidRDefault="00271E05" w:rsidP="00B414BB">
      <w:pPr>
        <w:pStyle w:val="Heading1"/>
        <w:spacing w:before="0"/>
      </w:pPr>
      <w:bookmarkStart w:id="89" w:name="_Toc184212826"/>
      <w:bookmarkStart w:id="90" w:name="_Toc213319654"/>
      <w:bookmarkStart w:id="91" w:name="_Toc215128359"/>
      <w:r w:rsidRPr="00B666CD">
        <w:t>Next steps</w:t>
      </w:r>
      <w:bookmarkEnd w:id="89"/>
      <w:bookmarkEnd w:id="90"/>
      <w:bookmarkEnd w:id="91"/>
    </w:p>
    <w:p w14:paraId="74516160" w14:textId="1C9DD5DB" w:rsidR="003B12DA" w:rsidRPr="003B12DA" w:rsidRDefault="00271E05" w:rsidP="003B12DA">
      <w:r w:rsidRPr="00B666CD">
        <w:t xml:space="preserve">You are invited to provide a submission </w:t>
      </w:r>
      <w:r w:rsidRPr="00A51215">
        <w:t xml:space="preserve">by </w:t>
      </w:r>
      <w:r w:rsidR="00C304F6">
        <w:t>11.59pm</w:t>
      </w:r>
      <w:r w:rsidRPr="00A51215">
        <w:t xml:space="preserve"> </w:t>
      </w:r>
      <w:r w:rsidR="00947E6F">
        <w:t>Australian Easter</w:t>
      </w:r>
      <w:r w:rsidR="003B12DA">
        <w:t>n</w:t>
      </w:r>
      <w:r w:rsidR="00947E6F">
        <w:t xml:space="preserve"> Daylight Time (AEDT)</w:t>
      </w:r>
      <w:r w:rsidRPr="00A51215">
        <w:t xml:space="preserve">, </w:t>
      </w:r>
      <w:r w:rsidR="004959B6" w:rsidRPr="00A51215">
        <w:t>2</w:t>
      </w:r>
      <w:r w:rsidR="007A0E31">
        <w:t>0</w:t>
      </w:r>
      <w:r w:rsidR="004959B6" w:rsidRPr="00A51215">
        <w:t xml:space="preserve"> February </w:t>
      </w:r>
      <w:r w:rsidRPr="00A51215">
        <w:t>2026.</w:t>
      </w:r>
      <w:r w:rsidRPr="00B666CD">
        <w:t xml:space="preserve"> More information is available at </w:t>
      </w:r>
      <w:hyperlink r:id="rId22" w:history="1">
        <w:r w:rsidR="003B12DA" w:rsidRPr="003B12DA">
          <w:rPr>
            <w:rStyle w:val="Hyperlink"/>
          </w:rPr>
          <w:t>https://www.dewr.gov.au/secure-australian-jobs-code</w:t>
        </w:r>
      </w:hyperlink>
    </w:p>
    <w:p w14:paraId="22EFE422" w14:textId="7111A46C" w:rsidR="00271E05" w:rsidRPr="00A57AF1" w:rsidRDefault="00271E05" w:rsidP="00B414BB">
      <w:pPr>
        <w:rPr>
          <w:highlight w:val="yellow"/>
        </w:rPr>
      </w:pPr>
    </w:p>
    <w:bookmarkEnd w:id="0"/>
    <w:p w14:paraId="3DCED305" w14:textId="77777777" w:rsidR="00271E05" w:rsidRDefault="00271E05" w:rsidP="00271E05">
      <w:pPr>
        <w:spacing w:after="0" w:line="240" w:lineRule="auto"/>
        <w:rPr>
          <w:rFonts w:cstheme="minorHAnsi"/>
          <w:color w:val="212529"/>
        </w:rPr>
      </w:pPr>
    </w:p>
    <w:p w14:paraId="48D3098D" w14:textId="2B266B91" w:rsidR="00B456F6" w:rsidRPr="00B456F6" w:rsidRDefault="00B456F6" w:rsidP="00B456F6"/>
    <w:sectPr w:rsidR="00B456F6" w:rsidRPr="00B456F6" w:rsidSect="00BE737E">
      <w:headerReference w:type="even" r:id="rId23"/>
      <w:headerReference w:type="default" r:id="rId24"/>
      <w:footerReference w:type="default" r:id="rId25"/>
      <w:headerReference w:type="first" r:id="rId26"/>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A065" w14:textId="77777777" w:rsidR="00184238" w:rsidRDefault="00184238" w:rsidP="0051352E">
      <w:pPr>
        <w:spacing w:after="0" w:line="240" w:lineRule="auto"/>
      </w:pPr>
      <w:r>
        <w:separator/>
      </w:r>
    </w:p>
  </w:endnote>
  <w:endnote w:type="continuationSeparator" w:id="0">
    <w:p w14:paraId="6D336651" w14:textId="77777777" w:rsidR="00184238" w:rsidRDefault="0018423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C987" w14:textId="5B60BD0C" w:rsidR="00EA67FC" w:rsidRDefault="00EA67FC">
    <w:pPr>
      <w:pStyle w:val="Footer"/>
      <w:jc w:val="right"/>
    </w:pPr>
  </w:p>
  <w:p w14:paraId="549B1DB4"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619" w14:textId="4FA70FC4" w:rsidR="00EA67FC" w:rsidRDefault="0013378B">
    <w:pPr>
      <w:pStyle w:val="Footer"/>
      <w:jc w:val="right"/>
    </w:pPr>
    <w:r w:rsidRPr="0013378B">
      <w:t xml:space="preserve"> </w:t>
    </w:r>
    <w:r>
      <w:t xml:space="preserve">Secure Australian Jobs Code Consultation Paper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DF31754"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40243A90" wp14:editId="48E770F1">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44572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C95E" w14:textId="77777777" w:rsidR="00184238" w:rsidRDefault="00184238" w:rsidP="0051352E">
      <w:pPr>
        <w:spacing w:after="0" w:line="240" w:lineRule="auto"/>
      </w:pPr>
      <w:r>
        <w:separator/>
      </w:r>
    </w:p>
  </w:footnote>
  <w:footnote w:type="continuationSeparator" w:id="0">
    <w:p w14:paraId="5C84FD20" w14:textId="77777777" w:rsidR="00184238" w:rsidRDefault="00184238" w:rsidP="0051352E">
      <w:pPr>
        <w:spacing w:after="0" w:line="240" w:lineRule="auto"/>
      </w:pPr>
      <w:r>
        <w:continuationSeparator/>
      </w:r>
    </w:p>
  </w:footnote>
  <w:footnote w:id="1">
    <w:p w14:paraId="5C98FAFB" w14:textId="3AE69802" w:rsidR="00271E05" w:rsidRPr="00A73184" w:rsidRDefault="00271E05" w:rsidP="00271E05">
      <w:pPr>
        <w:pStyle w:val="FootnoteText"/>
        <w:rPr>
          <w:rFonts w:ascii="Aptos" w:hAnsi="Aptos"/>
          <w:sz w:val="18"/>
          <w:szCs w:val="18"/>
        </w:rPr>
      </w:pPr>
      <w:r w:rsidRPr="00A73184">
        <w:rPr>
          <w:rStyle w:val="FootnoteReference"/>
          <w:rFonts w:ascii="Aptos" w:hAnsi="Aptos"/>
          <w:sz w:val="18"/>
          <w:szCs w:val="18"/>
        </w:rPr>
        <w:footnoteRef/>
      </w:r>
      <w:r w:rsidRPr="00A73184">
        <w:rPr>
          <w:rFonts w:ascii="Aptos" w:hAnsi="Aptos"/>
          <w:sz w:val="18"/>
          <w:szCs w:val="18"/>
        </w:rPr>
        <w:t xml:space="preserve"> Department of Finance, </w:t>
      </w:r>
      <w:hyperlink r:id="rId1" w:history="1">
        <w:r w:rsidR="00FD0A56" w:rsidRPr="00A73184">
          <w:rPr>
            <w:rStyle w:val="Hyperlink"/>
            <w:rFonts w:ascii="Aptos" w:hAnsi="Aptos"/>
            <w:i/>
            <w:iCs/>
            <w:sz w:val="18"/>
            <w:szCs w:val="18"/>
          </w:rPr>
          <w:t>Buy Australian Plan</w:t>
        </w:r>
      </w:hyperlink>
      <w:r w:rsidR="00FD0A56" w:rsidRPr="00A73184">
        <w:rPr>
          <w:rFonts w:ascii="Aptos" w:hAnsi="Aptos"/>
          <w:sz w:val="18"/>
          <w:szCs w:val="18"/>
        </w:rPr>
        <w:t xml:space="preserve">, </w:t>
      </w:r>
      <w:r w:rsidRPr="00A73184">
        <w:rPr>
          <w:rFonts w:ascii="Aptos" w:hAnsi="Aptos"/>
          <w:sz w:val="18"/>
          <w:szCs w:val="18"/>
        </w:rPr>
        <w:t xml:space="preserve"> </w:t>
      </w:r>
      <w:r w:rsidR="000E7766" w:rsidRPr="00A73184">
        <w:rPr>
          <w:rFonts w:ascii="Aptos" w:hAnsi="Aptos"/>
          <w:sz w:val="18"/>
          <w:szCs w:val="18"/>
        </w:rPr>
        <w:t>Finance</w:t>
      </w:r>
      <w:r w:rsidRPr="00A73184">
        <w:rPr>
          <w:rFonts w:ascii="Aptos" w:hAnsi="Aptos"/>
          <w:sz w:val="18"/>
          <w:szCs w:val="18"/>
        </w:rPr>
        <w:t xml:space="preserve">, </w:t>
      </w:r>
      <w:r w:rsidR="00583563" w:rsidRPr="00583563">
        <w:rPr>
          <w:rFonts w:ascii="Aptos" w:hAnsi="Aptos"/>
          <w:sz w:val="18"/>
          <w:szCs w:val="18"/>
        </w:rPr>
        <w:t>Australian Government,</w:t>
      </w:r>
      <w:r w:rsidR="00583563">
        <w:rPr>
          <w:rFonts w:ascii="Aptos" w:hAnsi="Aptos"/>
          <w:sz w:val="18"/>
          <w:szCs w:val="18"/>
        </w:rPr>
        <w:t xml:space="preserve"> </w:t>
      </w:r>
      <w:r w:rsidR="00F32947" w:rsidRPr="00A73184">
        <w:rPr>
          <w:rFonts w:ascii="Aptos" w:hAnsi="Aptos"/>
          <w:sz w:val="18"/>
          <w:szCs w:val="18"/>
        </w:rPr>
        <w:t>2025,</w:t>
      </w:r>
      <w:r w:rsidR="00F32947">
        <w:rPr>
          <w:rFonts w:ascii="Aptos" w:hAnsi="Aptos"/>
          <w:sz w:val="18"/>
          <w:szCs w:val="18"/>
        </w:rPr>
        <w:t xml:space="preserve"> </w:t>
      </w:r>
      <w:r w:rsidR="00583563" w:rsidRPr="00A73184">
        <w:rPr>
          <w:rFonts w:ascii="Aptos" w:hAnsi="Aptos"/>
          <w:sz w:val="18"/>
          <w:szCs w:val="18"/>
        </w:rPr>
        <w:t>accessed</w:t>
      </w:r>
      <w:r w:rsidRPr="00A73184">
        <w:rPr>
          <w:rFonts w:ascii="Aptos" w:hAnsi="Aptos"/>
          <w:sz w:val="18"/>
          <w:szCs w:val="18"/>
        </w:rPr>
        <w:t xml:space="preserve"> 5 August 2025.</w:t>
      </w:r>
    </w:p>
  </w:footnote>
  <w:footnote w:id="2">
    <w:p w14:paraId="73E154B5" w14:textId="7C0A54F5" w:rsidR="00271E05" w:rsidRPr="00A01FF5" w:rsidRDefault="00271E05" w:rsidP="00271E05">
      <w:pPr>
        <w:pStyle w:val="FootnoteText"/>
        <w:rPr>
          <w:i/>
        </w:rPr>
      </w:pPr>
      <w:r w:rsidRPr="00A73184">
        <w:rPr>
          <w:rStyle w:val="FootnoteReference"/>
          <w:rFonts w:ascii="Aptos" w:hAnsi="Aptos"/>
          <w:sz w:val="18"/>
          <w:szCs w:val="18"/>
        </w:rPr>
        <w:footnoteRef/>
      </w:r>
      <w:r w:rsidRPr="00A73184">
        <w:rPr>
          <w:rFonts w:ascii="Aptos" w:hAnsi="Aptos"/>
          <w:sz w:val="18"/>
          <w:szCs w:val="18"/>
        </w:rPr>
        <w:t xml:space="preserve"> </w:t>
      </w:r>
      <w:r w:rsidR="00487D12" w:rsidRPr="00A73184">
        <w:rPr>
          <w:rFonts w:ascii="Aptos" w:hAnsi="Aptos"/>
          <w:sz w:val="18"/>
          <w:szCs w:val="18"/>
        </w:rPr>
        <w:t xml:space="preserve">The Hon </w:t>
      </w:r>
      <w:r w:rsidRPr="00A73184">
        <w:rPr>
          <w:rFonts w:ascii="Aptos" w:hAnsi="Aptos"/>
          <w:sz w:val="18"/>
          <w:szCs w:val="18"/>
        </w:rPr>
        <w:t>Anthony Albanese</w:t>
      </w:r>
      <w:r w:rsidR="00487D12" w:rsidRPr="00A73184">
        <w:rPr>
          <w:rFonts w:ascii="Aptos" w:hAnsi="Aptos"/>
          <w:sz w:val="18"/>
          <w:szCs w:val="18"/>
        </w:rPr>
        <w:t xml:space="preserve"> PM</w:t>
      </w:r>
      <w:r w:rsidRPr="00A73184">
        <w:rPr>
          <w:rFonts w:ascii="Aptos" w:hAnsi="Aptos"/>
          <w:sz w:val="18"/>
          <w:szCs w:val="18"/>
        </w:rPr>
        <w:t xml:space="preserve">, </w:t>
      </w:r>
      <w:hyperlink r:id="rId2" w:history="1">
        <w:r w:rsidR="00524C92" w:rsidRPr="00A73184">
          <w:rPr>
            <w:rStyle w:val="Hyperlink"/>
            <w:rFonts w:ascii="Aptos" w:hAnsi="Aptos"/>
            <w:i/>
            <w:iCs/>
            <w:sz w:val="18"/>
            <w:szCs w:val="18"/>
          </w:rPr>
          <w:t>Secure Australian Jobs Plan</w:t>
        </w:r>
      </w:hyperlink>
      <w:r w:rsidR="005B56AD" w:rsidRPr="00A73184">
        <w:rPr>
          <w:rFonts w:ascii="Aptos" w:hAnsi="Aptos"/>
          <w:i/>
          <w:iCs/>
          <w:sz w:val="18"/>
          <w:szCs w:val="18"/>
        </w:rPr>
        <w:t xml:space="preserve"> </w:t>
      </w:r>
      <w:r w:rsidR="005B56AD" w:rsidRPr="00A73184">
        <w:rPr>
          <w:rFonts w:ascii="Aptos" w:hAnsi="Aptos"/>
          <w:sz w:val="18"/>
          <w:szCs w:val="18"/>
        </w:rPr>
        <w:t>[media release]</w:t>
      </w:r>
      <w:r w:rsidR="00524C92" w:rsidRPr="00A73184">
        <w:rPr>
          <w:rFonts w:ascii="Aptos" w:hAnsi="Aptos"/>
          <w:sz w:val="18"/>
          <w:szCs w:val="18"/>
        </w:rPr>
        <w:t>,</w:t>
      </w:r>
      <w:r w:rsidR="00A73184" w:rsidRPr="00A73184">
        <w:rPr>
          <w:rStyle w:val="Hyperlink"/>
          <w:rFonts w:ascii="Aptos" w:hAnsi="Aptos"/>
          <w:sz w:val="18"/>
          <w:szCs w:val="18"/>
          <w:u w:val="none"/>
        </w:rPr>
        <w:t xml:space="preserve"> </w:t>
      </w:r>
      <w:r w:rsidR="00F66974" w:rsidRPr="00F66974">
        <w:rPr>
          <w:rStyle w:val="Hyperlink"/>
          <w:rFonts w:ascii="Aptos" w:hAnsi="Aptos"/>
          <w:color w:val="auto"/>
          <w:sz w:val="18"/>
          <w:szCs w:val="18"/>
          <w:u w:val="none"/>
        </w:rPr>
        <w:t xml:space="preserve">15 November </w:t>
      </w:r>
      <w:r w:rsidRPr="00A73184">
        <w:rPr>
          <w:rFonts w:ascii="Aptos" w:hAnsi="Aptos"/>
          <w:sz w:val="18"/>
          <w:szCs w:val="18"/>
        </w:rPr>
        <w:t>2021, accessed 5 August 2025.</w:t>
      </w:r>
    </w:p>
  </w:footnote>
  <w:footnote w:id="3">
    <w:p w14:paraId="267BA8AE" w14:textId="59A6365D" w:rsidR="00271E05" w:rsidRPr="00D11E45" w:rsidRDefault="00271E05" w:rsidP="00271E05">
      <w:pPr>
        <w:pStyle w:val="FootnoteText"/>
        <w:rPr>
          <w:rFonts w:ascii="Aptos" w:hAnsi="Aptos"/>
          <w:sz w:val="18"/>
          <w:szCs w:val="18"/>
        </w:rPr>
      </w:pPr>
      <w:r w:rsidRPr="00D11E45">
        <w:rPr>
          <w:rStyle w:val="FootnoteReference"/>
          <w:rFonts w:ascii="Aptos" w:hAnsi="Aptos"/>
          <w:sz w:val="18"/>
          <w:szCs w:val="18"/>
        </w:rPr>
        <w:footnoteRef/>
      </w:r>
      <w:r w:rsidRPr="00D11E45">
        <w:rPr>
          <w:rFonts w:ascii="Aptos" w:hAnsi="Aptos"/>
          <w:sz w:val="18"/>
          <w:szCs w:val="18"/>
        </w:rPr>
        <w:t xml:space="preserve"> Department of Climate Change, Energy, Environment and Water, </w:t>
      </w:r>
      <w:hyperlink r:id="rId3" w:history="1">
        <w:r w:rsidRPr="00D11E45">
          <w:rPr>
            <w:rStyle w:val="Hyperlink"/>
            <w:rFonts w:ascii="Aptos" w:hAnsi="Aptos"/>
            <w:i/>
            <w:iCs/>
            <w:sz w:val="18"/>
            <w:szCs w:val="18"/>
          </w:rPr>
          <w:t>Environmentally Sustainable Procurement Policy</w:t>
        </w:r>
      </w:hyperlink>
      <w:r w:rsidRPr="00D11E45">
        <w:rPr>
          <w:rFonts w:ascii="Aptos" w:hAnsi="Aptos"/>
          <w:sz w:val="18"/>
          <w:szCs w:val="18"/>
        </w:rPr>
        <w:t>, DCCEEW,</w:t>
      </w:r>
      <w:r w:rsidR="00D11E45" w:rsidRPr="00D11E45">
        <w:rPr>
          <w:rFonts w:ascii="Aptos" w:hAnsi="Aptos"/>
          <w:sz w:val="18"/>
          <w:szCs w:val="18"/>
        </w:rPr>
        <w:t xml:space="preserve"> Australian Government,</w:t>
      </w:r>
      <w:r w:rsidRPr="00D11E45">
        <w:rPr>
          <w:rFonts w:ascii="Aptos" w:hAnsi="Aptos"/>
          <w:sz w:val="18"/>
          <w:szCs w:val="18"/>
        </w:rPr>
        <w:t xml:space="preserve"> 2025, accessed 25 August 2025.</w:t>
      </w:r>
    </w:p>
  </w:footnote>
  <w:footnote w:id="4">
    <w:p w14:paraId="7102D7AD" w14:textId="02BB5EE0" w:rsidR="00271E05" w:rsidRPr="00D11E45" w:rsidRDefault="00271E05" w:rsidP="00271E05">
      <w:pPr>
        <w:pStyle w:val="FootnoteText"/>
        <w:rPr>
          <w:rFonts w:ascii="Aptos" w:hAnsi="Aptos"/>
          <w:sz w:val="18"/>
          <w:szCs w:val="18"/>
        </w:rPr>
      </w:pPr>
      <w:r w:rsidRPr="00D11E45">
        <w:rPr>
          <w:rStyle w:val="FootnoteReference"/>
          <w:rFonts w:ascii="Aptos" w:hAnsi="Aptos"/>
          <w:sz w:val="18"/>
          <w:szCs w:val="18"/>
        </w:rPr>
        <w:footnoteRef/>
      </w:r>
      <w:r w:rsidRPr="00D11E45">
        <w:rPr>
          <w:rFonts w:ascii="Aptos" w:hAnsi="Aptos"/>
          <w:sz w:val="18"/>
          <w:szCs w:val="18"/>
        </w:rPr>
        <w:t xml:space="preserve"> Workplace Gender Equality Agency, </w:t>
      </w:r>
      <w:hyperlink r:id="rId4" w:history="1">
        <w:r w:rsidRPr="00D11E45">
          <w:rPr>
            <w:rStyle w:val="Hyperlink"/>
            <w:rFonts w:ascii="Aptos" w:hAnsi="Aptos"/>
            <w:i/>
            <w:iCs/>
            <w:sz w:val="18"/>
            <w:szCs w:val="18"/>
          </w:rPr>
          <w:t>Workplace Gender Equality Procurement Principles</w:t>
        </w:r>
      </w:hyperlink>
      <w:r w:rsidRPr="00D11E45">
        <w:rPr>
          <w:rFonts w:ascii="Aptos" w:hAnsi="Aptos"/>
          <w:sz w:val="18"/>
          <w:szCs w:val="18"/>
        </w:rPr>
        <w:t xml:space="preserve">, WGEA, </w:t>
      </w:r>
      <w:r w:rsidR="00D11E45" w:rsidRPr="00D11E45">
        <w:rPr>
          <w:rFonts w:ascii="Aptos" w:hAnsi="Aptos"/>
          <w:sz w:val="18"/>
          <w:szCs w:val="18"/>
        </w:rPr>
        <w:t xml:space="preserve">Australian Government, </w:t>
      </w:r>
      <w:r w:rsidRPr="00D11E45">
        <w:rPr>
          <w:rFonts w:ascii="Aptos" w:hAnsi="Aptos"/>
          <w:sz w:val="18"/>
          <w:szCs w:val="18"/>
        </w:rPr>
        <w:t>2025, accessed 9 September 2025.</w:t>
      </w:r>
    </w:p>
  </w:footnote>
  <w:footnote w:id="5">
    <w:p w14:paraId="1518F818" w14:textId="78877D45" w:rsidR="00271E05" w:rsidRPr="00D11E45" w:rsidRDefault="00271E05" w:rsidP="00271E05">
      <w:pPr>
        <w:pStyle w:val="FootnoteText"/>
        <w:rPr>
          <w:rFonts w:ascii="Aptos" w:hAnsi="Aptos"/>
          <w:sz w:val="18"/>
          <w:szCs w:val="18"/>
        </w:rPr>
      </w:pPr>
      <w:r w:rsidRPr="00D11E45">
        <w:rPr>
          <w:rStyle w:val="FootnoteReference"/>
          <w:rFonts w:ascii="Aptos" w:hAnsi="Aptos"/>
          <w:sz w:val="18"/>
          <w:szCs w:val="18"/>
        </w:rPr>
        <w:footnoteRef/>
      </w:r>
      <w:r w:rsidRPr="00D11E45">
        <w:rPr>
          <w:rFonts w:ascii="Aptos" w:hAnsi="Aptos"/>
          <w:sz w:val="18"/>
          <w:szCs w:val="18"/>
        </w:rPr>
        <w:t xml:space="preserve"> </w:t>
      </w:r>
      <w:bookmarkStart w:id="23" w:name="_Hlk212029617"/>
      <w:r w:rsidR="000E7766" w:rsidRPr="00D11E45">
        <w:rPr>
          <w:rFonts w:ascii="Aptos" w:hAnsi="Aptos"/>
          <w:sz w:val="18"/>
          <w:szCs w:val="18"/>
        </w:rPr>
        <w:t>Finance</w:t>
      </w:r>
      <w:r w:rsidRPr="00D11E45">
        <w:rPr>
          <w:rFonts w:ascii="Aptos" w:hAnsi="Aptos"/>
          <w:sz w:val="18"/>
          <w:szCs w:val="18"/>
        </w:rPr>
        <w:t xml:space="preserve">, </w:t>
      </w:r>
      <w:hyperlink r:id="rId5" w:history="1">
        <w:r w:rsidRPr="00D11E45">
          <w:rPr>
            <w:rStyle w:val="Hyperlink"/>
            <w:rFonts w:ascii="Aptos" w:hAnsi="Aptos"/>
            <w:i/>
            <w:iCs/>
            <w:sz w:val="18"/>
            <w:szCs w:val="18"/>
          </w:rPr>
          <w:t>Commonwealth Procurement Rules</w:t>
        </w:r>
      </w:hyperlink>
      <w:r w:rsidRPr="00D11E45">
        <w:rPr>
          <w:rFonts w:ascii="Aptos" w:hAnsi="Aptos"/>
          <w:sz w:val="18"/>
          <w:szCs w:val="18"/>
        </w:rPr>
        <w:t xml:space="preserve">, </w:t>
      </w:r>
      <w:r w:rsidR="000E7766" w:rsidRPr="00D11E45">
        <w:rPr>
          <w:rFonts w:ascii="Aptos" w:hAnsi="Aptos"/>
          <w:sz w:val="18"/>
          <w:szCs w:val="18"/>
        </w:rPr>
        <w:t>Finance</w:t>
      </w:r>
      <w:r w:rsidRPr="00D11E45">
        <w:rPr>
          <w:rFonts w:ascii="Aptos" w:hAnsi="Aptos"/>
          <w:sz w:val="18"/>
          <w:szCs w:val="18"/>
        </w:rPr>
        <w:t xml:space="preserve">, </w:t>
      </w:r>
      <w:r w:rsidR="00D11E45" w:rsidRPr="00D11E45">
        <w:rPr>
          <w:rFonts w:ascii="Aptos" w:hAnsi="Aptos"/>
          <w:sz w:val="18"/>
          <w:szCs w:val="18"/>
        </w:rPr>
        <w:t xml:space="preserve">Australian Government, </w:t>
      </w:r>
      <w:r w:rsidRPr="00D11E45">
        <w:rPr>
          <w:rFonts w:ascii="Aptos" w:hAnsi="Aptos"/>
          <w:sz w:val="18"/>
          <w:szCs w:val="18"/>
        </w:rPr>
        <w:t>2024, accessed 18 August 2025.</w:t>
      </w:r>
      <w:bookmarkEnd w:id="23"/>
    </w:p>
  </w:footnote>
  <w:footnote w:id="6">
    <w:p w14:paraId="79F26816" w14:textId="53C4843B" w:rsidR="00271E05" w:rsidRPr="00D11E45" w:rsidRDefault="00271E05" w:rsidP="00271E05">
      <w:pPr>
        <w:pStyle w:val="FootnoteText"/>
        <w:rPr>
          <w:rFonts w:ascii="Aptos" w:hAnsi="Aptos"/>
          <w:sz w:val="18"/>
          <w:szCs w:val="18"/>
        </w:rPr>
      </w:pPr>
      <w:r w:rsidRPr="00D11E45">
        <w:rPr>
          <w:rStyle w:val="FootnoteReference"/>
          <w:rFonts w:ascii="Aptos" w:hAnsi="Aptos"/>
          <w:sz w:val="18"/>
          <w:szCs w:val="18"/>
        </w:rPr>
        <w:footnoteRef/>
      </w:r>
      <w:r w:rsidRPr="00D11E45">
        <w:rPr>
          <w:rFonts w:ascii="Aptos" w:hAnsi="Aptos"/>
          <w:sz w:val="18"/>
          <w:szCs w:val="18"/>
        </w:rPr>
        <w:t xml:space="preserve"> </w:t>
      </w:r>
      <w:r w:rsidR="000E7766" w:rsidRPr="00D11E45">
        <w:rPr>
          <w:rFonts w:ascii="Aptos" w:hAnsi="Aptos"/>
          <w:sz w:val="18"/>
          <w:szCs w:val="18"/>
        </w:rPr>
        <w:t>Finance</w:t>
      </w:r>
      <w:r w:rsidRPr="00D11E45">
        <w:rPr>
          <w:rFonts w:ascii="Aptos" w:hAnsi="Aptos"/>
          <w:sz w:val="18"/>
          <w:szCs w:val="18"/>
        </w:rPr>
        <w:t xml:space="preserve">, </w:t>
      </w:r>
      <w:hyperlink r:id="rId6" w:history="1">
        <w:r w:rsidRPr="00D11E45">
          <w:rPr>
            <w:rStyle w:val="Hyperlink"/>
            <w:rFonts w:ascii="Aptos" w:hAnsi="Aptos"/>
            <w:i/>
            <w:iCs/>
            <w:sz w:val="18"/>
            <w:szCs w:val="18"/>
          </w:rPr>
          <w:t>Commonwealth Supplier Code of Conduct</w:t>
        </w:r>
      </w:hyperlink>
      <w:r w:rsidRPr="00D11E45">
        <w:rPr>
          <w:rFonts w:ascii="Aptos" w:hAnsi="Aptos"/>
          <w:sz w:val="18"/>
          <w:szCs w:val="18"/>
        </w:rPr>
        <w:t xml:space="preserve">, </w:t>
      </w:r>
      <w:r w:rsidR="000E7766" w:rsidRPr="00D11E45">
        <w:rPr>
          <w:rFonts w:ascii="Aptos" w:hAnsi="Aptos"/>
          <w:sz w:val="18"/>
          <w:szCs w:val="18"/>
        </w:rPr>
        <w:t>Finance</w:t>
      </w:r>
      <w:r w:rsidRPr="00D11E45">
        <w:rPr>
          <w:rFonts w:ascii="Aptos" w:hAnsi="Aptos"/>
          <w:sz w:val="18"/>
          <w:szCs w:val="18"/>
        </w:rPr>
        <w:t xml:space="preserve">, </w:t>
      </w:r>
      <w:r w:rsidR="00D11E45" w:rsidRPr="00D11E45">
        <w:rPr>
          <w:rFonts w:ascii="Aptos" w:hAnsi="Aptos"/>
          <w:sz w:val="18"/>
          <w:szCs w:val="18"/>
        </w:rPr>
        <w:t xml:space="preserve">Australian Government, </w:t>
      </w:r>
      <w:r w:rsidRPr="00D11E45">
        <w:rPr>
          <w:rFonts w:ascii="Aptos" w:hAnsi="Aptos"/>
          <w:sz w:val="18"/>
          <w:szCs w:val="18"/>
        </w:rPr>
        <w:t>2024, accessed 15 August 2025.</w:t>
      </w:r>
    </w:p>
  </w:footnote>
  <w:footnote w:id="7">
    <w:p w14:paraId="56820667" w14:textId="1FDB8F3C" w:rsidR="00271E05" w:rsidRPr="000A1187" w:rsidRDefault="00271E05" w:rsidP="00271E05">
      <w:pPr>
        <w:pStyle w:val="FootnoteText"/>
        <w:rPr>
          <w:rFonts w:ascii="Aptos Display" w:hAnsi="Aptos Display"/>
          <w:sz w:val="18"/>
          <w:szCs w:val="18"/>
        </w:rPr>
      </w:pPr>
      <w:r w:rsidRPr="000A1187">
        <w:rPr>
          <w:rStyle w:val="FootnoteReference"/>
          <w:rFonts w:ascii="Aptos Display" w:hAnsi="Aptos Display"/>
          <w:sz w:val="18"/>
          <w:szCs w:val="18"/>
        </w:rPr>
        <w:footnoteRef/>
      </w:r>
      <w:r w:rsidRPr="000A1187">
        <w:rPr>
          <w:rFonts w:ascii="Aptos Display" w:hAnsi="Aptos Display"/>
          <w:sz w:val="18"/>
          <w:szCs w:val="18"/>
        </w:rPr>
        <w:t xml:space="preserve"> </w:t>
      </w:r>
      <w:r w:rsidR="00F56C61">
        <w:rPr>
          <w:rFonts w:ascii="Aptos Display" w:hAnsi="Aptos Display"/>
          <w:sz w:val="18"/>
          <w:szCs w:val="18"/>
        </w:rPr>
        <w:t>Department of the</w:t>
      </w:r>
      <w:r w:rsidR="00F56C61" w:rsidRPr="000A1187">
        <w:rPr>
          <w:rFonts w:ascii="Aptos Display" w:hAnsi="Aptos Display"/>
          <w:sz w:val="18"/>
          <w:szCs w:val="18"/>
        </w:rPr>
        <w:t xml:space="preserve"> </w:t>
      </w:r>
      <w:r w:rsidRPr="000A1187">
        <w:rPr>
          <w:rFonts w:ascii="Aptos Display" w:hAnsi="Aptos Display"/>
          <w:sz w:val="18"/>
          <w:szCs w:val="18"/>
        </w:rPr>
        <w:t>Treasury, </w:t>
      </w:r>
      <w:hyperlink r:id="rId7" w:history="1">
        <w:r w:rsidRPr="00D11E45">
          <w:rPr>
            <w:rStyle w:val="Hyperlink"/>
            <w:rFonts w:ascii="Aptos Display" w:hAnsi="Aptos Display"/>
            <w:i/>
            <w:sz w:val="18"/>
            <w:szCs w:val="18"/>
          </w:rPr>
          <w:t>Working Future – The Australian Government’s White Paper on Jobs and Opportunities</w:t>
        </w:r>
      </w:hyperlink>
      <w:r w:rsidR="00463D43">
        <w:rPr>
          <w:rFonts w:ascii="Aptos Display" w:hAnsi="Aptos Display"/>
          <w:sz w:val="18"/>
          <w:szCs w:val="18"/>
        </w:rPr>
        <w:t xml:space="preserve">, </w:t>
      </w:r>
      <w:r w:rsidR="00DC571E">
        <w:rPr>
          <w:rFonts w:ascii="Aptos Display" w:hAnsi="Aptos Display"/>
          <w:sz w:val="18"/>
          <w:szCs w:val="18"/>
        </w:rPr>
        <w:t>The</w:t>
      </w:r>
      <w:r w:rsidR="000E7766" w:rsidRPr="000A1187">
        <w:rPr>
          <w:rFonts w:ascii="Aptos Display" w:hAnsi="Aptos Display"/>
          <w:sz w:val="18"/>
          <w:szCs w:val="18"/>
        </w:rPr>
        <w:t xml:space="preserve"> Treasury</w:t>
      </w:r>
      <w:r w:rsidRPr="000A1187">
        <w:rPr>
          <w:rFonts w:ascii="Aptos Display" w:hAnsi="Aptos Display"/>
          <w:sz w:val="18"/>
          <w:szCs w:val="18"/>
        </w:rPr>
        <w:t xml:space="preserve">, </w:t>
      </w:r>
      <w:r w:rsidR="00E046E4" w:rsidRPr="00E046E4">
        <w:rPr>
          <w:rFonts w:ascii="Aptos Display" w:hAnsi="Aptos Display"/>
          <w:sz w:val="18"/>
          <w:szCs w:val="18"/>
        </w:rPr>
        <w:t>Australian Government,</w:t>
      </w:r>
      <w:r w:rsidR="00E046E4">
        <w:rPr>
          <w:rFonts w:ascii="Aptos Display" w:hAnsi="Aptos Display"/>
          <w:sz w:val="18"/>
          <w:szCs w:val="18"/>
        </w:rPr>
        <w:t xml:space="preserve"> </w:t>
      </w:r>
      <w:r w:rsidRPr="000A1187">
        <w:rPr>
          <w:rFonts w:ascii="Aptos Display" w:hAnsi="Aptos Display"/>
          <w:sz w:val="18"/>
          <w:szCs w:val="18"/>
        </w:rPr>
        <w:t>2023, accessed 25 August 2025</w:t>
      </w:r>
      <w:r w:rsidR="00E046E4">
        <w:rPr>
          <w:rFonts w:ascii="Aptos Display" w:hAnsi="Aptos Display"/>
          <w:sz w:val="18"/>
          <w:szCs w:val="18"/>
        </w:rPr>
        <w:t>.</w:t>
      </w:r>
      <w:r w:rsidRPr="000A1187">
        <w:rPr>
          <w:rFonts w:ascii="Aptos Display" w:hAnsi="Aptos Display"/>
          <w:sz w:val="18"/>
          <w:szCs w:val="18"/>
        </w:rPr>
        <w:t xml:space="preserve"> </w:t>
      </w:r>
    </w:p>
  </w:footnote>
  <w:footnote w:id="8">
    <w:p w14:paraId="42823BA3" w14:textId="45FA8F44" w:rsidR="00271E05" w:rsidRPr="002A3A6C" w:rsidRDefault="00271E05" w:rsidP="00271E05">
      <w:pPr>
        <w:pStyle w:val="FootnoteText"/>
        <w:rPr>
          <w:rFonts w:ascii="Aptos" w:hAnsi="Aptos"/>
          <w:sz w:val="18"/>
          <w:szCs w:val="18"/>
        </w:rPr>
      </w:pPr>
      <w:r w:rsidRPr="002A3A6C">
        <w:rPr>
          <w:rStyle w:val="FootnoteReference"/>
          <w:rFonts w:ascii="Aptos" w:hAnsi="Aptos"/>
          <w:sz w:val="18"/>
          <w:szCs w:val="18"/>
        </w:rPr>
        <w:footnoteRef/>
      </w:r>
      <w:r w:rsidRPr="002A3A6C">
        <w:rPr>
          <w:rFonts w:ascii="Aptos" w:hAnsi="Aptos"/>
          <w:sz w:val="18"/>
          <w:szCs w:val="18"/>
        </w:rPr>
        <w:t xml:space="preserve"> The Hon Tony Burke MP, Speech at Press Conference, </w:t>
      </w:r>
      <w:hyperlink r:id="rId8" w:history="1">
        <w:r w:rsidRPr="002A3A6C">
          <w:rPr>
            <w:rStyle w:val="Hyperlink"/>
            <w:rFonts w:ascii="Aptos" w:hAnsi="Aptos"/>
            <w:i/>
            <w:iCs/>
            <w:sz w:val="18"/>
            <w:szCs w:val="18"/>
          </w:rPr>
          <w:t>Press Conference, Parliament House</w:t>
        </w:r>
      </w:hyperlink>
      <w:r w:rsidRPr="002A3A6C">
        <w:rPr>
          <w:rFonts w:ascii="Aptos" w:hAnsi="Aptos"/>
          <w:sz w:val="18"/>
          <w:szCs w:val="18"/>
        </w:rPr>
        <w:t xml:space="preserve">, </w:t>
      </w:r>
      <w:r w:rsidR="002D7982" w:rsidRPr="002A3A6C">
        <w:rPr>
          <w:rFonts w:ascii="Aptos" w:hAnsi="Aptos"/>
          <w:sz w:val="18"/>
          <w:szCs w:val="18"/>
        </w:rPr>
        <w:t xml:space="preserve">17 July 2024, </w:t>
      </w:r>
      <w:r w:rsidRPr="002A3A6C">
        <w:rPr>
          <w:rFonts w:ascii="Aptos" w:hAnsi="Aptos"/>
          <w:sz w:val="18"/>
          <w:szCs w:val="18"/>
        </w:rPr>
        <w:t>accessed 4 September 2025.</w:t>
      </w:r>
    </w:p>
  </w:footnote>
  <w:footnote w:id="9">
    <w:p w14:paraId="1936A75F" w14:textId="6D1C7362" w:rsidR="00271E05" w:rsidRPr="002A3A6C" w:rsidDel="001747AC" w:rsidRDefault="00271E05" w:rsidP="00271E05">
      <w:pPr>
        <w:pStyle w:val="FootnoteText"/>
        <w:rPr>
          <w:rFonts w:ascii="Aptos" w:hAnsi="Aptos"/>
          <w:sz w:val="18"/>
          <w:szCs w:val="18"/>
        </w:rPr>
      </w:pPr>
      <w:r w:rsidRPr="002A3A6C" w:rsidDel="001747AC">
        <w:rPr>
          <w:rStyle w:val="FootnoteReference"/>
          <w:rFonts w:ascii="Aptos" w:hAnsi="Aptos"/>
          <w:sz w:val="18"/>
          <w:szCs w:val="18"/>
        </w:rPr>
        <w:footnoteRef/>
      </w:r>
      <w:r w:rsidRPr="002A3A6C">
        <w:rPr>
          <w:rFonts w:ascii="Aptos" w:hAnsi="Aptos"/>
          <w:sz w:val="18"/>
          <w:szCs w:val="18"/>
        </w:rPr>
        <w:t xml:space="preserve"> For example, see </w:t>
      </w:r>
      <w:r w:rsidR="00021160" w:rsidRPr="002A3A6C">
        <w:rPr>
          <w:rFonts w:ascii="Aptos" w:hAnsi="Aptos"/>
          <w:sz w:val="18"/>
          <w:szCs w:val="18"/>
        </w:rPr>
        <w:t>Ashley Grogan</w:t>
      </w:r>
      <w:r w:rsidR="008A3868" w:rsidRPr="002A3A6C">
        <w:rPr>
          <w:rFonts w:ascii="Aptos" w:hAnsi="Aptos"/>
          <w:sz w:val="18"/>
          <w:szCs w:val="18"/>
        </w:rPr>
        <w:t xml:space="preserve"> (</w:t>
      </w:r>
      <w:r w:rsidR="00021160" w:rsidRPr="002A3A6C">
        <w:rPr>
          <w:rFonts w:ascii="Aptos" w:hAnsi="Aptos"/>
          <w:sz w:val="18"/>
          <w:szCs w:val="18"/>
        </w:rPr>
        <w:t>7 August 2025</w:t>
      </w:r>
      <w:r w:rsidR="008A3868" w:rsidRPr="002A3A6C">
        <w:rPr>
          <w:rFonts w:ascii="Aptos" w:hAnsi="Aptos"/>
          <w:sz w:val="18"/>
          <w:szCs w:val="18"/>
        </w:rPr>
        <w:t>)</w:t>
      </w:r>
      <w:r w:rsidRPr="002A3A6C">
        <w:rPr>
          <w:rFonts w:ascii="Aptos" w:hAnsi="Aptos"/>
          <w:sz w:val="18"/>
          <w:szCs w:val="18"/>
        </w:rPr>
        <w:t> </w:t>
      </w:r>
      <w:hyperlink r:id="rId9" w:history="1">
        <w:r w:rsidRPr="002A3A6C">
          <w:rPr>
            <w:rStyle w:val="Hyperlink"/>
            <w:rFonts w:ascii="Aptos" w:hAnsi="Aptos"/>
            <w:iCs/>
            <w:sz w:val="18"/>
            <w:szCs w:val="18"/>
          </w:rPr>
          <w:t>Construction leaders</w:t>
        </w:r>
        <w:r w:rsidRPr="002A3A6C" w:rsidDel="001747AC">
          <w:rPr>
            <w:rStyle w:val="Hyperlink"/>
            <w:rFonts w:ascii="Aptos" w:hAnsi="Aptos"/>
            <w:iCs/>
            <w:sz w:val="18"/>
            <w:szCs w:val="18"/>
          </w:rPr>
          <w:t xml:space="preserve"> call for </w:t>
        </w:r>
        <w:r w:rsidRPr="002A3A6C">
          <w:rPr>
            <w:rStyle w:val="Hyperlink"/>
            <w:rFonts w:ascii="Aptos" w:hAnsi="Aptos"/>
            <w:iCs/>
            <w:sz w:val="18"/>
            <w:szCs w:val="18"/>
          </w:rPr>
          <w:t>procurement</w:t>
        </w:r>
        <w:r w:rsidRPr="002A3A6C" w:rsidDel="001747AC">
          <w:rPr>
            <w:rStyle w:val="Hyperlink"/>
            <w:rFonts w:ascii="Aptos" w:hAnsi="Aptos"/>
            <w:iCs/>
            <w:sz w:val="18"/>
            <w:szCs w:val="18"/>
          </w:rPr>
          <w:t xml:space="preserve"> reform at FF25</w:t>
        </w:r>
      </w:hyperlink>
      <w:r w:rsidR="00640A33" w:rsidRPr="002A3A6C">
        <w:rPr>
          <w:rFonts w:ascii="Aptos" w:hAnsi="Aptos"/>
          <w:sz w:val="18"/>
          <w:szCs w:val="18"/>
        </w:rPr>
        <w:t xml:space="preserve">, </w:t>
      </w:r>
      <w:r w:rsidRPr="002A3A6C">
        <w:rPr>
          <w:rFonts w:ascii="Aptos" w:hAnsi="Aptos"/>
          <w:i/>
          <w:iCs/>
          <w:sz w:val="18"/>
          <w:szCs w:val="18"/>
        </w:rPr>
        <w:t>Inside Construction</w:t>
      </w:r>
      <w:r w:rsidRPr="002A3A6C" w:rsidDel="001747AC">
        <w:rPr>
          <w:rFonts w:ascii="Aptos" w:hAnsi="Aptos"/>
          <w:sz w:val="18"/>
          <w:szCs w:val="18"/>
        </w:rPr>
        <w:t>, accessed 25 August 2025</w:t>
      </w:r>
      <w:r w:rsidRPr="002A3A6C">
        <w:rPr>
          <w:rFonts w:ascii="Aptos" w:hAnsi="Aptos"/>
          <w:sz w:val="18"/>
          <w:szCs w:val="18"/>
        </w:rPr>
        <w:t>.</w:t>
      </w:r>
    </w:p>
  </w:footnote>
  <w:footnote w:id="10">
    <w:p w14:paraId="60BFA21B" w14:textId="138E83B7" w:rsidR="00271E05" w:rsidRPr="00C50DE6" w:rsidRDefault="00271E05" w:rsidP="00271E05">
      <w:pPr>
        <w:pStyle w:val="FootnoteText"/>
        <w:rPr>
          <w:rFonts w:ascii="Aptos Display" w:hAnsi="Aptos Display"/>
          <w:sz w:val="18"/>
          <w:szCs w:val="18"/>
        </w:rPr>
      </w:pPr>
      <w:r w:rsidRPr="002A3A6C">
        <w:rPr>
          <w:rStyle w:val="FootnoteReference"/>
          <w:rFonts w:ascii="Aptos" w:hAnsi="Aptos"/>
          <w:sz w:val="18"/>
          <w:szCs w:val="18"/>
        </w:rPr>
        <w:footnoteRef/>
      </w:r>
      <w:r w:rsidRPr="002A3A6C">
        <w:rPr>
          <w:rFonts w:ascii="Aptos" w:hAnsi="Aptos"/>
          <w:sz w:val="18"/>
          <w:szCs w:val="18"/>
        </w:rPr>
        <w:t xml:space="preserve"> National Construction Industry Forum</w:t>
      </w:r>
      <w:r w:rsidR="00D616E0" w:rsidRPr="002A3A6C">
        <w:rPr>
          <w:rFonts w:ascii="Aptos" w:hAnsi="Aptos"/>
          <w:sz w:val="18"/>
          <w:szCs w:val="18"/>
        </w:rPr>
        <w:t>,</w:t>
      </w:r>
      <w:r w:rsidRPr="002A3A6C">
        <w:rPr>
          <w:rFonts w:ascii="Aptos" w:hAnsi="Aptos"/>
          <w:i/>
          <w:sz w:val="18"/>
          <w:szCs w:val="18"/>
        </w:rPr>
        <w:t xml:space="preserve"> </w:t>
      </w:r>
      <w:hyperlink r:id="rId10" w:history="1">
        <w:r w:rsidRPr="002A3A6C">
          <w:rPr>
            <w:rStyle w:val="Hyperlink"/>
            <w:rFonts w:ascii="Aptos" w:hAnsi="Aptos"/>
            <w:i/>
            <w:sz w:val="18"/>
            <w:szCs w:val="18"/>
          </w:rPr>
          <w:t>Blueprint for the future – A building and construction industry that works for everyone</w:t>
        </w:r>
      </w:hyperlink>
      <w:r w:rsidRPr="002A3A6C">
        <w:rPr>
          <w:rFonts w:ascii="Aptos" w:hAnsi="Aptos"/>
          <w:sz w:val="18"/>
          <w:szCs w:val="18"/>
        </w:rPr>
        <w:t xml:space="preserve">, Department of Workplace Relations, </w:t>
      </w:r>
      <w:r w:rsidR="00207C1E" w:rsidRPr="002A3A6C">
        <w:rPr>
          <w:rFonts w:ascii="Aptos" w:hAnsi="Aptos"/>
          <w:sz w:val="18"/>
          <w:szCs w:val="18"/>
        </w:rPr>
        <w:t xml:space="preserve">Australian Government, </w:t>
      </w:r>
      <w:r w:rsidRPr="002A3A6C">
        <w:rPr>
          <w:rFonts w:ascii="Aptos" w:hAnsi="Aptos"/>
          <w:sz w:val="18"/>
          <w:szCs w:val="18"/>
        </w:rPr>
        <w:t>2025.</w:t>
      </w:r>
    </w:p>
  </w:footnote>
  <w:footnote w:id="11">
    <w:p w14:paraId="32BAC14C" w14:textId="01C75076" w:rsidR="00271E05" w:rsidRPr="002A3A6C" w:rsidRDefault="00271E05" w:rsidP="00271E05">
      <w:pPr>
        <w:pStyle w:val="FootnoteText"/>
        <w:rPr>
          <w:rFonts w:ascii="Aptos" w:hAnsi="Aptos"/>
          <w:sz w:val="18"/>
          <w:szCs w:val="18"/>
        </w:rPr>
      </w:pPr>
      <w:r w:rsidRPr="002A3A6C">
        <w:rPr>
          <w:rStyle w:val="FootnoteReference"/>
          <w:rFonts w:ascii="Aptos" w:hAnsi="Aptos"/>
          <w:sz w:val="18"/>
          <w:szCs w:val="18"/>
        </w:rPr>
        <w:footnoteRef/>
      </w:r>
      <w:r w:rsidRPr="002A3A6C">
        <w:rPr>
          <w:rFonts w:ascii="Aptos" w:hAnsi="Aptos"/>
          <w:sz w:val="18"/>
          <w:szCs w:val="18"/>
        </w:rPr>
        <w:t xml:space="preserve"> AusTender, </w:t>
      </w:r>
      <w:hyperlink r:id="rId11" w:history="1">
        <w:r w:rsidRPr="002A3A6C">
          <w:rPr>
            <w:rStyle w:val="Hyperlink"/>
            <w:rFonts w:ascii="Aptos" w:hAnsi="Aptos"/>
            <w:i/>
            <w:sz w:val="18"/>
            <w:szCs w:val="18"/>
          </w:rPr>
          <w:t>Statistics on Australian Government Procurement Contracts</w:t>
        </w:r>
        <w:r w:rsidRPr="002A3A6C">
          <w:rPr>
            <w:rStyle w:val="Hyperlink"/>
            <w:rFonts w:ascii="Aptos" w:hAnsi="Aptos"/>
            <w:sz w:val="18"/>
            <w:szCs w:val="18"/>
          </w:rPr>
          <w:t>,</w:t>
        </w:r>
      </w:hyperlink>
      <w:r w:rsidRPr="002A3A6C">
        <w:rPr>
          <w:rFonts w:ascii="Aptos" w:hAnsi="Aptos"/>
          <w:sz w:val="18"/>
          <w:szCs w:val="18"/>
        </w:rPr>
        <w:t xml:space="preserve"> AusTender,</w:t>
      </w:r>
      <w:r w:rsidR="00207C1E" w:rsidRPr="002A3A6C">
        <w:rPr>
          <w:rFonts w:ascii="Aptos" w:hAnsi="Aptos"/>
          <w:sz w:val="18"/>
          <w:szCs w:val="18"/>
        </w:rPr>
        <w:t xml:space="preserve"> </w:t>
      </w:r>
      <w:r w:rsidR="002A3A6C" w:rsidRPr="002A3A6C">
        <w:rPr>
          <w:rFonts w:ascii="Aptos" w:hAnsi="Aptos"/>
          <w:sz w:val="18"/>
          <w:szCs w:val="18"/>
        </w:rPr>
        <w:t>Australian Government,</w:t>
      </w:r>
      <w:r w:rsidRPr="002A3A6C">
        <w:rPr>
          <w:rFonts w:ascii="Aptos" w:hAnsi="Aptos"/>
          <w:sz w:val="18"/>
          <w:szCs w:val="18"/>
        </w:rPr>
        <w:t xml:space="preserve"> accessed 8 September 2025. </w:t>
      </w:r>
    </w:p>
  </w:footnote>
  <w:footnote w:id="12">
    <w:p w14:paraId="41965222" w14:textId="59E31A77" w:rsidR="00271E05" w:rsidRPr="002A3A6C" w:rsidRDefault="00271E05" w:rsidP="00271E05">
      <w:pPr>
        <w:pStyle w:val="FootnoteText"/>
        <w:rPr>
          <w:rFonts w:ascii="Aptos" w:hAnsi="Aptos"/>
          <w:sz w:val="18"/>
          <w:szCs w:val="18"/>
        </w:rPr>
      </w:pPr>
      <w:r w:rsidRPr="002A3A6C">
        <w:rPr>
          <w:rStyle w:val="FootnoteReference"/>
          <w:rFonts w:ascii="Aptos" w:hAnsi="Aptos"/>
          <w:sz w:val="18"/>
          <w:szCs w:val="18"/>
        </w:rPr>
        <w:footnoteRef/>
      </w:r>
      <w:r w:rsidRPr="002A3A6C" w:rsidDel="0047548E">
        <w:rPr>
          <w:rFonts w:ascii="Aptos" w:hAnsi="Aptos"/>
          <w:i/>
          <w:sz w:val="18"/>
          <w:szCs w:val="18"/>
        </w:rPr>
        <w:t xml:space="preserve"> </w:t>
      </w:r>
      <w:r w:rsidRPr="002A3A6C">
        <w:rPr>
          <w:rFonts w:ascii="Aptos" w:hAnsi="Aptos"/>
          <w:sz w:val="18"/>
          <w:szCs w:val="18"/>
        </w:rPr>
        <w:t xml:space="preserve">GrantConnect, </w:t>
      </w:r>
      <w:hyperlink r:id="rId12" w:history="1">
        <w:r w:rsidR="006F701E" w:rsidRPr="002A3A6C">
          <w:rPr>
            <w:rStyle w:val="Hyperlink"/>
            <w:rFonts w:ascii="Aptos" w:hAnsi="Aptos"/>
            <w:i/>
            <w:iCs/>
            <w:sz w:val="18"/>
            <w:szCs w:val="18"/>
          </w:rPr>
          <w:t>Awards by Financial Year</w:t>
        </w:r>
      </w:hyperlink>
      <w:r w:rsidR="006F701E" w:rsidRPr="002A3A6C">
        <w:rPr>
          <w:rFonts w:ascii="Aptos" w:hAnsi="Aptos"/>
          <w:i/>
          <w:iCs/>
          <w:sz w:val="18"/>
          <w:szCs w:val="18"/>
        </w:rPr>
        <w:t>,</w:t>
      </w:r>
      <w:r w:rsidRPr="002A3A6C">
        <w:rPr>
          <w:rFonts w:ascii="Aptos" w:hAnsi="Aptos"/>
          <w:sz w:val="18"/>
          <w:szCs w:val="18"/>
        </w:rPr>
        <w:t xml:space="preserve"> GrantConnect, </w:t>
      </w:r>
      <w:r w:rsidR="002A3A6C" w:rsidRPr="002A3A6C">
        <w:rPr>
          <w:rFonts w:ascii="Aptos" w:hAnsi="Aptos"/>
          <w:sz w:val="18"/>
          <w:szCs w:val="18"/>
        </w:rPr>
        <w:t xml:space="preserve">Australian Government, </w:t>
      </w:r>
      <w:r w:rsidRPr="002A3A6C">
        <w:rPr>
          <w:rFonts w:ascii="Aptos" w:hAnsi="Aptos"/>
          <w:sz w:val="18"/>
          <w:szCs w:val="18"/>
        </w:rPr>
        <w:t>accessed 17 October 2025.</w:t>
      </w:r>
    </w:p>
  </w:footnote>
  <w:footnote w:id="13">
    <w:p w14:paraId="3ED9ADCE" w14:textId="7FB3B565" w:rsidR="00271E05" w:rsidRPr="00E312E2" w:rsidRDefault="00271E05" w:rsidP="00271E05">
      <w:pPr>
        <w:pStyle w:val="FootnoteText"/>
        <w:rPr>
          <w:sz w:val="18"/>
          <w:szCs w:val="18"/>
        </w:rPr>
      </w:pPr>
      <w:r w:rsidRPr="002A3A6C">
        <w:rPr>
          <w:rStyle w:val="FootnoteReference"/>
          <w:rFonts w:ascii="Aptos" w:hAnsi="Aptos"/>
          <w:sz w:val="18"/>
          <w:szCs w:val="18"/>
        </w:rPr>
        <w:footnoteRef/>
      </w:r>
      <w:r w:rsidRPr="002A3A6C">
        <w:rPr>
          <w:rFonts w:ascii="Aptos" w:hAnsi="Aptos"/>
          <w:sz w:val="18"/>
          <w:szCs w:val="18"/>
        </w:rPr>
        <w:t xml:space="preserve"> Department of Industry, Science and Resources, </w:t>
      </w:r>
      <w:hyperlink r:id="rId13" w:history="1">
        <w:r w:rsidR="00CB2E0A" w:rsidRPr="002A3A6C">
          <w:rPr>
            <w:rStyle w:val="Hyperlink"/>
            <w:rFonts w:ascii="Aptos" w:hAnsi="Aptos"/>
            <w:i/>
            <w:iCs/>
            <w:sz w:val="18"/>
            <w:szCs w:val="18"/>
          </w:rPr>
          <w:t>Australian Industry Participation</w:t>
        </w:r>
      </w:hyperlink>
      <w:r w:rsidRPr="002A3A6C">
        <w:rPr>
          <w:rFonts w:ascii="Aptos" w:hAnsi="Aptos"/>
          <w:sz w:val="18"/>
          <w:szCs w:val="18"/>
        </w:rPr>
        <w:t xml:space="preserve">, DISR, </w:t>
      </w:r>
      <w:r w:rsidR="002A3A6C" w:rsidRPr="002A3A6C">
        <w:rPr>
          <w:rFonts w:ascii="Aptos" w:hAnsi="Aptos"/>
          <w:sz w:val="18"/>
          <w:szCs w:val="18"/>
        </w:rPr>
        <w:t xml:space="preserve">Australian Government, </w:t>
      </w:r>
      <w:r w:rsidRPr="002A3A6C">
        <w:rPr>
          <w:rFonts w:ascii="Aptos" w:hAnsi="Aptos"/>
          <w:sz w:val="18"/>
          <w:szCs w:val="18"/>
        </w:rPr>
        <w:t>accessed 25 August 2025.</w:t>
      </w:r>
    </w:p>
  </w:footnote>
  <w:footnote w:id="14">
    <w:p w14:paraId="3FED8E4E" w14:textId="70DA13A4" w:rsidR="00271E05" w:rsidRPr="009D7EFD" w:rsidRDefault="00271E05" w:rsidP="00271E05">
      <w:pPr>
        <w:pStyle w:val="FootnoteText"/>
        <w:rPr>
          <w:rFonts w:ascii="Aptos" w:hAnsi="Aptos"/>
          <w:i/>
          <w:sz w:val="18"/>
          <w:szCs w:val="18"/>
        </w:rPr>
      </w:pPr>
      <w:r w:rsidRPr="009D7EFD">
        <w:rPr>
          <w:rStyle w:val="FootnoteReference"/>
          <w:rFonts w:ascii="Aptos" w:hAnsi="Aptos"/>
          <w:sz w:val="18"/>
          <w:szCs w:val="18"/>
        </w:rPr>
        <w:footnoteRef/>
      </w:r>
      <w:r w:rsidRPr="009D7EFD">
        <w:rPr>
          <w:rFonts w:ascii="Aptos" w:hAnsi="Aptos"/>
          <w:sz w:val="18"/>
          <w:szCs w:val="18"/>
        </w:rPr>
        <w:t xml:space="preserve"> AusTender, </w:t>
      </w:r>
      <w:hyperlink r:id="rId14" w:history="1">
        <w:r w:rsidRPr="009D7EFD">
          <w:rPr>
            <w:rStyle w:val="Hyperlink"/>
            <w:rFonts w:ascii="Aptos" w:hAnsi="Aptos"/>
            <w:i/>
            <w:iCs/>
            <w:sz w:val="18"/>
            <w:szCs w:val="18"/>
          </w:rPr>
          <w:t>Contracts by Threshold</w:t>
        </w:r>
      </w:hyperlink>
      <w:r w:rsidRPr="009D7EFD">
        <w:rPr>
          <w:rFonts w:ascii="Aptos" w:hAnsi="Aptos"/>
          <w:sz w:val="18"/>
          <w:szCs w:val="18"/>
        </w:rPr>
        <w:t xml:space="preserve">, AusTender, </w:t>
      </w:r>
      <w:r w:rsidR="002A3A6C" w:rsidRPr="009D7EFD">
        <w:rPr>
          <w:rFonts w:ascii="Aptos" w:hAnsi="Aptos"/>
          <w:sz w:val="18"/>
          <w:szCs w:val="18"/>
        </w:rPr>
        <w:t xml:space="preserve">Australian Government, </w:t>
      </w:r>
      <w:r w:rsidRPr="009D7EFD">
        <w:rPr>
          <w:rFonts w:ascii="Aptos" w:hAnsi="Aptos"/>
          <w:sz w:val="18"/>
          <w:szCs w:val="18"/>
        </w:rPr>
        <w:t xml:space="preserve">accessed 28 August 2025. </w:t>
      </w:r>
    </w:p>
  </w:footnote>
  <w:footnote w:id="15">
    <w:p w14:paraId="17791158" w14:textId="6EFA3534" w:rsidR="00271E05" w:rsidRPr="00726D67" w:rsidRDefault="00271E05" w:rsidP="00271E05">
      <w:pPr>
        <w:pStyle w:val="FootnoteText"/>
      </w:pPr>
      <w:r w:rsidRPr="009D7EFD">
        <w:rPr>
          <w:rStyle w:val="FootnoteReference"/>
          <w:rFonts w:ascii="Aptos" w:hAnsi="Aptos"/>
          <w:sz w:val="18"/>
          <w:szCs w:val="18"/>
        </w:rPr>
        <w:footnoteRef/>
      </w:r>
      <w:r w:rsidRPr="009D7EFD">
        <w:rPr>
          <w:rFonts w:ascii="Aptos" w:hAnsi="Aptos"/>
          <w:sz w:val="18"/>
          <w:szCs w:val="18"/>
        </w:rPr>
        <w:t xml:space="preserve"> GrantConnect, </w:t>
      </w:r>
      <w:hyperlink r:id="rId15" w:history="1">
        <w:r w:rsidRPr="009D7EFD">
          <w:rPr>
            <w:rStyle w:val="Hyperlink"/>
            <w:rFonts w:ascii="Aptos" w:hAnsi="Aptos"/>
            <w:i/>
            <w:sz w:val="18"/>
            <w:szCs w:val="18"/>
          </w:rPr>
          <w:t>Grants Awarded by Agency,</w:t>
        </w:r>
      </w:hyperlink>
      <w:r w:rsidRPr="009D7EFD">
        <w:rPr>
          <w:rFonts w:ascii="Aptos" w:hAnsi="Aptos"/>
          <w:i/>
          <w:sz w:val="18"/>
          <w:szCs w:val="18"/>
        </w:rPr>
        <w:t xml:space="preserve"> </w:t>
      </w:r>
      <w:r w:rsidRPr="009D7EFD">
        <w:rPr>
          <w:rFonts w:ascii="Aptos" w:hAnsi="Aptos"/>
          <w:sz w:val="18"/>
          <w:szCs w:val="18"/>
        </w:rPr>
        <w:t xml:space="preserve">GrantConnect, </w:t>
      </w:r>
      <w:r w:rsidR="002A3A6C" w:rsidRPr="009D7EFD">
        <w:rPr>
          <w:rFonts w:ascii="Aptos" w:hAnsi="Aptos"/>
          <w:sz w:val="18"/>
          <w:szCs w:val="18"/>
        </w:rPr>
        <w:t xml:space="preserve">Australian Government, </w:t>
      </w:r>
      <w:r w:rsidRPr="009D7EFD">
        <w:rPr>
          <w:rFonts w:ascii="Aptos" w:hAnsi="Aptos"/>
          <w:sz w:val="18"/>
          <w:szCs w:val="18"/>
        </w:rPr>
        <w:t>(data extraction), accessed 17 October 2025.</w:t>
      </w:r>
    </w:p>
  </w:footnote>
  <w:footnote w:id="16">
    <w:p w14:paraId="1A9B09A1" w14:textId="73A9E99F" w:rsidR="00271E05" w:rsidRPr="009D7EFD" w:rsidRDefault="00271E05" w:rsidP="00271E05">
      <w:pPr>
        <w:pStyle w:val="FootnoteText"/>
        <w:rPr>
          <w:rFonts w:ascii="Aptos" w:hAnsi="Aptos"/>
          <w:sz w:val="18"/>
          <w:szCs w:val="18"/>
        </w:rPr>
      </w:pPr>
      <w:r w:rsidRPr="009D7EFD">
        <w:rPr>
          <w:rStyle w:val="FootnoteReference"/>
          <w:rFonts w:ascii="Aptos" w:hAnsi="Aptos"/>
          <w:sz w:val="18"/>
          <w:szCs w:val="18"/>
        </w:rPr>
        <w:footnoteRef/>
      </w:r>
      <w:r w:rsidRPr="009D7EFD">
        <w:rPr>
          <w:rFonts w:ascii="Aptos" w:hAnsi="Aptos"/>
          <w:sz w:val="18"/>
          <w:szCs w:val="18"/>
        </w:rPr>
        <w:t xml:space="preserve"> </w:t>
      </w:r>
      <w:r w:rsidR="000E7766" w:rsidRPr="009D7EFD">
        <w:rPr>
          <w:rFonts w:ascii="Aptos" w:hAnsi="Aptos"/>
          <w:sz w:val="18"/>
          <w:szCs w:val="18"/>
        </w:rPr>
        <w:t>Finance</w:t>
      </w:r>
      <w:r w:rsidRPr="009D7EFD">
        <w:rPr>
          <w:rFonts w:ascii="Aptos" w:hAnsi="Aptos"/>
          <w:sz w:val="18"/>
          <w:szCs w:val="18"/>
        </w:rPr>
        <w:t xml:space="preserve">, </w:t>
      </w:r>
      <w:hyperlink r:id="rId16" w:history="1">
        <w:r w:rsidRPr="009D7EFD">
          <w:rPr>
            <w:rStyle w:val="Hyperlink"/>
            <w:rFonts w:ascii="Aptos" w:hAnsi="Aptos"/>
            <w:i/>
            <w:iCs/>
            <w:sz w:val="18"/>
            <w:szCs w:val="18"/>
          </w:rPr>
          <w:t>Commonwealth Procurement Rules</w:t>
        </w:r>
      </w:hyperlink>
      <w:r w:rsidRPr="009D7EFD">
        <w:rPr>
          <w:rFonts w:ascii="Aptos" w:hAnsi="Aptos"/>
          <w:sz w:val="18"/>
          <w:szCs w:val="18"/>
        </w:rPr>
        <w:t xml:space="preserve">, </w:t>
      </w:r>
      <w:r w:rsidR="000E7766" w:rsidRPr="009D7EFD">
        <w:rPr>
          <w:rFonts w:ascii="Aptos" w:hAnsi="Aptos"/>
          <w:sz w:val="18"/>
          <w:szCs w:val="18"/>
        </w:rPr>
        <w:t>Finance</w:t>
      </w:r>
      <w:r w:rsidRPr="009D7EFD">
        <w:rPr>
          <w:rFonts w:ascii="Aptos" w:hAnsi="Aptos"/>
          <w:sz w:val="18"/>
          <w:szCs w:val="18"/>
        </w:rPr>
        <w:t xml:space="preserve">, </w:t>
      </w:r>
      <w:r w:rsidR="00BD4FD1">
        <w:rPr>
          <w:rFonts w:ascii="Aptos" w:hAnsi="Aptos"/>
          <w:sz w:val="18"/>
          <w:szCs w:val="18"/>
        </w:rPr>
        <w:t>Australian Government</w:t>
      </w:r>
      <w:r w:rsidR="00D27FED">
        <w:rPr>
          <w:rFonts w:ascii="Aptos" w:hAnsi="Aptos"/>
          <w:sz w:val="18"/>
          <w:szCs w:val="18"/>
        </w:rPr>
        <w:t xml:space="preserve">, </w:t>
      </w:r>
      <w:r w:rsidRPr="009D7EFD">
        <w:rPr>
          <w:rFonts w:ascii="Aptos" w:hAnsi="Aptos"/>
          <w:sz w:val="18"/>
          <w:szCs w:val="18"/>
        </w:rPr>
        <w:t>202</w:t>
      </w:r>
      <w:r w:rsidR="00D27FED">
        <w:rPr>
          <w:rFonts w:ascii="Aptos" w:hAnsi="Aptos"/>
          <w:sz w:val="18"/>
          <w:szCs w:val="18"/>
        </w:rPr>
        <w:t>5</w:t>
      </w:r>
      <w:r w:rsidRPr="009D7EFD">
        <w:rPr>
          <w:rFonts w:ascii="Aptos" w:hAnsi="Aptos"/>
          <w:sz w:val="18"/>
          <w:szCs w:val="18"/>
        </w:rPr>
        <w:t xml:space="preserve">, accessed </w:t>
      </w:r>
      <w:r w:rsidR="00D27FED">
        <w:rPr>
          <w:rFonts w:ascii="Aptos" w:hAnsi="Aptos"/>
          <w:sz w:val="18"/>
          <w:szCs w:val="18"/>
        </w:rPr>
        <w:t>11 December</w:t>
      </w:r>
      <w:r w:rsidRPr="009D7EFD">
        <w:rPr>
          <w:rFonts w:ascii="Aptos" w:hAnsi="Aptos"/>
          <w:sz w:val="18"/>
          <w:szCs w:val="18"/>
        </w:rPr>
        <w:t xml:space="preserve"> 2025.</w:t>
      </w:r>
    </w:p>
  </w:footnote>
  <w:footnote w:id="17">
    <w:p w14:paraId="48CD22DB" w14:textId="68BE3690" w:rsidR="00271E05" w:rsidRPr="00E87AF5" w:rsidRDefault="00271E05" w:rsidP="00271E05">
      <w:pPr>
        <w:pStyle w:val="FootnoteText"/>
        <w:rPr>
          <w:rFonts w:ascii="Aptos" w:hAnsi="Aptos"/>
          <w:sz w:val="18"/>
          <w:szCs w:val="18"/>
        </w:rPr>
      </w:pPr>
      <w:r w:rsidRPr="00E87AF5">
        <w:rPr>
          <w:rStyle w:val="FootnoteReference"/>
          <w:rFonts w:ascii="Aptos" w:hAnsi="Aptos"/>
          <w:sz w:val="18"/>
          <w:szCs w:val="18"/>
        </w:rPr>
        <w:footnoteRef/>
      </w:r>
      <w:r w:rsidRPr="00E87AF5">
        <w:rPr>
          <w:rFonts w:ascii="Aptos" w:hAnsi="Aptos"/>
          <w:sz w:val="18"/>
          <w:szCs w:val="18"/>
        </w:rPr>
        <w:t xml:space="preserve"> </w:t>
      </w:r>
      <w:r w:rsidR="000E7766" w:rsidRPr="00E87AF5">
        <w:rPr>
          <w:rFonts w:ascii="Aptos" w:hAnsi="Aptos"/>
          <w:sz w:val="18"/>
          <w:szCs w:val="18"/>
        </w:rPr>
        <w:t>Finance</w:t>
      </w:r>
      <w:r w:rsidRPr="00E87AF5">
        <w:rPr>
          <w:rFonts w:ascii="Aptos" w:hAnsi="Aptos"/>
          <w:sz w:val="18"/>
          <w:szCs w:val="18"/>
        </w:rPr>
        <w:t>, </w:t>
      </w:r>
      <w:hyperlink r:id="rId17" w:history="1">
        <w:r w:rsidR="00D2790D" w:rsidRPr="00E87AF5">
          <w:rPr>
            <w:rStyle w:val="Hyperlink"/>
            <w:rFonts w:ascii="Aptos" w:hAnsi="Aptos"/>
            <w:i/>
            <w:iCs/>
            <w:sz w:val="18"/>
            <w:szCs w:val="18"/>
          </w:rPr>
          <w:t>Termination for Cause</w:t>
        </w:r>
      </w:hyperlink>
      <w:r w:rsidR="00D2790D" w:rsidRPr="00E87AF5">
        <w:rPr>
          <w:rFonts w:ascii="Aptos" w:hAnsi="Aptos"/>
          <w:sz w:val="18"/>
          <w:szCs w:val="18"/>
        </w:rPr>
        <w:t xml:space="preserve">, </w:t>
      </w:r>
      <w:r w:rsidR="000E7766" w:rsidRPr="00E87AF5">
        <w:rPr>
          <w:rFonts w:ascii="Aptos" w:hAnsi="Aptos"/>
          <w:sz w:val="18"/>
          <w:szCs w:val="18"/>
        </w:rPr>
        <w:t>Finance</w:t>
      </w:r>
      <w:r w:rsidRPr="00E87AF5">
        <w:rPr>
          <w:rFonts w:ascii="Aptos" w:hAnsi="Aptos"/>
          <w:sz w:val="18"/>
          <w:szCs w:val="18"/>
        </w:rPr>
        <w:t>,</w:t>
      </w:r>
      <w:r w:rsidR="009D7EFD" w:rsidRPr="00E87AF5">
        <w:rPr>
          <w:rFonts w:ascii="Aptos" w:hAnsi="Aptos"/>
          <w:sz w:val="18"/>
          <w:szCs w:val="18"/>
        </w:rPr>
        <w:t xml:space="preserve"> Australian Government</w:t>
      </w:r>
      <w:r w:rsidR="004B30B7" w:rsidRPr="00E87AF5">
        <w:rPr>
          <w:rFonts w:ascii="Aptos" w:hAnsi="Aptos"/>
          <w:sz w:val="18"/>
          <w:szCs w:val="18"/>
        </w:rPr>
        <w:t>,</w:t>
      </w:r>
      <w:r w:rsidRPr="00E87AF5">
        <w:rPr>
          <w:rFonts w:ascii="Aptos" w:hAnsi="Aptos"/>
          <w:sz w:val="18"/>
          <w:szCs w:val="18"/>
        </w:rPr>
        <w:t xml:space="preserve"> 2025, accessed 25 August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E2D" w14:textId="0D055F1D" w:rsidR="00090C7F" w:rsidRDefault="00090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D1BD" w14:textId="733F3ECB" w:rsidR="00EA67FC" w:rsidRDefault="00EA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365D" w14:textId="28638581" w:rsidR="00090C7F" w:rsidRDefault="0009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831"/>
        </w:tabs>
        <w:ind w:left="1831"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5E8F"/>
    <w:multiLevelType w:val="hybridMultilevel"/>
    <w:tmpl w:val="3DEE51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FA40F9"/>
    <w:multiLevelType w:val="hybridMultilevel"/>
    <w:tmpl w:val="ADBEF6E0"/>
    <w:lvl w:ilvl="0" w:tplc="0C090001">
      <w:start w:val="1"/>
      <w:numFmt w:val="bullet"/>
      <w:lvlText w:val=""/>
      <w:lvlJc w:val="left"/>
      <w:pPr>
        <w:ind w:left="611" w:hanging="360"/>
      </w:pPr>
      <w:rPr>
        <w:rFonts w:ascii="Symbol" w:hAnsi="Symbol"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13"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29D92C2C"/>
    <w:multiLevelType w:val="hybridMultilevel"/>
    <w:tmpl w:val="C1F8D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AB38E5"/>
    <w:multiLevelType w:val="hybridMultilevel"/>
    <w:tmpl w:val="B60A0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3F10ED"/>
    <w:multiLevelType w:val="hybridMultilevel"/>
    <w:tmpl w:val="96B2D5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7622CF"/>
    <w:multiLevelType w:val="hybridMultilevel"/>
    <w:tmpl w:val="181EA8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B93532"/>
    <w:multiLevelType w:val="hybridMultilevel"/>
    <w:tmpl w:val="0CEC0738"/>
    <w:lvl w:ilvl="0" w:tplc="67A458B6">
      <w:start w:val="1"/>
      <w:numFmt w:val="bullet"/>
      <w:lvlText w:val=""/>
      <w:lvlJc w:val="left"/>
      <w:pPr>
        <w:ind w:left="1080" w:hanging="360"/>
      </w:pPr>
      <w:rPr>
        <w:rFonts w:ascii="Symbol" w:hAnsi="Symbol"/>
      </w:rPr>
    </w:lvl>
    <w:lvl w:ilvl="1" w:tplc="D966A46C">
      <w:start w:val="1"/>
      <w:numFmt w:val="bullet"/>
      <w:lvlText w:val=""/>
      <w:lvlJc w:val="left"/>
      <w:pPr>
        <w:ind w:left="1080" w:hanging="360"/>
      </w:pPr>
      <w:rPr>
        <w:rFonts w:ascii="Symbol" w:hAnsi="Symbol"/>
      </w:rPr>
    </w:lvl>
    <w:lvl w:ilvl="2" w:tplc="4B2E8B60">
      <w:start w:val="1"/>
      <w:numFmt w:val="bullet"/>
      <w:lvlText w:val=""/>
      <w:lvlJc w:val="left"/>
      <w:pPr>
        <w:ind w:left="1080" w:hanging="360"/>
      </w:pPr>
      <w:rPr>
        <w:rFonts w:ascii="Symbol" w:hAnsi="Symbol"/>
      </w:rPr>
    </w:lvl>
    <w:lvl w:ilvl="3" w:tplc="75A47DD0">
      <w:start w:val="1"/>
      <w:numFmt w:val="bullet"/>
      <w:lvlText w:val=""/>
      <w:lvlJc w:val="left"/>
      <w:pPr>
        <w:ind w:left="1080" w:hanging="360"/>
      </w:pPr>
      <w:rPr>
        <w:rFonts w:ascii="Symbol" w:hAnsi="Symbol"/>
      </w:rPr>
    </w:lvl>
    <w:lvl w:ilvl="4" w:tplc="F160AA82">
      <w:start w:val="1"/>
      <w:numFmt w:val="bullet"/>
      <w:lvlText w:val=""/>
      <w:lvlJc w:val="left"/>
      <w:pPr>
        <w:ind w:left="1080" w:hanging="360"/>
      </w:pPr>
      <w:rPr>
        <w:rFonts w:ascii="Symbol" w:hAnsi="Symbol"/>
      </w:rPr>
    </w:lvl>
    <w:lvl w:ilvl="5" w:tplc="C5C48DC6">
      <w:start w:val="1"/>
      <w:numFmt w:val="bullet"/>
      <w:lvlText w:val=""/>
      <w:lvlJc w:val="left"/>
      <w:pPr>
        <w:ind w:left="1080" w:hanging="360"/>
      </w:pPr>
      <w:rPr>
        <w:rFonts w:ascii="Symbol" w:hAnsi="Symbol"/>
      </w:rPr>
    </w:lvl>
    <w:lvl w:ilvl="6" w:tplc="6E16B480">
      <w:start w:val="1"/>
      <w:numFmt w:val="bullet"/>
      <w:lvlText w:val=""/>
      <w:lvlJc w:val="left"/>
      <w:pPr>
        <w:ind w:left="1080" w:hanging="360"/>
      </w:pPr>
      <w:rPr>
        <w:rFonts w:ascii="Symbol" w:hAnsi="Symbol"/>
      </w:rPr>
    </w:lvl>
    <w:lvl w:ilvl="7" w:tplc="37AAD864">
      <w:start w:val="1"/>
      <w:numFmt w:val="bullet"/>
      <w:lvlText w:val=""/>
      <w:lvlJc w:val="left"/>
      <w:pPr>
        <w:ind w:left="1080" w:hanging="360"/>
      </w:pPr>
      <w:rPr>
        <w:rFonts w:ascii="Symbol" w:hAnsi="Symbol"/>
      </w:rPr>
    </w:lvl>
    <w:lvl w:ilvl="8" w:tplc="378442F4">
      <w:start w:val="1"/>
      <w:numFmt w:val="bullet"/>
      <w:lvlText w:val=""/>
      <w:lvlJc w:val="left"/>
      <w:pPr>
        <w:ind w:left="1080" w:hanging="360"/>
      </w:pPr>
      <w:rPr>
        <w:rFonts w:ascii="Symbol" w:hAnsi="Symbol"/>
      </w:rPr>
    </w:lvl>
  </w:abstractNum>
  <w:abstractNum w:abstractNumId="21" w15:restartNumberingAfterBreak="0">
    <w:nsid w:val="61C646C7"/>
    <w:multiLevelType w:val="hybridMultilevel"/>
    <w:tmpl w:val="1F08F86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68490BCD"/>
    <w:multiLevelType w:val="hybridMultilevel"/>
    <w:tmpl w:val="547EBD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AF69CA"/>
    <w:multiLevelType w:val="hybridMultilevel"/>
    <w:tmpl w:val="234C5C66"/>
    <w:lvl w:ilvl="0" w:tplc="0C090001">
      <w:start w:val="1"/>
      <w:numFmt w:val="bullet"/>
      <w:lvlText w:val=""/>
      <w:lvlJc w:val="left"/>
      <w:pPr>
        <w:ind w:left="720" w:hanging="360"/>
      </w:pPr>
      <w:rPr>
        <w:rFonts w:ascii="Symbol" w:hAnsi="Symbo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0096470">
    <w:abstractNumId w:val="9"/>
  </w:num>
  <w:num w:numId="2" w16cid:durableId="1647465914">
    <w:abstractNumId w:val="7"/>
  </w:num>
  <w:num w:numId="3" w16cid:durableId="1515999598">
    <w:abstractNumId w:val="6"/>
  </w:num>
  <w:num w:numId="4" w16cid:durableId="1710911546">
    <w:abstractNumId w:val="5"/>
  </w:num>
  <w:num w:numId="5" w16cid:durableId="1105229916">
    <w:abstractNumId w:val="4"/>
  </w:num>
  <w:num w:numId="6" w16cid:durableId="217056741">
    <w:abstractNumId w:val="8"/>
  </w:num>
  <w:num w:numId="7" w16cid:durableId="12417967">
    <w:abstractNumId w:val="3"/>
  </w:num>
  <w:num w:numId="8" w16cid:durableId="1390764340">
    <w:abstractNumId w:val="2"/>
  </w:num>
  <w:num w:numId="9" w16cid:durableId="231473955">
    <w:abstractNumId w:val="1"/>
  </w:num>
  <w:num w:numId="10" w16cid:durableId="1738477065">
    <w:abstractNumId w:val="0"/>
  </w:num>
  <w:num w:numId="11" w16cid:durableId="1618096227">
    <w:abstractNumId w:val="11"/>
  </w:num>
  <w:num w:numId="12" w16cid:durableId="1593397953">
    <w:abstractNumId w:val="16"/>
  </w:num>
  <w:num w:numId="13" w16cid:durableId="1732926391">
    <w:abstractNumId w:val="17"/>
  </w:num>
  <w:num w:numId="14" w16cid:durableId="737820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6342039">
    <w:abstractNumId w:val="16"/>
  </w:num>
  <w:num w:numId="16" w16cid:durableId="772162969">
    <w:abstractNumId w:val="17"/>
  </w:num>
  <w:num w:numId="17" w16cid:durableId="1766225347">
    <w:abstractNumId w:val="11"/>
  </w:num>
  <w:num w:numId="18" w16cid:durableId="1968930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180130">
    <w:abstractNumId w:val="18"/>
  </w:num>
  <w:num w:numId="20" w16cid:durableId="407965652">
    <w:abstractNumId w:val="21"/>
  </w:num>
  <w:num w:numId="21" w16cid:durableId="1813906101">
    <w:abstractNumId w:val="13"/>
  </w:num>
  <w:num w:numId="22" w16cid:durableId="1918202543">
    <w:abstractNumId w:val="22"/>
  </w:num>
  <w:num w:numId="23" w16cid:durableId="1933780337">
    <w:abstractNumId w:val="12"/>
  </w:num>
  <w:num w:numId="24" w16cid:durableId="1566456171">
    <w:abstractNumId w:val="10"/>
  </w:num>
  <w:num w:numId="25" w16cid:durableId="791096561">
    <w:abstractNumId w:val="19"/>
  </w:num>
  <w:num w:numId="26" w16cid:durableId="125860548">
    <w:abstractNumId w:val="23"/>
  </w:num>
  <w:num w:numId="27" w16cid:durableId="1812211264">
    <w:abstractNumId w:val="14"/>
  </w:num>
  <w:num w:numId="28" w16cid:durableId="1466971840">
    <w:abstractNumId w:val="15"/>
  </w:num>
  <w:num w:numId="29" w16cid:durableId="81538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166C"/>
    <w:rsid w:val="00002C12"/>
    <w:rsid w:val="00005989"/>
    <w:rsid w:val="00010567"/>
    <w:rsid w:val="00010CCE"/>
    <w:rsid w:val="00014526"/>
    <w:rsid w:val="00021160"/>
    <w:rsid w:val="00021AFF"/>
    <w:rsid w:val="00021D60"/>
    <w:rsid w:val="0003098F"/>
    <w:rsid w:val="00031080"/>
    <w:rsid w:val="0003146A"/>
    <w:rsid w:val="000315D3"/>
    <w:rsid w:val="00031A6C"/>
    <w:rsid w:val="00032F8E"/>
    <w:rsid w:val="00033503"/>
    <w:rsid w:val="00033C89"/>
    <w:rsid w:val="00035D76"/>
    <w:rsid w:val="00037449"/>
    <w:rsid w:val="0004023E"/>
    <w:rsid w:val="0004117E"/>
    <w:rsid w:val="00041E01"/>
    <w:rsid w:val="0004279E"/>
    <w:rsid w:val="00043744"/>
    <w:rsid w:val="00050464"/>
    <w:rsid w:val="00052BBC"/>
    <w:rsid w:val="00053554"/>
    <w:rsid w:val="00062D77"/>
    <w:rsid w:val="00064BB9"/>
    <w:rsid w:val="00064F0C"/>
    <w:rsid w:val="0006526B"/>
    <w:rsid w:val="00065CD8"/>
    <w:rsid w:val="00066E24"/>
    <w:rsid w:val="00071035"/>
    <w:rsid w:val="000764A7"/>
    <w:rsid w:val="00076824"/>
    <w:rsid w:val="0008133F"/>
    <w:rsid w:val="00082081"/>
    <w:rsid w:val="00084CD3"/>
    <w:rsid w:val="00085E7A"/>
    <w:rsid w:val="000869E6"/>
    <w:rsid w:val="00090C7F"/>
    <w:rsid w:val="000A1187"/>
    <w:rsid w:val="000A453D"/>
    <w:rsid w:val="000A4EE6"/>
    <w:rsid w:val="000A50E8"/>
    <w:rsid w:val="000B356A"/>
    <w:rsid w:val="000B4ED6"/>
    <w:rsid w:val="000B5958"/>
    <w:rsid w:val="000B7ABD"/>
    <w:rsid w:val="000B7DFD"/>
    <w:rsid w:val="000C16B4"/>
    <w:rsid w:val="000C3579"/>
    <w:rsid w:val="000C49EE"/>
    <w:rsid w:val="000C4DB8"/>
    <w:rsid w:val="000D39B4"/>
    <w:rsid w:val="000D5758"/>
    <w:rsid w:val="000D6C5F"/>
    <w:rsid w:val="000D7382"/>
    <w:rsid w:val="000E0E6A"/>
    <w:rsid w:val="000E1940"/>
    <w:rsid w:val="000E3D80"/>
    <w:rsid w:val="000E6E33"/>
    <w:rsid w:val="000E7766"/>
    <w:rsid w:val="000F4D9F"/>
    <w:rsid w:val="000F603A"/>
    <w:rsid w:val="000F6563"/>
    <w:rsid w:val="00101520"/>
    <w:rsid w:val="0010703A"/>
    <w:rsid w:val="00110199"/>
    <w:rsid w:val="0011444B"/>
    <w:rsid w:val="001151AD"/>
    <w:rsid w:val="001179C5"/>
    <w:rsid w:val="00117B35"/>
    <w:rsid w:val="00120A0F"/>
    <w:rsid w:val="00121EF8"/>
    <w:rsid w:val="00125771"/>
    <w:rsid w:val="0013378B"/>
    <w:rsid w:val="00134201"/>
    <w:rsid w:val="00136651"/>
    <w:rsid w:val="001378D6"/>
    <w:rsid w:val="00137BC4"/>
    <w:rsid w:val="00140127"/>
    <w:rsid w:val="00143A40"/>
    <w:rsid w:val="0014796E"/>
    <w:rsid w:val="0015033E"/>
    <w:rsid w:val="00155C53"/>
    <w:rsid w:val="00157F35"/>
    <w:rsid w:val="00162B19"/>
    <w:rsid w:val="001722F3"/>
    <w:rsid w:val="00184238"/>
    <w:rsid w:val="001914D2"/>
    <w:rsid w:val="0019770F"/>
    <w:rsid w:val="001A1003"/>
    <w:rsid w:val="001A4678"/>
    <w:rsid w:val="001B4835"/>
    <w:rsid w:val="001B5176"/>
    <w:rsid w:val="001B77E2"/>
    <w:rsid w:val="001C302B"/>
    <w:rsid w:val="001C30E0"/>
    <w:rsid w:val="001C3C79"/>
    <w:rsid w:val="001C3D8A"/>
    <w:rsid w:val="001C3FE8"/>
    <w:rsid w:val="001D2F18"/>
    <w:rsid w:val="001D45A2"/>
    <w:rsid w:val="001D6318"/>
    <w:rsid w:val="001E0792"/>
    <w:rsid w:val="001E2442"/>
    <w:rsid w:val="001E6DBF"/>
    <w:rsid w:val="001E71D0"/>
    <w:rsid w:val="001F457D"/>
    <w:rsid w:val="001F6F1B"/>
    <w:rsid w:val="001F7094"/>
    <w:rsid w:val="002018C2"/>
    <w:rsid w:val="00202758"/>
    <w:rsid w:val="00202E83"/>
    <w:rsid w:val="0020365E"/>
    <w:rsid w:val="00205F03"/>
    <w:rsid w:val="00207C1E"/>
    <w:rsid w:val="00212134"/>
    <w:rsid w:val="00215E89"/>
    <w:rsid w:val="00217EAB"/>
    <w:rsid w:val="0022262D"/>
    <w:rsid w:val="002239C5"/>
    <w:rsid w:val="0022498C"/>
    <w:rsid w:val="002250EC"/>
    <w:rsid w:val="00226953"/>
    <w:rsid w:val="00226A4B"/>
    <w:rsid w:val="00236900"/>
    <w:rsid w:val="00240708"/>
    <w:rsid w:val="00242BAE"/>
    <w:rsid w:val="00247131"/>
    <w:rsid w:val="0025175B"/>
    <w:rsid w:val="00267EF8"/>
    <w:rsid w:val="00271E05"/>
    <w:rsid w:val="002724D0"/>
    <w:rsid w:val="00277AD3"/>
    <w:rsid w:val="00282FB5"/>
    <w:rsid w:val="002873BB"/>
    <w:rsid w:val="0029170A"/>
    <w:rsid w:val="00294474"/>
    <w:rsid w:val="002944F8"/>
    <w:rsid w:val="00295F90"/>
    <w:rsid w:val="002A3A6C"/>
    <w:rsid w:val="002A3A9D"/>
    <w:rsid w:val="002B1CE5"/>
    <w:rsid w:val="002B40A2"/>
    <w:rsid w:val="002B68E4"/>
    <w:rsid w:val="002C08CD"/>
    <w:rsid w:val="002C1B05"/>
    <w:rsid w:val="002C500C"/>
    <w:rsid w:val="002C58E6"/>
    <w:rsid w:val="002D1E66"/>
    <w:rsid w:val="002D7982"/>
    <w:rsid w:val="002E1777"/>
    <w:rsid w:val="002E1CCE"/>
    <w:rsid w:val="002E30CF"/>
    <w:rsid w:val="002E3A73"/>
    <w:rsid w:val="002E4EB0"/>
    <w:rsid w:val="002E5C90"/>
    <w:rsid w:val="002E706A"/>
    <w:rsid w:val="002E7183"/>
    <w:rsid w:val="002E7BFF"/>
    <w:rsid w:val="002F185B"/>
    <w:rsid w:val="002F21BA"/>
    <w:rsid w:val="002F4DB3"/>
    <w:rsid w:val="002F5F55"/>
    <w:rsid w:val="00300230"/>
    <w:rsid w:val="0030074F"/>
    <w:rsid w:val="00301987"/>
    <w:rsid w:val="00302561"/>
    <w:rsid w:val="003035A5"/>
    <w:rsid w:val="00305BA4"/>
    <w:rsid w:val="00311074"/>
    <w:rsid w:val="00311EC2"/>
    <w:rsid w:val="003135C1"/>
    <w:rsid w:val="00317BA4"/>
    <w:rsid w:val="00320964"/>
    <w:rsid w:val="00321A41"/>
    <w:rsid w:val="00323A62"/>
    <w:rsid w:val="00324AE4"/>
    <w:rsid w:val="00325327"/>
    <w:rsid w:val="00325FE7"/>
    <w:rsid w:val="0033286A"/>
    <w:rsid w:val="00333540"/>
    <w:rsid w:val="00336934"/>
    <w:rsid w:val="00337D19"/>
    <w:rsid w:val="00350FFA"/>
    <w:rsid w:val="00351836"/>
    <w:rsid w:val="0037256A"/>
    <w:rsid w:val="003750DF"/>
    <w:rsid w:val="00376A29"/>
    <w:rsid w:val="00382A53"/>
    <w:rsid w:val="00382F07"/>
    <w:rsid w:val="0038646F"/>
    <w:rsid w:val="00391902"/>
    <w:rsid w:val="003934CC"/>
    <w:rsid w:val="003948E5"/>
    <w:rsid w:val="00394C5A"/>
    <w:rsid w:val="003A6518"/>
    <w:rsid w:val="003B0FFD"/>
    <w:rsid w:val="003B12DA"/>
    <w:rsid w:val="003B2CA2"/>
    <w:rsid w:val="003B61F7"/>
    <w:rsid w:val="003B7B03"/>
    <w:rsid w:val="003C5BB1"/>
    <w:rsid w:val="003D0EE8"/>
    <w:rsid w:val="003E0D41"/>
    <w:rsid w:val="003E482A"/>
    <w:rsid w:val="003E6E1B"/>
    <w:rsid w:val="003F11AC"/>
    <w:rsid w:val="003F16FC"/>
    <w:rsid w:val="003F4DDF"/>
    <w:rsid w:val="003F4EED"/>
    <w:rsid w:val="0041092A"/>
    <w:rsid w:val="004134B1"/>
    <w:rsid w:val="004138D4"/>
    <w:rsid w:val="00413CA0"/>
    <w:rsid w:val="00420273"/>
    <w:rsid w:val="00420331"/>
    <w:rsid w:val="004279A6"/>
    <w:rsid w:val="0043215D"/>
    <w:rsid w:val="00436909"/>
    <w:rsid w:val="00437A25"/>
    <w:rsid w:val="00440D2D"/>
    <w:rsid w:val="00442B4B"/>
    <w:rsid w:val="004440C6"/>
    <w:rsid w:val="00451CF8"/>
    <w:rsid w:val="00453C04"/>
    <w:rsid w:val="00453CCE"/>
    <w:rsid w:val="004623E4"/>
    <w:rsid w:val="00463B23"/>
    <w:rsid w:val="00463B2D"/>
    <w:rsid w:val="00463D43"/>
    <w:rsid w:val="00467AF7"/>
    <w:rsid w:val="00470065"/>
    <w:rsid w:val="0047432B"/>
    <w:rsid w:val="0047612A"/>
    <w:rsid w:val="00477A43"/>
    <w:rsid w:val="00486A9E"/>
    <w:rsid w:val="00487D12"/>
    <w:rsid w:val="004959B6"/>
    <w:rsid w:val="00495BD0"/>
    <w:rsid w:val="00497261"/>
    <w:rsid w:val="00497764"/>
    <w:rsid w:val="004A1A8A"/>
    <w:rsid w:val="004B2B3A"/>
    <w:rsid w:val="004B30B7"/>
    <w:rsid w:val="004B4CB1"/>
    <w:rsid w:val="004B5AD0"/>
    <w:rsid w:val="004B6119"/>
    <w:rsid w:val="004C537D"/>
    <w:rsid w:val="004D009B"/>
    <w:rsid w:val="004D6A15"/>
    <w:rsid w:val="004E1CB8"/>
    <w:rsid w:val="004E695E"/>
    <w:rsid w:val="004F36EE"/>
    <w:rsid w:val="004F50E2"/>
    <w:rsid w:val="00503BD0"/>
    <w:rsid w:val="00504E10"/>
    <w:rsid w:val="0050724C"/>
    <w:rsid w:val="00507980"/>
    <w:rsid w:val="0051352E"/>
    <w:rsid w:val="00517DA7"/>
    <w:rsid w:val="00520A33"/>
    <w:rsid w:val="005242E0"/>
    <w:rsid w:val="00524C92"/>
    <w:rsid w:val="00527749"/>
    <w:rsid w:val="00527AE4"/>
    <w:rsid w:val="00534842"/>
    <w:rsid w:val="005425C2"/>
    <w:rsid w:val="005425FB"/>
    <w:rsid w:val="00544CC2"/>
    <w:rsid w:val="0054684E"/>
    <w:rsid w:val="005472CA"/>
    <w:rsid w:val="0055053D"/>
    <w:rsid w:val="00553909"/>
    <w:rsid w:val="00554913"/>
    <w:rsid w:val="00557964"/>
    <w:rsid w:val="0056217F"/>
    <w:rsid w:val="00563D6D"/>
    <w:rsid w:val="005678D9"/>
    <w:rsid w:val="0058194E"/>
    <w:rsid w:val="00583563"/>
    <w:rsid w:val="0058535E"/>
    <w:rsid w:val="005876E6"/>
    <w:rsid w:val="00591895"/>
    <w:rsid w:val="00592E86"/>
    <w:rsid w:val="00592F37"/>
    <w:rsid w:val="00596423"/>
    <w:rsid w:val="005B3E8B"/>
    <w:rsid w:val="005B4498"/>
    <w:rsid w:val="005B56AD"/>
    <w:rsid w:val="005B6132"/>
    <w:rsid w:val="005C01B9"/>
    <w:rsid w:val="005C1237"/>
    <w:rsid w:val="005C1588"/>
    <w:rsid w:val="005C5832"/>
    <w:rsid w:val="005D29FE"/>
    <w:rsid w:val="005D332F"/>
    <w:rsid w:val="005D3F9E"/>
    <w:rsid w:val="005D53BA"/>
    <w:rsid w:val="005D5728"/>
    <w:rsid w:val="005D7811"/>
    <w:rsid w:val="005D7B33"/>
    <w:rsid w:val="005E01CC"/>
    <w:rsid w:val="005E09B9"/>
    <w:rsid w:val="005E0E65"/>
    <w:rsid w:val="005E2983"/>
    <w:rsid w:val="005F0E81"/>
    <w:rsid w:val="005F1BE6"/>
    <w:rsid w:val="005F24DC"/>
    <w:rsid w:val="005F3A4D"/>
    <w:rsid w:val="005F3CB6"/>
    <w:rsid w:val="005F4E57"/>
    <w:rsid w:val="006009E3"/>
    <w:rsid w:val="00601E74"/>
    <w:rsid w:val="0060380C"/>
    <w:rsid w:val="00607100"/>
    <w:rsid w:val="0061015E"/>
    <w:rsid w:val="00612DDD"/>
    <w:rsid w:val="0061389B"/>
    <w:rsid w:val="00621D49"/>
    <w:rsid w:val="00627D59"/>
    <w:rsid w:val="00630DDF"/>
    <w:rsid w:val="00631A1D"/>
    <w:rsid w:val="00640A33"/>
    <w:rsid w:val="006507AC"/>
    <w:rsid w:val="00650D6A"/>
    <w:rsid w:val="00662B84"/>
    <w:rsid w:val="0066465D"/>
    <w:rsid w:val="00671BF7"/>
    <w:rsid w:val="00673A17"/>
    <w:rsid w:val="006837EB"/>
    <w:rsid w:val="00685B7F"/>
    <w:rsid w:val="00686434"/>
    <w:rsid w:val="006951E0"/>
    <w:rsid w:val="0069633E"/>
    <w:rsid w:val="00697CD6"/>
    <w:rsid w:val="006A5564"/>
    <w:rsid w:val="006B310B"/>
    <w:rsid w:val="006C0777"/>
    <w:rsid w:val="006C0F3A"/>
    <w:rsid w:val="006C2C41"/>
    <w:rsid w:val="006C6FEB"/>
    <w:rsid w:val="006E45F2"/>
    <w:rsid w:val="006E5D6E"/>
    <w:rsid w:val="006E770B"/>
    <w:rsid w:val="006F07E0"/>
    <w:rsid w:val="006F6BD1"/>
    <w:rsid w:val="006F701E"/>
    <w:rsid w:val="007041E0"/>
    <w:rsid w:val="0071061E"/>
    <w:rsid w:val="00712AFA"/>
    <w:rsid w:val="00715454"/>
    <w:rsid w:val="007164CC"/>
    <w:rsid w:val="00721B03"/>
    <w:rsid w:val="00722542"/>
    <w:rsid w:val="0073563E"/>
    <w:rsid w:val="00740228"/>
    <w:rsid w:val="00743EA1"/>
    <w:rsid w:val="007463F7"/>
    <w:rsid w:val="00751315"/>
    <w:rsid w:val="0075303A"/>
    <w:rsid w:val="00753C90"/>
    <w:rsid w:val="0075568D"/>
    <w:rsid w:val="007564DF"/>
    <w:rsid w:val="007570C2"/>
    <w:rsid w:val="00760B25"/>
    <w:rsid w:val="00761EC4"/>
    <w:rsid w:val="00762E67"/>
    <w:rsid w:val="00764286"/>
    <w:rsid w:val="00766561"/>
    <w:rsid w:val="00771910"/>
    <w:rsid w:val="00776507"/>
    <w:rsid w:val="00781C68"/>
    <w:rsid w:val="007855CC"/>
    <w:rsid w:val="00787D6E"/>
    <w:rsid w:val="00796190"/>
    <w:rsid w:val="007A0E31"/>
    <w:rsid w:val="007A49DA"/>
    <w:rsid w:val="007A643D"/>
    <w:rsid w:val="007B1ABA"/>
    <w:rsid w:val="007B3947"/>
    <w:rsid w:val="007B3F4A"/>
    <w:rsid w:val="007B4753"/>
    <w:rsid w:val="007B4CAC"/>
    <w:rsid w:val="007B5058"/>
    <w:rsid w:val="007B7128"/>
    <w:rsid w:val="007B74C5"/>
    <w:rsid w:val="007C3ABF"/>
    <w:rsid w:val="007D12C4"/>
    <w:rsid w:val="007D1AA0"/>
    <w:rsid w:val="007D5C49"/>
    <w:rsid w:val="007E02F1"/>
    <w:rsid w:val="007E3A2C"/>
    <w:rsid w:val="007E66BD"/>
    <w:rsid w:val="007E7835"/>
    <w:rsid w:val="007F0B72"/>
    <w:rsid w:val="007F167E"/>
    <w:rsid w:val="007F61DE"/>
    <w:rsid w:val="0080194B"/>
    <w:rsid w:val="00821351"/>
    <w:rsid w:val="00840944"/>
    <w:rsid w:val="00841F94"/>
    <w:rsid w:val="00843506"/>
    <w:rsid w:val="008507C1"/>
    <w:rsid w:val="00850B4E"/>
    <w:rsid w:val="00851364"/>
    <w:rsid w:val="00855F1D"/>
    <w:rsid w:val="00861934"/>
    <w:rsid w:val="00862A65"/>
    <w:rsid w:val="00863B1E"/>
    <w:rsid w:val="00880BC3"/>
    <w:rsid w:val="00881697"/>
    <w:rsid w:val="00883146"/>
    <w:rsid w:val="0089004C"/>
    <w:rsid w:val="008901CF"/>
    <w:rsid w:val="008974CC"/>
    <w:rsid w:val="008A1B9A"/>
    <w:rsid w:val="008A3868"/>
    <w:rsid w:val="008A7129"/>
    <w:rsid w:val="008B352F"/>
    <w:rsid w:val="008B35C8"/>
    <w:rsid w:val="008C3954"/>
    <w:rsid w:val="008C63AD"/>
    <w:rsid w:val="008C712E"/>
    <w:rsid w:val="008D0199"/>
    <w:rsid w:val="008D18B6"/>
    <w:rsid w:val="008E0CC0"/>
    <w:rsid w:val="008E2854"/>
    <w:rsid w:val="008F0AC9"/>
    <w:rsid w:val="008F190B"/>
    <w:rsid w:val="008F38B6"/>
    <w:rsid w:val="00910F77"/>
    <w:rsid w:val="00921053"/>
    <w:rsid w:val="009246D4"/>
    <w:rsid w:val="00925355"/>
    <w:rsid w:val="00925B4E"/>
    <w:rsid w:val="00930CDA"/>
    <w:rsid w:val="0093473D"/>
    <w:rsid w:val="00934B90"/>
    <w:rsid w:val="00937212"/>
    <w:rsid w:val="00941C02"/>
    <w:rsid w:val="00943816"/>
    <w:rsid w:val="009460E8"/>
    <w:rsid w:val="00947994"/>
    <w:rsid w:val="00947E6F"/>
    <w:rsid w:val="00953E96"/>
    <w:rsid w:val="009543F9"/>
    <w:rsid w:val="0095530F"/>
    <w:rsid w:val="0095636C"/>
    <w:rsid w:val="009641DB"/>
    <w:rsid w:val="00967260"/>
    <w:rsid w:val="00972F57"/>
    <w:rsid w:val="00980DD1"/>
    <w:rsid w:val="00984FB8"/>
    <w:rsid w:val="009850B8"/>
    <w:rsid w:val="00986498"/>
    <w:rsid w:val="0099096C"/>
    <w:rsid w:val="00990A74"/>
    <w:rsid w:val="00991DDC"/>
    <w:rsid w:val="00995280"/>
    <w:rsid w:val="00996D98"/>
    <w:rsid w:val="00997FDA"/>
    <w:rsid w:val="009A29AD"/>
    <w:rsid w:val="009A2F18"/>
    <w:rsid w:val="009B2258"/>
    <w:rsid w:val="009B303E"/>
    <w:rsid w:val="009B4AB5"/>
    <w:rsid w:val="009B5E1C"/>
    <w:rsid w:val="009B64F3"/>
    <w:rsid w:val="009C1243"/>
    <w:rsid w:val="009C525B"/>
    <w:rsid w:val="009C65E8"/>
    <w:rsid w:val="009D07ED"/>
    <w:rsid w:val="009D0C7F"/>
    <w:rsid w:val="009D2121"/>
    <w:rsid w:val="009D761C"/>
    <w:rsid w:val="009D7EFD"/>
    <w:rsid w:val="009E6866"/>
    <w:rsid w:val="009E7FA5"/>
    <w:rsid w:val="009F0EEE"/>
    <w:rsid w:val="009F3B02"/>
    <w:rsid w:val="009F45E2"/>
    <w:rsid w:val="009F4A23"/>
    <w:rsid w:val="009F6180"/>
    <w:rsid w:val="00A0051F"/>
    <w:rsid w:val="00A01640"/>
    <w:rsid w:val="00A07B81"/>
    <w:rsid w:val="00A12450"/>
    <w:rsid w:val="00A175B2"/>
    <w:rsid w:val="00A201B8"/>
    <w:rsid w:val="00A22849"/>
    <w:rsid w:val="00A2311B"/>
    <w:rsid w:val="00A24E6E"/>
    <w:rsid w:val="00A26C2C"/>
    <w:rsid w:val="00A27159"/>
    <w:rsid w:val="00A31652"/>
    <w:rsid w:val="00A43694"/>
    <w:rsid w:val="00A438B5"/>
    <w:rsid w:val="00A45D1D"/>
    <w:rsid w:val="00A50A55"/>
    <w:rsid w:val="00A50CFB"/>
    <w:rsid w:val="00A510A9"/>
    <w:rsid w:val="00A51215"/>
    <w:rsid w:val="00A5679E"/>
    <w:rsid w:val="00A56FC7"/>
    <w:rsid w:val="00A57BF8"/>
    <w:rsid w:val="00A650FB"/>
    <w:rsid w:val="00A65E68"/>
    <w:rsid w:val="00A6733D"/>
    <w:rsid w:val="00A72137"/>
    <w:rsid w:val="00A72575"/>
    <w:rsid w:val="00A73184"/>
    <w:rsid w:val="00A73FA0"/>
    <w:rsid w:val="00A74071"/>
    <w:rsid w:val="00A746D5"/>
    <w:rsid w:val="00A82A13"/>
    <w:rsid w:val="00A85E12"/>
    <w:rsid w:val="00A974E3"/>
    <w:rsid w:val="00AA124A"/>
    <w:rsid w:val="00AA2A96"/>
    <w:rsid w:val="00AA43A9"/>
    <w:rsid w:val="00AA4F26"/>
    <w:rsid w:val="00AA50CF"/>
    <w:rsid w:val="00AA5184"/>
    <w:rsid w:val="00AA6AF9"/>
    <w:rsid w:val="00AA705D"/>
    <w:rsid w:val="00AB08EC"/>
    <w:rsid w:val="00AB55AD"/>
    <w:rsid w:val="00AB5672"/>
    <w:rsid w:val="00AC0C27"/>
    <w:rsid w:val="00AC17F2"/>
    <w:rsid w:val="00AC207E"/>
    <w:rsid w:val="00AC7425"/>
    <w:rsid w:val="00AD5D86"/>
    <w:rsid w:val="00AF1C52"/>
    <w:rsid w:val="00AF302A"/>
    <w:rsid w:val="00AF6319"/>
    <w:rsid w:val="00B024AE"/>
    <w:rsid w:val="00B03A8C"/>
    <w:rsid w:val="00B0542A"/>
    <w:rsid w:val="00B066CD"/>
    <w:rsid w:val="00B100CC"/>
    <w:rsid w:val="00B1132F"/>
    <w:rsid w:val="00B14B2B"/>
    <w:rsid w:val="00B1664E"/>
    <w:rsid w:val="00B207C7"/>
    <w:rsid w:val="00B23B8A"/>
    <w:rsid w:val="00B23D9C"/>
    <w:rsid w:val="00B304BD"/>
    <w:rsid w:val="00B32C92"/>
    <w:rsid w:val="00B33F07"/>
    <w:rsid w:val="00B35988"/>
    <w:rsid w:val="00B37F1B"/>
    <w:rsid w:val="00B4126F"/>
    <w:rsid w:val="00B414BB"/>
    <w:rsid w:val="00B44F6F"/>
    <w:rsid w:val="00B456F6"/>
    <w:rsid w:val="00B51FA3"/>
    <w:rsid w:val="00B57AFC"/>
    <w:rsid w:val="00B57E8A"/>
    <w:rsid w:val="00B62D03"/>
    <w:rsid w:val="00B66827"/>
    <w:rsid w:val="00B6689D"/>
    <w:rsid w:val="00B70101"/>
    <w:rsid w:val="00B71D7F"/>
    <w:rsid w:val="00B72368"/>
    <w:rsid w:val="00B73693"/>
    <w:rsid w:val="00B77DE2"/>
    <w:rsid w:val="00B85E06"/>
    <w:rsid w:val="00B86B14"/>
    <w:rsid w:val="00B92035"/>
    <w:rsid w:val="00BA0482"/>
    <w:rsid w:val="00BA0AE4"/>
    <w:rsid w:val="00BB2056"/>
    <w:rsid w:val="00BB3922"/>
    <w:rsid w:val="00BB525A"/>
    <w:rsid w:val="00BC0A3D"/>
    <w:rsid w:val="00BC5690"/>
    <w:rsid w:val="00BC5C12"/>
    <w:rsid w:val="00BC718B"/>
    <w:rsid w:val="00BC7873"/>
    <w:rsid w:val="00BD4FD1"/>
    <w:rsid w:val="00BD5018"/>
    <w:rsid w:val="00BD7717"/>
    <w:rsid w:val="00BE616B"/>
    <w:rsid w:val="00BE737E"/>
    <w:rsid w:val="00BF18D7"/>
    <w:rsid w:val="00BF79CE"/>
    <w:rsid w:val="00C00DDF"/>
    <w:rsid w:val="00C026D2"/>
    <w:rsid w:val="00C0503C"/>
    <w:rsid w:val="00C073FB"/>
    <w:rsid w:val="00C10314"/>
    <w:rsid w:val="00C126B2"/>
    <w:rsid w:val="00C15757"/>
    <w:rsid w:val="00C1582B"/>
    <w:rsid w:val="00C304F6"/>
    <w:rsid w:val="00C3064C"/>
    <w:rsid w:val="00C319AF"/>
    <w:rsid w:val="00C3571D"/>
    <w:rsid w:val="00C47E0B"/>
    <w:rsid w:val="00C50DE6"/>
    <w:rsid w:val="00C54D58"/>
    <w:rsid w:val="00C5584B"/>
    <w:rsid w:val="00C56CB1"/>
    <w:rsid w:val="00C573E1"/>
    <w:rsid w:val="00C708C3"/>
    <w:rsid w:val="00C70AC9"/>
    <w:rsid w:val="00C72308"/>
    <w:rsid w:val="00C729CF"/>
    <w:rsid w:val="00C74F15"/>
    <w:rsid w:val="00C8019F"/>
    <w:rsid w:val="00C87980"/>
    <w:rsid w:val="00C90260"/>
    <w:rsid w:val="00C91618"/>
    <w:rsid w:val="00C93019"/>
    <w:rsid w:val="00C9476D"/>
    <w:rsid w:val="00C9486F"/>
    <w:rsid w:val="00C95DF6"/>
    <w:rsid w:val="00CA56A5"/>
    <w:rsid w:val="00CA57AF"/>
    <w:rsid w:val="00CA6D9F"/>
    <w:rsid w:val="00CB2E0A"/>
    <w:rsid w:val="00CC28EB"/>
    <w:rsid w:val="00CC5961"/>
    <w:rsid w:val="00CD25EF"/>
    <w:rsid w:val="00CD3565"/>
    <w:rsid w:val="00CD6962"/>
    <w:rsid w:val="00CE3891"/>
    <w:rsid w:val="00CE5A6E"/>
    <w:rsid w:val="00CF07B4"/>
    <w:rsid w:val="00CF1A5E"/>
    <w:rsid w:val="00CF589E"/>
    <w:rsid w:val="00CF6E03"/>
    <w:rsid w:val="00CF7B09"/>
    <w:rsid w:val="00CF7CB4"/>
    <w:rsid w:val="00D009A3"/>
    <w:rsid w:val="00D02619"/>
    <w:rsid w:val="00D05150"/>
    <w:rsid w:val="00D11E45"/>
    <w:rsid w:val="00D20F81"/>
    <w:rsid w:val="00D210BE"/>
    <w:rsid w:val="00D24286"/>
    <w:rsid w:val="00D2790D"/>
    <w:rsid w:val="00D27FED"/>
    <w:rsid w:val="00D343AE"/>
    <w:rsid w:val="00D348DF"/>
    <w:rsid w:val="00D352A3"/>
    <w:rsid w:val="00D430D3"/>
    <w:rsid w:val="00D549E8"/>
    <w:rsid w:val="00D616E0"/>
    <w:rsid w:val="00D61BC9"/>
    <w:rsid w:val="00D6214E"/>
    <w:rsid w:val="00D657C2"/>
    <w:rsid w:val="00D6647B"/>
    <w:rsid w:val="00D67344"/>
    <w:rsid w:val="00D710CE"/>
    <w:rsid w:val="00D75808"/>
    <w:rsid w:val="00D81511"/>
    <w:rsid w:val="00D86317"/>
    <w:rsid w:val="00D96CE5"/>
    <w:rsid w:val="00DA1B7B"/>
    <w:rsid w:val="00DA332A"/>
    <w:rsid w:val="00DB06F7"/>
    <w:rsid w:val="00DB3B78"/>
    <w:rsid w:val="00DB7249"/>
    <w:rsid w:val="00DB78DB"/>
    <w:rsid w:val="00DB79DF"/>
    <w:rsid w:val="00DC0E45"/>
    <w:rsid w:val="00DC2626"/>
    <w:rsid w:val="00DC3ED9"/>
    <w:rsid w:val="00DC571E"/>
    <w:rsid w:val="00DC69D1"/>
    <w:rsid w:val="00DD32EF"/>
    <w:rsid w:val="00DE057F"/>
    <w:rsid w:val="00DE4560"/>
    <w:rsid w:val="00DE4697"/>
    <w:rsid w:val="00DE70B1"/>
    <w:rsid w:val="00DE7634"/>
    <w:rsid w:val="00DF153F"/>
    <w:rsid w:val="00DF3802"/>
    <w:rsid w:val="00E046E4"/>
    <w:rsid w:val="00E04F2A"/>
    <w:rsid w:val="00E04FB7"/>
    <w:rsid w:val="00E0546D"/>
    <w:rsid w:val="00E12DBE"/>
    <w:rsid w:val="00E205B1"/>
    <w:rsid w:val="00E21DCA"/>
    <w:rsid w:val="00E26566"/>
    <w:rsid w:val="00E32665"/>
    <w:rsid w:val="00E3317E"/>
    <w:rsid w:val="00E40810"/>
    <w:rsid w:val="00E41DDF"/>
    <w:rsid w:val="00E4293D"/>
    <w:rsid w:val="00E5050E"/>
    <w:rsid w:val="00E50545"/>
    <w:rsid w:val="00E51810"/>
    <w:rsid w:val="00E52895"/>
    <w:rsid w:val="00E52F4A"/>
    <w:rsid w:val="00E538C7"/>
    <w:rsid w:val="00E54418"/>
    <w:rsid w:val="00E60446"/>
    <w:rsid w:val="00E6683F"/>
    <w:rsid w:val="00E67FEA"/>
    <w:rsid w:val="00E73FF8"/>
    <w:rsid w:val="00E76C98"/>
    <w:rsid w:val="00E76D1D"/>
    <w:rsid w:val="00E84FB3"/>
    <w:rsid w:val="00E85CB9"/>
    <w:rsid w:val="00E866AC"/>
    <w:rsid w:val="00E87AF5"/>
    <w:rsid w:val="00E9023F"/>
    <w:rsid w:val="00EA09DD"/>
    <w:rsid w:val="00EA1B79"/>
    <w:rsid w:val="00EA32F7"/>
    <w:rsid w:val="00EA3D6A"/>
    <w:rsid w:val="00EA67FC"/>
    <w:rsid w:val="00EA6B3A"/>
    <w:rsid w:val="00EB1DA6"/>
    <w:rsid w:val="00EB243E"/>
    <w:rsid w:val="00EB5252"/>
    <w:rsid w:val="00EB700E"/>
    <w:rsid w:val="00EC076D"/>
    <w:rsid w:val="00EC2AAE"/>
    <w:rsid w:val="00EC3468"/>
    <w:rsid w:val="00EC52D6"/>
    <w:rsid w:val="00EC616E"/>
    <w:rsid w:val="00EC6F8D"/>
    <w:rsid w:val="00ED3309"/>
    <w:rsid w:val="00ED6633"/>
    <w:rsid w:val="00EE0054"/>
    <w:rsid w:val="00EF468F"/>
    <w:rsid w:val="00EF5CD8"/>
    <w:rsid w:val="00EF78F5"/>
    <w:rsid w:val="00F01BC6"/>
    <w:rsid w:val="00F04265"/>
    <w:rsid w:val="00F04927"/>
    <w:rsid w:val="00F058F5"/>
    <w:rsid w:val="00F07A70"/>
    <w:rsid w:val="00F11F37"/>
    <w:rsid w:val="00F147BC"/>
    <w:rsid w:val="00F230CD"/>
    <w:rsid w:val="00F25707"/>
    <w:rsid w:val="00F25A63"/>
    <w:rsid w:val="00F275A4"/>
    <w:rsid w:val="00F31F0A"/>
    <w:rsid w:val="00F32947"/>
    <w:rsid w:val="00F426DB"/>
    <w:rsid w:val="00F50A26"/>
    <w:rsid w:val="00F50B22"/>
    <w:rsid w:val="00F50B93"/>
    <w:rsid w:val="00F51C18"/>
    <w:rsid w:val="00F52498"/>
    <w:rsid w:val="00F56C61"/>
    <w:rsid w:val="00F619FC"/>
    <w:rsid w:val="00F62E13"/>
    <w:rsid w:val="00F66974"/>
    <w:rsid w:val="00F66F4B"/>
    <w:rsid w:val="00F74F6B"/>
    <w:rsid w:val="00F751E4"/>
    <w:rsid w:val="00F8142A"/>
    <w:rsid w:val="00F87B23"/>
    <w:rsid w:val="00FA1A2D"/>
    <w:rsid w:val="00FA281B"/>
    <w:rsid w:val="00FA2DFD"/>
    <w:rsid w:val="00FA31E2"/>
    <w:rsid w:val="00FB7EA5"/>
    <w:rsid w:val="00FC0764"/>
    <w:rsid w:val="00FC5EED"/>
    <w:rsid w:val="00FC67A2"/>
    <w:rsid w:val="00FD0A56"/>
    <w:rsid w:val="00FD1DF2"/>
    <w:rsid w:val="00FE4C39"/>
    <w:rsid w:val="00FE70F7"/>
    <w:rsid w:val="00FF0F33"/>
    <w:rsid w:val="00FF27A2"/>
    <w:rsid w:val="00FF5347"/>
    <w:rsid w:val="00FF5B31"/>
    <w:rsid w:val="00FF5B70"/>
    <w:rsid w:val="00FF5BB9"/>
    <w:rsid w:val="00FF61BE"/>
    <w:rsid w:val="00FF7D1F"/>
    <w:rsid w:val="052E1CDD"/>
    <w:rsid w:val="27DEBB66"/>
    <w:rsid w:val="710F50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15:docId w15:val="{32E7948D-6695-4CBD-A130-36E00E3C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basedOn w:val="TableNormal"/>
    <w:rsid w:val="00C70AC9"/>
    <w:pPr>
      <w:spacing w:after="0" w:line="240" w:lineRule="auto"/>
    </w:pPr>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Pr>
    <w:tblStylePr w:type="firstRow">
      <w:rPr>
        <w:rFonts w:ascii="@Yu Gothic" w:hAnsi="@Yu Gothic"/>
        <w:b/>
        <w:color w:val="FFFFFF" w:themeColor="background1"/>
      </w:rPr>
    </w:tblStylePr>
    <w:tblStylePr w:type="firstCol">
      <w:rPr>
        <w:b w:val="0"/>
      </w:rPr>
    </w:tblStylePr>
    <w:tblStylePr w:type="nwCell">
      <w:rPr>
        <w:b w:val="0"/>
      </w:rPr>
    </w:tblStylePr>
  </w:style>
  <w:style w:type="paragraph" w:styleId="ListParagraph">
    <w:name w:val="List Paragraph"/>
    <w:aliases w:val="Bullet point,Content descriptions,DDM Gen Text,FooterText,L,List Paragraph - bullets,List Paragraph Number,List Paragraph1,List Paragraph11,Main,NFP GP Bulleted List,Recommendation,Report subheading,bullet point list,numbered,列出段落,列出段落1,列"/>
    <w:basedOn w:val="Normal"/>
    <w:link w:val="ListParagraphChar"/>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17"/>
      </w:numPr>
    </w:pPr>
  </w:style>
  <w:style w:type="paragraph" w:styleId="ListBullet">
    <w:name w:val="List Bullet"/>
    <w:basedOn w:val="ListParagraph"/>
    <w:uiPriority w:val="99"/>
    <w:unhideWhenUsed/>
    <w:qFormat/>
    <w:rsid w:val="00C70AC9"/>
    <w:pPr>
      <w:numPr>
        <w:numId w:val="15"/>
      </w:numPr>
    </w:pPr>
  </w:style>
  <w:style w:type="paragraph" w:styleId="List">
    <w:name w:val="List"/>
    <w:basedOn w:val="ListBullet"/>
    <w:uiPriority w:val="99"/>
    <w:unhideWhenUsed/>
    <w:qFormat/>
    <w:rsid w:val="00C70AC9"/>
    <w:pPr>
      <w:numPr>
        <w:numId w:val="16"/>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18"/>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customStyle="1" w:styleId="ui-provider">
    <w:name w:val="ui-provider"/>
    <w:basedOn w:val="DefaultParagraphFont"/>
    <w:rsid w:val="00271E05"/>
  </w:style>
  <w:style w:type="paragraph" w:customStyle="1" w:styleId="paragraph">
    <w:name w:val="paragraph"/>
    <w:basedOn w:val="Normal"/>
    <w:rsid w:val="00271E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71E05"/>
  </w:style>
  <w:style w:type="character" w:customStyle="1" w:styleId="eop">
    <w:name w:val="eop"/>
    <w:basedOn w:val="DefaultParagraphFont"/>
    <w:rsid w:val="00271E05"/>
  </w:style>
  <w:style w:type="paragraph" w:styleId="FootnoteText">
    <w:name w:val="footnote text"/>
    <w:basedOn w:val="Normal"/>
    <w:link w:val="FootnoteTextChar"/>
    <w:uiPriority w:val="99"/>
    <w:unhideWhenUsed/>
    <w:qFormat/>
    <w:rsid w:val="00271E05"/>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rsid w:val="00271E05"/>
    <w:rPr>
      <w:kern w:val="2"/>
      <w:sz w:val="20"/>
      <w:szCs w:val="20"/>
      <w14:ligatures w14:val="standardContextual"/>
    </w:rPr>
  </w:style>
  <w:style w:type="character" w:styleId="FootnoteReference">
    <w:name w:val="footnote reference"/>
    <w:basedOn w:val="DefaultParagraphFont"/>
    <w:uiPriority w:val="99"/>
    <w:unhideWhenUsed/>
    <w:rsid w:val="00271E05"/>
    <w:rPr>
      <w:vertAlign w:val="superscript"/>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Main Char,NFP GP Bulleted List Char,列出段落 Char"/>
    <w:link w:val="ListParagraph"/>
    <w:uiPriority w:val="34"/>
    <w:qFormat/>
    <w:locked/>
    <w:rsid w:val="00271E05"/>
    <w:rPr>
      <w:rFonts w:ascii="Aptos Display" w:hAnsi="Aptos Display"/>
    </w:rPr>
  </w:style>
  <w:style w:type="character" w:styleId="CommentReference">
    <w:name w:val="annotation reference"/>
    <w:basedOn w:val="DefaultParagraphFont"/>
    <w:uiPriority w:val="99"/>
    <w:semiHidden/>
    <w:unhideWhenUsed/>
    <w:rsid w:val="00226953"/>
    <w:rPr>
      <w:sz w:val="16"/>
      <w:szCs w:val="16"/>
    </w:rPr>
  </w:style>
  <w:style w:type="paragraph" w:styleId="CommentText">
    <w:name w:val="annotation text"/>
    <w:basedOn w:val="Normal"/>
    <w:link w:val="CommentTextChar"/>
    <w:uiPriority w:val="99"/>
    <w:unhideWhenUsed/>
    <w:rsid w:val="00226953"/>
    <w:pPr>
      <w:spacing w:line="240" w:lineRule="auto"/>
    </w:pPr>
    <w:rPr>
      <w:sz w:val="20"/>
      <w:szCs w:val="20"/>
    </w:rPr>
  </w:style>
  <w:style w:type="character" w:customStyle="1" w:styleId="CommentTextChar">
    <w:name w:val="Comment Text Char"/>
    <w:basedOn w:val="DefaultParagraphFont"/>
    <w:link w:val="CommentText"/>
    <w:uiPriority w:val="99"/>
    <w:rsid w:val="00226953"/>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226953"/>
    <w:rPr>
      <w:b/>
      <w:bCs/>
    </w:rPr>
  </w:style>
  <w:style w:type="character" w:customStyle="1" w:styleId="CommentSubjectChar">
    <w:name w:val="Comment Subject Char"/>
    <w:basedOn w:val="CommentTextChar"/>
    <w:link w:val="CommentSubject"/>
    <w:uiPriority w:val="99"/>
    <w:semiHidden/>
    <w:rsid w:val="00226953"/>
    <w:rPr>
      <w:rFonts w:ascii="Aptos Display" w:hAnsi="Aptos Display"/>
      <w:b/>
      <w:bCs/>
      <w:sz w:val="20"/>
      <w:szCs w:val="20"/>
    </w:rPr>
  </w:style>
  <w:style w:type="character" w:styleId="Mention">
    <w:name w:val="Mention"/>
    <w:basedOn w:val="DefaultParagraphFont"/>
    <w:uiPriority w:val="99"/>
    <w:unhideWhenUsed/>
    <w:rsid w:val="00F426DB"/>
    <w:rPr>
      <w:color w:val="2B579A"/>
      <w:shd w:val="clear" w:color="auto" w:fill="E1DFDD"/>
    </w:rPr>
  </w:style>
  <w:style w:type="paragraph" w:styleId="Revision">
    <w:name w:val="Revision"/>
    <w:hidden/>
    <w:uiPriority w:val="99"/>
    <w:semiHidden/>
    <w:rsid w:val="0047612A"/>
    <w:pPr>
      <w:spacing w:after="0" w:line="240" w:lineRule="auto"/>
    </w:pPr>
    <w:rPr>
      <w:rFonts w:ascii="Aptos Display" w:hAnsi="Aptos Display"/>
    </w:rPr>
  </w:style>
  <w:style w:type="character" w:styleId="UnresolvedMention">
    <w:name w:val="Unresolved Mention"/>
    <w:basedOn w:val="DefaultParagraphFont"/>
    <w:uiPriority w:val="99"/>
    <w:semiHidden/>
    <w:unhideWhenUsed/>
    <w:rsid w:val="00DD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inance.gov.au/business/buyaustralianplan"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reativecommons.org/licenses/by/4.0/legalco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mailto:SecureJobsCode@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converlens.com/dewr/secure-australian-jobs-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ewr.gov.au/secure-australian-jobs-cod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inisters.dewr.gov.au/burke/press-conference-parliament-house-1" TargetMode="External"/><Relationship Id="rId13" Type="http://schemas.openxmlformats.org/officeDocument/2006/relationships/hyperlink" Target="https://www.industry.gov.au/major-projects-and-procurement/australian-industry-participation" TargetMode="External"/><Relationship Id="rId3" Type="http://schemas.openxmlformats.org/officeDocument/2006/relationships/hyperlink" Target="https://www.dcceew.gov.au/environment/protection/waste/sustainable-procurement/environmentally-sustainable-procurement-policy" TargetMode="External"/><Relationship Id="rId7" Type="http://schemas.openxmlformats.org/officeDocument/2006/relationships/hyperlink" Target="https://treasury.gov.au/sites/default/files/2023-10/p2023-447996-working-future.pdf" TargetMode="External"/><Relationship Id="rId12" Type="http://schemas.openxmlformats.org/officeDocument/2006/relationships/hyperlink" Target="https://help.grants.gov.au/getting-started-with-grantconnect/information-made-easy/awards-by-financial-year/" TargetMode="External"/><Relationship Id="rId17" Type="http://schemas.openxmlformats.org/officeDocument/2006/relationships/hyperlink" Target="https://www.finance.gov.au/government/procurement/clausebank/termination-cause" TargetMode="External"/><Relationship Id="rId2" Type="http://schemas.openxmlformats.org/officeDocument/2006/relationships/hyperlink" Target="https://anthonyalbanese.com.au/media-centre/secure-australian-jobs-plan" TargetMode="External"/><Relationship Id="rId16" Type="http://schemas.openxmlformats.org/officeDocument/2006/relationships/hyperlink" Target="https://www.finance.gov.au/government/procurement/commonwealth-procurement-rules" TargetMode="External"/><Relationship Id="rId1" Type="http://schemas.openxmlformats.org/officeDocument/2006/relationships/hyperlink" Target="https://www.finance.gov.au/business/buyaustralianplan" TargetMode="External"/><Relationship Id="rId6" Type="http://schemas.openxmlformats.org/officeDocument/2006/relationships/hyperlink" Target="https://www.finance.gov.au/government/procurement/ethical-conduct-suppliers/commonwealth-supplier-code-conduct-overview" TargetMode="External"/><Relationship Id="rId11" Type="http://schemas.openxmlformats.org/officeDocument/2006/relationships/hyperlink" Target="https://www.finance.gov.au/government/procurement/statistics-australian-government-procurement-contracts-" TargetMode="External"/><Relationship Id="rId5" Type="http://schemas.openxmlformats.org/officeDocument/2006/relationships/hyperlink" Target="https://www.finance.gov.au/government/procurement/commonwealth-procurement-rules" TargetMode="External"/><Relationship Id="rId15" Type="http://schemas.openxmlformats.org/officeDocument/2006/relationships/hyperlink" Target="https://help.grants.gov.au/getting-started-with-grantconnect/information-made-easy/awards-by-agency/" TargetMode="External"/><Relationship Id="rId10" Type="http://schemas.openxmlformats.org/officeDocument/2006/relationships/hyperlink" Target="https://www.dewr.gov.au/australian-building-and-construction-industry/resources/blueprint-future" TargetMode="External"/><Relationship Id="rId4" Type="http://schemas.openxmlformats.org/officeDocument/2006/relationships/hyperlink" Target="https://www.wgea.gov.au/what-we-do/compliance-reporting/wgea-procurement-principles" TargetMode="External"/><Relationship Id="rId9" Type="http://schemas.openxmlformats.org/officeDocument/2006/relationships/hyperlink" Target="https://www.insideconstruction.com.au/construction-events/construction-leaders-call-for-procurement-reform-at-ff25/" TargetMode="External"/><Relationship Id="rId14" Type="http://schemas.openxmlformats.org/officeDocument/2006/relationships/hyperlink" Target="https://help.tenders.gov.au/getting-started-with-austender/information-made-easy/contracts-by-thresho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3%20Internal\3259%20Corporate%20Templates%20-%20Default%20Font%20Update\2.%20Working\3259%20Corporate%20Templates%20-%20Default%20Font%20Update_DEWR%20A4%20Report%20Template%20-%20Portrait%20(white%20cover)_01.dotx"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d4deaa-653f-4021-820c-3dc2d6d6bfb4">
      <Terms xmlns="http://schemas.microsoft.com/office/infopath/2007/PartnerControls"/>
    </lcf76f155ced4ddcb4097134ff3c332f>
    <TaxCatchAll xmlns="4970a4f8-bd49-494e-9f0c-e177bcef91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F59E6F10BA114E959C27B410C4FCC9" ma:contentTypeVersion="14" ma:contentTypeDescription="Create a new document." ma:contentTypeScope="" ma:versionID="e298f369bf4ae867d07f566fba82f238">
  <xsd:schema xmlns:xsd="http://www.w3.org/2001/XMLSchema" xmlns:xs="http://www.w3.org/2001/XMLSchema" xmlns:p="http://schemas.microsoft.com/office/2006/metadata/properties" xmlns:ns2="7ed4deaa-653f-4021-820c-3dc2d6d6bfb4" xmlns:ns3="4970a4f8-bd49-494e-9f0c-e177bcef912f" targetNamespace="http://schemas.microsoft.com/office/2006/metadata/properties" ma:root="true" ma:fieldsID="fe1e491db2bbaf8b2a890d143987b41b" ns2:_="" ns3:_="">
    <xsd:import namespace="7ed4deaa-653f-4021-820c-3dc2d6d6bfb4"/>
    <xsd:import namespace="4970a4f8-bd49-494e-9f0c-e177bcef9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deaa-653f-4021-820c-3dc2d6d6b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0a4f8-bd49-494e-9f0c-e177bcef9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91430c-2b00-45ef-ab23-cb03d8feba43}" ma:internalName="TaxCatchAll" ma:showField="CatchAllData" ma:web="4970a4f8-bd49-494e-9f0c-e177bcef9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7ed4deaa-653f-4021-820c-3dc2d6d6bfb4"/>
    <ds:schemaRef ds:uri="4970a4f8-bd49-494e-9f0c-e177bcef912f"/>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6CA309FE-F2D4-49EA-B6CF-7A71008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deaa-653f-4021-820c-3dc2d6d6bfb4"/>
    <ds:schemaRef ds:uri="4970a4f8-bd49-494e-9f0c-e177bcef9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3259 Corporate Templates - Default Font Update_DEWR A4 Report Template - Portrait (white cover)_01</Template>
  <TotalTime>335</TotalTime>
  <Pages>1</Pages>
  <Words>3908</Words>
  <Characters>22943</Characters>
  <Application>Microsoft Office Word</Application>
  <DocSecurity>4</DocSecurity>
  <Lines>388</Lines>
  <Paragraphs>195</Paragraphs>
  <ScaleCrop>false</ScaleCrop>
  <HeadingPairs>
    <vt:vector size="2" baseType="variant">
      <vt:variant>
        <vt:lpstr>Title</vt:lpstr>
      </vt:variant>
      <vt:variant>
        <vt:i4>1</vt:i4>
      </vt:variant>
    </vt:vector>
  </HeadingPairs>
  <TitlesOfParts>
    <vt:vector size="1" baseType="lpstr">
      <vt:lpstr>Secure Australian Jobs Code Consultation Paper</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Australian Jobs Code Consultation Paper</dc:title>
  <dc:subject/>
  <dc:creator>Department of Employment and Workplace Relations</dc:creator>
  <cp:keywords/>
  <dc:description/>
  <cp:lastModifiedBy>DIXON,Samuel</cp:lastModifiedBy>
  <cp:revision>269</cp:revision>
  <cp:lastPrinted>2025-12-11T00:29:00Z</cp:lastPrinted>
  <dcterms:created xsi:type="dcterms:W3CDTF">2025-11-30T07:29:00Z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0x01010024F59E6F10BA114E959C27B410C4FCC9</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rder">
    <vt:r8>189700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(white cover)</vt:lpwstr>
  </property>
  <property fmtid="{D5CDD505-2E9C-101B-9397-08002B2CF9AE}" pid="10" name="Stream">
    <vt:lpwstr>41;#Corporate|7bb9040f-4cd9-44c7-bbc0-0be84bb7e1f8</vt:lpwstr>
  </property>
  <property fmtid="{D5CDD505-2E9C-101B-9397-08002B2CF9AE}" pid="11" name="MediaServiceImageTags">
    <vt:lpwstr/>
  </property>
  <property fmtid="{D5CDD505-2E9C-101B-9397-08002B2CF9AE}" pid="12" name="MSIP_Label_79d889eb-932f-4752-8739-64d25806ef64_Enabled">
    <vt:lpwstr>true</vt:lpwstr>
  </property>
  <property fmtid="{D5CDD505-2E9C-101B-9397-08002B2CF9AE}" pid="13" name="MSIP_Label_79d889eb-932f-4752-8739-64d25806ef64_SetDate">
    <vt:lpwstr>2025-11-23T23:27:28Z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391f3a15-7bac-4074-886c-19ed52325cba</vt:lpwstr>
  </property>
  <property fmtid="{D5CDD505-2E9C-101B-9397-08002B2CF9AE}" pid="18" name="MSIP_Label_79d889eb-932f-4752-8739-64d25806ef64_ContentBits">
    <vt:lpwstr>0</vt:lpwstr>
  </property>
  <property fmtid="{D5CDD505-2E9C-101B-9397-08002B2CF9AE}" pid="19" name="MSIP_Label_79d889eb-932f-4752-8739-64d25806ef64_Tag">
    <vt:lpwstr>10, 0, 1, 1</vt:lpwstr>
  </property>
  <property fmtid="{D5CDD505-2E9C-101B-9397-08002B2CF9AE}" pid="20" name="docLang">
    <vt:lpwstr>en</vt:lpwstr>
  </property>
</Properties>
</file>