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ABCF5A6" w14:textId="3ACE0E64" w:rsidR="00BD499F" w:rsidRPr="004C23F4" w:rsidRDefault="00D01B1B" w:rsidP="00273A1A">
          <w:pPr>
            <w:pStyle w:val="Heading1"/>
            <w:pageBreakBefore/>
            <w:jc w:val="center"/>
            <w:rPr>
              <w:rFonts w:ascii="Arial" w:hAnsi="Arial" w:cs="Arial"/>
            </w:rPr>
          </w:pPr>
          <w:r w:rsidRPr="00D01B1B">
            <w:rPr>
              <w:rFonts w:ascii="Arial" w:hAnsi="Arial" w:cs="Arial"/>
            </w:rPr>
            <w:t>Cyclohexanone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45F33C93" w14:textId="77777777" w:rsidTr="00B76A41">
        <w:trPr>
          <w:cantSplit/>
          <w:tblHeader/>
        </w:trPr>
        <w:tc>
          <w:tcPr>
            <w:tcW w:w="4077" w:type="dxa"/>
          </w:tcPr>
          <w:p w14:paraId="7E28B28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A55BAFC" w14:textId="0E40AE1B" w:rsidR="00F43AD5" w:rsidRPr="00717D45" w:rsidRDefault="00D01B1B" w:rsidP="00B76A41">
            <w:pPr>
              <w:pStyle w:val="Tablefont"/>
            </w:pPr>
            <w:r w:rsidRPr="00D01B1B">
              <w:t>108-94-1</w:t>
            </w:r>
          </w:p>
        </w:tc>
      </w:tr>
      <w:tr w:rsidR="00F43AD5" w:rsidRPr="004C23F4" w14:paraId="16490E1D" w14:textId="77777777" w:rsidTr="00B76A41">
        <w:trPr>
          <w:cantSplit/>
        </w:trPr>
        <w:tc>
          <w:tcPr>
            <w:tcW w:w="4077" w:type="dxa"/>
          </w:tcPr>
          <w:p w14:paraId="1F67A3F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609853B" w14:textId="01EAE282" w:rsidR="00F43AD5" w:rsidRPr="00717D45" w:rsidRDefault="00D01B1B" w:rsidP="00B76A41">
            <w:pPr>
              <w:pStyle w:val="Tablefont"/>
            </w:pPr>
            <w:proofErr w:type="spellStart"/>
            <w:r>
              <w:t>Anone</w:t>
            </w:r>
            <w:proofErr w:type="spellEnd"/>
            <w:r>
              <w:t>,</w:t>
            </w:r>
            <w:r w:rsidR="00D6105E">
              <w:t xml:space="preserve"> </w:t>
            </w:r>
            <w:proofErr w:type="spellStart"/>
            <w:r w:rsidR="007F61D2">
              <w:t>cyclohexyl</w:t>
            </w:r>
            <w:proofErr w:type="spellEnd"/>
            <w:r w:rsidR="007F61D2">
              <w:t xml:space="preserve"> </w:t>
            </w:r>
            <w:r w:rsidR="00D6105E">
              <w:t xml:space="preserve">ketone, </w:t>
            </w:r>
            <w:proofErr w:type="spellStart"/>
            <w:r w:rsidR="007F61D2">
              <w:t>ketohexamethylene</w:t>
            </w:r>
            <w:proofErr w:type="spellEnd"/>
            <w:r w:rsidR="00D6105E">
              <w:t xml:space="preserve">, </w:t>
            </w:r>
            <w:proofErr w:type="spellStart"/>
            <w:r w:rsidR="007F61D2">
              <w:t>pimelic</w:t>
            </w:r>
            <w:proofErr w:type="spellEnd"/>
            <w:r w:rsidR="007F61D2">
              <w:t xml:space="preserve"> </w:t>
            </w:r>
            <w:r w:rsidR="00D6105E">
              <w:t>ketone</w:t>
            </w:r>
          </w:p>
        </w:tc>
      </w:tr>
      <w:tr w:rsidR="00F43AD5" w:rsidRPr="004C23F4" w14:paraId="002C7702" w14:textId="77777777" w:rsidTr="00B76A41">
        <w:trPr>
          <w:cantSplit/>
        </w:trPr>
        <w:tc>
          <w:tcPr>
            <w:tcW w:w="4077" w:type="dxa"/>
          </w:tcPr>
          <w:p w14:paraId="0BAF34A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B845E8F" w14:textId="44D94AC9" w:rsidR="00F43AD5" w:rsidRPr="00717D45" w:rsidRDefault="00D01B1B" w:rsidP="00B76A41">
            <w:pPr>
              <w:pStyle w:val="Tablefont"/>
            </w:pPr>
            <w:r>
              <w:t>C</w:t>
            </w:r>
            <w:r w:rsidRPr="00D01B1B">
              <w:rPr>
                <w:vertAlign w:val="subscript"/>
              </w:rPr>
              <w:t>6</w:t>
            </w:r>
            <w:r>
              <w:t>H</w:t>
            </w:r>
            <w:r w:rsidRPr="00D01B1B">
              <w:rPr>
                <w:vertAlign w:val="subscript"/>
              </w:rPr>
              <w:t>10</w:t>
            </w:r>
            <w:r>
              <w:t>O</w:t>
            </w:r>
          </w:p>
        </w:tc>
      </w:tr>
      <w:tr w:rsidR="00F43AD5" w:rsidRPr="004C23F4" w14:paraId="17F9C7E0" w14:textId="77777777" w:rsidTr="00B76A41">
        <w:trPr>
          <w:cantSplit/>
        </w:trPr>
        <w:tc>
          <w:tcPr>
            <w:tcW w:w="4077" w:type="dxa"/>
          </w:tcPr>
          <w:p w14:paraId="44DE402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D4FC308" w14:textId="19C5D678" w:rsidR="00F43AD5" w:rsidRPr="007F61D2" w:rsidRDefault="00D01B1B" w:rsidP="00B76A41">
            <w:pPr>
              <w:pStyle w:val="Tablerowheading"/>
              <w:rPr>
                <w:b w:val="0"/>
              </w:rPr>
            </w:pPr>
            <w:r w:rsidRPr="005B7708">
              <w:rPr>
                <w:b w:val="0"/>
              </w:rPr>
              <w:t>—</w:t>
            </w:r>
          </w:p>
        </w:tc>
      </w:tr>
    </w:tbl>
    <w:p w14:paraId="6475982A" w14:textId="467FB30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43E36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5BA0215D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0E5B818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67845AE6" w14:textId="4911A097" w:rsidR="002C7AFE" w:rsidRPr="0021096B" w:rsidRDefault="0021096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ppm (40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527085AE" w14:textId="77777777" w:rsidTr="00921DE7">
        <w:trPr>
          <w:cantSplit/>
        </w:trPr>
        <w:tc>
          <w:tcPr>
            <w:tcW w:w="4077" w:type="dxa"/>
            <w:vAlign w:val="center"/>
          </w:tcPr>
          <w:p w14:paraId="292CD7A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38593C71" w14:textId="74AA1385" w:rsidR="002C7AFE" w:rsidRPr="0021096B" w:rsidRDefault="0021096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 ppm (80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311AAAE5" w14:textId="77777777" w:rsidTr="00921DE7">
        <w:trPr>
          <w:cantSplit/>
        </w:trPr>
        <w:tc>
          <w:tcPr>
            <w:tcW w:w="4077" w:type="dxa"/>
            <w:vAlign w:val="center"/>
          </w:tcPr>
          <w:p w14:paraId="41C53AC1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66BD016" w14:textId="340F2478" w:rsidR="002C7AFE" w:rsidRPr="005B7708" w:rsidRDefault="007F61D2" w:rsidP="00017C82">
            <w:pPr>
              <w:pStyle w:val="Tablefont"/>
            </w:pPr>
            <w:r w:rsidRPr="005B7708">
              <w:t>—</w:t>
            </w:r>
          </w:p>
        </w:tc>
      </w:tr>
      <w:tr w:rsidR="002C7AFE" w:rsidRPr="004C23F4" w14:paraId="22CA7329" w14:textId="77777777" w:rsidTr="00A2073D">
        <w:trPr>
          <w:cantSplit/>
        </w:trPr>
        <w:tc>
          <w:tcPr>
            <w:tcW w:w="4077" w:type="dxa"/>
          </w:tcPr>
          <w:p w14:paraId="671AD0E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0ACE2E14" w14:textId="0675AC6D" w:rsidR="002C7AFE" w:rsidRPr="00EB3D1B" w:rsidRDefault="0021096B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2CFF437F" w14:textId="77777777" w:rsidTr="00921DE7">
        <w:trPr>
          <w:cantSplit/>
        </w:trPr>
        <w:tc>
          <w:tcPr>
            <w:tcW w:w="4077" w:type="dxa"/>
            <w:vAlign w:val="center"/>
          </w:tcPr>
          <w:p w14:paraId="4BB0A0B8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52128EDB" w14:textId="49EBA58E" w:rsidR="002C7AFE" w:rsidRPr="00EB3D1B" w:rsidRDefault="00D01B1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700 ppm</w:t>
            </w:r>
          </w:p>
        </w:tc>
      </w:tr>
      <w:tr w:rsidR="009F04D2" w:rsidRPr="004C23F4" w14:paraId="2DABF845" w14:textId="77777777" w:rsidTr="00E14250">
        <w:trPr>
          <w:cantSplit/>
        </w:trPr>
        <w:tc>
          <w:tcPr>
            <w:tcW w:w="4077" w:type="dxa"/>
          </w:tcPr>
          <w:p w14:paraId="57CD341B" w14:textId="77777777" w:rsidR="009F04D2" w:rsidRDefault="009F04D2" w:rsidP="00E14250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7654C8E5" w14:textId="3C0F5DF7" w:rsidR="009F04D2" w:rsidRPr="00E14250" w:rsidRDefault="00D566A9" w:rsidP="00017C82">
            <w:pPr>
              <w:pStyle w:val="Tablefont"/>
            </w:pPr>
            <w:r w:rsidRPr="00D566A9">
              <w:t>The recommended value is quantifiable through available sampling and analysis techniques</w:t>
            </w:r>
            <w:r>
              <w:t>.</w:t>
            </w:r>
          </w:p>
        </w:tc>
      </w:tr>
    </w:tbl>
    <w:p w14:paraId="39604B4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E35B9D1" w14:textId="48FE8B58" w:rsidR="006639B4" w:rsidRDefault="009A2483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="0021096B">
        <w:rPr>
          <w:rFonts w:cs="Arial"/>
        </w:rPr>
        <w:t>10 ppm (40</w:t>
      </w:r>
      <w:r>
        <w:rPr>
          <w:rFonts w:cs="Arial"/>
        </w:rPr>
        <w:t xml:space="preserve"> mg/m</w:t>
      </w:r>
      <w:r>
        <w:rPr>
          <w:rFonts w:cs="Arial"/>
          <w:vertAlign w:val="superscript"/>
        </w:rPr>
        <w:t>3</w:t>
      </w:r>
      <w:r>
        <w:rPr>
          <w:rFonts w:cs="Arial"/>
        </w:rPr>
        <w:t>) is recommended to protect for systemic effects</w:t>
      </w:r>
      <w:r w:rsidR="00397606">
        <w:rPr>
          <w:rFonts w:cs="Arial"/>
        </w:rPr>
        <w:t xml:space="preserve"> </w:t>
      </w:r>
      <w:r w:rsidR="00397606">
        <w:t xml:space="preserve">on the </w:t>
      </w:r>
      <w:r w:rsidR="00E44519">
        <w:t>central nervous system (</w:t>
      </w:r>
      <w:r w:rsidR="00397606">
        <w:t>CNS</w:t>
      </w:r>
      <w:r w:rsidR="00E44519">
        <w:t>)</w:t>
      </w:r>
      <w:r w:rsidR="00880C44">
        <w:t xml:space="preserve"> and irritation</w:t>
      </w:r>
      <w:r>
        <w:rPr>
          <w:rFonts w:cs="Arial"/>
        </w:rPr>
        <w:t xml:space="preserve"> in exposed workers.</w:t>
      </w:r>
    </w:p>
    <w:p w14:paraId="138144C7" w14:textId="42576009" w:rsidR="009A2483" w:rsidRPr="009A2483" w:rsidRDefault="009A2483" w:rsidP="009A2483">
      <w:pPr>
        <w:rPr>
          <w:rFonts w:cs="Arial"/>
        </w:rPr>
      </w:pPr>
      <w:r>
        <w:rPr>
          <w:rFonts w:cs="Arial"/>
        </w:rPr>
        <w:t xml:space="preserve">A STEL of </w:t>
      </w:r>
      <w:r w:rsidR="0021096B">
        <w:rPr>
          <w:rFonts w:cs="Arial"/>
        </w:rPr>
        <w:t>20 ppm (80</w:t>
      </w:r>
      <w:r>
        <w:rPr>
          <w:rFonts w:cs="Arial"/>
        </w:rPr>
        <w:t xml:space="preserve">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 w:rsidR="00880C44">
        <w:rPr>
          <w:rFonts w:cs="Arial"/>
        </w:rPr>
        <w:t>CNS</w:t>
      </w:r>
      <w:r w:rsidR="00C67770">
        <w:rPr>
          <w:rFonts w:cs="Arial"/>
        </w:rPr>
        <w:t xml:space="preserve"> effects in acutely exposed workers.</w:t>
      </w:r>
    </w:p>
    <w:p w14:paraId="2E264F8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3A40D05" w14:textId="2D0C1163" w:rsidR="00397606" w:rsidRDefault="00BD6ABD" w:rsidP="006639B4">
      <w:r>
        <w:t xml:space="preserve">Cyclohexanone is </w:t>
      </w:r>
      <w:r w:rsidR="005201D5">
        <w:t xml:space="preserve">predominantly </w:t>
      </w:r>
      <w:r>
        <w:t xml:space="preserve">used </w:t>
      </w:r>
      <w:r w:rsidR="005201D5">
        <w:t>in the production of</w:t>
      </w:r>
      <w:r>
        <w:t xml:space="preserve"> nylon. It is also used as a solvent in insecticides, paints, paint and varnish removers, natural and vinyl rubbers and in the textile and tanning industries</w:t>
      </w:r>
      <w:r w:rsidR="005201D5">
        <w:t xml:space="preserve">. </w:t>
      </w:r>
    </w:p>
    <w:p w14:paraId="0EC5EEA0" w14:textId="26913B1D" w:rsidR="006639B4" w:rsidRDefault="005201D5" w:rsidP="006639B4">
      <w:r>
        <w:t xml:space="preserve">Critical effects </w:t>
      </w:r>
      <w:r w:rsidR="00397606">
        <w:t>of</w:t>
      </w:r>
      <w:r>
        <w:t xml:space="preserve"> exposure are localised irritation </w:t>
      </w:r>
      <w:r w:rsidR="00E44519">
        <w:t xml:space="preserve">and effects on the CNS in human studies </w:t>
      </w:r>
      <w:r>
        <w:t>and systemic effects on the liver and kidneys</w:t>
      </w:r>
      <w:r w:rsidR="00E44519">
        <w:t xml:space="preserve"> in animal studies</w:t>
      </w:r>
      <w:r w:rsidR="00EE13DB">
        <w:t xml:space="preserve"> (ACGIH, 2018</w:t>
      </w:r>
      <w:r w:rsidR="00383ED1">
        <w:t>;</w:t>
      </w:r>
      <w:r w:rsidR="00EE13DB">
        <w:t xml:space="preserve"> DFG, 2003).</w:t>
      </w:r>
      <w:r w:rsidR="001A4A67">
        <w:t xml:space="preserve"> </w:t>
      </w:r>
      <w:r>
        <w:t xml:space="preserve">A study in human volunteers </w:t>
      </w:r>
      <w:r w:rsidR="00551BEA">
        <w:t>reported</w:t>
      </w:r>
      <w:r>
        <w:t xml:space="preserve"> </w:t>
      </w:r>
      <w:r w:rsidR="00C67770">
        <w:t>throat irritation</w:t>
      </w:r>
      <w:r>
        <w:t xml:space="preserve"> at 50 ppm </w:t>
      </w:r>
      <w:r w:rsidR="00E44519">
        <w:t xml:space="preserve">after </w:t>
      </w:r>
      <w:r w:rsidR="007F61D2">
        <w:t>three</w:t>
      </w:r>
      <w:r>
        <w:t xml:space="preserve"> to </w:t>
      </w:r>
      <w:r w:rsidR="007F61D2">
        <w:t>five</w:t>
      </w:r>
      <w:r>
        <w:t xml:space="preserve"> minutes</w:t>
      </w:r>
      <w:r w:rsidR="001A4A67">
        <w:t xml:space="preserve"> of exposure</w:t>
      </w:r>
      <w:r>
        <w:t xml:space="preserve">. </w:t>
      </w:r>
      <w:r w:rsidR="00551BEA">
        <w:t>A NOAEL of 25 ppm was identified in the same study</w:t>
      </w:r>
      <w:r w:rsidR="001A4A67">
        <w:t xml:space="preserve">. </w:t>
      </w:r>
      <w:r w:rsidR="00551BEA">
        <w:t xml:space="preserve">A LOAEL of 190 ppm </w:t>
      </w:r>
      <w:r w:rsidR="00E44519">
        <w:t>i</w:t>
      </w:r>
      <w:r w:rsidR="00551BEA">
        <w:t>s reported for liver and kidney effects in rabbits expose</w:t>
      </w:r>
      <w:r w:rsidR="001A4A67">
        <w:t xml:space="preserve">d for </w:t>
      </w:r>
      <w:r w:rsidR="007F61D2">
        <w:t>six</w:t>
      </w:r>
      <w:r w:rsidR="001A4A67">
        <w:t xml:space="preserve"> hours a day for 50 days. </w:t>
      </w:r>
      <w:r w:rsidR="00CB5067">
        <w:t xml:space="preserve">However, these effects were reported as barely demonstrable and it is unclear if these effects were adaptive and relevant for humans. </w:t>
      </w:r>
      <w:r w:rsidR="001A4A67">
        <w:t>A NOAEL of 100 mg/kg</w:t>
      </w:r>
      <w:r w:rsidR="00CB5067">
        <w:t>/day</w:t>
      </w:r>
      <w:r w:rsidR="001A4A67">
        <w:t xml:space="preserve"> was reported in rats</w:t>
      </w:r>
      <w:r w:rsidR="00CB5067">
        <w:t xml:space="preserve"> for no adverse effects after exposure </w:t>
      </w:r>
      <w:r w:rsidR="00CB5067">
        <w:rPr>
          <w:i/>
        </w:rPr>
        <w:t>via</w:t>
      </w:r>
      <w:r w:rsidR="00CB5067">
        <w:t xml:space="preserve"> intravenous administration</w:t>
      </w:r>
      <w:r w:rsidR="001A4A67">
        <w:t>, corresponding to a concentration of 700 mg/m</w:t>
      </w:r>
      <w:r w:rsidR="001A4A67">
        <w:rPr>
          <w:vertAlign w:val="superscript"/>
        </w:rPr>
        <w:t>3</w:t>
      </w:r>
      <w:r w:rsidR="001A4A67">
        <w:t xml:space="preserve"> (175 ppm) (ACGIH, 2018; DFG, 1998; SCOEL, 1992).</w:t>
      </w:r>
    </w:p>
    <w:p w14:paraId="0823DE2F" w14:textId="48C2B6AC" w:rsidR="001A4A67" w:rsidRPr="001A4A67" w:rsidRDefault="0021096B" w:rsidP="006639B4">
      <w:pPr>
        <w:rPr>
          <w:rFonts w:cs="Arial"/>
        </w:rPr>
      </w:pPr>
      <w:r>
        <w:rPr>
          <w:rFonts w:cs="Arial"/>
        </w:rPr>
        <w:t xml:space="preserve">The recommend TWA is derived from the NOAEL of 25 ppm </w:t>
      </w:r>
      <w:r w:rsidR="00CB5067">
        <w:rPr>
          <w:rFonts w:cs="Arial"/>
        </w:rPr>
        <w:t xml:space="preserve">in humans </w:t>
      </w:r>
      <w:r>
        <w:rPr>
          <w:rFonts w:cs="Arial"/>
        </w:rPr>
        <w:t>with a</w:t>
      </w:r>
      <w:r w:rsidR="00CB5067">
        <w:rPr>
          <w:rFonts w:cs="Arial"/>
        </w:rPr>
        <w:t>n uncertainty</w:t>
      </w:r>
      <w:r>
        <w:rPr>
          <w:rFonts w:cs="Arial"/>
        </w:rPr>
        <w:t xml:space="preserve"> factor of </w:t>
      </w:r>
      <w:r w:rsidR="00C67770">
        <w:rPr>
          <w:rFonts w:cs="Arial"/>
        </w:rPr>
        <w:t>two</w:t>
      </w:r>
      <w:r>
        <w:rPr>
          <w:rFonts w:cs="Arial"/>
        </w:rPr>
        <w:t xml:space="preserve"> </w:t>
      </w:r>
      <w:r w:rsidR="00F70B91">
        <w:rPr>
          <w:rFonts w:cs="Arial"/>
        </w:rPr>
        <w:t xml:space="preserve">is </w:t>
      </w:r>
      <w:r>
        <w:rPr>
          <w:rFonts w:cs="Arial"/>
        </w:rPr>
        <w:t>applied</w:t>
      </w:r>
      <w:r w:rsidR="00F70B91">
        <w:rPr>
          <w:rFonts w:cs="Arial"/>
        </w:rPr>
        <w:t xml:space="preserve"> based on study limitations (SCOEL, 1992)</w:t>
      </w:r>
      <w:r>
        <w:rPr>
          <w:rFonts w:cs="Arial"/>
        </w:rPr>
        <w:t xml:space="preserve">. The STEL is </w:t>
      </w:r>
      <w:r w:rsidR="00E90C65">
        <w:rPr>
          <w:rFonts w:cs="Arial"/>
        </w:rPr>
        <w:t xml:space="preserve">recommended </w:t>
      </w:r>
      <w:r>
        <w:rPr>
          <w:rFonts w:cs="Arial"/>
        </w:rPr>
        <w:t>based on</w:t>
      </w:r>
      <w:r w:rsidR="00E90C65">
        <w:rPr>
          <w:rFonts w:cs="Arial"/>
        </w:rPr>
        <w:t xml:space="preserve"> pronounced irritation at 75 ppm</w:t>
      </w:r>
      <w:r w:rsidR="00F70B91">
        <w:rPr>
          <w:rFonts w:cs="Arial"/>
        </w:rPr>
        <w:t xml:space="preserve"> a</w:t>
      </w:r>
      <w:r w:rsidR="00E90C65">
        <w:rPr>
          <w:rFonts w:cs="Arial"/>
        </w:rPr>
        <w:t xml:space="preserve">nd </w:t>
      </w:r>
      <w:r w:rsidR="00F70B91">
        <w:rPr>
          <w:rFonts w:cs="Arial"/>
        </w:rPr>
        <w:t>this effect being within ten times of the TWA.</w:t>
      </w:r>
      <w:r w:rsidR="0057507C">
        <w:rPr>
          <w:rFonts w:cs="Arial"/>
        </w:rPr>
        <w:t xml:space="preserve"> </w:t>
      </w:r>
    </w:p>
    <w:p w14:paraId="5A6017E9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1E77E0D9" w14:textId="70E6CD88" w:rsidR="00D01B1B" w:rsidRPr="00D01B1B" w:rsidRDefault="00D01B1B" w:rsidP="00D01B1B">
      <w:pPr>
        <w:rPr>
          <w:rFonts w:cs="Arial"/>
        </w:rPr>
      </w:pPr>
      <w:r w:rsidRPr="00D01B1B">
        <w:rPr>
          <w:rFonts w:cs="Arial"/>
        </w:rPr>
        <w:t>Not classified as a carcinogen according to the Globally Harmonized System of Classification and Labelling o</w:t>
      </w:r>
      <w:r w:rsidR="00C67770">
        <w:rPr>
          <w:rFonts w:cs="Arial"/>
        </w:rPr>
        <w:t>f</w:t>
      </w:r>
      <w:r w:rsidRPr="00D01B1B">
        <w:rPr>
          <w:rFonts w:cs="Arial"/>
        </w:rPr>
        <w:t xml:space="preserve"> Chemicals (GHS). </w:t>
      </w:r>
    </w:p>
    <w:p w14:paraId="77F9A784" w14:textId="7F5977E1" w:rsidR="00D01B1B" w:rsidRPr="00D01B1B" w:rsidRDefault="00D01B1B" w:rsidP="00D01B1B">
      <w:pPr>
        <w:rPr>
          <w:rFonts w:cs="Arial"/>
        </w:rPr>
      </w:pPr>
      <w:r w:rsidRPr="00D01B1B">
        <w:rPr>
          <w:rFonts w:cs="Arial"/>
        </w:rPr>
        <w:t>Not classified as a skin</w:t>
      </w:r>
      <w:r w:rsidR="00C67770">
        <w:rPr>
          <w:rFonts w:cs="Arial"/>
        </w:rPr>
        <w:t xml:space="preserve"> sensitiser</w:t>
      </w:r>
      <w:r w:rsidRPr="00D01B1B">
        <w:rPr>
          <w:rFonts w:cs="Arial"/>
        </w:rPr>
        <w:t xml:space="preserve"> or respiratory sensitiser according to the GHS.</w:t>
      </w:r>
    </w:p>
    <w:p w14:paraId="2496ABD9" w14:textId="5C7819EC" w:rsidR="0025734A" w:rsidRPr="004C23F4" w:rsidRDefault="00584CCD" w:rsidP="00D01B1B">
      <w:pPr>
        <w:rPr>
          <w:rFonts w:cs="Arial"/>
        </w:rPr>
      </w:pPr>
      <w:r>
        <w:rPr>
          <w:rFonts w:cs="Arial"/>
        </w:rPr>
        <w:t>A s</w:t>
      </w:r>
      <w:r w:rsidR="0021096B">
        <w:rPr>
          <w:rFonts w:cs="Arial"/>
        </w:rPr>
        <w:t>kin notation</w:t>
      </w:r>
      <w:r>
        <w:rPr>
          <w:rFonts w:cs="Arial"/>
        </w:rPr>
        <w:t xml:space="preserve"> is</w:t>
      </w:r>
      <w:r w:rsidR="0021096B">
        <w:rPr>
          <w:rFonts w:cs="Arial"/>
        </w:rPr>
        <w:t xml:space="preserve"> recommended based on evidence</w:t>
      </w:r>
      <w:r w:rsidR="00257879">
        <w:rPr>
          <w:rFonts w:cs="Arial"/>
        </w:rPr>
        <w:t xml:space="preserve"> of dermal absorption contributing to total body burden</w:t>
      </w:r>
      <w:r w:rsidR="0021096B">
        <w:rPr>
          <w:rFonts w:cs="Arial"/>
        </w:rPr>
        <w:t xml:space="preserve"> in animals.</w:t>
      </w:r>
    </w:p>
    <w:p w14:paraId="10790FD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F608CB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602D60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FCDF491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5DA391E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359E40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B2C08C8" w14:textId="1EA62912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01B1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D01B1B">
                  <w:t>TWA: 25 ppm (100 mg/m</w:t>
                </w:r>
                <w:r w:rsidR="00D01B1B" w:rsidRPr="00D01B1B">
                  <w:rPr>
                    <w:vertAlign w:val="superscript"/>
                  </w:rPr>
                  <w:t>3</w:t>
                </w:r>
                <w:r w:rsidR="00D01B1B">
                  <w:t>)</w:t>
                </w:r>
              </w:sdtContent>
            </w:sdt>
          </w:p>
        </w:tc>
      </w:tr>
      <w:tr w:rsidR="00C978F0" w:rsidRPr="00DA352E" w14:paraId="0A1CC4E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A8CE43C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95D0C0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CBA124F" w14:textId="2DED366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01B1B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01B1B">
                  <w:t>TLV-TWA: 20 ppm (80 mg/m</w:t>
                </w:r>
                <w:r w:rsidR="00D01B1B" w:rsidRPr="00D01B1B">
                  <w:rPr>
                    <w:vertAlign w:val="superscript"/>
                  </w:rPr>
                  <w:t>3</w:t>
                </w:r>
                <w:r w:rsidR="00D01B1B">
                  <w:t>); TLV-STEL: 50 ppm (200 mg/m</w:t>
                </w:r>
                <w:r w:rsidR="00D01B1B" w:rsidRPr="00D01B1B">
                  <w:rPr>
                    <w:vertAlign w:val="superscript"/>
                  </w:rPr>
                  <w:t>3</w:t>
                </w:r>
                <w:r w:rsidR="00D01B1B">
                  <w:t>)</w:t>
                </w:r>
              </w:sdtContent>
            </w:sdt>
          </w:p>
        </w:tc>
      </w:tr>
      <w:tr w:rsidR="00C978F0" w:rsidRPr="00DA352E" w14:paraId="3266872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98BE590" w14:textId="03A5D443" w:rsidR="00C978F0" w:rsidRDefault="00BD6ABD" w:rsidP="003365A5">
            <w:pPr>
              <w:pStyle w:val="Tabletextprimarysource"/>
            </w:pPr>
            <w:r>
              <w:t>TLV-TWA and TLV-STEL recommended to protect for the potential for eye, nasal and throat irritation, effects on the CNS and possible effects on the liver and kidneys.</w:t>
            </w:r>
          </w:p>
          <w:p w14:paraId="188C5BA2" w14:textId="77777777" w:rsidR="00BD6ABD" w:rsidRDefault="00BD6ABD" w:rsidP="003365A5">
            <w:pPr>
              <w:pStyle w:val="Tabletextprimarysource"/>
            </w:pPr>
            <w:r>
              <w:t>Summary of data:</w:t>
            </w:r>
          </w:p>
          <w:p w14:paraId="735A2B73" w14:textId="77777777" w:rsidR="00BD6ABD" w:rsidRDefault="00BD6ABD" w:rsidP="003365A5">
            <w:pPr>
              <w:pStyle w:val="Tabletextprimarysource"/>
            </w:pPr>
            <w:r>
              <w:t>Human data:</w:t>
            </w:r>
          </w:p>
          <w:p w14:paraId="5300E0A5" w14:textId="49BB5A85" w:rsidR="00BD6ABD" w:rsidRDefault="00414773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 xml:space="preserve">Human volunteers </w:t>
            </w:r>
            <w:r w:rsidR="00794608">
              <w:t xml:space="preserve">in </w:t>
            </w:r>
            <w:r>
              <w:t>chamber study exposed for 3</w:t>
            </w:r>
            <w:r w:rsidR="00212CF6">
              <w:t>–</w:t>
            </w:r>
            <w:r>
              <w:t>5 min:</w:t>
            </w:r>
          </w:p>
          <w:p w14:paraId="61AA3FE3" w14:textId="77777777" w:rsidR="00414773" w:rsidRDefault="00414773" w:rsidP="00E14250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r>
              <w:t>25 ppm not uncomfortable</w:t>
            </w:r>
          </w:p>
          <w:p w14:paraId="39C03629" w14:textId="77777777" w:rsidR="00414773" w:rsidRDefault="00414773" w:rsidP="00E14250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r>
              <w:t>50 ppm irritating to the throat</w:t>
            </w:r>
          </w:p>
          <w:p w14:paraId="5423C278" w14:textId="77777777" w:rsidR="00414773" w:rsidRDefault="00414773" w:rsidP="00E14250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r>
              <w:t>75 ppm pronounced irritation to eyes, nose and throat</w:t>
            </w:r>
          </w:p>
          <w:p w14:paraId="741B1C75" w14:textId="77777777" w:rsidR="00414773" w:rsidRDefault="00414773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Habituation possibility identified in another volunteer study</w:t>
            </w:r>
          </w:p>
          <w:p w14:paraId="480DDBA0" w14:textId="40152819" w:rsidR="00F03625" w:rsidRDefault="00F03625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Increased eye and respiratory irritation, headache, mood disorders, memory difficulties, bone pain and other symptoms in workers exposed to 41</w:t>
            </w:r>
            <w:r w:rsidR="00257879">
              <w:t>–</w:t>
            </w:r>
            <w:r>
              <w:t>92</w:t>
            </w:r>
            <w:r w:rsidR="00212CF6">
              <w:t> </w:t>
            </w:r>
            <w:r>
              <w:t>ppm (no further information)</w:t>
            </w:r>
          </w:p>
          <w:p w14:paraId="1FE1EA26" w14:textId="77777777" w:rsidR="00E44519" w:rsidRDefault="007F61D2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2</w:t>
            </w:r>
            <w:r w:rsidR="00F03625">
              <w:t xml:space="preserve"> case reports of human sensitisation cyclohexanone </w:t>
            </w:r>
            <w:r w:rsidR="006C59F2">
              <w:t>resin</w:t>
            </w:r>
          </w:p>
          <w:p w14:paraId="2773CE54" w14:textId="2AEC51F0" w:rsidR="00F03625" w:rsidRDefault="00F03625" w:rsidP="00E14250">
            <w:pPr>
              <w:pStyle w:val="Tabletextprimarysource"/>
              <w:numPr>
                <w:ilvl w:val="0"/>
                <w:numId w:val="2"/>
              </w:numPr>
              <w:ind w:left="1094" w:hanging="357"/>
            </w:pPr>
            <w:r>
              <w:t>patch test showed sensitisation to cyclohexanone resin and not the compound itself</w:t>
            </w:r>
          </w:p>
          <w:p w14:paraId="0B6A97B0" w14:textId="53429A12" w:rsidR="00212CF6" w:rsidRDefault="007F61D2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1</w:t>
            </w:r>
            <w:r w:rsidR="006C59F2">
              <w:t xml:space="preserve"> case report of sensitisation to cyclohexanone </w:t>
            </w:r>
            <w:r w:rsidR="00E44519">
              <w:t>confirmed with</w:t>
            </w:r>
            <w:r w:rsidR="006C59F2">
              <w:t xml:space="preserve"> patch testing</w:t>
            </w:r>
            <w:r w:rsidR="00212CF6">
              <w:t>.</w:t>
            </w:r>
          </w:p>
          <w:p w14:paraId="0357B7BD" w14:textId="77777777" w:rsidR="00151961" w:rsidRDefault="00151961" w:rsidP="00151961">
            <w:pPr>
              <w:pStyle w:val="Tabletextprimarysource"/>
            </w:pPr>
            <w:r>
              <w:t>Animal data:</w:t>
            </w:r>
          </w:p>
          <w:p w14:paraId="69DF7011" w14:textId="57D4FF13" w:rsidR="00151961" w:rsidRDefault="00A2167B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4</w:t>
            </w:r>
            <w:r w:rsidR="007F61D2">
              <w:t xml:space="preserve"> </w:t>
            </w:r>
            <w:r>
              <w:t>h LC</w:t>
            </w:r>
            <w:r w:rsidRPr="00794608">
              <w:rPr>
                <w:vertAlign w:val="subscript"/>
              </w:rPr>
              <w:t>50</w:t>
            </w:r>
            <w:r w:rsidR="005B7708">
              <w:t>:</w:t>
            </w:r>
            <w:r>
              <w:t xml:space="preserve"> &gt;1,400 ppm and 2,450 ppm</w:t>
            </w:r>
            <w:r w:rsidR="00880C44">
              <w:t xml:space="preserve"> (rats)</w:t>
            </w:r>
          </w:p>
          <w:p w14:paraId="049F9A15" w14:textId="3D1D83D9" w:rsidR="006A7E6F" w:rsidRDefault="006A7E6F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RD</w:t>
            </w:r>
            <w:r w:rsidRPr="00794608">
              <w:rPr>
                <w:vertAlign w:val="subscript"/>
              </w:rPr>
              <w:t>50</w:t>
            </w:r>
            <w:r w:rsidR="005B7708">
              <w:t>:</w:t>
            </w:r>
            <w:r>
              <w:t xml:space="preserve"> 756 ppm </w:t>
            </w:r>
            <w:r w:rsidR="00880C44">
              <w:t>(</w:t>
            </w:r>
            <w:r>
              <w:t>mice</w:t>
            </w:r>
            <w:r w:rsidR="00880C44">
              <w:t>)</w:t>
            </w:r>
            <w:r>
              <w:t xml:space="preserve"> </w:t>
            </w:r>
          </w:p>
          <w:p w14:paraId="508603A4" w14:textId="77777777" w:rsidR="00880C44" w:rsidRDefault="00880C44" w:rsidP="00880C44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LD</w:t>
            </w:r>
            <w:r w:rsidRPr="00794608">
              <w:rPr>
                <w:vertAlign w:val="subscript"/>
              </w:rPr>
              <w:t>50</w:t>
            </w:r>
            <w:r>
              <w:t>:</w:t>
            </w:r>
            <w:r w:rsidRPr="00794608">
              <w:rPr>
                <w:vertAlign w:val="subscript"/>
              </w:rPr>
              <w:t xml:space="preserve"> </w:t>
            </w:r>
            <w:r>
              <w:t>950 mg/kg (rabbits, dermal)</w:t>
            </w:r>
          </w:p>
          <w:p w14:paraId="05D3B85A" w14:textId="39325A4C" w:rsidR="006A7E6F" w:rsidRDefault="00E44519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LOAEL of 190 ppm reported in rabbits for barely demonstrable degenerative changes in the liver and kidneys (</w:t>
            </w:r>
            <w:r w:rsidR="006A7E6F">
              <w:t>50 daily exposures for 6 h</w:t>
            </w:r>
            <w:r>
              <w:t>)</w:t>
            </w:r>
            <w:r w:rsidR="00AB22FB">
              <w:t xml:space="preserve"> </w:t>
            </w:r>
          </w:p>
          <w:p w14:paraId="315C9195" w14:textId="616F9EAB" w:rsidR="0017697E" w:rsidRDefault="0017697E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CNS effects (pupil dilation, lacrimation, stupor, ataxia) and increased liver weights, plasma-cell infiltrates in hepatic veins, bone marrow hyperplasia and metabolic acidosis</w:t>
            </w:r>
            <w:r w:rsidR="00880C44">
              <w:t xml:space="preserve"> reported in dogs (IV; 284 mg/kg/d)</w:t>
            </w:r>
          </w:p>
          <w:p w14:paraId="3867F17B" w14:textId="126FF8E7" w:rsidR="00671B10" w:rsidRDefault="00671B10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NOEL of 100 mg/kg in rats</w:t>
            </w:r>
            <w:r w:rsidR="00E44519">
              <w:t xml:space="preserve"> (</w:t>
            </w:r>
            <w:r>
              <w:t>28</w:t>
            </w:r>
            <w:r w:rsidR="007F61D2">
              <w:t xml:space="preserve"> </w:t>
            </w:r>
            <w:r>
              <w:t xml:space="preserve">d </w:t>
            </w:r>
            <w:r w:rsidR="00E44519">
              <w:t>IV) reported</w:t>
            </w:r>
            <w:r>
              <w:t xml:space="preserve"> no adverse pathological, histopathological or serum chemistry effects</w:t>
            </w:r>
          </w:p>
          <w:p w14:paraId="0E914777" w14:textId="0F4B418C" w:rsidR="00AB22FB" w:rsidRDefault="00AB22FB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 xml:space="preserve">NOEL </w:t>
            </w:r>
            <w:r w:rsidR="00880C44">
              <w:t xml:space="preserve">of </w:t>
            </w:r>
            <w:r>
              <w:t>686 ppm for maternal and foetal toxicity in rats</w:t>
            </w:r>
          </w:p>
          <w:p w14:paraId="3B3801A1" w14:textId="77777777" w:rsidR="006A7E6F" w:rsidRDefault="006A7E6F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Irritating to the eyes and skin of rabbits</w:t>
            </w:r>
          </w:p>
          <w:p w14:paraId="7E571928" w14:textId="27A8DA03" w:rsidR="006A7E6F" w:rsidRDefault="006A7E6F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Not a sensitiser in guinea pig maximiser test and mice ear swelling test</w:t>
            </w:r>
          </w:p>
          <w:p w14:paraId="13C07544" w14:textId="4AB2E040" w:rsidR="00AB22FB" w:rsidRDefault="00AB22FB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No mutagenic evidence</w:t>
            </w:r>
            <w:r w:rsidR="007F61D2">
              <w:t>.</w:t>
            </w:r>
          </w:p>
          <w:p w14:paraId="2005807A" w14:textId="77777777" w:rsidR="00383ED1" w:rsidRDefault="00383ED1" w:rsidP="00AB22FB">
            <w:pPr>
              <w:pStyle w:val="Tabletextprimarysource"/>
            </w:pPr>
          </w:p>
          <w:p w14:paraId="4F7EAC6B" w14:textId="0193D957" w:rsidR="00AB22FB" w:rsidRDefault="00AB22FB" w:rsidP="00AB22FB">
            <w:pPr>
              <w:pStyle w:val="Tabletextprimarysource"/>
            </w:pPr>
            <w:r>
              <w:t>TLV-TWA validated via comparison with the translation of the oral NOEL of 100 mg/kg to an air concentration of 700 mg/m</w:t>
            </w:r>
            <w:r>
              <w:rPr>
                <w:vertAlign w:val="superscript"/>
              </w:rPr>
              <w:t>3</w:t>
            </w:r>
            <w:r>
              <w:t xml:space="preserve"> (175 ppm); derived with 10 m</w:t>
            </w:r>
            <w:r>
              <w:rPr>
                <w:vertAlign w:val="superscript"/>
              </w:rPr>
              <w:t>3</w:t>
            </w:r>
            <w:r>
              <w:t xml:space="preserve"> volume of air over 8</w:t>
            </w:r>
            <w:r w:rsidR="007F61D2">
              <w:t xml:space="preserve"> </w:t>
            </w:r>
            <w:r>
              <w:t>h shift, 70 kg body weight</w:t>
            </w:r>
            <w:r w:rsidR="007F61D2">
              <w:t>.</w:t>
            </w:r>
          </w:p>
          <w:p w14:paraId="61A2821D" w14:textId="1F5C0201" w:rsidR="00212CF6" w:rsidRPr="00AB22FB" w:rsidRDefault="00212CF6" w:rsidP="00E14250">
            <w:pPr>
              <w:pStyle w:val="Tabletextprimarysource"/>
            </w:pPr>
          </w:p>
        </w:tc>
      </w:tr>
      <w:tr w:rsidR="00C978F0" w:rsidRPr="00DA352E" w14:paraId="0A142F3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25AA261" w14:textId="2B0B674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500D6">
                  <w:t>1998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16C4A">
                  <w:t>NA</w:t>
                </w:r>
              </w:sdtContent>
            </w:sdt>
          </w:p>
        </w:tc>
      </w:tr>
      <w:tr w:rsidR="00C978F0" w:rsidRPr="00DA352E" w14:paraId="75D9BFCD" w14:textId="77777777" w:rsidTr="00E14250">
        <w:trPr>
          <w:gridAfter w:val="1"/>
          <w:wAfter w:w="8" w:type="pct"/>
        </w:trPr>
        <w:tc>
          <w:tcPr>
            <w:tcW w:w="4992" w:type="pct"/>
          </w:tcPr>
          <w:p w14:paraId="79386365" w14:textId="77777777" w:rsidR="00C978F0" w:rsidRDefault="00D500D6" w:rsidP="003365A5">
            <w:pPr>
              <w:pStyle w:val="Tabletextprimarysource"/>
            </w:pPr>
            <w:r>
              <w:t>No MAK recommended due to the unclear genesis of the thyroid gland tumours in the rat.</w:t>
            </w:r>
          </w:p>
          <w:p w14:paraId="4C561426" w14:textId="0E9070E5" w:rsidR="00D500D6" w:rsidRDefault="00D500D6" w:rsidP="003365A5">
            <w:pPr>
              <w:pStyle w:val="Tabletextprimarysource"/>
            </w:pPr>
            <w:r>
              <w:t>Summary of additional data:</w:t>
            </w:r>
          </w:p>
          <w:p w14:paraId="5647B38B" w14:textId="3DE6EE2B" w:rsidR="00D500D6" w:rsidRDefault="00D500D6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NOEL of 25 ppm</w:t>
            </w:r>
            <w:r w:rsidR="00880C44">
              <w:t xml:space="preserve"> reported in humans (same study as ACGIH)</w:t>
            </w:r>
          </w:p>
          <w:p w14:paraId="683628BC" w14:textId="6E66AFBF" w:rsidR="00D500D6" w:rsidRDefault="00D500D6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lastRenderedPageBreak/>
              <w:t>Refers to the NOEL of 100 mg/kg in rabbits (ACGIH, 2018)</w:t>
            </w:r>
          </w:p>
          <w:p w14:paraId="7471283F" w14:textId="5AA7F7F5" w:rsidR="00D500D6" w:rsidRDefault="00D500D6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In a long-term drinking water study with rats, an increase in follicular thyroid gland tumours was observed in the high dose group</w:t>
            </w:r>
            <w:r w:rsidR="00F217B0">
              <w:t>.</w:t>
            </w:r>
          </w:p>
          <w:p w14:paraId="6E3478F5" w14:textId="77777777" w:rsidR="00383ED1" w:rsidRDefault="00383ED1" w:rsidP="003365A5">
            <w:pPr>
              <w:pStyle w:val="Tabletextprimarysource"/>
            </w:pPr>
          </w:p>
          <w:p w14:paraId="403B8DE4" w14:textId="7F5B5763" w:rsidR="00D500D6" w:rsidRDefault="00D500D6" w:rsidP="003365A5">
            <w:pPr>
              <w:pStyle w:val="Tabletextprimarysource"/>
            </w:pPr>
            <w:r>
              <w:t xml:space="preserve">Systemic effects at concentrations markedly higher than NOEL for </w:t>
            </w:r>
            <w:proofErr w:type="spellStart"/>
            <w:r>
              <w:t>irritative</w:t>
            </w:r>
            <w:proofErr w:type="spellEnd"/>
            <w:r>
              <w:t xml:space="preserve"> effects</w:t>
            </w:r>
            <w:r w:rsidR="007F61D2">
              <w:t>.</w:t>
            </w:r>
          </w:p>
          <w:p w14:paraId="436431DD" w14:textId="12B4E17F" w:rsidR="00F217B0" w:rsidRPr="00DA352E" w:rsidRDefault="00F217B0" w:rsidP="003365A5">
            <w:pPr>
              <w:pStyle w:val="Tabletextprimarysource"/>
            </w:pPr>
          </w:p>
        </w:tc>
      </w:tr>
      <w:tr w:rsidR="00C978F0" w:rsidRPr="00DA352E" w14:paraId="41B194D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DA0177B" w14:textId="0778895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13233">
                  <w:t>1992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13233">
                  <w:t>TWA: 10 ppm (40.8 mg/m</w:t>
                </w:r>
                <w:r w:rsidR="00D13233" w:rsidRPr="00D13233">
                  <w:rPr>
                    <w:vertAlign w:val="superscript"/>
                  </w:rPr>
                  <w:t>3</w:t>
                </w:r>
                <w:r w:rsidR="00D13233">
                  <w:t>); STEL: 20 ppm (81.6 mg/m</w:t>
                </w:r>
                <w:r w:rsidR="00D13233" w:rsidRPr="00D13233">
                  <w:rPr>
                    <w:vertAlign w:val="superscript"/>
                  </w:rPr>
                  <w:t>3</w:t>
                </w:r>
                <w:r w:rsidR="00D13233">
                  <w:t>)</w:t>
                </w:r>
              </w:sdtContent>
            </w:sdt>
          </w:p>
        </w:tc>
      </w:tr>
      <w:tr w:rsidR="00C978F0" w:rsidRPr="00DA352E" w14:paraId="4118CC8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F57E471" w14:textId="77777777" w:rsidR="00C978F0" w:rsidRDefault="009F2D06" w:rsidP="003365A5">
            <w:pPr>
              <w:pStyle w:val="Tabletextprimarysource"/>
            </w:pPr>
            <w:r>
              <w:t>Summary of additional data:</w:t>
            </w:r>
          </w:p>
          <w:p w14:paraId="4440F190" w14:textId="77777777" w:rsidR="009F2D06" w:rsidRDefault="009F2D06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TWA is based on the NOAEL of 25 ppm in human volunteers for irritation to the throat and eyes (DFG, 1998) with an uncertainty factor of 2 applied</w:t>
            </w:r>
          </w:p>
          <w:p w14:paraId="5618A7BD" w14:textId="6B89A5A7" w:rsidR="009F2D06" w:rsidRDefault="009F2D06" w:rsidP="00E14250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Justified by comparison with systemic effects NOAEL of 100 mg/kg</w:t>
            </w:r>
            <w:r w:rsidR="00F217B0">
              <w:t>.</w:t>
            </w:r>
          </w:p>
          <w:p w14:paraId="36F3FC1D" w14:textId="77777777" w:rsidR="00383ED1" w:rsidRDefault="00383ED1" w:rsidP="00165FB0">
            <w:pPr>
              <w:pStyle w:val="Tabletextprimarysource"/>
            </w:pPr>
          </w:p>
          <w:p w14:paraId="09B8B264" w14:textId="7BDF0C9E" w:rsidR="00165FB0" w:rsidRDefault="009036EE" w:rsidP="00165FB0">
            <w:pPr>
              <w:pStyle w:val="Tabletextprimarysource"/>
            </w:pPr>
            <w:r>
              <w:t>A skin notation is also recommended as dermal absorption could contribute substantially to the total body burden</w:t>
            </w:r>
            <w:r w:rsidR="007F61D2">
              <w:t>.</w:t>
            </w:r>
          </w:p>
          <w:p w14:paraId="54A7B6B3" w14:textId="4761B063" w:rsidR="00F217B0" w:rsidRPr="00DA352E" w:rsidRDefault="00F217B0" w:rsidP="00165FB0">
            <w:pPr>
              <w:pStyle w:val="Tabletextprimarysource"/>
            </w:pPr>
          </w:p>
        </w:tc>
      </w:tr>
      <w:tr w:rsidR="00DA352E" w:rsidRPr="00DA352E" w14:paraId="6BC0D4C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F6AB579" w14:textId="58211A6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1323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D13233">
                  <w:t>NA</w:t>
                </w:r>
                <w:proofErr w:type="spellEnd"/>
              </w:sdtContent>
            </w:sdt>
          </w:p>
        </w:tc>
      </w:tr>
      <w:tr w:rsidR="00DA352E" w:rsidRPr="00DA352E" w14:paraId="6BC6A2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FAF8678" w14:textId="2AC2110E" w:rsidR="00DA352E" w:rsidRPr="00DA352E" w:rsidRDefault="00D13233" w:rsidP="003365A5">
            <w:pPr>
              <w:pStyle w:val="Tabletextprimarysource"/>
            </w:pPr>
            <w:r>
              <w:t>No report</w:t>
            </w:r>
            <w:r w:rsidR="00794608">
              <w:t>.</w:t>
            </w:r>
          </w:p>
        </w:tc>
      </w:tr>
      <w:tr w:rsidR="00DA352E" w:rsidRPr="00DA352E" w14:paraId="7EC4759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E41D63B" w14:textId="6F6F6F4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1323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D13233">
                  <w:t>NA</w:t>
                </w:r>
                <w:proofErr w:type="spellEnd"/>
              </w:sdtContent>
            </w:sdt>
          </w:p>
        </w:tc>
      </w:tr>
      <w:tr w:rsidR="00DA352E" w:rsidRPr="00DA352E" w14:paraId="768B57C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1DF173D" w14:textId="2E927ABD" w:rsidR="00DA352E" w:rsidRPr="00DA352E" w:rsidRDefault="00D13233" w:rsidP="003365A5">
            <w:pPr>
              <w:pStyle w:val="Tabletextprimarysource"/>
            </w:pPr>
            <w:r>
              <w:t>No report</w:t>
            </w:r>
            <w:r w:rsidR="00794608">
              <w:t>.</w:t>
            </w:r>
          </w:p>
        </w:tc>
      </w:tr>
    </w:tbl>
    <w:p w14:paraId="5AB428BD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504"/>
        <w:gridCol w:w="423"/>
        <w:gridCol w:w="661"/>
        <w:gridCol w:w="6438"/>
      </w:tblGrid>
      <w:tr w:rsidR="004966BF" w:rsidRPr="00263255" w14:paraId="10B46584" w14:textId="77777777" w:rsidTr="00343E36">
        <w:trPr>
          <w:cantSplit/>
          <w:trHeight w:val="393"/>
          <w:tblHeader/>
        </w:trPr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4C8BCFC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AAEB51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0B66559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8" w:type="dxa"/>
            <w:shd w:val="clear" w:color="auto" w:fill="BFBFBF" w:themeFill="background1" w:themeFillShade="BF"/>
            <w:vAlign w:val="center"/>
          </w:tcPr>
          <w:p w14:paraId="6FEDCBE8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343E36" w:rsidRPr="004C23F4" w14:paraId="453868DF" w14:textId="77777777" w:rsidTr="00343E36">
        <w:trPr>
          <w:cantSplit/>
        </w:trPr>
        <w:tc>
          <w:tcPr>
            <w:tcW w:w="1505" w:type="dxa"/>
          </w:tcPr>
          <w:p w14:paraId="5EDE4767" w14:textId="77777777" w:rsidR="00343E36" w:rsidRPr="004C23F4" w:rsidRDefault="00343E36" w:rsidP="00343E36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0662EDC" w14:textId="2E800A95" w:rsidR="00343E36" w:rsidRPr="00CE617F" w:rsidRDefault="006A7F34" w:rsidP="00343E36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04B2DD8AC51847B0BA4096EE8BBC8E4C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43E3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3B206BBD" w14:textId="77777777" w:rsidR="00343E36" w:rsidRPr="004C23F4" w:rsidRDefault="00343E36" w:rsidP="00343E36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48" w:type="dxa"/>
          </w:tcPr>
          <w:p w14:paraId="65D205E1" w14:textId="30D85DC9" w:rsidR="00343E36" w:rsidRPr="004C23F4" w:rsidRDefault="00343E36" w:rsidP="00E14250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Human health tier I assessment </w:t>
            </w:r>
            <w:r w:rsidR="00383ED1">
              <w:rPr>
                <w:rStyle w:val="checkbox"/>
                <w:rFonts w:ascii="Arial" w:hAnsi="Arial" w:cs="Arial"/>
              </w:rPr>
              <w:t>–</w:t>
            </w:r>
            <w:r w:rsidR="0057507C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Fonts w:cs="Arial"/>
                <w:color w:val="262626"/>
              </w:rPr>
              <w:t>not considered to pose an unreasonable risk to the health of workers based on the Tier I IMAP assessment</w:t>
            </w:r>
            <w:r w:rsidR="007F61D2">
              <w:rPr>
                <w:rFonts w:cs="Arial"/>
                <w:color w:val="262626"/>
              </w:rPr>
              <w:t>.</w:t>
            </w:r>
          </w:p>
        </w:tc>
      </w:tr>
      <w:tr w:rsidR="00343E36" w:rsidRPr="004C23F4" w14:paraId="732BBE8B" w14:textId="77777777" w:rsidTr="00343E36">
        <w:trPr>
          <w:cantSplit/>
        </w:trPr>
        <w:tc>
          <w:tcPr>
            <w:tcW w:w="1505" w:type="dxa"/>
          </w:tcPr>
          <w:p w14:paraId="673F3041" w14:textId="77777777" w:rsidR="00343E36" w:rsidRPr="004C23F4" w:rsidRDefault="00343E36" w:rsidP="00343E36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7E2B2A11" w14:textId="54DBFBAF" w:rsidR="00343E36" w:rsidRPr="00CE617F" w:rsidRDefault="006A7F34" w:rsidP="00343E36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50238AEE968F499A924EC0EBA8AA842B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43E3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58F9C310" w14:textId="70D492B3" w:rsidR="00343E36" w:rsidRPr="004C23F4" w:rsidRDefault="00E808E4" w:rsidP="00343E36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448" w:type="dxa"/>
          </w:tcPr>
          <w:p w14:paraId="6561583B" w14:textId="77777777" w:rsidR="00343E36" w:rsidRDefault="00343E36" w:rsidP="00E14250">
            <w:pPr>
              <w:pStyle w:val="ListBullet"/>
              <w:numPr>
                <w:ilvl w:val="0"/>
                <w:numId w:val="4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Workers – hazard </w:t>
            </w:r>
            <w:r w:rsidRPr="00E14250">
              <w:rPr>
                <w:rStyle w:val="checkbox"/>
                <w:rFonts w:ascii="Arial" w:hAnsi="Arial" w:cs="Arial"/>
                <w:i/>
              </w:rPr>
              <w:t>via</w:t>
            </w:r>
            <w:r>
              <w:rPr>
                <w:rStyle w:val="checkbox"/>
                <w:rFonts w:ascii="Arial" w:hAnsi="Arial" w:cs="Arial"/>
              </w:rPr>
              <w:t xml:space="preserve"> inhalation route:</w:t>
            </w:r>
          </w:p>
          <w:p w14:paraId="236370A9" w14:textId="4E522B9B" w:rsidR="00383ED1" w:rsidRDefault="00383ED1" w:rsidP="00E14250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</w:t>
            </w:r>
            <w:r w:rsidR="00343E36">
              <w:rPr>
                <w:rStyle w:val="checkbox"/>
                <w:rFonts w:ascii="Arial" w:hAnsi="Arial" w:cs="Arial"/>
              </w:rPr>
              <w:t>ong term DNEL of 40 mg/m</w:t>
            </w:r>
            <w:r w:rsidR="00343E36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343E36">
              <w:rPr>
                <w:rStyle w:val="checkbox"/>
                <w:rFonts w:ascii="Arial" w:hAnsi="Arial" w:cs="Arial"/>
              </w:rPr>
              <w:t xml:space="preserve"> for repeat dose and skin irritation; modified starting point NOAEC</w:t>
            </w:r>
          </w:p>
          <w:p w14:paraId="35BB99E4" w14:textId="10543FE0" w:rsidR="00383ED1" w:rsidRPr="00383ED1" w:rsidRDefault="00383ED1" w:rsidP="00E14250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</w:t>
            </w:r>
            <w:r w:rsidR="00343E36" w:rsidRPr="00383ED1">
              <w:rPr>
                <w:rStyle w:val="checkbox"/>
                <w:rFonts w:ascii="Arial" w:hAnsi="Arial" w:cs="Arial"/>
              </w:rPr>
              <w:t>cute/short-term DNEL of 80 mg/m</w:t>
            </w:r>
            <w:r w:rsidR="00343E36" w:rsidRPr="00383ED1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343E36" w:rsidRPr="00383ED1">
              <w:rPr>
                <w:rStyle w:val="checkbox"/>
                <w:rFonts w:ascii="Arial" w:hAnsi="Arial" w:cs="Arial"/>
              </w:rPr>
              <w:t xml:space="preserve"> for repeat dose and skin irritation; modified starting point NOAEC</w:t>
            </w:r>
          </w:p>
          <w:p w14:paraId="00BD2471" w14:textId="0B232EBF" w:rsidR="00343E36" w:rsidRPr="00383ED1" w:rsidRDefault="00383ED1" w:rsidP="00E14250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proofErr w:type="gramStart"/>
            <w:r>
              <w:rPr>
                <w:rStyle w:val="checkbox"/>
                <w:rFonts w:ascii="Arial" w:hAnsi="Arial" w:cs="Arial"/>
              </w:rPr>
              <w:t>a</w:t>
            </w:r>
            <w:r w:rsidR="00343E36" w:rsidRPr="00383ED1">
              <w:rPr>
                <w:rStyle w:val="checkbox"/>
                <w:rFonts w:ascii="Arial" w:hAnsi="Arial" w:cs="Arial"/>
              </w:rPr>
              <w:t>s</w:t>
            </w:r>
            <w:proofErr w:type="gramEnd"/>
            <w:r w:rsidR="00343E36" w:rsidRPr="00383ED1">
              <w:rPr>
                <w:rStyle w:val="checkbox"/>
                <w:rFonts w:ascii="Arial" w:hAnsi="Arial" w:cs="Arial"/>
              </w:rPr>
              <w:t xml:space="preserve"> described, no further information provided</w:t>
            </w:r>
            <w:r w:rsidR="007F61D2" w:rsidRPr="00383ED1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63018260" w14:textId="77777777" w:rsidR="007E2A4B" w:rsidRDefault="007E2A4B" w:rsidP="005B7708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97B1A01" w14:textId="77777777" w:rsidTr="00343E36">
        <w:trPr>
          <w:trHeight w:val="454"/>
          <w:tblHeader/>
        </w:trPr>
        <w:tc>
          <w:tcPr>
            <w:tcW w:w="6603" w:type="dxa"/>
            <w:vAlign w:val="center"/>
          </w:tcPr>
          <w:p w14:paraId="4BF38998" w14:textId="77777777" w:rsidR="002E0D61" w:rsidRDefault="00B1422A" w:rsidP="005B7708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8F27B90" w14:textId="4F4985AD" w:rsidR="002E0D61" w:rsidRDefault="00343E36" w:rsidP="005B7708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4F0DE59" w14:textId="77777777" w:rsidTr="00343E36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08E7731" w14:textId="2F6FCC89" w:rsidR="008A36CF" w:rsidRPr="006901A2" w:rsidRDefault="00343E36" w:rsidP="005B7708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47F5BC8" w14:textId="77777777" w:rsidR="008A36CF" w:rsidRDefault="008A36CF" w:rsidP="005B7708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2776BAAC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A7AF693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0E41062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855466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0091B61" w14:textId="77777777" w:rsidTr="00812887">
        <w:trPr>
          <w:cantSplit/>
        </w:trPr>
        <w:tc>
          <w:tcPr>
            <w:tcW w:w="3227" w:type="dxa"/>
          </w:tcPr>
          <w:p w14:paraId="7A52235D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C23AF4E" w14:textId="6EA77A23" w:rsidR="00687890" w:rsidRPr="00DD2F9B" w:rsidRDefault="00D13233" w:rsidP="00DD2F9B">
            <w:pPr>
              <w:pStyle w:val="Tablefont"/>
            </w:pPr>
            <w:r w:rsidRPr="00D13233">
              <w:t>Skin</w:t>
            </w:r>
          </w:p>
        </w:tc>
      </w:tr>
      <w:tr w:rsidR="007925F0" w:rsidRPr="004C23F4" w14:paraId="0E15709E" w14:textId="77777777" w:rsidTr="00812887">
        <w:trPr>
          <w:cantSplit/>
        </w:trPr>
        <w:tc>
          <w:tcPr>
            <w:tcW w:w="3227" w:type="dxa"/>
          </w:tcPr>
          <w:p w14:paraId="386C1C2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67FC0D5" w14:textId="304C4330" w:rsidR="007925F0" w:rsidRPr="00DD2F9B" w:rsidRDefault="00D13233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EDA6DEF" w14:textId="77777777" w:rsidTr="00812887">
        <w:trPr>
          <w:cantSplit/>
        </w:trPr>
        <w:tc>
          <w:tcPr>
            <w:tcW w:w="3227" w:type="dxa"/>
          </w:tcPr>
          <w:p w14:paraId="678E0A9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F38BDE9" w14:textId="6094D6BF" w:rsidR="00AF483F" w:rsidRPr="00DD2F9B" w:rsidRDefault="00D13233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6F8203E" w14:textId="77777777" w:rsidTr="00812887">
        <w:trPr>
          <w:cantSplit/>
        </w:trPr>
        <w:tc>
          <w:tcPr>
            <w:tcW w:w="3227" w:type="dxa"/>
          </w:tcPr>
          <w:p w14:paraId="2CB83EF2" w14:textId="77777777" w:rsidR="004079B4" w:rsidRPr="004C23F4" w:rsidRDefault="00687890" w:rsidP="00F4402E">
            <w:pPr>
              <w:pStyle w:val="Tablefont"/>
            </w:pPr>
            <w:r w:rsidRPr="004C23F4">
              <w:lastRenderedPageBreak/>
              <w:t>EU Annex</w:t>
            </w:r>
          </w:p>
        </w:tc>
        <w:tc>
          <w:tcPr>
            <w:tcW w:w="6015" w:type="dxa"/>
          </w:tcPr>
          <w:p w14:paraId="33538A94" w14:textId="7002C1F7" w:rsidR="00687890" w:rsidRPr="00DD2F9B" w:rsidRDefault="00D1323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C04FA48" w14:textId="77777777" w:rsidTr="00812887">
        <w:trPr>
          <w:cantSplit/>
        </w:trPr>
        <w:tc>
          <w:tcPr>
            <w:tcW w:w="3227" w:type="dxa"/>
          </w:tcPr>
          <w:p w14:paraId="17F9A12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EA7F23D" w14:textId="1822AC45" w:rsidR="00E41A26" w:rsidRPr="00DD2F9B" w:rsidRDefault="00D1323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447F4D2" w14:textId="77777777" w:rsidTr="00812887">
        <w:trPr>
          <w:cantSplit/>
        </w:trPr>
        <w:tc>
          <w:tcPr>
            <w:tcW w:w="3227" w:type="dxa"/>
          </w:tcPr>
          <w:p w14:paraId="16027A1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813A258" w14:textId="64E43450" w:rsidR="002E0D61" w:rsidRPr="00DD2F9B" w:rsidRDefault="00D13233" w:rsidP="00DD2F9B">
            <w:pPr>
              <w:pStyle w:val="Tablefont"/>
            </w:pPr>
            <w:r w:rsidRPr="00D13233">
              <w:t>Skin</w:t>
            </w:r>
            <w:r>
              <w:t xml:space="preserve">, </w:t>
            </w:r>
            <w:r w:rsidRPr="00D13233">
              <w:t>Carcinogenicity – A3</w:t>
            </w:r>
          </w:p>
        </w:tc>
      </w:tr>
      <w:tr w:rsidR="002E0D61" w:rsidRPr="004C23F4" w14:paraId="76635899" w14:textId="77777777" w:rsidTr="00812887">
        <w:trPr>
          <w:cantSplit/>
        </w:trPr>
        <w:tc>
          <w:tcPr>
            <w:tcW w:w="3227" w:type="dxa"/>
          </w:tcPr>
          <w:p w14:paraId="7787D0A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05CE253" w14:textId="0906C259" w:rsidR="002E0D61" w:rsidRPr="00DD2F9B" w:rsidRDefault="00D13233" w:rsidP="00DD2F9B">
            <w:pPr>
              <w:pStyle w:val="Tablefont"/>
            </w:pPr>
            <w:r w:rsidRPr="00D13233">
              <w:t>—</w:t>
            </w:r>
          </w:p>
        </w:tc>
      </w:tr>
      <w:tr w:rsidR="002E0D61" w:rsidRPr="004C23F4" w14:paraId="294CC07C" w14:textId="77777777" w:rsidTr="00812887">
        <w:trPr>
          <w:cantSplit/>
        </w:trPr>
        <w:tc>
          <w:tcPr>
            <w:tcW w:w="3227" w:type="dxa"/>
          </w:tcPr>
          <w:p w14:paraId="5C4AEC9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163B613" w14:textId="54338BBD" w:rsidR="002E0D61" w:rsidRPr="00DD2F9B" w:rsidRDefault="00D13233" w:rsidP="00DD2F9B">
            <w:pPr>
              <w:pStyle w:val="Tablefont"/>
            </w:pPr>
            <w:r w:rsidRPr="00D13233">
              <w:t>Skin</w:t>
            </w:r>
          </w:p>
        </w:tc>
      </w:tr>
      <w:tr w:rsidR="002E0D61" w:rsidRPr="004C23F4" w14:paraId="50ABC350" w14:textId="77777777" w:rsidTr="00812887">
        <w:trPr>
          <w:cantSplit/>
        </w:trPr>
        <w:tc>
          <w:tcPr>
            <w:tcW w:w="3227" w:type="dxa"/>
          </w:tcPr>
          <w:p w14:paraId="008116C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352F5C7" w14:textId="31E60A97" w:rsidR="002E0D61" w:rsidRPr="00DD2F9B" w:rsidRDefault="00D1323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8AF0655" w14:textId="77777777" w:rsidTr="00812887">
        <w:trPr>
          <w:cantSplit/>
        </w:trPr>
        <w:tc>
          <w:tcPr>
            <w:tcW w:w="3227" w:type="dxa"/>
          </w:tcPr>
          <w:p w14:paraId="6870A85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4F79229" w14:textId="52DDC430" w:rsidR="00386093" w:rsidRPr="00DD2F9B" w:rsidRDefault="00D13233" w:rsidP="00DD2F9B">
            <w:pPr>
              <w:pStyle w:val="Tablefont"/>
            </w:pPr>
            <w:r w:rsidRPr="00D13233">
              <w:t>Carcinogenicity – Group 3</w:t>
            </w:r>
          </w:p>
        </w:tc>
      </w:tr>
      <w:tr w:rsidR="00386093" w:rsidRPr="004C23F4" w14:paraId="39D540C9" w14:textId="77777777" w:rsidTr="00812887">
        <w:trPr>
          <w:cantSplit/>
        </w:trPr>
        <w:tc>
          <w:tcPr>
            <w:tcW w:w="3227" w:type="dxa"/>
          </w:tcPr>
          <w:p w14:paraId="1D92EA1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82BF7FC" w14:textId="42EBE0C3" w:rsidR="00386093" w:rsidRPr="00DD2F9B" w:rsidRDefault="00D1323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523286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0D0BE0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C084B5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3179DA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4A6132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8" w:type="dxa"/>
              <w:tblLook w:val="04A0" w:firstRow="1" w:lastRow="0" w:firstColumn="1" w:lastColumn="0" w:noHBand="0" w:noVBand="1"/>
            </w:tblPr>
            <w:tblGrid>
              <w:gridCol w:w="3586"/>
              <w:gridCol w:w="1056"/>
              <w:gridCol w:w="1056"/>
              <w:gridCol w:w="3112"/>
            </w:tblGrid>
            <w:tr w:rsidR="00343E36" w:rsidRPr="00343E36" w14:paraId="69E2EEFF" w14:textId="77777777" w:rsidTr="00343E36">
              <w:trPr>
                <w:trHeight w:val="332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1E8DFB" w14:textId="77777777" w:rsidR="00343E36" w:rsidRPr="00343E36" w:rsidRDefault="00343E36" w:rsidP="00343E3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397C06" w14:textId="77777777" w:rsidR="00343E36" w:rsidRPr="00343E36" w:rsidRDefault="00343E36" w:rsidP="00343E3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57C19B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AB1F77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43E36" w:rsidRPr="00343E36" w14:paraId="10169082" w14:textId="77777777" w:rsidTr="00343E36">
              <w:trPr>
                <w:trHeight w:val="332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F79383" w14:textId="77777777" w:rsidR="00343E36" w:rsidRPr="00343E36" w:rsidRDefault="00343E36" w:rsidP="00343E3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1E2F17D" w14:textId="77777777" w:rsidR="00343E36" w:rsidRPr="00343E36" w:rsidRDefault="00343E36" w:rsidP="00343E3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572DA4" w14:textId="77777777" w:rsidR="00343E36" w:rsidRPr="00343E36" w:rsidRDefault="00343E36" w:rsidP="00343E3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7EAF44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43E36" w:rsidRPr="00343E36" w14:paraId="07FC28CA" w14:textId="77777777" w:rsidTr="00343E36">
              <w:trPr>
                <w:trHeight w:val="332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B285AC" w14:textId="77777777" w:rsidR="00343E36" w:rsidRPr="00343E36" w:rsidRDefault="00343E36" w:rsidP="00343E3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BEE508" w14:textId="77777777" w:rsidR="00343E36" w:rsidRPr="00343E36" w:rsidRDefault="00343E36" w:rsidP="00343E3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656408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BB781F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43E36" w:rsidRPr="00343E36" w14:paraId="5CEC87E2" w14:textId="77777777" w:rsidTr="00343E36">
              <w:trPr>
                <w:trHeight w:val="332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B57398" w14:textId="77777777" w:rsidR="00343E36" w:rsidRPr="00343E36" w:rsidRDefault="00343E36" w:rsidP="00343E3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20807D" w14:textId="77777777" w:rsidR="00343E36" w:rsidRPr="00343E36" w:rsidRDefault="00343E36" w:rsidP="00343E3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EDEF09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F80BE2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43E36" w:rsidRPr="00343E36" w14:paraId="171296C4" w14:textId="77777777" w:rsidTr="00343E36">
              <w:trPr>
                <w:trHeight w:val="332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25DE70" w14:textId="77777777" w:rsidR="00343E36" w:rsidRPr="00343E36" w:rsidRDefault="00343E36" w:rsidP="00343E3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D359C3" w14:textId="77777777" w:rsidR="00343E36" w:rsidRPr="00343E36" w:rsidRDefault="00343E36" w:rsidP="00343E3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27570C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432C97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43E36" w:rsidRPr="00343E36" w14:paraId="32926BC0" w14:textId="77777777" w:rsidTr="00343E36">
              <w:trPr>
                <w:trHeight w:val="332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2EA4FC" w14:textId="77777777" w:rsidR="00343E36" w:rsidRPr="00343E36" w:rsidRDefault="00343E36" w:rsidP="00343E3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7C31D5" w14:textId="77777777" w:rsidR="00343E36" w:rsidRPr="00343E36" w:rsidRDefault="00343E36" w:rsidP="00343E3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90B3DC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50E5F2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43E36" w:rsidRPr="00343E36" w14:paraId="1B69BE7A" w14:textId="77777777" w:rsidTr="00343E36">
              <w:trPr>
                <w:trHeight w:val="332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3C81BD" w14:textId="77777777" w:rsidR="00343E36" w:rsidRPr="00343E36" w:rsidRDefault="00343E36" w:rsidP="00343E3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49F318" w14:textId="77777777" w:rsidR="00343E36" w:rsidRPr="00343E36" w:rsidRDefault="00343E36" w:rsidP="00343E3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FFCBD8" w14:textId="77777777" w:rsidR="00343E36" w:rsidRPr="00343E36" w:rsidRDefault="00343E36" w:rsidP="00343E3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3BD511" w14:textId="77777777" w:rsidR="00343E36" w:rsidRPr="00343E36" w:rsidRDefault="00343E36" w:rsidP="00343E3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43E36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540090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23983F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345937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387F7E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23DADE8" w14:textId="7B175D2E" w:rsidR="00EB3D1B" w:rsidRDefault="00343E36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F36410C" w14:textId="77777777" w:rsidR="00687890" w:rsidRPr="004C23F4" w:rsidRDefault="00B479A9" w:rsidP="007F61D2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3D609A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F6A51E2" w14:textId="77777777" w:rsidR="001B79E5" w:rsidRDefault="001B79E5" w:rsidP="005B7708">
            <w:pPr>
              <w:pStyle w:val="Tablefont"/>
              <w:keepNext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CD433DA" w14:textId="29E28CD7" w:rsidR="001B79E5" w:rsidRDefault="005B7708" w:rsidP="005B7708">
                <w:pPr>
                  <w:pStyle w:val="Tablefont"/>
                  <w:keepNext/>
                </w:pPr>
                <w:r>
                  <w:t>98.15</w:t>
                </w:r>
              </w:p>
            </w:tc>
          </w:sdtContent>
        </w:sdt>
      </w:tr>
      <w:tr w:rsidR="00A31D99" w:rsidRPr="004C23F4" w14:paraId="20A3794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53C8B14" w14:textId="77777777" w:rsidR="00A31D99" w:rsidRPr="00263255" w:rsidRDefault="00A31D99" w:rsidP="005B7708">
            <w:pPr>
              <w:pStyle w:val="Tablefont"/>
              <w:keepNext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0EB06871" w14:textId="77777777" w:rsidR="00A31D99" w:rsidRDefault="00A0643F" w:rsidP="005B7708">
            <w:pPr>
              <w:pStyle w:val="Tablefont"/>
              <w:keepNext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F96802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A70D53D" w14:textId="77777777" w:rsidR="00687890" w:rsidRPr="00263255" w:rsidRDefault="00687890" w:rsidP="005B7708">
            <w:pPr>
              <w:pStyle w:val="Tablefont"/>
              <w:keepNext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5B15855" w14:textId="77777777" w:rsidR="00687890" w:rsidRPr="004C23F4" w:rsidRDefault="00E46BCB" w:rsidP="005B7708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570FDDB" w14:textId="77777777" w:rsidTr="00EA6243">
        <w:trPr>
          <w:cantSplit/>
        </w:trPr>
        <w:tc>
          <w:tcPr>
            <w:tcW w:w="4077" w:type="dxa"/>
            <w:vAlign w:val="center"/>
          </w:tcPr>
          <w:p w14:paraId="5BC0539A" w14:textId="77777777" w:rsidR="00687890" w:rsidRPr="00263255" w:rsidRDefault="00687890" w:rsidP="005B7708">
            <w:pPr>
              <w:pStyle w:val="Tablefont"/>
              <w:keepNext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C54348D" w14:textId="77777777" w:rsidR="00687890" w:rsidRPr="004C23F4" w:rsidRDefault="00A20751" w:rsidP="005B7708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1E7AE08" w14:textId="77777777" w:rsidTr="00EA6243">
        <w:trPr>
          <w:cantSplit/>
        </w:trPr>
        <w:tc>
          <w:tcPr>
            <w:tcW w:w="4077" w:type="dxa"/>
            <w:vAlign w:val="center"/>
          </w:tcPr>
          <w:p w14:paraId="1AC7A57C" w14:textId="77777777" w:rsidR="00687890" w:rsidRPr="00263255" w:rsidRDefault="00687890" w:rsidP="005B7708">
            <w:pPr>
              <w:pStyle w:val="Tablefont"/>
              <w:keepNext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824413D" w14:textId="77777777" w:rsidR="00687890" w:rsidRPr="004C23F4" w:rsidRDefault="00687890" w:rsidP="005B7708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5C93FFE" w14:textId="77777777" w:rsidTr="00EA6243">
        <w:trPr>
          <w:cantSplit/>
        </w:trPr>
        <w:tc>
          <w:tcPr>
            <w:tcW w:w="4077" w:type="dxa"/>
            <w:vAlign w:val="center"/>
          </w:tcPr>
          <w:p w14:paraId="500C3FE6" w14:textId="77777777" w:rsidR="00E06F40" w:rsidRPr="00263255" w:rsidRDefault="00E06F40" w:rsidP="005B7708">
            <w:pPr>
              <w:pStyle w:val="Tablefont"/>
              <w:keepNext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0FC2FFA" w14:textId="06D3E1C7" w:rsidR="00E06F40" w:rsidRPr="00A006A0" w:rsidRDefault="006A7F34" w:rsidP="005B7708">
            <w:pPr>
              <w:pStyle w:val="Tablefont"/>
              <w:keepNext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B7708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4A8D9A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782400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CB1B91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915E1C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FF3852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ADFAFC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268222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C488947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45C74DB9" w14:textId="56EE8565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78058C6" w14:textId="2FBA22B2" w:rsidR="00D13233" w:rsidRDefault="00D13233" w:rsidP="00084859">
      <w:r w:rsidRPr="002022B6">
        <w:t>Deutsche Forschungsgemeinschaft (DFG)</w:t>
      </w:r>
      <w:r>
        <w:t xml:space="preserve"> (2006) </w:t>
      </w:r>
      <w:r w:rsidRPr="00D13233">
        <w:t>Cyclohexanone</w:t>
      </w:r>
      <w:r>
        <w:t xml:space="preserve"> – MAK value documentation.</w:t>
      </w:r>
    </w:p>
    <w:p w14:paraId="57E6670B" w14:textId="317D2774" w:rsidR="00D13233" w:rsidRDefault="00D13233" w:rsidP="00084859">
      <w:r w:rsidRPr="002022B6">
        <w:t>EU Scientific Committee on Occupational Exposure Limits (SCOEL)</w:t>
      </w:r>
      <w:r>
        <w:t xml:space="preserve"> (1992) Recommendation from the Scientific Committee on Occupational Exposure Limits for </w:t>
      </w:r>
      <w:r w:rsidRPr="00D13233">
        <w:t>Cyclohexanone</w:t>
      </w:r>
      <w:r>
        <w:t>. SCOEL/</w:t>
      </w:r>
      <w:r w:rsidRPr="00D13233">
        <w:t>SUM/17</w:t>
      </w:r>
      <w:r>
        <w:t>.</w:t>
      </w:r>
    </w:p>
    <w:p w14:paraId="295F5273" w14:textId="11EC9D09" w:rsidR="005B7708" w:rsidRDefault="005B7708" w:rsidP="00084859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242E719A" w14:textId="20F8A6E3" w:rsidR="00D13233" w:rsidRDefault="00D13233" w:rsidP="00001060">
      <w:r w:rsidRPr="002022B6">
        <w:t>International Agency for Research on Cancer</w:t>
      </w:r>
      <w:r>
        <w:t xml:space="preserve"> (IARC) (</w:t>
      </w:r>
      <w:r w:rsidR="00001060">
        <w:t>1999</w:t>
      </w:r>
      <w:r>
        <w:t>)</w:t>
      </w:r>
      <w:r w:rsidR="0057507C">
        <w:t xml:space="preserve"> </w:t>
      </w:r>
      <w:r w:rsidR="00001060">
        <w:t>Cyclohexanone</w:t>
      </w:r>
      <w:r>
        <w:t>. IARC Monographs on the evaluation of the carcinogenic risk to humans.</w:t>
      </w:r>
    </w:p>
    <w:p w14:paraId="7E2718D2" w14:textId="2F14ED69" w:rsidR="005B7708" w:rsidRDefault="005B7708" w:rsidP="00001060">
      <w:r w:rsidRPr="00DB0A36">
        <w:t>National Industrial Chemicals Notification and Assessment Scheme (NICNAS) (</w:t>
      </w:r>
      <w:r>
        <w:t>N.D) Cyclohexanone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sdt>
        <w:sdtPr>
          <w:id w:val="-1295753243"/>
          <w:temporary/>
          <w:showingPlcHdr/>
        </w:sdtPr>
        <w:sdtEndPr/>
        <w:sdtContent>
          <w:r w:rsidRPr="005F4305">
            <w:t>tier II</w:t>
          </w:r>
        </w:sdtContent>
      </w:sdt>
      <w:r w:rsidRPr="004633BA">
        <w:t xml:space="preserve"> assessment </w:t>
      </w:r>
      <w:r w:rsidRPr="00DB0A36">
        <w:t>– IMAP report.</w:t>
      </w:r>
    </w:p>
    <w:p w14:paraId="7A89E980" w14:textId="7FB04437" w:rsidR="005B7708" w:rsidRDefault="005B7708" w:rsidP="005B7708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cyclohexanone. </w:t>
      </w:r>
    </w:p>
    <w:p w14:paraId="56B786CF" w14:textId="77777777" w:rsidR="005B7708" w:rsidRPr="00351FE0" w:rsidRDefault="005B7708" w:rsidP="00001060"/>
    <w:sectPr w:rsidR="005B7708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531D47" w16cid:durableId="214723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A275" w14:textId="77777777" w:rsidR="001268C7" w:rsidRDefault="001268C7" w:rsidP="00F43AD5">
      <w:pPr>
        <w:spacing w:after="0" w:line="240" w:lineRule="auto"/>
      </w:pPr>
      <w:r>
        <w:separator/>
      </w:r>
    </w:p>
  </w:endnote>
  <w:endnote w:type="continuationSeparator" w:id="0">
    <w:p w14:paraId="6667E285" w14:textId="77777777" w:rsidR="001268C7" w:rsidRDefault="001268C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CD56" w14:textId="77777777" w:rsidR="006A7F34" w:rsidRDefault="006A7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2808A30" w14:textId="3C7845BF" w:rsidR="008A36CF" w:rsidRDefault="00B66110" w:rsidP="0034744C">
        <w:pPr>
          <w:pStyle w:val="Footer"/>
          <w:rPr>
            <w:sz w:val="18"/>
            <w:szCs w:val="18"/>
          </w:rPr>
        </w:pPr>
        <w:r w:rsidRPr="00B66110">
          <w:rPr>
            <w:b/>
            <w:sz w:val="18"/>
            <w:szCs w:val="18"/>
          </w:rPr>
          <w:t>Cyclohexanone</w:t>
        </w:r>
        <w:r w:rsidR="008A36CF">
          <w:rPr>
            <w:b/>
            <w:sz w:val="18"/>
            <w:szCs w:val="18"/>
          </w:rPr>
          <w:t xml:space="preserve"> (</w:t>
        </w:r>
        <w:r w:rsidRPr="00B66110">
          <w:rPr>
            <w:b/>
            <w:sz w:val="18"/>
            <w:szCs w:val="18"/>
          </w:rPr>
          <w:t>108-94-1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8423F09" w14:textId="7624AEA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A7F34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572B" w14:textId="77777777" w:rsidR="006A7F34" w:rsidRDefault="006A7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D79A" w14:textId="77777777" w:rsidR="001268C7" w:rsidRDefault="001268C7" w:rsidP="00F43AD5">
      <w:pPr>
        <w:spacing w:after="0" w:line="240" w:lineRule="auto"/>
      </w:pPr>
      <w:r>
        <w:separator/>
      </w:r>
    </w:p>
  </w:footnote>
  <w:footnote w:type="continuationSeparator" w:id="0">
    <w:p w14:paraId="3AB5C647" w14:textId="77777777" w:rsidR="001268C7" w:rsidRDefault="001268C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5772" w14:textId="5AF24127" w:rsidR="006A7F34" w:rsidRDefault="006A7F34">
    <w:pPr>
      <w:pStyle w:val="Header"/>
    </w:pPr>
    <w:r>
      <w:rPr>
        <w:noProof/>
      </w:rPr>
      <w:pict w14:anchorId="47E5E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089016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17DD" w14:textId="4EE6A1EF" w:rsidR="008A36CF" w:rsidRDefault="006A7F34" w:rsidP="00F43AD5">
    <w:pPr>
      <w:pStyle w:val="Header"/>
      <w:jc w:val="right"/>
    </w:pPr>
    <w:r>
      <w:rPr>
        <w:noProof/>
      </w:rPr>
      <w:pict w14:anchorId="10BD72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089017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CF3E" w14:textId="156AF811" w:rsidR="006A7F34" w:rsidRDefault="006A7F34">
    <w:pPr>
      <w:pStyle w:val="Header"/>
    </w:pPr>
    <w:r>
      <w:rPr>
        <w:noProof/>
      </w:rPr>
      <w:pict w14:anchorId="3CF4C6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089015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C4AC8" w14:textId="2B4F78DE" w:rsidR="006A7F34" w:rsidRDefault="006A7F34">
    <w:pPr>
      <w:pStyle w:val="Header"/>
    </w:pPr>
    <w:r>
      <w:rPr>
        <w:noProof/>
      </w:rPr>
      <w:pict w14:anchorId="760EA7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089019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AFE3" w14:textId="4EA87025" w:rsidR="008A36CF" w:rsidRDefault="006A7F34" w:rsidP="00F43AD5">
    <w:pPr>
      <w:pStyle w:val="Header"/>
      <w:jc w:val="right"/>
    </w:pPr>
    <w:r>
      <w:rPr>
        <w:noProof/>
      </w:rPr>
      <w:pict w14:anchorId="7E16E0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089020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C2B0" w14:textId="2772559B" w:rsidR="006A7F34" w:rsidRDefault="006A7F34">
    <w:pPr>
      <w:pStyle w:val="Header"/>
    </w:pPr>
    <w:r>
      <w:rPr>
        <w:noProof/>
      </w:rPr>
      <w:pict w14:anchorId="03030F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089018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DC27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C40E9"/>
    <w:multiLevelType w:val="hybridMultilevel"/>
    <w:tmpl w:val="E5685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26A8"/>
    <w:multiLevelType w:val="hybridMultilevel"/>
    <w:tmpl w:val="09E26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377D2"/>
    <w:multiLevelType w:val="hybridMultilevel"/>
    <w:tmpl w:val="2D56B1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08088E"/>
    <w:multiLevelType w:val="hybridMultilevel"/>
    <w:tmpl w:val="DB62F9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0DD4"/>
    <w:rsid w:val="00001060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8C7"/>
    <w:rsid w:val="001269A7"/>
    <w:rsid w:val="00131092"/>
    <w:rsid w:val="00140E6A"/>
    <w:rsid w:val="00146545"/>
    <w:rsid w:val="00146B75"/>
    <w:rsid w:val="00151961"/>
    <w:rsid w:val="0015266D"/>
    <w:rsid w:val="0015288A"/>
    <w:rsid w:val="00160F47"/>
    <w:rsid w:val="00165FB0"/>
    <w:rsid w:val="0017697E"/>
    <w:rsid w:val="00177CA1"/>
    <w:rsid w:val="00183823"/>
    <w:rsid w:val="00183942"/>
    <w:rsid w:val="001A009E"/>
    <w:rsid w:val="001A1287"/>
    <w:rsid w:val="001A3859"/>
    <w:rsid w:val="001A3C9D"/>
    <w:rsid w:val="001A43F8"/>
    <w:rsid w:val="001A4A67"/>
    <w:rsid w:val="001B4FA1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096B"/>
    <w:rsid w:val="00212CF6"/>
    <w:rsid w:val="00213640"/>
    <w:rsid w:val="00216C4A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57879"/>
    <w:rsid w:val="00263255"/>
    <w:rsid w:val="00273A1A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17EAD"/>
    <w:rsid w:val="003215EE"/>
    <w:rsid w:val="003224BF"/>
    <w:rsid w:val="003241A8"/>
    <w:rsid w:val="003253F0"/>
    <w:rsid w:val="003337DA"/>
    <w:rsid w:val="00334EFB"/>
    <w:rsid w:val="00335CDE"/>
    <w:rsid w:val="003365A5"/>
    <w:rsid w:val="00343E36"/>
    <w:rsid w:val="00347192"/>
    <w:rsid w:val="0034744C"/>
    <w:rsid w:val="00351FE0"/>
    <w:rsid w:val="00352615"/>
    <w:rsid w:val="0035412B"/>
    <w:rsid w:val="003567A8"/>
    <w:rsid w:val="00362895"/>
    <w:rsid w:val="00370DBF"/>
    <w:rsid w:val="00383ED1"/>
    <w:rsid w:val="00386093"/>
    <w:rsid w:val="003904A4"/>
    <w:rsid w:val="00391841"/>
    <w:rsid w:val="00391B6D"/>
    <w:rsid w:val="00394922"/>
    <w:rsid w:val="00397606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4773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01D5"/>
    <w:rsid w:val="005272E2"/>
    <w:rsid w:val="0053108F"/>
    <w:rsid w:val="00532B56"/>
    <w:rsid w:val="00534B10"/>
    <w:rsid w:val="005446A2"/>
    <w:rsid w:val="00544D2F"/>
    <w:rsid w:val="00551BD8"/>
    <w:rsid w:val="00551BEA"/>
    <w:rsid w:val="0057507C"/>
    <w:rsid w:val="00581055"/>
    <w:rsid w:val="00581674"/>
    <w:rsid w:val="00584CCD"/>
    <w:rsid w:val="00591E38"/>
    <w:rsid w:val="00597B5A"/>
    <w:rsid w:val="005A19C5"/>
    <w:rsid w:val="005A3034"/>
    <w:rsid w:val="005A462D"/>
    <w:rsid w:val="005B253B"/>
    <w:rsid w:val="005B7708"/>
    <w:rsid w:val="005B771D"/>
    <w:rsid w:val="005C5D16"/>
    <w:rsid w:val="005D3193"/>
    <w:rsid w:val="005D4A6E"/>
    <w:rsid w:val="005D5376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1B10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29F5"/>
    <w:rsid w:val="006A7E6F"/>
    <w:rsid w:val="006A7F34"/>
    <w:rsid w:val="006B160A"/>
    <w:rsid w:val="006B4E6C"/>
    <w:rsid w:val="006B50B6"/>
    <w:rsid w:val="006C59F2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47DE"/>
    <w:rsid w:val="007770F1"/>
    <w:rsid w:val="00783FB1"/>
    <w:rsid w:val="00785CDD"/>
    <w:rsid w:val="00791847"/>
    <w:rsid w:val="007925F0"/>
    <w:rsid w:val="007939B3"/>
    <w:rsid w:val="00794608"/>
    <w:rsid w:val="0079509C"/>
    <w:rsid w:val="00796708"/>
    <w:rsid w:val="007B1B42"/>
    <w:rsid w:val="007B20C3"/>
    <w:rsid w:val="007C30EB"/>
    <w:rsid w:val="007E063C"/>
    <w:rsid w:val="007E2A4B"/>
    <w:rsid w:val="007E307D"/>
    <w:rsid w:val="007E6A4E"/>
    <w:rsid w:val="007E6C94"/>
    <w:rsid w:val="007F1005"/>
    <w:rsid w:val="007F25E0"/>
    <w:rsid w:val="007F4DDC"/>
    <w:rsid w:val="007F5328"/>
    <w:rsid w:val="007F61D2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3EF4"/>
    <w:rsid w:val="008745A2"/>
    <w:rsid w:val="008768A8"/>
    <w:rsid w:val="00880C44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1150"/>
    <w:rsid w:val="008D23AB"/>
    <w:rsid w:val="008D4B8B"/>
    <w:rsid w:val="008D5A78"/>
    <w:rsid w:val="008E7B64"/>
    <w:rsid w:val="008F5DCD"/>
    <w:rsid w:val="00900951"/>
    <w:rsid w:val="009036EE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2483"/>
    <w:rsid w:val="009B2FF2"/>
    <w:rsid w:val="009B380C"/>
    <w:rsid w:val="009B4843"/>
    <w:rsid w:val="009B6543"/>
    <w:rsid w:val="009B6EB1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2D06"/>
    <w:rsid w:val="00A01D0C"/>
    <w:rsid w:val="00A0643F"/>
    <w:rsid w:val="00A067EE"/>
    <w:rsid w:val="00A10FCE"/>
    <w:rsid w:val="00A16D91"/>
    <w:rsid w:val="00A174CC"/>
    <w:rsid w:val="00A2073D"/>
    <w:rsid w:val="00A20751"/>
    <w:rsid w:val="00A2167B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2FB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6110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D6ABD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770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5067"/>
    <w:rsid w:val="00CB6BC1"/>
    <w:rsid w:val="00CB6CB8"/>
    <w:rsid w:val="00CC1A68"/>
    <w:rsid w:val="00CC2123"/>
    <w:rsid w:val="00CD2BFD"/>
    <w:rsid w:val="00CE5AD6"/>
    <w:rsid w:val="00CE617F"/>
    <w:rsid w:val="00CE78EF"/>
    <w:rsid w:val="00D01B1B"/>
    <w:rsid w:val="00D04355"/>
    <w:rsid w:val="00D048F7"/>
    <w:rsid w:val="00D0517E"/>
    <w:rsid w:val="00D13233"/>
    <w:rsid w:val="00D140FC"/>
    <w:rsid w:val="00D21D8C"/>
    <w:rsid w:val="00D2416C"/>
    <w:rsid w:val="00D31357"/>
    <w:rsid w:val="00D33220"/>
    <w:rsid w:val="00D334D1"/>
    <w:rsid w:val="00D44C89"/>
    <w:rsid w:val="00D500D6"/>
    <w:rsid w:val="00D516CD"/>
    <w:rsid w:val="00D566A9"/>
    <w:rsid w:val="00D6105E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4250"/>
    <w:rsid w:val="00E26A07"/>
    <w:rsid w:val="00E30191"/>
    <w:rsid w:val="00E32595"/>
    <w:rsid w:val="00E37CFD"/>
    <w:rsid w:val="00E41A26"/>
    <w:rsid w:val="00E44519"/>
    <w:rsid w:val="00E46BCB"/>
    <w:rsid w:val="00E51CAF"/>
    <w:rsid w:val="00E60F04"/>
    <w:rsid w:val="00E62AAC"/>
    <w:rsid w:val="00E67C2F"/>
    <w:rsid w:val="00E67EF5"/>
    <w:rsid w:val="00E804EA"/>
    <w:rsid w:val="00E808E4"/>
    <w:rsid w:val="00E80A71"/>
    <w:rsid w:val="00E82337"/>
    <w:rsid w:val="00E90C65"/>
    <w:rsid w:val="00E92499"/>
    <w:rsid w:val="00E949AF"/>
    <w:rsid w:val="00E96077"/>
    <w:rsid w:val="00E968C8"/>
    <w:rsid w:val="00EA0A06"/>
    <w:rsid w:val="00EA6243"/>
    <w:rsid w:val="00EA74AB"/>
    <w:rsid w:val="00EB3D1B"/>
    <w:rsid w:val="00ED1D89"/>
    <w:rsid w:val="00ED66BC"/>
    <w:rsid w:val="00EE13DB"/>
    <w:rsid w:val="00EF233A"/>
    <w:rsid w:val="00EF303E"/>
    <w:rsid w:val="00EF3A40"/>
    <w:rsid w:val="00EF7F78"/>
    <w:rsid w:val="00F01B08"/>
    <w:rsid w:val="00F01C4D"/>
    <w:rsid w:val="00F03625"/>
    <w:rsid w:val="00F053FA"/>
    <w:rsid w:val="00F10C97"/>
    <w:rsid w:val="00F11C71"/>
    <w:rsid w:val="00F16019"/>
    <w:rsid w:val="00F20E68"/>
    <w:rsid w:val="00F217B0"/>
    <w:rsid w:val="00F22093"/>
    <w:rsid w:val="00F236DF"/>
    <w:rsid w:val="00F43AD5"/>
    <w:rsid w:val="00F4402E"/>
    <w:rsid w:val="00F56DD0"/>
    <w:rsid w:val="00F6491C"/>
    <w:rsid w:val="00F67BBB"/>
    <w:rsid w:val="00F70B91"/>
    <w:rsid w:val="00F87D92"/>
    <w:rsid w:val="00F90AA7"/>
    <w:rsid w:val="00F92498"/>
    <w:rsid w:val="00F9496B"/>
    <w:rsid w:val="00F970C9"/>
    <w:rsid w:val="00FA06A8"/>
    <w:rsid w:val="00FA088D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14773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3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E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E3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E3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4B2DD8AC51847B0BA4096EE8BBC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2137-DC0F-47ED-9585-03623985CAAE}"/>
      </w:docPartPr>
      <w:docPartBody>
        <w:p w:rsidR="00CF6D54" w:rsidRDefault="00510ADE" w:rsidP="00510ADE">
          <w:pPr>
            <w:pStyle w:val="04B2DD8AC51847B0BA4096EE8BBC8E4C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50238AEE968F499A924EC0EBA8AA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09C9-279A-414B-BCC7-4E3FA4D052AD}"/>
      </w:docPartPr>
      <w:docPartBody>
        <w:p w:rsidR="00CF6D54" w:rsidRDefault="00510ADE" w:rsidP="00510ADE">
          <w:pPr>
            <w:pStyle w:val="50238AEE968F499A924EC0EBA8AA842B"/>
          </w:pPr>
          <w:r w:rsidRPr="00724F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A4E33"/>
    <w:rsid w:val="00510ADE"/>
    <w:rsid w:val="005F4F1E"/>
    <w:rsid w:val="00C211C2"/>
    <w:rsid w:val="00CF6D54"/>
    <w:rsid w:val="00D21A9F"/>
    <w:rsid w:val="00E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AD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3AD26C7E4FD4D7ABA2A838986089A4E">
    <w:name w:val="93AD26C7E4FD4D7ABA2A838986089A4E"/>
    <w:rsid w:val="00E837DD"/>
  </w:style>
  <w:style w:type="paragraph" w:customStyle="1" w:styleId="428E2D0894344B64966933C62C5703CF">
    <w:name w:val="428E2D0894344B64966933C62C5703CF"/>
    <w:rsid w:val="00E837DD"/>
  </w:style>
  <w:style w:type="paragraph" w:customStyle="1" w:styleId="C7D0DE210C684B9D98AC8899EABFEC09">
    <w:name w:val="C7D0DE210C684B9D98AC8899EABFEC09"/>
    <w:rsid w:val="00E837DD"/>
  </w:style>
  <w:style w:type="paragraph" w:customStyle="1" w:styleId="E4BFAEB87B834B8FAF4ACEB2F460259C">
    <w:name w:val="E4BFAEB87B834B8FAF4ACEB2F460259C"/>
    <w:rsid w:val="00E837DD"/>
  </w:style>
  <w:style w:type="paragraph" w:customStyle="1" w:styleId="1915E09F61DB4C6A9FF3A61375E3C397">
    <w:name w:val="1915E09F61DB4C6A9FF3A61375E3C397"/>
    <w:rsid w:val="00E837DD"/>
  </w:style>
  <w:style w:type="paragraph" w:customStyle="1" w:styleId="66A7C3CFDCFA4272A204B29437D13CF6">
    <w:name w:val="66A7C3CFDCFA4272A204B29437D13CF6"/>
    <w:rsid w:val="00E837DD"/>
  </w:style>
  <w:style w:type="paragraph" w:customStyle="1" w:styleId="FB0863BFEA2A4C7C96A5351B63AB005C">
    <w:name w:val="FB0863BFEA2A4C7C96A5351B63AB005C"/>
    <w:rsid w:val="00E837DD"/>
  </w:style>
  <w:style w:type="paragraph" w:customStyle="1" w:styleId="F3B8CEEF65974F9A867227DD05898809">
    <w:name w:val="F3B8CEEF65974F9A867227DD05898809"/>
    <w:rsid w:val="00510ADE"/>
  </w:style>
  <w:style w:type="paragraph" w:customStyle="1" w:styleId="8A62F13F31A9474FB53B08AB0FD9780E">
    <w:name w:val="8A62F13F31A9474FB53B08AB0FD9780E"/>
    <w:rsid w:val="00510ADE"/>
  </w:style>
  <w:style w:type="paragraph" w:customStyle="1" w:styleId="04B2DD8AC51847B0BA4096EE8BBC8E4C">
    <w:name w:val="04B2DD8AC51847B0BA4096EE8BBC8E4C"/>
    <w:rsid w:val="00510ADE"/>
  </w:style>
  <w:style w:type="paragraph" w:customStyle="1" w:styleId="E9E96B04E3474441B20C9BE3AC8AB2B7">
    <w:name w:val="E9E96B04E3474441B20C9BE3AC8AB2B7"/>
    <w:rsid w:val="00510ADE"/>
  </w:style>
  <w:style w:type="paragraph" w:customStyle="1" w:styleId="89E2A29875A24930B63DD5E287EA1073">
    <w:name w:val="89E2A29875A24930B63DD5E287EA1073"/>
    <w:rsid w:val="00510ADE"/>
  </w:style>
  <w:style w:type="paragraph" w:customStyle="1" w:styleId="29CEF50585824774A45A29F081C1E28A">
    <w:name w:val="29CEF50585824774A45A29F081C1E28A"/>
    <w:rsid w:val="00510ADE"/>
  </w:style>
  <w:style w:type="paragraph" w:customStyle="1" w:styleId="A68913DD844542A58E353B3B4E9E72D1">
    <w:name w:val="A68913DD844542A58E353B3B4E9E72D1"/>
    <w:rsid w:val="00510ADE"/>
  </w:style>
  <w:style w:type="paragraph" w:customStyle="1" w:styleId="6976258346F34768933630B8F068DAA8">
    <w:name w:val="6976258346F34768933630B8F068DAA8"/>
    <w:rsid w:val="00510ADE"/>
  </w:style>
  <w:style w:type="paragraph" w:customStyle="1" w:styleId="50238AEE968F499A924EC0EBA8AA842B">
    <w:name w:val="50238AEE968F499A924EC0EBA8AA842B"/>
    <w:rsid w:val="00510ADE"/>
  </w:style>
  <w:style w:type="paragraph" w:customStyle="1" w:styleId="9A158B571D6D4C1CB368A86254435560">
    <w:name w:val="9A158B571D6D4C1CB368A86254435560"/>
    <w:rsid w:val="00510ADE"/>
  </w:style>
  <w:style w:type="paragraph" w:customStyle="1" w:styleId="1B10C573360A4639A185874D51941A1A">
    <w:name w:val="1B10C573360A4639A185874D51941A1A"/>
    <w:rsid w:val="00510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647C7-D42C-4783-80D4-29B8693C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199A20-3993-4659-9964-A6B2DE01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6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35</cp:revision>
  <cp:lastPrinted>2018-10-22T22:41:00Z</cp:lastPrinted>
  <dcterms:created xsi:type="dcterms:W3CDTF">2019-08-18T23:58:00Z</dcterms:created>
  <dcterms:modified xsi:type="dcterms:W3CDTF">2019-10-10T23:57:00Z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