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AAAB6" w14:textId="419B15DF" w:rsidR="00BD499F" w:rsidRPr="00FF1A77" w:rsidRDefault="00B96595" w:rsidP="00B40C60">
      <w:pPr>
        <w:pStyle w:val="Heading1"/>
        <w:jc w:val="center"/>
        <w:rPr>
          <w:rFonts w:ascii="Arial" w:hAnsi="Arial" w:cs="Arial"/>
        </w:rPr>
      </w:pPr>
      <w:bookmarkStart w:id="0" w:name="_GoBack"/>
      <w:r w:rsidRPr="00FF1A77">
        <w:rPr>
          <w:rFonts w:ascii="Arial" w:hAnsi="Arial" w:cs="Arial"/>
        </w:rPr>
        <w:t xml:space="preserve">  </w:t>
      </w:r>
      <w:sdt>
        <w:sdtPr>
          <w:rPr>
            <w:rFonts w:ascii="Arial" w:hAnsi="Arial" w:cs="Arial"/>
          </w:rPr>
          <w:alias w:val="NameofChemical"/>
          <w:tag w:val="NameofChemical"/>
          <w:id w:val="1425919599"/>
          <w:lock w:val="sdtLocked"/>
          <w:placeholder>
            <w:docPart w:val="CE1736E50B02464986D1BEC8B7ACDE96"/>
          </w:placeholder>
          <w:text/>
        </w:sdtPr>
        <w:sdtEndPr/>
        <w:sdtContent>
          <w:r w:rsidR="005235BC" w:rsidRPr="00FF1A77">
            <w:rPr>
              <w:rFonts w:ascii="Arial" w:hAnsi="Arial" w:cs="Arial"/>
            </w:rPr>
            <w:t>Cyclohexylamine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77"/>
        <w:gridCol w:w="5049"/>
      </w:tblGrid>
      <w:tr w:rsidR="00F43AD5" w:rsidRPr="00FF1A77" w14:paraId="36EFC136" w14:textId="77777777" w:rsidTr="002513AF">
        <w:trPr>
          <w:cantSplit/>
          <w:trHeight w:val="115"/>
          <w:tblHeader/>
        </w:trPr>
        <w:tc>
          <w:tcPr>
            <w:tcW w:w="4077" w:type="dxa"/>
          </w:tcPr>
          <w:p w14:paraId="4273C94E" w14:textId="77777777" w:rsidR="00F43AD5" w:rsidRPr="00FF1A77" w:rsidRDefault="00CB1CB1" w:rsidP="00B76A41">
            <w:pPr>
              <w:pStyle w:val="Tablerowright"/>
            </w:pPr>
            <w:r w:rsidRPr="00FF1A77">
              <w:t>CAS number:</w:t>
            </w:r>
          </w:p>
        </w:tc>
        <w:tc>
          <w:tcPr>
            <w:tcW w:w="5165" w:type="dxa"/>
          </w:tcPr>
          <w:p w14:paraId="6EFE9039" w14:textId="6D0C4AE5" w:rsidR="00F43AD5" w:rsidRPr="00FF1A77" w:rsidRDefault="005235BC" w:rsidP="00B76A41">
            <w:pPr>
              <w:pStyle w:val="Tablefont"/>
            </w:pPr>
            <w:r w:rsidRPr="00FF1A77">
              <w:t>108-91-8</w:t>
            </w:r>
          </w:p>
        </w:tc>
      </w:tr>
      <w:tr w:rsidR="00F43AD5" w:rsidRPr="00FF1A77" w14:paraId="3AAE149A" w14:textId="77777777" w:rsidTr="00B76A41">
        <w:trPr>
          <w:cantSplit/>
        </w:trPr>
        <w:tc>
          <w:tcPr>
            <w:tcW w:w="4077" w:type="dxa"/>
          </w:tcPr>
          <w:p w14:paraId="26D3FAAD" w14:textId="77777777" w:rsidR="00F43AD5" w:rsidRPr="00FF1A77" w:rsidRDefault="00CB1CB1" w:rsidP="00B76A41">
            <w:pPr>
              <w:pStyle w:val="Tablerowright"/>
            </w:pPr>
            <w:r w:rsidRPr="00FF1A77">
              <w:t>Synonyms:</w:t>
            </w:r>
          </w:p>
        </w:tc>
        <w:tc>
          <w:tcPr>
            <w:tcW w:w="5165" w:type="dxa"/>
          </w:tcPr>
          <w:p w14:paraId="2D449252" w14:textId="2E6F7035" w:rsidR="00F43AD5" w:rsidRPr="00FF1A77" w:rsidRDefault="005235BC" w:rsidP="00B76A41">
            <w:pPr>
              <w:pStyle w:val="Tablefont"/>
            </w:pPr>
            <w:proofErr w:type="spellStart"/>
            <w:r w:rsidRPr="00FF1A77">
              <w:t>Aminocyclohexane</w:t>
            </w:r>
            <w:proofErr w:type="spellEnd"/>
            <w:r w:rsidRPr="00FF1A77">
              <w:t xml:space="preserve">, </w:t>
            </w:r>
            <w:proofErr w:type="spellStart"/>
            <w:r w:rsidR="005E2EA0" w:rsidRPr="00FF1A77">
              <w:t>cyclohexanamine</w:t>
            </w:r>
            <w:proofErr w:type="spellEnd"/>
            <w:r w:rsidRPr="00FF1A77">
              <w:t xml:space="preserve">, </w:t>
            </w:r>
            <w:proofErr w:type="spellStart"/>
            <w:r w:rsidR="005E2EA0" w:rsidRPr="00FF1A77">
              <w:t>hexahydroaniline</w:t>
            </w:r>
            <w:proofErr w:type="spellEnd"/>
          </w:p>
        </w:tc>
      </w:tr>
      <w:tr w:rsidR="00F43AD5" w:rsidRPr="00FF1A77" w14:paraId="695C4405" w14:textId="77777777" w:rsidTr="00B76A41">
        <w:trPr>
          <w:cantSplit/>
        </w:trPr>
        <w:tc>
          <w:tcPr>
            <w:tcW w:w="4077" w:type="dxa"/>
          </w:tcPr>
          <w:p w14:paraId="4359365B" w14:textId="77777777" w:rsidR="00F43AD5" w:rsidRPr="00FF1A77" w:rsidRDefault="00CB1CB1" w:rsidP="00B76A41">
            <w:pPr>
              <w:pStyle w:val="Tablerowright"/>
            </w:pPr>
            <w:r w:rsidRPr="00FF1A77">
              <w:t>Chemical formula:</w:t>
            </w:r>
          </w:p>
        </w:tc>
        <w:tc>
          <w:tcPr>
            <w:tcW w:w="5165" w:type="dxa"/>
          </w:tcPr>
          <w:p w14:paraId="508715CD" w14:textId="0C0F71D5" w:rsidR="00F43AD5" w:rsidRPr="00FF1A77" w:rsidRDefault="005235BC" w:rsidP="00B76A41">
            <w:pPr>
              <w:pStyle w:val="Tablefont"/>
            </w:pPr>
            <w:r w:rsidRPr="00FF1A77">
              <w:t>C</w:t>
            </w:r>
            <w:r w:rsidRPr="00FF1A77">
              <w:rPr>
                <w:vertAlign w:val="subscript"/>
              </w:rPr>
              <w:t>6</w:t>
            </w:r>
            <w:r w:rsidRPr="00FF1A77">
              <w:t>H</w:t>
            </w:r>
            <w:r w:rsidRPr="00FF1A77">
              <w:rPr>
                <w:vertAlign w:val="subscript"/>
              </w:rPr>
              <w:t>13</w:t>
            </w:r>
            <w:r w:rsidRPr="00FF1A77">
              <w:t>N</w:t>
            </w:r>
          </w:p>
        </w:tc>
      </w:tr>
      <w:tr w:rsidR="00F43AD5" w:rsidRPr="00FF1A77" w14:paraId="577A9961" w14:textId="77777777" w:rsidTr="00B76A41">
        <w:trPr>
          <w:cantSplit/>
        </w:trPr>
        <w:tc>
          <w:tcPr>
            <w:tcW w:w="4077" w:type="dxa"/>
          </w:tcPr>
          <w:p w14:paraId="13AA58E6" w14:textId="77777777" w:rsidR="00F43AD5" w:rsidRPr="00FF1A77" w:rsidRDefault="00CB1CB1" w:rsidP="00B76A41">
            <w:pPr>
              <w:pStyle w:val="Tablerowright"/>
            </w:pPr>
            <w:r w:rsidRPr="00FF1A77">
              <w:t>Structural formula:</w:t>
            </w:r>
          </w:p>
        </w:tc>
        <w:tc>
          <w:tcPr>
            <w:tcW w:w="5165" w:type="dxa"/>
          </w:tcPr>
          <w:p w14:paraId="0921244F" w14:textId="3E5919E8" w:rsidR="00F43AD5" w:rsidRPr="00FF1A77" w:rsidRDefault="005235BC" w:rsidP="00B76A41">
            <w:pPr>
              <w:pStyle w:val="Tablerowheading"/>
              <w:rPr>
                <w:b w:val="0"/>
              </w:rPr>
            </w:pPr>
            <w:r w:rsidRPr="00FF1A77">
              <w:rPr>
                <w:b w:val="0"/>
              </w:rPr>
              <w:t>—</w:t>
            </w:r>
          </w:p>
        </w:tc>
      </w:tr>
    </w:tbl>
    <w:p w14:paraId="155AFE4D" w14:textId="4C35A806" w:rsidR="00AE2745" w:rsidRPr="00FF1A77" w:rsidRDefault="00AE2745" w:rsidP="00114A0D">
      <w:pPr>
        <w:pStyle w:val="WES"/>
        <w:tabs>
          <w:tab w:val="left" w:pos="2041"/>
          <w:tab w:val="left" w:pos="7140"/>
        </w:tabs>
      </w:pPr>
      <w:r w:rsidRPr="00FF1A77">
        <w:tab/>
        <w:t xml:space="preserve">Workplace exposure standard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BE02E7" w:rsidRPr="00FF1A77">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05"/>
        <w:gridCol w:w="5021"/>
      </w:tblGrid>
      <w:tr w:rsidR="002C7AFE" w:rsidRPr="00FF1A77" w14:paraId="4CFDB4D2" w14:textId="77777777" w:rsidTr="00610F2E">
        <w:trPr>
          <w:cantSplit/>
          <w:tblHeader/>
        </w:trPr>
        <w:tc>
          <w:tcPr>
            <w:tcW w:w="4077" w:type="dxa"/>
            <w:vAlign w:val="center"/>
          </w:tcPr>
          <w:p w14:paraId="5EDA7E34" w14:textId="77777777" w:rsidR="002C7AFE" w:rsidRPr="00FF1A77" w:rsidRDefault="00921DE7" w:rsidP="00921DE7">
            <w:pPr>
              <w:pStyle w:val="Tablerowright"/>
            </w:pPr>
            <w:r w:rsidRPr="00FF1A77">
              <w:t>TWA:</w:t>
            </w:r>
          </w:p>
        </w:tc>
        <w:tc>
          <w:tcPr>
            <w:tcW w:w="5165" w:type="dxa"/>
          </w:tcPr>
          <w:p w14:paraId="7F286D80" w14:textId="2E6C424A" w:rsidR="002C7AFE" w:rsidRPr="00EA6169" w:rsidRDefault="003F1566" w:rsidP="00017C82">
            <w:pPr>
              <w:pStyle w:val="Tablefont"/>
              <w:rPr>
                <w:b/>
              </w:rPr>
            </w:pPr>
            <w:r w:rsidRPr="00EA6169">
              <w:rPr>
                <w:b/>
              </w:rPr>
              <w:t>2</w:t>
            </w:r>
            <w:r w:rsidR="006143AE" w:rsidRPr="00EA6169">
              <w:rPr>
                <w:b/>
              </w:rPr>
              <w:t xml:space="preserve"> ppm (</w:t>
            </w:r>
            <w:r w:rsidRPr="00EA6169">
              <w:rPr>
                <w:b/>
              </w:rPr>
              <w:t>8.2</w:t>
            </w:r>
            <w:r w:rsidR="006143AE" w:rsidRPr="00EA6169">
              <w:rPr>
                <w:b/>
              </w:rPr>
              <w:t xml:space="preserve"> mg/m</w:t>
            </w:r>
            <w:r w:rsidR="006143AE" w:rsidRPr="00EA6169">
              <w:rPr>
                <w:b/>
                <w:vertAlign w:val="superscript"/>
              </w:rPr>
              <w:t>3</w:t>
            </w:r>
            <w:r w:rsidR="006143AE" w:rsidRPr="00EA6169">
              <w:rPr>
                <w:b/>
              </w:rPr>
              <w:t>)</w:t>
            </w:r>
          </w:p>
        </w:tc>
      </w:tr>
      <w:tr w:rsidR="002C7AFE" w:rsidRPr="00FF1A77" w14:paraId="53AA38E9" w14:textId="77777777" w:rsidTr="00921DE7">
        <w:trPr>
          <w:cantSplit/>
        </w:trPr>
        <w:tc>
          <w:tcPr>
            <w:tcW w:w="4077" w:type="dxa"/>
            <w:vAlign w:val="center"/>
          </w:tcPr>
          <w:p w14:paraId="3C0EB6BA" w14:textId="77777777" w:rsidR="002C7AFE" w:rsidRPr="00FF1A77" w:rsidRDefault="002C7AFE" w:rsidP="00921DE7">
            <w:pPr>
              <w:pStyle w:val="Tablerowright"/>
            </w:pPr>
            <w:r w:rsidRPr="00FF1A77">
              <w:t>STEL</w:t>
            </w:r>
            <w:r w:rsidR="00921DE7" w:rsidRPr="00FF1A77">
              <w:t>:</w:t>
            </w:r>
          </w:p>
        </w:tc>
        <w:tc>
          <w:tcPr>
            <w:tcW w:w="5165" w:type="dxa"/>
          </w:tcPr>
          <w:p w14:paraId="1B84E0A1" w14:textId="4D5D1510" w:rsidR="002C7AFE" w:rsidRPr="00FF1A77" w:rsidRDefault="006143AE" w:rsidP="00017C82">
            <w:pPr>
              <w:pStyle w:val="Tablefont"/>
            </w:pPr>
            <w:r w:rsidRPr="00FF1A77">
              <w:t>—</w:t>
            </w:r>
          </w:p>
        </w:tc>
      </w:tr>
      <w:tr w:rsidR="002C7AFE" w:rsidRPr="00FF1A77" w14:paraId="335AE4CF" w14:textId="77777777" w:rsidTr="00921DE7">
        <w:trPr>
          <w:cantSplit/>
        </w:trPr>
        <w:tc>
          <w:tcPr>
            <w:tcW w:w="4077" w:type="dxa"/>
            <w:vAlign w:val="center"/>
          </w:tcPr>
          <w:p w14:paraId="445613DE" w14:textId="77777777" w:rsidR="002C7AFE" w:rsidRPr="00FF1A77" w:rsidRDefault="00921DE7" w:rsidP="00921DE7">
            <w:pPr>
              <w:pStyle w:val="Tablerowright"/>
            </w:pPr>
            <w:r w:rsidRPr="00FF1A77">
              <w:t>Peak limitation:</w:t>
            </w:r>
          </w:p>
        </w:tc>
        <w:tc>
          <w:tcPr>
            <w:tcW w:w="5165" w:type="dxa"/>
          </w:tcPr>
          <w:p w14:paraId="35450198" w14:textId="7C72360A" w:rsidR="002C7AFE" w:rsidRPr="00FF1A77" w:rsidRDefault="006143AE" w:rsidP="00017C82">
            <w:pPr>
              <w:pStyle w:val="Tablefont"/>
            </w:pPr>
            <w:r w:rsidRPr="00FF1A77">
              <w:t>—</w:t>
            </w:r>
          </w:p>
        </w:tc>
      </w:tr>
      <w:tr w:rsidR="002C7AFE" w:rsidRPr="00FF1A77" w14:paraId="30575590" w14:textId="77777777" w:rsidTr="00A2073D">
        <w:trPr>
          <w:cantSplit/>
        </w:trPr>
        <w:tc>
          <w:tcPr>
            <w:tcW w:w="4077" w:type="dxa"/>
          </w:tcPr>
          <w:p w14:paraId="4108A2B4" w14:textId="77777777" w:rsidR="002C7AFE" w:rsidRPr="00FF1A77" w:rsidRDefault="00A2073D" w:rsidP="003241A8">
            <w:pPr>
              <w:pStyle w:val="Tablerowright"/>
            </w:pPr>
            <w:r w:rsidRPr="00FF1A77">
              <w:rPr>
                <w:b w:val="0"/>
                <w:bCs/>
                <w:color w:val="000000" w:themeColor="text1"/>
              </w:rPr>
              <w:tab/>
            </w:r>
            <w:r w:rsidR="00921DE7" w:rsidRPr="00FF1A77">
              <w:t>Notations:</w:t>
            </w:r>
          </w:p>
        </w:tc>
        <w:tc>
          <w:tcPr>
            <w:tcW w:w="5165" w:type="dxa"/>
          </w:tcPr>
          <w:p w14:paraId="0356B480" w14:textId="7134D259" w:rsidR="002C7AFE" w:rsidRPr="00FF1A77" w:rsidRDefault="006806B0" w:rsidP="008A36CF">
            <w:pPr>
              <w:pStyle w:val="Tablefont"/>
            </w:pPr>
            <w:r w:rsidRPr="00FF1A77">
              <w:rPr>
                <w:b/>
              </w:rPr>
              <w:t>Sk</w:t>
            </w:r>
            <w:r w:rsidRPr="00FF1A77">
              <w:t>.</w:t>
            </w:r>
          </w:p>
        </w:tc>
      </w:tr>
      <w:tr w:rsidR="002C7AFE" w:rsidRPr="00FF1A77" w14:paraId="099C13A9" w14:textId="77777777" w:rsidTr="00921DE7">
        <w:trPr>
          <w:cantSplit/>
        </w:trPr>
        <w:tc>
          <w:tcPr>
            <w:tcW w:w="4077" w:type="dxa"/>
            <w:vAlign w:val="center"/>
          </w:tcPr>
          <w:p w14:paraId="217A3E98" w14:textId="77777777" w:rsidR="00F10C97" w:rsidRPr="00FF1A77" w:rsidRDefault="00921DE7" w:rsidP="009F04D2">
            <w:pPr>
              <w:pStyle w:val="Tablerowright"/>
            </w:pPr>
            <w:r w:rsidRPr="00FF1A77">
              <w:t>IDLH:</w:t>
            </w:r>
          </w:p>
        </w:tc>
        <w:tc>
          <w:tcPr>
            <w:tcW w:w="5165" w:type="dxa"/>
          </w:tcPr>
          <w:p w14:paraId="69C0196B" w14:textId="661C4B68" w:rsidR="002C7AFE" w:rsidRPr="00FF1A77" w:rsidRDefault="005235BC" w:rsidP="00017C82">
            <w:pPr>
              <w:pStyle w:val="Tablefont"/>
            </w:pPr>
            <w:r w:rsidRPr="00FF1A77">
              <w:t>—</w:t>
            </w:r>
          </w:p>
        </w:tc>
      </w:tr>
      <w:tr w:rsidR="009F04D2" w:rsidRPr="00FF1A77" w14:paraId="60F21DC9" w14:textId="77777777" w:rsidTr="00921DE7">
        <w:trPr>
          <w:cantSplit/>
        </w:trPr>
        <w:tc>
          <w:tcPr>
            <w:tcW w:w="4077" w:type="dxa"/>
            <w:vAlign w:val="center"/>
          </w:tcPr>
          <w:p w14:paraId="43AB028D" w14:textId="77777777" w:rsidR="009F04D2" w:rsidRPr="00FF1A77" w:rsidRDefault="009F04D2" w:rsidP="002513AF">
            <w:pPr>
              <w:pStyle w:val="Tablerowright"/>
              <w:jc w:val="left"/>
            </w:pPr>
            <w:r w:rsidRPr="00FF1A77">
              <w:t>Sampling and analysis:</w:t>
            </w:r>
          </w:p>
        </w:tc>
        <w:tc>
          <w:tcPr>
            <w:tcW w:w="5165" w:type="dxa"/>
          </w:tcPr>
          <w:p w14:paraId="128DB1FE" w14:textId="77777777" w:rsidR="009F04D2" w:rsidRPr="00FF1A77" w:rsidRDefault="009F04D2" w:rsidP="00017C82">
            <w:pPr>
              <w:pStyle w:val="Tablefont"/>
            </w:pPr>
          </w:p>
        </w:tc>
      </w:tr>
    </w:tbl>
    <w:p w14:paraId="436D90EB" w14:textId="77777777" w:rsidR="00CB1CB1" w:rsidRPr="00FF1A77" w:rsidRDefault="00F10C97" w:rsidP="003365A5">
      <w:pPr>
        <w:pStyle w:val="Heading2"/>
      </w:pPr>
      <w:r w:rsidRPr="00FF1A77">
        <w:t>Recommendation and basis for workplace exposure standard</w:t>
      </w:r>
    </w:p>
    <w:p w14:paraId="5D5D6C99" w14:textId="4BC8663A" w:rsidR="006639B4" w:rsidRPr="00FF1A77" w:rsidRDefault="000A1B35" w:rsidP="000C139A">
      <w:pPr>
        <w:rPr>
          <w:rFonts w:cs="Arial"/>
        </w:rPr>
      </w:pPr>
      <w:r w:rsidRPr="00FF1A77">
        <w:rPr>
          <w:rFonts w:cs="Arial"/>
        </w:rPr>
        <w:t>A TWA of 2 ppm (8.2 mg/m</w:t>
      </w:r>
      <w:r w:rsidRPr="00FF1A77">
        <w:rPr>
          <w:rFonts w:cs="Arial"/>
          <w:vertAlign w:val="superscript"/>
        </w:rPr>
        <w:t>3</w:t>
      </w:r>
      <w:r w:rsidRPr="00FF1A77">
        <w:rPr>
          <w:rFonts w:cs="Arial"/>
        </w:rPr>
        <w:t xml:space="preserve">) </w:t>
      </w:r>
      <w:proofErr w:type="gramStart"/>
      <w:r w:rsidRPr="00FF1A77">
        <w:rPr>
          <w:rFonts w:cs="Arial"/>
        </w:rPr>
        <w:t>is recommended</w:t>
      </w:r>
      <w:proofErr w:type="gramEnd"/>
      <w:r w:rsidRPr="00FF1A77">
        <w:rPr>
          <w:rFonts w:cs="Arial"/>
        </w:rPr>
        <w:t xml:space="preserve"> to protect for acute irritation of the eyes and upper respiratory trac</w:t>
      </w:r>
      <w:r w:rsidR="00425EDB" w:rsidRPr="00FF1A77">
        <w:rPr>
          <w:rFonts w:cs="Arial"/>
        </w:rPr>
        <w:t>t</w:t>
      </w:r>
      <w:r w:rsidRPr="00FF1A77">
        <w:rPr>
          <w:rFonts w:cs="Arial"/>
        </w:rPr>
        <w:t xml:space="preserve"> </w:t>
      </w:r>
      <w:r w:rsidR="00FF7E74" w:rsidRPr="00FF1A77">
        <w:rPr>
          <w:rFonts w:cs="Arial"/>
        </w:rPr>
        <w:t xml:space="preserve">and </w:t>
      </w:r>
      <w:r w:rsidRPr="00FF1A77">
        <w:rPr>
          <w:rFonts w:cs="Arial"/>
        </w:rPr>
        <w:t xml:space="preserve">potential reproductive toxicity in </w:t>
      </w:r>
      <w:r w:rsidR="009956A7" w:rsidRPr="00FF1A77">
        <w:rPr>
          <w:rFonts w:cs="Arial"/>
        </w:rPr>
        <w:t xml:space="preserve">exposed </w:t>
      </w:r>
      <w:r w:rsidRPr="00FF1A77">
        <w:rPr>
          <w:rFonts w:cs="Arial"/>
        </w:rPr>
        <w:t>workers.</w:t>
      </w:r>
      <w:r w:rsidR="00600EB7" w:rsidRPr="00FF1A77">
        <w:rPr>
          <w:rFonts w:cs="Arial"/>
        </w:rPr>
        <w:t xml:space="preserve"> </w:t>
      </w:r>
    </w:p>
    <w:p w14:paraId="641C12A1" w14:textId="77777777" w:rsidR="00C7155E" w:rsidRPr="00FF1A77" w:rsidRDefault="00F10C97" w:rsidP="003365A5">
      <w:pPr>
        <w:pStyle w:val="Heading2"/>
      </w:pPr>
      <w:r w:rsidRPr="00FF1A77">
        <w:t>Discussion and conclusions</w:t>
      </w:r>
    </w:p>
    <w:p w14:paraId="16E698EB" w14:textId="62068D4B" w:rsidR="00425EDB" w:rsidRPr="00FF1A77" w:rsidRDefault="00FD6089" w:rsidP="000A1B35">
      <w:proofErr w:type="spellStart"/>
      <w:r w:rsidRPr="00FF1A77">
        <w:t>Cyclohexylamine</w:t>
      </w:r>
      <w:proofErr w:type="spellEnd"/>
      <w:r w:rsidRPr="00FF1A77">
        <w:t xml:space="preserve"> </w:t>
      </w:r>
      <w:proofErr w:type="gramStart"/>
      <w:r w:rsidR="004373B8" w:rsidRPr="00FF1A77">
        <w:t>is used</w:t>
      </w:r>
      <w:proofErr w:type="gramEnd"/>
      <w:r w:rsidR="004373B8" w:rsidRPr="00FF1A77">
        <w:t xml:space="preserve"> as a corrosion inhibitor in cooling water feeds and in the chemical manufacture of insecticides, plasticisers, dry-cleaning soaps</w:t>
      </w:r>
      <w:r w:rsidR="00A61101" w:rsidRPr="00FF1A77">
        <w:t xml:space="preserve"> and</w:t>
      </w:r>
      <w:r w:rsidR="004373B8" w:rsidRPr="00FF1A77">
        <w:t xml:space="preserve"> dyes. </w:t>
      </w:r>
    </w:p>
    <w:p w14:paraId="24039DA8" w14:textId="1973C319" w:rsidR="006639B4" w:rsidRPr="00FF1A77" w:rsidRDefault="004373B8" w:rsidP="000A1B35">
      <w:r w:rsidRPr="00FF1A77">
        <w:t>Critical effects of exposure are irritation of the eyes and upper respiratory tract due to its corrosiv</w:t>
      </w:r>
      <w:r w:rsidR="00AA2B12" w:rsidRPr="00FF1A77">
        <w:t xml:space="preserve">e </w:t>
      </w:r>
      <w:r w:rsidR="00B96595" w:rsidRPr="00FF1A77">
        <w:t>properties</w:t>
      </w:r>
      <w:r w:rsidR="00AA2B12" w:rsidRPr="00FF1A77">
        <w:t>. It also causes</w:t>
      </w:r>
      <w:r w:rsidRPr="00FF1A77">
        <w:t xml:space="preserve"> nausea and vomiting at higher concentrations</w:t>
      </w:r>
      <w:r w:rsidR="00203D04" w:rsidRPr="00FF1A77">
        <w:t xml:space="preserve"> (ACGIH, 2018)</w:t>
      </w:r>
      <w:r w:rsidRPr="00FF1A77">
        <w:t>.</w:t>
      </w:r>
    </w:p>
    <w:p w14:paraId="21B440EF" w14:textId="43119F38" w:rsidR="00425EDB" w:rsidRPr="00FF1A77" w:rsidRDefault="000D79C9" w:rsidP="000A1B35">
      <w:r w:rsidRPr="00FF1A77">
        <w:t xml:space="preserve">A NOAEL </w:t>
      </w:r>
      <w:r w:rsidR="00203D04" w:rsidRPr="00FF1A77">
        <w:t xml:space="preserve">of 4 ppm </w:t>
      </w:r>
      <w:r w:rsidRPr="00FF1A77">
        <w:t>for eye and nose irritation</w:t>
      </w:r>
      <w:r w:rsidR="00203D04" w:rsidRPr="00FF1A77">
        <w:t xml:space="preserve"> </w:t>
      </w:r>
      <w:proofErr w:type="gramStart"/>
      <w:r w:rsidR="00203D04" w:rsidRPr="00FF1A77">
        <w:t>is reported</w:t>
      </w:r>
      <w:proofErr w:type="gramEnd"/>
      <w:r w:rsidR="00203D04" w:rsidRPr="00FF1A77">
        <w:t xml:space="preserve"> </w:t>
      </w:r>
      <w:r w:rsidR="00FE4E0C" w:rsidRPr="00FF1A77">
        <w:t xml:space="preserve">in humans </w:t>
      </w:r>
      <w:r w:rsidR="00203D04" w:rsidRPr="00FF1A77">
        <w:t>fo</w:t>
      </w:r>
      <w:r w:rsidR="00FE4E0C" w:rsidRPr="00FF1A77">
        <w:t>llowing</w:t>
      </w:r>
      <w:r w:rsidRPr="00FF1A77">
        <w:t xml:space="preserve"> acute expos</w:t>
      </w:r>
      <w:r w:rsidR="00FE4E0C" w:rsidRPr="00FF1A77">
        <w:t>ure</w:t>
      </w:r>
      <w:r w:rsidR="00425EDB" w:rsidRPr="00FF1A77">
        <w:t>, with the LOAEL reported at 10 ppm</w:t>
      </w:r>
      <w:r w:rsidRPr="00FF1A77">
        <w:t xml:space="preserve"> </w:t>
      </w:r>
      <w:r w:rsidR="00203D04" w:rsidRPr="00FF1A77">
        <w:t>(DFG, 2017). Chronic inhalation exposure data for humans and animals are limited. Adverse</w:t>
      </w:r>
      <w:r w:rsidR="004373B8" w:rsidRPr="00FF1A77">
        <w:t xml:space="preserve"> reproductive effects have been reported </w:t>
      </w:r>
      <w:r w:rsidR="00FE4E0C" w:rsidRPr="00FF1A77">
        <w:t xml:space="preserve">following </w:t>
      </w:r>
      <w:r w:rsidR="004373B8" w:rsidRPr="00FF1A77">
        <w:t>chronic expos</w:t>
      </w:r>
      <w:r w:rsidR="00FE4E0C" w:rsidRPr="00FF1A77">
        <w:t>ures</w:t>
      </w:r>
      <w:r w:rsidR="004373B8" w:rsidRPr="00FF1A77">
        <w:t xml:space="preserve"> </w:t>
      </w:r>
      <w:r w:rsidR="00425EDB" w:rsidRPr="00FF1A77">
        <w:t>in</w:t>
      </w:r>
      <w:r w:rsidR="00FE4E0C" w:rsidRPr="00FF1A77">
        <w:t xml:space="preserve"> </w:t>
      </w:r>
      <w:r w:rsidR="004373B8" w:rsidRPr="00FF1A77">
        <w:t>rats in a feeding study</w:t>
      </w:r>
      <w:r w:rsidR="00203D04" w:rsidRPr="00FF1A77">
        <w:t xml:space="preserve"> with a NOAEL of </w:t>
      </w:r>
      <w:r w:rsidR="00F949F9" w:rsidRPr="00FF1A77">
        <w:t>15</w:t>
      </w:r>
      <w:r w:rsidR="00F53038" w:rsidRPr="00FF1A77">
        <w:t> </w:t>
      </w:r>
      <w:r w:rsidR="004373B8" w:rsidRPr="00FF1A77">
        <w:t>mg/kg</w:t>
      </w:r>
      <w:r w:rsidR="00203D04" w:rsidRPr="00FF1A77">
        <w:t xml:space="preserve"> </w:t>
      </w:r>
      <w:r w:rsidR="00425EDB" w:rsidRPr="00FF1A77">
        <w:t xml:space="preserve">reported </w:t>
      </w:r>
      <w:r w:rsidR="00203D04" w:rsidRPr="00FF1A77">
        <w:t>(ACGIH, 2018</w:t>
      </w:r>
      <w:proofErr w:type="gramStart"/>
      <w:r w:rsidR="003F1566" w:rsidRPr="00FF1A77">
        <w:t>;</w:t>
      </w:r>
      <w:proofErr w:type="gramEnd"/>
      <w:r w:rsidR="003F1566" w:rsidRPr="00FF1A77">
        <w:t xml:space="preserve"> DFG, 2003). </w:t>
      </w:r>
    </w:p>
    <w:p w14:paraId="40BA7464" w14:textId="050D004E" w:rsidR="000A1B35" w:rsidRPr="00FF1A77" w:rsidRDefault="00203D04" w:rsidP="000A1B35">
      <w:r w:rsidRPr="00FF1A77">
        <w:t xml:space="preserve">The recommended TWA </w:t>
      </w:r>
      <w:r w:rsidR="003F1566" w:rsidRPr="00FF1A77">
        <w:t xml:space="preserve">of 2 ppm </w:t>
      </w:r>
      <w:proofErr w:type="gramStart"/>
      <w:r w:rsidRPr="00FF1A77">
        <w:t xml:space="preserve">is </w:t>
      </w:r>
      <w:r w:rsidR="00112CDB" w:rsidRPr="00FF1A77">
        <w:t>derived</w:t>
      </w:r>
      <w:proofErr w:type="gramEnd"/>
      <w:r w:rsidR="00112CDB" w:rsidRPr="00FF1A77">
        <w:t xml:space="preserve"> </w:t>
      </w:r>
      <w:r w:rsidR="00F14961" w:rsidRPr="00FF1A77">
        <w:t>from</w:t>
      </w:r>
      <w:r w:rsidRPr="00FF1A77">
        <w:t xml:space="preserve"> the </w:t>
      </w:r>
      <w:r w:rsidR="003F1566" w:rsidRPr="00FF1A77">
        <w:t xml:space="preserve">NOAEL </w:t>
      </w:r>
      <w:r w:rsidR="00112CDB" w:rsidRPr="00FF1A77">
        <w:t xml:space="preserve">of 4 ppm </w:t>
      </w:r>
      <w:r w:rsidR="003F1566" w:rsidRPr="00FF1A77">
        <w:t xml:space="preserve">for acute exposure </w:t>
      </w:r>
      <w:r w:rsidR="00425EDB" w:rsidRPr="00FF1A77">
        <w:t xml:space="preserve">in humans </w:t>
      </w:r>
      <w:r w:rsidR="003F1566" w:rsidRPr="00FF1A77">
        <w:t xml:space="preserve">and </w:t>
      </w:r>
      <w:r w:rsidR="00112CDB" w:rsidRPr="00FF1A77">
        <w:t xml:space="preserve">applying a factor of </w:t>
      </w:r>
      <w:r w:rsidR="00425EDB" w:rsidRPr="00FF1A77">
        <w:t>two to account for</w:t>
      </w:r>
      <w:r w:rsidR="003F1566" w:rsidRPr="00FF1A77">
        <w:t xml:space="preserve"> </w:t>
      </w:r>
      <w:r w:rsidR="00F14961" w:rsidRPr="00FF1A77">
        <w:t xml:space="preserve">the </w:t>
      </w:r>
      <w:r w:rsidR="00EA6169">
        <w:t>local irritation effects reported at the</w:t>
      </w:r>
      <w:r w:rsidR="003F1566" w:rsidRPr="00FF1A77">
        <w:t xml:space="preserve"> LOAEL. Exposure at the TWA over an </w:t>
      </w:r>
      <w:r w:rsidR="00FF7E74" w:rsidRPr="00FF1A77">
        <w:t xml:space="preserve">eight </w:t>
      </w:r>
      <w:r w:rsidR="003F1566" w:rsidRPr="00FF1A77">
        <w:t xml:space="preserve">hour shift equates to a daily intake of </w:t>
      </w:r>
      <w:r w:rsidR="007B0441" w:rsidRPr="00FF1A77">
        <w:t>approximately</w:t>
      </w:r>
      <w:r w:rsidR="003F1566" w:rsidRPr="00FF1A77">
        <w:t xml:space="preserve"> 1.2 mg/kg (assuming a 70</w:t>
      </w:r>
      <w:r w:rsidR="00F949F9" w:rsidRPr="00FF1A77">
        <w:t xml:space="preserve"> </w:t>
      </w:r>
      <w:r w:rsidR="003F1566" w:rsidRPr="00FF1A77">
        <w:t>kg worker, 10 m</w:t>
      </w:r>
      <w:r w:rsidR="003F1566" w:rsidRPr="00FF1A77">
        <w:rPr>
          <w:vertAlign w:val="superscript"/>
        </w:rPr>
        <w:t>3</w:t>
      </w:r>
      <w:r w:rsidR="003F1566" w:rsidRPr="00FF1A77">
        <w:t xml:space="preserve"> respiratory volume and 100% absorption)</w:t>
      </w:r>
      <w:r w:rsidR="00425EDB" w:rsidRPr="00FF1A77">
        <w:t>,</w:t>
      </w:r>
      <w:r w:rsidR="00695BDF" w:rsidRPr="00FF1A77">
        <w:t xml:space="preserve"> which is </w:t>
      </w:r>
      <w:r w:rsidR="007B0441" w:rsidRPr="00FF1A77">
        <w:t>more than 10</w:t>
      </w:r>
      <w:r w:rsidR="00B96595" w:rsidRPr="00FF1A77">
        <w:t> </w:t>
      </w:r>
      <w:r w:rsidR="007B0441" w:rsidRPr="00FF1A77">
        <w:t xml:space="preserve">times </w:t>
      </w:r>
      <w:r w:rsidR="00695BDF" w:rsidRPr="00FF1A77">
        <w:t>lower than the</w:t>
      </w:r>
      <w:r w:rsidR="00131519" w:rsidRPr="00FF1A77">
        <w:t xml:space="preserve"> reported</w:t>
      </w:r>
      <w:r w:rsidR="00695BDF" w:rsidRPr="00FF1A77">
        <w:t xml:space="preserve"> NOAEL of 15 mg/kg</w:t>
      </w:r>
      <w:r w:rsidR="007B0441" w:rsidRPr="00FF1A77">
        <w:t xml:space="preserve"> for reproductive effects in animals</w:t>
      </w:r>
      <w:r w:rsidR="003F1566" w:rsidRPr="00FF1A77">
        <w:t xml:space="preserve">. </w:t>
      </w:r>
      <w:r w:rsidR="000A1B35" w:rsidRPr="00FF1A77">
        <w:t xml:space="preserve">The TWA </w:t>
      </w:r>
      <w:proofErr w:type="gramStart"/>
      <w:r w:rsidR="000A1B35" w:rsidRPr="00FF1A77">
        <w:t>is also expected</w:t>
      </w:r>
      <w:proofErr w:type="gramEnd"/>
      <w:r w:rsidR="000A1B35" w:rsidRPr="00FF1A77">
        <w:t xml:space="preserve"> to protect for </w:t>
      </w:r>
      <w:r w:rsidR="00425EDB" w:rsidRPr="00FF1A77">
        <w:t xml:space="preserve">possible </w:t>
      </w:r>
      <w:r w:rsidR="007B0441" w:rsidRPr="00FF1A77">
        <w:t xml:space="preserve">reproductive </w:t>
      </w:r>
      <w:r w:rsidR="000A1B35" w:rsidRPr="00FF1A77">
        <w:t xml:space="preserve">effects </w:t>
      </w:r>
      <w:r w:rsidR="00425EDB" w:rsidRPr="00FF1A77">
        <w:t>reported in animal studies</w:t>
      </w:r>
      <w:r w:rsidR="001F43D8" w:rsidRPr="00FF1A77">
        <w:t xml:space="preserve">. </w:t>
      </w:r>
      <w:r w:rsidR="000A1B35" w:rsidRPr="00FF1A77">
        <w:t xml:space="preserve"> </w:t>
      </w:r>
    </w:p>
    <w:p w14:paraId="39C3F07A" w14:textId="77777777" w:rsidR="004529F0" w:rsidRPr="00FF1A77" w:rsidRDefault="004529F0" w:rsidP="004529F0">
      <w:pPr>
        <w:pStyle w:val="Heading2"/>
      </w:pPr>
      <w:r w:rsidRPr="00FF1A77">
        <w:t>Recommendation for notations</w:t>
      </w:r>
    </w:p>
    <w:p w14:paraId="0116CCF8" w14:textId="533F3D5A" w:rsidR="005235BC" w:rsidRPr="00FF1A77" w:rsidRDefault="005235BC" w:rsidP="005235BC">
      <w:pPr>
        <w:rPr>
          <w:rFonts w:cs="Arial"/>
        </w:rPr>
      </w:pPr>
      <w:r w:rsidRPr="00FF1A77">
        <w:rPr>
          <w:rFonts w:cs="Arial"/>
        </w:rPr>
        <w:t>Not classified as a carcinogen according to the Globally Harmonized System of Classification and Labelling o</w:t>
      </w:r>
      <w:r w:rsidR="006806B0" w:rsidRPr="00FF1A77">
        <w:rPr>
          <w:rFonts w:cs="Arial"/>
        </w:rPr>
        <w:t>f</w:t>
      </w:r>
      <w:r w:rsidRPr="00FF1A77">
        <w:rPr>
          <w:rFonts w:cs="Arial"/>
        </w:rPr>
        <w:t xml:space="preserve"> Chemicals (GHS). </w:t>
      </w:r>
    </w:p>
    <w:p w14:paraId="62C1F49F" w14:textId="66377370" w:rsidR="005235BC" w:rsidRPr="00FF1A77" w:rsidRDefault="005235BC" w:rsidP="005235BC">
      <w:pPr>
        <w:rPr>
          <w:rFonts w:cs="Arial"/>
        </w:rPr>
      </w:pPr>
      <w:r w:rsidRPr="00FF1A77">
        <w:rPr>
          <w:rFonts w:cs="Arial"/>
        </w:rPr>
        <w:t>Not classified as a skin</w:t>
      </w:r>
      <w:r w:rsidR="006806B0" w:rsidRPr="00FF1A77">
        <w:rPr>
          <w:rFonts w:cs="Arial"/>
        </w:rPr>
        <w:t xml:space="preserve"> sensitiser</w:t>
      </w:r>
      <w:r w:rsidRPr="00FF1A77">
        <w:rPr>
          <w:rFonts w:cs="Arial"/>
        </w:rPr>
        <w:t xml:space="preserve"> or respiratory sensitiser according to the GHS.</w:t>
      </w:r>
    </w:p>
    <w:p w14:paraId="5537CA61" w14:textId="00AC0C13" w:rsidR="005E6979" w:rsidRPr="00FF1A77" w:rsidRDefault="00BA6D6B">
      <w:pPr>
        <w:rPr>
          <w:rFonts w:cs="Arial"/>
        </w:rPr>
      </w:pPr>
      <w:r w:rsidRPr="00FF1A77">
        <w:rPr>
          <w:rFonts w:cs="Arial"/>
        </w:rPr>
        <w:lastRenderedPageBreak/>
        <w:t xml:space="preserve">A skin notation </w:t>
      </w:r>
      <w:proofErr w:type="gramStart"/>
      <w:r w:rsidRPr="00FF1A77">
        <w:rPr>
          <w:rFonts w:cs="Arial"/>
        </w:rPr>
        <w:t>has been recommended</w:t>
      </w:r>
      <w:proofErr w:type="gramEnd"/>
      <w:r w:rsidRPr="00FF1A77">
        <w:rPr>
          <w:rFonts w:cs="Arial"/>
        </w:rPr>
        <w:t xml:space="preserve"> based on evidence suggesting potential dermal absorption and adverse systemic effects in animals.</w:t>
      </w:r>
    </w:p>
    <w:p w14:paraId="59E1209A" w14:textId="21427BFF" w:rsidR="00425EDB" w:rsidRPr="00FF1A77" w:rsidRDefault="00545128" w:rsidP="00425EDB">
      <w:r>
        <w:t>Data from</w:t>
      </w:r>
      <w:r w:rsidR="00425EDB" w:rsidRPr="00FF1A77">
        <w:t xml:space="preserve"> animal studies suggest that systemic toxicity may result from dermal absorption. However, it is unclear if the reported toxicity is due to the inherent corrosive nature of the substance. A priority review of available data </w:t>
      </w:r>
      <w:proofErr w:type="gramStart"/>
      <w:r w:rsidR="00425EDB" w:rsidRPr="00FF1A77">
        <w:t>is therefore recommended</w:t>
      </w:r>
      <w:proofErr w:type="gramEnd"/>
      <w:r w:rsidR="00425EDB" w:rsidRPr="00FF1A77">
        <w:t xml:space="preserve"> during the next scheduled assessment to confirm the requirement for a skin notation.</w:t>
      </w:r>
    </w:p>
    <w:p w14:paraId="6357F2CB" w14:textId="77777777" w:rsidR="00425EDB" w:rsidRPr="00FF1A77" w:rsidRDefault="00425EDB">
      <w:pPr>
        <w:rPr>
          <w:rFonts w:cs="Arial"/>
        </w:rPr>
        <w:sectPr w:rsidR="00425EDB" w:rsidRPr="00FF1A77"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585BD15D" w14:textId="77777777" w:rsidR="0034744C" w:rsidRPr="00FF1A77" w:rsidRDefault="005E6979" w:rsidP="005E6979">
      <w:pPr>
        <w:pStyle w:val="Heading1"/>
        <w:rPr>
          <w:rFonts w:ascii="Arial" w:hAnsi="Arial" w:cs="Arial"/>
        </w:rPr>
      </w:pPr>
      <w:r w:rsidRPr="00FF1A77">
        <w:rPr>
          <w:rFonts w:ascii="Arial" w:hAnsi="Arial" w:cs="Arial"/>
        </w:rPr>
        <w:lastRenderedPageBreak/>
        <w:t>Appendix</w:t>
      </w:r>
    </w:p>
    <w:p w14:paraId="557BCCBA" w14:textId="77777777" w:rsidR="008D026D" w:rsidRPr="00FF1A77" w:rsidRDefault="00B479A9" w:rsidP="003365A5">
      <w:pPr>
        <w:pStyle w:val="Heading3"/>
      </w:pPr>
      <w:r w:rsidRPr="00FF1A77">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FF1A77" w14:paraId="3E4F163F" w14:textId="77777777" w:rsidTr="00DE26E8">
        <w:trPr>
          <w:gridAfter w:val="1"/>
          <w:wAfter w:w="8" w:type="pct"/>
          <w:cantSplit/>
          <w:trHeight w:val="393"/>
          <w:tblHeader/>
        </w:trPr>
        <w:tc>
          <w:tcPr>
            <w:tcW w:w="4992" w:type="pct"/>
            <w:shd w:val="clear" w:color="auto" w:fill="BFBFBF" w:themeFill="background1" w:themeFillShade="BF"/>
            <w:vAlign w:val="center"/>
          </w:tcPr>
          <w:p w14:paraId="0969E3A6" w14:textId="77777777" w:rsidR="00C978F0" w:rsidRPr="00FF1A77" w:rsidRDefault="00C978F0" w:rsidP="00C67FFB">
            <w:pPr>
              <w:pStyle w:val="Tableheader"/>
              <w:tabs>
                <w:tab w:val="left" w:pos="1418"/>
                <w:tab w:val="left" w:pos="2552"/>
                <w:tab w:val="right" w:pos="8489"/>
              </w:tabs>
            </w:pPr>
            <w:r w:rsidRPr="00FF1A77">
              <w:t>Source</w:t>
            </w:r>
            <w:r w:rsidR="00DA352E" w:rsidRPr="00FF1A77">
              <w:tab/>
              <w:t>Year set</w:t>
            </w:r>
            <w:r w:rsidR="00DA352E" w:rsidRPr="00FF1A77">
              <w:tab/>
              <w:t>Standard</w:t>
            </w:r>
            <w:r w:rsidR="00974F2D" w:rsidRPr="00FF1A77">
              <w:tab/>
            </w:r>
          </w:p>
        </w:tc>
      </w:tr>
      <w:tr w:rsidR="00DE26E8" w:rsidRPr="00FF1A77" w14:paraId="7826F52C" w14:textId="77777777" w:rsidTr="00DE26E8">
        <w:trPr>
          <w:cantSplit/>
        </w:trPr>
        <w:tc>
          <w:tcPr>
            <w:tcW w:w="5000" w:type="pct"/>
            <w:gridSpan w:val="2"/>
            <w:shd w:val="clear" w:color="auto" w:fill="F2F2F2" w:themeFill="background1" w:themeFillShade="F2"/>
          </w:tcPr>
          <w:p w14:paraId="7B15388A" w14:textId="3A50365B" w:rsidR="00DE26E8" w:rsidRPr="00FF1A77" w:rsidRDefault="00DE26E8" w:rsidP="0051509C">
            <w:pPr>
              <w:pStyle w:val="Tablerowheadingitalic"/>
              <w:tabs>
                <w:tab w:val="clear" w:pos="2268"/>
                <w:tab w:val="clear" w:pos="5670"/>
                <w:tab w:val="left" w:pos="1418"/>
                <w:tab w:val="left" w:pos="2552"/>
              </w:tabs>
            </w:pPr>
            <w:r w:rsidRPr="00FF1A77">
              <w:t>SWA</w:t>
            </w:r>
            <w:r w:rsidRPr="00FF1A77">
              <w:tab/>
            </w:r>
            <w:sdt>
              <w:sdtPr>
                <w:id w:val="-2034099983"/>
                <w:placeholder>
                  <w:docPart w:val="0A35AF4547E94E219E26BC12DBC33282"/>
                </w:placeholder>
                <w:text/>
              </w:sdtPr>
              <w:sdtEndPr/>
              <w:sdtContent>
                <w:r w:rsidR="005235BC" w:rsidRPr="00FF1A77">
                  <w:t>1991</w:t>
                </w:r>
              </w:sdtContent>
            </w:sdt>
            <w:r w:rsidRPr="00FF1A77">
              <w:tab/>
            </w:r>
            <w:r w:rsidRPr="00FF1A77">
              <w:tab/>
            </w:r>
            <w:sdt>
              <w:sdtPr>
                <w:alias w:val="SWA WES"/>
                <w:tag w:val="SWA WES"/>
                <w:id w:val="857077202"/>
                <w:placeholder>
                  <w:docPart w:val="81CFEC2FDBC5451289F394E66D92D1A0"/>
                </w:placeholder>
              </w:sdtPr>
              <w:sdtEndPr/>
              <w:sdtContent>
                <w:r w:rsidR="005235BC" w:rsidRPr="00FF1A77">
                  <w:t>TWA: 10 ppm (41 mg/m</w:t>
                </w:r>
                <w:r w:rsidR="005235BC" w:rsidRPr="00FF1A77">
                  <w:rPr>
                    <w:vertAlign w:val="superscript"/>
                  </w:rPr>
                  <w:t>3</w:t>
                </w:r>
                <w:r w:rsidR="005235BC" w:rsidRPr="00FF1A77">
                  <w:t>)</w:t>
                </w:r>
              </w:sdtContent>
            </w:sdt>
          </w:p>
        </w:tc>
      </w:tr>
      <w:tr w:rsidR="00C978F0" w:rsidRPr="00FF1A77" w14:paraId="3F590B41" w14:textId="77777777" w:rsidTr="00DE26E8">
        <w:trPr>
          <w:gridAfter w:val="1"/>
          <w:wAfter w:w="8" w:type="pct"/>
          <w:cantSplit/>
        </w:trPr>
        <w:tc>
          <w:tcPr>
            <w:tcW w:w="4992" w:type="pct"/>
          </w:tcPr>
          <w:p w14:paraId="0998A0AF" w14:textId="77777777" w:rsidR="00C978F0" w:rsidRPr="00FF1A77" w:rsidRDefault="00C978F0" w:rsidP="003365A5">
            <w:pPr>
              <w:pStyle w:val="Tabletextprimarysource"/>
            </w:pPr>
          </w:p>
        </w:tc>
      </w:tr>
      <w:tr w:rsidR="00C978F0" w:rsidRPr="00FF1A77" w14:paraId="787B77B4" w14:textId="77777777" w:rsidTr="00DE26E8">
        <w:trPr>
          <w:gridAfter w:val="1"/>
          <w:wAfter w:w="8" w:type="pct"/>
          <w:cantSplit/>
        </w:trPr>
        <w:tc>
          <w:tcPr>
            <w:tcW w:w="4992" w:type="pct"/>
            <w:shd w:val="clear" w:color="auto" w:fill="F2F2F2" w:themeFill="background1" w:themeFillShade="F2"/>
          </w:tcPr>
          <w:p w14:paraId="5611807F" w14:textId="14BAF0B0" w:rsidR="00C978F0" w:rsidRPr="00FF1A77" w:rsidRDefault="00DA352E" w:rsidP="0051509C">
            <w:pPr>
              <w:pStyle w:val="Tablerowheadingitalic"/>
              <w:tabs>
                <w:tab w:val="clear" w:pos="2268"/>
                <w:tab w:val="clear" w:pos="5670"/>
                <w:tab w:val="left" w:pos="1418"/>
                <w:tab w:val="left" w:pos="2552"/>
              </w:tabs>
            </w:pPr>
            <w:r w:rsidRPr="00FF1A77">
              <w:t>ACGIH</w:t>
            </w:r>
            <w:r w:rsidR="00916EC0" w:rsidRPr="00FF1A77">
              <w:t xml:space="preserve"> </w:t>
            </w:r>
            <w:r w:rsidR="00916EC0" w:rsidRPr="00FF1A77">
              <w:tab/>
            </w:r>
            <w:sdt>
              <w:sdtPr>
                <w:id w:val="444816450"/>
                <w:placeholder>
                  <w:docPart w:val="C8FBF9621EB94FE084F687C8955AF85F"/>
                </w:placeholder>
                <w:text/>
              </w:sdtPr>
              <w:sdtEndPr/>
              <w:sdtContent>
                <w:r w:rsidR="005235BC" w:rsidRPr="00FF1A77">
                  <w:t>2001</w:t>
                </w:r>
              </w:sdtContent>
            </w:sdt>
            <w:r w:rsidR="00916EC0" w:rsidRPr="00FF1A77">
              <w:tab/>
            </w:r>
            <w:r w:rsidR="0051509C" w:rsidRPr="00FF1A77">
              <w:tab/>
            </w:r>
            <w:sdt>
              <w:sdtPr>
                <w:alias w:val="ACGIH WES equivalent"/>
                <w:tag w:val="ACGIH WES equivalent"/>
                <w:id w:val="-1676410403"/>
                <w:placeholder>
                  <w:docPart w:val="522022AAE76B4622AC0DF750489702EB"/>
                </w:placeholder>
              </w:sdtPr>
              <w:sdtEndPr/>
              <w:sdtContent>
                <w:r w:rsidR="005235BC" w:rsidRPr="00FF1A77">
                  <w:t>TLV-TWA: 10 ppm (41 mg/m</w:t>
                </w:r>
                <w:r w:rsidR="005235BC" w:rsidRPr="00FF1A77">
                  <w:rPr>
                    <w:vertAlign w:val="superscript"/>
                  </w:rPr>
                  <w:t>3</w:t>
                </w:r>
                <w:r w:rsidR="005235BC" w:rsidRPr="00FF1A77">
                  <w:t>)</w:t>
                </w:r>
              </w:sdtContent>
            </w:sdt>
          </w:p>
        </w:tc>
      </w:tr>
      <w:tr w:rsidR="00C978F0" w:rsidRPr="00FF1A77" w14:paraId="6D540074" w14:textId="77777777" w:rsidTr="00DE26E8">
        <w:trPr>
          <w:gridAfter w:val="1"/>
          <w:wAfter w:w="8" w:type="pct"/>
          <w:cantSplit/>
        </w:trPr>
        <w:tc>
          <w:tcPr>
            <w:tcW w:w="4992" w:type="pct"/>
          </w:tcPr>
          <w:p w14:paraId="1E3DBE32" w14:textId="582105BE" w:rsidR="00425EDB" w:rsidRPr="00FF1A77" w:rsidRDefault="00F00306" w:rsidP="003365A5">
            <w:pPr>
              <w:pStyle w:val="Tabletextprimarysource"/>
            </w:pPr>
            <w:r w:rsidRPr="00FF1A77">
              <w:t xml:space="preserve">TLV-TWA intended to minimise potential for irritation to respiratory tract, skin and eyes, nausea and vomiting. Not classifiable as a human carcinogen based on negative results in animal studies. </w:t>
            </w:r>
          </w:p>
          <w:p w14:paraId="2AAF28BA" w14:textId="1B296614" w:rsidR="00C978F0" w:rsidRPr="00FF1A77" w:rsidRDefault="00F00306" w:rsidP="003365A5">
            <w:pPr>
              <w:pStyle w:val="Tabletextprimarysource"/>
            </w:pPr>
            <w:r w:rsidRPr="00FF1A77">
              <w:t>Insufficient data available to recommend a STEL or notations for sensitisation or skin absorption.</w:t>
            </w:r>
          </w:p>
          <w:p w14:paraId="1D3B77BB" w14:textId="77777777" w:rsidR="00F00306" w:rsidRPr="00FF1A77" w:rsidRDefault="00F00306" w:rsidP="003365A5">
            <w:pPr>
              <w:pStyle w:val="Tabletextprimarysource"/>
            </w:pPr>
            <w:r w:rsidRPr="00FF1A77">
              <w:t>Summary of data:</w:t>
            </w:r>
          </w:p>
          <w:p w14:paraId="7F067BF4" w14:textId="68C1298B" w:rsidR="00F00306" w:rsidRPr="00FF1A77" w:rsidRDefault="007E5652" w:rsidP="003365A5">
            <w:pPr>
              <w:pStyle w:val="Tabletextprimarysource"/>
            </w:pPr>
            <w:r w:rsidRPr="00FF1A77">
              <w:t xml:space="preserve">Critical effect of exposure is irritation, as supported by animal and human studies. </w:t>
            </w:r>
            <w:r w:rsidR="00F00306" w:rsidRPr="00FF1A77">
              <w:t xml:space="preserve">TLV-TWA derived from acute human exposure data, which suggests no irritation </w:t>
            </w:r>
            <w:r w:rsidRPr="00FF1A77">
              <w:t xml:space="preserve">effects occur between </w:t>
            </w:r>
            <w:r w:rsidR="009956A7" w:rsidRPr="00FF1A77">
              <w:br/>
            </w:r>
            <w:r w:rsidRPr="00FF1A77">
              <w:t>4</w:t>
            </w:r>
            <w:r w:rsidR="00F949F9" w:rsidRPr="00FF1A77">
              <w:t>–</w:t>
            </w:r>
            <w:r w:rsidR="003862A2" w:rsidRPr="00FF1A77">
              <w:t>1</w:t>
            </w:r>
            <w:r w:rsidRPr="00FF1A77">
              <w:t>0 ppm.</w:t>
            </w:r>
          </w:p>
          <w:p w14:paraId="0F63D4F3" w14:textId="4BC0AF55" w:rsidR="007E5652" w:rsidRPr="00FF1A77" w:rsidRDefault="007E5652" w:rsidP="003365A5">
            <w:pPr>
              <w:pStyle w:val="Tabletextprimarysource"/>
            </w:pPr>
            <w:r w:rsidRPr="00FF1A77">
              <w:t>Human data:</w:t>
            </w:r>
          </w:p>
          <w:p w14:paraId="3A133329" w14:textId="55639894" w:rsidR="009A3DD9" w:rsidRPr="00FF1A77" w:rsidRDefault="009A3DD9" w:rsidP="00425EDB">
            <w:pPr>
              <w:pStyle w:val="ListBullet"/>
              <w:numPr>
                <w:ilvl w:val="0"/>
                <w:numId w:val="2"/>
              </w:numPr>
              <w:tabs>
                <w:tab w:val="num" w:pos="360"/>
              </w:tabs>
              <w:spacing w:before="60" w:after="60"/>
              <w:ind w:left="714" w:hanging="357"/>
              <w:contextualSpacing w:val="0"/>
            </w:pPr>
            <w:r w:rsidRPr="00FF1A77">
              <w:t>3 non-fatal exposures resulted in strong irritation, nausea and vomiting</w:t>
            </w:r>
          </w:p>
          <w:p w14:paraId="08DEEC98" w14:textId="55581584" w:rsidR="009A3DD9" w:rsidRPr="00FF1A77" w:rsidRDefault="009A3DD9" w:rsidP="00425EDB">
            <w:pPr>
              <w:pStyle w:val="ListBullet"/>
              <w:numPr>
                <w:ilvl w:val="0"/>
                <w:numId w:val="2"/>
              </w:numPr>
              <w:tabs>
                <w:tab w:val="num" w:pos="360"/>
              </w:tabs>
              <w:spacing w:before="60" w:after="60"/>
              <w:ind w:left="714" w:hanging="357"/>
              <w:contextualSpacing w:val="0"/>
            </w:pPr>
            <w:r w:rsidRPr="00FF1A77">
              <w:t>Industrial chemical review classifies substance as moderately to very toxic with moderate sensitising and severe irritation potential</w:t>
            </w:r>
          </w:p>
          <w:p w14:paraId="5FCBF3A0" w14:textId="729B9A13" w:rsidR="009A3DD9" w:rsidRPr="00FF1A77" w:rsidRDefault="009A3DD9" w:rsidP="00425EDB">
            <w:pPr>
              <w:pStyle w:val="ListBullet"/>
              <w:numPr>
                <w:ilvl w:val="0"/>
                <w:numId w:val="2"/>
              </w:numPr>
              <w:tabs>
                <w:tab w:val="num" w:pos="360"/>
              </w:tabs>
              <w:spacing w:before="60" w:after="60"/>
              <w:ind w:left="714" w:hanging="357"/>
              <w:contextualSpacing w:val="0"/>
            </w:pPr>
            <w:r w:rsidRPr="00FF1A77">
              <w:t xml:space="preserve">Cyclamate metabolism (e.g. from artificial sweeteners) produces </w:t>
            </w:r>
            <w:proofErr w:type="spellStart"/>
            <w:r w:rsidRPr="00FF1A77">
              <w:t>cyclohexylamine</w:t>
            </w:r>
            <w:proofErr w:type="spellEnd"/>
            <w:r w:rsidRPr="00FF1A77">
              <w:t>, which may cause adverse effects associated with cyclamate intake</w:t>
            </w:r>
          </w:p>
          <w:p w14:paraId="7F6CC562" w14:textId="77777777" w:rsidR="00425EDB" w:rsidRPr="00FF1A77" w:rsidRDefault="009A3DD9" w:rsidP="00425EDB">
            <w:pPr>
              <w:pStyle w:val="ListBullet"/>
              <w:numPr>
                <w:ilvl w:val="0"/>
                <w:numId w:val="2"/>
              </w:numPr>
              <w:tabs>
                <w:tab w:val="num" w:pos="360"/>
              </w:tabs>
              <w:spacing w:before="60" w:after="60"/>
              <w:ind w:left="714" w:hanging="357"/>
              <w:contextualSpacing w:val="0"/>
            </w:pPr>
            <w:r w:rsidRPr="00FF1A77">
              <w:t>No adverse effects in subjects fed 5,000 mg/d of cyclamate for 7</w:t>
            </w:r>
            <w:r w:rsidR="00F949F9" w:rsidRPr="00FF1A77">
              <w:t>–</w:t>
            </w:r>
            <w:r w:rsidRPr="00FF1A77">
              <w:t>8 d</w:t>
            </w:r>
          </w:p>
          <w:p w14:paraId="0B8494A5" w14:textId="2AFA3A7A" w:rsidR="009A3DD9" w:rsidRPr="00FF1A77" w:rsidRDefault="009A3DD9" w:rsidP="00425EDB">
            <w:pPr>
              <w:pStyle w:val="ListBullet"/>
              <w:numPr>
                <w:ilvl w:val="1"/>
                <w:numId w:val="3"/>
              </w:numPr>
              <w:spacing w:before="60" w:after="60"/>
              <w:ind w:left="1094" w:hanging="357"/>
              <w:contextualSpacing w:val="0"/>
            </w:pPr>
            <w:proofErr w:type="spellStart"/>
            <w:r w:rsidRPr="00FF1A77">
              <w:t>cyclohexylamine</w:t>
            </w:r>
            <w:proofErr w:type="spellEnd"/>
            <w:r w:rsidRPr="00FF1A77">
              <w:t xml:space="preserve"> eliminated </w:t>
            </w:r>
            <w:r w:rsidRPr="00FF1A77">
              <w:rPr>
                <w:i/>
              </w:rPr>
              <w:t>via</w:t>
            </w:r>
            <w:r w:rsidRPr="00FF1A77">
              <w:t xml:space="preserve"> urine by those able to metabolise cyclamate</w:t>
            </w:r>
          </w:p>
          <w:p w14:paraId="2B37C13B" w14:textId="5128CF12" w:rsidR="003862A2" w:rsidRPr="00FF1A77" w:rsidRDefault="003862A2" w:rsidP="00425EDB">
            <w:pPr>
              <w:pStyle w:val="ListBullet"/>
              <w:numPr>
                <w:ilvl w:val="1"/>
                <w:numId w:val="3"/>
              </w:numPr>
              <w:spacing w:before="60" w:after="60"/>
              <w:ind w:left="1094" w:hanging="357"/>
              <w:contextualSpacing w:val="0"/>
            </w:pPr>
            <w:proofErr w:type="gramStart"/>
            <w:r w:rsidRPr="00FF1A77">
              <w:t>c</w:t>
            </w:r>
            <w:r w:rsidR="009A3DD9" w:rsidRPr="00FF1A77">
              <w:t>ited</w:t>
            </w:r>
            <w:proofErr w:type="gramEnd"/>
            <w:r w:rsidR="009A3DD9" w:rsidRPr="00FF1A77">
              <w:t xml:space="preserve"> article reports that levels of </w:t>
            </w:r>
            <w:proofErr w:type="spellStart"/>
            <w:r w:rsidR="009A3DD9" w:rsidRPr="00FF1A77">
              <w:t>cyclohexylamine</w:t>
            </w:r>
            <w:proofErr w:type="spellEnd"/>
            <w:r w:rsidR="009A3DD9" w:rsidRPr="00FF1A77">
              <w:t xml:space="preserve"> under industrial exposure conditions are unlikely to cause putative carcinogenic/teratogenic effects</w:t>
            </w:r>
            <w:r w:rsidRPr="00FF1A77">
              <w:t>.</w:t>
            </w:r>
          </w:p>
          <w:p w14:paraId="59323BBF" w14:textId="77777777" w:rsidR="007E5652" w:rsidRPr="00FF1A77" w:rsidRDefault="007E5652" w:rsidP="003365A5">
            <w:pPr>
              <w:pStyle w:val="Tabletextprimarysource"/>
            </w:pPr>
            <w:r w:rsidRPr="00FF1A77">
              <w:t>Animal data:</w:t>
            </w:r>
          </w:p>
          <w:p w14:paraId="37C0257C" w14:textId="259CD675" w:rsidR="007E5652" w:rsidRPr="00FF1A77" w:rsidRDefault="00425EDB" w:rsidP="00425EDB">
            <w:pPr>
              <w:pStyle w:val="ListBullet"/>
              <w:numPr>
                <w:ilvl w:val="0"/>
                <w:numId w:val="2"/>
              </w:numPr>
              <w:tabs>
                <w:tab w:val="num" w:pos="360"/>
              </w:tabs>
              <w:spacing w:before="60" w:after="60"/>
              <w:ind w:left="714" w:hanging="357"/>
              <w:contextualSpacing w:val="0"/>
            </w:pPr>
            <w:r w:rsidRPr="00FF1A77">
              <w:t xml:space="preserve">IP </w:t>
            </w:r>
            <w:r w:rsidR="006F6FC1" w:rsidRPr="00FF1A77">
              <w:t>LD</w:t>
            </w:r>
            <w:r w:rsidR="006F6FC1" w:rsidRPr="00FF1A77">
              <w:rPr>
                <w:vertAlign w:val="subscript"/>
              </w:rPr>
              <w:t>50</w:t>
            </w:r>
            <w:r w:rsidR="006F6FC1" w:rsidRPr="00FF1A77">
              <w:t>: 200 mg/kg (rats); single oral LD</w:t>
            </w:r>
            <w:r w:rsidR="006F6FC1" w:rsidRPr="00FF1A77">
              <w:rPr>
                <w:vertAlign w:val="subscript"/>
              </w:rPr>
              <w:t>50</w:t>
            </w:r>
            <w:r w:rsidR="006F6FC1" w:rsidRPr="00FF1A77">
              <w:t xml:space="preserve">: </w:t>
            </w:r>
            <w:r w:rsidR="00101EA6" w:rsidRPr="00FF1A77">
              <w:t>614</w:t>
            </w:r>
            <w:r w:rsidR="006F6FC1" w:rsidRPr="00FF1A77">
              <w:t xml:space="preserve"> mg/kg (rats)</w:t>
            </w:r>
          </w:p>
          <w:p w14:paraId="7496711B" w14:textId="3C0A4348" w:rsidR="006F6FC1" w:rsidRPr="00FF1A77" w:rsidRDefault="006F6FC1" w:rsidP="00425EDB">
            <w:pPr>
              <w:pStyle w:val="ListBullet"/>
              <w:numPr>
                <w:ilvl w:val="0"/>
                <w:numId w:val="2"/>
              </w:numPr>
              <w:tabs>
                <w:tab w:val="num" w:pos="360"/>
              </w:tabs>
              <w:spacing w:before="60" w:after="60"/>
              <w:ind w:left="714" w:hanging="357"/>
              <w:contextualSpacing w:val="0"/>
            </w:pPr>
            <w:r w:rsidRPr="00FF1A77">
              <w:t>Dermal LD</w:t>
            </w:r>
            <w:r w:rsidRPr="00FF1A77">
              <w:rPr>
                <w:vertAlign w:val="subscript"/>
              </w:rPr>
              <w:t>50</w:t>
            </w:r>
            <w:r w:rsidRPr="00FF1A77">
              <w:t xml:space="preserve">: </w:t>
            </w:r>
            <w:r w:rsidR="00A47962" w:rsidRPr="00FF1A77">
              <w:t>275</w:t>
            </w:r>
            <w:r w:rsidRPr="00FF1A77">
              <w:t xml:space="preserve"> mg/kg (rabbits); </w:t>
            </w:r>
            <w:r w:rsidR="00A47962" w:rsidRPr="00FF1A77">
              <w:t>865</w:t>
            </w:r>
            <w:r w:rsidR="00F949F9" w:rsidRPr="00FF1A77">
              <w:t>–</w:t>
            </w:r>
            <w:r w:rsidR="00101EA6" w:rsidRPr="00FF1A77">
              <w:t>4</w:t>
            </w:r>
            <w:r w:rsidR="0022422D" w:rsidRPr="00FF1A77">
              <w:t>,</w:t>
            </w:r>
            <w:r w:rsidR="00101EA6" w:rsidRPr="00FF1A77">
              <w:t>320</w:t>
            </w:r>
            <w:r w:rsidRPr="00FF1A77">
              <w:t xml:space="preserve"> mg/kg (guinea pigs, 24 h occlusive patch)</w:t>
            </w:r>
          </w:p>
          <w:p w14:paraId="6849F587" w14:textId="77777777" w:rsidR="006F6FC1" w:rsidRPr="00FF1A77" w:rsidRDefault="006F6FC1" w:rsidP="00425EDB">
            <w:pPr>
              <w:pStyle w:val="ListBullet"/>
              <w:numPr>
                <w:ilvl w:val="0"/>
                <w:numId w:val="2"/>
              </w:numPr>
              <w:tabs>
                <w:tab w:val="num" w:pos="360"/>
              </w:tabs>
              <w:spacing w:before="60" w:after="60"/>
              <w:ind w:left="714" w:hanging="357"/>
              <w:contextualSpacing w:val="0"/>
            </w:pPr>
            <w:r w:rsidRPr="00FF1A77">
              <w:t>4/5 rats and 2/5 guinea pigs survived 150 ppm exposure (70 h); critical effects were irritation of eyes and respiratory tract</w:t>
            </w:r>
          </w:p>
          <w:p w14:paraId="1A04A444" w14:textId="77777777" w:rsidR="006F6FC1" w:rsidRPr="00FF1A77" w:rsidRDefault="006F6FC1" w:rsidP="00425EDB">
            <w:pPr>
              <w:pStyle w:val="ListBullet"/>
              <w:numPr>
                <w:ilvl w:val="0"/>
                <w:numId w:val="2"/>
              </w:numPr>
              <w:tabs>
                <w:tab w:val="num" w:pos="360"/>
              </w:tabs>
              <w:spacing w:before="60" w:after="60"/>
              <w:ind w:left="714" w:hanging="357"/>
              <w:contextualSpacing w:val="0"/>
            </w:pPr>
            <w:r w:rsidRPr="00FF1A77">
              <w:t xml:space="preserve">Complete destruction of </w:t>
            </w:r>
            <w:r w:rsidR="00B434AE" w:rsidRPr="00FF1A77">
              <w:t xml:space="preserve">the </w:t>
            </w:r>
            <w:r w:rsidRPr="00FF1A77">
              <w:t>eye with 50% aqueous solution (</w:t>
            </w:r>
            <w:r w:rsidR="00B434AE" w:rsidRPr="00FF1A77">
              <w:t>rabbits, 1 drop)</w:t>
            </w:r>
          </w:p>
          <w:p w14:paraId="61229BB8" w14:textId="77777777" w:rsidR="00B434AE" w:rsidRPr="00FF1A77" w:rsidRDefault="00B434AE" w:rsidP="00425EDB">
            <w:pPr>
              <w:pStyle w:val="ListBullet"/>
              <w:numPr>
                <w:ilvl w:val="0"/>
                <w:numId w:val="2"/>
              </w:numPr>
              <w:tabs>
                <w:tab w:val="num" w:pos="360"/>
              </w:tabs>
              <w:spacing w:before="60" w:after="60"/>
              <w:ind w:left="714" w:hanging="357"/>
              <w:contextualSpacing w:val="0"/>
            </w:pPr>
            <w:r w:rsidRPr="00FF1A77">
              <w:t xml:space="preserve">Weight loss and adverse developmental effects in daily oral intake study as drinking water at 100 mg/kg (rats, guinea pigs, rabbits, 82 d) </w:t>
            </w:r>
          </w:p>
          <w:p w14:paraId="0EBD6C92" w14:textId="7247D35B" w:rsidR="00213A51" w:rsidRPr="00FF1A77" w:rsidRDefault="00B434AE" w:rsidP="00425EDB">
            <w:pPr>
              <w:pStyle w:val="ListBullet"/>
              <w:numPr>
                <w:ilvl w:val="0"/>
                <w:numId w:val="2"/>
              </w:numPr>
              <w:tabs>
                <w:tab w:val="num" w:pos="360"/>
              </w:tabs>
              <w:spacing w:before="60" w:after="60"/>
              <w:ind w:left="714" w:hanging="357"/>
              <w:contextualSpacing w:val="0"/>
            </w:pPr>
            <w:r w:rsidRPr="00FF1A77">
              <w:t xml:space="preserve">Slight anaemia, decreased food intake and lower organ weights in </w:t>
            </w:r>
            <w:r w:rsidR="00213A51" w:rsidRPr="00FF1A77">
              <w:t>daily</w:t>
            </w:r>
            <w:r w:rsidRPr="00FF1A77">
              <w:t xml:space="preserve"> feeding study with </w:t>
            </w:r>
            <w:r w:rsidR="00213A51" w:rsidRPr="00FF1A77">
              <w:t>the corresponding hydrochloride</w:t>
            </w:r>
            <w:r w:rsidRPr="00FF1A77">
              <w:t xml:space="preserve"> salt, treatment range</w:t>
            </w:r>
            <w:r w:rsidR="00213A51" w:rsidRPr="00FF1A77">
              <w:t>:</w:t>
            </w:r>
            <w:r w:rsidRPr="00FF1A77">
              <w:t xml:space="preserve"> </w:t>
            </w:r>
            <w:r w:rsidR="00213A51" w:rsidRPr="00FF1A77">
              <w:t>30</w:t>
            </w:r>
            <w:r w:rsidR="00F949F9" w:rsidRPr="00FF1A77">
              <w:t>–</w:t>
            </w:r>
            <w:r w:rsidR="00213A51" w:rsidRPr="00FF1A77">
              <w:t>300</w:t>
            </w:r>
            <w:r w:rsidRPr="00FF1A77">
              <w:t xml:space="preserve"> </w:t>
            </w:r>
            <w:r w:rsidR="00213A51" w:rsidRPr="00FF1A77">
              <w:t>mg/kg</w:t>
            </w:r>
            <w:r w:rsidRPr="00FF1A77">
              <w:t xml:space="preserve"> (rats, 2 </w:t>
            </w:r>
            <w:proofErr w:type="spellStart"/>
            <w:r w:rsidRPr="00FF1A77">
              <w:t>yr</w:t>
            </w:r>
            <w:proofErr w:type="spellEnd"/>
            <w:r w:rsidRPr="00FF1A77">
              <w:t>)</w:t>
            </w:r>
            <w:r w:rsidR="003B00B0" w:rsidRPr="00FF1A77">
              <w:t>:</w:t>
            </w:r>
            <w:r w:rsidR="00213A51" w:rsidRPr="00FF1A77">
              <w:t xml:space="preserve"> </w:t>
            </w:r>
          </w:p>
          <w:p w14:paraId="5BA6369F" w14:textId="2A1D20CF" w:rsidR="00213A51" w:rsidRPr="00FF1A77" w:rsidRDefault="00213A51" w:rsidP="00425EDB">
            <w:pPr>
              <w:pStyle w:val="ListBullet"/>
              <w:numPr>
                <w:ilvl w:val="1"/>
                <w:numId w:val="3"/>
              </w:numPr>
              <w:spacing w:before="60" w:after="60"/>
              <w:ind w:left="1094" w:hanging="357"/>
              <w:contextualSpacing w:val="0"/>
            </w:pPr>
            <w:r w:rsidRPr="00FF1A77">
              <w:t>NOAEL: 30 mg/kg</w:t>
            </w:r>
          </w:p>
          <w:p w14:paraId="30C3FA00" w14:textId="48843EF2" w:rsidR="00B434AE" w:rsidRPr="00FF1A77" w:rsidRDefault="003862A2" w:rsidP="00425EDB">
            <w:pPr>
              <w:pStyle w:val="ListBullet"/>
              <w:numPr>
                <w:ilvl w:val="1"/>
                <w:numId w:val="3"/>
              </w:numPr>
              <w:spacing w:before="60" w:after="60"/>
              <w:ind w:left="1094" w:hanging="357"/>
              <w:contextualSpacing w:val="0"/>
            </w:pPr>
            <w:r w:rsidRPr="00FF1A77">
              <w:t>t</w:t>
            </w:r>
            <w:r w:rsidR="00213A51" w:rsidRPr="00FF1A77">
              <w:t>esticular atrophy in 100</w:t>
            </w:r>
            <w:r w:rsidR="00F949F9" w:rsidRPr="00FF1A77">
              <w:t>–</w:t>
            </w:r>
            <w:r w:rsidR="00213A51" w:rsidRPr="00FF1A77">
              <w:t>300 mg/kg groups, no carcinogenic effects noted</w:t>
            </w:r>
          </w:p>
          <w:p w14:paraId="3076C825" w14:textId="1BFADCFE" w:rsidR="00213A51" w:rsidRPr="00FF1A77" w:rsidRDefault="003862A2" w:rsidP="00425EDB">
            <w:pPr>
              <w:pStyle w:val="ListBullet"/>
              <w:numPr>
                <w:ilvl w:val="1"/>
                <w:numId w:val="3"/>
              </w:numPr>
              <w:spacing w:before="60" w:after="60"/>
              <w:ind w:left="1094" w:hanging="357"/>
              <w:contextualSpacing w:val="0"/>
            </w:pPr>
            <w:r w:rsidRPr="00FF1A77">
              <w:t>s</w:t>
            </w:r>
            <w:r w:rsidR="00213A51" w:rsidRPr="00FF1A77">
              <w:t>imilar study with 15</w:t>
            </w:r>
            <w:r w:rsidR="00F949F9" w:rsidRPr="00FF1A77">
              <w:t>–</w:t>
            </w:r>
            <w:r w:rsidR="00213A51" w:rsidRPr="00FF1A77">
              <w:t>150 mg/kg treatment range reported reduction in litter sizes at 150</w:t>
            </w:r>
            <w:r w:rsidRPr="00FF1A77">
              <w:t> </w:t>
            </w:r>
            <w:r w:rsidR="00213A51" w:rsidRPr="00FF1A77">
              <w:t>mg</w:t>
            </w:r>
            <w:r w:rsidR="00FD6089" w:rsidRPr="00FF1A77">
              <w:t>/kg</w:t>
            </w:r>
          </w:p>
          <w:p w14:paraId="6B055A50" w14:textId="5402EC1F" w:rsidR="00B83DDF" w:rsidRPr="00FF1A77" w:rsidRDefault="00213A51" w:rsidP="00425EDB">
            <w:pPr>
              <w:pStyle w:val="ListBullet"/>
              <w:numPr>
                <w:ilvl w:val="0"/>
                <w:numId w:val="2"/>
              </w:numPr>
              <w:tabs>
                <w:tab w:val="num" w:pos="360"/>
              </w:tabs>
              <w:spacing w:before="60" w:after="60"/>
              <w:ind w:left="714" w:hanging="357"/>
              <w:contextualSpacing w:val="0"/>
            </w:pPr>
            <w:r w:rsidRPr="00FF1A77">
              <w:t>Adverse reproductive and developmental effects in 6-generation mouse study at 0.5% in diet</w:t>
            </w:r>
            <w:r w:rsidR="00E6172F" w:rsidRPr="00FF1A77">
              <w:t xml:space="preserve">; </w:t>
            </w:r>
            <w:proofErr w:type="spellStart"/>
            <w:r w:rsidR="00E6172F" w:rsidRPr="00FF1A77">
              <w:t>embryotoxic</w:t>
            </w:r>
            <w:proofErr w:type="spellEnd"/>
            <w:r w:rsidR="00E6172F" w:rsidRPr="00FF1A77">
              <w:t xml:space="preserve"> effects following intraperitoneal injection to dams, fewer implants per litter with exposed males</w:t>
            </w:r>
          </w:p>
          <w:p w14:paraId="505D750F" w14:textId="77777777" w:rsidR="00B83DDF" w:rsidRPr="00FF1A77" w:rsidRDefault="00B83DDF" w:rsidP="00425EDB">
            <w:pPr>
              <w:pStyle w:val="ListBullet"/>
              <w:numPr>
                <w:ilvl w:val="0"/>
                <w:numId w:val="2"/>
              </w:numPr>
              <w:tabs>
                <w:tab w:val="num" w:pos="360"/>
              </w:tabs>
              <w:spacing w:before="60" w:after="60"/>
              <w:ind w:left="714" w:hanging="357"/>
              <w:contextualSpacing w:val="0"/>
            </w:pPr>
            <w:r w:rsidRPr="00FF1A77">
              <w:t>Dose-dependent chromosome damage induced by intraperitoneal injection in rats, cited article concludes potential mutagenic or carcinogenic activity is uncertain</w:t>
            </w:r>
            <w:r w:rsidR="009A3DD9" w:rsidRPr="00FF1A77">
              <w:t>.</w:t>
            </w:r>
          </w:p>
          <w:p w14:paraId="33AC1FFD" w14:textId="1286970C" w:rsidR="003862A2" w:rsidRPr="00FF1A77" w:rsidRDefault="003862A2" w:rsidP="00425EDB">
            <w:pPr>
              <w:pStyle w:val="Tabletextprimarysource"/>
              <w:ind w:left="360"/>
            </w:pPr>
          </w:p>
        </w:tc>
      </w:tr>
      <w:tr w:rsidR="00C978F0" w:rsidRPr="00FF1A77" w14:paraId="4FEEDAF5" w14:textId="77777777" w:rsidTr="00DE26E8">
        <w:trPr>
          <w:gridAfter w:val="1"/>
          <w:wAfter w:w="8" w:type="pct"/>
          <w:cantSplit/>
        </w:trPr>
        <w:tc>
          <w:tcPr>
            <w:tcW w:w="4992" w:type="pct"/>
            <w:shd w:val="clear" w:color="auto" w:fill="F2F2F2" w:themeFill="background1" w:themeFillShade="F2"/>
          </w:tcPr>
          <w:p w14:paraId="4AA25049" w14:textId="77D484AC" w:rsidR="00C978F0" w:rsidRPr="00FF1A77" w:rsidRDefault="00DA352E" w:rsidP="0051509C">
            <w:pPr>
              <w:pStyle w:val="Tablerowheadingitalic"/>
              <w:tabs>
                <w:tab w:val="clear" w:pos="2268"/>
                <w:tab w:val="clear" w:pos="5670"/>
                <w:tab w:val="left" w:pos="1418"/>
                <w:tab w:val="left" w:pos="2552"/>
              </w:tabs>
            </w:pPr>
            <w:r w:rsidRPr="00FF1A77">
              <w:lastRenderedPageBreak/>
              <w:t>DFG</w:t>
            </w:r>
            <w:r w:rsidR="00916EC0" w:rsidRPr="00FF1A77">
              <w:t xml:space="preserve"> </w:t>
            </w:r>
            <w:r w:rsidR="00916EC0" w:rsidRPr="00FF1A77">
              <w:tab/>
            </w:r>
            <w:sdt>
              <w:sdtPr>
                <w:id w:val="272751712"/>
                <w:placeholder>
                  <w:docPart w:val="6918C77959FE4E2CB3B6BD78ABC69E19"/>
                </w:placeholder>
                <w:text/>
              </w:sdtPr>
              <w:sdtEndPr/>
              <w:sdtContent>
                <w:r w:rsidR="00246B12" w:rsidRPr="00FF1A77">
                  <w:t>2003</w:t>
                </w:r>
              </w:sdtContent>
            </w:sdt>
            <w:r w:rsidR="00916EC0" w:rsidRPr="00FF1A77">
              <w:tab/>
            </w:r>
            <w:r w:rsidR="0051509C" w:rsidRPr="00FF1A77">
              <w:tab/>
            </w:r>
            <w:sdt>
              <w:sdtPr>
                <w:alias w:val="DFG WES equivalent"/>
                <w:tag w:val="DFG WES equivalent"/>
                <w:id w:val="-736175395"/>
                <w:placeholder>
                  <w:docPart w:val="1ED9AEC91FDC4528B51A567B2B19EB9F"/>
                </w:placeholder>
              </w:sdtPr>
              <w:sdtEndPr/>
              <w:sdtContent>
                <w:r w:rsidR="005235BC" w:rsidRPr="00FF1A77">
                  <w:t>MAK: 2 ppm (8.2 mg/m</w:t>
                </w:r>
                <w:r w:rsidR="005235BC" w:rsidRPr="00FF1A77">
                  <w:rPr>
                    <w:vertAlign w:val="superscript"/>
                  </w:rPr>
                  <w:t>3</w:t>
                </w:r>
                <w:r w:rsidR="005235BC" w:rsidRPr="00FF1A77">
                  <w:t>)</w:t>
                </w:r>
              </w:sdtContent>
            </w:sdt>
          </w:p>
        </w:tc>
      </w:tr>
      <w:tr w:rsidR="00C978F0" w:rsidRPr="00FF1A77" w14:paraId="186B3A3C" w14:textId="77777777" w:rsidTr="00DE26E8">
        <w:trPr>
          <w:gridAfter w:val="1"/>
          <w:wAfter w:w="8" w:type="pct"/>
          <w:cantSplit/>
        </w:trPr>
        <w:tc>
          <w:tcPr>
            <w:tcW w:w="4992" w:type="pct"/>
          </w:tcPr>
          <w:p w14:paraId="42D27EFE" w14:textId="77777777" w:rsidR="00C978F0" w:rsidRPr="00FF1A77" w:rsidRDefault="008647C1" w:rsidP="003365A5">
            <w:pPr>
              <w:pStyle w:val="Tabletextprimarysource"/>
            </w:pPr>
            <w:r w:rsidRPr="00FF1A77">
              <w:t>Summary of additional data:</w:t>
            </w:r>
          </w:p>
          <w:p w14:paraId="704B837F" w14:textId="2A2A3744" w:rsidR="00425EDB" w:rsidRPr="00FF1A77" w:rsidRDefault="008647C1" w:rsidP="003365A5">
            <w:pPr>
              <w:pStyle w:val="Tabletextprimarysource"/>
            </w:pPr>
            <w:r w:rsidRPr="00FF1A77">
              <w:t xml:space="preserve">MAK </w:t>
            </w:r>
            <w:r w:rsidR="00FD6089" w:rsidRPr="00FF1A77">
              <w:t>derived</w:t>
            </w:r>
            <w:r w:rsidRPr="00FF1A77">
              <w:t xml:space="preserve"> </w:t>
            </w:r>
            <w:r w:rsidR="00E218CB" w:rsidRPr="00FF1A77">
              <w:t>by</w:t>
            </w:r>
            <w:r w:rsidRPr="00FF1A77">
              <w:t xml:space="preserve"> analogy to structurally similar dimethylamine due to insufficient chronic human or animal exposure data.</w:t>
            </w:r>
            <w:r w:rsidR="00E218CB" w:rsidRPr="00FF1A77">
              <w:t xml:space="preserve"> Comparable RD</w:t>
            </w:r>
            <w:r w:rsidR="00E218CB" w:rsidRPr="00FF1A77">
              <w:rPr>
                <w:vertAlign w:val="subscript"/>
              </w:rPr>
              <w:t>50</w:t>
            </w:r>
            <w:r w:rsidR="00E218CB" w:rsidRPr="00FF1A77">
              <w:t xml:space="preserve"> </w:t>
            </w:r>
            <w:r w:rsidR="00425EDB" w:rsidRPr="00FF1A77">
              <w:t>in</w:t>
            </w:r>
            <w:r w:rsidR="00E218CB" w:rsidRPr="00FF1A77">
              <w:t xml:space="preserve"> mice between </w:t>
            </w:r>
            <w:proofErr w:type="spellStart"/>
            <w:r w:rsidR="00E218CB" w:rsidRPr="00FF1A77">
              <w:t>cyclohexylamine</w:t>
            </w:r>
            <w:proofErr w:type="spellEnd"/>
            <w:r w:rsidR="00E218CB" w:rsidRPr="00FF1A77">
              <w:t xml:space="preserve"> (</w:t>
            </w:r>
            <w:r w:rsidR="00F949F9" w:rsidRPr="00FF1A77">
              <w:t xml:space="preserve">50 </w:t>
            </w:r>
            <w:r w:rsidR="00E218CB" w:rsidRPr="00FF1A77">
              <w:t>ppm) and dimethylamine (</w:t>
            </w:r>
            <w:r w:rsidR="00F949F9" w:rsidRPr="00FF1A77">
              <w:t xml:space="preserve">70 </w:t>
            </w:r>
            <w:r w:rsidR="00E218CB" w:rsidRPr="00FF1A77">
              <w:t xml:space="preserve">ppm) support this analogy. </w:t>
            </w:r>
          </w:p>
          <w:p w14:paraId="14053DCA" w14:textId="20FFA3C7" w:rsidR="000D79C9" w:rsidRPr="00FF1A77" w:rsidRDefault="00E218CB" w:rsidP="003365A5">
            <w:pPr>
              <w:pStyle w:val="Tabletextprimarysource"/>
            </w:pPr>
            <w:r w:rsidRPr="00FF1A77">
              <w:t>Separate chronic exposure studies</w:t>
            </w:r>
            <w:r w:rsidR="008647C1" w:rsidRPr="00FF1A77">
              <w:t xml:space="preserve"> with rats</w:t>
            </w:r>
            <w:r w:rsidRPr="00FF1A77">
              <w:t xml:space="preserve"> exposed to dimethylamine</w:t>
            </w:r>
            <w:r w:rsidR="008647C1" w:rsidRPr="00FF1A77">
              <w:t xml:space="preserve"> </w:t>
            </w:r>
            <w:r w:rsidRPr="00FF1A77">
              <w:t xml:space="preserve">respectively </w:t>
            </w:r>
            <w:r w:rsidR="008647C1" w:rsidRPr="00FF1A77">
              <w:t>reported a NOAEL of 15 mg/kg</w:t>
            </w:r>
            <w:r w:rsidR="00AA2B12" w:rsidRPr="00FF1A77">
              <w:t>/d</w:t>
            </w:r>
            <w:r w:rsidR="00080B5A" w:rsidRPr="00FF1A77">
              <w:t xml:space="preserve"> </w:t>
            </w:r>
            <w:r w:rsidR="008647C1" w:rsidRPr="00FF1A77">
              <w:t xml:space="preserve">for systemic toxicity </w:t>
            </w:r>
            <w:r w:rsidRPr="00FF1A77">
              <w:t xml:space="preserve">and a LOAEL of 10 ppm for local irritation effects. Occupational intake at the MAK equates to </w:t>
            </w:r>
            <w:r w:rsidR="00653025" w:rsidRPr="00FF1A77">
              <w:t>1.2</w:t>
            </w:r>
            <w:r w:rsidRPr="00FF1A77">
              <w:t xml:space="preserve"> mg</w:t>
            </w:r>
            <w:r w:rsidR="00653025" w:rsidRPr="00FF1A77">
              <w:t>/kg</w:t>
            </w:r>
            <w:r w:rsidRPr="00FF1A77">
              <w:t>/d (assuming 70 kg worker, 10 m</w:t>
            </w:r>
            <w:r w:rsidRPr="00FF1A77">
              <w:rPr>
                <w:vertAlign w:val="superscript"/>
              </w:rPr>
              <w:t>3</w:t>
            </w:r>
            <w:r w:rsidRPr="00FF1A77">
              <w:t xml:space="preserve"> respired volume and 100% </w:t>
            </w:r>
            <w:r w:rsidR="001F43D8" w:rsidRPr="00FF1A77">
              <w:t>absorption</w:t>
            </w:r>
            <w:r w:rsidRPr="00FF1A77">
              <w:t>), which is lower than both the NOAEL and LOAEL in the cited studies.</w:t>
            </w:r>
            <w:r w:rsidR="00BE02E7" w:rsidRPr="00FF1A77">
              <w:t xml:space="preserve"> </w:t>
            </w:r>
          </w:p>
          <w:p w14:paraId="354BB3C1" w14:textId="0A3AC145" w:rsidR="008647C1" w:rsidRPr="00FF1A77" w:rsidRDefault="00BE02E7" w:rsidP="003365A5">
            <w:pPr>
              <w:pStyle w:val="Tabletextprimarysource"/>
            </w:pPr>
            <w:r w:rsidRPr="00FF1A77">
              <w:t xml:space="preserve">A review of the MAK in 2017 presents an additional volunteer inhalation study with a NOAEL of </w:t>
            </w:r>
            <w:r w:rsidR="00F949F9" w:rsidRPr="00FF1A77">
              <w:t>4</w:t>
            </w:r>
            <w:r w:rsidR="003862A2" w:rsidRPr="00FF1A77">
              <w:t> </w:t>
            </w:r>
            <w:r w:rsidRPr="00FF1A77">
              <w:t>ppm and LOAEL of 10 ppm for eye and nose irritation (4 h).</w:t>
            </w:r>
          </w:p>
          <w:p w14:paraId="42D4357B" w14:textId="0DCACA24" w:rsidR="00E218CB" w:rsidRPr="00FF1A77" w:rsidRDefault="00E218CB" w:rsidP="003365A5">
            <w:pPr>
              <w:pStyle w:val="Tabletextprimarysource"/>
            </w:pPr>
            <w:r w:rsidRPr="00FF1A77">
              <w:t>Human data:</w:t>
            </w:r>
          </w:p>
          <w:p w14:paraId="45357300" w14:textId="729A360E" w:rsidR="00BE02E7" w:rsidRPr="00FF1A77" w:rsidRDefault="00E218CB" w:rsidP="00425EDB">
            <w:pPr>
              <w:pStyle w:val="ListBullet"/>
              <w:numPr>
                <w:ilvl w:val="0"/>
                <w:numId w:val="2"/>
              </w:numPr>
              <w:tabs>
                <w:tab w:val="num" w:pos="360"/>
              </w:tabs>
              <w:spacing w:before="60" w:after="60"/>
              <w:ind w:left="714" w:hanging="357"/>
              <w:contextualSpacing w:val="0"/>
            </w:pPr>
            <w:r w:rsidRPr="00FF1A77">
              <w:t xml:space="preserve">Blood half-life of </w:t>
            </w:r>
            <w:r w:rsidR="008700B4" w:rsidRPr="00FF1A77">
              <w:t>3</w:t>
            </w:r>
            <w:r w:rsidR="00F949F9" w:rsidRPr="00FF1A77">
              <w:t>–</w:t>
            </w:r>
            <w:r w:rsidR="008700B4" w:rsidRPr="00FF1A77">
              <w:t>5 h; 90% eliminated via urine</w:t>
            </w:r>
          </w:p>
          <w:p w14:paraId="32F5D8EC" w14:textId="0B15F680" w:rsidR="008700B4" w:rsidRPr="00FF1A77" w:rsidRDefault="008700B4" w:rsidP="00425EDB">
            <w:pPr>
              <w:pStyle w:val="ListBullet"/>
              <w:numPr>
                <w:ilvl w:val="0"/>
                <w:numId w:val="2"/>
              </w:numPr>
              <w:tabs>
                <w:tab w:val="num" w:pos="360"/>
              </w:tabs>
              <w:spacing w:before="60" w:after="60"/>
              <w:ind w:left="714" w:hanging="357"/>
              <w:contextualSpacing w:val="0"/>
            </w:pPr>
            <w:r w:rsidRPr="00FF1A77">
              <w:t xml:space="preserve">No </w:t>
            </w:r>
            <w:r w:rsidR="006F0305" w:rsidRPr="00FF1A77">
              <w:t>symptoms experienced at 4</w:t>
            </w:r>
            <w:r w:rsidR="00F949F9" w:rsidRPr="00FF1A77">
              <w:t>–</w:t>
            </w:r>
            <w:r w:rsidR="006F0305" w:rsidRPr="00FF1A77">
              <w:t>10 ppm in workplace study (no further details provided)</w:t>
            </w:r>
          </w:p>
          <w:p w14:paraId="4D70E0DC" w14:textId="43CC05FD" w:rsidR="006F0305" w:rsidRPr="00FF1A77" w:rsidRDefault="006F0305" w:rsidP="00425EDB">
            <w:pPr>
              <w:pStyle w:val="ListBullet"/>
              <w:numPr>
                <w:ilvl w:val="0"/>
                <w:numId w:val="2"/>
              </w:numPr>
              <w:tabs>
                <w:tab w:val="num" w:pos="360"/>
              </w:tabs>
              <w:spacing w:before="60" w:after="60"/>
              <w:ind w:left="714" w:hanging="357"/>
              <w:contextualSpacing w:val="0"/>
            </w:pPr>
            <w:r w:rsidRPr="00FF1A77">
              <w:t>Blood pressure increase after 1 h in volunteers given to 5</w:t>
            </w:r>
            <w:r w:rsidR="00F949F9" w:rsidRPr="00FF1A77">
              <w:t>–</w:t>
            </w:r>
            <w:r w:rsidRPr="00FF1A77">
              <w:t xml:space="preserve">10 mg/kg; concluded that </w:t>
            </w:r>
            <w:r w:rsidR="003B00B0" w:rsidRPr="00FF1A77">
              <w:br/>
            </w:r>
            <w:r w:rsidRPr="00FF1A77">
              <w:t>0.7</w:t>
            </w:r>
            <w:r w:rsidR="0022422D" w:rsidRPr="00FF1A77">
              <w:t>–</w:t>
            </w:r>
            <w:r w:rsidRPr="00FF1A77">
              <w:t>0.</w:t>
            </w:r>
            <w:r w:rsidR="00F949F9" w:rsidRPr="00FF1A77">
              <w:t xml:space="preserve">8 </w:t>
            </w:r>
            <w:r w:rsidRPr="00FF1A77">
              <w:t>µg/m</w:t>
            </w:r>
            <w:r w:rsidR="00A05E32" w:rsidRPr="00FF1A77">
              <w:t>L</w:t>
            </w:r>
            <w:r w:rsidRPr="00FF1A77">
              <w:t xml:space="preserve"> in plasma can produce hypertensive effect</w:t>
            </w:r>
          </w:p>
          <w:p w14:paraId="249E0C2E" w14:textId="687AD46E" w:rsidR="006F0305" w:rsidRPr="00FF1A77" w:rsidRDefault="006F0305" w:rsidP="00425EDB">
            <w:pPr>
              <w:pStyle w:val="ListBullet"/>
              <w:numPr>
                <w:ilvl w:val="0"/>
                <w:numId w:val="2"/>
              </w:numPr>
              <w:tabs>
                <w:tab w:val="num" w:pos="360"/>
              </w:tabs>
              <w:spacing w:before="60" w:after="60"/>
              <w:ind w:left="714" w:hanging="357"/>
              <w:contextualSpacing w:val="0"/>
            </w:pPr>
            <w:r w:rsidRPr="00FF1A77">
              <w:t>Severe and mild irritation in 3% and 52%, respectively, of subjects in 48</w:t>
            </w:r>
            <w:r w:rsidR="00F949F9" w:rsidRPr="00FF1A77">
              <w:t xml:space="preserve"> </w:t>
            </w:r>
            <w:r w:rsidRPr="00FF1A77">
              <w:t>h patch test with 25% solution; no effects observed in remaining subjects</w:t>
            </w:r>
          </w:p>
          <w:p w14:paraId="6EF93EFD" w14:textId="1D0E28AC" w:rsidR="003862A2" w:rsidRPr="00FF1A77" w:rsidRDefault="00203D04" w:rsidP="00425EDB">
            <w:pPr>
              <w:pStyle w:val="ListBullet"/>
              <w:numPr>
                <w:ilvl w:val="0"/>
                <w:numId w:val="2"/>
              </w:numPr>
              <w:tabs>
                <w:tab w:val="num" w:pos="360"/>
              </w:tabs>
              <w:spacing w:before="60" w:after="60"/>
              <w:ind w:left="714" w:hanging="357"/>
              <w:contextualSpacing w:val="0"/>
            </w:pPr>
            <w:r w:rsidRPr="00FF1A77">
              <w:t>Skin notation not assigned due to relatively low systemic toxicity and uncertain if high corrosiv</w:t>
            </w:r>
            <w:r w:rsidR="00AA2B12" w:rsidRPr="00FF1A77">
              <w:t xml:space="preserve">e nature </w:t>
            </w:r>
            <w:r w:rsidRPr="00FF1A77">
              <w:t>contributes to reported dermal toxicity</w:t>
            </w:r>
            <w:r w:rsidR="003862A2" w:rsidRPr="00FF1A77">
              <w:t>.</w:t>
            </w:r>
          </w:p>
          <w:p w14:paraId="20E80325" w14:textId="77777777" w:rsidR="00E218CB" w:rsidRPr="00FF1A77" w:rsidRDefault="00E218CB" w:rsidP="00F949F9">
            <w:pPr>
              <w:pStyle w:val="Tabletextprimarysource"/>
            </w:pPr>
            <w:r w:rsidRPr="00FF1A77">
              <w:t>Animal data:</w:t>
            </w:r>
          </w:p>
          <w:p w14:paraId="50CF59F7" w14:textId="725E4687" w:rsidR="00FD6089" w:rsidRPr="00FF1A77" w:rsidRDefault="00FD6089" w:rsidP="00425EDB">
            <w:pPr>
              <w:pStyle w:val="ListBullet"/>
              <w:numPr>
                <w:ilvl w:val="0"/>
                <w:numId w:val="2"/>
              </w:numPr>
              <w:tabs>
                <w:tab w:val="num" w:pos="360"/>
              </w:tabs>
              <w:spacing w:before="60" w:after="60"/>
              <w:ind w:left="714" w:hanging="357"/>
              <w:contextualSpacing w:val="0"/>
            </w:pPr>
            <w:r w:rsidRPr="00FF1A77">
              <w:t xml:space="preserve">Reproductive study with hydrochloride salt </w:t>
            </w:r>
            <w:r w:rsidR="00545128">
              <w:t xml:space="preserve">in repeat feeding study. </w:t>
            </w:r>
            <w:r w:rsidR="00C92902">
              <w:t>T</w:t>
            </w:r>
            <w:r w:rsidRPr="00FF1A77">
              <w:t>reatment range:</w:t>
            </w:r>
            <w:r w:rsidR="003B00B0" w:rsidRPr="00FF1A77">
              <w:t xml:space="preserve"> </w:t>
            </w:r>
            <w:r w:rsidR="00545128">
              <w:t xml:space="preserve">    </w:t>
            </w:r>
            <w:r w:rsidRPr="00FF1A77">
              <w:t>15</w:t>
            </w:r>
            <w:r w:rsidR="00F949F9" w:rsidRPr="00FF1A77">
              <w:t xml:space="preserve">–150 </w:t>
            </w:r>
            <w:r w:rsidRPr="00FF1A77">
              <w:t xml:space="preserve">mg/kg (rats, 2 </w:t>
            </w:r>
            <w:proofErr w:type="spellStart"/>
            <w:r w:rsidRPr="00FF1A77">
              <w:t>yr</w:t>
            </w:r>
            <w:proofErr w:type="spellEnd"/>
            <w:r w:rsidRPr="00FF1A77">
              <w:t>):</w:t>
            </w:r>
          </w:p>
          <w:p w14:paraId="54B8DC0F" w14:textId="20AA5835" w:rsidR="00FD6089" w:rsidRPr="00FF1A77" w:rsidRDefault="00FD6089" w:rsidP="00425EDB">
            <w:pPr>
              <w:pStyle w:val="ListBullet"/>
              <w:numPr>
                <w:ilvl w:val="1"/>
                <w:numId w:val="3"/>
              </w:numPr>
              <w:spacing w:before="60" w:after="60"/>
              <w:ind w:left="1094" w:hanging="357"/>
              <w:contextualSpacing w:val="0"/>
            </w:pPr>
            <w:r w:rsidRPr="00FF1A77">
              <w:t>NOAEL: 15 mg/kg for parental toxicity</w:t>
            </w:r>
          </w:p>
          <w:p w14:paraId="780A68CA" w14:textId="7165EF54" w:rsidR="00FD6089" w:rsidRPr="00FF1A77" w:rsidRDefault="00BF6E82" w:rsidP="00425EDB">
            <w:pPr>
              <w:pStyle w:val="ListBullet"/>
              <w:numPr>
                <w:ilvl w:val="1"/>
                <w:numId w:val="3"/>
              </w:numPr>
              <w:spacing w:before="60" w:after="60"/>
              <w:ind w:left="1094" w:hanging="357"/>
              <w:contextualSpacing w:val="0"/>
            </w:pPr>
            <w:r w:rsidRPr="00FF1A77">
              <w:t>m</w:t>
            </w:r>
            <w:r w:rsidR="00FD6089" w:rsidRPr="00FF1A77">
              <w:t xml:space="preserve">aternal toxicity at 50 mg/kg; paternal </w:t>
            </w:r>
            <w:proofErr w:type="spellStart"/>
            <w:r w:rsidR="00FD6089" w:rsidRPr="00FF1A77">
              <w:t>bw</w:t>
            </w:r>
            <w:proofErr w:type="spellEnd"/>
            <w:r w:rsidR="00FD6089" w:rsidRPr="00FF1A77">
              <w:t xml:space="preserve"> reduction at 100 mg/kg</w:t>
            </w:r>
          </w:p>
          <w:p w14:paraId="42069E74" w14:textId="4C2590C0" w:rsidR="00FD6089" w:rsidRPr="00FF1A77" w:rsidRDefault="00BF6E82" w:rsidP="00425EDB">
            <w:pPr>
              <w:pStyle w:val="ListBullet"/>
              <w:numPr>
                <w:ilvl w:val="1"/>
                <w:numId w:val="3"/>
              </w:numPr>
              <w:spacing w:before="60" w:after="60"/>
              <w:ind w:left="1094" w:hanging="357"/>
              <w:contextualSpacing w:val="0"/>
            </w:pPr>
            <w:r w:rsidRPr="00FF1A77">
              <w:t>f</w:t>
            </w:r>
            <w:r w:rsidR="00FD6089" w:rsidRPr="00FF1A77">
              <w:t xml:space="preserve">oetal weight reduced at 150 mg/kg </w:t>
            </w:r>
          </w:p>
          <w:p w14:paraId="4BE34484" w14:textId="582EFBF3" w:rsidR="006F0305" w:rsidRPr="00FF1A77" w:rsidRDefault="006F0305" w:rsidP="00425EDB">
            <w:pPr>
              <w:pStyle w:val="ListBullet"/>
              <w:numPr>
                <w:ilvl w:val="0"/>
                <w:numId w:val="2"/>
              </w:numPr>
              <w:tabs>
                <w:tab w:val="num" w:pos="360"/>
              </w:tabs>
              <w:spacing w:before="60" w:after="60"/>
              <w:ind w:left="714" w:hanging="357"/>
              <w:contextualSpacing w:val="0"/>
            </w:pPr>
            <w:r w:rsidRPr="00FF1A77">
              <w:t>No LC</w:t>
            </w:r>
            <w:r w:rsidRPr="00FF1A77">
              <w:rPr>
                <w:vertAlign w:val="subscript"/>
              </w:rPr>
              <w:t>50</w:t>
            </w:r>
            <w:r w:rsidRPr="00FF1A77">
              <w:t xml:space="preserve"> values available from valid methods; </w:t>
            </w:r>
            <w:r w:rsidR="00E762C4" w:rsidRPr="00FF1A77">
              <w:t>unreliable values are given as 1,815</w:t>
            </w:r>
            <w:r w:rsidR="00BF6E82" w:rsidRPr="00FF1A77">
              <w:t> </w:t>
            </w:r>
            <w:r w:rsidR="00E762C4" w:rsidRPr="00FF1A77">
              <w:t>ppm (rats) and 259 ppm (mice) over undocumented exposure times</w:t>
            </w:r>
          </w:p>
          <w:p w14:paraId="5CED82A5" w14:textId="6F66D61B" w:rsidR="00E218CB" w:rsidRPr="00FF1A77" w:rsidRDefault="008700B4" w:rsidP="00425EDB">
            <w:pPr>
              <w:pStyle w:val="ListBullet"/>
              <w:numPr>
                <w:ilvl w:val="0"/>
                <w:numId w:val="2"/>
              </w:numPr>
              <w:tabs>
                <w:tab w:val="num" w:pos="360"/>
              </w:tabs>
              <w:spacing w:before="60" w:after="60"/>
              <w:ind w:left="714" w:hanging="357"/>
              <w:contextualSpacing w:val="0"/>
            </w:pPr>
            <w:r w:rsidRPr="00FF1A77">
              <w:t>Oral LD</w:t>
            </w:r>
            <w:r w:rsidRPr="00FF1A77">
              <w:rPr>
                <w:vertAlign w:val="subscript"/>
              </w:rPr>
              <w:t>50</w:t>
            </w:r>
            <w:r w:rsidRPr="00FF1A77">
              <w:t xml:space="preserve"> as undiluted or 5% aqueous solution respectively 11 or 590 mg/kg (rats)</w:t>
            </w:r>
          </w:p>
          <w:p w14:paraId="1A42478D" w14:textId="2B509534" w:rsidR="00E762C4" w:rsidRPr="00FF1A77" w:rsidRDefault="00E762C4" w:rsidP="00425EDB">
            <w:pPr>
              <w:pStyle w:val="ListBullet"/>
              <w:numPr>
                <w:ilvl w:val="0"/>
                <w:numId w:val="2"/>
              </w:numPr>
              <w:tabs>
                <w:tab w:val="num" w:pos="360"/>
              </w:tabs>
              <w:spacing w:before="60" w:after="60"/>
              <w:ind w:left="714" w:hanging="357"/>
              <w:contextualSpacing w:val="0"/>
            </w:pPr>
            <w:r w:rsidRPr="00FF1A77">
              <w:t>Systemic central nervous effects observed in dermal application study, treatment range 398</w:t>
            </w:r>
            <w:r w:rsidR="00F949F9" w:rsidRPr="00FF1A77">
              <w:t>–</w:t>
            </w:r>
            <w:r w:rsidRPr="00FF1A77">
              <w:t>1,580 mg/kg (rabbit, n=1, no further information); death at 1,000</w:t>
            </w:r>
            <w:r w:rsidR="00F949F9" w:rsidRPr="00FF1A77">
              <w:t>–</w:t>
            </w:r>
            <w:r w:rsidRPr="00FF1A77">
              <w:t xml:space="preserve">1,580 mg/kg, </w:t>
            </w:r>
          </w:p>
          <w:p w14:paraId="503DDE25" w14:textId="4E1E72BA" w:rsidR="00610F19" w:rsidRPr="00FF1A77" w:rsidRDefault="00610F19" w:rsidP="00425EDB">
            <w:pPr>
              <w:pStyle w:val="ListBullet"/>
              <w:numPr>
                <w:ilvl w:val="0"/>
                <w:numId w:val="2"/>
              </w:numPr>
              <w:tabs>
                <w:tab w:val="num" w:pos="360"/>
              </w:tabs>
              <w:spacing w:before="60" w:after="60"/>
              <w:ind w:left="714" w:hanging="357"/>
              <w:contextualSpacing w:val="0"/>
            </w:pPr>
            <w:r w:rsidRPr="00FF1A77">
              <w:t>Target organs</w:t>
            </w:r>
            <w:r w:rsidR="008700B4" w:rsidRPr="00FF1A77">
              <w:t xml:space="preserve"> are liver</w:t>
            </w:r>
            <w:r w:rsidR="00FF1A77" w:rsidRPr="00FF1A77">
              <w:t>,</w:t>
            </w:r>
            <w:r w:rsidR="008700B4" w:rsidRPr="00FF1A77">
              <w:t xml:space="preserve"> lungs kidneys, brain, spleen, digestive tract</w:t>
            </w:r>
            <w:r w:rsidRPr="00FF1A77">
              <w:t xml:space="preserve"> (rats, rabbits)</w:t>
            </w:r>
          </w:p>
          <w:p w14:paraId="3E6A24E7" w14:textId="77777777" w:rsidR="008700B4" w:rsidRPr="00FF1A77" w:rsidRDefault="008700B4" w:rsidP="00425EDB">
            <w:pPr>
              <w:pStyle w:val="ListBullet"/>
              <w:numPr>
                <w:ilvl w:val="0"/>
                <w:numId w:val="2"/>
              </w:numPr>
              <w:tabs>
                <w:tab w:val="num" w:pos="360"/>
              </w:tabs>
              <w:spacing w:before="60" w:after="60"/>
              <w:ind w:left="714" w:hanging="357"/>
              <w:contextualSpacing w:val="0"/>
            </w:pPr>
            <w:r w:rsidRPr="00FF1A77">
              <w:t xml:space="preserve">Non-genotoxic </w:t>
            </w:r>
            <w:r w:rsidRPr="00FF1A77">
              <w:rPr>
                <w:i/>
              </w:rPr>
              <w:t xml:space="preserve">in vitro </w:t>
            </w:r>
            <w:r w:rsidRPr="00FF1A77">
              <w:t xml:space="preserve">or </w:t>
            </w:r>
            <w:r w:rsidRPr="00FF1A77">
              <w:rPr>
                <w:i/>
              </w:rPr>
              <w:t>in vivo</w:t>
            </w:r>
            <w:r w:rsidR="00E6172F" w:rsidRPr="00FF1A77">
              <w:t>.</w:t>
            </w:r>
          </w:p>
          <w:p w14:paraId="1952CC10" w14:textId="693F59EF" w:rsidR="003862A2" w:rsidRPr="00FF1A77" w:rsidRDefault="003862A2" w:rsidP="00425EDB">
            <w:pPr>
              <w:pStyle w:val="Tabletextprimarysource"/>
              <w:ind w:left="360"/>
            </w:pPr>
          </w:p>
        </w:tc>
      </w:tr>
      <w:tr w:rsidR="00C978F0" w:rsidRPr="00FF1A77" w14:paraId="4AB652C2" w14:textId="77777777" w:rsidTr="00DE26E8">
        <w:trPr>
          <w:gridAfter w:val="1"/>
          <w:wAfter w:w="8" w:type="pct"/>
          <w:cantSplit/>
        </w:trPr>
        <w:tc>
          <w:tcPr>
            <w:tcW w:w="4992" w:type="pct"/>
            <w:shd w:val="clear" w:color="auto" w:fill="F2F2F2" w:themeFill="background1" w:themeFillShade="F2"/>
          </w:tcPr>
          <w:p w14:paraId="64A5E104" w14:textId="4E627934" w:rsidR="00C978F0" w:rsidRPr="00FF1A77" w:rsidRDefault="00DA352E" w:rsidP="0051509C">
            <w:pPr>
              <w:pStyle w:val="Tablerowheadingitalic"/>
              <w:tabs>
                <w:tab w:val="clear" w:pos="2268"/>
                <w:tab w:val="clear" w:pos="5670"/>
                <w:tab w:val="left" w:pos="1418"/>
                <w:tab w:val="left" w:pos="2552"/>
              </w:tabs>
            </w:pPr>
            <w:r w:rsidRPr="00FF1A77">
              <w:t>SCOEL</w:t>
            </w:r>
            <w:r w:rsidR="00916EC0" w:rsidRPr="00FF1A77">
              <w:t xml:space="preserve"> </w:t>
            </w:r>
            <w:r w:rsidR="00916EC0" w:rsidRPr="00FF1A77">
              <w:tab/>
            </w:r>
            <w:sdt>
              <w:sdtPr>
                <w:id w:val="-768699850"/>
                <w:placeholder>
                  <w:docPart w:val="FDC2A24E7D2549238DA6EE03BD0A6AE0"/>
                </w:placeholder>
                <w:text/>
              </w:sdtPr>
              <w:sdtEndPr/>
              <w:sdtContent>
                <w:r w:rsidR="005235BC" w:rsidRPr="00FF1A77">
                  <w:t>NA</w:t>
                </w:r>
              </w:sdtContent>
            </w:sdt>
            <w:r w:rsidR="00916EC0" w:rsidRPr="00FF1A77">
              <w:tab/>
            </w:r>
            <w:r w:rsidR="0051509C" w:rsidRPr="00FF1A77">
              <w:tab/>
            </w:r>
            <w:sdt>
              <w:sdtPr>
                <w:alias w:val="SCOEL WES equivalent"/>
                <w:tag w:val="SCOEL WES equivalent"/>
                <w:id w:val="-1474213062"/>
                <w:placeholder>
                  <w:docPart w:val="9E827C9D0DA949E385F2E9AB4264125E"/>
                </w:placeholder>
              </w:sdtPr>
              <w:sdtEndPr/>
              <w:sdtContent>
                <w:proofErr w:type="spellStart"/>
                <w:r w:rsidR="005235BC" w:rsidRPr="00FF1A77">
                  <w:t>NA</w:t>
                </w:r>
                <w:proofErr w:type="spellEnd"/>
              </w:sdtContent>
            </w:sdt>
          </w:p>
        </w:tc>
      </w:tr>
      <w:tr w:rsidR="00C978F0" w:rsidRPr="00FF1A77" w14:paraId="26031C78" w14:textId="77777777" w:rsidTr="00DE26E8">
        <w:trPr>
          <w:gridAfter w:val="1"/>
          <w:wAfter w:w="8" w:type="pct"/>
          <w:cantSplit/>
        </w:trPr>
        <w:tc>
          <w:tcPr>
            <w:tcW w:w="4992" w:type="pct"/>
          </w:tcPr>
          <w:p w14:paraId="4F91C36D" w14:textId="255A0838" w:rsidR="00C978F0" w:rsidRPr="00FF1A77" w:rsidRDefault="005235BC" w:rsidP="003365A5">
            <w:pPr>
              <w:pStyle w:val="Tabletextprimarysource"/>
            </w:pPr>
            <w:r w:rsidRPr="00FF1A77">
              <w:t>No report</w:t>
            </w:r>
            <w:r w:rsidR="00A05E32" w:rsidRPr="00FF1A77">
              <w:t>.</w:t>
            </w:r>
          </w:p>
        </w:tc>
      </w:tr>
      <w:tr w:rsidR="00DA352E" w:rsidRPr="00FF1A77" w14:paraId="0C62E6AB" w14:textId="77777777" w:rsidTr="00DE26E8">
        <w:trPr>
          <w:gridAfter w:val="1"/>
          <w:wAfter w:w="8" w:type="pct"/>
          <w:cantSplit/>
        </w:trPr>
        <w:tc>
          <w:tcPr>
            <w:tcW w:w="4992" w:type="pct"/>
            <w:shd w:val="clear" w:color="auto" w:fill="F2F2F2" w:themeFill="background1" w:themeFillShade="F2"/>
          </w:tcPr>
          <w:p w14:paraId="6067E256" w14:textId="252B1B1B" w:rsidR="00DA352E" w:rsidRPr="00FF1A77" w:rsidRDefault="00DA352E" w:rsidP="0051509C">
            <w:pPr>
              <w:pStyle w:val="Tablerowheadingitalic"/>
              <w:tabs>
                <w:tab w:val="clear" w:pos="2268"/>
                <w:tab w:val="clear" w:pos="5670"/>
                <w:tab w:val="left" w:pos="1418"/>
                <w:tab w:val="left" w:pos="2552"/>
              </w:tabs>
            </w:pPr>
            <w:r w:rsidRPr="00FF1A77">
              <w:t>OARS/AIHA</w:t>
            </w:r>
            <w:r w:rsidR="00916EC0" w:rsidRPr="00FF1A77">
              <w:t xml:space="preserve"> </w:t>
            </w:r>
            <w:r w:rsidR="00916EC0" w:rsidRPr="00FF1A77">
              <w:tab/>
            </w:r>
            <w:sdt>
              <w:sdtPr>
                <w:id w:val="-936748013"/>
                <w:placeholder>
                  <w:docPart w:val="47E4EC2DB10B4B8E8A66F7A5C13653CB"/>
                </w:placeholder>
                <w:text/>
              </w:sdtPr>
              <w:sdtEndPr/>
              <w:sdtContent>
                <w:r w:rsidR="005235BC" w:rsidRPr="00FF1A77">
                  <w:t>NA</w:t>
                </w:r>
              </w:sdtContent>
            </w:sdt>
            <w:r w:rsidR="00916EC0" w:rsidRPr="00FF1A77">
              <w:tab/>
            </w:r>
            <w:r w:rsidR="0051509C" w:rsidRPr="00FF1A77">
              <w:tab/>
            </w:r>
            <w:sdt>
              <w:sdtPr>
                <w:alias w:val="OARS/AIHA WES equivalent"/>
                <w:tag w:val="OARS/AIHA WES equivalent"/>
                <w:id w:val="-1320338798"/>
                <w:placeholder>
                  <w:docPart w:val="5E4DD00C3A334F93BF5CC79754EBC5EA"/>
                </w:placeholder>
              </w:sdtPr>
              <w:sdtEndPr/>
              <w:sdtContent>
                <w:proofErr w:type="spellStart"/>
                <w:r w:rsidR="005235BC" w:rsidRPr="00FF1A77">
                  <w:t>NA</w:t>
                </w:r>
                <w:proofErr w:type="spellEnd"/>
              </w:sdtContent>
            </w:sdt>
          </w:p>
        </w:tc>
      </w:tr>
      <w:tr w:rsidR="00DA352E" w:rsidRPr="00FF1A77" w14:paraId="031AF6A0" w14:textId="77777777" w:rsidTr="00DE26E8">
        <w:trPr>
          <w:gridAfter w:val="1"/>
          <w:wAfter w:w="8" w:type="pct"/>
          <w:cantSplit/>
        </w:trPr>
        <w:tc>
          <w:tcPr>
            <w:tcW w:w="4992" w:type="pct"/>
          </w:tcPr>
          <w:p w14:paraId="4937F767" w14:textId="3D07B5C9" w:rsidR="00DA352E" w:rsidRPr="00FF1A77" w:rsidRDefault="005235BC" w:rsidP="003365A5">
            <w:pPr>
              <w:pStyle w:val="Tabletextprimarysource"/>
            </w:pPr>
            <w:r w:rsidRPr="00FF1A77">
              <w:t>No report</w:t>
            </w:r>
            <w:r w:rsidR="00A05E32" w:rsidRPr="00FF1A77">
              <w:t>.</w:t>
            </w:r>
          </w:p>
        </w:tc>
      </w:tr>
      <w:tr w:rsidR="00DA352E" w:rsidRPr="00FF1A77" w14:paraId="495E5698" w14:textId="77777777" w:rsidTr="00DE26E8">
        <w:trPr>
          <w:gridAfter w:val="1"/>
          <w:wAfter w:w="8" w:type="pct"/>
          <w:cantSplit/>
        </w:trPr>
        <w:tc>
          <w:tcPr>
            <w:tcW w:w="4992" w:type="pct"/>
            <w:shd w:val="clear" w:color="auto" w:fill="F2F2F2" w:themeFill="background1" w:themeFillShade="F2"/>
          </w:tcPr>
          <w:p w14:paraId="3C740130" w14:textId="7A0BF2DC" w:rsidR="00DA352E" w:rsidRPr="00FF1A77" w:rsidRDefault="00DA352E" w:rsidP="0051509C">
            <w:pPr>
              <w:pStyle w:val="Tablerowheadingitalic"/>
              <w:tabs>
                <w:tab w:val="clear" w:pos="2268"/>
                <w:tab w:val="clear" w:pos="5670"/>
                <w:tab w:val="left" w:pos="1418"/>
                <w:tab w:val="left" w:pos="2552"/>
              </w:tabs>
            </w:pPr>
            <w:r w:rsidRPr="00FF1A77">
              <w:t>HCOTN</w:t>
            </w:r>
            <w:r w:rsidR="00916EC0" w:rsidRPr="00FF1A77">
              <w:t xml:space="preserve"> </w:t>
            </w:r>
            <w:r w:rsidR="00916EC0" w:rsidRPr="00FF1A77">
              <w:tab/>
            </w:r>
            <w:sdt>
              <w:sdtPr>
                <w:id w:val="1543090908"/>
                <w:placeholder>
                  <w:docPart w:val="EA1708404F1C4A3BB080A0D8EEB67D1D"/>
                </w:placeholder>
                <w:text/>
              </w:sdtPr>
              <w:sdtEndPr/>
              <w:sdtContent>
                <w:r w:rsidR="005235BC" w:rsidRPr="00FF1A77">
                  <w:t>2001</w:t>
                </w:r>
              </w:sdtContent>
            </w:sdt>
            <w:r w:rsidR="00916EC0" w:rsidRPr="00FF1A77">
              <w:tab/>
            </w:r>
            <w:r w:rsidR="0051509C" w:rsidRPr="00FF1A77">
              <w:tab/>
            </w:r>
            <w:sdt>
              <w:sdtPr>
                <w:alias w:val="HCOTN WES equivalent"/>
                <w:tag w:val="HCOTN WES equivalent"/>
                <w:id w:val="1471562734"/>
                <w:placeholder>
                  <w:docPart w:val="F3D4204BA37A4A21A656C76DA4274412"/>
                </w:placeholder>
              </w:sdtPr>
              <w:sdtEndPr/>
              <w:sdtContent>
                <w:r w:rsidR="005235BC" w:rsidRPr="00FF1A77">
                  <w:t xml:space="preserve">TWA: </w:t>
                </w:r>
                <w:r w:rsidR="008429FC" w:rsidRPr="00FF1A77">
                  <w:t>5</w:t>
                </w:r>
                <w:r w:rsidR="00FA18B6" w:rsidRPr="00FF1A77">
                  <w:t xml:space="preserve"> ppm (</w:t>
                </w:r>
                <w:r w:rsidR="008429FC" w:rsidRPr="00FF1A77">
                  <w:t>20</w:t>
                </w:r>
                <w:r w:rsidR="00FA18B6" w:rsidRPr="00FF1A77">
                  <w:t xml:space="preserve"> mg/m</w:t>
                </w:r>
                <w:r w:rsidR="00FA18B6" w:rsidRPr="00FF1A77">
                  <w:rPr>
                    <w:vertAlign w:val="superscript"/>
                  </w:rPr>
                  <w:t>3</w:t>
                </w:r>
                <w:r w:rsidR="00FA18B6" w:rsidRPr="00FF1A77">
                  <w:t>)</w:t>
                </w:r>
              </w:sdtContent>
            </w:sdt>
          </w:p>
        </w:tc>
      </w:tr>
      <w:tr w:rsidR="00DA352E" w:rsidRPr="00FF1A77" w14:paraId="2E72B1B9" w14:textId="77777777" w:rsidTr="00425EDB">
        <w:trPr>
          <w:gridAfter w:val="1"/>
          <w:wAfter w:w="8" w:type="pct"/>
        </w:trPr>
        <w:tc>
          <w:tcPr>
            <w:tcW w:w="4992" w:type="pct"/>
          </w:tcPr>
          <w:p w14:paraId="1DCCC930" w14:textId="6E994149" w:rsidR="008429FC" w:rsidRPr="00FF1A77" w:rsidRDefault="008429FC" w:rsidP="003365A5">
            <w:pPr>
              <w:pStyle w:val="Tabletextprimarysource"/>
            </w:pPr>
            <w:r w:rsidRPr="00FF1A77">
              <w:t>Summary of additional data:</w:t>
            </w:r>
          </w:p>
          <w:p w14:paraId="78079443" w14:textId="5C815EB0" w:rsidR="003A48FC" w:rsidRPr="00FF1A77" w:rsidRDefault="003A48FC" w:rsidP="003A48FC">
            <w:pPr>
              <w:pStyle w:val="Tabletextprimarysource"/>
            </w:pPr>
            <w:r w:rsidRPr="00FF1A77">
              <w:t>C</w:t>
            </w:r>
            <w:r w:rsidR="008429FC" w:rsidRPr="00FF1A77">
              <w:t xml:space="preserve">urrent administrative guideline </w:t>
            </w:r>
            <w:r w:rsidR="00DD1831">
              <w:t xml:space="preserve">of 5 ppm </w:t>
            </w:r>
            <w:proofErr w:type="gramStart"/>
            <w:r w:rsidR="008429FC" w:rsidRPr="00FF1A77">
              <w:t>is considered</w:t>
            </w:r>
            <w:proofErr w:type="gramEnd"/>
            <w:r w:rsidR="008429FC" w:rsidRPr="00FF1A77">
              <w:t xml:space="preserve"> to</w:t>
            </w:r>
            <w:r w:rsidR="00494680" w:rsidRPr="00FF1A77">
              <w:t>o</w:t>
            </w:r>
            <w:r w:rsidR="008429FC" w:rsidRPr="00FF1A77">
              <w:t xml:space="preserve"> high following health-based risk assessment.</w:t>
            </w:r>
            <w:r w:rsidRPr="00FF1A77">
              <w:t xml:space="preserve"> NOAEL of 15 mg/kg for adverse reproductive effects in repeat oral intake study (rats, 2 </w:t>
            </w:r>
            <w:proofErr w:type="spellStart"/>
            <w:r w:rsidRPr="00FF1A77">
              <w:t>yr</w:t>
            </w:r>
            <w:proofErr w:type="spellEnd"/>
            <w:r w:rsidRPr="00FF1A77">
              <w:t xml:space="preserve">) used as starting point for TWA calculation. Factors of 4 and 9 </w:t>
            </w:r>
            <w:proofErr w:type="gramStart"/>
            <w:r w:rsidRPr="00FF1A77">
              <w:t>are applied</w:t>
            </w:r>
            <w:proofErr w:type="gramEnd"/>
            <w:r w:rsidRPr="00FF1A77">
              <w:t xml:space="preserve"> to respectively account for scaling rat exposure data to humans and for intra- and interspecies differences. The resulting N</w:t>
            </w:r>
            <w:r w:rsidR="00425EDB" w:rsidRPr="00FF1A77">
              <w:t>O</w:t>
            </w:r>
            <w:r w:rsidRPr="00FF1A77">
              <w:t>AEL for humans equates to 0.42 mg/kg/d</w:t>
            </w:r>
            <w:r w:rsidR="007069A0" w:rsidRPr="00FF1A77">
              <w:t xml:space="preserve"> </w:t>
            </w:r>
            <w:r w:rsidR="007069A0" w:rsidRPr="00FF1A77">
              <w:rPr>
                <w:rFonts w:cs="Arial"/>
              </w:rPr>
              <w:t>≡</w:t>
            </w:r>
            <w:r w:rsidRPr="00FF1A77">
              <w:t>1.2 ppm for an 8</w:t>
            </w:r>
            <w:r w:rsidR="0042207D" w:rsidRPr="00FF1A77">
              <w:t xml:space="preserve"> </w:t>
            </w:r>
            <w:r w:rsidRPr="00FF1A77">
              <w:t>h TWA (assuming 70 kg worker, 10 m</w:t>
            </w:r>
            <w:r w:rsidRPr="00FF1A77">
              <w:rPr>
                <w:vertAlign w:val="superscript"/>
              </w:rPr>
              <w:t>3</w:t>
            </w:r>
            <w:r w:rsidRPr="00FF1A77">
              <w:t xml:space="preserve"> respired volume and 100% retention).</w:t>
            </w:r>
          </w:p>
          <w:p w14:paraId="5D63900B" w14:textId="77777777" w:rsidR="009956A7" w:rsidRPr="00FF1A77" w:rsidRDefault="009956A7" w:rsidP="003A48FC">
            <w:pPr>
              <w:pStyle w:val="Tabletextprimarysource"/>
            </w:pPr>
          </w:p>
          <w:p w14:paraId="4DAE455E" w14:textId="40597BA1" w:rsidR="009956A7" w:rsidRPr="00FF1A77" w:rsidRDefault="00952C34" w:rsidP="003A48FC">
            <w:pPr>
              <w:pStyle w:val="Tabletextprimarysource"/>
            </w:pPr>
            <w:r>
              <w:t xml:space="preserve">Due to a lack of </w:t>
            </w:r>
            <w:proofErr w:type="gramStart"/>
            <w:r>
              <w:t>data</w:t>
            </w:r>
            <w:proofErr w:type="gramEnd"/>
            <w:r>
              <w:t xml:space="preserve"> the Committee could</w:t>
            </w:r>
            <w:r w:rsidR="006143AE" w:rsidRPr="00FF1A77">
              <w:t xml:space="preserve"> not indicate if skin notation was appropriate.</w:t>
            </w:r>
          </w:p>
          <w:p w14:paraId="432CF2FD" w14:textId="777E91DA" w:rsidR="006143AE" w:rsidRPr="00FF1A77" w:rsidRDefault="006143AE" w:rsidP="003A48FC">
            <w:pPr>
              <w:pStyle w:val="Tabletextprimarysource"/>
            </w:pPr>
            <w:r w:rsidRPr="00FF1A77">
              <w:t xml:space="preserve"> </w:t>
            </w:r>
          </w:p>
        </w:tc>
      </w:tr>
    </w:tbl>
    <w:p w14:paraId="0118C992" w14:textId="77777777" w:rsidR="00A20751" w:rsidRPr="00FF1A77" w:rsidRDefault="00A20751" w:rsidP="003365A5">
      <w:pPr>
        <w:pStyle w:val="Heading3"/>
      </w:pPr>
      <w:bookmarkStart w:id="1" w:name="SecondSource"/>
      <w:r w:rsidRPr="00FF1A77">
        <w:lastRenderedPageBreak/>
        <w:t xml:space="preserve">Secondary </w:t>
      </w:r>
      <w:r w:rsidR="0088798F" w:rsidRPr="00FF1A77">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86"/>
        <w:gridCol w:w="421"/>
        <w:gridCol w:w="661"/>
        <w:gridCol w:w="6458"/>
      </w:tblGrid>
      <w:tr w:rsidR="004966BF" w:rsidRPr="00FF1A77" w14:paraId="4174D677" w14:textId="77777777" w:rsidTr="002513AF">
        <w:trPr>
          <w:cantSplit/>
          <w:trHeight w:val="393"/>
          <w:tblHeader/>
        </w:trPr>
        <w:tc>
          <w:tcPr>
            <w:tcW w:w="1486" w:type="dxa"/>
            <w:shd w:val="clear" w:color="auto" w:fill="BFBFBF" w:themeFill="background1" w:themeFillShade="BF"/>
            <w:vAlign w:val="center"/>
          </w:tcPr>
          <w:p w14:paraId="2EF9A4D5" w14:textId="77777777" w:rsidR="004966BF" w:rsidRPr="00FF1A77" w:rsidRDefault="004966BF" w:rsidP="00263255">
            <w:pPr>
              <w:pStyle w:val="Tableheader"/>
            </w:pPr>
            <w:r w:rsidRPr="00FF1A77">
              <w:t>Source</w:t>
            </w:r>
          </w:p>
        </w:tc>
        <w:tc>
          <w:tcPr>
            <w:tcW w:w="421" w:type="dxa"/>
            <w:shd w:val="clear" w:color="auto" w:fill="BFBFBF" w:themeFill="background1" w:themeFillShade="BF"/>
            <w:vAlign w:val="center"/>
          </w:tcPr>
          <w:p w14:paraId="3A353B19" w14:textId="77777777" w:rsidR="004966BF" w:rsidRPr="00FF1A77" w:rsidRDefault="004966BF" w:rsidP="00263255">
            <w:pPr>
              <w:pStyle w:val="Tableheader"/>
            </w:pPr>
          </w:p>
        </w:tc>
        <w:tc>
          <w:tcPr>
            <w:tcW w:w="661" w:type="dxa"/>
            <w:shd w:val="clear" w:color="auto" w:fill="BFBFBF" w:themeFill="background1" w:themeFillShade="BF"/>
            <w:vAlign w:val="center"/>
          </w:tcPr>
          <w:p w14:paraId="27290A82" w14:textId="77777777" w:rsidR="004966BF" w:rsidRPr="00FF1A77" w:rsidRDefault="004966BF" w:rsidP="00263255">
            <w:pPr>
              <w:pStyle w:val="Tableheader"/>
            </w:pPr>
            <w:r w:rsidRPr="00FF1A77">
              <w:t>Year</w:t>
            </w:r>
          </w:p>
        </w:tc>
        <w:tc>
          <w:tcPr>
            <w:tcW w:w="6458" w:type="dxa"/>
            <w:shd w:val="clear" w:color="auto" w:fill="BFBFBF" w:themeFill="background1" w:themeFillShade="BF"/>
            <w:vAlign w:val="center"/>
          </w:tcPr>
          <w:p w14:paraId="6C84E5E8" w14:textId="77777777" w:rsidR="004966BF" w:rsidRPr="00FF1A77" w:rsidRDefault="004966BF" w:rsidP="00263255">
            <w:pPr>
              <w:pStyle w:val="Tableheader"/>
            </w:pPr>
            <w:r w:rsidRPr="00FF1A77">
              <w:t>Additional information</w:t>
            </w:r>
          </w:p>
        </w:tc>
      </w:tr>
      <w:tr w:rsidR="004966BF" w:rsidRPr="00FF1A77" w14:paraId="2272ECE8" w14:textId="77777777" w:rsidTr="002513AF">
        <w:trPr>
          <w:cantSplit/>
        </w:trPr>
        <w:tc>
          <w:tcPr>
            <w:tcW w:w="1486" w:type="dxa"/>
          </w:tcPr>
          <w:p w14:paraId="3A545D56" w14:textId="77777777" w:rsidR="004966BF" w:rsidRPr="00FF1A77" w:rsidRDefault="004966BF" w:rsidP="00224EE2">
            <w:pPr>
              <w:pStyle w:val="Tablefont"/>
            </w:pPr>
            <w:r w:rsidRPr="00FF1A77">
              <w:t>HSE</w:t>
            </w:r>
          </w:p>
        </w:tc>
        <w:tc>
          <w:tcPr>
            <w:tcW w:w="421" w:type="dxa"/>
          </w:tcPr>
          <w:p w14:paraId="518D785E" w14:textId="02EF463C" w:rsidR="004966BF" w:rsidRPr="00FF1A77" w:rsidRDefault="00A34935" w:rsidP="00AB43C4">
            <w:pPr>
              <w:spacing w:before="40"/>
              <w:jc w:val="center"/>
              <w:rPr>
                <w:rStyle w:val="checkbox"/>
              </w:rPr>
            </w:pPr>
            <w:sdt>
              <w:sdtPr>
                <w:rPr>
                  <w:rStyle w:val="checkbox"/>
                </w:rPr>
                <w:id w:val="-1382551732"/>
                <w:placeholder>
                  <w:docPart w:val="8DD754E365844A4E82EC69A07E229629"/>
                </w:placeholder>
                <w:dropDownList>
                  <w:listItem w:displayText="" w:value=""/>
                  <w:listItem w:displayText="" w:value=""/>
                  <w:listItem w:displayText="" w:value=""/>
                </w:dropDownList>
              </w:sdtPr>
              <w:sdtEndPr>
                <w:rPr>
                  <w:rStyle w:val="checkbox"/>
                </w:rPr>
              </w:sdtEndPr>
              <w:sdtContent>
                <w:r w:rsidR="003A48FC" w:rsidRPr="00FF1A77">
                  <w:rPr>
                    <w:rStyle w:val="checkbox"/>
                  </w:rPr>
                  <w:t></w:t>
                </w:r>
              </w:sdtContent>
            </w:sdt>
          </w:p>
        </w:tc>
        <w:tc>
          <w:tcPr>
            <w:tcW w:w="661" w:type="dxa"/>
          </w:tcPr>
          <w:p w14:paraId="3B4F9CF8" w14:textId="0E56A62D" w:rsidR="004966BF" w:rsidRPr="00FF1A77" w:rsidRDefault="003A48FC" w:rsidP="00717D45">
            <w:pPr>
              <w:pStyle w:val="Tablefont"/>
            </w:pPr>
            <w:r w:rsidRPr="00FF1A77">
              <w:t>2002</w:t>
            </w:r>
          </w:p>
        </w:tc>
        <w:tc>
          <w:tcPr>
            <w:tcW w:w="6458" w:type="dxa"/>
          </w:tcPr>
          <w:p w14:paraId="7845A25E" w14:textId="096B240C" w:rsidR="004966BF" w:rsidRPr="00FF1A77" w:rsidRDefault="003A48FC" w:rsidP="00425EDB">
            <w:pPr>
              <w:pStyle w:val="Tablefont"/>
              <w:numPr>
                <w:ilvl w:val="0"/>
                <w:numId w:val="7"/>
              </w:numPr>
            </w:pPr>
            <w:r w:rsidRPr="00FF1A77">
              <w:t>8</w:t>
            </w:r>
            <w:r w:rsidR="0042207D" w:rsidRPr="00FF1A77">
              <w:t xml:space="preserve"> </w:t>
            </w:r>
            <w:r w:rsidRPr="00FF1A77">
              <w:t>h TWA: 10 ppm (41 mg/m</w:t>
            </w:r>
            <w:r w:rsidRPr="00FF1A77">
              <w:rPr>
                <w:vertAlign w:val="superscript"/>
              </w:rPr>
              <w:t>3</w:t>
            </w:r>
            <w:r w:rsidRPr="00FF1A77">
              <w:t>)</w:t>
            </w:r>
            <w:r w:rsidR="00EA6169">
              <w:t>.</w:t>
            </w:r>
          </w:p>
        </w:tc>
      </w:tr>
      <w:tr w:rsidR="004966BF" w:rsidRPr="00FF1A77" w14:paraId="5DA8727F" w14:textId="77777777" w:rsidTr="002513AF">
        <w:trPr>
          <w:cantSplit/>
        </w:trPr>
        <w:tc>
          <w:tcPr>
            <w:tcW w:w="1486" w:type="dxa"/>
          </w:tcPr>
          <w:p w14:paraId="3138B514" w14:textId="77777777" w:rsidR="004966BF" w:rsidRPr="00FF1A77" w:rsidRDefault="004966BF" w:rsidP="00224EE2">
            <w:pPr>
              <w:pStyle w:val="Tablefont"/>
            </w:pPr>
            <w:r w:rsidRPr="00FF1A77">
              <w:t>NICNAS</w:t>
            </w:r>
          </w:p>
        </w:tc>
        <w:tc>
          <w:tcPr>
            <w:tcW w:w="421" w:type="dxa"/>
          </w:tcPr>
          <w:p w14:paraId="67879EAC" w14:textId="0413AC8C" w:rsidR="004966BF" w:rsidRPr="00FF1A77" w:rsidRDefault="00A34935"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3172A2" w:rsidRPr="00FF1A77">
                  <w:rPr>
                    <w:rStyle w:val="checkbox"/>
                  </w:rPr>
                  <w:t></w:t>
                </w:r>
              </w:sdtContent>
            </w:sdt>
          </w:p>
        </w:tc>
        <w:tc>
          <w:tcPr>
            <w:tcW w:w="661" w:type="dxa"/>
          </w:tcPr>
          <w:p w14:paraId="58DF2797" w14:textId="0E9C8EA6" w:rsidR="004966BF" w:rsidRPr="00FF1A77" w:rsidRDefault="003172A2" w:rsidP="00717D45">
            <w:pPr>
              <w:pStyle w:val="Tablefont"/>
              <w:rPr>
                <w:rStyle w:val="checkbox"/>
                <w:rFonts w:ascii="Arial" w:hAnsi="Arial" w:cs="Arial"/>
              </w:rPr>
            </w:pPr>
            <w:r w:rsidRPr="00FF1A77">
              <w:rPr>
                <w:rStyle w:val="checkbox"/>
                <w:rFonts w:ascii="Arial" w:hAnsi="Arial" w:cs="Arial"/>
              </w:rPr>
              <w:t>2016</w:t>
            </w:r>
          </w:p>
        </w:tc>
        <w:tc>
          <w:tcPr>
            <w:tcW w:w="6458" w:type="dxa"/>
          </w:tcPr>
          <w:p w14:paraId="03FEB668" w14:textId="2CBC9741" w:rsidR="004966BF" w:rsidRPr="00FF1A77" w:rsidRDefault="003172A2" w:rsidP="00425EDB">
            <w:pPr>
              <w:pStyle w:val="Tablefont"/>
              <w:numPr>
                <w:ilvl w:val="0"/>
                <w:numId w:val="6"/>
              </w:numPr>
              <w:rPr>
                <w:rStyle w:val="checkbox"/>
                <w:rFonts w:ascii="Arial" w:hAnsi="Arial" w:cs="Arial"/>
              </w:rPr>
            </w:pPr>
            <w:r w:rsidRPr="00FF1A77">
              <w:rPr>
                <w:rStyle w:val="checkbox"/>
                <w:rFonts w:ascii="Arial" w:hAnsi="Arial" w:cs="Arial"/>
              </w:rPr>
              <w:t>No symptoms reported in workers exposed 4</w:t>
            </w:r>
            <w:r w:rsidR="0042207D" w:rsidRPr="00FF1A77">
              <w:rPr>
                <w:rStyle w:val="checkbox"/>
                <w:rFonts w:ascii="Arial" w:hAnsi="Arial" w:cs="Arial"/>
              </w:rPr>
              <w:t>–</w:t>
            </w:r>
            <w:r w:rsidRPr="00FF1A77">
              <w:rPr>
                <w:rStyle w:val="checkbox"/>
                <w:rFonts w:ascii="Arial" w:hAnsi="Arial" w:cs="Arial"/>
              </w:rPr>
              <w:t>10 ppm (&lt;8 h)</w:t>
            </w:r>
            <w:r w:rsidR="00EA6169">
              <w:rPr>
                <w:rStyle w:val="checkbox"/>
                <w:rFonts w:ascii="Arial" w:hAnsi="Arial" w:cs="Arial"/>
              </w:rPr>
              <w:t>.</w:t>
            </w:r>
          </w:p>
        </w:tc>
      </w:tr>
      <w:tr w:rsidR="004966BF" w:rsidRPr="00FF1A77" w14:paraId="17B8ADFB" w14:textId="77777777" w:rsidTr="002513AF">
        <w:trPr>
          <w:cantSplit/>
        </w:trPr>
        <w:tc>
          <w:tcPr>
            <w:tcW w:w="1486" w:type="dxa"/>
          </w:tcPr>
          <w:p w14:paraId="009D54DD" w14:textId="77777777" w:rsidR="004966BF" w:rsidRPr="00FF1A77" w:rsidRDefault="004966BF" w:rsidP="00224EE2">
            <w:pPr>
              <w:pStyle w:val="Tablefont"/>
            </w:pPr>
            <w:r w:rsidRPr="00FF1A77">
              <w:t>IARC</w:t>
            </w:r>
          </w:p>
        </w:tc>
        <w:tc>
          <w:tcPr>
            <w:tcW w:w="421" w:type="dxa"/>
          </w:tcPr>
          <w:p w14:paraId="2ECD5649" w14:textId="03510825" w:rsidR="004966BF" w:rsidRPr="00FF1A77" w:rsidRDefault="00A34935" w:rsidP="00AB43C4">
            <w:pPr>
              <w:spacing w:before="40"/>
              <w:jc w:val="center"/>
              <w:rPr>
                <w:rStyle w:val="checkbox"/>
              </w:rPr>
            </w:pPr>
            <w:sdt>
              <w:sdtPr>
                <w:rPr>
                  <w:rStyle w:val="checkbox"/>
                </w:rPr>
                <w:id w:val="1592279139"/>
                <w:placeholder>
                  <w:docPart w:val="20BC8D26515A4C11AC6304FB75A7CBAD"/>
                </w:placeholder>
                <w:dropDownList>
                  <w:listItem w:displayText="" w:value=""/>
                  <w:listItem w:displayText="" w:value=""/>
                  <w:listItem w:displayText="" w:value=""/>
                </w:dropDownList>
              </w:sdtPr>
              <w:sdtEndPr>
                <w:rPr>
                  <w:rStyle w:val="checkbox"/>
                </w:rPr>
              </w:sdtEndPr>
              <w:sdtContent>
                <w:r w:rsidR="00C65CEC" w:rsidRPr="00FF1A77">
                  <w:rPr>
                    <w:rStyle w:val="checkbox"/>
                  </w:rPr>
                  <w:t></w:t>
                </w:r>
              </w:sdtContent>
            </w:sdt>
          </w:p>
        </w:tc>
        <w:tc>
          <w:tcPr>
            <w:tcW w:w="661" w:type="dxa"/>
          </w:tcPr>
          <w:p w14:paraId="16740A9C" w14:textId="1903EAEF" w:rsidR="004966BF" w:rsidRPr="00FF1A77" w:rsidRDefault="00C65CEC" w:rsidP="00717D45">
            <w:pPr>
              <w:pStyle w:val="Tablefont"/>
              <w:rPr>
                <w:rStyle w:val="checkbox"/>
                <w:rFonts w:ascii="Arial" w:hAnsi="Arial" w:cs="Arial"/>
              </w:rPr>
            </w:pPr>
            <w:r w:rsidRPr="00FF1A77">
              <w:rPr>
                <w:rStyle w:val="checkbox"/>
                <w:rFonts w:ascii="Arial" w:hAnsi="Arial" w:cs="Arial"/>
              </w:rPr>
              <w:t>1999</w:t>
            </w:r>
          </w:p>
        </w:tc>
        <w:tc>
          <w:tcPr>
            <w:tcW w:w="6458" w:type="dxa"/>
          </w:tcPr>
          <w:p w14:paraId="151FACF4" w14:textId="77777777" w:rsidR="00425EDB" w:rsidRPr="00FF1A77" w:rsidRDefault="00C65CEC" w:rsidP="00425EDB">
            <w:pPr>
              <w:pStyle w:val="Tablefont"/>
              <w:numPr>
                <w:ilvl w:val="0"/>
                <w:numId w:val="5"/>
              </w:numPr>
              <w:ind w:left="714" w:hanging="357"/>
              <w:rPr>
                <w:rStyle w:val="checkbox"/>
                <w:rFonts w:ascii="Arial" w:hAnsi="Arial" w:cs="Arial"/>
              </w:rPr>
            </w:pPr>
            <w:r w:rsidRPr="00FF1A77">
              <w:rPr>
                <w:rStyle w:val="checkbox"/>
                <w:rFonts w:ascii="Arial" w:hAnsi="Arial" w:cs="Arial"/>
              </w:rPr>
              <w:t>Evaluated in combination with cyclamates</w:t>
            </w:r>
          </w:p>
          <w:p w14:paraId="7CC7CAB6" w14:textId="6C28660C" w:rsidR="004966BF" w:rsidRPr="00FF1A77" w:rsidRDefault="00425EDB" w:rsidP="00425EDB">
            <w:pPr>
              <w:pStyle w:val="Tablefont"/>
              <w:numPr>
                <w:ilvl w:val="0"/>
                <w:numId w:val="5"/>
              </w:numPr>
              <w:ind w:left="714" w:hanging="357"/>
              <w:rPr>
                <w:rStyle w:val="checkbox"/>
                <w:rFonts w:ascii="Arial" w:hAnsi="Arial" w:cs="Arial"/>
              </w:rPr>
            </w:pPr>
            <w:r w:rsidRPr="00FF1A77">
              <w:rPr>
                <w:rStyle w:val="checkbox"/>
                <w:rFonts w:ascii="Arial" w:hAnsi="Arial" w:cs="Arial"/>
              </w:rPr>
              <w:t>O</w:t>
            </w:r>
            <w:r w:rsidR="00C65CEC" w:rsidRPr="00FF1A77">
              <w:rPr>
                <w:rStyle w:val="checkbox"/>
                <w:rFonts w:ascii="Arial" w:hAnsi="Arial" w:cs="Arial"/>
              </w:rPr>
              <w:t xml:space="preserve">verall, </w:t>
            </w:r>
            <w:r w:rsidR="00C65CEC" w:rsidRPr="00FF1A77">
              <w:t>not classifiable as to their carcinogenicity to humans.</w:t>
            </w:r>
          </w:p>
        </w:tc>
      </w:tr>
      <w:tr w:rsidR="004966BF" w:rsidRPr="00FF1A77" w14:paraId="527B7820" w14:textId="77777777" w:rsidTr="002513AF">
        <w:trPr>
          <w:cantSplit/>
        </w:trPr>
        <w:tc>
          <w:tcPr>
            <w:tcW w:w="1486" w:type="dxa"/>
          </w:tcPr>
          <w:p w14:paraId="50A7D167" w14:textId="77777777" w:rsidR="004966BF" w:rsidRPr="00FF1A77" w:rsidRDefault="004966BF" w:rsidP="00224EE2">
            <w:pPr>
              <w:pStyle w:val="Tablefont"/>
            </w:pPr>
            <w:r w:rsidRPr="00FF1A77">
              <w:t>ECHA</w:t>
            </w:r>
          </w:p>
        </w:tc>
        <w:tc>
          <w:tcPr>
            <w:tcW w:w="421" w:type="dxa"/>
          </w:tcPr>
          <w:p w14:paraId="51194CE2" w14:textId="189AF83F" w:rsidR="004966BF" w:rsidRPr="00FF1A77" w:rsidRDefault="00A34935"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4C4C3E" w:rsidRPr="00FF1A77">
                  <w:rPr>
                    <w:rStyle w:val="checkbox"/>
                  </w:rPr>
                  <w:t></w:t>
                </w:r>
              </w:sdtContent>
            </w:sdt>
          </w:p>
        </w:tc>
        <w:tc>
          <w:tcPr>
            <w:tcW w:w="661" w:type="dxa"/>
          </w:tcPr>
          <w:p w14:paraId="52A76C97" w14:textId="624541B6" w:rsidR="004966BF" w:rsidRPr="00FF1A77" w:rsidRDefault="004C4C3E" w:rsidP="00717D45">
            <w:pPr>
              <w:pStyle w:val="Tablefont"/>
              <w:rPr>
                <w:rStyle w:val="checkbox"/>
                <w:rFonts w:ascii="Arial" w:hAnsi="Arial" w:cs="Arial"/>
              </w:rPr>
            </w:pPr>
            <w:r w:rsidRPr="00FF1A77">
              <w:rPr>
                <w:rStyle w:val="checkbox"/>
                <w:rFonts w:ascii="Arial" w:hAnsi="Arial" w:cs="Arial"/>
              </w:rPr>
              <w:t>2017</w:t>
            </w:r>
          </w:p>
        </w:tc>
        <w:tc>
          <w:tcPr>
            <w:tcW w:w="6458" w:type="dxa"/>
          </w:tcPr>
          <w:p w14:paraId="2880CC2F" w14:textId="38EB1981" w:rsidR="004C4C3E" w:rsidRPr="00FF1A77" w:rsidRDefault="003172A2" w:rsidP="00425EDB">
            <w:pPr>
              <w:pStyle w:val="Tabletextprimarysource"/>
              <w:numPr>
                <w:ilvl w:val="0"/>
                <w:numId w:val="5"/>
              </w:numPr>
              <w:rPr>
                <w:rStyle w:val="checkbox"/>
                <w:rFonts w:ascii="Arial" w:hAnsi="Arial" w:cs="Arial"/>
                <w:lang w:eastAsia="en-AU"/>
              </w:rPr>
            </w:pPr>
            <w:r w:rsidRPr="00FF1A77">
              <w:rPr>
                <w:rStyle w:val="checkbox"/>
                <w:rFonts w:ascii="Arial" w:hAnsi="Arial" w:cs="Arial"/>
              </w:rPr>
              <w:t>Non-</w:t>
            </w:r>
            <w:r w:rsidR="004C4C3E" w:rsidRPr="00FF1A77">
              <w:rPr>
                <w:rStyle w:val="checkbox"/>
                <w:rFonts w:ascii="Arial" w:hAnsi="Arial" w:cs="Arial"/>
              </w:rPr>
              <w:t xml:space="preserve">sensitising to skin based on animal patch test (no further </w:t>
            </w:r>
            <w:r w:rsidR="004C4C3E" w:rsidRPr="00FF1A77">
              <w:t>information</w:t>
            </w:r>
            <w:r w:rsidR="004C4C3E" w:rsidRPr="00FF1A77">
              <w:rPr>
                <w:rStyle w:val="checkbox"/>
                <w:rFonts w:ascii="Arial" w:hAnsi="Arial" w:cs="Arial"/>
              </w:rPr>
              <w:t xml:space="preserve"> provided)</w:t>
            </w:r>
          </w:p>
          <w:p w14:paraId="7BFDCBAC" w14:textId="75645480" w:rsidR="004966BF" w:rsidRPr="00FF1A77" w:rsidRDefault="00C65CEC" w:rsidP="00425EDB">
            <w:pPr>
              <w:pStyle w:val="Tabletextprimarysource"/>
              <w:numPr>
                <w:ilvl w:val="0"/>
                <w:numId w:val="5"/>
              </w:numPr>
              <w:rPr>
                <w:rStyle w:val="checkbox"/>
                <w:rFonts w:ascii="Arial" w:hAnsi="Arial" w:cs="Arial"/>
              </w:rPr>
            </w:pPr>
            <w:r w:rsidRPr="00FF1A77">
              <w:rPr>
                <w:rStyle w:val="checkbox"/>
                <w:rFonts w:ascii="Arial" w:hAnsi="Arial" w:cs="Arial"/>
              </w:rPr>
              <w:t xml:space="preserve">Available reproduction/developmental data is from older studies, which </w:t>
            </w:r>
            <w:proofErr w:type="gramStart"/>
            <w:r w:rsidRPr="00FF1A77">
              <w:rPr>
                <w:rStyle w:val="checkbox"/>
                <w:rFonts w:ascii="Arial" w:hAnsi="Arial" w:cs="Arial"/>
              </w:rPr>
              <w:t>are treated</w:t>
            </w:r>
            <w:proofErr w:type="gramEnd"/>
            <w:r w:rsidRPr="00FF1A77">
              <w:rPr>
                <w:rStyle w:val="checkbox"/>
                <w:rFonts w:ascii="Arial" w:hAnsi="Arial" w:cs="Arial"/>
              </w:rPr>
              <w:t xml:space="preserve"> as unreliable due to lack of some </w:t>
            </w:r>
            <w:r w:rsidRPr="00FF1A77">
              <w:t>assessment</w:t>
            </w:r>
            <w:r w:rsidRPr="00FF1A77">
              <w:rPr>
                <w:rStyle w:val="checkbox"/>
                <w:rFonts w:ascii="Arial" w:hAnsi="Arial" w:cs="Arial"/>
              </w:rPr>
              <w:t xml:space="preserve"> parameters. However, data indicate concern for fertility</w:t>
            </w:r>
            <w:r w:rsidR="0042207D" w:rsidRPr="00FF1A77">
              <w:rPr>
                <w:rStyle w:val="checkbox"/>
                <w:rFonts w:ascii="Arial" w:hAnsi="Arial" w:cs="Arial"/>
              </w:rPr>
              <w:t>.</w:t>
            </w:r>
          </w:p>
        </w:tc>
      </w:tr>
    </w:tbl>
    <w:bookmarkEnd w:id="1"/>
    <w:p w14:paraId="756F79F9" w14:textId="77777777" w:rsidR="007E2A4B" w:rsidRPr="00FF1A77" w:rsidRDefault="007E2A4B" w:rsidP="007E2A4B">
      <w:pPr>
        <w:pStyle w:val="Heading3"/>
      </w:pPr>
      <w:r w:rsidRPr="00FF1A77">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rsidRPr="00FF1A77" w14:paraId="5684BB38" w14:textId="77777777" w:rsidTr="00A57B64">
        <w:trPr>
          <w:trHeight w:val="454"/>
          <w:tblHeader/>
        </w:trPr>
        <w:tc>
          <w:tcPr>
            <w:tcW w:w="6597" w:type="dxa"/>
            <w:vAlign w:val="center"/>
          </w:tcPr>
          <w:p w14:paraId="50A733E7" w14:textId="77777777" w:rsidR="002E0D61" w:rsidRPr="00FF1A77" w:rsidRDefault="00B1422A" w:rsidP="00C3091E">
            <w:pPr>
              <w:pStyle w:val="Tablefont"/>
              <w:keepNext/>
              <w:keepLines/>
              <w:spacing w:before="40" w:after="40"/>
            </w:pPr>
            <w:bookmarkStart w:id="2" w:name="GCQuest"/>
            <w:r w:rsidRPr="00FF1A77">
              <w:t>Is the chemical mutagenic</w:t>
            </w:r>
            <w:r w:rsidR="002E0D61" w:rsidRPr="00FF1A77">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397EF4DE" w14:textId="54451F8E" w:rsidR="002E0D61" w:rsidRPr="00FF1A77" w:rsidRDefault="004373B8" w:rsidP="00C3091E">
                <w:pPr>
                  <w:pStyle w:val="Tablefont"/>
                  <w:keepNext/>
                  <w:keepLines/>
                  <w:spacing w:before="40" w:after="40"/>
                </w:pPr>
                <w:r w:rsidRPr="00FF1A77">
                  <w:t>No</w:t>
                </w:r>
              </w:p>
            </w:tc>
          </w:sdtContent>
        </w:sdt>
      </w:tr>
      <w:tr w:rsidR="008A36CF" w:rsidRPr="00FF1A77" w14:paraId="00E3C78D" w14:textId="77777777" w:rsidTr="00A57B64">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597" w:type="dxa"/>
                <w:vAlign w:val="center"/>
              </w:tcPr>
              <w:p w14:paraId="7025C6F4" w14:textId="173B05A9" w:rsidR="008A36CF" w:rsidRPr="00FF1A77" w:rsidRDefault="00B83DDF" w:rsidP="008A36CF">
                <w:pPr>
                  <w:pStyle w:val="Tablefont"/>
                  <w:keepNext/>
                  <w:keepLines/>
                  <w:spacing w:before="40" w:after="40"/>
                  <w:rPr>
                    <w:b/>
                  </w:rPr>
                </w:pPr>
                <w:r w:rsidRPr="00FF1A77">
                  <w:rPr>
                    <w:b/>
                  </w:rPr>
                  <w:t>The chemical is not a non-threshold based genotoxic carcinogen.</w:t>
                </w:r>
              </w:p>
            </w:tc>
          </w:sdtContent>
        </w:sdt>
        <w:tc>
          <w:tcPr>
            <w:tcW w:w="2429" w:type="dxa"/>
            <w:vAlign w:val="center"/>
          </w:tcPr>
          <w:p w14:paraId="744E74CD" w14:textId="77777777" w:rsidR="008A36CF" w:rsidRPr="00FF1A77" w:rsidRDefault="008A36CF" w:rsidP="008A36CF">
            <w:pPr>
              <w:pStyle w:val="Tablefont"/>
              <w:keepNext/>
              <w:keepLines/>
              <w:spacing w:before="40" w:after="40"/>
            </w:pPr>
          </w:p>
        </w:tc>
      </w:tr>
    </w:tbl>
    <w:bookmarkEnd w:id="2"/>
    <w:p w14:paraId="07F31EC7" w14:textId="77777777" w:rsidR="00687890" w:rsidRPr="00FF1A77" w:rsidRDefault="00B479A9" w:rsidP="00474E33">
      <w:pPr>
        <w:pStyle w:val="Heading2"/>
      </w:pPr>
      <w:r w:rsidRPr="00FF1A77">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FF1A77" w14:paraId="231B549F" w14:textId="77777777" w:rsidTr="00812887">
        <w:trPr>
          <w:cantSplit/>
          <w:tblHeader/>
        </w:trPr>
        <w:tc>
          <w:tcPr>
            <w:tcW w:w="3227" w:type="dxa"/>
            <w:shd w:val="clear" w:color="auto" w:fill="BFBFBF" w:themeFill="background1" w:themeFillShade="BF"/>
            <w:vAlign w:val="center"/>
          </w:tcPr>
          <w:p w14:paraId="14F05BF6" w14:textId="77777777" w:rsidR="00687890" w:rsidRPr="00FF1A77" w:rsidRDefault="00687890" w:rsidP="00263255">
            <w:pPr>
              <w:pStyle w:val="Tableheader"/>
            </w:pPr>
            <w:bookmarkStart w:id="3" w:name="Notations"/>
            <w:r w:rsidRPr="00FF1A77">
              <w:t>Source</w:t>
            </w:r>
          </w:p>
        </w:tc>
        <w:tc>
          <w:tcPr>
            <w:tcW w:w="6015" w:type="dxa"/>
            <w:shd w:val="clear" w:color="auto" w:fill="BFBFBF" w:themeFill="background1" w:themeFillShade="BF"/>
            <w:vAlign w:val="center"/>
          </w:tcPr>
          <w:p w14:paraId="6404B186" w14:textId="77777777" w:rsidR="00687890" w:rsidRPr="00FF1A77" w:rsidRDefault="00687890" w:rsidP="00F4402E">
            <w:pPr>
              <w:pStyle w:val="Tableheader"/>
              <w:tabs>
                <w:tab w:val="right" w:pos="5272"/>
              </w:tabs>
            </w:pPr>
            <w:r w:rsidRPr="00FF1A77">
              <w:t>Notations</w:t>
            </w:r>
            <w:r w:rsidR="003A2B94" w:rsidRPr="00FF1A77">
              <w:tab/>
            </w:r>
          </w:p>
        </w:tc>
      </w:tr>
      <w:tr w:rsidR="00687890" w:rsidRPr="00FF1A77" w14:paraId="67B1411F" w14:textId="77777777" w:rsidTr="00812887">
        <w:trPr>
          <w:cantSplit/>
        </w:trPr>
        <w:tc>
          <w:tcPr>
            <w:tcW w:w="3227" w:type="dxa"/>
          </w:tcPr>
          <w:p w14:paraId="6A8A23A9" w14:textId="77777777" w:rsidR="004079B4" w:rsidRPr="00FF1A77" w:rsidRDefault="00084513" w:rsidP="00F4402E">
            <w:pPr>
              <w:pStyle w:val="Tablefont"/>
            </w:pPr>
            <w:r w:rsidRPr="00FF1A77">
              <w:t>SWA</w:t>
            </w:r>
          </w:p>
        </w:tc>
        <w:tc>
          <w:tcPr>
            <w:tcW w:w="6015" w:type="dxa"/>
          </w:tcPr>
          <w:p w14:paraId="50870AAC" w14:textId="1D47386C" w:rsidR="00687890" w:rsidRPr="00FF1A77" w:rsidRDefault="00210427" w:rsidP="00DD2F9B">
            <w:pPr>
              <w:pStyle w:val="Tablefont"/>
            </w:pPr>
            <w:r w:rsidRPr="00FF1A77">
              <w:t>—</w:t>
            </w:r>
          </w:p>
        </w:tc>
      </w:tr>
      <w:tr w:rsidR="007925F0" w:rsidRPr="00FF1A77" w14:paraId="32185BFA" w14:textId="77777777" w:rsidTr="00812887">
        <w:trPr>
          <w:cantSplit/>
        </w:trPr>
        <w:tc>
          <w:tcPr>
            <w:tcW w:w="3227" w:type="dxa"/>
          </w:tcPr>
          <w:p w14:paraId="161C3DE5" w14:textId="77777777" w:rsidR="004079B4" w:rsidRPr="00FF1A77" w:rsidRDefault="007925F0" w:rsidP="00F4402E">
            <w:pPr>
              <w:pStyle w:val="Tablefont"/>
            </w:pPr>
            <w:r w:rsidRPr="00FF1A77">
              <w:t>HCIS</w:t>
            </w:r>
          </w:p>
        </w:tc>
        <w:tc>
          <w:tcPr>
            <w:tcW w:w="6015" w:type="dxa"/>
          </w:tcPr>
          <w:p w14:paraId="547F48CA" w14:textId="3256D203" w:rsidR="007925F0" w:rsidRPr="00FF1A77" w:rsidRDefault="006143AE" w:rsidP="00DD2F9B">
            <w:pPr>
              <w:pStyle w:val="Tablefont"/>
            </w:pPr>
            <w:r w:rsidRPr="00FF1A77">
              <w:t>—</w:t>
            </w:r>
          </w:p>
        </w:tc>
      </w:tr>
      <w:tr w:rsidR="00AF483F" w:rsidRPr="00FF1A77" w14:paraId="39D8F008" w14:textId="77777777" w:rsidTr="00812887">
        <w:trPr>
          <w:cantSplit/>
        </w:trPr>
        <w:tc>
          <w:tcPr>
            <w:tcW w:w="3227" w:type="dxa"/>
          </w:tcPr>
          <w:p w14:paraId="6B8D638E" w14:textId="77777777" w:rsidR="00AF483F" w:rsidRPr="00FF1A77" w:rsidRDefault="00AF483F" w:rsidP="00F4402E">
            <w:pPr>
              <w:pStyle w:val="Tablefont"/>
            </w:pPr>
            <w:r w:rsidRPr="00FF1A77">
              <w:t>NICNAS</w:t>
            </w:r>
          </w:p>
        </w:tc>
        <w:tc>
          <w:tcPr>
            <w:tcW w:w="6015" w:type="dxa"/>
          </w:tcPr>
          <w:p w14:paraId="2A312158" w14:textId="41B87554" w:rsidR="00AF483F" w:rsidRPr="00FF1A77" w:rsidRDefault="00210427" w:rsidP="00DD2F9B">
            <w:pPr>
              <w:pStyle w:val="Tablefont"/>
            </w:pPr>
            <w:r w:rsidRPr="00FF1A77">
              <w:t>—</w:t>
            </w:r>
          </w:p>
        </w:tc>
      </w:tr>
      <w:tr w:rsidR="00687890" w:rsidRPr="00FF1A77" w14:paraId="6AB9D800" w14:textId="77777777" w:rsidTr="00812887">
        <w:trPr>
          <w:cantSplit/>
        </w:trPr>
        <w:tc>
          <w:tcPr>
            <w:tcW w:w="3227" w:type="dxa"/>
          </w:tcPr>
          <w:p w14:paraId="527D2C2F" w14:textId="77777777" w:rsidR="004079B4" w:rsidRPr="00FF1A77" w:rsidRDefault="00687890" w:rsidP="00F4402E">
            <w:pPr>
              <w:pStyle w:val="Tablefont"/>
            </w:pPr>
            <w:r w:rsidRPr="00FF1A77">
              <w:t>EU Annex</w:t>
            </w:r>
          </w:p>
        </w:tc>
        <w:tc>
          <w:tcPr>
            <w:tcW w:w="6015" w:type="dxa"/>
          </w:tcPr>
          <w:p w14:paraId="2714F9A4" w14:textId="5CA86990" w:rsidR="00687890" w:rsidRPr="00FF1A77" w:rsidRDefault="006143AE" w:rsidP="00DD2F9B">
            <w:pPr>
              <w:pStyle w:val="Tablefont"/>
            </w:pPr>
            <w:r w:rsidRPr="00FF1A77">
              <w:t>—</w:t>
            </w:r>
          </w:p>
        </w:tc>
      </w:tr>
      <w:tr w:rsidR="00E41A26" w:rsidRPr="00FF1A77" w14:paraId="7C73B3A7" w14:textId="77777777" w:rsidTr="00812887">
        <w:trPr>
          <w:cantSplit/>
        </w:trPr>
        <w:tc>
          <w:tcPr>
            <w:tcW w:w="3227" w:type="dxa"/>
          </w:tcPr>
          <w:p w14:paraId="76A06684" w14:textId="77777777" w:rsidR="00E41A26" w:rsidRPr="00FF1A77" w:rsidRDefault="00E41A26" w:rsidP="00F4402E">
            <w:pPr>
              <w:pStyle w:val="Tablefont"/>
            </w:pPr>
            <w:r w:rsidRPr="00FF1A77">
              <w:t>ECHA</w:t>
            </w:r>
          </w:p>
        </w:tc>
        <w:tc>
          <w:tcPr>
            <w:tcW w:w="6015" w:type="dxa"/>
          </w:tcPr>
          <w:p w14:paraId="0289D316" w14:textId="09F3BB0D" w:rsidR="00E41A26" w:rsidRPr="00FF1A77" w:rsidRDefault="004373B8" w:rsidP="00DD2F9B">
            <w:pPr>
              <w:pStyle w:val="Tablefont"/>
            </w:pPr>
            <w:r w:rsidRPr="00FF1A77">
              <w:t>—</w:t>
            </w:r>
          </w:p>
        </w:tc>
      </w:tr>
      <w:tr w:rsidR="002E0D61" w:rsidRPr="00FF1A77" w14:paraId="3B51B7E0" w14:textId="77777777" w:rsidTr="00812887">
        <w:trPr>
          <w:cantSplit/>
        </w:trPr>
        <w:tc>
          <w:tcPr>
            <w:tcW w:w="3227" w:type="dxa"/>
          </w:tcPr>
          <w:p w14:paraId="7DC00481" w14:textId="77777777" w:rsidR="004079B4" w:rsidRPr="00FF1A77" w:rsidRDefault="002E0D61" w:rsidP="00F4402E">
            <w:pPr>
              <w:pStyle w:val="Tablefont"/>
            </w:pPr>
            <w:r w:rsidRPr="00FF1A77">
              <w:t>ACGIH</w:t>
            </w:r>
          </w:p>
        </w:tc>
        <w:tc>
          <w:tcPr>
            <w:tcW w:w="6015" w:type="dxa"/>
          </w:tcPr>
          <w:p w14:paraId="4A79BCED" w14:textId="7C4EFBE8" w:rsidR="002E0D61" w:rsidRPr="00FF1A77" w:rsidRDefault="00F00306" w:rsidP="00DD2F9B">
            <w:pPr>
              <w:pStyle w:val="Tablefont"/>
            </w:pPr>
            <w:r w:rsidRPr="00FF1A77">
              <w:t>Carcinogenicity – A4</w:t>
            </w:r>
          </w:p>
        </w:tc>
      </w:tr>
      <w:tr w:rsidR="002E0D61" w:rsidRPr="00FF1A77" w14:paraId="01CB5302" w14:textId="77777777" w:rsidTr="00812887">
        <w:trPr>
          <w:cantSplit/>
        </w:trPr>
        <w:tc>
          <w:tcPr>
            <w:tcW w:w="3227" w:type="dxa"/>
          </w:tcPr>
          <w:p w14:paraId="4907D5CE" w14:textId="77777777" w:rsidR="004079B4" w:rsidRPr="00FF1A77" w:rsidRDefault="002E0D61" w:rsidP="00F4402E">
            <w:pPr>
              <w:pStyle w:val="Tablefont"/>
            </w:pPr>
            <w:r w:rsidRPr="00FF1A77">
              <w:t>DFG</w:t>
            </w:r>
          </w:p>
        </w:tc>
        <w:tc>
          <w:tcPr>
            <w:tcW w:w="6015" w:type="dxa"/>
          </w:tcPr>
          <w:p w14:paraId="4CA219F9" w14:textId="4C86D67E" w:rsidR="002E0D61" w:rsidRPr="00FF1A77" w:rsidRDefault="00210427" w:rsidP="00DD2F9B">
            <w:pPr>
              <w:pStyle w:val="Tablefont"/>
            </w:pPr>
            <w:r w:rsidRPr="00FF1A77">
              <w:t>—</w:t>
            </w:r>
          </w:p>
        </w:tc>
      </w:tr>
      <w:tr w:rsidR="002E0D61" w:rsidRPr="00FF1A77" w14:paraId="47A3547D" w14:textId="77777777" w:rsidTr="00812887">
        <w:trPr>
          <w:cantSplit/>
        </w:trPr>
        <w:tc>
          <w:tcPr>
            <w:tcW w:w="3227" w:type="dxa"/>
          </w:tcPr>
          <w:p w14:paraId="703C1644" w14:textId="77777777" w:rsidR="004079B4" w:rsidRPr="00FF1A77" w:rsidRDefault="002E0D61" w:rsidP="00F4402E">
            <w:pPr>
              <w:pStyle w:val="Tablefont"/>
            </w:pPr>
            <w:r w:rsidRPr="00FF1A77">
              <w:t>SCOEL</w:t>
            </w:r>
          </w:p>
        </w:tc>
        <w:tc>
          <w:tcPr>
            <w:tcW w:w="6015" w:type="dxa"/>
          </w:tcPr>
          <w:p w14:paraId="4C2F24CB" w14:textId="1B6D9CD6" w:rsidR="002E0D61" w:rsidRPr="00FF1A77" w:rsidRDefault="00210427" w:rsidP="00DD2F9B">
            <w:pPr>
              <w:pStyle w:val="Tablefont"/>
            </w:pPr>
            <w:r w:rsidRPr="00FF1A77">
              <w:t>NA</w:t>
            </w:r>
          </w:p>
        </w:tc>
      </w:tr>
      <w:tr w:rsidR="002E0D61" w:rsidRPr="00FF1A77" w14:paraId="58B7DDBE" w14:textId="77777777" w:rsidTr="00812887">
        <w:trPr>
          <w:cantSplit/>
        </w:trPr>
        <w:tc>
          <w:tcPr>
            <w:tcW w:w="3227" w:type="dxa"/>
          </w:tcPr>
          <w:p w14:paraId="5FED29F5" w14:textId="77777777" w:rsidR="004079B4" w:rsidRPr="00FF1A77" w:rsidRDefault="002E0D61" w:rsidP="00F4402E">
            <w:pPr>
              <w:pStyle w:val="Tablefont"/>
            </w:pPr>
            <w:r w:rsidRPr="00FF1A77">
              <w:t>HCOTN</w:t>
            </w:r>
          </w:p>
        </w:tc>
        <w:tc>
          <w:tcPr>
            <w:tcW w:w="6015" w:type="dxa"/>
          </w:tcPr>
          <w:p w14:paraId="286F8115" w14:textId="63EEABB7" w:rsidR="002E0D61" w:rsidRPr="00FF1A77" w:rsidRDefault="00210427" w:rsidP="00DD2F9B">
            <w:pPr>
              <w:pStyle w:val="Tablefont"/>
            </w:pPr>
            <w:r w:rsidRPr="00FF1A77">
              <w:t>Skin</w:t>
            </w:r>
          </w:p>
        </w:tc>
      </w:tr>
      <w:tr w:rsidR="00386093" w:rsidRPr="00FF1A77" w14:paraId="44FB9D64" w14:textId="77777777" w:rsidTr="00812887">
        <w:trPr>
          <w:cantSplit/>
        </w:trPr>
        <w:tc>
          <w:tcPr>
            <w:tcW w:w="3227" w:type="dxa"/>
          </w:tcPr>
          <w:p w14:paraId="20C29712" w14:textId="77777777" w:rsidR="004079B4" w:rsidRPr="00FF1A77" w:rsidRDefault="00386093" w:rsidP="00F4402E">
            <w:pPr>
              <w:pStyle w:val="Tablefont"/>
            </w:pPr>
            <w:r w:rsidRPr="00FF1A77">
              <w:t>IARC</w:t>
            </w:r>
          </w:p>
        </w:tc>
        <w:tc>
          <w:tcPr>
            <w:tcW w:w="6015" w:type="dxa"/>
          </w:tcPr>
          <w:p w14:paraId="642A473B" w14:textId="4497EB73" w:rsidR="00386093" w:rsidRPr="00FF1A77" w:rsidRDefault="00C65CEC" w:rsidP="00DD2F9B">
            <w:pPr>
              <w:pStyle w:val="Tablefont"/>
            </w:pPr>
            <w:r w:rsidRPr="00FF1A77">
              <w:t>Carcinogenicity – Group 3</w:t>
            </w:r>
          </w:p>
        </w:tc>
      </w:tr>
      <w:tr w:rsidR="00386093" w:rsidRPr="00FF1A77" w14:paraId="0FA1D298" w14:textId="77777777" w:rsidTr="00812887">
        <w:trPr>
          <w:cantSplit/>
        </w:trPr>
        <w:tc>
          <w:tcPr>
            <w:tcW w:w="3227" w:type="dxa"/>
          </w:tcPr>
          <w:p w14:paraId="03D1E1F2" w14:textId="77777777" w:rsidR="004079B4" w:rsidRPr="00FF1A77" w:rsidRDefault="00386093" w:rsidP="00F4402E">
            <w:pPr>
              <w:pStyle w:val="Tablefont"/>
              <w:keepNext/>
            </w:pPr>
            <w:r w:rsidRPr="00FF1A77">
              <w:t>US NIOSH</w:t>
            </w:r>
          </w:p>
        </w:tc>
        <w:tc>
          <w:tcPr>
            <w:tcW w:w="6015" w:type="dxa"/>
          </w:tcPr>
          <w:p w14:paraId="25D5A183" w14:textId="3F791B55" w:rsidR="00386093" w:rsidRPr="00FF1A77" w:rsidRDefault="00210427" w:rsidP="00D87570">
            <w:pPr>
              <w:pStyle w:val="Tablefont"/>
              <w:keepNext/>
            </w:pPr>
            <w:r w:rsidRPr="00FF1A77">
              <w:t>NA</w:t>
            </w:r>
          </w:p>
        </w:tc>
      </w:tr>
    </w:tbl>
    <w:bookmarkEnd w:id="3"/>
    <w:p w14:paraId="4E18C6F1" w14:textId="77777777" w:rsidR="00485BFD" w:rsidRPr="00FF1A77" w:rsidRDefault="00485BFD" w:rsidP="00485BFD">
      <w:pPr>
        <w:pStyle w:val="Tablefooter"/>
      </w:pPr>
      <w:r w:rsidRPr="00FF1A77">
        <w:t>NA = not applicable (a recommendation has not been made by this Agency); —</w:t>
      </w:r>
      <w:r w:rsidR="00D87570" w:rsidRPr="00FF1A77">
        <w:t xml:space="preserve"> = the Agency has assessed available data for this chemical but has not recommended any notations</w:t>
      </w:r>
    </w:p>
    <w:p w14:paraId="2794EE75" w14:textId="77777777" w:rsidR="00474E33" w:rsidRPr="00FF1A77" w:rsidRDefault="00474E33" w:rsidP="00474E33">
      <w:pPr>
        <w:pStyle w:val="Heading3"/>
      </w:pPr>
      <w:r w:rsidRPr="00FF1A77">
        <w:lastRenderedPageBreak/>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FF1A77" w14:paraId="0FFB892A" w14:textId="77777777" w:rsidTr="00EA6243">
        <w:trPr>
          <w:cantSplit/>
          <w:tblHeader/>
        </w:trPr>
        <w:tc>
          <w:tcPr>
            <w:tcW w:w="5000" w:type="pct"/>
            <w:shd w:val="clear" w:color="auto" w:fill="BFBFBF" w:themeFill="background1" w:themeFillShade="BF"/>
            <w:vAlign w:val="center"/>
          </w:tcPr>
          <w:p w14:paraId="178CCF5B" w14:textId="77777777" w:rsidR="00932DCE" w:rsidRPr="00FF1A77" w:rsidRDefault="00932DCE" w:rsidP="00F4402E">
            <w:pPr>
              <w:pStyle w:val="Tableheader"/>
              <w:keepNext/>
              <w:tabs>
                <w:tab w:val="right" w:pos="8800"/>
              </w:tabs>
            </w:pPr>
            <w:bookmarkStart w:id="4" w:name="SkinNot"/>
            <w:r w:rsidRPr="00FF1A77">
              <w:t>Calculation</w:t>
            </w:r>
            <w:r w:rsidR="00177CA1" w:rsidRPr="00FF1A77">
              <w:tab/>
            </w:r>
          </w:p>
        </w:tc>
      </w:tr>
      <w:tr w:rsidR="00932DCE" w:rsidRPr="00FF1A77" w14:paraId="39B49CFD" w14:textId="77777777" w:rsidTr="00EA6243">
        <w:trPr>
          <w:cantSplit/>
          <w:tblHeader/>
        </w:trPr>
        <w:tc>
          <w:tcPr>
            <w:tcW w:w="5000" w:type="pct"/>
            <w:vAlign w:val="center"/>
          </w:tcPr>
          <w:tbl>
            <w:tblPr>
              <w:tblW w:w="8943" w:type="dxa"/>
              <w:tblLook w:val="04A0" w:firstRow="1" w:lastRow="0" w:firstColumn="1" w:lastColumn="0" w:noHBand="0" w:noVBand="1"/>
            </w:tblPr>
            <w:tblGrid>
              <w:gridCol w:w="4004"/>
              <w:gridCol w:w="768"/>
              <w:gridCol w:w="795"/>
              <w:gridCol w:w="3243"/>
            </w:tblGrid>
            <w:tr w:rsidR="006143AE" w:rsidRPr="00FF1A77" w14:paraId="16EA6973" w14:textId="77777777" w:rsidTr="002513AF">
              <w:trPr>
                <w:trHeight w:val="148"/>
              </w:trPr>
              <w:tc>
                <w:tcPr>
                  <w:tcW w:w="4067" w:type="dxa"/>
                  <w:tcBorders>
                    <w:top w:val="nil"/>
                    <w:left w:val="nil"/>
                    <w:bottom w:val="nil"/>
                    <w:right w:val="nil"/>
                  </w:tcBorders>
                  <w:shd w:val="clear" w:color="000000" w:fill="C5D9F1"/>
                  <w:noWrap/>
                  <w:vAlign w:val="center"/>
                  <w:hideMark/>
                </w:tcPr>
                <w:p w14:paraId="0979F94A" w14:textId="37307D7D" w:rsidR="006143AE" w:rsidRPr="00FF1A77" w:rsidRDefault="006143AE" w:rsidP="006143AE">
                  <w:pPr>
                    <w:spacing w:after="0" w:line="240" w:lineRule="auto"/>
                    <w:jc w:val="right"/>
                    <w:rPr>
                      <w:rFonts w:ascii="Segoe UI" w:eastAsia="Times New Roman" w:hAnsi="Segoe UI" w:cs="Segoe UI"/>
                      <w:color w:val="000000"/>
                      <w:sz w:val="18"/>
                      <w:szCs w:val="18"/>
                      <w:lang w:eastAsia="en-AU"/>
                    </w:rPr>
                  </w:pPr>
                  <w:r w:rsidRPr="00FF1A77">
                    <w:rPr>
                      <w:rFonts w:ascii="Segoe UI" w:hAnsi="Segoe UI" w:cs="Segoe UI"/>
                      <w:color w:val="000000"/>
                      <w:sz w:val="18"/>
                      <w:szCs w:val="18"/>
                    </w:rPr>
                    <w:t>Adverse effects in human case study:</w:t>
                  </w:r>
                </w:p>
              </w:tc>
              <w:tc>
                <w:tcPr>
                  <w:tcW w:w="777" w:type="dxa"/>
                  <w:tcBorders>
                    <w:top w:val="nil"/>
                    <w:left w:val="nil"/>
                    <w:bottom w:val="nil"/>
                    <w:right w:val="nil"/>
                  </w:tcBorders>
                  <w:shd w:val="clear" w:color="auto" w:fill="C6D9F1" w:themeFill="text2" w:themeFillTint="33"/>
                  <w:noWrap/>
                  <w:vAlign w:val="center"/>
                  <w:hideMark/>
                </w:tcPr>
                <w:p w14:paraId="275D4B93" w14:textId="06C154B0" w:rsidR="006143AE" w:rsidRPr="00FF1A77" w:rsidRDefault="006143AE" w:rsidP="006143AE">
                  <w:pPr>
                    <w:spacing w:after="0" w:line="240" w:lineRule="auto"/>
                    <w:jc w:val="center"/>
                    <w:rPr>
                      <w:rFonts w:ascii="Segoe UI" w:eastAsia="Times New Roman" w:hAnsi="Segoe UI" w:cs="Segoe UI"/>
                      <w:color w:val="9C6500"/>
                      <w:sz w:val="18"/>
                      <w:szCs w:val="18"/>
                      <w:lang w:eastAsia="en-AU"/>
                    </w:rPr>
                  </w:pPr>
                  <w:r w:rsidRPr="00FF1A77">
                    <w:rPr>
                      <w:rFonts w:ascii="Segoe UI" w:hAnsi="Segoe UI" w:cs="Segoe UI"/>
                      <w:color w:val="000000"/>
                      <w:sz w:val="18"/>
                      <w:szCs w:val="18"/>
                    </w:rPr>
                    <w:t>no</w:t>
                  </w:r>
                </w:p>
              </w:tc>
              <w:tc>
                <w:tcPr>
                  <w:tcW w:w="805" w:type="dxa"/>
                  <w:tcBorders>
                    <w:top w:val="nil"/>
                    <w:left w:val="nil"/>
                    <w:bottom w:val="nil"/>
                    <w:right w:val="nil"/>
                  </w:tcBorders>
                  <w:shd w:val="clear" w:color="000000" w:fill="C5D9F1"/>
                  <w:noWrap/>
                  <w:vAlign w:val="center"/>
                  <w:hideMark/>
                </w:tcPr>
                <w:p w14:paraId="41290904" w14:textId="7BFAB7A4" w:rsidR="006143AE" w:rsidRPr="00FF1A77" w:rsidRDefault="006143AE" w:rsidP="006143AE">
                  <w:pPr>
                    <w:spacing w:after="0" w:line="240" w:lineRule="auto"/>
                    <w:jc w:val="right"/>
                    <w:rPr>
                      <w:rFonts w:ascii="Segoe UI" w:eastAsia="Times New Roman" w:hAnsi="Segoe UI" w:cs="Segoe UI"/>
                      <w:color w:val="C5D9F1"/>
                      <w:sz w:val="18"/>
                      <w:szCs w:val="18"/>
                      <w:lang w:eastAsia="en-AU"/>
                    </w:rPr>
                  </w:pPr>
                  <w:r w:rsidRPr="00FF1A77">
                    <w:rPr>
                      <w:rFonts w:ascii="Segoe UI" w:hAnsi="Segoe UI" w:cs="Segoe UI"/>
                      <w:color w:val="C5D9F1"/>
                      <w:sz w:val="18"/>
                      <w:szCs w:val="18"/>
                    </w:rPr>
                    <w:t> </w:t>
                  </w:r>
                </w:p>
              </w:tc>
              <w:tc>
                <w:tcPr>
                  <w:tcW w:w="3294" w:type="dxa"/>
                  <w:tcBorders>
                    <w:top w:val="nil"/>
                    <w:left w:val="nil"/>
                    <w:bottom w:val="nil"/>
                    <w:right w:val="nil"/>
                  </w:tcBorders>
                  <w:shd w:val="clear" w:color="000000" w:fill="C5D9F1"/>
                  <w:noWrap/>
                  <w:vAlign w:val="center"/>
                  <w:hideMark/>
                </w:tcPr>
                <w:p w14:paraId="5E4BA449" w14:textId="025C05A7" w:rsidR="006143AE" w:rsidRPr="00FF1A77" w:rsidRDefault="006143AE" w:rsidP="006143AE">
                  <w:pPr>
                    <w:spacing w:after="0" w:line="240" w:lineRule="auto"/>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r>
            <w:tr w:rsidR="006143AE" w:rsidRPr="00FF1A77" w14:paraId="0B478E55" w14:textId="77777777" w:rsidTr="002513AF">
              <w:trPr>
                <w:trHeight w:val="148"/>
              </w:trPr>
              <w:tc>
                <w:tcPr>
                  <w:tcW w:w="4067" w:type="dxa"/>
                  <w:tcBorders>
                    <w:top w:val="nil"/>
                    <w:left w:val="nil"/>
                    <w:bottom w:val="nil"/>
                    <w:right w:val="nil"/>
                  </w:tcBorders>
                  <w:shd w:val="clear" w:color="000000" w:fill="C5D9F1"/>
                  <w:noWrap/>
                  <w:vAlign w:val="center"/>
                  <w:hideMark/>
                </w:tcPr>
                <w:p w14:paraId="39DC2DF4" w14:textId="16F1F501" w:rsidR="006143AE" w:rsidRPr="00FF1A77" w:rsidRDefault="006143AE" w:rsidP="006143AE">
                  <w:pPr>
                    <w:spacing w:after="0" w:line="240" w:lineRule="auto"/>
                    <w:jc w:val="right"/>
                    <w:rPr>
                      <w:rFonts w:ascii="Segoe UI" w:eastAsia="Times New Roman" w:hAnsi="Segoe UI" w:cs="Segoe UI"/>
                      <w:color w:val="000000"/>
                      <w:sz w:val="18"/>
                      <w:szCs w:val="18"/>
                      <w:lang w:eastAsia="en-AU"/>
                    </w:rPr>
                  </w:pPr>
                  <w:r w:rsidRPr="00FF1A77">
                    <w:rPr>
                      <w:rFonts w:ascii="Segoe UI" w:hAnsi="Segoe UI" w:cs="Segoe UI"/>
                      <w:color w:val="000000"/>
                      <w:sz w:val="18"/>
                      <w:szCs w:val="18"/>
                    </w:rPr>
                    <w:t>Dermal LD</w:t>
                  </w:r>
                  <w:r w:rsidRPr="00FF1A77">
                    <w:rPr>
                      <w:rFonts w:ascii="Segoe UI" w:hAnsi="Segoe UI" w:cs="Segoe UI"/>
                      <w:color w:val="000000"/>
                      <w:sz w:val="18"/>
                      <w:szCs w:val="18"/>
                      <w:vertAlign w:val="subscript"/>
                    </w:rPr>
                    <w:t>50</w:t>
                  </w:r>
                  <w:r w:rsidRPr="00FF1A77">
                    <w:rPr>
                      <w:rFonts w:ascii="Segoe UI" w:hAnsi="Segoe UI" w:cs="Segoe UI"/>
                      <w:color w:val="000000"/>
                      <w:sz w:val="18"/>
                      <w:szCs w:val="18"/>
                    </w:rPr>
                    <w:t xml:space="preserve"> ≤1000 mg/kg:</w:t>
                  </w:r>
                </w:p>
              </w:tc>
              <w:tc>
                <w:tcPr>
                  <w:tcW w:w="777" w:type="dxa"/>
                  <w:tcBorders>
                    <w:top w:val="nil"/>
                    <w:left w:val="nil"/>
                    <w:bottom w:val="nil"/>
                    <w:right w:val="nil"/>
                  </w:tcBorders>
                  <w:shd w:val="clear" w:color="000000" w:fill="FFEB9C"/>
                  <w:noWrap/>
                  <w:vAlign w:val="center"/>
                  <w:hideMark/>
                </w:tcPr>
                <w:p w14:paraId="4EDBC6ED" w14:textId="4BD08EC6" w:rsidR="006143AE" w:rsidRPr="00FF1A77" w:rsidRDefault="006143AE" w:rsidP="006143AE">
                  <w:pPr>
                    <w:spacing w:after="0" w:line="240" w:lineRule="auto"/>
                    <w:jc w:val="center"/>
                    <w:rPr>
                      <w:rFonts w:ascii="Segoe UI" w:eastAsia="Times New Roman" w:hAnsi="Segoe UI" w:cs="Segoe UI"/>
                      <w:color w:val="9C6500"/>
                      <w:sz w:val="18"/>
                      <w:szCs w:val="18"/>
                      <w:lang w:eastAsia="en-AU"/>
                    </w:rPr>
                  </w:pPr>
                  <w:r w:rsidRPr="00FF1A77">
                    <w:rPr>
                      <w:rFonts w:ascii="Segoe UI" w:hAnsi="Segoe UI" w:cs="Segoe UI"/>
                      <w:color w:val="9C6500"/>
                      <w:sz w:val="18"/>
                      <w:szCs w:val="18"/>
                    </w:rPr>
                    <w:t>yes</w:t>
                  </w:r>
                </w:p>
              </w:tc>
              <w:tc>
                <w:tcPr>
                  <w:tcW w:w="805" w:type="dxa"/>
                  <w:tcBorders>
                    <w:top w:val="nil"/>
                    <w:left w:val="nil"/>
                    <w:bottom w:val="nil"/>
                    <w:right w:val="nil"/>
                  </w:tcBorders>
                  <w:shd w:val="clear" w:color="000000" w:fill="C5D9F1"/>
                  <w:noWrap/>
                  <w:vAlign w:val="center"/>
                  <w:hideMark/>
                </w:tcPr>
                <w:p w14:paraId="606B5168" w14:textId="38AB805D" w:rsidR="006143AE" w:rsidRPr="00FF1A77" w:rsidRDefault="006143AE" w:rsidP="006143AE">
                  <w:pPr>
                    <w:spacing w:after="0" w:line="240" w:lineRule="auto"/>
                    <w:jc w:val="right"/>
                    <w:rPr>
                      <w:rFonts w:ascii="Segoe UI" w:eastAsia="Times New Roman" w:hAnsi="Segoe UI" w:cs="Segoe UI"/>
                      <w:color w:val="C5D9F1"/>
                      <w:sz w:val="18"/>
                      <w:szCs w:val="18"/>
                      <w:lang w:eastAsia="en-AU"/>
                    </w:rPr>
                  </w:pPr>
                  <w:r w:rsidRPr="00FF1A77">
                    <w:rPr>
                      <w:rFonts w:ascii="Segoe UI" w:hAnsi="Segoe UI" w:cs="Segoe UI"/>
                      <w:color w:val="C5D9F1"/>
                      <w:sz w:val="18"/>
                      <w:szCs w:val="18"/>
                    </w:rPr>
                    <w:t>3.00</w:t>
                  </w:r>
                </w:p>
              </w:tc>
              <w:tc>
                <w:tcPr>
                  <w:tcW w:w="3294" w:type="dxa"/>
                  <w:tcBorders>
                    <w:top w:val="nil"/>
                    <w:left w:val="nil"/>
                    <w:bottom w:val="nil"/>
                    <w:right w:val="nil"/>
                  </w:tcBorders>
                  <w:shd w:val="clear" w:color="000000" w:fill="C5D9F1"/>
                  <w:noWrap/>
                  <w:vAlign w:val="center"/>
                  <w:hideMark/>
                </w:tcPr>
                <w:p w14:paraId="101EDE6C" w14:textId="0811657E" w:rsidR="006143AE" w:rsidRPr="00FF1A77" w:rsidRDefault="006143AE" w:rsidP="006143AE">
                  <w:pPr>
                    <w:spacing w:after="0" w:line="240" w:lineRule="auto"/>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r>
            <w:tr w:rsidR="006143AE" w:rsidRPr="00FF1A77" w14:paraId="2EA4C77B" w14:textId="77777777" w:rsidTr="002513AF">
              <w:trPr>
                <w:trHeight w:val="148"/>
              </w:trPr>
              <w:tc>
                <w:tcPr>
                  <w:tcW w:w="4067" w:type="dxa"/>
                  <w:tcBorders>
                    <w:top w:val="nil"/>
                    <w:left w:val="nil"/>
                    <w:bottom w:val="nil"/>
                    <w:right w:val="nil"/>
                  </w:tcBorders>
                  <w:shd w:val="clear" w:color="000000" w:fill="C5D9F1"/>
                  <w:noWrap/>
                  <w:vAlign w:val="center"/>
                  <w:hideMark/>
                </w:tcPr>
                <w:p w14:paraId="532C1617" w14:textId="2EE98B49" w:rsidR="006143AE" w:rsidRPr="00FF1A77" w:rsidRDefault="006143AE" w:rsidP="006143AE">
                  <w:pPr>
                    <w:spacing w:after="0" w:line="240" w:lineRule="auto"/>
                    <w:jc w:val="right"/>
                    <w:rPr>
                      <w:rFonts w:ascii="Segoe UI" w:eastAsia="Times New Roman" w:hAnsi="Segoe UI" w:cs="Segoe UI"/>
                      <w:color w:val="000000"/>
                      <w:sz w:val="18"/>
                      <w:szCs w:val="18"/>
                      <w:lang w:eastAsia="en-AU"/>
                    </w:rPr>
                  </w:pPr>
                  <w:r w:rsidRPr="00FF1A77">
                    <w:rPr>
                      <w:rFonts w:ascii="Segoe UI" w:hAnsi="Segoe UI" w:cs="Segoe UI"/>
                      <w:color w:val="000000"/>
                      <w:sz w:val="18"/>
                      <w:szCs w:val="18"/>
                    </w:rPr>
                    <w:t>Dermal repeat-dose NOAEL ≤200 mg/kg:</w:t>
                  </w:r>
                </w:p>
              </w:tc>
              <w:tc>
                <w:tcPr>
                  <w:tcW w:w="777" w:type="dxa"/>
                  <w:tcBorders>
                    <w:top w:val="nil"/>
                    <w:left w:val="nil"/>
                    <w:bottom w:val="nil"/>
                    <w:right w:val="nil"/>
                  </w:tcBorders>
                  <w:shd w:val="clear" w:color="000000" w:fill="C5D9F1"/>
                  <w:noWrap/>
                  <w:vAlign w:val="center"/>
                  <w:hideMark/>
                </w:tcPr>
                <w:p w14:paraId="5D584792" w14:textId="6CCFCD19" w:rsidR="006143AE" w:rsidRPr="00FF1A77" w:rsidRDefault="006143AE" w:rsidP="006143AE">
                  <w:pPr>
                    <w:spacing w:after="0" w:line="240" w:lineRule="auto"/>
                    <w:jc w:val="center"/>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c>
                <w:tcPr>
                  <w:tcW w:w="805" w:type="dxa"/>
                  <w:tcBorders>
                    <w:top w:val="nil"/>
                    <w:left w:val="nil"/>
                    <w:bottom w:val="nil"/>
                    <w:right w:val="nil"/>
                  </w:tcBorders>
                  <w:shd w:val="clear" w:color="000000" w:fill="C5D9F1"/>
                  <w:noWrap/>
                  <w:vAlign w:val="center"/>
                  <w:hideMark/>
                </w:tcPr>
                <w:p w14:paraId="1EBE965D" w14:textId="356A83E9" w:rsidR="006143AE" w:rsidRPr="00FF1A77" w:rsidRDefault="006143AE" w:rsidP="006143AE">
                  <w:pPr>
                    <w:spacing w:after="0" w:line="240" w:lineRule="auto"/>
                    <w:rPr>
                      <w:rFonts w:ascii="Segoe UI" w:eastAsia="Times New Roman" w:hAnsi="Segoe UI" w:cs="Segoe UI"/>
                      <w:color w:val="C5D9F1"/>
                      <w:sz w:val="18"/>
                      <w:szCs w:val="18"/>
                      <w:lang w:eastAsia="en-AU"/>
                    </w:rPr>
                  </w:pPr>
                  <w:r w:rsidRPr="00FF1A77">
                    <w:rPr>
                      <w:rFonts w:ascii="Segoe UI" w:hAnsi="Segoe UI" w:cs="Segoe UI"/>
                      <w:color w:val="C5D9F1"/>
                      <w:sz w:val="18"/>
                      <w:szCs w:val="18"/>
                    </w:rPr>
                    <w:t> </w:t>
                  </w:r>
                </w:p>
              </w:tc>
              <w:tc>
                <w:tcPr>
                  <w:tcW w:w="3294" w:type="dxa"/>
                  <w:tcBorders>
                    <w:top w:val="nil"/>
                    <w:left w:val="nil"/>
                    <w:bottom w:val="nil"/>
                    <w:right w:val="nil"/>
                  </w:tcBorders>
                  <w:shd w:val="clear" w:color="000000" w:fill="C5D9F1"/>
                  <w:noWrap/>
                  <w:vAlign w:val="center"/>
                  <w:hideMark/>
                </w:tcPr>
                <w:p w14:paraId="109B3DF6" w14:textId="618AC57F" w:rsidR="006143AE" w:rsidRPr="00FF1A77" w:rsidRDefault="006143AE" w:rsidP="006143AE">
                  <w:pPr>
                    <w:spacing w:after="0" w:line="240" w:lineRule="auto"/>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r>
            <w:tr w:rsidR="006143AE" w:rsidRPr="00FF1A77" w14:paraId="294CAB3F" w14:textId="77777777" w:rsidTr="002513AF">
              <w:trPr>
                <w:trHeight w:val="148"/>
              </w:trPr>
              <w:tc>
                <w:tcPr>
                  <w:tcW w:w="4067" w:type="dxa"/>
                  <w:tcBorders>
                    <w:top w:val="nil"/>
                    <w:left w:val="nil"/>
                    <w:bottom w:val="nil"/>
                    <w:right w:val="nil"/>
                  </w:tcBorders>
                  <w:shd w:val="clear" w:color="000000" w:fill="C5D9F1"/>
                  <w:noWrap/>
                  <w:vAlign w:val="center"/>
                  <w:hideMark/>
                </w:tcPr>
                <w:p w14:paraId="02858D9B" w14:textId="361CAC49" w:rsidR="006143AE" w:rsidRPr="00FF1A77" w:rsidRDefault="006143AE" w:rsidP="006143AE">
                  <w:pPr>
                    <w:spacing w:after="0" w:line="240" w:lineRule="auto"/>
                    <w:jc w:val="right"/>
                    <w:rPr>
                      <w:rFonts w:ascii="Segoe UI" w:eastAsia="Times New Roman" w:hAnsi="Segoe UI" w:cs="Segoe UI"/>
                      <w:color w:val="000000"/>
                      <w:sz w:val="18"/>
                      <w:szCs w:val="18"/>
                      <w:lang w:eastAsia="en-AU"/>
                    </w:rPr>
                  </w:pPr>
                  <w:r w:rsidRPr="00FF1A77">
                    <w:rPr>
                      <w:rFonts w:ascii="Segoe UI" w:hAnsi="Segoe UI" w:cs="Segoe UI"/>
                      <w:color w:val="000000"/>
                      <w:sz w:val="18"/>
                      <w:szCs w:val="18"/>
                    </w:rPr>
                    <w:t>Dermal LD</w:t>
                  </w:r>
                  <w:r w:rsidRPr="00FF1A77">
                    <w:rPr>
                      <w:rFonts w:ascii="Segoe UI" w:hAnsi="Segoe UI" w:cs="Segoe UI"/>
                      <w:color w:val="000000"/>
                      <w:sz w:val="18"/>
                      <w:szCs w:val="18"/>
                      <w:vertAlign w:val="subscript"/>
                    </w:rPr>
                    <w:t>50</w:t>
                  </w:r>
                  <w:r w:rsidRPr="00FF1A77">
                    <w:rPr>
                      <w:rFonts w:ascii="Segoe UI" w:hAnsi="Segoe UI" w:cs="Segoe UI"/>
                      <w:color w:val="000000"/>
                      <w:sz w:val="18"/>
                      <w:szCs w:val="18"/>
                    </w:rPr>
                    <w:t>/Inhalation LD</w:t>
                  </w:r>
                  <w:r w:rsidRPr="00FF1A77">
                    <w:rPr>
                      <w:rFonts w:ascii="Segoe UI" w:hAnsi="Segoe UI" w:cs="Segoe UI"/>
                      <w:color w:val="000000"/>
                      <w:sz w:val="18"/>
                      <w:szCs w:val="18"/>
                      <w:vertAlign w:val="subscript"/>
                    </w:rPr>
                    <w:t>50</w:t>
                  </w:r>
                  <w:r w:rsidRPr="00FF1A77">
                    <w:rPr>
                      <w:rFonts w:ascii="Segoe UI" w:hAnsi="Segoe UI" w:cs="Segoe UI"/>
                      <w:color w:val="000000"/>
                      <w:sz w:val="18"/>
                      <w:szCs w:val="18"/>
                    </w:rPr>
                    <w:t xml:space="preserve"> &lt;10:</w:t>
                  </w:r>
                </w:p>
              </w:tc>
              <w:tc>
                <w:tcPr>
                  <w:tcW w:w="777" w:type="dxa"/>
                  <w:tcBorders>
                    <w:top w:val="nil"/>
                    <w:left w:val="nil"/>
                    <w:bottom w:val="nil"/>
                    <w:right w:val="nil"/>
                  </w:tcBorders>
                  <w:shd w:val="clear" w:color="000000" w:fill="C5D9F1"/>
                  <w:noWrap/>
                  <w:vAlign w:val="center"/>
                  <w:hideMark/>
                </w:tcPr>
                <w:p w14:paraId="58963791" w14:textId="7542D436" w:rsidR="006143AE" w:rsidRPr="00FF1A77" w:rsidRDefault="006143AE" w:rsidP="006143AE">
                  <w:pPr>
                    <w:spacing w:after="0" w:line="240" w:lineRule="auto"/>
                    <w:jc w:val="center"/>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c>
                <w:tcPr>
                  <w:tcW w:w="805" w:type="dxa"/>
                  <w:tcBorders>
                    <w:top w:val="nil"/>
                    <w:left w:val="nil"/>
                    <w:bottom w:val="nil"/>
                    <w:right w:val="nil"/>
                  </w:tcBorders>
                  <w:shd w:val="clear" w:color="000000" w:fill="C5D9F1"/>
                  <w:noWrap/>
                  <w:vAlign w:val="center"/>
                  <w:hideMark/>
                </w:tcPr>
                <w:p w14:paraId="15DEA1BA" w14:textId="28898A09" w:rsidR="006143AE" w:rsidRPr="00FF1A77" w:rsidRDefault="006143AE" w:rsidP="006143AE">
                  <w:pPr>
                    <w:spacing w:after="0" w:line="240" w:lineRule="auto"/>
                    <w:rPr>
                      <w:rFonts w:ascii="Segoe UI" w:eastAsia="Times New Roman" w:hAnsi="Segoe UI" w:cs="Segoe UI"/>
                      <w:color w:val="C5D9F1"/>
                      <w:sz w:val="18"/>
                      <w:szCs w:val="18"/>
                      <w:lang w:eastAsia="en-AU"/>
                    </w:rPr>
                  </w:pPr>
                  <w:r w:rsidRPr="00FF1A77">
                    <w:rPr>
                      <w:rFonts w:ascii="Segoe UI" w:hAnsi="Segoe UI" w:cs="Segoe UI"/>
                      <w:color w:val="C5D9F1"/>
                      <w:sz w:val="18"/>
                      <w:szCs w:val="18"/>
                    </w:rPr>
                    <w:t> </w:t>
                  </w:r>
                </w:p>
              </w:tc>
              <w:tc>
                <w:tcPr>
                  <w:tcW w:w="3294" w:type="dxa"/>
                  <w:tcBorders>
                    <w:top w:val="nil"/>
                    <w:left w:val="nil"/>
                    <w:bottom w:val="nil"/>
                    <w:right w:val="nil"/>
                  </w:tcBorders>
                  <w:shd w:val="clear" w:color="000000" w:fill="C5D9F1"/>
                  <w:noWrap/>
                  <w:vAlign w:val="center"/>
                  <w:hideMark/>
                </w:tcPr>
                <w:p w14:paraId="18EF2434" w14:textId="5DFE981D" w:rsidR="006143AE" w:rsidRPr="00FF1A77" w:rsidRDefault="006143AE" w:rsidP="006143AE">
                  <w:pPr>
                    <w:spacing w:after="0" w:line="240" w:lineRule="auto"/>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r>
            <w:tr w:rsidR="006143AE" w:rsidRPr="00FF1A77" w14:paraId="0185ACDC" w14:textId="77777777" w:rsidTr="002513AF">
              <w:trPr>
                <w:trHeight w:val="148"/>
              </w:trPr>
              <w:tc>
                <w:tcPr>
                  <w:tcW w:w="4067" w:type="dxa"/>
                  <w:tcBorders>
                    <w:top w:val="nil"/>
                    <w:left w:val="nil"/>
                    <w:bottom w:val="nil"/>
                    <w:right w:val="nil"/>
                  </w:tcBorders>
                  <w:shd w:val="clear" w:color="000000" w:fill="C5D9F1"/>
                  <w:noWrap/>
                  <w:vAlign w:val="center"/>
                  <w:hideMark/>
                </w:tcPr>
                <w:p w14:paraId="7D5246E1" w14:textId="28DB16F0" w:rsidR="006143AE" w:rsidRPr="00FF1A77" w:rsidRDefault="006143AE" w:rsidP="006143AE">
                  <w:pPr>
                    <w:spacing w:after="0" w:line="240" w:lineRule="auto"/>
                    <w:jc w:val="right"/>
                    <w:rPr>
                      <w:rFonts w:ascii="Segoe UI" w:eastAsia="Times New Roman" w:hAnsi="Segoe UI" w:cs="Segoe UI"/>
                      <w:i/>
                      <w:iCs/>
                      <w:color w:val="000000"/>
                      <w:sz w:val="18"/>
                      <w:szCs w:val="18"/>
                      <w:lang w:eastAsia="en-AU"/>
                    </w:rPr>
                  </w:pPr>
                  <w:r w:rsidRPr="00FF1A77">
                    <w:rPr>
                      <w:rFonts w:ascii="Segoe UI" w:hAnsi="Segoe UI" w:cs="Segoe UI"/>
                      <w:i/>
                      <w:iCs/>
                      <w:color w:val="000000"/>
                      <w:sz w:val="18"/>
                      <w:szCs w:val="18"/>
                    </w:rPr>
                    <w:t>In vivo</w:t>
                  </w:r>
                  <w:r w:rsidRPr="00FF1A77">
                    <w:rPr>
                      <w:rFonts w:ascii="Segoe UI" w:hAnsi="Segoe UI" w:cs="Segoe UI"/>
                      <w:color w:val="000000"/>
                      <w:sz w:val="18"/>
                      <w:szCs w:val="18"/>
                    </w:rPr>
                    <w:t xml:space="preserve"> dermal absorption rate &gt;10%:</w:t>
                  </w:r>
                </w:p>
              </w:tc>
              <w:tc>
                <w:tcPr>
                  <w:tcW w:w="777" w:type="dxa"/>
                  <w:tcBorders>
                    <w:top w:val="nil"/>
                    <w:left w:val="nil"/>
                    <w:bottom w:val="nil"/>
                    <w:right w:val="nil"/>
                  </w:tcBorders>
                  <w:shd w:val="clear" w:color="000000" w:fill="C5D9F1"/>
                  <w:noWrap/>
                  <w:vAlign w:val="center"/>
                  <w:hideMark/>
                </w:tcPr>
                <w:p w14:paraId="58763261" w14:textId="741B5EDD" w:rsidR="006143AE" w:rsidRPr="00FF1A77" w:rsidRDefault="006143AE" w:rsidP="006143AE">
                  <w:pPr>
                    <w:spacing w:after="0" w:line="240" w:lineRule="auto"/>
                    <w:jc w:val="center"/>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c>
                <w:tcPr>
                  <w:tcW w:w="805" w:type="dxa"/>
                  <w:tcBorders>
                    <w:top w:val="nil"/>
                    <w:left w:val="nil"/>
                    <w:bottom w:val="nil"/>
                    <w:right w:val="nil"/>
                  </w:tcBorders>
                  <w:shd w:val="clear" w:color="000000" w:fill="C5D9F1"/>
                  <w:noWrap/>
                  <w:vAlign w:val="center"/>
                  <w:hideMark/>
                </w:tcPr>
                <w:p w14:paraId="49778AD4" w14:textId="52B3071B" w:rsidR="006143AE" w:rsidRPr="00FF1A77" w:rsidRDefault="006143AE" w:rsidP="006143AE">
                  <w:pPr>
                    <w:spacing w:after="0" w:line="240" w:lineRule="auto"/>
                    <w:rPr>
                      <w:rFonts w:ascii="Segoe UI" w:eastAsia="Times New Roman" w:hAnsi="Segoe UI" w:cs="Segoe UI"/>
                      <w:color w:val="C5D9F1"/>
                      <w:sz w:val="18"/>
                      <w:szCs w:val="18"/>
                      <w:lang w:eastAsia="en-AU"/>
                    </w:rPr>
                  </w:pPr>
                  <w:r w:rsidRPr="00FF1A77">
                    <w:rPr>
                      <w:rFonts w:ascii="Segoe UI" w:hAnsi="Segoe UI" w:cs="Segoe UI"/>
                      <w:color w:val="C5D9F1"/>
                      <w:sz w:val="18"/>
                      <w:szCs w:val="18"/>
                    </w:rPr>
                    <w:t> </w:t>
                  </w:r>
                </w:p>
              </w:tc>
              <w:tc>
                <w:tcPr>
                  <w:tcW w:w="3294" w:type="dxa"/>
                  <w:tcBorders>
                    <w:top w:val="nil"/>
                    <w:left w:val="nil"/>
                    <w:bottom w:val="nil"/>
                    <w:right w:val="nil"/>
                  </w:tcBorders>
                  <w:shd w:val="clear" w:color="000000" w:fill="C5D9F1"/>
                  <w:noWrap/>
                  <w:vAlign w:val="center"/>
                  <w:hideMark/>
                </w:tcPr>
                <w:p w14:paraId="0A15CDD2" w14:textId="46A63A9B" w:rsidR="006143AE" w:rsidRPr="00FF1A77" w:rsidRDefault="006143AE" w:rsidP="006143AE">
                  <w:pPr>
                    <w:spacing w:after="0" w:line="240" w:lineRule="auto"/>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r>
            <w:tr w:rsidR="006143AE" w:rsidRPr="00FF1A77" w14:paraId="53A9392A" w14:textId="77777777" w:rsidTr="002513AF">
              <w:trPr>
                <w:trHeight w:val="148"/>
              </w:trPr>
              <w:tc>
                <w:tcPr>
                  <w:tcW w:w="4067" w:type="dxa"/>
                  <w:tcBorders>
                    <w:top w:val="nil"/>
                    <w:left w:val="nil"/>
                    <w:bottom w:val="nil"/>
                    <w:right w:val="nil"/>
                  </w:tcBorders>
                  <w:shd w:val="clear" w:color="000000" w:fill="C5D9F1"/>
                  <w:noWrap/>
                  <w:vAlign w:val="center"/>
                  <w:hideMark/>
                </w:tcPr>
                <w:p w14:paraId="004536E9" w14:textId="48B4FA66" w:rsidR="006143AE" w:rsidRPr="00FF1A77" w:rsidRDefault="006143AE" w:rsidP="006143AE">
                  <w:pPr>
                    <w:spacing w:after="0" w:line="240" w:lineRule="auto"/>
                    <w:jc w:val="right"/>
                    <w:rPr>
                      <w:rFonts w:ascii="Segoe UI" w:eastAsia="Times New Roman" w:hAnsi="Segoe UI" w:cs="Segoe UI"/>
                      <w:color w:val="000000"/>
                      <w:sz w:val="18"/>
                      <w:szCs w:val="18"/>
                      <w:lang w:eastAsia="en-AU"/>
                    </w:rPr>
                  </w:pPr>
                  <w:r w:rsidRPr="00FF1A77">
                    <w:rPr>
                      <w:rFonts w:ascii="Segoe UI" w:hAnsi="Segoe UI" w:cs="Segoe UI"/>
                      <w:color w:val="000000"/>
                      <w:sz w:val="18"/>
                      <w:szCs w:val="18"/>
                    </w:rPr>
                    <w:t>Estimated dermal exposure at WES &gt;10%:</w:t>
                  </w:r>
                </w:p>
              </w:tc>
              <w:tc>
                <w:tcPr>
                  <w:tcW w:w="777" w:type="dxa"/>
                  <w:tcBorders>
                    <w:top w:val="nil"/>
                    <w:left w:val="nil"/>
                    <w:bottom w:val="nil"/>
                    <w:right w:val="nil"/>
                  </w:tcBorders>
                  <w:shd w:val="clear" w:color="000000" w:fill="C5D9F1"/>
                  <w:noWrap/>
                  <w:vAlign w:val="center"/>
                  <w:hideMark/>
                </w:tcPr>
                <w:p w14:paraId="7A584AF4" w14:textId="5C6DEC39" w:rsidR="006143AE" w:rsidRPr="00FF1A77" w:rsidRDefault="006143AE" w:rsidP="006143AE">
                  <w:pPr>
                    <w:spacing w:after="0" w:line="240" w:lineRule="auto"/>
                    <w:jc w:val="center"/>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c>
                <w:tcPr>
                  <w:tcW w:w="805" w:type="dxa"/>
                  <w:tcBorders>
                    <w:top w:val="nil"/>
                    <w:left w:val="nil"/>
                    <w:bottom w:val="nil"/>
                    <w:right w:val="nil"/>
                  </w:tcBorders>
                  <w:shd w:val="clear" w:color="000000" w:fill="C5D9F1"/>
                  <w:noWrap/>
                  <w:vAlign w:val="center"/>
                  <w:hideMark/>
                </w:tcPr>
                <w:p w14:paraId="284074D4" w14:textId="6B7A75D7" w:rsidR="006143AE" w:rsidRPr="00FF1A77" w:rsidRDefault="006143AE" w:rsidP="006143AE">
                  <w:pPr>
                    <w:spacing w:after="0" w:line="240" w:lineRule="auto"/>
                    <w:rPr>
                      <w:rFonts w:ascii="Segoe UI" w:eastAsia="Times New Roman" w:hAnsi="Segoe UI" w:cs="Segoe UI"/>
                      <w:color w:val="C5D9F1"/>
                      <w:sz w:val="18"/>
                      <w:szCs w:val="18"/>
                      <w:lang w:eastAsia="en-AU"/>
                    </w:rPr>
                  </w:pPr>
                  <w:r w:rsidRPr="00FF1A77">
                    <w:rPr>
                      <w:rFonts w:ascii="Segoe UI" w:hAnsi="Segoe UI" w:cs="Segoe UI"/>
                      <w:color w:val="C5D9F1"/>
                      <w:sz w:val="18"/>
                      <w:szCs w:val="18"/>
                    </w:rPr>
                    <w:t> </w:t>
                  </w:r>
                </w:p>
              </w:tc>
              <w:tc>
                <w:tcPr>
                  <w:tcW w:w="3294" w:type="dxa"/>
                  <w:tcBorders>
                    <w:top w:val="nil"/>
                    <w:left w:val="nil"/>
                    <w:bottom w:val="nil"/>
                    <w:right w:val="nil"/>
                  </w:tcBorders>
                  <w:shd w:val="clear" w:color="000000" w:fill="C5D9F1"/>
                  <w:noWrap/>
                  <w:vAlign w:val="center"/>
                  <w:hideMark/>
                </w:tcPr>
                <w:p w14:paraId="4BCEB2AB" w14:textId="45C4BD72" w:rsidR="006143AE" w:rsidRPr="00FF1A77" w:rsidRDefault="006143AE" w:rsidP="006143AE">
                  <w:pPr>
                    <w:spacing w:after="0" w:line="240" w:lineRule="auto"/>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r>
            <w:tr w:rsidR="006143AE" w:rsidRPr="00FF1A77" w14:paraId="779DBE36" w14:textId="77777777" w:rsidTr="002513AF">
              <w:trPr>
                <w:trHeight w:val="148"/>
              </w:trPr>
              <w:tc>
                <w:tcPr>
                  <w:tcW w:w="4067" w:type="dxa"/>
                  <w:tcBorders>
                    <w:top w:val="nil"/>
                    <w:left w:val="nil"/>
                    <w:bottom w:val="nil"/>
                    <w:right w:val="nil"/>
                  </w:tcBorders>
                  <w:shd w:val="clear" w:color="000000" w:fill="C5D9F1"/>
                  <w:noWrap/>
                  <w:vAlign w:val="center"/>
                  <w:hideMark/>
                </w:tcPr>
                <w:p w14:paraId="1E02E171" w14:textId="7337C757" w:rsidR="006143AE" w:rsidRPr="00FF1A77" w:rsidRDefault="006143AE" w:rsidP="006143AE">
                  <w:pPr>
                    <w:spacing w:after="0" w:line="240" w:lineRule="auto"/>
                    <w:jc w:val="right"/>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c>
                <w:tcPr>
                  <w:tcW w:w="777" w:type="dxa"/>
                  <w:tcBorders>
                    <w:top w:val="nil"/>
                    <w:left w:val="nil"/>
                    <w:bottom w:val="nil"/>
                    <w:right w:val="nil"/>
                  </w:tcBorders>
                  <w:shd w:val="clear" w:color="000000" w:fill="C5D9F1"/>
                  <w:noWrap/>
                  <w:vAlign w:val="center"/>
                  <w:hideMark/>
                </w:tcPr>
                <w:p w14:paraId="6F8F7614" w14:textId="6B8B5EF3" w:rsidR="006143AE" w:rsidRPr="00FF1A77" w:rsidRDefault="006143AE" w:rsidP="006143AE">
                  <w:pPr>
                    <w:spacing w:after="0" w:line="240" w:lineRule="auto"/>
                    <w:jc w:val="center"/>
                    <w:rPr>
                      <w:rFonts w:ascii="Segoe UI" w:eastAsia="Times New Roman" w:hAnsi="Segoe UI" w:cs="Segoe UI"/>
                      <w:color w:val="000000"/>
                      <w:sz w:val="18"/>
                      <w:szCs w:val="18"/>
                      <w:lang w:eastAsia="en-AU"/>
                    </w:rPr>
                  </w:pPr>
                  <w:r w:rsidRPr="00FF1A77">
                    <w:rPr>
                      <w:rFonts w:ascii="Segoe UI" w:hAnsi="Segoe UI" w:cs="Segoe UI"/>
                      <w:color w:val="000000"/>
                      <w:sz w:val="18"/>
                      <w:szCs w:val="18"/>
                    </w:rPr>
                    <w:t> </w:t>
                  </w:r>
                </w:p>
              </w:tc>
              <w:tc>
                <w:tcPr>
                  <w:tcW w:w="805" w:type="dxa"/>
                  <w:tcBorders>
                    <w:top w:val="nil"/>
                    <w:left w:val="nil"/>
                    <w:bottom w:val="nil"/>
                    <w:right w:val="nil"/>
                  </w:tcBorders>
                  <w:shd w:val="clear" w:color="000000" w:fill="C5D9F1"/>
                  <w:noWrap/>
                  <w:vAlign w:val="center"/>
                  <w:hideMark/>
                </w:tcPr>
                <w:p w14:paraId="6DB1C8C9" w14:textId="48653339" w:rsidR="006143AE" w:rsidRPr="00FF1A77" w:rsidRDefault="006143AE" w:rsidP="006143AE">
                  <w:pPr>
                    <w:spacing w:after="0" w:line="240" w:lineRule="auto"/>
                    <w:jc w:val="right"/>
                    <w:rPr>
                      <w:rFonts w:ascii="Segoe UI" w:eastAsia="Times New Roman" w:hAnsi="Segoe UI" w:cs="Segoe UI"/>
                      <w:color w:val="C5D9F1"/>
                      <w:sz w:val="18"/>
                      <w:szCs w:val="18"/>
                      <w:lang w:eastAsia="en-AU"/>
                    </w:rPr>
                  </w:pPr>
                  <w:r w:rsidRPr="00FF1A77">
                    <w:rPr>
                      <w:rFonts w:ascii="Segoe UI" w:hAnsi="Segoe UI" w:cs="Segoe UI"/>
                      <w:color w:val="C5D9F1"/>
                      <w:sz w:val="18"/>
                      <w:szCs w:val="18"/>
                    </w:rPr>
                    <w:t>3</w:t>
                  </w:r>
                </w:p>
              </w:tc>
              <w:tc>
                <w:tcPr>
                  <w:tcW w:w="3294" w:type="dxa"/>
                  <w:tcBorders>
                    <w:top w:val="nil"/>
                    <w:left w:val="nil"/>
                    <w:bottom w:val="nil"/>
                    <w:right w:val="nil"/>
                  </w:tcBorders>
                  <w:shd w:val="clear" w:color="000000" w:fill="C5D9F1"/>
                  <w:noWrap/>
                  <w:vAlign w:val="center"/>
                  <w:hideMark/>
                </w:tcPr>
                <w:p w14:paraId="5870BA09" w14:textId="37996587" w:rsidR="006143AE" w:rsidRPr="00FF1A77" w:rsidRDefault="006143AE" w:rsidP="006143AE">
                  <w:pPr>
                    <w:spacing w:after="0" w:line="240" w:lineRule="auto"/>
                    <w:rPr>
                      <w:rFonts w:ascii="Segoe UI" w:eastAsia="Times New Roman" w:hAnsi="Segoe UI" w:cs="Segoe UI"/>
                      <w:b/>
                      <w:bCs/>
                      <w:color w:val="000000"/>
                      <w:sz w:val="18"/>
                      <w:szCs w:val="18"/>
                      <w:lang w:eastAsia="en-AU"/>
                    </w:rPr>
                  </w:pPr>
                  <w:r w:rsidRPr="00FF1A77">
                    <w:rPr>
                      <w:rFonts w:ascii="Segoe UI" w:hAnsi="Segoe UI" w:cs="Segoe UI"/>
                      <w:b/>
                      <w:bCs/>
                      <w:color w:val="000000"/>
                      <w:sz w:val="18"/>
                      <w:szCs w:val="18"/>
                    </w:rPr>
                    <w:t>consider assigning a skin notation</w:t>
                  </w:r>
                </w:p>
              </w:tc>
            </w:tr>
          </w:tbl>
          <w:p w14:paraId="3FC9BF17" w14:textId="77777777" w:rsidR="00932DCE" w:rsidRPr="00FF1A77" w:rsidRDefault="00932DCE" w:rsidP="00F9496B">
            <w:pPr>
              <w:pStyle w:val="Tablefont"/>
            </w:pPr>
          </w:p>
        </w:tc>
      </w:tr>
    </w:tbl>
    <w:bookmarkEnd w:id="4"/>
    <w:p w14:paraId="60F76243" w14:textId="77777777" w:rsidR="00EB3D1B" w:rsidRPr="00FF1A77" w:rsidRDefault="00EB3D1B" w:rsidP="00EB3D1B">
      <w:pPr>
        <w:pStyle w:val="Heading3"/>
      </w:pPr>
      <w:r w:rsidRPr="00FF1A77">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9"/>
        <w:gridCol w:w="4757"/>
      </w:tblGrid>
      <w:tr w:rsidR="00EB3D1B" w:rsidRPr="00FF1A77" w14:paraId="53E805DA" w14:textId="77777777" w:rsidTr="00610F2E">
        <w:trPr>
          <w:trHeight w:val="454"/>
          <w:tblHeader/>
        </w:trPr>
        <w:tc>
          <w:tcPr>
            <w:tcW w:w="4361" w:type="dxa"/>
            <w:vAlign w:val="center"/>
          </w:tcPr>
          <w:p w14:paraId="0D8181B4" w14:textId="77777777" w:rsidR="00EB3D1B" w:rsidRPr="00FF1A77" w:rsidRDefault="00EB3D1B" w:rsidP="00D87570">
            <w:pPr>
              <w:pStyle w:val="Tablefont"/>
            </w:pPr>
            <w:r w:rsidRPr="00FF1A77">
              <w:t xml:space="preserve">Is there a </w:t>
            </w:r>
            <w:r w:rsidR="006E5D05" w:rsidRPr="00FF1A77">
              <w:t>suitable</w:t>
            </w:r>
            <w:r w:rsidRPr="00FF1A77">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3C59964E" w14:textId="704009E7" w:rsidR="00EB3D1B" w:rsidRPr="00FF1A77" w:rsidRDefault="00210427" w:rsidP="00EB3D1B">
                <w:pPr>
                  <w:pStyle w:val="Tablefont"/>
                </w:pPr>
                <w:r w:rsidRPr="00FF1A77">
                  <w:t>No</w:t>
                </w:r>
              </w:p>
            </w:tc>
          </w:sdtContent>
        </w:sdt>
      </w:tr>
    </w:tbl>
    <w:p w14:paraId="07355C08" w14:textId="77777777" w:rsidR="00687890" w:rsidRPr="00FF1A77" w:rsidRDefault="00B479A9" w:rsidP="00474E33">
      <w:pPr>
        <w:pStyle w:val="Heading2"/>
      </w:pPr>
      <w:r w:rsidRPr="00FF1A77">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FF1A77" w14:paraId="02B30200" w14:textId="77777777" w:rsidTr="00EA6243">
        <w:trPr>
          <w:cantSplit/>
          <w:tblHeader/>
        </w:trPr>
        <w:tc>
          <w:tcPr>
            <w:tcW w:w="4077" w:type="dxa"/>
            <w:vAlign w:val="center"/>
          </w:tcPr>
          <w:p w14:paraId="25185E99" w14:textId="77777777" w:rsidR="001B79E5" w:rsidRPr="00FF1A77" w:rsidRDefault="001B79E5" w:rsidP="00A31D99">
            <w:pPr>
              <w:pStyle w:val="Tablefont"/>
            </w:pPr>
            <w:r w:rsidRPr="00FF1A77">
              <w:t>Molecular weight:</w:t>
            </w:r>
          </w:p>
        </w:tc>
        <w:sdt>
          <w:sdtPr>
            <w:id w:val="2058126578"/>
            <w:placeholder>
              <w:docPart w:val="0DAD3FB9ACEF4778B961F088737E2361"/>
            </w:placeholder>
          </w:sdtPr>
          <w:sdtEndPr/>
          <w:sdtContent>
            <w:tc>
              <w:tcPr>
                <w:tcW w:w="5165" w:type="dxa"/>
                <w:vAlign w:val="center"/>
              </w:tcPr>
              <w:p w14:paraId="32F1D632" w14:textId="21BC2614" w:rsidR="001B79E5" w:rsidRPr="00FF1A77" w:rsidRDefault="00210427" w:rsidP="001B79E5">
                <w:pPr>
                  <w:pStyle w:val="Tablefont"/>
                </w:pPr>
                <w:r w:rsidRPr="00FF1A77">
                  <w:t>99.17</w:t>
                </w:r>
              </w:p>
            </w:tc>
          </w:sdtContent>
        </w:sdt>
      </w:tr>
      <w:tr w:rsidR="00A31D99" w:rsidRPr="00FF1A77" w14:paraId="0B18E27D" w14:textId="77777777" w:rsidTr="00EA6243">
        <w:trPr>
          <w:cantSplit/>
          <w:tblHeader/>
        </w:trPr>
        <w:tc>
          <w:tcPr>
            <w:tcW w:w="4077" w:type="dxa"/>
            <w:vAlign w:val="center"/>
          </w:tcPr>
          <w:p w14:paraId="28607891" w14:textId="77777777" w:rsidR="00A31D99" w:rsidRPr="00FF1A77" w:rsidRDefault="00A31D99" w:rsidP="00A31D99">
            <w:pPr>
              <w:pStyle w:val="Tablefont"/>
            </w:pPr>
            <w:r w:rsidRPr="00FF1A77">
              <w:t>Conversion factors at 25</w:t>
            </w:r>
            <w:r w:rsidRPr="00FF1A77">
              <w:rPr>
                <w:rFonts w:cs="Arial"/>
              </w:rPr>
              <w:t>°</w:t>
            </w:r>
            <w:r w:rsidRPr="00FF1A77">
              <w:t xml:space="preserve">C and 101.3 </w:t>
            </w:r>
            <w:proofErr w:type="spellStart"/>
            <w:r w:rsidRPr="00FF1A77">
              <w:t>kPa</w:t>
            </w:r>
            <w:proofErr w:type="spellEnd"/>
            <w:r w:rsidRPr="00FF1A77">
              <w:t xml:space="preserve">: </w:t>
            </w:r>
          </w:p>
        </w:tc>
        <w:tc>
          <w:tcPr>
            <w:tcW w:w="5165" w:type="dxa"/>
            <w:vAlign w:val="center"/>
          </w:tcPr>
          <w:p w14:paraId="17FE1FDB" w14:textId="4DB10EE1" w:rsidR="00A31D99" w:rsidRPr="00FF1A77" w:rsidRDefault="00A0643F" w:rsidP="00A174CC">
            <w:pPr>
              <w:pStyle w:val="Tablefont"/>
            </w:pPr>
            <w:r w:rsidRPr="00FF1A77">
              <w:t xml:space="preserve">1 ppm = </w:t>
            </w:r>
            <w:sdt>
              <w:sdtPr>
                <w:id w:val="-371151491"/>
                <w:placeholder>
                  <w:docPart w:val="A7231FB73EFF4B2B92EB3BD21C0CEA01"/>
                </w:placeholder>
              </w:sdtPr>
              <w:sdtEndPr/>
              <w:sdtContent>
                <w:r w:rsidR="00210427" w:rsidRPr="00FF1A77">
                  <w:t>4.05</w:t>
                </w:r>
              </w:sdtContent>
            </w:sdt>
            <w:r w:rsidRPr="00FF1A77">
              <w:t xml:space="preserve"> mg/m</w:t>
            </w:r>
            <w:r w:rsidRPr="00FF1A77">
              <w:rPr>
                <w:vertAlign w:val="superscript"/>
              </w:rPr>
              <w:t>3</w:t>
            </w:r>
            <w:r w:rsidRPr="00FF1A77">
              <w:t>; 1 mg/m</w:t>
            </w:r>
            <w:r w:rsidRPr="00FF1A77">
              <w:rPr>
                <w:vertAlign w:val="superscript"/>
              </w:rPr>
              <w:t>3</w:t>
            </w:r>
            <w:r w:rsidRPr="00FF1A77">
              <w:t xml:space="preserve"> = </w:t>
            </w:r>
            <w:sdt>
              <w:sdtPr>
                <w:id w:val="-1913150218"/>
                <w:placeholder>
                  <w:docPart w:val="5D98FA8C84704C71B6F1557317AE5303"/>
                </w:placeholder>
              </w:sdtPr>
              <w:sdtEndPr/>
              <w:sdtContent>
                <w:r w:rsidR="00210427" w:rsidRPr="00FF1A77">
                  <w:t>0.247</w:t>
                </w:r>
              </w:sdtContent>
            </w:sdt>
            <w:r w:rsidRPr="00FF1A77">
              <w:t xml:space="preserve"> ppm</w:t>
            </w:r>
          </w:p>
        </w:tc>
      </w:tr>
      <w:tr w:rsidR="00687890" w:rsidRPr="00FF1A77" w14:paraId="4195C35A" w14:textId="77777777" w:rsidTr="00EA6243">
        <w:trPr>
          <w:cantSplit/>
          <w:tblHeader/>
        </w:trPr>
        <w:tc>
          <w:tcPr>
            <w:tcW w:w="4077" w:type="dxa"/>
            <w:vAlign w:val="center"/>
          </w:tcPr>
          <w:p w14:paraId="54B5854A" w14:textId="77777777" w:rsidR="00687890" w:rsidRPr="00FF1A77" w:rsidRDefault="00687890" w:rsidP="00263255">
            <w:pPr>
              <w:pStyle w:val="Tablefont"/>
            </w:pPr>
            <w:r w:rsidRPr="00FF1A77">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52C74458" w14:textId="77777777" w:rsidR="00687890" w:rsidRPr="00FF1A77" w:rsidRDefault="00E46BCB" w:rsidP="00717D45">
                <w:pPr>
                  <w:pStyle w:val="Tablefont"/>
                </w:pPr>
                <w:r w:rsidRPr="00FF1A77">
                  <w:rPr>
                    <w:rFonts w:ascii="MS Gothic" w:eastAsia="MS Gothic" w:hAnsi="MS Gothic" w:cs="MS Gothic"/>
                  </w:rPr>
                  <w:t>☐</w:t>
                </w:r>
              </w:p>
            </w:tc>
          </w:sdtContent>
        </w:sdt>
      </w:tr>
      <w:tr w:rsidR="00687890" w:rsidRPr="00FF1A77" w14:paraId="340FD7A6" w14:textId="77777777" w:rsidTr="00EA6243">
        <w:trPr>
          <w:cantSplit/>
        </w:trPr>
        <w:tc>
          <w:tcPr>
            <w:tcW w:w="4077" w:type="dxa"/>
            <w:vAlign w:val="center"/>
          </w:tcPr>
          <w:p w14:paraId="2974364D" w14:textId="77777777" w:rsidR="00687890" w:rsidRPr="00FF1A77" w:rsidRDefault="00687890" w:rsidP="00263255">
            <w:pPr>
              <w:pStyle w:val="Tablefont"/>
            </w:pPr>
            <w:r w:rsidRPr="00FF1A77">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6A54034F" w14:textId="604D7A28" w:rsidR="00687890" w:rsidRPr="00FF1A77" w:rsidRDefault="002513AF" w:rsidP="00717D45">
                <w:pPr>
                  <w:pStyle w:val="Tablefont"/>
                </w:pPr>
                <w:r w:rsidRPr="00FF1A77">
                  <w:rPr>
                    <w:rFonts w:ascii="MS Gothic" w:eastAsia="MS Gothic" w:hAnsi="MS Gothic"/>
                  </w:rPr>
                  <w:t>☐</w:t>
                </w:r>
              </w:p>
            </w:tc>
          </w:sdtContent>
        </w:sdt>
      </w:tr>
      <w:tr w:rsidR="00687890" w:rsidRPr="00FF1A77" w14:paraId="62354CE3" w14:textId="77777777" w:rsidTr="00EA6243">
        <w:trPr>
          <w:cantSplit/>
        </w:trPr>
        <w:tc>
          <w:tcPr>
            <w:tcW w:w="4077" w:type="dxa"/>
            <w:vAlign w:val="center"/>
          </w:tcPr>
          <w:p w14:paraId="5ED0CEFF" w14:textId="77777777" w:rsidR="00687890" w:rsidRPr="00FF1A77" w:rsidRDefault="00687890" w:rsidP="00263255">
            <w:pPr>
              <w:pStyle w:val="Tablefont"/>
            </w:pPr>
            <w:r w:rsidRPr="00FF1A77">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0BA208B9" w14:textId="77777777" w:rsidR="00687890" w:rsidRPr="00FF1A77" w:rsidRDefault="00687890" w:rsidP="00717D45">
                <w:pPr>
                  <w:pStyle w:val="Tablefont"/>
                </w:pPr>
                <w:r w:rsidRPr="00FF1A77">
                  <w:rPr>
                    <w:rFonts w:ascii="MS Gothic" w:eastAsia="MS Gothic" w:hAnsi="MS Gothic" w:cs="MS Gothic"/>
                  </w:rPr>
                  <w:t>☐</w:t>
                </w:r>
              </w:p>
            </w:tc>
          </w:sdtContent>
        </w:sdt>
      </w:tr>
      <w:tr w:rsidR="00E06F40" w:rsidRPr="00FF1A77" w14:paraId="149D05EF" w14:textId="77777777" w:rsidTr="00EA6243">
        <w:trPr>
          <w:cantSplit/>
        </w:trPr>
        <w:tc>
          <w:tcPr>
            <w:tcW w:w="4077" w:type="dxa"/>
            <w:vAlign w:val="center"/>
          </w:tcPr>
          <w:p w14:paraId="31D39CB2" w14:textId="77777777" w:rsidR="00E06F40" w:rsidRPr="00FF1A77" w:rsidRDefault="00E06F40" w:rsidP="00084513">
            <w:pPr>
              <w:pStyle w:val="Tablefont"/>
            </w:pPr>
            <w:r w:rsidRPr="00FF1A77">
              <w:t xml:space="preserve">A biological exposure index has been recommended by </w:t>
            </w:r>
            <w:r w:rsidR="00084513" w:rsidRPr="00FF1A77">
              <w:t>these agencies</w:t>
            </w:r>
            <w:r w:rsidRPr="00FF1A77">
              <w:t>:</w:t>
            </w:r>
          </w:p>
        </w:tc>
        <w:tc>
          <w:tcPr>
            <w:tcW w:w="5165" w:type="dxa"/>
            <w:vAlign w:val="center"/>
          </w:tcPr>
          <w:p w14:paraId="1E2F38A6" w14:textId="77777777" w:rsidR="00E06F40" w:rsidRPr="00FF1A77" w:rsidRDefault="00A34935"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FF1A77">
                  <w:rPr>
                    <w:rFonts w:ascii="MS Gothic" w:eastAsia="MS Gothic" w:hAnsi="MS Gothic" w:cs="MS Gothic"/>
                  </w:rPr>
                  <w:t>☐</w:t>
                </w:r>
              </w:sdtContent>
            </w:sdt>
            <w:r w:rsidR="00E06F40" w:rsidRPr="00FF1A77">
              <w:t xml:space="preserve"> ACGIH</w:t>
            </w:r>
            <w:r w:rsidR="00E06F40" w:rsidRPr="00FF1A77">
              <w:tab/>
            </w:r>
            <w:sdt>
              <w:sdtPr>
                <w:id w:val="129367724"/>
                <w14:checkbox>
                  <w14:checked w14:val="0"/>
                  <w14:checkedState w14:val="00FC" w14:font="Wingdings"/>
                  <w14:uncheckedState w14:val="2610" w14:font="MS Gothic"/>
                </w14:checkbox>
              </w:sdtPr>
              <w:sdtEndPr/>
              <w:sdtContent>
                <w:r w:rsidR="00E06F40" w:rsidRPr="00FF1A77">
                  <w:rPr>
                    <w:rFonts w:ascii="MS Gothic" w:eastAsia="MS Gothic" w:hAnsi="MS Gothic" w:cs="MS Gothic"/>
                  </w:rPr>
                  <w:t>☐</w:t>
                </w:r>
              </w:sdtContent>
            </w:sdt>
            <w:r w:rsidR="00E06F40" w:rsidRPr="00FF1A77">
              <w:t xml:space="preserve"> DFG</w:t>
            </w:r>
            <w:r w:rsidR="00E06F40" w:rsidRPr="00FF1A77">
              <w:tab/>
            </w:r>
            <w:sdt>
              <w:sdtPr>
                <w:id w:val="-1535876012"/>
                <w14:checkbox>
                  <w14:checked w14:val="0"/>
                  <w14:checkedState w14:val="00FC" w14:font="Wingdings"/>
                  <w14:uncheckedState w14:val="2610" w14:font="MS Gothic"/>
                </w14:checkbox>
              </w:sdtPr>
              <w:sdtEndPr/>
              <w:sdtContent>
                <w:r w:rsidR="00E06F40" w:rsidRPr="00FF1A77">
                  <w:rPr>
                    <w:rFonts w:ascii="MS Gothic" w:eastAsia="MS Gothic" w:hAnsi="MS Gothic" w:cs="MS Gothic"/>
                  </w:rPr>
                  <w:t>☐</w:t>
                </w:r>
              </w:sdtContent>
            </w:sdt>
            <w:r w:rsidR="00E06F40" w:rsidRPr="00FF1A77">
              <w:t xml:space="preserve"> SCOEL</w:t>
            </w:r>
            <w:r w:rsidR="00E06F40" w:rsidRPr="00FF1A77">
              <w:tab/>
            </w:r>
          </w:p>
        </w:tc>
      </w:tr>
    </w:tbl>
    <w:p w14:paraId="66F95C31" w14:textId="77777777" w:rsidR="007F1005" w:rsidRPr="00FF1A77" w:rsidRDefault="007F1005" w:rsidP="00EB3D1B">
      <w:pPr>
        <w:pStyle w:val="Heading2"/>
        <w:keepLines/>
      </w:pPr>
      <w:r w:rsidRPr="00FF1A77">
        <w:t xml:space="preserve">Workplace exposure </w:t>
      </w:r>
      <w:r w:rsidR="00B479A9" w:rsidRPr="00FF1A77">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FF1A77" w14:paraId="3D93E0C2" w14:textId="77777777" w:rsidTr="00F053FA">
        <w:trPr>
          <w:tblHeader/>
        </w:trPr>
        <w:tc>
          <w:tcPr>
            <w:tcW w:w="4077" w:type="dxa"/>
            <w:shd w:val="clear" w:color="auto" w:fill="BFBFBF" w:themeFill="background1" w:themeFillShade="BF"/>
            <w:vAlign w:val="center"/>
          </w:tcPr>
          <w:p w14:paraId="0752B0C0" w14:textId="77777777" w:rsidR="00224EE2" w:rsidRPr="00FF1A77" w:rsidRDefault="00224EE2" w:rsidP="00EB3D1B">
            <w:pPr>
              <w:pStyle w:val="Tableheader"/>
              <w:keepNext/>
              <w:keepLines/>
            </w:pPr>
            <w:bookmarkStart w:id="5" w:name="History" w:colFirst="0" w:colLast="1"/>
            <w:r w:rsidRPr="00FF1A77">
              <w:t>Year</w:t>
            </w:r>
          </w:p>
        </w:tc>
        <w:tc>
          <w:tcPr>
            <w:tcW w:w="5165" w:type="dxa"/>
            <w:shd w:val="clear" w:color="auto" w:fill="BFBFBF" w:themeFill="background1" w:themeFillShade="BF"/>
            <w:vAlign w:val="center"/>
          </w:tcPr>
          <w:p w14:paraId="0A536D47" w14:textId="77777777" w:rsidR="00224EE2" w:rsidRPr="00FF1A77" w:rsidRDefault="00224EE2" w:rsidP="00EB3D1B">
            <w:pPr>
              <w:pStyle w:val="Tableheader"/>
              <w:keepNext/>
              <w:keepLines/>
            </w:pPr>
            <w:r w:rsidRPr="00FF1A77">
              <w:t>Standard</w:t>
            </w:r>
          </w:p>
        </w:tc>
      </w:tr>
      <w:tr w:rsidR="007F1005" w:rsidRPr="00FF1A77" w14:paraId="37F0FB20" w14:textId="77777777" w:rsidTr="00F053FA">
        <w:trPr>
          <w:tblHeader/>
        </w:trPr>
        <w:sdt>
          <w:sdtPr>
            <w:id w:val="-25557549"/>
            <w:placeholder>
              <w:docPart w:val="2BF891C0AB704CDAB9BC6E80D556473F"/>
            </w:placeholder>
            <w:showingPlcHdr/>
            <w:text/>
          </w:sdtPr>
          <w:sdtEndPr/>
          <w:sdtContent>
            <w:tc>
              <w:tcPr>
                <w:tcW w:w="4077" w:type="dxa"/>
                <w:vAlign w:val="center"/>
              </w:tcPr>
              <w:p w14:paraId="6D225382" w14:textId="77777777" w:rsidR="007F1005" w:rsidRPr="00FF1A77" w:rsidRDefault="00131092" w:rsidP="00EB3D1B">
                <w:pPr>
                  <w:pStyle w:val="Tablefont"/>
                  <w:keepLines/>
                </w:pPr>
                <w:r w:rsidRPr="00FF1A77">
                  <w:rPr>
                    <w:rStyle w:val="PlaceholderText"/>
                    <w:rFonts w:cs="Arial"/>
                  </w:rPr>
                  <w:t>Click here to enter year</w:t>
                </w:r>
              </w:p>
            </w:tc>
          </w:sdtContent>
        </w:sdt>
        <w:tc>
          <w:tcPr>
            <w:tcW w:w="5165" w:type="dxa"/>
            <w:vAlign w:val="center"/>
          </w:tcPr>
          <w:p w14:paraId="58EA84AE" w14:textId="77777777" w:rsidR="007F1005" w:rsidRPr="00FF1A77" w:rsidRDefault="007F1005" w:rsidP="00EB3D1B">
            <w:pPr>
              <w:pStyle w:val="Tablefont"/>
              <w:keepLines/>
            </w:pPr>
          </w:p>
        </w:tc>
      </w:tr>
    </w:tbl>
    <w:bookmarkEnd w:id="5"/>
    <w:p w14:paraId="32DED464" w14:textId="77777777" w:rsidR="00F87D92" w:rsidRPr="00FF1A77" w:rsidRDefault="00F87D92" w:rsidP="00EF7F78">
      <w:pPr>
        <w:pStyle w:val="Heading2"/>
        <w:tabs>
          <w:tab w:val="right" w:pos="8505"/>
        </w:tabs>
      </w:pPr>
      <w:r w:rsidRPr="00FF1A77">
        <w:t>References</w:t>
      </w:r>
      <w:r w:rsidR="00EF7F78" w:rsidRPr="00FF1A77">
        <w:tab/>
      </w:r>
    </w:p>
    <w:p w14:paraId="2986CB09" w14:textId="07FE0AB8" w:rsidR="007F1005" w:rsidRPr="00FF1A77" w:rsidRDefault="006650FE" w:rsidP="00084859">
      <w:r w:rsidRPr="00FF1A77">
        <w:t>American Conference of Industrial Hygienists (ACGIH</w:t>
      </w:r>
      <w:r w:rsidRPr="00FF1A77">
        <w:rPr>
          <w:vertAlign w:val="superscript"/>
        </w:rPr>
        <w:t>®</w:t>
      </w:r>
      <w:r w:rsidRPr="00FF1A77">
        <w:t>) (201</w:t>
      </w:r>
      <w:r w:rsidR="00F67BBB" w:rsidRPr="00FF1A77">
        <w:t>8</w:t>
      </w:r>
      <w:r w:rsidRPr="00FF1A77">
        <w:t>) TLVs</w:t>
      </w:r>
      <w:r w:rsidRPr="00FF1A77">
        <w:rPr>
          <w:vertAlign w:val="superscript"/>
        </w:rPr>
        <w:t>®</w:t>
      </w:r>
      <w:r w:rsidRPr="00FF1A77">
        <w:t xml:space="preserve"> and BEIs</w:t>
      </w:r>
      <w:r w:rsidRPr="00FF1A77">
        <w:rPr>
          <w:vertAlign w:val="superscript"/>
        </w:rPr>
        <w:t>®</w:t>
      </w:r>
      <w:r w:rsidRPr="00FF1A77">
        <w:t xml:space="preserve"> with 7</w:t>
      </w:r>
      <w:r w:rsidRPr="00FF1A77">
        <w:rPr>
          <w:vertAlign w:val="superscript"/>
        </w:rPr>
        <w:t>th</w:t>
      </w:r>
      <w:r w:rsidRPr="00FF1A77">
        <w:t xml:space="preserve"> Edition Documentation, CD-ROM, Single User Version. Copyright 201</w:t>
      </w:r>
      <w:r w:rsidR="00F67BBB" w:rsidRPr="00FF1A77">
        <w:t>8</w:t>
      </w:r>
      <w:r w:rsidRPr="00FF1A77">
        <w:t xml:space="preserve">. Reprinted with permission. See the </w:t>
      </w:r>
      <w:hyperlink r:id="rId17" w:history="1">
        <w:r w:rsidRPr="00FF1A77">
          <w:rPr>
            <w:rStyle w:val="Hyperlink"/>
            <w:i/>
          </w:rPr>
          <w:t>TLVs</w:t>
        </w:r>
        <w:r w:rsidRPr="00FF1A77">
          <w:rPr>
            <w:rStyle w:val="Hyperlink"/>
            <w:i/>
            <w:vertAlign w:val="superscript"/>
          </w:rPr>
          <w:t>®</w:t>
        </w:r>
        <w:r w:rsidRPr="00FF1A77">
          <w:rPr>
            <w:rStyle w:val="Hyperlink"/>
            <w:i/>
          </w:rPr>
          <w:t xml:space="preserve"> and BEIs</w:t>
        </w:r>
        <w:r w:rsidRPr="00FF1A77">
          <w:rPr>
            <w:rStyle w:val="Hyperlink"/>
            <w:i/>
            <w:vertAlign w:val="superscript"/>
          </w:rPr>
          <w:t>®</w:t>
        </w:r>
        <w:r w:rsidRPr="00FF1A77">
          <w:rPr>
            <w:rStyle w:val="Hyperlink"/>
            <w:i/>
          </w:rPr>
          <w:t xml:space="preserve"> Guidelines section</w:t>
        </w:r>
      </w:hyperlink>
      <w:r w:rsidRPr="00FF1A77">
        <w:t xml:space="preserve"> on the ACGIH website.</w:t>
      </w:r>
    </w:p>
    <w:p w14:paraId="7C591421" w14:textId="06BE6F35" w:rsidR="00BE02E7" w:rsidRPr="00FF1A77" w:rsidRDefault="00BE02E7" w:rsidP="00BE02E7">
      <w:r w:rsidRPr="00FF1A77">
        <w:t xml:space="preserve">Deutsche </w:t>
      </w:r>
      <w:proofErr w:type="spellStart"/>
      <w:r w:rsidRPr="00FF1A77">
        <w:t>Forschungsgemeinschaft</w:t>
      </w:r>
      <w:proofErr w:type="spellEnd"/>
      <w:r w:rsidRPr="00FF1A77">
        <w:t xml:space="preserve"> (DFG) (2003) </w:t>
      </w:r>
      <w:proofErr w:type="spellStart"/>
      <w:r w:rsidRPr="00FF1A77">
        <w:t>Cyclohexylamine</w:t>
      </w:r>
      <w:proofErr w:type="spellEnd"/>
      <w:r w:rsidRPr="00FF1A77">
        <w:t xml:space="preserve"> – MAK value documentation.</w:t>
      </w:r>
    </w:p>
    <w:p w14:paraId="37EDE818" w14:textId="75314370" w:rsidR="00210427" w:rsidRPr="00FF1A77" w:rsidRDefault="00210427" w:rsidP="00E25552">
      <w:r w:rsidRPr="00FF1A77">
        <w:t xml:space="preserve">Deutsche </w:t>
      </w:r>
      <w:proofErr w:type="spellStart"/>
      <w:r w:rsidRPr="00FF1A77">
        <w:t>Forschungsgemeinschaft</w:t>
      </w:r>
      <w:proofErr w:type="spellEnd"/>
      <w:r w:rsidRPr="00FF1A77">
        <w:t xml:space="preserve"> (DFG) (</w:t>
      </w:r>
      <w:r w:rsidR="00E25552" w:rsidRPr="00FF1A77">
        <w:t>2017</w:t>
      </w:r>
      <w:r w:rsidRPr="00FF1A77">
        <w:t xml:space="preserve">) </w:t>
      </w:r>
      <w:proofErr w:type="spellStart"/>
      <w:r w:rsidR="00E25552" w:rsidRPr="00FF1A77">
        <w:t>Cyclohexylamine</w:t>
      </w:r>
      <w:proofErr w:type="spellEnd"/>
      <w:r w:rsidRPr="00FF1A77">
        <w:t xml:space="preserve"> – MAK value documentation.</w:t>
      </w:r>
    </w:p>
    <w:p w14:paraId="05DFEC07" w14:textId="77777777" w:rsidR="0042207D" w:rsidRPr="00FF1A77" w:rsidRDefault="0042207D" w:rsidP="0042207D">
      <w:r w:rsidRPr="00FF1A77">
        <w:t xml:space="preserve">European Chemicals Agency (ECHA) (2017) </w:t>
      </w:r>
      <w:proofErr w:type="spellStart"/>
      <w:r w:rsidRPr="00FF1A77">
        <w:t>Cyclohexylamine</w:t>
      </w:r>
      <w:proofErr w:type="spellEnd"/>
      <w:r w:rsidRPr="00FF1A77">
        <w:t xml:space="preserve"> – REACH assessment.</w:t>
      </w:r>
    </w:p>
    <w:p w14:paraId="26D607DE" w14:textId="3E91D04C" w:rsidR="00210427" w:rsidRPr="00FF1A77" w:rsidRDefault="00210427" w:rsidP="00E25552">
      <w:r w:rsidRPr="00FF1A77">
        <w:t>Health Council of the Netherlands (HCOTN) (</w:t>
      </w:r>
      <w:r w:rsidR="00E25552" w:rsidRPr="00FF1A77">
        <w:t>2001</w:t>
      </w:r>
      <w:r w:rsidRPr="00FF1A77">
        <w:t xml:space="preserve">) </w:t>
      </w:r>
      <w:proofErr w:type="spellStart"/>
      <w:r w:rsidR="00E25552" w:rsidRPr="00FF1A77">
        <w:t>Cyclohexylamine</w:t>
      </w:r>
      <w:proofErr w:type="spellEnd"/>
      <w:r w:rsidRPr="00FF1A77">
        <w:t xml:space="preserve">. Health-based calculated occupational cancer risk values. The Hague: Health Council of the Netherlands; publication no. </w:t>
      </w:r>
      <w:r w:rsidR="00E25552" w:rsidRPr="00FF1A77">
        <w:t>2000/15OSH/021</w:t>
      </w:r>
      <w:r w:rsidRPr="00FF1A77">
        <w:t>.</w:t>
      </w:r>
    </w:p>
    <w:p w14:paraId="2E846863" w14:textId="77777777" w:rsidR="0042207D" w:rsidRPr="00FF1A77" w:rsidRDefault="0042207D" w:rsidP="0042207D">
      <w:r w:rsidRPr="00FF1A77">
        <w:t>International Agency for Research on Cancer (IARC) (1999) Some Chemicals that Cause Tumours of the Kidney or Urinary Bladder in Rodents and Some Other Substances. IARC Monographs on the evaluation of the carcinogenic risk to humans, volume 73.</w:t>
      </w:r>
    </w:p>
    <w:p w14:paraId="2730AF21" w14:textId="77777777" w:rsidR="0042207D" w:rsidRPr="00FF1A77" w:rsidRDefault="0042207D" w:rsidP="0042207D">
      <w:r w:rsidRPr="00FF1A77">
        <w:t xml:space="preserve">National Industrial Chemicals Notification and Assessment Scheme (NICNAS) (2016) </w:t>
      </w:r>
      <w:proofErr w:type="spellStart"/>
      <w:r w:rsidRPr="00FF1A77">
        <w:t>Cyclohexanamine</w:t>
      </w:r>
      <w:proofErr w:type="spellEnd"/>
      <w:r w:rsidRPr="00FF1A77">
        <w:t xml:space="preserve">: Human health </w:t>
      </w:r>
      <w:sdt>
        <w:sdtPr>
          <w:id w:val="-1295753243"/>
          <w:placeholder>
            <w:docPart w:val="93A7BE112ACE4C6EBEA7F029FF1FCD9F"/>
          </w:placeholder>
          <w:temporary/>
          <w:showingPlcHdr/>
        </w:sdtPr>
        <w:sdtEndPr/>
        <w:sdtContent>
          <w:r w:rsidRPr="00FF1A77">
            <w:t>tier II</w:t>
          </w:r>
        </w:sdtContent>
      </w:sdt>
      <w:r w:rsidRPr="00FF1A77">
        <w:t xml:space="preserve"> assessment – IMAP report.</w:t>
      </w:r>
    </w:p>
    <w:p w14:paraId="1B92D025" w14:textId="68C1FB4E" w:rsidR="00C65CEC" w:rsidRPr="00FF1A77" w:rsidRDefault="003A48FC" w:rsidP="00E25552">
      <w:r w:rsidRPr="00FF1A77">
        <w:t>UK Health and Safety Executive (HSE) (2002) EH40/2005 Workplace exposure limits.</w:t>
      </w:r>
    </w:p>
    <w:bookmarkEnd w:id="0"/>
    <w:p w14:paraId="40A4B715" w14:textId="16E272BF" w:rsidR="0042207D" w:rsidRPr="00FF1A77" w:rsidRDefault="0042207D" w:rsidP="003172A2"/>
    <w:sectPr w:rsidR="0042207D" w:rsidRPr="00FF1A77" w:rsidSect="00B87D4C">
      <w:headerReference w:type="even" r:id="rId18"/>
      <w:headerReference w:type="default" r:id="rId19"/>
      <w:headerReference w:type="first" r:id="rId20"/>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5340DA" w16cid:durableId="2149B9D2"/>
  <w16cid:commentId w16cid:paraId="087355DA" w16cid:durableId="2149BABA"/>
  <w16cid:commentId w16cid:paraId="020A6F7A" w16cid:durableId="2149BE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75B7C" w14:textId="77777777" w:rsidR="008549EC" w:rsidRDefault="008549EC" w:rsidP="00F43AD5">
      <w:pPr>
        <w:spacing w:after="0" w:line="240" w:lineRule="auto"/>
      </w:pPr>
      <w:r>
        <w:separator/>
      </w:r>
    </w:p>
  </w:endnote>
  <w:endnote w:type="continuationSeparator" w:id="0">
    <w:p w14:paraId="7E64BA6C" w14:textId="77777777" w:rsidR="008549EC" w:rsidRDefault="008549EC"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3AED" w14:textId="77777777" w:rsidR="00A34935" w:rsidRDefault="00A34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41D41AA9" w14:textId="77777777" w:rsidR="00203D04" w:rsidRPr="005F3F28" w:rsidRDefault="00203D04" w:rsidP="005F3F28">
        <w:pPr>
          <w:pStyle w:val="Footer"/>
          <w:rPr>
            <w:b/>
            <w:sz w:val="18"/>
            <w:szCs w:val="18"/>
          </w:rPr>
        </w:pPr>
      </w:p>
      <w:p w14:paraId="1CC2444F" w14:textId="1D408724" w:rsidR="00203D04" w:rsidRDefault="00203D04" w:rsidP="005F3F28">
        <w:pPr>
          <w:pStyle w:val="Footer"/>
          <w:rPr>
            <w:sz w:val="18"/>
            <w:szCs w:val="18"/>
          </w:rPr>
        </w:pPr>
        <w:proofErr w:type="spellStart"/>
        <w:r w:rsidRPr="005F3F28">
          <w:rPr>
            <w:b/>
            <w:sz w:val="18"/>
            <w:szCs w:val="18"/>
          </w:rPr>
          <w:t>Cyclohexylamine</w:t>
        </w:r>
        <w:proofErr w:type="spellEnd"/>
        <w:r>
          <w:rPr>
            <w:b/>
            <w:sz w:val="18"/>
            <w:szCs w:val="18"/>
          </w:rPr>
          <w:t xml:space="preserve"> (</w:t>
        </w:r>
        <w:r w:rsidRPr="005F3F28">
          <w:rPr>
            <w:b/>
            <w:sz w:val="18"/>
            <w:szCs w:val="18"/>
          </w:rPr>
          <w:t>108-91-8</w:t>
        </w:r>
        <w:proofErr w:type="gramStart"/>
        <w:r>
          <w:rPr>
            <w:b/>
            <w:sz w:val="18"/>
            <w:szCs w:val="18"/>
          </w:rPr>
          <w:t>)</w:t>
        </w:r>
        <w:proofErr w:type="gramEnd"/>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201</w:t>
        </w:r>
        <w:r>
          <w:rPr>
            <w:sz w:val="18"/>
            <w:szCs w:val="18"/>
          </w:rPr>
          <w:t>9</w:t>
        </w:r>
      </w:p>
      <w:p w14:paraId="63C344EB" w14:textId="6591022F" w:rsidR="00203D04" w:rsidRPr="00F43AD5" w:rsidRDefault="00203D04"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A34935">
          <w:rPr>
            <w:noProof/>
            <w:sz w:val="18"/>
            <w:szCs w:val="18"/>
          </w:rPr>
          <w:t>7</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CDB12" w14:textId="77777777" w:rsidR="00A34935" w:rsidRDefault="00A3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EE05A" w14:textId="77777777" w:rsidR="008549EC" w:rsidRDefault="008549EC" w:rsidP="00F43AD5">
      <w:pPr>
        <w:spacing w:after="0" w:line="240" w:lineRule="auto"/>
      </w:pPr>
      <w:r>
        <w:separator/>
      </w:r>
    </w:p>
  </w:footnote>
  <w:footnote w:type="continuationSeparator" w:id="0">
    <w:p w14:paraId="146C85DF" w14:textId="77777777" w:rsidR="008549EC" w:rsidRDefault="008549EC"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B1C8" w14:textId="583DEEF6" w:rsidR="00A34935" w:rsidRDefault="00A34935">
    <w:pPr>
      <w:pStyle w:val="Header"/>
    </w:pPr>
    <w:r>
      <w:rPr>
        <w:noProof/>
      </w:rPr>
      <w:pict w14:anchorId="17A96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99704" o:spid="_x0000_s10242"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7D26" w14:textId="69DA3724" w:rsidR="00203D04" w:rsidRDefault="00A34935" w:rsidP="00F43AD5">
    <w:pPr>
      <w:pStyle w:val="Header"/>
      <w:jc w:val="right"/>
    </w:pPr>
    <w:r>
      <w:rPr>
        <w:noProof/>
      </w:rPr>
      <w:pict w14:anchorId="2B7CB2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99705" o:spid="_x0000_s10243"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203D04">
      <w:rPr>
        <w:noProof/>
        <w:lang w:eastAsia="en-AU"/>
      </w:rPr>
      <w:drawing>
        <wp:inline distT="0" distB="0" distL="0" distR="0" wp14:anchorId="1F50867D" wp14:editId="6F441983">
          <wp:extent cx="2938272" cy="594360"/>
          <wp:effectExtent l="0" t="0" r="0" b="0"/>
          <wp:docPr id="2" name="Picture 2"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2635" w14:textId="255FBA23" w:rsidR="00A34935" w:rsidRDefault="00A34935">
    <w:pPr>
      <w:pStyle w:val="Header"/>
    </w:pPr>
    <w:r>
      <w:rPr>
        <w:noProof/>
      </w:rPr>
      <w:pict w14:anchorId="05764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99703" o:spid="_x0000_s10241"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2331D" w14:textId="7AF8B27A" w:rsidR="00A34935" w:rsidRDefault="00A34935">
    <w:pPr>
      <w:pStyle w:val="Header"/>
    </w:pPr>
    <w:r>
      <w:rPr>
        <w:noProof/>
      </w:rPr>
      <w:pict w14:anchorId="6B998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99707" o:spid="_x0000_s10245"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09B9" w14:textId="72805D70" w:rsidR="00203D04" w:rsidRDefault="00A34935" w:rsidP="00F43AD5">
    <w:pPr>
      <w:pStyle w:val="Header"/>
      <w:jc w:val="right"/>
    </w:pPr>
    <w:r>
      <w:rPr>
        <w:noProof/>
      </w:rPr>
      <w:pict w14:anchorId="4BEA3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99708" o:spid="_x0000_s10246" type="#_x0000_t136" style="position:absolute;left:0;text-align:left;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EA44" w14:textId="68E7E3EB" w:rsidR="00A34935" w:rsidRDefault="00A34935">
    <w:pPr>
      <w:pStyle w:val="Header"/>
    </w:pPr>
    <w:r>
      <w:rPr>
        <w:noProof/>
      </w:rPr>
      <w:pict w14:anchorId="52CEF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99706" o:spid="_x0000_s10244"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4CBD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B15330"/>
    <w:multiLevelType w:val="hybridMultilevel"/>
    <w:tmpl w:val="4814B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F36E1C"/>
    <w:multiLevelType w:val="hybridMultilevel"/>
    <w:tmpl w:val="F46452D2"/>
    <w:lvl w:ilvl="0" w:tplc="A0822AD0">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DF597C"/>
    <w:multiLevelType w:val="hybridMultilevel"/>
    <w:tmpl w:val="60225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1549F5"/>
    <w:multiLevelType w:val="hybridMultilevel"/>
    <w:tmpl w:val="B2DA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1D5622"/>
    <w:multiLevelType w:val="hybridMultilevel"/>
    <w:tmpl w:val="9F68D796"/>
    <w:lvl w:ilvl="0" w:tplc="5CBC0C0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0E7465"/>
    <w:multiLevelType w:val="hybridMultilevel"/>
    <w:tmpl w:val="FBCE99BC"/>
    <w:lvl w:ilvl="0" w:tplc="87F897E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3A22"/>
    <w:rsid w:val="00014C3F"/>
    <w:rsid w:val="00017C82"/>
    <w:rsid w:val="00026ED9"/>
    <w:rsid w:val="00032B88"/>
    <w:rsid w:val="00046DF5"/>
    <w:rsid w:val="00052060"/>
    <w:rsid w:val="0005574A"/>
    <w:rsid w:val="00055FE1"/>
    <w:rsid w:val="00056EC2"/>
    <w:rsid w:val="00060B48"/>
    <w:rsid w:val="00067F32"/>
    <w:rsid w:val="00071807"/>
    <w:rsid w:val="000803E1"/>
    <w:rsid w:val="00080B5A"/>
    <w:rsid w:val="00084513"/>
    <w:rsid w:val="00084859"/>
    <w:rsid w:val="00092D94"/>
    <w:rsid w:val="000A1B35"/>
    <w:rsid w:val="000B0868"/>
    <w:rsid w:val="000B3E12"/>
    <w:rsid w:val="000B3E78"/>
    <w:rsid w:val="000B7B48"/>
    <w:rsid w:val="000C096D"/>
    <w:rsid w:val="000C139A"/>
    <w:rsid w:val="000C2053"/>
    <w:rsid w:val="000C248C"/>
    <w:rsid w:val="000C4B7D"/>
    <w:rsid w:val="000C5DC7"/>
    <w:rsid w:val="000D291C"/>
    <w:rsid w:val="000D79C9"/>
    <w:rsid w:val="000E5A54"/>
    <w:rsid w:val="000E63D3"/>
    <w:rsid w:val="000E67CF"/>
    <w:rsid w:val="00101EA6"/>
    <w:rsid w:val="0010461E"/>
    <w:rsid w:val="00106FAA"/>
    <w:rsid w:val="00112CDB"/>
    <w:rsid w:val="00113443"/>
    <w:rsid w:val="00114A0D"/>
    <w:rsid w:val="001269A7"/>
    <w:rsid w:val="00131092"/>
    <w:rsid w:val="00131519"/>
    <w:rsid w:val="00140E6A"/>
    <w:rsid w:val="00146545"/>
    <w:rsid w:val="00146B75"/>
    <w:rsid w:val="0015266D"/>
    <w:rsid w:val="0015288A"/>
    <w:rsid w:val="00160F47"/>
    <w:rsid w:val="00177CA1"/>
    <w:rsid w:val="00183823"/>
    <w:rsid w:val="00183942"/>
    <w:rsid w:val="001921D1"/>
    <w:rsid w:val="00194696"/>
    <w:rsid w:val="0019470F"/>
    <w:rsid w:val="001A009E"/>
    <w:rsid w:val="001A1287"/>
    <w:rsid w:val="001A3859"/>
    <w:rsid w:val="001A3C9D"/>
    <w:rsid w:val="001A43F8"/>
    <w:rsid w:val="001A5337"/>
    <w:rsid w:val="001B79E5"/>
    <w:rsid w:val="001D56F0"/>
    <w:rsid w:val="001D663B"/>
    <w:rsid w:val="001D7B41"/>
    <w:rsid w:val="001E46DA"/>
    <w:rsid w:val="001E7D80"/>
    <w:rsid w:val="001F43D8"/>
    <w:rsid w:val="001F4B6C"/>
    <w:rsid w:val="001F62CB"/>
    <w:rsid w:val="001F6ED0"/>
    <w:rsid w:val="001F72E6"/>
    <w:rsid w:val="001F73C5"/>
    <w:rsid w:val="00203D04"/>
    <w:rsid w:val="002046A6"/>
    <w:rsid w:val="00204956"/>
    <w:rsid w:val="00210427"/>
    <w:rsid w:val="00213219"/>
    <w:rsid w:val="00213640"/>
    <w:rsid w:val="00213A51"/>
    <w:rsid w:val="00221547"/>
    <w:rsid w:val="002216FC"/>
    <w:rsid w:val="00222533"/>
    <w:rsid w:val="00222F30"/>
    <w:rsid w:val="0022422D"/>
    <w:rsid w:val="00224EE2"/>
    <w:rsid w:val="00227EC7"/>
    <w:rsid w:val="00244AD1"/>
    <w:rsid w:val="002463BC"/>
    <w:rsid w:val="002465CE"/>
    <w:rsid w:val="00246B12"/>
    <w:rsid w:val="002513AF"/>
    <w:rsid w:val="0025734A"/>
    <w:rsid w:val="00261F8F"/>
    <w:rsid w:val="00263255"/>
    <w:rsid w:val="00276494"/>
    <w:rsid w:val="00277B0C"/>
    <w:rsid w:val="002A4FD6"/>
    <w:rsid w:val="002B1A2C"/>
    <w:rsid w:val="002C34F2"/>
    <w:rsid w:val="002C58FF"/>
    <w:rsid w:val="002C7AFE"/>
    <w:rsid w:val="002D05D2"/>
    <w:rsid w:val="002D05EB"/>
    <w:rsid w:val="002E0D61"/>
    <w:rsid w:val="002E4C7B"/>
    <w:rsid w:val="0030740C"/>
    <w:rsid w:val="00315833"/>
    <w:rsid w:val="003172A2"/>
    <w:rsid w:val="003215EE"/>
    <w:rsid w:val="003224BF"/>
    <w:rsid w:val="003241A8"/>
    <w:rsid w:val="003253F0"/>
    <w:rsid w:val="003337DA"/>
    <w:rsid w:val="00334EFB"/>
    <w:rsid w:val="00335CDE"/>
    <w:rsid w:val="003365A5"/>
    <w:rsid w:val="00347192"/>
    <w:rsid w:val="0034744C"/>
    <w:rsid w:val="00351FE0"/>
    <w:rsid w:val="00352615"/>
    <w:rsid w:val="0035412B"/>
    <w:rsid w:val="00356368"/>
    <w:rsid w:val="003567A8"/>
    <w:rsid w:val="00362895"/>
    <w:rsid w:val="00370DBF"/>
    <w:rsid w:val="00386093"/>
    <w:rsid w:val="003862A2"/>
    <w:rsid w:val="003904A4"/>
    <w:rsid w:val="00391841"/>
    <w:rsid w:val="00391B6D"/>
    <w:rsid w:val="00394922"/>
    <w:rsid w:val="003A0E32"/>
    <w:rsid w:val="003A2B94"/>
    <w:rsid w:val="003A48FC"/>
    <w:rsid w:val="003B00B0"/>
    <w:rsid w:val="003B387D"/>
    <w:rsid w:val="003C0D58"/>
    <w:rsid w:val="003C2C41"/>
    <w:rsid w:val="003D4FA3"/>
    <w:rsid w:val="003E0807"/>
    <w:rsid w:val="003E51FB"/>
    <w:rsid w:val="003E6B39"/>
    <w:rsid w:val="003F07E1"/>
    <w:rsid w:val="003F1566"/>
    <w:rsid w:val="003F1E5F"/>
    <w:rsid w:val="004030BC"/>
    <w:rsid w:val="00403F7D"/>
    <w:rsid w:val="00406785"/>
    <w:rsid w:val="004079B4"/>
    <w:rsid w:val="00417A56"/>
    <w:rsid w:val="00420957"/>
    <w:rsid w:val="0042207D"/>
    <w:rsid w:val="00422A10"/>
    <w:rsid w:val="00425EDB"/>
    <w:rsid w:val="00430179"/>
    <w:rsid w:val="004373B8"/>
    <w:rsid w:val="004414B5"/>
    <w:rsid w:val="00444482"/>
    <w:rsid w:val="00444B42"/>
    <w:rsid w:val="00445E44"/>
    <w:rsid w:val="004509E2"/>
    <w:rsid w:val="004515EE"/>
    <w:rsid w:val="004529F0"/>
    <w:rsid w:val="00456BAD"/>
    <w:rsid w:val="00460A03"/>
    <w:rsid w:val="00472A11"/>
    <w:rsid w:val="00472AAD"/>
    <w:rsid w:val="00474E33"/>
    <w:rsid w:val="00476803"/>
    <w:rsid w:val="00485BFD"/>
    <w:rsid w:val="00486109"/>
    <w:rsid w:val="004867A2"/>
    <w:rsid w:val="004873F2"/>
    <w:rsid w:val="00490D4C"/>
    <w:rsid w:val="00493A35"/>
    <w:rsid w:val="00494680"/>
    <w:rsid w:val="0049527A"/>
    <w:rsid w:val="004966BF"/>
    <w:rsid w:val="00497984"/>
    <w:rsid w:val="004A5088"/>
    <w:rsid w:val="004C1E3F"/>
    <w:rsid w:val="004C23F4"/>
    <w:rsid w:val="004C3475"/>
    <w:rsid w:val="004C4C3E"/>
    <w:rsid w:val="004C58B6"/>
    <w:rsid w:val="004D16A3"/>
    <w:rsid w:val="004D4AA1"/>
    <w:rsid w:val="004D6D68"/>
    <w:rsid w:val="004E5EDD"/>
    <w:rsid w:val="004F448A"/>
    <w:rsid w:val="004F493D"/>
    <w:rsid w:val="004F65E8"/>
    <w:rsid w:val="0050005E"/>
    <w:rsid w:val="00502B88"/>
    <w:rsid w:val="005142C4"/>
    <w:rsid w:val="0051509C"/>
    <w:rsid w:val="005235BC"/>
    <w:rsid w:val="005272E2"/>
    <w:rsid w:val="0053108F"/>
    <w:rsid w:val="00532B56"/>
    <w:rsid w:val="00534B10"/>
    <w:rsid w:val="005446A2"/>
    <w:rsid w:val="00544D2F"/>
    <w:rsid w:val="00545128"/>
    <w:rsid w:val="00551BD8"/>
    <w:rsid w:val="00581055"/>
    <w:rsid w:val="00591E38"/>
    <w:rsid w:val="00592838"/>
    <w:rsid w:val="005A19C5"/>
    <w:rsid w:val="005A3034"/>
    <w:rsid w:val="005A462D"/>
    <w:rsid w:val="005B253B"/>
    <w:rsid w:val="005B771D"/>
    <w:rsid w:val="005C5D16"/>
    <w:rsid w:val="005D3193"/>
    <w:rsid w:val="005D4A6E"/>
    <w:rsid w:val="005E2AA5"/>
    <w:rsid w:val="005E2EA0"/>
    <w:rsid w:val="005E6979"/>
    <w:rsid w:val="005E75CB"/>
    <w:rsid w:val="005F3F28"/>
    <w:rsid w:val="00600EB7"/>
    <w:rsid w:val="006013C1"/>
    <w:rsid w:val="00604B6A"/>
    <w:rsid w:val="0060669E"/>
    <w:rsid w:val="00610F19"/>
    <w:rsid w:val="00610F2E"/>
    <w:rsid w:val="00611399"/>
    <w:rsid w:val="006143AE"/>
    <w:rsid w:val="00624C4E"/>
    <w:rsid w:val="00625200"/>
    <w:rsid w:val="006363A8"/>
    <w:rsid w:val="00636DB7"/>
    <w:rsid w:val="00650905"/>
    <w:rsid w:val="00653025"/>
    <w:rsid w:val="006532ED"/>
    <w:rsid w:val="006549F2"/>
    <w:rsid w:val="006567B7"/>
    <w:rsid w:val="00657BFB"/>
    <w:rsid w:val="0066333C"/>
    <w:rsid w:val="006639B4"/>
    <w:rsid w:val="006650FE"/>
    <w:rsid w:val="0067305D"/>
    <w:rsid w:val="00677D9B"/>
    <w:rsid w:val="006806B0"/>
    <w:rsid w:val="006867F3"/>
    <w:rsid w:val="00687890"/>
    <w:rsid w:val="006901A2"/>
    <w:rsid w:val="00690368"/>
    <w:rsid w:val="0069079C"/>
    <w:rsid w:val="00690B53"/>
    <w:rsid w:val="00695B72"/>
    <w:rsid w:val="00695BDF"/>
    <w:rsid w:val="006B160A"/>
    <w:rsid w:val="006B4E6C"/>
    <w:rsid w:val="006B50B6"/>
    <w:rsid w:val="006D79EA"/>
    <w:rsid w:val="006E35C6"/>
    <w:rsid w:val="006E5D05"/>
    <w:rsid w:val="006F0305"/>
    <w:rsid w:val="006F6FC1"/>
    <w:rsid w:val="00701053"/>
    <w:rsid w:val="00701507"/>
    <w:rsid w:val="007069A0"/>
    <w:rsid w:val="00714021"/>
    <w:rsid w:val="00716A0F"/>
    <w:rsid w:val="00717D45"/>
    <w:rsid w:val="007208F7"/>
    <w:rsid w:val="007218AF"/>
    <w:rsid w:val="00724A8D"/>
    <w:rsid w:val="007365D1"/>
    <w:rsid w:val="00740E0E"/>
    <w:rsid w:val="00750212"/>
    <w:rsid w:val="00754779"/>
    <w:rsid w:val="0075716D"/>
    <w:rsid w:val="00765F14"/>
    <w:rsid w:val="00770E31"/>
    <w:rsid w:val="007770F1"/>
    <w:rsid w:val="00783FB1"/>
    <w:rsid w:val="00785CDD"/>
    <w:rsid w:val="00791847"/>
    <w:rsid w:val="007925F0"/>
    <w:rsid w:val="007939B3"/>
    <w:rsid w:val="0079509C"/>
    <w:rsid w:val="00796708"/>
    <w:rsid w:val="007B0441"/>
    <w:rsid w:val="007B1B42"/>
    <w:rsid w:val="007C30EB"/>
    <w:rsid w:val="007E063C"/>
    <w:rsid w:val="007E2A4B"/>
    <w:rsid w:val="007E307D"/>
    <w:rsid w:val="007E5652"/>
    <w:rsid w:val="007E6A4E"/>
    <w:rsid w:val="007E6C94"/>
    <w:rsid w:val="007F1005"/>
    <w:rsid w:val="007F25E0"/>
    <w:rsid w:val="007F5328"/>
    <w:rsid w:val="00804F5A"/>
    <w:rsid w:val="00810C6D"/>
    <w:rsid w:val="00812887"/>
    <w:rsid w:val="00826F21"/>
    <w:rsid w:val="00834CC8"/>
    <w:rsid w:val="00835E00"/>
    <w:rsid w:val="00837113"/>
    <w:rsid w:val="008414E4"/>
    <w:rsid w:val="008429FC"/>
    <w:rsid w:val="00843E21"/>
    <w:rsid w:val="0084508E"/>
    <w:rsid w:val="008549EC"/>
    <w:rsid w:val="00857A8A"/>
    <w:rsid w:val="008630EE"/>
    <w:rsid w:val="008647C1"/>
    <w:rsid w:val="00864D13"/>
    <w:rsid w:val="008700B4"/>
    <w:rsid w:val="00871CD5"/>
    <w:rsid w:val="008745A2"/>
    <w:rsid w:val="008768A8"/>
    <w:rsid w:val="0088798F"/>
    <w:rsid w:val="00887E4B"/>
    <w:rsid w:val="008915C8"/>
    <w:rsid w:val="008A36CF"/>
    <w:rsid w:val="008A3BC4"/>
    <w:rsid w:val="008B2069"/>
    <w:rsid w:val="008B403C"/>
    <w:rsid w:val="008B7983"/>
    <w:rsid w:val="008C2511"/>
    <w:rsid w:val="008D026D"/>
    <w:rsid w:val="008D23AB"/>
    <w:rsid w:val="008D4B8B"/>
    <w:rsid w:val="008D5A78"/>
    <w:rsid w:val="008D75CD"/>
    <w:rsid w:val="008E7B64"/>
    <w:rsid w:val="008F5DCD"/>
    <w:rsid w:val="00900951"/>
    <w:rsid w:val="009118A6"/>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5260E"/>
    <w:rsid w:val="00952C34"/>
    <w:rsid w:val="009578DD"/>
    <w:rsid w:val="00961124"/>
    <w:rsid w:val="009621B6"/>
    <w:rsid w:val="00974F2D"/>
    <w:rsid w:val="00977524"/>
    <w:rsid w:val="00977E88"/>
    <w:rsid w:val="00984920"/>
    <w:rsid w:val="0099303A"/>
    <w:rsid w:val="009956A7"/>
    <w:rsid w:val="009971C2"/>
    <w:rsid w:val="009A1254"/>
    <w:rsid w:val="009A3DD9"/>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A01D0C"/>
    <w:rsid w:val="00A05E32"/>
    <w:rsid w:val="00A0643F"/>
    <w:rsid w:val="00A067EE"/>
    <w:rsid w:val="00A10FCE"/>
    <w:rsid w:val="00A16D91"/>
    <w:rsid w:val="00A174CC"/>
    <w:rsid w:val="00A2073D"/>
    <w:rsid w:val="00A20751"/>
    <w:rsid w:val="00A27E2D"/>
    <w:rsid w:val="00A30722"/>
    <w:rsid w:val="00A31D99"/>
    <w:rsid w:val="00A34935"/>
    <w:rsid w:val="00A357BA"/>
    <w:rsid w:val="00A35ADC"/>
    <w:rsid w:val="00A402A3"/>
    <w:rsid w:val="00A47962"/>
    <w:rsid w:val="00A53681"/>
    <w:rsid w:val="00A57B64"/>
    <w:rsid w:val="00A61101"/>
    <w:rsid w:val="00A633D4"/>
    <w:rsid w:val="00A6461A"/>
    <w:rsid w:val="00A84504"/>
    <w:rsid w:val="00A8672F"/>
    <w:rsid w:val="00A93057"/>
    <w:rsid w:val="00A968B0"/>
    <w:rsid w:val="00AA2B12"/>
    <w:rsid w:val="00AB2672"/>
    <w:rsid w:val="00AB2817"/>
    <w:rsid w:val="00AB43C4"/>
    <w:rsid w:val="00AC034A"/>
    <w:rsid w:val="00AC32E7"/>
    <w:rsid w:val="00AC3A9F"/>
    <w:rsid w:val="00AC6D2F"/>
    <w:rsid w:val="00AE2745"/>
    <w:rsid w:val="00AE2F64"/>
    <w:rsid w:val="00AF42CB"/>
    <w:rsid w:val="00AF483F"/>
    <w:rsid w:val="00AF5E07"/>
    <w:rsid w:val="00AF5F06"/>
    <w:rsid w:val="00B00A25"/>
    <w:rsid w:val="00B1422A"/>
    <w:rsid w:val="00B1765C"/>
    <w:rsid w:val="00B213C4"/>
    <w:rsid w:val="00B40C60"/>
    <w:rsid w:val="00B434AE"/>
    <w:rsid w:val="00B479A9"/>
    <w:rsid w:val="00B52EDF"/>
    <w:rsid w:val="00B53255"/>
    <w:rsid w:val="00B667D7"/>
    <w:rsid w:val="00B71188"/>
    <w:rsid w:val="00B7123C"/>
    <w:rsid w:val="00B76A41"/>
    <w:rsid w:val="00B83DDF"/>
    <w:rsid w:val="00B87D4C"/>
    <w:rsid w:val="00B9314F"/>
    <w:rsid w:val="00B93646"/>
    <w:rsid w:val="00B96595"/>
    <w:rsid w:val="00BA0B38"/>
    <w:rsid w:val="00BA1DBB"/>
    <w:rsid w:val="00BA4510"/>
    <w:rsid w:val="00BA529A"/>
    <w:rsid w:val="00BA6D6B"/>
    <w:rsid w:val="00BB612A"/>
    <w:rsid w:val="00BD499F"/>
    <w:rsid w:val="00BD56DE"/>
    <w:rsid w:val="00BE02E7"/>
    <w:rsid w:val="00BF2406"/>
    <w:rsid w:val="00BF6E82"/>
    <w:rsid w:val="00C06E43"/>
    <w:rsid w:val="00C16315"/>
    <w:rsid w:val="00C3091E"/>
    <w:rsid w:val="00C40FF1"/>
    <w:rsid w:val="00C419E2"/>
    <w:rsid w:val="00C5020E"/>
    <w:rsid w:val="00C57452"/>
    <w:rsid w:val="00C61EDF"/>
    <w:rsid w:val="00C6239D"/>
    <w:rsid w:val="00C6594B"/>
    <w:rsid w:val="00C65CEC"/>
    <w:rsid w:val="00C67FFB"/>
    <w:rsid w:val="00C7155E"/>
    <w:rsid w:val="00C71D1E"/>
    <w:rsid w:val="00C71D7D"/>
    <w:rsid w:val="00C74833"/>
    <w:rsid w:val="00C850A0"/>
    <w:rsid w:val="00C85A86"/>
    <w:rsid w:val="00C92902"/>
    <w:rsid w:val="00C978F0"/>
    <w:rsid w:val="00CA58FE"/>
    <w:rsid w:val="00CB1CB1"/>
    <w:rsid w:val="00CB66D6"/>
    <w:rsid w:val="00CB6BC1"/>
    <w:rsid w:val="00CB6CB8"/>
    <w:rsid w:val="00CC1A68"/>
    <w:rsid w:val="00CC2123"/>
    <w:rsid w:val="00CD2BFD"/>
    <w:rsid w:val="00CE5AD6"/>
    <w:rsid w:val="00CE617F"/>
    <w:rsid w:val="00CE78EF"/>
    <w:rsid w:val="00D048F7"/>
    <w:rsid w:val="00D0517E"/>
    <w:rsid w:val="00D140FC"/>
    <w:rsid w:val="00D21D8C"/>
    <w:rsid w:val="00D31357"/>
    <w:rsid w:val="00D33220"/>
    <w:rsid w:val="00D334D1"/>
    <w:rsid w:val="00D44C89"/>
    <w:rsid w:val="00D516CD"/>
    <w:rsid w:val="00D668E6"/>
    <w:rsid w:val="00D70670"/>
    <w:rsid w:val="00D74D80"/>
    <w:rsid w:val="00D76624"/>
    <w:rsid w:val="00D87570"/>
    <w:rsid w:val="00D91CB9"/>
    <w:rsid w:val="00D93214"/>
    <w:rsid w:val="00D97989"/>
    <w:rsid w:val="00D97D8D"/>
    <w:rsid w:val="00DA352E"/>
    <w:rsid w:val="00DB7CBC"/>
    <w:rsid w:val="00DC7694"/>
    <w:rsid w:val="00DD03E0"/>
    <w:rsid w:val="00DD1831"/>
    <w:rsid w:val="00DD1BF6"/>
    <w:rsid w:val="00DD2F9B"/>
    <w:rsid w:val="00DD799B"/>
    <w:rsid w:val="00DE2513"/>
    <w:rsid w:val="00DE26E8"/>
    <w:rsid w:val="00DF6F36"/>
    <w:rsid w:val="00E0084C"/>
    <w:rsid w:val="00E025AB"/>
    <w:rsid w:val="00E02B23"/>
    <w:rsid w:val="00E04C7F"/>
    <w:rsid w:val="00E06F40"/>
    <w:rsid w:val="00E07CE8"/>
    <w:rsid w:val="00E218CB"/>
    <w:rsid w:val="00E25552"/>
    <w:rsid w:val="00E26A07"/>
    <w:rsid w:val="00E32595"/>
    <w:rsid w:val="00E37CFD"/>
    <w:rsid w:val="00E41A26"/>
    <w:rsid w:val="00E46BCB"/>
    <w:rsid w:val="00E51CAF"/>
    <w:rsid w:val="00E60F04"/>
    <w:rsid w:val="00E6172F"/>
    <w:rsid w:val="00E62AAC"/>
    <w:rsid w:val="00E67C2F"/>
    <w:rsid w:val="00E67EF5"/>
    <w:rsid w:val="00E762C4"/>
    <w:rsid w:val="00E804EA"/>
    <w:rsid w:val="00E80A71"/>
    <w:rsid w:val="00E82337"/>
    <w:rsid w:val="00E92499"/>
    <w:rsid w:val="00E949AF"/>
    <w:rsid w:val="00E96077"/>
    <w:rsid w:val="00EA0A06"/>
    <w:rsid w:val="00EA6169"/>
    <w:rsid w:val="00EA6243"/>
    <w:rsid w:val="00EA74AB"/>
    <w:rsid w:val="00EB3D1B"/>
    <w:rsid w:val="00ED1D89"/>
    <w:rsid w:val="00ED66BC"/>
    <w:rsid w:val="00EF233A"/>
    <w:rsid w:val="00EF303E"/>
    <w:rsid w:val="00EF3A40"/>
    <w:rsid w:val="00EF7F78"/>
    <w:rsid w:val="00F00306"/>
    <w:rsid w:val="00F01B08"/>
    <w:rsid w:val="00F01C4D"/>
    <w:rsid w:val="00F053FA"/>
    <w:rsid w:val="00F10C97"/>
    <w:rsid w:val="00F117E2"/>
    <w:rsid w:val="00F11C71"/>
    <w:rsid w:val="00F14961"/>
    <w:rsid w:val="00F16019"/>
    <w:rsid w:val="00F20E68"/>
    <w:rsid w:val="00F22093"/>
    <w:rsid w:val="00F236DF"/>
    <w:rsid w:val="00F43AD5"/>
    <w:rsid w:val="00F4402E"/>
    <w:rsid w:val="00F53038"/>
    <w:rsid w:val="00F56DD0"/>
    <w:rsid w:val="00F6491C"/>
    <w:rsid w:val="00F67BBB"/>
    <w:rsid w:val="00F87D92"/>
    <w:rsid w:val="00F90AA7"/>
    <w:rsid w:val="00F92498"/>
    <w:rsid w:val="00F9496B"/>
    <w:rsid w:val="00F949F9"/>
    <w:rsid w:val="00F95809"/>
    <w:rsid w:val="00F970C9"/>
    <w:rsid w:val="00FA06A8"/>
    <w:rsid w:val="00FA18B6"/>
    <w:rsid w:val="00FA3DF5"/>
    <w:rsid w:val="00FA741F"/>
    <w:rsid w:val="00FB4E07"/>
    <w:rsid w:val="00FB755A"/>
    <w:rsid w:val="00FC60A2"/>
    <w:rsid w:val="00FD1871"/>
    <w:rsid w:val="00FD3110"/>
    <w:rsid w:val="00FD6089"/>
    <w:rsid w:val="00FE4E0C"/>
    <w:rsid w:val="00FF1A77"/>
    <w:rsid w:val="00FF5C3D"/>
    <w:rsid w:val="00FF7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090CACBD"/>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character" w:styleId="CommentReference">
    <w:name w:val="annotation reference"/>
    <w:basedOn w:val="DefaultParagraphFont"/>
    <w:uiPriority w:val="99"/>
    <w:semiHidden/>
    <w:unhideWhenUsed/>
    <w:rsid w:val="003862A2"/>
    <w:rPr>
      <w:sz w:val="16"/>
      <w:szCs w:val="16"/>
    </w:rPr>
  </w:style>
  <w:style w:type="paragraph" w:styleId="CommentText">
    <w:name w:val="annotation text"/>
    <w:basedOn w:val="Normal"/>
    <w:link w:val="CommentTextChar"/>
    <w:uiPriority w:val="99"/>
    <w:semiHidden/>
    <w:unhideWhenUsed/>
    <w:rsid w:val="003862A2"/>
    <w:pPr>
      <w:spacing w:line="240" w:lineRule="auto"/>
    </w:pPr>
    <w:rPr>
      <w:szCs w:val="20"/>
    </w:rPr>
  </w:style>
  <w:style w:type="character" w:customStyle="1" w:styleId="CommentTextChar">
    <w:name w:val="Comment Text Char"/>
    <w:basedOn w:val="DefaultParagraphFont"/>
    <w:link w:val="CommentText"/>
    <w:uiPriority w:val="99"/>
    <w:semiHidden/>
    <w:rsid w:val="003862A2"/>
    <w:rPr>
      <w:szCs w:val="20"/>
    </w:rPr>
  </w:style>
  <w:style w:type="paragraph" w:styleId="CommentSubject">
    <w:name w:val="annotation subject"/>
    <w:basedOn w:val="CommentText"/>
    <w:next w:val="CommentText"/>
    <w:link w:val="CommentSubjectChar"/>
    <w:uiPriority w:val="99"/>
    <w:semiHidden/>
    <w:unhideWhenUsed/>
    <w:rsid w:val="003862A2"/>
    <w:rPr>
      <w:b/>
      <w:bCs/>
    </w:rPr>
  </w:style>
  <w:style w:type="character" w:customStyle="1" w:styleId="CommentSubjectChar">
    <w:name w:val="Comment Subject Char"/>
    <w:basedOn w:val="CommentTextChar"/>
    <w:link w:val="CommentSubject"/>
    <w:uiPriority w:val="99"/>
    <w:semiHidden/>
    <w:rsid w:val="003862A2"/>
    <w:rPr>
      <w:b/>
      <w:bCs/>
      <w:szCs w:val="20"/>
    </w:rPr>
  </w:style>
  <w:style w:type="paragraph" w:styleId="ListBullet">
    <w:name w:val="List Bullet"/>
    <w:basedOn w:val="Normal"/>
    <w:uiPriority w:val="99"/>
    <w:unhideWhenUsed/>
    <w:rsid w:val="005E2AA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9617">
      <w:bodyDiv w:val="1"/>
      <w:marLeft w:val="0"/>
      <w:marRight w:val="0"/>
      <w:marTop w:val="0"/>
      <w:marBottom w:val="0"/>
      <w:divBdr>
        <w:top w:val="none" w:sz="0" w:space="0" w:color="auto"/>
        <w:left w:val="none" w:sz="0" w:space="0" w:color="auto"/>
        <w:bottom w:val="none" w:sz="0" w:space="0" w:color="auto"/>
        <w:right w:val="none" w:sz="0" w:space="0" w:color="auto"/>
      </w:divBdr>
    </w:div>
    <w:div w:id="5956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8DD754E365844A4E82EC69A07E229629"/>
        <w:category>
          <w:name w:val="General"/>
          <w:gallery w:val="placeholder"/>
        </w:category>
        <w:types>
          <w:type w:val="bbPlcHdr"/>
        </w:types>
        <w:behaviors>
          <w:behavior w:val="content"/>
        </w:behaviors>
        <w:guid w:val="{9F4DDB53-9FC4-45A7-A37C-FDECC7AE23CB}"/>
      </w:docPartPr>
      <w:docPartBody>
        <w:p w:rsidR="00D21A9F" w:rsidRDefault="00D21A9F">
          <w:pPr>
            <w:pStyle w:val="8DD754E365844A4E82EC69A07E229629"/>
          </w:pPr>
          <w:r w:rsidRPr="00724F1C">
            <w:rPr>
              <w:rStyle w:val="PlaceholderText"/>
            </w:rPr>
            <w:t>Choose an item.</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20BC8D26515A4C11AC6304FB75A7CBAD"/>
        <w:category>
          <w:name w:val="General"/>
          <w:gallery w:val="placeholder"/>
        </w:category>
        <w:types>
          <w:type w:val="bbPlcHdr"/>
        </w:types>
        <w:behaviors>
          <w:behavior w:val="content"/>
        </w:behaviors>
        <w:guid w:val="{95AF72BE-1073-48D1-A613-18F5D94AD94A}"/>
      </w:docPartPr>
      <w:docPartBody>
        <w:p w:rsidR="00D21A9F" w:rsidRDefault="00D21A9F">
          <w:pPr>
            <w:pStyle w:val="20BC8D26515A4C11AC6304FB75A7CBAD"/>
          </w:pPr>
          <w:r w:rsidRPr="00724F1C">
            <w:rPr>
              <w:rStyle w:val="PlaceholderText"/>
            </w:rPr>
            <w:t>Choose an item.</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93A7BE112ACE4C6EBEA7F029FF1FCD9F"/>
        <w:category>
          <w:name w:val="General"/>
          <w:gallery w:val="placeholder"/>
        </w:category>
        <w:types>
          <w:type w:val="bbPlcHdr"/>
        </w:types>
        <w:behaviors>
          <w:behavior w:val="content"/>
        </w:behaviors>
        <w:guid w:val="{4519D88C-65A0-40A1-9FFE-655C36B3425F}"/>
      </w:docPartPr>
      <w:docPartBody>
        <w:p w:rsidR="00826BBD" w:rsidRDefault="002A51C6" w:rsidP="002A51C6">
          <w:pPr>
            <w:pStyle w:val="93A7BE112ACE4C6EBEA7F029FF1FCD9F"/>
          </w:pPr>
          <w:r>
            <w:rPr>
              <w:color w:val="00B050"/>
            </w:rPr>
            <w:t>tier </w:t>
          </w:r>
          <w:r w:rsidRPr="0071660C">
            <w:rPr>
              <w:color w:val="00B050"/>
            </w:rPr>
            <w:t>II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0F3225"/>
    <w:rsid w:val="001C78F1"/>
    <w:rsid w:val="002A51C6"/>
    <w:rsid w:val="00826BBD"/>
    <w:rsid w:val="00891CE1"/>
    <w:rsid w:val="00945D7A"/>
    <w:rsid w:val="00B717EA"/>
    <w:rsid w:val="00BD6CCC"/>
    <w:rsid w:val="00D2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225"/>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2427F751A46C4FEF8D505BA8EF53FB3D">
    <w:name w:val="2427F751A46C4FEF8D505BA8EF53FB3D"/>
    <w:rsid w:val="000F3225"/>
  </w:style>
  <w:style w:type="paragraph" w:customStyle="1" w:styleId="3945524C0ECE4A2FAAB5CE76AF25E19C">
    <w:name w:val="3945524C0ECE4A2FAAB5CE76AF25E19C"/>
    <w:rsid w:val="000F3225"/>
  </w:style>
  <w:style w:type="paragraph" w:customStyle="1" w:styleId="1E0D008D4D6F4E81AB7D18CD2662AEF3">
    <w:name w:val="1E0D008D4D6F4E81AB7D18CD2662AEF3"/>
    <w:rsid w:val="000F3225"/>
  </w:style>
  <w:style w:type="paragraph" w:customStyle="1" w:styleId="83DFC4F5DD984E8A9486D5FE07B85462">
    <w:name w:val="83DFC4F5DD984E8A9486D5FE07B85462"/>
    <w:rsid w:val="000F3225"/>
  </w:style>
  <w:style w:type="paragraph" w:customStyle="1" w:styleId="8673103D9C374356B238792E849B780D">
    <w:name w:val="8673103D9C374356B238792E849B780D"/>
    <w:rsid w:val="000F3225"/>
  </w:style>
  <w:style w:type="paragraph" w:customStyle="1" w:styleId="5E9715D6A3D14567B8A5804669D26802">
    <w:name w:val="5E9715D6A3D14567B8A5804669D26802"/>
    <w:rsid w:val="00945D7A"/>
  </w:style>
  <w:style w:type="paragraph" w:customStyle="1" w:styleId="832E63233E9140F78CF3470B81ED0C23">
    <w:name w:val="832E63233E9140F78CF3470B81ED0C23"/>
    <w:rsid w:val="00945D7A"/>
  </w:style>
  <w:style w:type="paragraph" w:customStyle="1" w:styleId="7CF4345C20294CF2956C639880F17A6B">
    <w:name w:val="7CF4345C20294CF2956C639880F17A6B"/>
    <w:rsid w:val="00B717EA"/>
  </w:style>
  <w:style w:type="paragraph" w:customStyle="1" w:styleId="93A7BE112ACE4C6EBEA7F029FF1FCD9F">
    <w:name w:val="93A7BE112ACE4C6EBEA7F029FF1FCD9F"/>
    <w:rsid w:val="002A5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1D1B-A44C-434C-824D-56972D3B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3.xml><?xml version="1.0" encoding="utf-8"?>
<ds:datastoreItem xmlns:ds="http://schemas.openxmlformats.org/officeDocument/2006/customXml" ds:itemID="{B26FD3B4-E5FF-44D0-A85D-1656AEB7AF7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bf54d604-3e62-4e70-ba33-9e9084b96a66"/>
    <ds:schemaRef ds:uri="http://www.w3.org/XML/1998/namespace"/>
    <ds:schemaRef ds:uri="http://purl.org/dc/dcmitype/"/>
  </ds:schemaRefs>
</ds:datastoreItem>
</file>

<file path=customXml/itemProps4.xml><?xml version="1.0" encoding="utf-8"?>
<ds:datastoreItem xmlns:ds="http://schemas.openxmlformats.org/officeDocument/2006/customXml" ds:itemID="{62C3BA61-5FEF-45EC-BFF1-C3B10B6E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7</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HEARD,Jonathan</cp:lastModifiedBy>
  <cp:revision>53</cp:revision>
  <cp:lastPrinted>2018-10-22T22:41:00Z</cp:lastPrinted>
  <dcterms:created xsi:type="dcterms:W3CDTF">2019-08-19T00:20:00Z</dcterms:created>
  <dcterms:modified xsi:type="dcterms:W3CDTF">2019-10-10T23:52:00Z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