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B2F1EBD" w14:textId="32005EE1" w:rsidR="00BD499F" w:rsidRPr="004C23F4" w:rsidRDefault="0051666E" w:rsidP="00B40C60">
          <w:pPr>
            <w:pStyle w:val="Heading1"/>
            <w:jc w:val="center"/>
            <w:rPr>
              <w:rFonts w:ascii="Arial" w:hAnsi="Arial" w:cs="Arial"/>
            </w:rPr>
          </w:pPr>
          <w:r w:rsidRPr="0051666E">
            <w:rPr>
              <w:rFonts w:ascii="Arial" w:hAnsi="Arial" w:cs="Arial"/>
            </w:rPr>
            <w:t>Decaborane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2"/>
        <w:gridCol w:w="5034"/>
      </w:tblGrid>
      <w:tr w:rsidR="00F43AD5" w:rsidRPr="004C23F4" w14:paraId="6040D4C3" w14:textId="77777777" w:rsidTr="00B76A41">
        <w:trPr>
          <w:cantSplit/>
          <w:tblHeader/>
        </w:trPr>
        <w:tc>
          <w:tcPr>
            <w:tcW w:w="4077" w:type="dxa"/>
          </w:tcPr>
          <w:p w14:paraId="79BAFBB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557B17D" w14:textId="4B55C81F" w:rsidR="00F43AD5" w:rsidRPr="00717D45" w:rsidRDefault="0051666E" w:rsidP="00B76A41">
            <w:pPr>
              <w:pStyle w:val="Tablefont"/>
            </w:pPr>
            <w:r w:rsidRPr="0051666E">
              <w:t>17702-41-9</w:t>
            </w:r>
          </w:p>
        </w:tc>
      </w:tr>
      <w:tr w:rsidR="00F43AD5" w:rsidRPr="004C23F4" w14:paraId="114B425B" w14:textId="77777777" w:rsidTr="00B76A41">
        <w:trPr>
          <w:cantSplit/>
        </w:trPr>
        <w:tc>
          <w:tcPr>
            <w:tcW w:w="4077" w:type="dxa"/>
          </w:tcPr>
          <w:p w14:paraId="322F1A3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40CFCCE" w14:textId="4079B4FB" w:rsidR="00F43AD5" w:rsidRPr="00717D45" w:rsidRDefault="00FD159D" w:rsidP="00B76A41">
            <w:pPr>
              <w:pStyle w:val="Tablefont"/>
            </w:pPr>
            <w:r w:rsidRPr="004725D8">
              <w:t>—</w:t>
            </w:r>
          </w:p>
        </w:tc>
      </w:tr>
      <w:tr w:rsidR="00F43AD5" w:rsidRPr="004C23F4" w14:paraId="4AA604B1" w14:textId="77777777" w:rsidTr="00B76A41">
        <w:trPr>
          <w:cantSplit/>
        </w:trPr>
        <w:tc>
          <w:tcPr>
            <w:tcW w:w="4077" w:type="dxa"/>
          </w:tcPr>
          <w:p w14:paraId="0F3D568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F2D5F18" w14:textId="11DC0E70" w:rsidR="00F43AD5" w:rsidRPr="00717D45" w:rsidRDefault="00FD159D" w:rsidP="00B76A41">
            <w:pPr>
              <w:pStyle w:val="Tablefont"/>
            </w:pPr>
            <w:r>
              <w:t>B</w:t>
            </w:r>
            <w:r w:rsidRPr="00FD159D">
              <w:rPr>
                <w:vertAlign w:val="subscript"/>
              </w:rPr>
              <w:t>10</w:t>
            </w:r>
            <w:r>
              <w:t>H</w:t>
            </w:r>
            <w:r w:rsidRPr="00FD159D">
              <w:rPr>
                <w:vertAlign w:val="subscript"/>
              </w:rPr>
              <w:t>14</w:t>
            </w:r>
          </w:p>
        </w:tc>
      </w:tr>
      <w:tr w:rsidR="00F43AD5" w:rsidRPr="004C23F4" w14:paraId="2657085B" w14:textId="77777777" w:rsidTr="00B76A41">
        <w:trPr>
          <w:cantSplit/>
        </w:trPr>
        <w:tc>
          <w:tcPr>
            <w:tcW w:w="4077" w:type="dxa"/>
          </w:tcPr>
          <w:p w14:paraId="5E0EE67F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CAD7B10" w14:textId="77777777" w:rsidR="00F43AD5" w:rsidRPr="004725D8" w:rsidRDefault="004725D8" w:rsidP="00B76A41">
            <w:pPr>
              <w:pStyle w:val="Tablerowheading"/>
              <w:rPr>
                <w:b w:val="0"/>
              </w:rPr>
            </w:pPr>
            <w:r w:rsidRPr="004725D8">
              <w:rPr>
                <w:b w:val="0"/>
              </w:rPr>
              <w:t>—</w:t>
            </w:r>
          </w:p>
        </w:tc>
      </w:tr>
    </w:tbl>
    <w:p w14:paraId="73E84221" w14:textId="6A53D3A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37DFE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1FD145C1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303DD93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4FC3A657" w14:textId="639611A6" w:rsidR="002C7AFE" w:rsidRPr="004725D8" w:rsidRDefault="00B37DFE" w:rsidP="00017C82">
            <w:pPr>
              <w:pStyle w:val="Tablefont"/>
              <w:rPr>
                <w:b/>
              </w:rPr>
            </w:pPr>
            <w:r w:rsidRPr="00B37DFE">
              <w:rPr>
                <w:b/>
              </w:rPr>
              <w:t>0.05 ppm (0.25 mg/m</w:t>
            </w:r>
            <w:r w:rsidRPr="00B37DFE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7AA329C6" w14:textId="77777777" w:rsidTr="00921DE7">
        <w:trPr>
          <w:cantSplit/>
        </w:trPr>
        <w:tc>
          <w:tcPr>
            <w:tcW w:w="4077" w:type="dxa"/>
            <w:vAlign w:val="center"/>
          </w:tcPr>
          <w:p w14:paraId="3A6DB10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1D2DA1C1" w14:textId="109DCE35" w:rsidR="002C7AFE" w:rsidRPr="004725D8" w:rsidRDefault="00B37DF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0.15 ppm (0.7</w:t>
            </w:r>
            <w:r w:rsidRPr="00B37DFE">
              <w:rPr>
                <w:b/>
              </w:rPr>
              <w:t>5 mg/m</w:t>
            </w:r>
            <w:r w:rsidRPr="00B37DFE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12A4A5FB" w14:textId="77777777" w:rsidTr="00921DE7">
        <w:trPr>
          <w:cantSplit/>
        </w:trPr>
        <w:tc>
          <w:tcPr>
            <w:tcW w:w="4077" w:type="dxa"/>
            <w:vAlign w:val="center"/>
          </w:tcPr>
          <w:p w14:paraId="608687C4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24134757" w14:textId="77777777" w:rsidR="002C7AFE" w:rsidRPr="009534D4" w:rsidRDefault="004725D8" w:rsidP="00017C82">
            <w:pPr>
              <w:pStyle w:val="Tablefont"/>
            </w:pPr>
            <w:r w:rsidRPr="009534D4">
              <w:t>—</w:t>
            </w:r>
          </w:p>
        </w:tc>
      </w:tr>
      <w:tr w:rsidR="002C7AFE" w:rsidRPr="004C23F4" w14:paraId="06F44CEB" w14:textId="77777777" w:rsidTr="00A2073D">
        <w:trPr>
          <w:cantSplit/>
        </w:trPr>
        <w:tc>
          <w:tcPr>
            <w:tcW w:w="4077" w:type="dxa"/>
          </w:tcPr>
          <w:p w14:paraId="51804BB3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41E4F0BD" w14:textId="49F8CB77" w:rsidR="002C7AFE" w:rsidRPr="00BD0073" w:rsidRDefault="00447CF4" w:rsidP="008A36CF">
            <w:pPr>
              <w:pStyle w:val="Tablefont"/>
              <w:rPr>
                <w:b/>
              </w:rPr>
            </w:pPr>
            <w:r w:rsidRPr="00BD0073">
              <w:rPr>
                <w:b/>
              </w:rPr>
              <w:t>Sk.</w:t>
            </w:r>
          </w:p>
        </w:tc>
      </w:tr>
      <w:tr w:rsidR="002C7AFE" w:rsidRPr="004C23F4" w14:paraId="70B5DFEC" w14:textId="77777777" w:rsidTr="00921DE7">
        <w:trPr>
          <w:cantSplit/>
        </w:trPr>
        <w:tc>
          <w:tcPr>
            <w:tcW w:w="4077" w:type="dxa"/>
            <w:vAlign w:val="center"/>
          </w:tcPr>
          <w:p w14:paraId="65378712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1E45A41E" w14:textId="2F1085F5" w:rsidR="002C7AFE" w:rsidRPr="00BD0073" w:rsidRDefault="009534D4" w:rsidP="00017C82">
            <w:pPr>
              <w:pStyle w:val="Tablefont"/>
              <w:rPr>
                <w:b/>
              </w:rPr>
            </w:pPr>
            <w:r w:rsidRPr="00BD0073">
              <w:rPr>
                <w:b/>
              </w:rPr>
              <w:t>15</w:t>
            </w:r>
            <w:r w:rsidR="00447CF4" w:rsidRPr="00BD0073">
              <w:rPr>
                <w:b/>
              </w:rPr>
              <w:t xml:space="preserve"> </w:t>
            </w:r>
            <w:r w:rsidRPr="00BD0073">
              <w:rPr>
                <w:b/>
              </w:rPr>
              <w:t>mg/m</w:t>
            </w:r>
            <w:r w:rsidRPr="00BD0073">
              <w:rPr>
                <w:b/>
                <w:vertAlign w:val="superscript"/>
              </w:rPr>
              <w:t>3</w:t>
            </w:r>
          </w:p>
        </w:tc>
      </w:tr>
      <w:tr w:rsidR="009F04D2" w:rsidRPr="004C23F4" w14:paraId="727ED07D" w14:textId="77777777" w:rsidTr="00921DE7">
        <w:trPr>
          <w:cantSplit/>
        </w:trPr>
        <w:tc>
          <w:tcPr>
            <w:tcW w:w="4077" w:type="dxa"/>
            <w:vAlign w:val="center"/>
          </w:tcPr>
          <w:p w14:paraId="336C0085" w14:textId="77777777" w:rsidR="009F04D2" w:rsidRDefault="009F04D2" w:rsidP="00BD0073">
            <w:pPr>
              <w:pStyle w:val="Tablerowright"/>
            </w:pPr>
            <w:r>
              <w:t>Sampling and analysis:</w:t>
            </w:r>
          </w:p>
          <w:p w14:paraId="0C5C5673" w14:textId="095E99AA" w:rsidR="00290F78" w:rsidRDefault="00290F78" w:rsidP="00BD0073">
            <w:pPr>
              <w:pStyle w:val="Tablerowright"/>
            </w:pPr>
          </w:p>
        </w:tc>
        <w:tc>
          <w:tcPr>
            <w:tcW w:w="5165" w:type="dxa"/>
          </w:tcPr>
          <w:p w14:paraId="4D6D3B0A" w14:textId="5EFBD32E" w:rsidR="009F04D2" w:rsidRPr="00290F78" w:rsidRDefault="00290F78" w:rsidP="00017C82">
            <w:pPr>
              <w:pStyle w:val="Tablefont"/>
            </w:pPr>
            <w:r w:rsidRPr="00290F78">
              <w:t>The recommended value is quantifiable through available sampling and analysis techniques.</w:t>
            </w:r>
          </w:p>
        </w:tc>
      </w:tr>
    </w:tbl>
    <w:p w14:paraId="06112DC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8EBF5F4" w14:textId="01C72F7D" w:rsidR="00B37DFE" w:rsidRDefault="00B37DFE" w:rsidP="00B37DFE">
      <w:pPr>
        <w:rPr>
          <w:rFonts w:cs="Arial"/>
        </w:rPr>
      </w:pPr>
      <w:r w:rsidRPr="007B14D6">
        <w:rPr>
          <w:rFonts w:cs="Arial"/>
        </w:rPr>
        <w:t xml:space="preserve">A TWA of </w:t>
      </w:r>
      <w:r w:rsidRPr="00B37DFE">
        <w:rPr>
          <w:rFonts w:cs="Arial"/>
        </w:rPr>
        <w:t>0.05 ppm (0.25 mg/m</w:t>
      </w:r>
      <w:r w:rsidRPr="00B37DFE">
        <w:rPr>
          <w:rFonts w:cs="Arial"/>
          <w:vertAlign w:val="superscript"/>
        </w:rPr>
        <w:t>3</w:t>
      </w:r>
      <w:r w:rsidRPr="00B37DFE">
        <w:rPr>
          <w:rFonts w:cs="Arial"/>
        </w:rPr>
        <w:t>)</w:t>
      </w:r>
      <w:r>
        <w:rPr>
          <w:rFonts w:cs="Arial"/>
        </w:rPr>
        <w:t xml:space="preserve"> </w:t>
      </w:r>
      <w:proofErr w:type="gramStart"/>
      <w:r w:rsidRPr="007B14D6">
        <w:rPr>
          <w:rFonts w:cs="Arial"/>
        </w:rPr>
        <w:t xml:space="preserve">is </w:t>
      </w:r>
      <w:r w:rsidR="00DF04DE">
        <w:rPr>
          <w:rFonts w:cs="Arial"/>
        </w:rPr>
        <w:t>recommended</w:t>
      </w:r>
      <w:proofErr w:type="gramEnd"/>
      <w:r w:rsidR="00DF04DE" w:rsidRPr="007B14D6">
        <w:rPr>
          <w:rFonts w:cs="Arial"/>
        </w:rPr>
        <w:t xml:space="preserve"> </w:t>
      </w:r>
      <w:r w:rsidRPr="007B14D6">
        <w:rPr>
          <w:rFonts w:cs="Arial"/>
        </w:rPr>
        <w:t xml:space="preserve">to protect for </w:t>
      </w:r>
      <w:r w:rsidRPr="00B37DFE">
        <w:rPr>
          <w:rFonts w:cs="Arial"/>
        </w:rPr>
        <w:t>h</w:t>
      </w:r>
      <w:r>
        <w:rPr>
          <w:rFonts w:cs="Arial"/>
        </w:rPr>
        <w:t>eadache, nausea and</w:t>
      </w:r>
      <w:r w:rsidRPr="00B37DFE">
        <w:rPr>
          <w:rFonts w:cs="Arial"/>
        </w:rPr>
        <w:t xml:space="preserve"> dizziness</w:t>
      </w:r>
      <w:r w:rsidR="00DF04DE">
        <w:rPr>
          <w:rFonts w:cs="Arial"/>
        </w:rPr>
        <w:t xml:space="preserve"> in</w:t>
      </w:r>
      <w:r w:rsidRPr="00B37DFE">
        <w:rPr>
          <w:rFonts w:cs="Arial"/>
        </w:rPr>
        <w:t xml:space="preserve"> </w:t>
      </w:r>
      <w:r w:rsidRPr="005B4063">
        <w:rPr>
          <w:rFonts w:eastAsia="Calibri" w:cs="Times New Roman"/>
        </w:rPr>
        <w:t>exposed workers</w:t>
      </w:r>
      <w:r w:rsidRPr="005B4063">
        <w:rPr>
          <w:rFonts w:cs="Arial"/>
        </w:rPr>
        <w:t>.</w:t>
      </w:r>
    </w:p>
    <w:p w14:paraId="6F477E6F" w14:textId="216F90E3" w:rsidR="00B37DFE" w:rsidRDefault="00B37DFE" w:rsidP="00B37DFE">
      <w:pPr>
        <w:rPr>
          <w:rFonts w:eastAsia="Calibri" w:cs="Times New Roman"/>
        </w:rPr>
      </w:pPr>
      <w:r w:rsidRPr="005B4063">
        <w:rPr>
          <w:rFonts w:eastAsia="Calibri" w:cs="Times New Roman"/>
        </w:rPr>
        <w:t xml:space="preserve">A STEL of </w:t>
      </w:r>
      <w:r w:rsidRPr="00B37DFE">
        <w:rPr>
          <w:rFonts w:eastAsia="Calibri" w:cs="Times New Roman"/>
        </w:rPr>
        <w:t>0.15 ppm (0.75 mg/m</w:t>
      </w:r>
      <w:r w:rsidRPr="00B37DFE">
        <w:rPr>
          <w:rFonts w:eastAsia="Calibri" w:cs="Times New Roman"/>
          <w:vertAlign w:val="superscript"/>
        </w:rPr>
        <w:t>3</w:t>
      </w:r>
      <w:r w:rsidRPr="00B37DFE">
        <w:rPr>
          <w:rFonts w:eastAsia="Calibri" w:cs="Times New Roman"/>
        </w:rPr>
        <w:t>)</w:t>
      </w:r>
      <w:r>
        <w:rPr>
          <w:rFonts w:eastAsia="Calibri" w:cs="Times New Roman"/>
        </w:rPr>
        <w:t xml:space="preserve"> </w:t>
      </w:r>
      <w:proofErr w:type="gramStart"/>
      <w:r w:rsidRPr="005B4063">
        <w:rPr>
          <w:rFonts w:eastAsia="Calibri" w:cs="Times New Roman"/>
        </w:rPr>
        <w:t xml:space="preserve">is </w:t>
      </w:r>
      <w:r w:rsidR="00DF04DE">
        <w:rPr>
          <w:rFonts w:eastAsia="Calibri" w:cs="Times New Roman"/>
        </w:rPr>
        <w:t>recommended</w:t>
      </w:r>
      <w:proofErr w:type="gramEnd"/>
      <w:r w:rsidR="00DF04DE" w:rsidRPr="005B4063">
        <w:rPr>
          <w:rFonts w:eastAsia="Calibri" w:cs="Times New Roman"/>
        </w:rPr>
        <w:t xml:space="preserve"> </w:t>
      </w:r>
      <w:r w:rsidRPr="005B4063">
        <w:rPr>
          <w:rFonts w:eastAsia="Calibri" w:cs="Times New Roman"/>
        </w:rPr>
        <w:t xml:space="preserve">to protect for </w:t>
      </w:r>
      <w:r w:rsidRPr="00B37DFE">
        <w:rPr>
          <w:rFonts w:eastAsia="Calibri" w:cs="Times New Roman"/>
        </w:rPr>
        <w:t>central nervous system (CNS) effects</w:t>
      </w:r>
      <w:r w:rsidRPr="005B4063">
        <w:rPr>
          <w:rFonts w:eastAsia="Calibri" w:cs="Times New Roman"/>
        </w:rPr>
        <w:t xml:space="preserve"> </w:t>
      </w:r>
      <w:r w:rsidR="00DF04DE">
        <w:rPr>
          <w:rFonts w:eastAsia="Calibri" w:cs="Times New Roman"/>
        </w:rPr>
        <w:t>from</w:t>
      </w:r>
      <w:r w:rsidRPr="005B4063">
        <w:rPr>
          <w:rFonts w:eastAsia="Calibri" w:cs="Times New Roman"/>
        </w:rPr>
        <w:t xml:space="preserve"> acute exposures in workers.</w:t>
      </w:r>
    </w:p>
    <w:p w14:paraId="24CA5EA3" w14:textId="77777777" w:rsidR="00B37DFE" w:rsidRPr="004C23F4" w:rsidRDefault="00B37DFE" w:rsidP="00B37DFE">
      <w:pPr>
        <w:pStyle w:val="Heading2"/>
      </w:pPr>
      <w:r>
        <w:t>Discussion and conclusions</w:t>
      </w:r>
    </w:p>
    <w:p w14:paraId="43C11EF2" w14:textId="22B22BBB" w:rsidR="002673A5" w:rsidRDefault="00B37DFE" w:rsidP="00B37DFE">
      <w:proofErr w:type="spellStart"/>
      <w:r>
        <w:rPr>
          <w:rFonts w:cs="Arial"/>
        </w:rPr>
        <w:t>Decaborane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is used</w:t>
      </w:r>
      <w:proofErr w:type="gramEnd"/>
      <w:r>
        <w:rPr>
          <w:rFonts w:cs="Arial"/>
        </w:rPr>
        <w:t xml:space="preserve"> as </w:t>
      </w:r>
      <w:r w:rsidR="00F01FE5">
        <w:rPr>
          <w:rFonts w:cs="Arial"/>
        </w:rPr>
        <w:t>an olefin polymeri</w:t>
      </w:r>
      <w:r w:rsidR="009534D4">
        <w:rPr>
          <w:rFonts w:cs="Arial"/>
        </w:rPr>
        <w:t>s</w:t>
      </w:r>
      <w:r w:rsidR="00F01FE5">
        <w:rPr>
          <w:rFonts w:cs="Arial"/>
        </w:rPr>
        <w:t xml:space="preserve">ation catalyst and in rocket propellant. </w:t>
      </w:r>
      <w:r w:rsidR="00D17A49" w:rsidRPr="00D17A49">
        <w:rPr>
          <w:rFonts w:cs="Arial"/>
        </w:rPr>
        <w:t>Toxicological data are limited and no human exposure data are currently available</w:t>
      </w:r>
      <w:r w:rsidR="00D17A49">
        <w:rPr>
          <w:rFonts w:cs="Arial"/>
        </w:rPr>
        <w:t>.</w:t>
      </w:r>
      <w:r w:rsidR="00D17A49" w:rsidRPr="00D17A49">
        <w:rPr>
          <w:rFonts w:cs="Arial"/>
        </w:rPr>
        <w:t xml:space="preserve"> </w:t>
      </w:r>
      <w:r w:rsidR="0079577E">
        <w:rPr>
          <w:rFonts w:cs="Arial"/>
        </w:rPr>
        <w:t>Based on available animal data i</w:t>
      </w:r>
      <w:r w:rsidR="002673A5">
        <w:rPr>
          <w:rFonts w:cs="Arial"/>
        </w:rPr>
        <w:t xml:space="preserve">t </w:t>
      </w:r>
      <w:r w:rsidR="0079577E">
        <w:rPr>
          <w:rFonts w:cs="Arial"/>
        </w:rPr>
        <w:t xml:space="preserve">has </w:t>
      </w:r>
      <w:r w:rsidR="00F01FE5">
        <w:rPr>
          <w:rFonts w:cs="Arial"/>
        </w:rPr>
        <w:t>high inhalation</w:t>
      </w:r>
      <w:r w:rsidR="0079577E">
        <w:rPr>
          <w:rFonts w:cs="Arial"/>
        </w:rPr>
        <w:t>al</w:t>
      </w:r>
      <w:r w:rsidR="00F01FE5">
        <w:rPr>
          <w:rFonts w:cs="Arial"/>
        </w:rPr>
        <w:t xml:space="preserve"> acute toxicity and medium to high </w:t>
      </w:r>
      <w:r w:rsidR="002673A5">
        <w:rPr>
          <w:rFonts w:cs="Arial"/>
        </w:rPr>
        <w:t xml:space="preserve">dermal </w:t>
      </w:r>
      <w:r w:rsidR="00F01FE5">
        <w:rPr>
          <w:rFonts w:cs="Arial"/>
        </w:rPr>
        <w:t>acute toxicity</w:t>
      </w:r>
      <w:r w:rsidR="00F01FE5">
        <w:t xml:space="preserve">. </w:t>
      </w:r>
    </w:p>
    <w:p w14:paraId="54D4F7B7" w14:textId="7F4AC246" w:rsidR="00B37DFE" w:rsidRDefault="00D17A49" w:rsidP="00B37DFE">
      <w:r>
        <w:t>T</w:t>
      </w:r>
      <w:r w:rsidR="00F01FE5">
        <w:t xml:space="preserve">he ACGIH recommendation for the TLV-TWA </w:t>
      </w:r>
      <w:r w:rsidR="005F05E7">
        <w:t xml:space="preserve">of 0.05 ppm </w:t>
      </w:r>
      <w:r w:rsidR="00F01FE5">
        <w:t xml:space="preserve">and TLV-STEL </w:t>
      </w:r>
      <w:r w:rsidR="005F05E7">
        <w:t xml:space="preserve">of 0.15 ppm </w:t>
      </w:r>
      <w:proofErr w:type="gramStart"/>
      <w:r w:rsidR="0079577E">
        <w:t>is based</w:t>
      </w:r>
      <w:proofErr w:type="gramEnd"/>
      <w:r w:rsidR="0079577E">
        <w:t>, in part,</w:t>
      </w:r>
      <w:r w:rsidR="00F01FE5">
        <w:t xml:space="preserve"> by analogy to </w:t>
      </w:r>
      <w:proofErr w:type="spellStart"/>
      <w:r w:rsidR="009534D4">
        <w:t>d</w:t>
      </w:r>
      <w:r w:rsidR="009534D4" w:rsidRPr="00F01FE5">
        <w:t>iborane</w:t>
      </w:r>
      <w:proofErr w:type="spellEnd"/>
      <w:r w:rsidR="009534D4" w:rsidRPr="00F01FE5">
        <w:t xml:space="preserve"> </w:t>
      </w:r>
      <w:r w:rsidR="00F01FE5" w:rsidRPr="00F01FE5">
        <w:t xml:space="preserve">and </w:t>
      </w:r>
      <w:r w:rsidR="009534D4">
        <w:t>p</w:t>
      </w:r>
      <w:r w:rsidR="009534D4" w:rsidRPr="00F01FE5">
        <w:t>entaborane</w:t>
      </w:r>
      <w:r w:rsidR="004D265A">
        <w:t>.</w:t>
      </w:r>
      <w:r w:rsidR="00F01FE5">
        <w:t xml:space="preserve"> </w:t>
      </w:r>
      <w:r w:rsidR="0079577E">
        <w:t>T</w:t>
      </w:r>
      <w:r w:rsidR="005663AC">
        <w:t xml:space="preserve">he estimated daily dose at the </w:t>
      </w:r>
      <w:r w:rsidR="005F05E7">
        <w:t>recommended</w:t>
      </w:r>
      <w:r w:rsidR="0037347D">
        <w:t xml:space="preserve"> </w:t>
      </w:r>
      <w:r w:rsidR="005663AC">
        <w:t xml:space="preserve">TWA is less than half </w:t>
      </w:r>
      <w:r w:rsidR="005F05E7">
        <w:t xml:space="preserve">of </w:t>
      </w:r>
      <w:r w:rsidR="005663AC">
        <w:t>the known LO</w:t>
      </w:r>
      <w:r w:rsidR="0000343C">
        <w:t>A</w:t>
      </w:r>
      <w:r w:rsidR="005663AC">
        <w:t>EL</w:t>
      </w:r>
      <w:r w:rsidR="00EC34F4">
        <w:t xml:space="preserve"> </w:t>
      </w:r>
      <w:r w:rsidR="005F05E7">
        <w:t xml:space="preserve">(0.15 ppm) </w:t>
      </w:r>
      <w:r w:rsidR="00EC34F4">
        <w:t>derived from animal studies</w:t>
      </w:r>
      <w:r w:rsidR="004D265A">
        <w:t xml:space="preserve"> (ACGIH</w:t>
      </w:r>
      <w:r w:rsidR="00447CF4">
        <w:t>,</w:t>
      </w:r>
      <w:r w:rsidR="004D265A">
        <w:t xml:space="preserve"> 2018)</w:t>
      </w:r>
      <w:r w:rsidR="005663AC">
        <w:t>.</w:t>
      </w:r>
    </w:p>
    <w:p w14:paraId="7773F9B2" w14:textId="30C52C73" w:rsidR="00F01FE5" w:rsidRDefault="00D17A49" w:rsidP="00F01FE5">
      <w:r>
        <w:t>T</w:t>
      </w:r>
      <w:r w:rsidR="00F01FE5">
        <w:t xml:space="preserve">he </w:t>
      </w:r>
      <w:r>
        <w:t xml:space="preserve">recommended </w:t>
      </w:r>
      <w:r w:rsidR="00F01FE5">
        <w:t>TWA</w:t>
      </w:r>
      <w:r w:rsidR="005663AC">
        <w:t xml:space="preserve"> and STEL</w:t>
      </w:r>
      <w:r w:rsidR="00F01FE5">
        <w:t xml:space="preserve"> </w:t>
      </w:r>
      <w:proofErr w:type="gramStart"/>
      <w:r w:rsidR="00635D0F">
        <w:t xml:space="preserve">are </w:t>
      </w:r>
      <w:r w:rsidR="00F01FE5">
        <w:t>considered</w:t>
      </w:r>
      <w:proofErr w:type="gramEnd"/>
      <w:r w:rsidR="00F01FE5">
        <w:t xml:space="preserve"> </w:t>
      </w:r>
      <w:r w:rsidR="00635D0F">
        <w:t>protective for</w:t>
      </w:r>
      <w:r w:rsidR="00F01FE5">
        <w:t xml:space="preserve"> </w:t>
      </w:r>
      <w:r w:rsidR="00F01FE5" w:rsidRPr="00C91D05">
        <w:t xml:space="preserve">the potential </w:t>
      </w:r>
      <w:r w:rsidR="005663AC">
        <w:t xml:space="preserve">headache, nausea, dizziness and CNS effects </w:t>
      </w:r>
      <w:r w:rsidR="00F01FE5">
        <w:t>in</w:t>
      </w:r>
      <w:r w:rsidR="00F01FE5" w:rsidRPr="005B4063">
        <w:rPr>
          <w:rFonts w:cs="Arial"/>
        </w:rPr>
        <w:t xml:space="preserve"> </w:t>
      </w:r>
      <w:r w:rsidR="00F01FE5" w:rsidRPr="005B4063">
        <w:rPr>
          <w:rFonts w:eastAsia="Calibri" w:cs="Times New Roman"/>
        </w:rPr>
        <w:t>exposed workers</w:t>
      </w:r>
      <w:r w:rsidR="00F01FE5">
        <w:rPr>
          <w:rFonts w:eastAsia="Calibri" w:cs="Times New Roman"/>
        </w:rPr>
        <w:t xml:space="preserve">. </w:t>
      </w:r>
      <w:r w:rsidR="00635D0F">
        <w:rPr>
          <w:rFonts w:eastAsia="Calibri" w:cs="Times New Roman"/>
        </w:rPr>
        <w:t xml:space="preserve">Investigation of additional data sources </w:t>
      </w:r>
      <w:proofErr w:type="gramStart"/>
      <w:r w:rsidR="00F01FE5">
        <w:rPr>
          <w:rFonts w:eastAsia="Calibri" w:cs="Times New Roman"/>
        </w:rPr>
        <w:t>is recommended</w:t>
      </w:r>
      <w:proofErr w:type="gramEnd"/>
      <w:r w:rsidR="00F01FE5">
        <w:rPr>
          <w:rFonts w:eastAsia="Calibri" w:cs="Times New Roman"/>
        </w:rPr>
        <w:t xml:space="preserve"> </w:t>
      </w:r>
      <w:r w:rsidR="00635D0F">
        <w:rPr>
          <w:rFonts w:eastAsia="Calibri" w:cs="Times New Roman"/>
        </w:rPr>
        <w:t xml:space="preserve">at the next scheduled review </w:t>
      </w:r>
      <w:r w:rsidR="00F01FE5">
        <w:rPr>
          <w:rFonts w:eastAsia="Calibri" w:cs="Times New Roman"/>
        </w:rPr>
        <w:t xml:space="preserve">to identify any </w:t>
      </w:r>
      <w:r w:rsidR="00635D0F">
        <w:rPr>
          <w:rFonts w:eastAsia="Calibri" w:cs="Times New Roman"/>
        </w:rPr>
        <w:t xml:space="preserve">other </w:t>
      </w:r>
      <w:r w:rsidR="00F01FE5">
        <w:rPr>
          <w:rFonts w:eastAsia="Calibri" w:cs="Times New Roman"/>
        </w:rPr>
        <w:t>relevant toxicological data.</w:t>
      </w:r>
    </w:p>
    <w:p w14:paraId="393CB03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5B43CDC" w14:textId="782131F3" w:rsidR="004D265A" w:rsidRPr="00820121" w:rsidRDefault="004D265A" w:rsidP="004D265A">
      <w:pPr>
        <w:rPr>
          <w:rFonts w:cs="Arial"/>
        </w:rPr>
      </w:pPr>
      <w:r w:rsidRPr="00820121">
        <w:rPr>
          <w:rFonts w:cs="Arial"/>
        </w:rPr>
        <w:t>Not classified as a carcinogen according to the Globally Harmonized System of Classification and Labelling o</w:t>
      </w:r>
      <w:r w:rsidR="005924C3">
        <w:rPr>
          <w:rFonts w:cs="Arial"/>
        </w:rPr>
        <w:t>f</w:t>
      </w:r>
      <w:r w:rsidRPr="00820121">
        <w:rPr>
          <w:rFonts w:cs="Arial"/>
        </w:rPr>
        <w:t xml:space="preserve"> Chemicals (GHS). </w:t>
      </w:r>
    </w:p>
    <w:p w14:paraId="0E8F9BE4" w14:textId="3E5863AB" w:rsidR="004D265A" w:rsidRPr="00820121" w:rsidRDefault="004D265A" w:rsidP="004D265A">
      <w:pPr>
        <w:rPr>
          <w:rFonts w:cs="Arial"/>
        </w:rPr>
      </w:pPr>
      <w:r w:rsidRPr="00820121">
        <w:rPr>
          <w:rFonts w:cs="Arial"/>
        </w:rPr>
        <w:t xml:space="preserve">Not classified as a skin </w:t>
      </w:r>
      <w:r w:rsidR="00447CF4">
        <w:rPr>
          <w:rFonts w:cs="Arial"/>
        </w:rPr>
        <w:t xml:space="preserve">sensitiser </w:t>
      </w:r>
      <w:r w:rsidRPr="00820121">
        <w:rPr>
          <w:rFonts w:cs="Arial"/>
        </w:rPr>
        <w:t>or respiratory sensitiser according to the GHS.</w:t>
      </w:r>
    </w:p>
    <w:p w14:paraId="487390D3" w14:textId="3358EC72" w:rsidR="0025734A" w:rsidRPr="004C23F4" w:rsidRDefault="004D265A" w:rsidP="004725D8">
      <w:pPr>
        <w:rPr>
          <w:rFonts w:cs="Arial"/>
        </w:rPr>
      </w:pPr>
      <w:r w:rsidRPr="004D265A">
        <w:rPr>
          <w:rFonts w:cs="Arial"/>
        </w:rPr>
        <w:t xml:space="preserve">A skin notation </w:t>
      </w:r>
      <w:proofErr w:type="gramStart"/>
      <w:r w:rsidR="0000343C">
        <w:rPr>
          <w:rFonts w:cs="Arial"/>
        </w:rPr>
        <w:t>is</w:t>
      </w:r>
      <w:r w:rsidRPr="004D265A">
        <w:rPr>
          <w:rFonts w:cs="Arial"/>
        </w:rPr>
        <w:t xml:space="preserve"> recommended</w:t>
      </w:r>
      <w:proofErr w:type="gramEnd"/>
      <w:r w:rsidRPr="004D265A">
        <w:rPr>
          <w:rFonts w:cs="Arial"/>
        </w:rPr>
        <w:t xml:space="preserve"> based on evidence suggesting potential dermal absorption and adverse systemic effects in animals</w:t>
      </w:r>
      <w:r w:rsidR="004725D8" w:rsidRPr="004D265A">
        <w:rPr>
          <w:rFonts w:cs="Arial"/>
        </w:rPr>
        <w:t>.</w:t>
      </w:r>
    </w:p>
    <w:p w14:paraId="1487D3F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9DB27A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78D471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9BA6706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1EC851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0D8D42F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F0F1657" w14:textId="46FBD91C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F485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1666E" w:rsidRPr="0051666E">
                  <w:t>TWA: 0.05 ppm (0.25 mg/m</w:t>
                </w:r>
                <w:r w:rsidR="0051666E" w:rsidRPr="009534D4">
                  <w:rPr>
                    <w:vertAlign w:val="superscript"/>
                  </w:rPr>
                  <w:t>3</w:t>
                </w:r>
                <w:r w:rsidR="0051666E" w:rsidRPr="0051666E">
                  <w:t>); STEL: 0.15 ppm (0.75 mg/m</w:t>
                </w:r>
                <w:r w:rsidR="0051666E" w:rsidRPr="009534D4">
                  <w:rPr>
                    <w:vertAlign w:val="superscript"/>
                  </w:rPr>
                  <w:t>3</w:t>
                </w:r>
                <w:r w:rsidR="0051666E" w:rsidRPr="0051666E">
                  <w:t>)</w:t>
                </w:r>
              </w:sdtContent>
            </w:sdt>
          </w:p>
        </w:tc>
      </w:tr>
      <w:tr w:rsidR="00C978F0" w:rsidRPr="00DA352E" w14:paraId="6DED82B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950DAFA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624528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BBD3EF0" w14:textId="7CF98108" w:rsidR="00C978F0" w:rsidRPr="00DA352E" w:rsidRDefault="00DA352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F485D">
                  <w:t>2001</w:t>
                </w:r>
              </w:sdtContent>
            </w:sdt>
            <w:r w:rsidR="00DA6409">
              <w:t xml:space="preserve">        </w:t>
            </w:r>
            <w:sdt>
              <w:sdtPr>
                <w:rPr>
                  <w:highlight w:val="yellow"/>
                </w:r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1666E" w:rsidRPr="0051666E">
                  <w:t>T</w:t>
                </w:r>
                <w:r w:rsidR="00DA6409">
                  <w:t>LV</w:t>
                </w:r>
                <w:r w:rsidR="0051666E" w:rsidRPr="0051666E">
                  <w:t>-TWA: 0.05 ppm (0.25 mg/m</w:t>
                </w:r>
                <w:r w:rsidR="0051666E" w:rsidRPr="009534D4">
                  <w:rPr>
                    <w:vertAlign w:val="superscript"/>
                  </w:rPr>
                  <w:t>3</w:t>
                </w:r>
                <w:r w:rsidR="0051666E" w:rsidRPr="0051666E">
                  <w:t>); T</w:t>
                </w:r>
                <w:r w:rsidR="00DA6409">
                  <w:t>LV</w:t>
                </w:r>
                <w:r w:rsidR="0051666E" w:rsidRPr="0051666E">
                  <w:t>-STEL: 0.15 ppm (0.75</w:t>
                </w:r>
                <w:r w:rsidR="009B083E">
                  <w:t> </w:t>
                </w:r>
                <w:r w:rsidR="0051666E" w:rsidRPr="0051666E">
                  <w:t>mg/m</w:t>
                </w:r>
                <w:r w:rsidR="0051666E" w:rsidRPr="009534D4">
                  <w:rPr>
                    <w:vertAlign w:val="superscript"/>
                  </w:rPr>
                  <w:t>3</w:t>
                </w:r>
                <w:r w:rsidR="0051666E" w:rsidRPr="0051666E">
                  <w:t>)</w:t>
                </w:r>
                <w:r w:rsidR="0098091F">
                  <w:t xml:space="preserve"> </w:t>
                </w:r>
              </w:sdtContent>
            </w:sdt>
          </w:p>
        </w:tc>
      </w:tr>
      <w:tr w:rsidR="00C978F0" w:rsidRPr="00DA352E" w14:paraId="65553AE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065233B" w14:textId="39982609" w:rsidR="00E03D03" w:rsidRDefault="00E03D03" w:rsidP="00E03D03">
            <w:pPr>
              <w:pStyle w:val="Tabletextprimarysource"/>
            </w:pPr>
            <w:r>
              <w:t xml:space="preserve">TLV-TWA and TLV-STEL recommended </w:t>
            </w:r>
            <w:proofErr w:type="gramStart"/>
            <w:r>
              <w:t>to minimise</w:t>
            </w:r>
            <w:proofErr w:type="gramEnd"/>
            <w:r>
              <w:t xml:space="preserve"> </w:t>
            </w:r>
            <w:r w:rsidRPr="00C91D05">
              <w:t>the potential for</w:t>
            </w:r>
            <w:r>
              <w:t xml:space="preserve"> headache, nausea, dizzin</w:t>
            </w:r>
            <w:r w:rsidR="0000343C">
              <w:t xml:space="preserve">ess and </w:t>
            </w:r>
            <w:r>
              <w:t>CNS effects at higher concentrations.</w:t>
            </w:r>
          </w:p>
          <w:p w14:paraId="63055EFB" w14:textId="77777777" w:rsidR="00E03D03" w:rsidRDefault="00E03D03" w:rsidP="00E03D03">
            <w:pPr>
              <w:pStyle w:val="Tabletextprimarysource"/>
            </w:pPr>
            <w:r>
              <w:t>Summary of data:</w:t>
            </w:r>
          </w:p>
          <w:p w14:paraId="532DCF64" w14:textId="77777777" w:rsidR="00E03D03" w:rsidRDefault="00E03D03" w:rsidP="00E03D03">
            <w:pPr>
              <w:pStyle w:val="ListBullet"/>
              <w:ind w:left="360" w:hanging="360"/>
              <w:contextualSpacing w:val="0"/>
            </w:pPr>
            <w:r>
              <w:t>Human data:</w:t>
            </w:r>
          </w:p>
          <w:p w14:paraId="4D8B73F6" w14:textId="1FEA730A" w:rsidR="00E03D03" w:rsidRDefault="00DC68B1" w:rsidP="0079577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CNS effects observed in animal studies have been reported in exposed workers (concentration unknown)</w:t>
            </w:r>
          </w:p>
          <w:p w14:paraId="00CD543E" w14:textId="6E6303C0" w:rsidR="0079577E" w:rsidRDefault="00DC68B1" w:rsidP="009534D4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 xml:space="preserve">Onset of symptoms </w:t>
            </w:r>
            <w:proofErr w:type="gramStart"/>
            <w:r>
              <w:t>can be delayed</w:t>
            </w:r>
            <w:proofErr w:type="gramEnd"/>
            <w:r>
              <w:t xml:space="preserve"> by up to 48</w:t>
            </w:r>
            <w:r w:rsidR="0098091F">
              <w:t xml:space="preserve"> </w:t>
            </w:r>
            <w:r>
              <w:t>h after exposure with symptoms persisting up to 72</w:t>
            </w:r>
            <w:r w:rsidR="0098091F">
              <w:t xml:space="preserve"> </w:t>
            </w:r>
            <w:r>
              <w:t>h</w:t>
            </w:r>
            <w:r w:rsidR="00DF04DE">
              <w:t>.</w:t>
            </w:r>
          </w:p>
          <w:p w14:paraId="126403EF" w14:textId="01F72183" w:rsidR="00E03D03" w:rsidRDefault="00E03D03" w:rsidP="009534D4">
            <w:pPr>
              <w:pStyle w:val="Tabletextprimarysource"/>
            </w:pPr>
            <w:r>
              <w:t>Animal data:</w:t>
            </w:r>
          </w:p>
          <w:p w14:paraId="3DA882B7" w14:textId="168B8BF3" w:rsidR="00DC68B1" w:rsidRDefault="00DC68B1" w:rsidP="0079577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LC</w:t>
            </w:r>
            <w:r w:rsidRPr="00C13843">
              <w:rPr>
                <w:vertAlign w:val="subscript"/>
              </w:rPr>
              <w:t>50</w:t>
            </w:r>
            <w:r>
              <w:t>: 46 and 12 ppm (rats and mice, 4</w:t>
            </w:r>
            <w:r w:rsidR="0098091F">
              <w:t xml:space="preserve"> </w:t>
            </w:r>
            <w:r>
              <w:t>h)</w:t>
            </w:r>
          </w:p>
          <w:p w14:paraId="3A539F0B" w14:textId="02D80F7F" w:rsidR="00DC68B1" w:rsidRDefault="00DC68B1" w:rsidP="0079577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LD</w:t>
            </w:r>
            <w:r w:rsidRPr="00C13843">
              <w:rPr>
                <w:vertAlign w:val="subscript"/>
              </w:rPr>
              <w:t>50</w:t>
            </w:r>
            <w:r>
              <w:t xml:space="preserve">: </w:t>
            </w:r>
            <w:r w:rsidR="0031434A">
              <w:t>71</w:t>
            </w:r>
            <w:r>
              <w:t xml:space="preserve"> and </w:t>
            </w:r>
            <w:r w:rsidR="0031434A">
              <w:t>740</w:t>
            </w:r>
            <w:r>
              <w:t xml:space="preserve"> ppm (</w:t>
            </w:r>
            <w:r w:rsidR="0031434A">
              <w:t>rabbits and rats, dermal</w:t>
            </w:r>
            <w:r>
              <w:t>)</w:t>
            </w:r>
            <w:r w:rsidR="00EC34F4">
              <w:t xml:space="preserve">, acute symptoms included convulsions, weakness, tremors, </w:t>
            </w:r>
            <w:proofErr w:type="spellStart"/>
            <w:r w:rsidR="00EC34F4">
              <w:t>hyperexcitability</w:t>
            </w:r>
            <w:proofErr w:type="spellEnd"/>
            <w:r w:rsidR="00EC34F4">
              <w:t xml:space="preserve"> and narcosis</w:t>
            </w:r>
          </w:p>
          <w:p w14:paraId="401700CE" w14:textId="7B4E618F" w:rsidR="00DC68B1" w:rsidRDefault="0031434A" w:rsidP="0079577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Airborne exposure to 4.5 ppm, 5</w:t>
            </w:r>
            <w:r w:rsidR="0098091F">
              <w:t>–</w:t>
            </w:r>
            <w:r>
              <w:t xml:space="preserve">6 h/d </w:t>
            </w:r>
            <w:r w:rsidR="007A6FC1">
              <w:t xml:space="preserve">(up to 6 </w:t>
            </w:r>
            <w:proofErr w:type="spellStart"/>
            <w:r w:rsidR="007A6FC1">
              <w:t>mo</w:t>
            </w:r>
            <w:proofErr w:type="spellEnd"/>
            <w:r w:rsidR="007A6FC1">
              <w:t xml:space="preserve">) </w:t>
            </w:r>
            <w:r>
              <w:t xml:space="preserve">was fatal </w:t>
            </w:r>
            <w:r w:rsidR="007A6FC1">
              <w:t>for</w:t>
            </w:r>
            <w:r>
              <w:t xml:space="preserve"> various animal species</w:t>
            </w:r>
            <w:r w:rsidR="007A6FC1">
              <w:t xml:space="preserve"> demonstrating wide-ranging susceptibility. Fatalities seen in:</w:t>
            </w:r>
          </w:p>
          <w:p w14:paraId="2F8B9D5D" w14:textId="754C27FC" w:rsidR="00DF3D4E" w:rsidRDefault="00DF3D4E" w:rsidP="00DF3D4E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rabbits</w:t>
            </w:r>
            <w:r w:rsidR="007A6FC1">
              <w:t>; 3 exposures</w:t>
            </w:r>
          </w:p>
          <w:p w14:paraId="602144D2" w14:textId="36040CA5" w:rsidR="00DF3D4E" w:rsidRDefault="00DF3D4E" w:rsidP="00DF3D4E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dogs, monkeys</w:t>
            </w:r>
            <w:r w:rsidR="007A6FC1">
              <w:t>; 4–15 exposures;</w:t>
            </w:r>
          </w:p>
          <w:p w14:paraId="45D6DB40" w14:textId="59BDF2B4" w:rsidR="00DF3D4E" w:rsidRDefault="007A6FC1" w:rsidP="00DF3D4E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 xml:space="preserve">mice; </w:t>
            </w:r>
            <w:r w:rsidR="00DF3D4E">
              <w:t>10</w:t>
            </w:r>
            <w:r>
              <w:t>–</w:t>
            </w:r>
            <w:r w:rsidR="00DF3D4E">
              <w:t>100 exposures</w:t>
            </w:r>
          </w:p>
          <w:p w14:paraId="6714CD30" w14:textId="23A5510D" w:rsidR="007A6FC1" w:rsidRDefault="007A6FC1" w:rsidP="00DF3D4E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rats; 135 exposures</w:t>
            </w:r>
          </w:p>
          <w:p w14:paraId="7BF84FB2" w14:textId="0772C910" w:rsidR="00DC68B1" w:rsidRDefault="007A6FC1" w:rsidP="0079577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LOEL corresponding to</w:t>
            </w:r>
            <w:r w:rsidR="0031434A">
              <w:t xml:space="preserve"> 0.15 ppm based on behavioural observation</w:t>
            </w:r>
            <w:r>
              <w:t xml:space="preserve"> in monkeys injected with 3–6 mg/kg.</w:t>
            </w:r>
          </w:p>
          <w:p w14:paraId="0799A3AF" w14:textId="77777777" w:rsidR="00A85CE0" w:rsidRDefault="00A85CE0" w:rsidP="009534D4">
            <w:pPr>
              <w:pStyle w:val="Tabletextprimarysource"/>
            </w:pPr>
          </w:p>
          <w:p w14:paraId="47B490BF" w14:textId="3D191DD1" w:rsidR="00656BB5" w:rsidRDefault="00656BB5" w:rsidP="009534D4">
            <w:pPr>
              <w:pStyle w:val="Tabletextprimarysource"/>
            </w:pPr>
            <w:r>
              <w:t xml:space="preserve">TLV derived partially by analogy with </w:t>
            </w:r>
            <w:proofErr w:type="spellStart"/>
            <w:r w:rsidR="009534D4">
              <w:t>d</w:t>
            </w:r>
            <w:r>
              <w:t>iborane</w:t>
            </w:r>
            <w:proofErr w:type="spellEnd"/>
            <w:r>
              <w:t xml:space="preserve"> and </w:t>
            </w:r>
            <w:r w:rsidR="009534D4">
              <w:t>p</w:t>
            </w:r>
            <w:r>
              <w:t>entaborane.</w:t>
            </w:r>
          </w:p>
          <w:p w14:paraId="4E438DFE" w14:textId="77777777" w:rsidR="00656BB5" w:rsidRDefault="00656BB5" w:rsidP="009534D4">
            <w:pPr>
              <w:pStyle w:val="Tabletextprimarysource"/>
            </w:pPr>
            <w:r>
              <w:t>Insufficient data to assign a sensitiser notation.</w:t>
            </w:r>
          </w:p>
          <w:p w14:paraId="2A7F00FA" w14:textId="51769BCB" w:rsidR="00DF04DE" w:rsidRPr="00DA352E" w:rsidRDefault="00DF04DE" w:rsidP="009534D4">
            <w:pPr>
              <w:pStyle w:val="Tabletextprimarysource"/>
            </w:pPr>
          </w:p>
        </w:tc>
      </w:tr>
      <w:tr w:rsidR="00C978F0" w:rsidRPr="00DA352E" w14:paraId="71B0B24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1C29A93" w14:textId="66FD5B6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1666E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1666E">
                  <w:t xml:space="preserve">MAK: </w:t>
                </w:r>
              </w:sdtContent>
            </w:sdt>
            <w:r w:rsidR="0051666E">
              <w:t>0.05 ppm (0.25 mg/m</w:t>
            </w:r>
            <w:r w:rsidR="0051666E" w:rsidRPr="009534D4">
              <w:rPr>
                <w:vertAlign w:val="superscript"/>
              </w:rPr>
              <w:t>3</w:t>
            </w:r>
            <w:r w:rsidR="0051666E">
              <w:t>)</w:t>
            </w:r>
          </w:p>
        </w:tc>
      </w:tr>
      <w:tr w:rsidR="00C978F0" w:rsidRPr="00DA352E" w14:paraId="6DDB2EC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0F7D9B3" w14:textId="36500C5C" w:rsidR="00C978F0" w:rsidRDefault="00B4571D" w:rsidP="003365A5">
            <w:pPr>
              <w:pStyle w:val="Tabletextprimarysource"/>
            </w:pPr>
            <w:r>
              <w:t xml:space="preserve">The MAK </w:t>
            </w:r>
            <w:proofErr w:type="gramStart"/>
            <w:r>
              <w:t>is based</w:t>
            </w:r>
            <w:proofErr w:type="gramEnd"/>
            <w:r>
              <w:t xml:space="preserve"> on the </w:t>
            </w:r>
            <w:r w:rsidRPr="00B4571D">
              <w:t>LOEL correspond</w:t>
            </w:r>
            <w:r>
              <w:t>ing</w:t>
            </w:r>
            <w:r w:rsidRPr="00B4571D">
              <w:t xml:space="preserve"> to 0.15 m</w:t>
            </w:r>
            <w:r w:rsidR="009534D4">
              <w:t>L</w:t>
            </w:r>
            <w:r w:rsidRPr="00B4571D">
              <w:t>/m</w:t>
            </w:r>
            <w:r w:rsidRPr="00B4571D">
              <w:rPr>
                <w:vertAlign w:val="superscript"/>
              </w:rPr>
              <w:t>3</w:t>
            </w:r>
            <w:r w:rsidRPr="00B4571D">
              <w:t xml:space="preserve"> </w:t>
            </w:r>
            <w:r w:rsidR="00985CC4">
              <w:t xml:space="preserve">in monkeys </w:t>
            </w:r>
            <w:r w:rsidR="00A85CE0">
              <w:t xml:space="preserve">as reported by ACGIH. Due to limited data, an uncertainty factor of 2 </w:t>
            </w:r>
            <w:proofErr w:type="gramStart"/>
            <w:r w:rsidR="00A85CE0">
              <w:t>is applied</w:t>
            </w:r>
            <w:proofErr w:type="gramEnd"/>
            <w:r w:rsidR="0000343C">
              <w:t xml:space="preserve"> </w:t>
            </w:r>
            <w:r w:rsidR="00A85CE0">
              <w:t>with the resulting value rounded down.</w:t>
            </w:r>
          </w:p>
          <w:p w14:paraId="22B3FC1A" w14:textId="3D7F8AAD" w:rsidR="00DF04DE" w:rsidRPr="00DA352E" w:rsidRDefault="00DF04DE" w:rsidP="003365A5">
            <w:pPr>
              <w:pStyle w:val="Tabletextprimarysource"/>
            </w:pPr>
          </w:p>
        </w:tc>
      </w:tr>
      <w:tr w:rsidR="00C978F0" w:rsidRPr="00DA352E" w14:paraId="65895FE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C9FB257" w14:textId="2396960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944D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944DF">
                  <w:t>NA</w:t>
                </w:r>
                <w:proofErr w:type="spellEnd"/>
              </w:sdtContent>
            </w:sdt>
          </w:p>
        </w:tc>
      </w:tr>
      <w:tr w:rsidR="00C978F0" w:rsidRPr="00DA352E" w14:paraId="771447D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2306EB7" w14:textId="50CC957E" w:rsidR="00C978F0" w:rsidRPr="00DA352E" w:rsidRDefault="00B944DF" w:rsidP="003365A5">
            <w:pPr>
              <w:pStyle w:val="Tabletextprimarysource"/>
            </w:pPr>
            <w:r>
              <w:t>No report</w:t>
            </w:r>
            <w:r w:rsidR="00635D0F">
              <w:t>.</w:t>
            </w:r>
          </w:p>
        </w:tc>
      </w:tr>
      <w:tr w:rsidR="00DA352E" w:rsidRPr="00DA352E" w14:paraId="36CA266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015938B" w14:textId="0FBD352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944D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944DF">
                  <w:t>NA</w:t>
                </w:r>
                <w:proofErr w:type="spellEnd"/>
              </w:sdtContent>
            </w:sdt>
          </w:p>
        </w:tc>
      </w:tr>
      <w:tr w:rsidR="00DA352E" w:rsidRPr="00DA352E" w14:paraId="5C201A7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430B86F" w14:textId="6C187BB3" w:rsidR="00DA352E" w:rsidRPr="00DA352E" w:rsidRDefault="00B944DF" w:rsidP="003365A5">
            <w:pPr>
              <w:pStyle w:val="Tabletextprimarysource"/>
            </w:pPr>
            <w:r>
              <w:t>No report</w:t>
            </w:r>
            <w:r w:rsidR="00635D0F">
              <w:t>.</w:t>
            </w:r>
          </w:p>
        </w:tc>
      </w:tr>
      <w:tr w:rsidR="00DA352E" w:rsidRPr="00DA352E" w14:paraId="76E5240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6A44482" w14:textId="60973EB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944D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B944DF">
                  <w:t>NA</w:t>
                </w:r>
                <w:proofErr w:type="spellEnd"/>
              </w:sdtContent>
            </w:sdt>
          </w:p>
        </w:tc>
      </w:tr>
      <w:tr w:rsidR="00DA352E" w:rsidRPr="00DA352E" w14:paraId="730E210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FA4744A" w14:textId="622E3819" w:rsidR="00DA352E" w:rsidRPr="00DA352E" w:rsidRDefault="00B944DF" w:rsidP="003365A5">
            <w:pPr>
              <w:pStyle w:val="Tabletextprimarysource"/>
            </w:pPr>
            <w:r>
              <w:t>No report</w:t>
            </w:r>
            <w:r w:rsidR="00635D0F">
              <w:t>.</w:t>
            </w:r>
          </w:p>
        </w:tc>
      </w:tr>
    </w:tbl>
    <w:p w14:paraId="001539AC" w14:textId="294F37FB" w:rsidR="00A20751" w:rsidRDefault="00A20751" w:rsidP="0098091F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5F237159" w14:textId="5D78F9FF" w:rsidR="009534D4" w:rsidRPr="009534D4" w:rsidRDefault="009534D4" w:rsidP="009534D4">
      <w:pPr>
        <w:rPr>
          <w:lang w:eastAsia="en-AU"/>
        </w:rPr>
      </w:pPr>
      <w:r>
        <w:rPr>
          <w:lang w:eastAsia="en-AU"/>
        </w:rPr>
        <w:t>NIL</w:t>
      </w:r>
      <w:r w:rsidR="0000343C">
        <w:rPr>
          <w:lang w:eastAsia="en-AU"/>
        </w:rPr>
        <w:t>.</w:t>
      </w:r>
    </w:p>
    <w:bookmarkEnd w:id="0"/>
    <w:p w14:paraId="3B87BA5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F8E58F7" w14:textId="77777777" w:rsidTr="009534D4">
        <w:trPr>
          <w:trHeight w:val="454"/>
          <w:tblHeader/>
        </w:trPr>
        <w:tc>
          <w:tcPr>
            <w:tcW w:w="6603" w:type="dxa"/>
            <w:vAlign w:val="center"/>
          </w:tcPr>
          <w:p w14:paraId="610536F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01B3A0A" w14:textId="0003258B" w:rsidR="002E0D61" w:rsidRDefault="009534D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A057AE1" w14:textId="77777777" w:rsidTr="009534D4">
        <w:trPr>
          <w:trHeight w:val="454"/>
        </w:trPr>
        <w:tc>
          <w:tcPr>
            <w:tcW w:w="6603" w:type="dxa"/>
            <w:vAlign w:val="center"/>
          </w:tcPr>
          <w:p w14:paraId="22F7D29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85618E3" w14:textId="4048651E" w:rsidR="008A36CF" w:rsidRDefault="009534D4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8E570FD" w14:textId="77777777" w:rsidTr="009534D4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F47EF56" w14:textId="02E09339" w:rsidR="008A36CF" w:rsidRPr="006901A2" w:rsidRDefault="009534D4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5B5C22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795D6E5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CC787E5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05E5DBE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F3EF19B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ED85CE1" w14:textId="77777777" w:rsidTr="00812887">
        <w:trPr>
          <w:cantSplit/>
        </w:trPr>
        <w:tc>
          <w:tcPr>
            <w:tcW w:w="3227" w:type="dxa"/>
          </w:tcPr>
          <w:p w14:paraId="0DB54C10" w14:textId="77777777" w:rsidR="004079B4" w:rsidRPr="004C23F4" w:rsidRDefault="00084513" w:rsidP="00F4402E">
            <w:pPr>
              <w:pStyle w:val="Tablefont"/>
            </w:pPr>
            <w:r w:rsidRPr="00CA2A3E">
              <w:t>SWA</w:t>
            </w:r>
          </w:p>
        </w:tc>
        <w:tc>
          <w:tcPr>
            <w:tcW w:w="6015" w:type="dxa"/>
          </w:tcPr>
          <w:p w14:paraId="7F33BCA1" w14:textId="455A5F14" w:rsidR="00687890" w:rsidRPr="00DD2F9B" w:rsidRDefault="00FD159D" w:rsidP="00DD2F9B">
            <w:pPr>
              <w:pStyle w:val="Tablefont"/>
            </w:pPr>
            <w:r w:rsidRPr="00FD159D">
              <w:t>Skin</w:t>
            </w:r>
          </w:p>
        </w:tc>
      </w:tr>
      <w:tr w:rsidR="007925F0" w:rsidRPr="004C23F4" w14:paraId="0F516826" w14:textId="77777777" w:rsidTr="00812887">
        <w:trPr>
          <w:cantSplit/>
        </w:trPr>
        <w:tc>
          <w:tcPr>
            <w:tcW w:w="3227" w:type="dxa"/>
          </w:tcPr>
          <w:p w14:paraId="4D700F43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F0649FD" w14:textId="14DD5960" w:rsidR="007925F0" w:rsidRPr="00DD2F9B" w:rsidRDefault="00FD159D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FC0EC4E" w14:textId="77777777" w:rsidTr="00812887">
        <w:trPr>
          <w:cantSplit/>
        </w:trPr>
        <w:tc>
          <w:tcPr>
            <w:tcW w:w="3227" w:type="dxa"/>
          </w:tcPr>
          <w:p w14:paraId="4115293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3DBBBCF" w14:textId="1B7BA0D8" w:rsidR="00AF483F" w:rsidRPr="00DD2F9B" w:rsidRDefault="00FD159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49B6374" w14:textId="77777777" w:rsidTr="00812887">
        <w:trPr>
          <w:cantSplit/>
        </w:trPr>
        <w:tc>
          <w:tcPr>
            <w:tcW w:w="3227" w:type="dxa"/>
          </w:tcPr>
          <w:p w14:paraId="2736730F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EE8D0B3" w14:textId="19F01518" w:rsidR="00687890" w:rsidRPr="00DD2F9B" w:rsidRDefault="00FD159D" w:rsidP="0078201C">
            <w:r>
              <w:t>NA</w:t>
            </w:r>
          </w:p>
        </w:tc>
      </w:tr>
      <w:tr w:rsidR="00E41A26" w:rsidRPr="004C23F4" w14:paraId="76D1E802" w14:textId="77777777" w:rsidTr="00812887">
        <w:trPr>
          <w:cantSplit/>
        </w:trPr>
        <w:tc>
          <w:tcPr>
            <w:tcW w:w="3227" w:type="dxa"/>
          </w:tcPr>
          <w:p w14:paraId="08433FD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6F602B0" w14:textId="77B530F2" w:rsidR="00E41A26" w:rsidRPr="00DD2F9B" w:rsidRDefault="00FD159D" w:rsidP="0078201C">
            <w:r>
              <w:t>NA</w:t>
            </w:r>
          </w:p>
        </w:tc>
      </w:tr>
      <w:tr w:rsidR="002E0D61" w:rsidRPr="004C23F4" w14:paraId="69F52699" w14:textId="77777777" w:rsidTr="00812887">
        <w:trPr>
          <w:cantSplit/>
        </w:trPr>
        <w:tc>
          <w:tcPr>
            <w:tcW w:w="3227" w:type="dxa"/>
          </w:tcPr>
          <w:p w14:paraId="6DBE9F4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4F0EE5C" w14:textId="717F8E3D" w:rsidR="002E0D61" w:rsidRPr="00DD2F9B" w:rsidRDefault="00FD159D" w:rsidP="00DD2F9B">
            <w:pPr>
              <w:pStyle w:val="Tablefont"/>
            </w:pPr>
            <w:r w:rsidRPr="00FD159D">
              <w:t>Skin</w:t>
            </w:r>
          </w:p>
        </w:tc>
      </w:tr>
      <w:tr w:rsidR="002E0D61" w:rsidRPr="004C23F4" w14:paraId="24FBD614" w14:textId="77777777" w:rsidTr="00812887">
        <w:trPr>
          <w:cantSplit/>
        </w:trPr>
        <w:tc>
          <w:tcPr>
            <w:tcW w:w="3227" w:type="dxa"/>
          </w:tcPr>
          <w:p w14:paraId="7CD699F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FDE7A04" w14:textId="379F3D6B" w:rsidR="002E0D61" w:rsidRPr="00DD2F9B" w:rsidRDefault="00FD159D" w:rsidP="0059621F">
            <w:r w:rsidRPr="00FD159D">
              <w:t>H (skin)</w:t>
            </w:r>
          </w:p>
        </w:tc>
      </w:tr>
      <w:tr w:rsidR="002E0D61" w:rsidRPr="004C23F4" w14:paraId="44D1DB8F" w14:textId="77777777" w:rsidTr="00812887">
        <w:trPr>
          <w:cantSplit/>
        </w:trPr>
        <w:tc>
          <w:tcPr>
            <w:tcW w:w="3227" w:type="dxa"/>
          </w:tcPr>
          <w:p w14:paraId="6C5082F2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7BC7B44" w14:textId="2AECB749" w:rsidR="002E0D61" w:rsidRPr="00DD2F9B" w:rsidRDefault="00FD159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221AF5F" w14:textId="77777777" w:rsidTr="00812887">
        <w:trPr>
          <w:cantSplit/>
        </w:trPr>
        <w:tc>
          <w:tcPr>
            <w:tcW w:w="3227" w:type="dxa"/>
          </w:tcPr>
          <w:p w14:paraId="41E0E07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B0FA45F" w14:textId="60DD154E" w:rsidR="002E0D61" w:rsidRPr="00DD2F9B" w:rsidRDefault="00FD159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79FB0E1" w14:textId="77777777" w:rsidTr="00812887">
        <w:trPr>
          <w:cantSplit/>
        </w:trPr>
        <w:tc>
          <w:tcPr>
            <w:tcW w:w="3227" w:type="dxa"/>
          </w:tcPr>
          <w:p w14:paraId="7151A7D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4A135F4" w14:textId="05C028F4" w:rsidR="00386093" w:rsidRPr="00DD2F9B" w:rsidRDefault="00FD159D" w:rsidP="00D43329">
            <w:r>
              <w:t>NA</w:t>
            </w:r>
          </w:p>
        </w:tc>
      </w:tr>
      <w:tr w:rsidR="00386093" w:rsidRPr="004C23F4" w14:paraId="121B3B9B" w14:textId="77777777" w:rsidTr="00812887">
        <w:trPr>
          <w:cantSplit/>
        </w:trPr>
        <w:tc>
          <w:tcPr>
            <w:tcW w:w="3227" w:type="dxa"/>
          </w:tcPr>
          <w:p w14:paraId="6451560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F5EC794" w14:textId="22B76C78" w:rsidR="00386093" w:rsidRPr="00DD2F9B" w:rsidRDefault="00386093" w:rsidP="00D87570">
            <w:pPr>
              <w:pStyle w:val="Tablefont"/>
              <w:keepNext/>
            </w:pPr>
          </w:p>
        </w:tc>
      </w:tr>
    </w:tbl>
    <w:bookmarkEnd w:id="2"/>
    <w:p w14:paraId="39CA5DA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378DB24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CDCD5F6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E7BC26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84099F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765"/>
              <w:gridCol w:w="900"/>
              <w:gridCol w:w="990"/>
              <w:gridCol w:w="3155"/>
            </w:tblGrid>
            <w:tr w:rsidR="004D265A" w:rsidRPr="004D265A" w14:paraId="629698EC" w14:textId="77777777" w:rsidTr="004D265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F3B7BD" w14:textId="77777777" w:rsidR="004D265A" w:rsidRPr="004D265A" w:rsidRDefault="004D265A" w:rsidP="004D26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DCADB9" w14:textId="77777777" w:rsidR="004D265A" w:rsidRPr="004D265A" w:rsidRDefault="004D265A" w:rsidP="004D26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014071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11E54C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D265A" w:rsidRPr="004D265A" w14:paraId="7D1D6F07" w14:textId="77777777" w:rsidTr="004D265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757E42" w14:textId="77777777" w:rsidR="004D265A" w:rsidRPr="004D265A" w:rsidRDefault="004D265A" w:rsidP="004D26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47992BA" w14:textId="77777777" w:rsidR="004D265A" w:rsidRPr="004D265A" w:rsidRDefault="004D265A" w:rsidP="004D26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FEC0DC" w14:textId="77777777" w:rsidR="004D265A" w:rsidRPr="004D265A" w:rsidRDefault="004D265A" w:rsidP="004D26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3.00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39A936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D265A" w:rsidRPr="004D265A" w14:paraId="6D6DAEED" w14:textId="77777777" w:rsidTr="004D265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396DC1" w14:textId="77777777" w:rsidR="004D265A" w:rsidRPr="004D265A" w:rsidRDefault="004D265A" w:rsidP="004D26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347C06" w14:textId="77777777" w:rsidR="004D265A" w:rsidRPr="004D265A" w:rsidRDefault="004D265A" w:rsidP="004D26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86D636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D49BE6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D265A" w:rsidRPr="004D265A" w14:paraId="3EB57A01" w14:textId="77777777" w:rsidTr="004D265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DCBB5A" w14:textId="77777777" w:rsidR="004D265A" w:rsidRPr="004D265A" w:rsidRDefault="004D265A" w:rsidP="004D26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0C2BE8" w14:textId="77777777" w:rsidR="004D265A" w:rsidRPr="004D265A" w:rsidRDefault="004D265A" w:rsidP="004D26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FD56AB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F2D3D5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D265A" w:rsidRPr="004D265A" w14:paraId="765A5BB5" w14:textId="77777777" w:rsidTr="004D265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165A38" w14:textId="77777777" w:rsidR="004D265A" w:rsidRPr="004D265A" w:rsidRDefault="004D265A" w:rsidP="004D26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8FF8BA" w14:textId="77777777" w:rsidR="004D265A" w:rsidRPr="004D265A" w:rsidRDefault="004D265A" w:rsidP="004D26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45BE00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96FC4F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D265A" w:rsidRPr="004D265A" w14:paraId="1346F928" w14:textId="77777777" w:rsidTr="004D265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7D1616" w14:textId="77777777" w:rsidR="004D265A" w:rsidRPr="004D265A" w:rsidRDefault="004D265A" w:rsidP="004D26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C4E9AF" w14:textId="77777777" w:rsidR="004D265A" w:rsidRPr="004D265A" w:rsidRDefault="004D265A" w:rsidP="004D26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45D868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8BF51C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4D265A" w:rsidRPr="004D265A" w14:paraId="0CDFF294" w14:textId="77777777" w:rsidTr="004D265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D14009" w14:textId="77777777" w:rsidR="004D265A" w:rsidRPr="004D265A" w:rsidRDefault="004D265A" w:rsidP="004D26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925E35" w14:textId="77777777" w:rsidR="004D265A" w:rsidRPr="004D265A" w:rsidRDefault="004D265A" w:rsidP="004D265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34CEED" w14:textId="77777777" w:rsidR="004D265A" w:rsidRPr="004D265A" w:rsidRDefault="004D265A" w:rsidP="004D265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F3325E" w14:textId="77777777" w:rsidR="004D265A" w:rsidRPr="004D265A" w:rsidRDefault="004D265A" w:rsidP="004D265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4D265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consider assigning a skin notation</w:t>
                  </w:r>
                </w:p>
              </w:tc>
            </w:tr>
          </w:tbl>
          <w:p w14:paraId="5F090639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615F69B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DFBFA6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467EC0C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1D75C47" w14:textId="77B31B1A" w:rsidR="00EB3D1B" w:rsidRDefault="009534D4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6C2A08E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487806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3963EB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5F148ED" w14:textId="64592115" w:rsidR="001B79E5" w:rsidRDefault="009534D4" w:rsidP="001B79E5">
                <w:pPr>
                  <w:pStyle w:val="Tablefont"/>
                </w:pPr>
                <w:r>
                  <w:t>122.22</w:t>
                </w:r>
              </w:p>
            </w:tc>
          </w:sdtContent>
        </w:sdt>
      </w:tr>
      <w:tr w:rsidR="00A31D99" w:rsidRPr="004C23F4" w14:paraId="6E372A4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55636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5FD44A67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B95712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55DF65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0BFDD32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A38F70E" w14:textId="77777777" w:rsidTr="00EA6243">
        <w:trPr>
          <w:cantSplit/>
        </w:trPr>
        <w:tc>
          <w:tcPr>
            <w:tcW w:w="4077" w:type="dxa"/>
            <w:vAlign w:val="center"/>
          </w:tcPr>
          <w:p w14:paraId="1F21A7A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92A638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8F9EEA5" w14:textId="77777777" w:rsidTr="00EA6243">
        <w:trPr>
          <w:cantSplit/>
        </w:trPr>
        <w:tc>
          <w:tcPr>
            <w:tcW w:w="4077" w:type="dxa"/>
            <w:vAlign w:val="center"/>
          </w:tcPr>
          <w:p w14:paraId="166A92B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18BBDB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0EE2661" w14:textId="77777777" w:rsidTr="00EA6243">
        <w:trPr>
          <w:cantSplit/>
        </w:trPr>
        <w:tc>
          <w:tcPr>
            <w:tcW w:w="4077" w:type="dxa"/>
            <w:vAlign w:val="center"/>
          </w:tcPr>
          <w:p w14:paraId="67450F9F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F75453D" w14:textId="77777777" w:rsidR="00E06F40" w:rsidRPr="00A006A0" w:rsidRDefault="00DA6B5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B431C5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EBE08D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8A261C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88D45D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F33287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B6562D0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B8CAF7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8A5243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26B45E4" w14:textId="0147A83F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5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B190857" w14:textId="77384202" w:rsidR="009534D4" w:rsidRDefault="00A74539" w:rsidP="009534D4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(2001) </w:t>
      </w:r>
      <w:proofErr w:type="spellStart"/>
      <w:r>
        <w:t>Dekaboran</w:t>
      </w:r>
      <w:proofErr w:type="spellEnd"/>
      <w:r>
        <w:t xml:space="preserve"> – MAK value documentation.</w:t>
      </w:r>
    </w:p>
    <w:p w14:paraId="7F3E38D0" w14:textId="2E1DDFA2" w:rsidR="009534D4" w:rsidRDefault="009534D4" w:rsidP="009534D4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 </w:t>
      </w:r>
      <w:proofErr w:type="spellStart"/>
      <w:r>
        <w:t>decaborane</w:t>
      </w:r>
      <w:proofErr w:type="spellEnd"/>
      <w:r>
        <w:t xml:space="preserve">. </w:t>
      </w:r>
    </w:p>
    <w:p w14:paraId="6E886289" w14:textId="7BE81421" w:rsidR="00197A86" w:rsidRPr="00351FE0" w:rsidRDefault="00197A86" w:rsidP="00084859"/>
    <w:sectPr w:rsidR="00197A86" w:rsidRPr="00351FE0" w:rsidSect="00B87D4C">
      <w:headerReference w:type="even" r:id="rId16"/>
      <w:headerReference w:type="default" r:id="rId17"/>
      <w:headerReference w:type="firs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3BDE27" w16cid:durableId="21472E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08CBA" w14:textId="77777777" w:rsidR="004831E2" w:rsidRDefault="004831E2" w:rsidP="00F43AD5">
      <w:pPr>
        <w:spacing w:after="0" w:line="240" w:lineRule="auto"/>
      </w:pPr>
      <w:r>
        <w:separator/>
      </w:r>
    </w:p>
  </w:endnote>
  <w:endnote w:type="continuationSeparator" w:id="0">
    <w:p w14:paraId="21686302" w14:textId="77777777" w:rsidR="004831E2" w:rsidRDefault="004831E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445C815" w14:textId="2B179D95" w:rsidR="008A36CF" w:rsidRDefault="002D79D8" w:rsidP="0034744C">
        <w:pPr>
          <w:pStyle w:val="Footer"/>
          <w:rPr>
            <w:sz w:val="18"/>
            <w:szCs w:val="18"/>
          </w:rPr>
        </w:pPr>
        <w:proofErr w:type="spellStart"/>
        <w:r w:rsidRPr="002D79D8">
          <w:rPr>
            <w:b/>
          </w:rPr>
          <w:t>Decaborane</w:t>
        </w:r>
        <w:proofErr w:type="spellEnd"/>
        <w:r w:rsidRPr="002D79D8">
          <w:rPr>
            <w:b/>
          </w:rPr>
          <w:t xml:space="preserve"> (17702-41-9</w:t>
        </w:r>
        <w:proofErr w:type="gramStart"/>
        <w:r w:rsidRPr="002D79D8">
          <w:rPr>
            <w:b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4198CB7" w14:textId="30F3886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A6B55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1171" w14:textId="77777777" w:rsidR="004831E2" w:rsidRDefault="004831E2" w:rsidP="00F43AD5">
      <w:pPr>
        <w:spacing w:after="0" w:line="240" w:lineRule="auto"/>
      </w:pPr>
      <w:r>
        <w:separator/>
      </w:r>
    </w:p>
  </w:footnote>
  <w:footnote w:type="continuationSeparator" w:id="0">
    <w:p w14:paraId="237AD0F5" w14:textId="77777777" w:rsidR="004831E2" w:rsidRDefault="004831E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7E83" w14:textId="07E6A6D2" w:rsidR="00DA6B55" w:rsidRDefault="00DA6B55">
    <w:pPr>
      <w:pStyle w:val="Header"/>
    </w:pPr>
    <w:r>
      <w:rPr>
        <w:noProof/>
      </w:rPr>
      <w:pict w14:anchorId="41F8F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18626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0831" w14:textId="09BDE4E0" w:rsidR="008A36CF" w:rsidRDefault="00DA6B55" w:rsidP="00F43AD5">
    <w:pPr>
      <w:pStyle w:val="Header"/>
      <w:jc w:val="right"/>
    </w:pPr>
    <w:r>
      <w:rPr>
        <w:noProof/>
      </w:rPr>
      <w:pict w14:anchorId="4F4449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18627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085921B5" wp14:editId="5E6EC331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DFE1A" w14:textId="31600B8F" w:rsidR="00DA6B55" w:rsidRDefault="00DA6B55">
    <w:pPr>
      <w:pStyle w:val="Header"/>
    </w:pPr>
    <w:r>
      <w:rPr>
        <w:noProof/>
      </w:rPr>
      <w:pict w14:anchorId="0EC833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18625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C939" w14:textId="7E796C69" w:rsidR="00DA6B55" w:rsidRDefault="00DA6B55">
    <w:pPr>
      <w:pStyle w:val="Header"/>
    </w:pPr>
    <w:r>
      <w:rPr>
        <w:noProof/>
      </w:rPr>
      <w:pict w14:anchorId="360BD1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18629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2F733" w14:textId="74D171C3" w:rsidR="008A36CF" w:rsidRDefault="00DA6B55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220638B5" wp14:editId="63BA3CC3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 w14:anchorId="700B43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18630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0C5AA" w14:textId="5A68378B" w:rsidR="00DA6B55" w:rsidRDefault="00DA6B55">
    <w:pPr>
      <w:pStyle w:val="Header"/>
    </w:pPr>
    <w:r>
      <w:rPr>
        <w:noProof/>
      </w:rPr>
      <w:pict w14:anchorId="41D9C5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18628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BA9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2809C9"/>
    <w:multiLevelType w:val="hybridMultilevel"/>
    <w:tmpl w:val="3240438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343C"/>
    <w:rsid w:val="00007B80"/>
    <w:rsid w:val="00013A22"/>
    <w:rsid w:val="00014C3F"/>
    <w:rsid w:val="00017C82"/>
    <w:rsid w:val="000269F1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7BF"/>
    <w:rsid w:val="0015288A"/>
    <w:rsid w:val="00160F47"/>
    <w:rsid w:val="00177CA1"/>
    <w:rsid w:val="00183823"/>
    <w:rsid w:val="00183942"/>
    <w:rsid w:val="00197A8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1524"/>
    <w:rsid w:val="00244AD1"/>
    <w:rsid w:val="002463BC"/>
    <w:rsid w:val="002465CE"/>
    <w:rsid w:val="0025734A"/>
    <w:rsid w:val="00263255"/>
    <w:rsid w:val="002673A5"/>
    <w:rsid w:val="002732B3"/>
    <w:rsid w:val="002744F5"/>
    <w:rsid w:val="00276494"/>
    <w:rsid w:val="00277B0C"/>
    <w:rsid w:val="00290F78"/>
    <w:rsid w:val="002B1A2C"/>
    <w:rsid w:val="002C34F2"/>
    <w:rsid w:val="002C58FF"/>
    <w:rsid w:val="002C7AFE"/>
    <w:rsid w:val="002D05D2"/>
    <w:rsid w:val="002D79D8"/>
    <w:rsid w:val="002E0D61"/>
    <w:rsid w:val="002E4C7B"/>
    <w:rsid w:val="0030740C"/>
    <w:rsid w:val="0031434A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347D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485D"/>
    <w:rsid w:val="004030BC"/>
    <w:rsid w:val="00403F7D"/>
    <w:rsid w:val="00406785"/>
    <w:rsid w:val="004079B4"/>
    <w:rsid w:val="00413774"/>
    <w:rsid w:val="00417A56"/>
    <w:rsid w:val="00420957"/>
    <w:rsid w:val="00422A10"/>
    <w:rsid w:val="00430179"/>
    <w:rsid w:val="004414B5"/>
    <w:rsid w:val="00444482"/>
    <w:rsid w:val="00444B42"/>
    <w:rsid w:val="00445E44"/>
    <w:rsid w:val="00447CF4"/>
    <w:rsid w:val="004509E2"/>
    <w:rsid w:val="004515EE"/>
    <w:rsid w:val="004529F0"/>
    <w:rsid w:val="00460A03"/>
    <w:rsid w:val="004725D8"/>
    <w:rsid w:val="00472A11"/>
    <w:rsid w:val="00472AAD"/>
    <w:rsid w:val="00474E33"/>
    <w:rsid w:val="00476803"/>
    <w:rsid w:val="004831E2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265A"/>
    <w:rsid w:val="004D4AA1"/>
    <w:rsid w:val="004D6D68"/>
    <w:rsid w:val="004E5EDD"/>
    <w:rsid w:val="004F448A"/>
    <w:rsid w:val="004F493D"/>
    <w:rsid w:val="004F65E8"/>
    <w:rsid w:val="0050005E"/>
    <w:rsid w:val="00502B88"/>
    <w:rsid w:val="005105E7"/>
    <w:rsid w:val="005142C4"/>
    <w:rsid w:val="0051509C"/>
    <w:rsid w:val="0051666E"/>
    <w:rsid w:val="00526C86"/>
    <w:rsid w:val="005272E2"/>
    <w:rsid w:val="0053108F"/>
    <w:rsid w:val="00532B56"/>
    <w:rsid w:val="00534B10"/>
    <w:rsid w:val="005446A2"/>
    <w:rsid w:val="00544D2F"/>
    <w:rsid w:val="00551BD8"/>
    <w:rsid w:val="005663AC"/>
    <w:rsid w:val="00581055"/>
    <w:rsid w:val="00591E38"/>
    <w:rsid w:val="005924C3"/>
    <w:rsid w:val="0059621F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05E7"/>
    <w:rsid w:val="006013C1"/>
    <w:rsid w:val="0060669E"/>
    <w:rsid w:val="00610F2E"/>
    <w:rsid w:val="00611399"/>
    <w:rsid w:val="00624C4E"/>
    <w:rsid w:val="00625200"/>
    <w:rsid w:val="00635D0F"/>
    <w:rsid w:val="006363A8"/>
    <w:rsid w:val="00636DB7"/>
    <w:rsid w:val="00643B54"/>
    <w:rsid w:val="00650905"/>
    <w:rsid w:val="006532ED"/>
    <w:rsid w:val="006549F2"/>
    <w:rsid w:val="006567B7"/>
    <w:rsid w:val="00656BB5"/>
    <w:rsid w:val="00657BFB"/>
    <w:rsid w:val="0066333C"/>
    <w:rsid w:val="006639B4"/>
    <w:rsid w:val="006650FE"/>
    <w:rsid w:val="0067305D"/>
    <w:rsid w:val="006746F0"/>
    <w:rsid w:val="00677D9B"/>
    <w:rsid w:val="006867F3"/>
    <w:rsid w:val="00687890"/>
    <w:rsid w:val="006901A2"/>
    <w:rsid w:val="00690368"/>
    <w:rsid w:val="0069079C"/>
    <w:rsid w:val="00690B53"/>
    <w:rsid w:val="0069523D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4F81"/>
    <w:rsid w:val="0075716D"/>
    <w:rsid w:val="00765F14"/>
    <w:rsid w:val="00770E31"/>
    <w:rsid w:val="007770F1"/>
    <w:rsid w:val="00777426"/>
    <w:rsid w:val="0078201C"/>
    <w:rsid w:val="00783FB1"/>
    <w:rsid w:val="00785CDD"/>
    <w:rsid w:val="00791847"/>
    <w:rsid w:val="007925F0"/>
    <w:rsid w:val="007939B3"/>
    <w:rsid w:val="0079509C"/>
    <w:rsid w:val="0079577E"/>
    <w:rsid w:val="00796708"/>
    <w:rsid w:val="007A6FC1"/>
    <w:rsid w:val="007B1B42"/>
    <w:rsid w:val="007C30EB"/>
    <w:rsid w:val="007E063C"/>
    <w:rsid w:val="007E2A4B"/>
    <w:rsid w:val="007E307D"/>
    <w:rsid w:val="007E6A4E"/>
    <w:rsid w:val="007E6C94"/>
    <w:rsid w:val="007F04B4"/>
    <w:rsid w:val="007F1005"/>
    <w:rsid w:val="007F25E0"/>
    <w:rsid w:val="007F5328"/>
    <w:rsid w:val="00804F5A"/>
    <w:rsid w:val="00810C6D"/>
    <w:rsid w:val="0081189E"/>
    <w:rsid w:val="00812887"/>
    <w:rsid w:val="00816F78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394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34D4"/>
    <w:rsid w:val="009578DD"/>
    <w:rsid w:val="00961124"/>
    <w:rsid w:val="009621B6"/>
    <w:rsid w:val="00974F2D"/>
    <w:rsid w:val="00977524"/>
    <w:rsid w:val="00977E88"/>
    <w:rsid w:val="0098091F"/>
    <w:rsid w:val="00984920"/>
    <w:rsid w:val="00985CC4"/>
    <w:rsid w:val="0099303A"/>
    <w:rsid w:val="009971C2"/>
    <w:rsid w:val="009A1254"/>
    <w:rsid w:val="009B083E"/>
    <w:rsid w:val="009B2FF2"/>
    <w:rsid w:val="009B380C"/>
    <w:rsid w:val="009B4843"/>
    <w:rsid w:val="009B5AE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4539"/>
    <w:rsid w:val="00A84504"/>
    <w:rsid w:val="00A85CE0"/>
    <w:rsid w:val="00A8672F"/>
    <w:rsid w:val="00A93057"/>
    <w:rsid w:val="00A968B0"/>
    <w:rsid w:val="00AB2672"/>
    <w:rsid w:val="00AB2817"/>
    <w:rsid w:val="00AB43C4"/>
    <w:rsid w:val="00AB639F"/>
    <w:rsid w:val="00AC32E7"/>
    <w:rsid w:val="00AC3A9F"/>
    <w:rsid w:val="00AC6D2F"/>
    <w:rsid w:val="00AD3B15"/>
    <w:rsid w:val="00AE18A6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7DFE"/>
    <w:rsid w:val="00B40C60"/>
    <w:rsid w:val="00B4571D"/>
    <w:rsid w:val="00B479A9"/>
    <w:rsid w:val="00B52EDF"/>
    <w:rsid w:val="00B71188"/>
    <w:rsid w:val="00B76A41"/>
    <w:rsid w:val="00B87D4C"/>
    <w:rsid w:val="00B93646"/>
    <w:rsid w:val="00B944DF"/>
    <w:rsid w:val="00BA0B38"/>
    <w:rsid w:val="00BA1DBB"/>
    <w:rsid w:val="00BA4510"/>
    <w:rsid w:val="00BA529A"/>
    <w:rsid w:val="00BB612A"/>
    <w:rsid w:val="00BD0073"/>
    <w:rsid w:val="00BD499F"/>
    <w:rsid w:val="00BD56DE"/>
    <w:rsid w:val="00BF2406"/>
    <w:rsid w:val="00C06E43"/>
    <w:rsid w:val="00C13843"/>
    <w:rsid w:val="00C16315"/>
    <w:rsid w:val="00C231DD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2A3E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17A49"/>
    <w:rsid w:val="00D21D8C"/>
    <w:rsid w:val="00D31357"/>
    <w:rsid w:val="00D33220"/>
    <w:rsid w:val="00D334D1"/>
    <w:rsid w:val="00D43329"/>
    <w:rsid w:val="00D44C89"/>
    <w:rsid w:val="00D516CD"/>
    <w:rsid w:val="00D668E6"/>
    <w:rsid w:val="00D7034C"/>
    <w:rsid w:val="00D70670"/>
    <w:rsid w:val="00D74D80"/>
    <w:rsid w:val="00D76624"/>
    <w:rsid w:val="00D87570"/>
    <w:rsid w:val="00D91CB9"/>
    <w:rsid w:val="00D97989"/>
    <w:rsid w:val="00D97D8D"/>
    <w:rsid w:val="00DA352E"/>
    <w:rsid w:val="00DA6409"/>
    <w:rsid w:val="00DA6B55"/>
    <w:rsid w:val="00DC68B1"/>
    <w:rsid w:val="00DC7694"/>
    <w:rsid w:val="00DD1BF6"/>
    <w:rsid w:val="00DD2F9B"/>
    <w:rsid w:val="00DE2513"/>
    <w:rsid w:val="00DE26E8"/>
    <w:rsid w:val="00DF04DE"/>
    <w:rsid w:val="00DF3D4E"/>
    <w:rsid w:val="00DF6F36"/>
    <w:rsid w:val="00E0084C"/>
    <w:rsid w:val="00E025AB"/>
    <w:rsid w:val="00E02B23"/>
    <w:rsid w:val="00E03D0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34F4"/>
    <w:rsid w:val="00ED1D89"/>
    <w:rsid w:val="00ED66BC"/>
    <w:rsid w:val="00EF233A"/>
    <w:rsid w:val="00EF303E"/>
    <w:rsid w:val="00EF3A40"/>
    <w:rsid w:val="00EF7F78"/>
    <w:rsid w:val="00F01B08"/>
    <w:rsid w:val="00F01C4D"/>
    <w:rsid w:val="00F01FE5"/>
    <w:rsid w:val="00F053FA"/>
    <w:rsid w:val="00F10C97"/>
    <w:rsid w:val="00F11C71"/>
    <w:rsid w:val="00F16019"/>
    <w:rsid w:val="00F1688E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256B"/>
    <w:rsid w:val="00FB4E07"/>
    <w:rsid w:val="00FB755A"/>
    <w:rsid w:val="00FC60A2"/>
    <w:rsid w:val="00FD159D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4BCF30A7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3F4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8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85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85D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E03D0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cgih.org/tlv-bei-guidelines/policies-procedures-presentation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97BC7"/>
    <w:rsid w:val="00277630"/>
    <w:rsid w:val="003048EF"/>
    <w:rsid w:val="00492D4C"/>
    <w:rsid w:val="0066753A"/>
    <w:rsid w:val="006B15A1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D4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1033D8B55334F13B2D17B218BA9CBFE">
    <w:name w:val="C1033D8B55334F13B2D17B218BA9CBFE"/>
    <w:rsid w:val="00492D4C"/>
    <w:rPr>
      <w:lang w:val="en-US" w:eastAsia="en-US"/>
    </w:rPr>
  </w:style>
  <w:style w:type="paragraph" w:customStyle="1" w:styleId="5812F0ED145640FCBA69F043FCFAAF30">
    <w:name w:val="5812F0ED145640FCBA69F043FCFAAF30"/>
    <w:rsid w:val="00492D4C"/>
    <w:rPr>
      <w:lang w:val="en-US" w:eastAsia="en-US"/>
    </w:rPr>
  </w:style>
  <w:style w:type="paragraph" w:customStyle="1" w:styleId="ED6C7A35A375426DA7DF62C9811EBAE0">
    <w:name w:val="ED6C7A35A375426DA7DF62C9811EBAE0"/>
    <w:rsid w:val="00492D4C"/>
    <w:rPr>
      <w:lang w:val="en-US" w:eastAsia="en-US"/>
    </w:rPr>
  </w:style>
  <w:style w:type="paragraph" w:customStyle="1" w:styleId="A827A3D267964DBAAA1B11A593D4B135">
    <w:name w:val="A827A3D267964DBAAA1B11A593D4B135"/>
    <w:rsid w:val="00492D4C"/>
    <w:rPr>
      <w:lang w:val="en-US" w:eastAsia="en-US"/>
    </w:rPr>
  </w:style>
  <w:style w:type="paragraph" w:customStyle="1" w:styleId="DD10AFD4ED4E414BA8329D827CC22DF5">
    <w:name w:val="DD10AFD4ED4E414BA8329D827CC22DF5"/>
    <w:rsid w:val="00492D4C"/>
    <w:rPr>
      <w:lang w:val="en-US" w:eastAsia="en-US"/>
    </w:rPr>
  </w:style>
  <w:style w:type="paragraph" w:customStyle="1" w:styleId="9BC9FDA371174D19B2688C48A73BA4CF">
    <w:name w:val="9BC9FDA371174D19B2688C48A73BA4CF"/>
    <w:rsid w:val="00492D4C"/>
    <w:rPr>
      <w:lang w:val="en-US" w:eastAsia="en-US"/>
    </w:rPr>
  </w:style>
  <w:style w:type="paragraph" w:customStyle="1" w:styleId="1706EDF3C3A841EFBF1C023C5A0E0548">
    <w:name w:val="1706EDF3C3A841EFBF1C023C5A0E0548"/>
    <w:rsid w:val="00492D4C"/>
    <w:rPr>
      <w:lang w:val="en-US" w:eastAsia="en-US"/>
    </w:rPr>
  </w:style>
  <w:style w:type="paragraph" w:customStyle="1" w:styleId="AEC6FD0FA52046CCA89F9762D82530CD">
    <w:name w:val="AEC6FD0FA52046CCA89F9762D82530CD"/>
    <w:rsid w:val="00097BC7"/>
  </w:style>
  <w:style w:type="paragraph" w:customStyle="1" w:styleId="B0ACF9853FEC45A0BDEB2B7DDDD1792E">
    <w:name w:val="B0ACF9853FEC45A0BDEB2B7DDDD1792E"/>
    <w:rsid w:val="00097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2113-1AD0-4A77-BFB6-A3EB9DD9D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CBC736-BB02-4D40-AD8D-595C92AF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54</cp:revision>
  <cp:lastPrinted>2018-10-22T22:41:00Z</cp:lastPrinted>
  <dcterms:created xsi:type="dcterms:W3CDTF">2019-04-14T23:55:00Z</dcterms:created>
  <dcterms:modified xsi:type="dcterms:W3CDTF">2019-10-10T23:54:00Z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