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rPr>
          <w:rFonts w:ascii="Arial" w:hAnsi="Arial" w:cs="Arial"/>
        </w:rPr>
        <w:alias w:val="NameofChemical"/>
        <w:tag w:val="NameofChemical"/>
        <w:id w:val="1425919599"/>
        <w:lock w:val="sdtLocked"/>
        <w:placeholder>
          <w:docPart w:val="CE1736E50B02464986D1BEC8B7ACDE96"/>
        </w:placeholder>
        <w:text/>
      </w:sdtPr>
      <w:sdtEndPr/>
      <w:sdtContent>
        <w:p w14:paraId="3B1820A9" w14:textId="569811F3" w:rsidR="00BD499F" w:rsidRPr="004C23F4" w:rsidRDefault="00944D52" w:rsidP="00B40C60">
          <w:pPr>
            <w:pStyle w:val="Heading1"/>
            <w:jc w:val="center"/>
            <w:rPr>
              <w:rFonts w:ascii="Arial" w:hAnsi="Arial" w:cs="Arial"/>
            </w:rPr>
          </w:pPr>
          <w:r w:rsidRPr="00944D52">
            <w:rPr>
              <w:rFonts w:ascii="Arial" w:hAnsi="Arial" w:cs="Arial"/>
            </w:rPr>
            <w:t>Dibutyl phthalate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9"/>
        <w:gridCol w:w="5037"/>
      </w:tblGrid>
      <w:tr w:rsidR="00F43AD5" w:rsidRPr="004C23F4" w14:paraId="267BFF54" w14:textId="77777777" w:rsidTr="00B76A41">
        <w:trPr>
          <w:cantSplit/>
          <w:tblHeader/>
        </w:trPr>
        <w:tc>
          <w:tcPr>
            <w:tcW w:w="4077" w:type="dxa"/>
          </w:tcPr>
          <w:p w14:paraId="27A9C8E4" w14:textId="77777777" w:rsidR="00F43AD5" w:rsidRPr="00921DE7" w:rsidRDefault="00CB1CB1" w:rsidP="00B76A41">
            <w:pPr>
              <w:pStyle w:val="Tablerowright"/>
            </w:pPr>
            <w:r w:rsidRPr="00921DE7">
              <w:t>CAS number:</w:t>
            </w:r>
          </w:p>
        </w:tc>
        <w:tc>
          <w:tcPr>
            <w:tcW w:w="5165" w:type="dxa"/>
          </w:tcPr>
          <w:p w14:paraId="378C8FF8" w14:textId="0A941133" w:rsidR="00F43AD5" w:rsidRPr="00717D45" w:rsidRDefault="00944D52" w:rsidP="00B76A41">
            <w:pPr>
              <w:pStyle w:val="Tablefont"/>
            </w:pPr>
            <w:r w:rsidRPr="00944D52">
              <w:t>84-74-2</w:t>
            </w:r>
          </w:p>
        </w:tc>
      </w:tr>
      <w:tr w:rsidR="00F43AD5" w:rsidRPr="004C23F4" w14:paraId="1BE3DD0E" w14:textId="77777777" w:rsidTr="00B76A41">
        <w:trPr>
          <w:cantSplit/>
        </w:trPr>
        <w:tc>
          <w:tcPr>
            <w:tcW w:w="4077" w:type="dxa"/>
          </w:tcPr>
          <w:p w14:paraId="7DFEF202" w14:textId="77777777" w:rsidR="00F43AD5" w:rsidRPr="00921DE7" w:rsidRDefault="00CB1CB1" w:rsidP="00B76A41">
            <w:pPr>
              <w:pStyle w:val="Tablerowright"/>
            </w:pPr>
            <w:r w:rsidRPr="00921DE7">
              <w:t>Synonyms:</w:t>
            </w:r>
          </w:p>
        </w:tc>
        <w:tc>
          <w:tcPr>
            <w:tcW w:w="5165" w:type="dxa"/>
          </w:tcPr>
          <w:p w14:paraId="38973548" w14:textId="3D5514EB" w:rsidR="00F43AD5" w:rsidRPr="00717D45" w:rsidRDefault="00944D52" w:rsidP="00B76A41">
            <w:pPr>
              <w:pStyle w:val="Tablefont"/>
            </w:pPr>
            <w:r>
              <w:t xml:space="preserve">n-Butyl phthalate, DBP, </w:t>
            </w:r>
            <w:r w:rsidR="00BA3CC6">
              <w:t xml:space="preserve">phthalic </w:t>
            </w:r>
            <w:r>
              <w:t xml:space="preserve">acid </w:t>
            </w:r>
            <w:proofErr w:type="spellStart"/>
            <w:r>
              <w:t>dibutyl</w:t>
            </w:r>
            <w:proofErr w:type="spellEnd"/>
            <w:r>
              <w:t xml:space="preserve"> ester</w:t>
            </w:r>
          </w:p>
        </w:tc>
      </w:tr>
      <w:tr w:rsidR="00F43AD5" w:rsidRPr="004C23F4" w14:paraId="411BB716" w14:textId="77777777" w:rsidTr="00B76A41">
        <w:trPr>
          <w:cantSplit/>
        </w:trPr>
        <w:tc>
          <w:tcPr>
            <w:tcW w:w="4077" w:type="dxa"/>
          </w:tcPr>
          <w:p w14:paraId="0FA42A05" w14:textId="77777777" w:rsidR="00F43AD5" w:rsidRPr="00921DE7" w:rsidRDefault="00CB1CB1" w:rsidP="00B76A41">
            <w:pPr>
              <w:pStyle w:val="Tablerowright"/>
            </w:pPr>
            <w:r w:rsidRPr="00921DE7">
              <w:t>Chemical formula:</w:t>
            </w:r>
          </w:p>
        </w:tc>
        <w:tc>
          <w:tcPr>
            <w:tcW w:w="5165" w:type="dxa"/>
          </w:tcPr>
          <w:p w14:paraId="27ECC3AE" w14:textId="3F4CCC47" w:rsidR="00F43AD5" w:rsidRPr="00717D45" w:rsidRDefault="00944D52" w:rsidP="00B76A41">
            <w:pPr>
              <w:pStyle w:val="Tablefont"/>
            </w:pPr>
            <w:r>
              <w:t>C</w:t>
            </w:r>
            <w:r w:rsidRPr="00944D52">
              <w:rPr>
                <w:vertAlign w:val="subscript"/>
              </w:rPr>
              <w:t>16</w:t>
            </w:r>
            <w:r>
              <w:t>H</w:t>
            </w:r>
            <w:r w:rsidRPr="00944D52">
              <w:rPr>
                <w:vertAlign w:val="subscript"/>
              </w:rPr>
              <w:t>22</w:t>
            </w:r>
            <w:r>
              <w:t>O</w:t>
            </w:r>
            <w:r w:rsidRPr="00944D52">
              <w:rPr>
                <w:vertAlign w:val="subscript"/>
              </w:rPr>
              <w:t>4</w:t>
            </w:r>
          </w:p>
        </w:tc>
      </w:tr>
      <w:tr w:rsidR="00F43AD5" w:rsidRPr="004C23F4" w14:paraId="450704C7" w14:textId="77777777" w:rsidTr="00B76A41">
        <w:trPr>
          <w:cantSplit/>
        </w:trPr>
        <w:tc>
          <w:tcPr>
            <w:tcW w:w="4077" w:type="dxa"/>
          </w:tcPr>
          <w:p w14:paraId="5F4BAEC4" w14:textId="77777777" w:rsidR="00F43AD5" w:rsidRPr="00921DE7" w:rsidRDefault="00CB1CB1" w:rsidP="00B76A41">
            <w:pPr>
              <w:pStyle w:val="Tablerowright"/>
            </w:pPr>
            <w:r w:rsidRPr="00921DE7">
              <w:t>Structural formula:</w:t>
            </w:r>
          </w:p>
        </w:tc>
        <w:tc>
          <w:tcPr>
            <w:tcW w:w="5165" w:type="dxa"/>
          </w:tcPr>
          <w:p w14:paraId="757C84FE" w14:textId="1F8E37ED" w:rsidR="00F43AD5" w:rsidRPr="00B40C60" w:rsidRDefault="00944D52" w:rsidP="00B76A41">
            <w:pPr>
              <w:pStyle w:val="Tablerowheading"/>
              <w:rPr>
                <w:b w:val="0"/>
              </w:rPr>
            </w:pPr>
            <w:r w:rsidRPr="00944D52">
              <w:rPr>
                <w:b w:val="0"/>
              </w:rPr>
              <w:t>—</w:t>
            </w:r>
          </w:p>
        </w:tc>
      </w:tr>
    </w:tbl>
    <w:p w14:paraId="394F0D8D" w14:textId="455DD88C"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8867F3">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05"/>
        <w:gridCol w:w="5021"/>
      </w:tblGrid>
      <w:tr w:rsidR="002C7AFE" w:rsidRPr="004C23F4" w14:paraId="27EBB9FB" w14:textId="77777777" w:rsidTr="00610F2E">
        <w:trPr>
          <w:cantSplit/>
          <w:tblHeader/>
        </w:trPr>
        <w:tc>
          <w:tcPr>
            <w:tcW w:w="4077" w:type="dxa"/>
            <w:vAlign w:val="center"/>
          </w:tcPr>
          <w:p w14:paraId="28C7AA19" w14:textId="77777777" w:rsidR="002C7AFE" w:rsidRPr="002C58FF" w:rsidRDefault="00921DE7" w:rsidP="00921DE7">
            <w:pPr>
              <w:pStyle w:val="Tablerowright"/>
            </w:pPr>
            <w:r>
              <w:t>TWA:</w:t>
            </w:r>
          </w:p>
        </w:tc>
        <w:tc>
          <w:tcPr>
            <w:tcW w:w="5165" w:type="dxa"/>
          </w:tcPr>
          <w:p w14:paraId="0ED54CB0" w14:textId="6DC00C93" w:rsidR="002C7AFE" w:rsidRPr="00EB3D1B" w:rsidRDefault="008867F3" w:rsidP="00017C82">
            <w:pPr>
              <w:pStyle w:val="Tablefont"/>
              <w:rPr>
                <w:b/>
              </w:rPr>
            </w:pPr>
            <w:r w:rsidRPr="008867F3">
              <w:rPr>
                <w:b/>
              </w:rPr>
              <w:t>0.05 ppm (0.58 mg/m</w:t>
            </w:r>
            <w:r w:rsidRPr="008867F3">
              <w:rPr>
                <w:b/>
                <w:vertAlign w:val="superscript"/>
              </w:rPr>
              <w:t>3</w:t>
            </w:r>
            <w:r w:rsidRPr="008867F3">
              <w:rPr>
                <w:b/>
              </w:rPr>
              <w:t>)</w:t>
            </w:r>
          </w:p>
        </w:tc>
      </w:tr>
      <w:tr w:rsidR="002C7AFE" w:rsidRPr="004C23F4" w14:paraId="1C38A543" w14:textId="77777777" w:rsidTr="00921DE7">
        <w:trPr>
          <w:cantSplit/>
        </w:trPr>
        <w:tc>
          <w:tcPr>
            <w:tcW w:w="4077" w:type="dxa"/>
            <w:vAlign w:val="center"/>
          </w:tcPr>
          <w:p w14:paraId="194A94F3" w14:textId="77777777" w:rsidR="002C7AFE" w:rsidRPr="002C58FF" w:rsidRDefault="002C7AFE" w:rsidP="00921DE7">
            <w:pPr>
              <w:pStyle w:val="Tablerowright"/>
            </w:pPr>
            <w:r w:rsidRPr="002C58FF">
              <w:t>STEL</w:t>
            </w:r>
            <w:r w:rsidR="00921DE7">
              <w:t>:</w:t>
            </w:r>
          </w:p>
        </w:tc>
        <w:tc>
          <w:tcPr>
            <w:tcW w:w="5165" w:type="dxa"/>
          </w:tcPr>
          <w:p w14:paraId="5D40DBAF" w14:textId="1DEB5AC5" w:rsidR="002C7AFE" w:rsidRPr="00EB3D1B" w:rsidRDefault="008867F3" w:rsidP="00017C82">
            <w:pPr>
              <w:pStyle w:val="Tablefont"/>
              <w:rPr>
                <w:b/>
              </w:rPr>
            </w:pPr>
            <w:r>
              <w:rPr>
                <w:b/>
              </w:rPr>
              <w:t>—</w:t>
            </w:r>
          </w:p>
        </w:tc>
      </w:tr>
      <w:tr w:rsidR="002C7AFE" w:rsidRPr="004C23F4" w14:paraId="74DD1F5F" w14:textId="77777777" w:rsidTr="00921DE7">
        <w:trPr>
          <w:cantSplit/>
        </w:trPr>
        <w:tc>
          <w:tcPr>
            <w:tcW w:w="4077" w:type="dxa"/>
            <w:vAlign w:val="center"/>
          </w:tcPr>
          <w:p w14:paraId="4428C944" w14:textId="77777777" w:rsidR="002C7AFE" w:rsidRPr="002C58FF" w:rsidRDefault="00921DE7" w:rsidP="00921DE7">
            <w:pPr>
              <w:pStyle w:val="Tablerowright"/>
            </w:pPr>
            <w:r>
              <w:t>Peak limitation:</w:t>
            </w:r>
          </w:p>
        </w:tc>
        <w:tc>
          <w:tcPr>
            <w:tcW w:w="5165" w:type="dxa"/>
          </w:tcPr>
          <w:p w14:paraId="6BBE0BF1" w14:textId="374E6A2E" w:rsidR="002C7AFE" w:rsidRPr="00EB3D1B" w:rsidRDefault="008867F3" w:rsidP="00017C82">
            <w:pPr>
              <w:pStyle w:val="Tablefont"/>
              <w:rPr>
                <w:b/>
              </w:rPr>
            </w:pPr>
            <w:r>
              <w:rPr>
                <w:b/>
              </w:rPr>
              <w:t>—</w:t>
            </w:r>
          </w:p>
        </w:tc>
      </w:tr>
      <w:tr w:rsidR="002C7AFE" w:rsidRPr="004C23F4" w14:paraId="6C073E1E" w14:textId="77777777" w:rsidTr="00A2073D">
        <w:trPr>
          <w:cantSplit/>
        </w:trPr>
        <w:tc>
          <w:tcPr>
            <w:tcW w:w="4077" w:type="dxa"/>
          </w:tcPr>
          <w:p w14:paraId="62098568"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165" w:type="dxa"/>
          </w:tcPr>
          <w:p w14:paraId="224FD767" w14:textId="65BC4016" w:rsidR="002C7AFE" w:rsidRPr="00EB3D1B" w:rsidRDefault="008867F3" w:rsidP="008A36CF">
            <w:pPr>
              <w:pStyle w:val="Tablefont"/>
              <w:rPr>
                <w:b/>
              </w:rPr>
            </w:pPr>
            <w:r>
              <w:rPr>
                <w:b/>
              </w:rPr>
              <w:t>—</w:t>
            </w:r>
          </w:p>
        </w:tc>
      </w:tr>
      <w:tr w:rsidR="002C7AFE" w:rsidRPr="004C23F4" w14:paraId="645329A0" w14:textId="77777777" w:rsidTr="00921DE7">
        <w:trPr>
          <w:cantSplit/>
        </w:trPr>
        <w:tc>
          <w:tcPr>
            <w:tcW w:w="4077" w:type="dxa"/>
            <w:vAlign w:val="center"/>
          </w:tcPr>
          <w:p w14:paraId="6CE6EB79" w14:textId="77777777" w:rsidR="00F10C97" w:rsidRPr="002C58FF" w:rsidRDefault="00921DE7" w:rsidP="009F04D2">
            <w:pPr>
              <w:pStyle w:val="Tablerowright"/>
            </w:pPr>
            <w:r>
              <w:t>IDLH:</w:t>
            </w:r>
          </w:p>
        </w:tc>
        <w:tc>
          <w:tcPr>
            <w:tcW w:w="5165" w:type="dxa"/>
          </w:tcPr>
          <w:p w14:paraId="71E4746B" w14:textId="2CCDA86A" w:rsidR="002C7AFE" w:rsidRPr="00EB3D1B" w:rsidRDefault="00944D52" w:rsidP="00017C82">
            <w:pPr>
              <w:pStyle w:val="Tablefont"/>
              <w:rPr>
                <w:b/>
              </w:rPr>
            </w:pPr>
            <w:r>
              <w:rPr>
                <w:b/>
              </w:rPr>
              <w:t>4</w:t>
            </w:r>
            <w:r w:rsidR="00632D42">
              <w:rPr>
                <w:b/>
              </w:rPr>
              <w:t>,</w:t>
            </w:r>
            <w:r>
              <w:rPr>
                <w:b/>
              </w:rPr>
              <w:t>000 mg/m</w:t>
            </w:r>
            <w:r w:rsidRPr="00944D52">
              <w:rPr>
                <w:b/>
                <w:vertAlign w:val="superscript"/>
              </w:rPr>
              <w:t>3</w:t>
            </w:r>
          </w:p>
        </w:tc>
      </w:tr>
      <w:tr w:rsidR="009F04D2" w:rsidRPr="004C23F4" w14:paraId="283CF589" w14:textId="77777777" w:rsidTr="00921DE7">
        <w:trPr>
          <w:cantSplit/>
        </w:trPr>
        <w:tc>
          <w:tcPr>
            <w:tcW w:w="4077" w:type="dxa"/>
            <w:vAlign w:val="center"/>
          </w:tcPr>
          <w:p w14:paraId="6570C999" w14:textId="77777777" w:rsidR="009F04D2" w:rsidRDefault="009F04D2" w:rsidP="0099102B">
            <w:pPr>
              <w:pStyle w:val="Tablerowright"/>
              <w:jc w:val="left"/>
            </w:pPr>
            <w:r>
              <w:t>Sampling and analysis:</w:t>
            </w:r>
          </w:p>
        </w:tc>
        <w:tc>
          <w:tcPr>
            <w:tcW w:w="5165" w:type="dxa"/>
          </w:tcPr>
          <w:p w14:paraId="32F2D0B1" w14:textId="77777777" w:rsidR="009F04D2" w:rsidRPr="00EB3D1B" w:rsidRDefault="009F04D2" w:rsidP="00017C82">
            <w:pPr>
              <w:pStyle w:val="Tablefont"/>
              <w:rPr>
                <w:b/>
              </w:rPr>
            </w:pPr>
          </w:p>
        </w:tc>
      </w:tr>
    </w:tbl>
    <w:p w14:paraId="45A45D70" w14:textId="77777777" w:rsidR="00CB1CB1" w:rsidRPr="003365A5" w:rsidRDefault="00F10C97" w:rsidP="003365A5">
      <w:pPr>
        <w:pStyle w:val="Heading2"/>
      </w:pPr>
      <w:r>
        <w:t>Recommendation and basis for workplace exposure standard</w:t>
      </w:r>
    </w:p>
    <w:p w14:paraId="4DA17544" w14:textId="0AB6D33F" w:rsidR="006639B4" w:rsidRPr="00DE413A" w:rsidRDefault="00DE413A" w:rsidP="000C139A">
      <w:pPr>
        <w:rPr>
          <w:rFonts w:cs="Arial"/>
        </w:rPr>
      </w:pPr>
      <w:r>
        <w:rPr>
          <w:rFonts w:cs="Arial"/>
        </w:rPr>
        <w:t>A TWA of 0.05 ppm (0.58 mg/m</w:t>
      </w:r>
      <w:r>
        <w:rPr>
          <w:rFonts w:cs="Arial"/>
          <w:vertAlign w:val="superscript"/>
        </w:rPr>
        <w:t>3</w:t>
      </w:r>
      <w:r>
        <w:rPr>
          <w:rFonts w:cs="Arial"/>
        </w:rPr>
        <w:t xml:space="preserve">) is recommended </w:t>
      </w:r>
      <w:r w:rsidR="008867F3" w:rsidRPr="008867F3">
        <w:rPr>
          <w:rFonts w:cs="Arial"/>
        </w:rPr>
        <w:t xml:space="preserve">to protect for </w:t>
      </w:r>
      <w:r w:rsidR="008867F3">
        <w:rPr>
          <w:rFonts w:cs="Arial"/>
        </w:rPr>
        <w:t xml:space="preserve">irritation of the eyes and respiratory tract </w:t>
      </w:r>
      <w:r w:rsidR="008867F3" w:rsidRPr="008867F3">
        <w:rPr>
          <w:rFonts w:cs="Arial"/>
        </w:rPr>
        <w:t>in exposed workers.</w:t>
      </w:r>
      <w:r w:rsidR="003B6030">
        <w:rPr>
          <w:rFonts w:cs="Arial"/>
        </w:rPr>
        <w:t xml:space="preserve"> </w:t>
      </w:r>
    </w:p>
    <w:p w14:paraId="461C9AE7" w14:textId="77777777" w:rsidR="00C7155E" w:rsidRPr="004C23F4" w:rsidRDefault="00F10C97" w:rsidP="003365A5">
      <w:pPr>
        <w:pStyle w:val="Heading2"/>
      </w:pPr>
      <w:r>
        <w:t>Discussion and conclusions</w:t>
      </w:r>
    </w:p>
    <w:p w14:paraId="3B3BA770" w14:textId="5F0E0283" w:rsidR="003E47A9" w:rsidRDefault="008867F3" w:rsidP="006639B4">
      <w:pPr>
        <w:rPr>
          <w:rFonts w:cs="Arial"/>
        </w:rPr>
      </w:pPr>
      <w:proofErr w:type="spellStart"/>
      <w:r>
        <w:rPr>
          <w:rFonts w:cs="Arial"/>
        </w:rPr>
        <w:t>Dibutyl</w:t>
      </w:r>
      <w:proofErr w:type="spellEnd"/>
      <w:r>
        <w:rPr>
          <w:rFonts w:cs="Arial"/>
        </w:rPr>
        <w:t xml:space="preserve"> phthalate (DBP) is u</w:t>
      </w:r>
      <w:r w:rsidR="003474F1">
        <w:rPr>
          <w:rFonts w:cs="Arial"/>
        </w:rPr>
        <w:t>sed as an insect repellent</w:t>
      </w:r>
      <w:r>
        <w:rPr>
          <w:rFonts w:cs="Arial"/>
        </w:rPr>
        <w:t>, solvent and</w:t>
      </w:r>
      <w:r w:rsidR="003474F1">
        <w:rPr>
          <w:rFonts w:cs="Arial"/>
        </w:rPr>
        <w:t xml:space="preserve"> plasticiser </w:t>
      </w:r>
      <w:r>
        <w:rPr>
          <w:rFonts w:cs="Arial"/>
        </w:rPr>
        <w:t>and in the manufacture of</w:t>
      </w:r>
      <w:r w:rsidR="003474F1">
        <w:rPr>
          <w:rFonts w:cs="Arial"/>
        </w:rPr>
        <w:t xml:space="preserve"> explo</w:t>
      </w:r>
      <w:r>
        <w:rPr>
          <w:rFonts w:cs="Arial"/>
        </w:rPr>
        <w:t>sives</w:t>
      </w:r>
      <w:r w:rsidR="00E869E4">
        <w:rPr>
          <w:rFonts w:cs="Arial"/>
        </w:rPr>
        <w:t xml:space="preserve"> and </w:t>
      </w:r>
      <w:r>
        <w:rPr>
          <w:rFonts w:cs="Arial"/>
        </w:rPr>
        <w:t>propellants, nail polish</w:t>
      </w:r>
      <w:r w:rsidR="003474F1">
        <w:rPr>
          <w:rFonts w:cs="Arial"/>
        </w:rPr>
        <w:t xml:space="preserve"> and lubricating agents. </w:t>
      </w:r>
      <w:r w:rsidR="003B6030">
        <w:rPr>
          <w:rFonts w:cs="Arial"/>
        </w:rPr>
        <w:t>Due to its low volatility, vapour saturation occurs at 0.09 ppm (1 mg/m</w:t>
      </w:r>
      <w:r w:rsidR="003B6030">
        <w:rPr>
          <w:rFonts w:cs="Arial"/>
          <w:vertAlign w:val="superscript"/>
        </w:rPr>
        <w:t>3</w:t>
      </w:r>
      <w:r w:rsidR="003B6030">
        <w:rPr>
          <w:rFonts w:cs="Arial"/>
        </w:rPr>
        <w:t>), at which point the substance forms an aerosol</w:t>
      </w:r>
      <w:r w:rsidR="007A41EF">
        <w:rPr>
          <w:rFonts w:cs="Arial"/>
        </w:rPr>
        <w:t xml:space="preserve"> (DFG</w:t>
      </w:r>
      <w:r w:rsidR="007A3800">
        <w:rPr>
          <w:rFonts w:cs="Arial"/>
        </w:rPr>
        <w:t>,</w:t>
      </w:r>
      <w:r w:rsidR="007A41EF">
        <w:rPr>
          <w:rFonts w:cs="Arial"/>
        </w:rPr>
        <w:t xml:space="preserve"> 2013)</w:t>
      </w:r>
      <w:r w:rsidR="003B6030">
        <w:rPr>
          <w:rFonts w:cs="Arial"/>
        </w:rPr>
        <w:t xml:space="preserve">. </w:t>
      </w:r>
    </w:p>
    <w:p w14:paraId="526F6AA8" w14:textId="21CFCF45" w:rsidR="006639B4" w:rsidRPr="003B6030" w:rsidRDefault="003474F1" w:rsidP="006639B4">
      <w:pPr>
        <w:rPr>
          <w:rFonts w:cs="Arial"/>
        </w:rPr>
      </w:pPr>
      <w:r>
        <w:rPr>
          <w:rFonts w:cs="Arial"/>
        </w:rPr>
        <w:t>Critical effects of exposure are irritation of</w:t>
      </w:r>
      <w:r w:rsidR="008867F3">
        <w:rPr>
          <w:rFonts w:cs="Arial"/>
        </w:rPr>
        <w:t xml:space="preserve"> the eyes and respiratory tract</w:t>
      </w:r>
      <w:r w:rsidR="00632D42">
        <w:rPr>
          <w:rFonts w:cs="Arial"/>
        </w:rPr>
        <w:t xml:space="preserve"> and potential liver damage</w:t>
      </w:r>
      <w:r w:rsidR="008867F3">
        <w:rPr>
          <w:rFonts w:cs="Arial"/>
        </w:rPr>
        <w:t xml:space="preserve">; </w:t>
      </w:r>
      <w:r w:rsidR="00F93E6F">
        <w:rPr>
          <w:rFonts w:cs="Arial"/>
        </w:rPr>
        <w:t>prenatal</w:t>
      </w:r>
      <w:r w:rsidR="008867F3">
        <w:rPr>
          <w:rFonts w:cs="Arial"/>
        </w:rPr>
        <w:t xml:space="preserve"> toxicity </w:t>
      </w:r>
      <w:r w:rsidR="003B6030">
        <w:rPr>
          <w:rFonts w:cs="Arial"/>
        </w:rPr>
        <w:t>is</w:t>
      </w:r>
      <w:r w:rsidR="00632D42">
        <w:rPr>
          <w:rFonts w:cs="Arial"/>
        </w:rPr>
        <w:t xml:space="preserve"> established in animals abo</w:t>
      </w:r>
      <w:r w:rsidR="007A41EF">
        <w:rPr>
          <w:rFonts w:cs="Arial"/>
        </w:rPr>
        <w:t>ve the irritation threshold</w:t>
      </w:r>
      <w:r w:rsidR="0021005D">
        <w:rPr>
          <w:rFonts w:cs="Arial"/>
        </w:rPr>
        <w:t xml:space="preserve"> (ACGIH</w:t>
      </w:r>
      <w:r w:rsidR="007A3800">
        <w:rPr>
          <w:rFonts w:cs="Arial"/>
        </w:rPr>
        <w:t>,</w:t>
      </w:r>
      <w:r w:rsidR="0021005D">
        <w:rPr>
          <w:rFonts w:cs="Arial"/>
        </w:rPr>
        <w:t xml:space="preserve"> 2018; DFG</w:t>
      </w:r>
      <w:r w:rsidR="007A3800">
        <w:rPr>
          <w:rFonts w:cs="Arial"/>
        </w:rPr>
        <w:t>,</w:t>
      </w:r>
      <w:r w:rsidR="0021005D">
        <w:rPr>
          <w:rFonts w:cs="Arial"/>
        </w:rPr>
        <w:t xml:space="preserve"> 2013)</w:t>
      </w:r>
      <w:r w:rsidR="003B6030">
        <w:rPr>
          <w:rFonts w:cs="Arial"/>
        </w:rPr>
        <w:t xml:space="preserve">. </w:t>
      </w:r>
      <w:r w:rsidR="003E47A9">
        <w:rPr>
          <w:rFonts w:cs="Arial"/>
        </w:rPr>
        <w:t>Developmental effects are reported in rats, with a calculated NOAEL of 1.5 mg/kg and LOAEL of 31.25 mg/kg for abnormal sperm development (DFG, 2013). The critical study for recommending a TWA for DBP reports a</w:t>
      </w:r>
      <w:r w:rsidR="003B6030">
        <w:rPr>
          <w:rFonts w:cs="Arial"/>
        </w:rPr>
        <w:t xml:space="preserve"> </w:t>
      </w:r>
      <w:r w:rsidR="007A41EF">
        <w:rPr>
          <w:rFonts w:cs="Arial"/>
        </w:rPr>
        <w:t>LOAEC of 1.</w:t>
      </w:r>
      <w:r w:rsidR="00BA3CC6">
        <w:rPr>
          <w:rFonts w:cs="Arial"/>
        </w:rPr>
        <w:t xml:space="preserve">18 </w:t>
      </w:r>
      <w:r w:rsidR="007A41EF">
        <w:rPr>
          <w:rFonts w:cs="Arial"/>
        </w:rPr>
        <w:t>mg/m</w:t>
      </w:r>
      <w:r w:rsidR="007A41EF">
        <w:rPr>
          <w:rFonts w:cs="Arial"/>
          <w:vertAlign w:val="superscript"/>
        </w:rPr>
        <w:t>3</w:t>
      </w:r>
      <w:r w:rsidR="007A41EF">
        <w:rPr>
          <w:rFonts w:cs="Arial"/>
        </w:rPr>
        <w:t xml:space="preserve"> </w:t>
      </w:r>
      <w:r w:rsidR="003B6030">
        <w:rPr>
          <w:rFonts w:cs="Arial"/>
        </w:rPr>
        <w:t xml:space="preserve">for </w:t>
      </w:r>
      <w:r w:rsidR="00F93E6F">
        <w:rPr>
          <w:rFonts w:cs="Arial"/>
        </w:rPr>
        <w:t xml:space="preserve">nasal irritation </w:t>
      </w:r>
      <w:r w:rsidR="007A41EF">
        <w:rPr>
          <w:rFonts w:cs="Arial"/>
        </w:rPr>
        <w:t xml:space="preserve">in rats </w:t>
      </w:r>
      <w:r w:rsidR="003E47A9">
        <w:rPr>
          <w:rFonts w:cs="Arial"/>
        </w:rPr>
        <w:t xml:space="preserve">which </w:t>
      </w:r>
      <w:r w:rsidR="00DC2DA4">
        <w:rPr>
          <w:rFonts w:cs="Arial"/>
        </w:rPr>
        <w:t>has</w:t>
      </w:r>
      <w:r w:rsidR="007A41EF">
        <w:rPr>
          <w:rFonts w:cs="Arial"/>
        </w:rPr>
        <w:t xml:space="preserve"> a </w:t>
      </w:r>
      <w:r w:rsidR="001D56E2">
        <w:rPr>
          <w:rFonts w:cs="Arial"/>
        </w:rPr>
        <w:t xml:space="preserve">relatively </w:t>
      </w:r>
      <w:r w:rsidR="007A41EF">
        <w:rPr>
          <w:rFonts w:cs="Arial"/>
        </w:rPr>
        <w:t>flat dose-response relationship</w:t>
      </w:r>
      <w:r w:rsidR="00DF6BE1">
        <w:rPr>
          <w:rFonts w:cs="Arial"/>
        </w:rPr>
        <w:t xml:space="preserve"> (DFG, 2013)</w:t>
      </w:r>
      <w:r w:rsidR="001D56E2">
        <w:rPr>
          <w:rFonts w:cs="Arial"/>
        </w:rPr>
        <w:t xml:space="preserve">. </w:t>
      </w:r>
      <w:r w:rsidR="00DC2DA4">
        <w:rPr>
          <w:rFonts w:cs="Arial"/>
        </w:rPr>
        <w:t xml:space="preserve">This study is absent from the ACGIH (2018) assessment. </w:t>
      </w:r>
      <w:r w:rsidR="00DF6BE1">
        <w:rPr>
          <w:rFonts w:cs="Arial"/>
        </w:rPr>
        <w:t>Commensurate with the approach</w:t>
      </w:r>
      <w:r w:rsidR="00DC2DA4">
        <w:rPr>
          <w:rFonts w:cs="Arial"/>
        </w:rPr>
        <w:t xml:space="preserve"> presented in </w:t>
      </w:r>
      <w:r w:rsidR="00DF6BE1">
        <w:rPr>
          <w:rFonts w:cs="Arial"/>
        </w:rPr>
        <w:t>DFG</w:t>
      </w:r>
      <w:r w:rsidR="00DC2DA4">
        <w:rPr>
          <w:rFonts w:cs="Arial"/>
        </w:rPr>
        <w:t xml:space="preserve"> (2013)</w:t>
      </w:r>
      <w:r w:rsidR="00DF6BE1">
        <w:rPr>
          <w:rFonts w:cs="Arial"/>
        </w:rPr>
        <w:t xml:space="preserve">, the </w:t>
      </w:r>
      <w:r w:rsidR="00DC2DA4">
        <w:rPr>
          <w:rFonts w:cs="Arial"/>
        </w:rPr>
        <w:t>LOAEC</w:t>
      </w:r>
      <w:r w:rsidR="00DF6BE1">
        <w:rPr>
          <w:rFonts w:cs="Arial"/>
        </w:rPr>
        <w:t xml:space="preserve"> </w:t>
      </w:r>
      <w:r w:rsidR="007A41EF">
        <w:rPr>
          <w:rFonts w:cs="Arial"/>
        </w:rPr>
        <w:t xml:space="preserve">is halved </w:t>
      </w:r>
      <w:r w:rsidR="00DF6BE1">
        <w:rPr>
          <w:rFonts w:cs="Arial"/>
        </w:rPr>
        <w:t xml:space="preserve">to account for uncertainty in determining a NOAEL, which affords the recommended TWA of </w:t>
      </w:r>
      <w:r w:rsidR="003E47A9">
        <w:rPr>
          <w:rFonts w:cs="Arial"/>
        </w:rPr>
        <w:t>0.05 ppm (</w:t>
      </w:r>
      <w:r w:rsidR="00DF6BE1">
        <w:rPr>
          <w:rFonts w:cs="Arial"/>
        </w:rPr>
        <w:t>0.58</w:t>
      </w:r>
      <w:r w:rsidR="00BA3CC6">
        <w:rPr>
          <w:rFonts w:cs="Arial"/>
        </w:rPr>
        <w:t xml:space="preserve"> </w:t>
      </w:r>
      <w:r w:rsidR="00DF6BE1">
        <w:rPr>
          <w:rFonts w:cs="Arial"/>
        </w:rPr>
        <w:t>mg/m</w:t>
      </w:r>
      <w:r w:rsidR="00DF6BE1">
        <w:rPr>
          <w:rFonts w:cs="Arial"/>
          <w:vertAlign w:val="superscript"/>
        </w:rPr>
        <w:t>3</w:t>
      </w:r>
      <w:r w:rsidR="003E47A9">
        <w:rPr>
          <w:rFonts w:cs="Arial"/>
        </w:rPr>
        <w:t>)</w:t>
      </w:r>
      <w:r w:rsidR="00DF6BE1">
        <w:rPr>
          <w:rFonts w:cs="Arial"/>
        </w:rPr>
        <w:t>. At this concentration, the substance is a vapour an</w:t>
      </w:r>
      <w:r w:rsidR="003E47A9">
        <w:rPr>
          <w:rFonts w:cs="Arial"/>
        </w:rPr>
        <w:t xml:space="preserve">d </w:t>
      </w:r>
      <w:r w:rsidR="00DF6BE1">
        <w:rPr>
          <w:rFonts w:cs="Arial"/>
        </w:rPr>
        <w:t xml:space="preserve">provides additional protection for </w:t>
      </w:r>
      <w:r w:rsidR="00951E52">
        <w:rPr>
          <w:rFonts w:cs="Arial"/>
        </w:rPr>
        <w:t xml:space="preserve">irritant </w:t>
      </w:r>
      <w:r w:rsidR="00DF6BE1">
        <w:rPr>
          <w:rFonts w:cs="Arial"/>
        </w:rPr>
        <w:t xml:space="preserve">effects. </w:t>
      </w:r>
    </w:p>
    <w:p w14:paraId="175B8799" w14:textId="77777777" w:rsidR="004529F0" w:rsidRPr="004C23F4" w:rsidRDefault="004529F0" w:rsidP="004529F0">
      <w:pPr>
        <w:pStyle w:val="Heading2"/>
      </w:pPr>
      <w:r>
        <w:t>Recommendation for notations</w:t>
      </w:r>
    </w:p>
    <w:p w14:paraId="610DF31E" w14:textId="3C4F4A5B" w:rsidR="00944D52" w:rsidRPr="00944D52" w:rsidRDefault="00944D52" w:rsidP="00944D52">
      <w:pPr>
        <w:rPr>
          <w:rFonts w:cs="Arial"/>
        </w:rPr>
      </w:pPr>
      <w:r w:rsidRPr="00944D52">
        <w:rPr>
          <w:rFonts w:cs="Arial"/>
        </w:rPr>
        <w:t xml:space="preserve">Not classified as a carcinogen according to the Globally Harmonized System of Classification and Labelling </w:t>
      </w:r>
      <w:r w:rsidR="008C3F7E">
        <w:rPr>
          <w:rFonts w:cs="Arial"/>
        </w:rPr>
        <w:t>of</w:t>
      </w:r>
      <w:r w:rsidRPr="00944D52">
        <w:rPr>
          <w:rFonts w:cs="Arial"/>
        </w:rPr>
        <w:t xml:space="preserve"> Chemicals (GHS). </w:t>
      </w:r>
    </w:p>
    <w:p w14:paraId="6F34A6DA" w14:textId="61C900EC" w:rsidR="00944D52" w:rsidRPr="00944D52" w:rsidRDefault="00944D52" w:rsidP="00944D52">
      <w:pPr>
        <w:rPr>
          <w:rFonts w:cs="Arial"/>
        </w:rPr>
      </w:pPr>
      <w:r w:rsidRPr="00944D52">
        <w:rPr>
          <w:rFonts w:cs="Arial"/>
        </w:rPr>
        <w:t xml:space="preserve">Not classified as a skin </w:t>
      </w:r>
      <w:r w:rsidR="00951E52">
        <w:rPr>
          <w:rFonts w:cs="Arial"/>
        </w:rPr>
        <w:t xml:space="preserve">sensitiser </w:t>
      </w:r>
      <w:r w:rsidRPr="00944D52">
        <w:rPr>
          <w:rFonts w:cs="Arial"/>
        </w:rPr>
        <w:t>or respiratory sensitiser according to the GHS.</w:t>
      </w:r>
    </w:p>
    <w:p w14:paraId="5273BE2E" w14:textId="48E4590E" w:rsidR="005E6979" w:rsidRPr="004C23F4" w:rsidRDefault="00DC2DA4">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r w:rsidRPr="00DC2DA4">
        <w:rPr>
          <w:rFonts w:cs="Arial"/>
        </w:rPr>
        <w:t xml:space="preserve">A skin notation is not </w:t>
      </w:r>
      <w:r w:rsidR="003E47A9">
        <w:rPr>
          <w:rFonts w:cs="Arial"/>
        </w:rPr>
        <w:t>recommended</w:t>
      </w:r>
      <w:r w:rsidR="003E47A9" w:rsidRPr="00DC2DA4">
        <w:rPr>
          <w:rFonts w:cs="Arial"/>
        </w:rPr>
        <w:t xml:space="preserve"> </w:t>
      </w:r>
      <w:r w:rsidRPr="00DC2DA4">
        <w:rPr>
          <w:rFonts w:cs="Arial"/>
        </w:rPr>
        <w:t>based on the available evidence.</w:t>
      </w:r>
    </w:p>
    <w:p w14:paraId="3D53DD5A"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555F9C16"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5A40ED78" w14:textId="77777777" w:rsidTr="00C6642D">
        <w:trPr>
          <w:gridAfter w:val="1"/>
          <w:wAfter w:w="8" w:type="pct"/>
          <w:trHeight w:val="393"/>
          <w:tblHeader/>
        </w:trPr>
        <w:tc>
          <w:tcPr>
            <w:tcW w:w="4992" w:type="pct"/>
            <w:shd w:val="clear" w:color="auto" w:fill="BFBFBF" w:themeFill="background1" w:themeFillShade="BF"/>
            <w:vAlign w:val="center"/>
          </w:tcPr>
          <w:p w14:paraId="4FF3E264"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294EF993" w14:textId="77777777" w:rsidTr="00C6642D">
        <w:tc>
          <w:tcPr>
            <w:tcW w:w="5000" w:type="pct"/>
            <w:gridSpan w:val="2"/>
            <w:shd w:val="clear" w:color="auto" w:fill="F2F2F2" w:themeFill="background1" w:themeFillShade="F2"/>
          </w:tcPr>
          <w:p w14:paraId="07E2F7F4" w14:textId="36BE8A7F"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944D52">
                  <w:t>1991</w:t>
                </w:r>
              </w:sdtContent>
            </w:sdt>
            <w:r w:rsidRPr="003365A5">
              <w:tab/>
            </w:r>
            <w:r>
              <w:tab/>
            </w:r>
            <w:sdt>
              <w:sdtPr>
                <w:alias w:val="SWA WES"/>
                <w:tag w:val="SWA WES"/>
                <w:id w:val="857077202"/>
                <w:placeholder>
                  <w:docPart w:val="81CFEC2FDBC5451289F394E66D92D1A0"/>
                </w:placeholder>
              </w:sdtPr>
              <w:sdtEndPr/>
              <w:sdtContent>
                <w:r w:rsidR="00944D52">
                  <w:t>TWA: 5 mg/m</w:t>
                </w:r>
                <w:r w:rsidR="00944D52" w:rsidRPr="00944D52">
                  <w:rPr>
                    <w:vertAlign w:val="superscript"/>
                  </w:rPr>
                  <w:t>3</w:t>
                </w:r>
              </w:sdtContent>
            </w:sdt>
          </w:p>
        </w:tc>
      </w:tr>
      <w:tr w:rsidR="00C978F0" w:rsidRPr="00DA352E" w14:paraId="243B6585" w14:textId="77777777" w:rsidTr="00C6642D">
        <w:trPr>
          <w:gridAfter w:val="1"/>
          <w:wAfter w:w="8" w:type="pct"/>
        </w:trPr>
        <w:tc>
          <w:tcPr>
            <w:tcW w:w="4992" w:type="pct"/>
          </w:tcPr>
          <w:p w14:paraId="55C93D24" w14:textId="77777777" w:rsidR="00C978F0" w:rsidRPr="00DA352E" w:rsidRDefault="00C978F0" w:rsidP="003365A5">
            <w:pPr>
              <w:pStyle w:val="Tabletextprimarysource"/>
            </w:pPr>
          </w:p>
        </w:tc>
      </w:tr>
      <w:tr w:rsidR="00C978F0" w:rsidRPr="00DA352E" w14:paraId="7AB966E2" w14:textId="77777777" w:rsidTr="00C6642D">
        <w:trPr>
          <w:gridAfter w:val="1"/>
          <w:wAfter w:w="8" w:type="pct"/>
        </w:trPr>
        <w:tc>
          <w:tcPr>
            <w:tcW w:w="4992" w:type="pct"/>
            <w:shd w:val="clear" w:color="auto" w:fill="F2F2F2" w:themeFill="background1" w:themeFillShade="F2"/>
          </w:tcPr>
          <w:p w14:paraId="15B2782F" w14:textId="2B1BEDC3"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944D52">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944D52">
                  <w:t>TWA: 5 mg/m</w:t>
                </w:r>
                <w:r w:rsidR="00944D52" w:rsidRPr="00944D52">
                  <w:rPr>
                    <w:vertAlign w:val="superscript"/>
                  </w:rPr>
                  <w:t>3</w:t>
                </w:r>
              </w:sdtContent>
            </w:sdt>
          </w:p>
        </w:tc>
      </w:tr>
      <w:tr w:rsidR="00C978F0" w:rsidRPr="00DA352E" w14:paraId="4268C6BF" w14:textId="77777777" w:rsidTr="00C6642D">
        <w:trPr>
          <w:gridAfter w:val="1"/>
          <w:wAfter w:w="8" w:type="pct"/>
        </w:trPr>
        <w:tc>
          <w:tcPr>
            <w:tcW w:w="4992" w:type="pct"/>
          </w:tcPr>
          <w:p w14:paraId="35EEC6DF" w14:textId="5952F78E" w:rsidR="003E47A9" w:rsidRDefault="003474F1" w:rsidP="003365A5">
            <w:pPr>
              <w:pStyle w:val="Tabletextprimarysource"/>
            </w:pPr>
            <w:r>
              <w:t>TLV-TWA intended to minimise potential for irritation to the eyes and respiratory tract and potential testicular injury reported in animal studies.</w:t>
            </w:r>
          </w:p>
          <w:p w14:paraId="30E61B6C" w14:textId="5EEFE364" w:rsidR="00C978F0" w:rsidRDefault="009B16F4" w:rsidP="003365A5">
            <w:pPr>
              <w:pStyle w:val="Tabletextprimarysource"/>
            </w:pPr>
            <w:r>
              <w:t xml:space="preserve"> Insufficient data to recommend a STEL or notations for carcinogenicity, sensitisation or skin absorption.</w:t>
            </w:r>
          </w:p>
          <w:p w14:paraId="774EC8D7" w14:textId="7EB10C4C" w:rsidR="003474F1" w:rsidRDefault="003474F1" w:rsidP="003365A5">
            <w:pPr>
              <w:pStyle w:val="Tabletextprimarysource"/>
            </w:pPr>
            <w:r>
              <w:t>Summary of information:</w:t>
            </w:r>
          </w:p>
          <w:p w14:paraId="6931C8A7" w14:textId="6A3A6C5F" w:rsidR="009B16F4" w:rsidRDefault="00A419AF" w:rsidP="003365A5">
            <w:pPr>
              <w:pStyle w:val="Tabletextprimarysource"/>
            </w:pPr>
            <w:r>
              <w:t xml:space="preserve">Available data indicate low order of toxicity. TLV-TWA derivation not discussed but expected to be sufficiently protective of critical effects. </w:t>
            </w:r>
          </w:p>
          <w:p w14:paraId="0999A302" w14:textId="7A5A70C7" w:rsidR="003474F1" w:rsidRDefault="003474F1" w:rsidP="003365A5">
            <w:pPr>
              <w:pStyle w:val="Tabletextprimarysource"/>
            </w:pPr>
            <w:r>
              <w:t>Human data:</w:t>
            </w:r>
          </w:p>
          <w:p w14:paraId="1B6AD0E7" w14:textId="77777777" w:rsidR="003E47A9" w:rsidRDefault="00833A10" w:rsidP="00C6642D">
            <w:pPr>
              <w:pStyle w:val="Tabletextprimarysource"/>
              <w:numPr>
                <w:ilvl w:val="0"/>
                <w:numId w:val="2"/>
              </w:numPr>
              <w:ind w:left="714" w:hanging="357"/>
            </w:pPr>
            <w:r>
              <w:t>Nausea, dizziness, photophobia, lachrymation and conjunctivitis experienced in worker accidentally exposed to oral dose of 40 mg/kg</w:t>
            </w:r>
          </w:p>
          <w:p w14:paraId="389CA4A9" w14:textId="1BCC8F4A" w:rsidR="00833A10" w:rsidRDefault="003E47A9" w:rsidP="00C6642D">
            <w:pPr>
              <w:pStyle w:val="Tabletextprimarysource"/>
              <w:numPr>
                <w:ilvl w:val="1"/>
                <w:numId w:val="2"/>
              </w:numPr>
              <w:ind w:left="1094" w:hanging="357"/>
            </w:pPr>
            <w:r>
              <w:t xml:space="preserve">recovery was </w:t>
            </w:r>
            <w:r w:rsidR="00833A10">
              <w:t>rapid and uncomplicated</w:t>
            </w:r>
          </w:p>
          <w:p w14:paraId="0F5B61A5" w14:textId="33876037" w:rsidR="00833A10" w:rsidRDefault="00D15EDE" w:rsidP="00C6642D">
            <w:pPr>
              <w:pStyle w:val="Tabletextprimarysource"/>
              <w:numPr>
                <w:ilvl w:val="0"/>
                <w:numId w:val="2"/>
              </w:numPr>
              <w:ind w:left="714" w:hanging="357"/>
            </w:pPr>
            <w:r>
              <w:t xml:space="preserve">Workplace </w:t>
            </w:r>
            <w:r w:rsidR="00776D13">
              <w:t>study (n=150</w:t>
            </w:r>
            <w:r w:rsidR="00BA3CC6">
              <w:t>–</w:t>
            </w:r>
            <w:r w:rsidR="00776D13">
              <w:t xml:space="preserve">250) of exposure to 3 </w:t>
            </w:r>
            <w:r>
              <w:t>mixed alkyl phtha</w:t>
            </w:r>
            <w:r w:rsidR="00776D13">
              <w:t xml:space="preserve">lates, including DBP, </w:t>
            </w:r>
            <w:r>
              <w:t>(</w:t>
            </w:r>
            <w:r w:rsidR="00776D13">
              <w:t xml:space="preserve">average breathing zone concentration of </w:t>
            </w:r>
            <w:r>
              <w:t>1</w:t>
            </w:r>
            <w:r w:rsidR="00BA3CC6">
              <w:t>–</w:t>
            </w:r>
            <w:r>
              <w:t>6 ppm or 8</w:t>
            </w:r>
            <w:r w:rsidR="00540E7E">
              <w:softHyphen/>
              <w:t>–</w:t>
            </w:r>
            <w:r>
              <w:t>15</w:t>
            </w:r>
            <w:r w:rsidR="00BA3CC6">
              <w:t xml:space="preserve"> </w:t>
            </w:r>
            <w:r>
              <w:t>mg/m</w:t>
            </w:r>
            <w:r>
              <w:rPr>
                <w:vertAlign w:val="superscript"/>
              </w:rPr>
              <w:t>3</w:t>
            </w:r>
            <w:r>
              <w:t xml:space="preserve">) </w:t>
            </w:r>
            <w:r w:rsidR="00776D13">
              <w:t xml:space="preserve">found </w:t>
            </w:r>
            <w:r>
              <w:t>no phthalates in blood of workers before or after exposure and no peripheral nervous effects were observed</w:t>
            </w:r>
          </w:p>
          <w:p w14:paraId="7B2A2C23" w14:textId="20CB94D2" w:rsidR="00803120" w:rsidRDefault="00776D13" w:rsidP="00C6642D">
            <w:pPr>
              <w:pStyle w:val="Tabletextprimarysource"/>
              <w:numPr>
                <w:ilvl w:val="0"/>
                <w:numId w:val="2"/>
              </w:numPr>
              <w:ind w:left="714" w:hanging="357"/>
            </w:pPr>
            <w:r>
              <w:t>Investigation of artificial leather industry (n=147</w:t>
            </w:r>
            <w:r w:rsidR="006B1E94">
              <w:t xml:space="preserve">; </w:t>
            </w:r>
            <w:r>
              <w:t xml:space="preserve">87 female, 60 male) showed </w:t>
            </w:r>
            <w:r w:rsidR="00803120">
              <w:t>ambient air concentrations of 1.7</w:t>
            </w:r>
            <w:r w:rsidR="00BA3CC6">
              <w:t>–</w:t>
            </w:r>
            <w:r w:rsidR="00803120">
              <w:t>66 mg/</w:t>
            </w:r>
            <w:r w:rsidR="00803120" w:rsidRPr="00803120">
              <w:t>m</w:t>
            </w:r>
            <w:r w:rsidR="00803120" w:rsidRPr="00803120">
              <w:rPr>
                <w:vertAlign w:val="superscript"/>
              </w:rPr>
              <w:t>3</w:t>
            </w:r>
            <w:r w:rsidR="00803120">
              <w:t xml:space="preserve"> of various alkyl and aryl phthalates were associated with </w:t>
            </w:r>
            <w:r w:rsidR="00803120" w:rsidRPr="00803120">
              <w:t>numbness</w:t>
            </w:r>
            <w:r w:rsidR="00803120">
              <w:t>, pain and spasms of upper extremities</w:t>
            </w:r>
            <w:r w:rsidR="003E47A9">
              <w:t>; s</w:t>
            </w:r>
            <w:r w:rsidR="009B16F4">
              <w:t>tudy not used in assessment due to mixed exposures</w:t>
            </w:r>
            <w:r w:rsidR="009B1675">
              <w:t>:</w:t>
            </w:r>
          </w:p>
          <w:p w14:paraId="647F2692" w14:textId="0ED90149" w:rsidR="00776D13" w:rsidRDefault="00C25125" w:rsidP="00C6642D">
            <w:pPr>
              <w:pStyle w:val="Tabletextprimarysource"/>
              <w:numPr>
                <w:ilvl w:val="1"/>
                <w:numId w:val="2"/>
              </w:numPr>
              <w:ind w:left="1094" w:hanging="357"/>
            </w:pPr>
            <w:r>
              <w:t xml:space="preserve">chronic exposure </w:t>
            </w:r>
            <w:r w:rsidR="006169A9">
              <w:t>s</w:t>
            </w:r>
            <w:r w:rsidR="00803120">
              <w:t>ymptoms usually occurred</w:t>
            </w:r>
            <w:r w:rsidR="00776D13">
              <w:t xml:space="preserve"> </w:t>
            </w:r>
            <w:r w:rsidR="00051EFC">
              <w:t>after</w:t>
            </w:r>
            <w:r>
              <w:t xml:space="preserve"> </w:t>
            </w:r>
            <w:r w:rsidR="00803120">
              <w:t>6</w:t>
            </w:r>
            <w:r w:rsidR="00BA3CC6">
              <w:t xml:space="preserve"> </w:t>
            </w:r>
            <w:r>
              <w:t xml:space="preserve">to 7 </w:t>
            </w:r>
            <w:proofErr w:type="spellStart"/>
            <w:r w:rsidR="00803120">
              <w:t>yr</w:t>
            </w:r>
            <w:proofErr w:type="spellEnd"/>
            <w:r w:rsidR="00803120">
              <w:t xml:space="preserve"> </w:t>
            </w:r>
            <w:r>
              <w:t>of work</w:t>
            </w:r>
          </w:p>
          <w:p w14:paraId="42C946D9" w14:textId="6944DD7E" w:rsidR="009B16F4" w:rsidRDefault="006169A9" w:rsidP="00C6642D">
            <w:pPr>
              <w:pStyle w:val="Tabletextprimarysource"/>
              <w:numPr>
                <w:ilvl w:val="1"/>
                <w:numId w:val="2"/>
              </w:numPr>
              <w:ind w:left="1094" w:hanging="357"/>
            </w:pPr>
            <w:r>
              <w:t>n</w:t>
            </w:r>
            <w:r w:rsidR="00803120">
              <w:t>eurological study showed polyneuritis in 32% and vestibular disturbance in 78%</w:t>
            </w:r>
            <w:r w:rsidR="009B16F4">
              <w:t xml:space="preserve"> of workers</w:t>
            </w:r>
          </w:p>
          <w:p w14:paraId="401EC1EC" w14:textId="11F21433" w:rsidR="00540E7E" w:rsidRDefault="009B16F4" w:rsidP="00C6642D">
            <w:pPr>
              <w:pStyle w:val="Tabletextprimarysource"/>
              <w:numPr>
                <w:ilvl w:val="0"/>
                <w:numId w:val="2"/>
              </w:numPr>
              <w:ind w:left="714" w:hanging="357"/>
            </w:pPr>
            <w:r>
              <w:t>No positive reactions to 48</w:t>
            </w:r>
            <w:r w:rsidR="00BA3CC6">
              <w:t xml:space="preserve"> </w:t>
            </w:r>
            <w:r>
              <w:t>h occlusive patch with 5% DBP (n=53), 9% in cosmetic formulation caused no</w:t>
            </w:r>
            <w:r w:rsidR="00BA3CC6">
              <w:t>ne</w:t>
            </w:r>
            <w:r>
              <w:t xml:space="preserve"> to slight irritation; non-sensitising</w:t>
            </w:r>
            <w:r w:rsidR="00744DED">
              <w:t>.</w:t>
            </w:r>
          </w:p>
          <w:p w14:paraId="0C7B85D3" w14:textId="77777777" w:rsidR="003474F1" w:rsidRDefault="003474F1" w:rsidP="003365A5">
            <w:pPr>
              <w:pStyle w:val="Tabletextprimarysource"/>
            </w:pPr>
            <w:r>
              <w:t>Animal data:</w:t>
            </w:r>
          </w:p>
          <w:p w14:paraId="1C2B45D5" w14:textId="1AEA24D8" w:rsidR="003474F1" w:rsidRDefault="003474F1" w:rsidP="00C6642D">
            <w:pPr>
              <w:pStyle w:val="Tabletextprimarysource"/>
              <w:numPr>
                <w:ilvl w:val="0"/>
                <w:numId w:val="1"/>
              </w:numPr>
              <w:ind w:left="714" w:hanging="357"/>
            </w:pPr>
            <w:r>
              <w:t xml:space="preserve">Aerosol </w:t>
            </w:r>
            <w:r w:rsidR="00C25125">
              <w:t xml:space="preserve">at 250 ppm (mice, 2 h) </w:t>
            </w:r>
            <w:r w:rsidR="003E47A9">
              <w:t xml:space="preserve">reported </w:t>
            </w:r>
            <w:r>
              <w:t>severe irritation to eyes and upper respiratory tract</w:t>
            </w:r>
            <w:r w:rsidR="0069446C">
              <w:t>, convulsions, partial paralysis, narcosis and death in some animals</w:t>
            </w:r>
          </w:p>
          <w:p w14:paraId="71968CDA" w14:textId="06E151BB" w:rsidR="0069446C" w:rsidRDefault="0069446C" w:rsidP="00C6642D">
            <w:pPr>
              <w:pStyle w:val="Tabletextprimarysource"/>
              <w:numPr>
                <w:ilvl w:val="0"/>
                <w:numId w:val="1"/>
              </w:numPr>
              <w:ind w:left="714" w:hanging="357"/>
            </w:pPr>
            <w:r>
              <w:t>Weight loss and changes in haematological parameters at 4 mg/m</w:t>
            </w:r>
            <w:r>
              <w:rPr>
                <w:vertAlign w:val="superscript"/>
              </w:rPr>
              <w:t>3</w:t>
            </w:r>
            <w:r>
              <w:t xml:space="preserve"> (rats, no further information provided)</w:t>
            </w:r>
          </w:p>
          <w:p w14:paraId="1B385B03" w14:textId="77777777" w:rsidR="0069446C" w:rsidRDefault="0069446C" w:rsidP="00C6642D">
            <w:pPr>
              <w:pStyle w:val="Tabletextprimarysource"/>
              <w:numPr>
                <w:ilvl w:val="0"/>
                <w:numId w:val="1"/>
              </w:numPr>
              <w:ind w:left="714" w:hanging="357"/>
            </w:pPr>
            <w:r>
              <w:t>No observable irritation when instilled on to rabbit eyes (48 h)</w:t>
            </w:r>
          </w:p>
          <w:p w14:paraId="5AF513B7" w14:textId="70218BFA" w:rsidR="005B222B" w:rsidRDefault="005B222B" w:rsidP="00C6642D">
            <w:pPr>
              <w:pStyle w:val="Tabletextprimarysource"/>
              <w:numPr>
                <w:ilvl w:val="0"/>
                <w:numId w:val="1"/>
              </w:numPr>
              <w:ind w:left="714" w:hanging="357"/>
            </w:pPr>
            <w:r>
              <w:t xml:space="preserve">Reduced </w:t>
            </w:r>
            <w:proofErr w:type="spellStart"/>
            <w:r w:rsidR="009179B0">
              <w:t>bw</w:t>
            </w:r>
            <w:proofErr w:type="spellEnd"/>
            <w:r>
              <w:t xml:space="preserve"> gain at 50 mg/m</w:t>
            </w:r>
            <w:r>
              <w:rPr>
                <w:vertAlign w:val="superscript"/>
              </w:rPr>
              <w:t>3</w:t>
            </w:r>
            <w:r>
              <w:t xml:space="preserve"> in inhalation study (rats, 6 h/d, 5 d/wk, 3</w:t>
            </w:r>
            <w:r w:rsidR="00BA3CC6">
              <w:t>–</w:t>
            </w:r>
            <w:r>
              <w:t xml:space="preserve">6 mo) </w:t>
            </w:r>
          </w:p>
          <w:p w14:paraId="26ED68B5" w14:textId="19037D0B" w:rsidR="0069446C" w:rsidRDefault="005B222B" w:rsidP="00C6642D">
            <w:pPr>
              <w:pStyle w:val="Tabletextprimarysource"/>
              <w:numPr>
                <w:ilvl w:val="0"/>
                <w:numId w:val="1"/>
              </w:numPr>
              <w:ind w:left="714" w:hanging="357"/>
            </w:pPr>
            <w:r>
              <w:t xml:space="preserve">No adverse effects at </w:t>
            </w:r>
            <w:r w:rsidR="00C31FB8">
              <w:rPr>
                <w:rFonts w:cs="Arial"/>
              </w:rPr>
              <w:t>≈</w:t>
            </w:r>
            <w:r>
              <w:t>1 mg/kg (as solution in oil) in sub</w:t>
            </w:r>
            <w:r w:rsidR="006B1E94">
              <w:t>-</w:t>
            </w:r>
            <w:r>
              <w:t>chronic and chronic repeat oral dose studies with rats (2</w:t>
            </w:r>
            <w:r w:rsidR="00BA3CC6">
              <w:t xml:space="preserve"> </w:t>
            </w:r>
            <w:r w:rsidR="00D71516">
              <w:t>d</w:t>
            </w:r>
            <w:r>
              <w:t xml:space="preserve">/wk for 6 wk or for </w:t>
            </w:r>
            <w:r w:rsidR="00D71516">
              <w:t xml:space="preserve">1.5 </w:t>
            </w:r>
            <w:proofErr w:type="spellStart"/>
            <w:r w:rsidR="00D71516">
              <w:t>yr</w:t>
            </w:r>
            <w:proofErr w:type="spellEnd"/>
            <w:r w:rsidR="00D71516">
              <w:t>, latter frequency not specified</w:t>
            </w:r>
            <w:r>
              <w:t>)</w:t>
            </w:r>
          </w:p>
          <w:p w14:paraId="3AE94F19" w14:textId="77777777" w:rsidR="005B222B" w:rsidRDefault="005B222B" w:rsidP="00C6642D">
            <w:pPr>
              <w:pStyle w:val="Tabletextprimarysource"/>
              <w:numPr>
                <w:ilvl w:val="0"/>
                <w:numId w:val="1"/>
              </w:numPr>
              <w:ind w:left="714" w:hanging="357"/>
            </w:pPr>
            <w:r>
              <w:t xml:space="preserve">No adverse effects in chronic feeding study below 0.25% in diet (rats, 1 </w:t>
            </w:r>
            <w:proofErr w:type="spellStart"/>
            <w:r>
              <w:t>yr</w:t>
            </w:r>
            <w:proofErr w:type="spellEnd"/>
            <w:r>
              <w:t>)</w:t>
            </w:r>
          </w:p>
          <w:p w14:paraId="7C1CB7F2" w14:textId="77777777" w:rsidR="005B222B" w:rsidRDefault="005B222B" w:rsidP="00C6642D">
            <w:pPr>
              <w:pStyle w:val="Tabletextprimarysource"/>
              <w:numPr>
                <w:ilvl w:val="0"/>
                <w:numId w:val="1"/>
              </w:numPr>
              <w:ind w:left="714" w:hanging="357"/>
            </w:pPr>
            <w:r>
              <w:t>No carcinogenic effects were noted in either of the above chronic studies</w:t>
            </w:r>
          </w:p>
          <w:p w14:paraId="214D11A0" w14:textId="12A22BB5" w:rsidR="00C31FB8" w:rsidRDefault="005B222B" w:rsidP="00C6642D">
            <w:pPr>
              <w:pStyle w:val="Tabletextprimarysource"/>
              <w:numPr>
                <w:ilvl w:val="0"/>
                <w:numId w:val="1"/>
              </w:numPr>
              <w:ind w:left="714" w:hanging="357"/>
            </w:pPr>
            <w:r>
              <w:t>Reduced testes weight in mice and guinea pigs, but not hamsters or rats at 2,000</w:t>
            </w:r>
            <w:r w:rsidR="00B11199">
              <w:t> </w:t>
            </w:r>
            <w:r>
              <w:t>mg/kg</w:t>
            </w:r>
            <w:r w:rsidR="00C31FB8">
              <w:t>/d (10 d)</w:t>
            </w:r>
          </w:p>
          <w:p w14:paraId="00512988" w14:textId="616A2245" w:rsidR="00C31FB8" w:rsidRDefault="00C31FB8" w:rsidP="00C6642D">
            <w:pPr>
              <w:pStyle w:val="Tabletextprimarysource"/>
              <w:numPr>
                <w:ilvl w:val="0"/>
                <w:numId w:val="1"/>
              </w:numPr>
              <w:ind w:left="714" w:hanging="357"/>
            </w:pPr>
            <w:r>
              <w:t>Reduced n</w:t>
            </w:r>
            <w:r w:rsidR="009179B0">
              <w:t>umber litters and live pups/</w:t>
            </w:r>
            <w:r>
              <w:t>litter at 1,300 mg/kg/d in combined reproductive/developmental feeding study (rats, 4 mo)</w:t>
            </w:r>
            <w:r w:rsidR="009B1675">
              <w:t>:</w:t>
            </w:r>
          </w:p>
          <w:p w14:paraId="39DBBBB8" w14:textId="7273814A" w:rsidR="00833A10" w:rsidRDefault="006169A9" w:rsidP="00C6642D">
            <w:pPr>
              <w:pStyle w:val="Tabletextprimarysource"/>
              <w:numPr>
                <w:ilvl w:val="1"/>
                <w:numId w:val="2"/>
              </w:numPr>
              <w:ind w:left="1094" w:hanging="357"/>
            </w:pPr>
            <w:r>
              <w:t>n</w:t>
            </w:r>
            <w:r w:rsidR="00833A10">
              <w:t xml:space="preserve">o effects on reproduction at </w:t>
            </w:r>
            <w:r w:rsidR="00C31FB8">
              <w:t>390 mg/</w:t>
            </w:r>
            <w:r w:rsidR="00833A10">
              <w:t>kg/d (not regarded as NOAEL by agency)</w:t>
            </w:r>
          </w:p>
          <w:p w14:paraId="35ACD4B4" w14:textId="6E36C487" w:rsidR="005B222B" w:rsidRPr="00DA352E" w:rsidRDefault="006169A9" w:rsidP="009179B0">
            <w:pPr>
              <w:pStyle w:val="Tabletextprimarysource"/>
              <w:numPr>
                <w:ilvl w:val="1"/>
                <w:numId w:val="2"/>
              </w:numPr>
              <w:ind w:left="1094" w:hanging="357"/>
            </w:pPr>
            <w:proofErr w:type="gramStart"/>
            <w:r>
              <w:t>o</w:t>
            </w:r>
            <w:r w:rsidR="00833A10">
              <w:t>ral</w:t>
            </w:r>
            <w:proofErr w:type="gramEnd"/>
            <w:r w:rsidR="00833A10">
              <w:t xml:space="preserve"> </w:t>
            </w:r>
            <w:r w:rsidR="00C31FB8">
              <w:t xml:space="preserve">or </w:t>
            </w:r>
            <w:r w:rsidR="00C31FB8" w:rsidRPr="00833A10">
              <w:t>intraperitoneal</w:t>
            </w:r>
            <w:r w:rsidR="00C31FB8">
              <w:t xml:space="preserve"> doses near the LD</w:t>
            </w:r>
            <w:r w:rsidR="00C31FB8" w:rsidRPr="00C31FB8">
              <w:rPr>
                <w:vertAlign w:val="subscript"/>
              </w:rPr>
              <w:t>50</w:t>
            </w:r>
            <w:r w:rsidR="00C31FB8">
              <w:t xml:space="preserve"> (not specified) caused higher number of resorptions, skeletal abnormalities and increased foetal death</w:t>
            </w:r>
            <w:r w:rsidR="00833A10">
              <w:t xml:space="preserve"> (pregnant rats</w:t>
            </w:r>
            <w:r w:rsidR="00C51B3C">
              <w:t>/</w:t>
            </w:r>
            <w:r w:rsidR="00833A10">
              <w:t>mice)</w:t>
            </w:r>
            <w:r w:rsidR="00D47E6B">
              <w:t>.</w:t>
            </w:r>
          </w:p>
        </w:tc>
      </w:tr>
      <w:tr w:rsidR="00C978F0" w:rsidRPr="00DA352E" w14:paraId="588E1940" w14:textId="77777777" w:rsidTr="00C6642D">
        <w:trPr>
          <w:gridAfter w:val="1"/>
          <w:wAfter w:w="8" w:type="pct"/>
        </w:trPr>
        <w:tc>
          <w:tcPr>
            <w:tcW w:w="4992" w:type="pct"/>
            <w:shd w:val="clear" w:color="auto" w:fill="F2F2F2" w:themeFill="background1" w:themeFillShade="F2"/>
          </w:tcPr>
          <w:p w14:paraId="489D608F" w14:textId="44CF36D0"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944D52">
                  <w:t>2009</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944D52">
                  <w:t>MAK: 0.05 ppm (0.58 mg/m</w:t>
                </w:r>
                <w:r w:rsidR="00944D52" w:rsidRPr="00944D52">
                  <w:rPr>
                    <w:vertAlign w:val="superscript"/>
                  </w:rPr>
                  <w:t>3</w:t>
                </w:r>
                <w:r w:rsidR="00944D52">
                  <w:t>)</w:t>
                </w:r>
              </w:sdtContent>
            </w:sdt>
          </w:p>
        </w:tc>
      </w:tr>
      <w:tr w:rsidR="00C978F0" w:rsidRPr="00DA352E" w14:paraId="612BADAF" w14:textId="77777777" w:rsidTr="00C6642D">
        <w:trPr>
          <w:gridAfter w:val="1"/>
          <w:wAfter w:w="8" w:type="pct"/>
        </w:trPr>
        <w:tc>
          <w:tcPr>
            <w:tcW w:w="4992" w:type="pct"/>
          </w:tcPr>
          <w:p w14:paraId="502AB59E" w14:textId="20C42EB8" w:rsidR="00C978F0" w:rsidRDefault="00B419DF" w:rsidP="003365A5">
            <w:pPr>
              <w:pStyle w:val="Tabletextprimarysource"/>
            </w:pPr>
            <w:r>
              <w:t>Summary of additional data:</w:t>
            </w:r>
          </w:p>
          <w:p w14:paraId="21410E28" w14:textId="2D36EB1E" w:rsidR="00D0433A" w:rsidRPr="001571EB" w:rsidRDefault="006F6851" w:rsidP="003365A5">
            <w:pPr>
              <w:pStyle w:val="Tabletextprimarysource"/>
            </w:pPr>
            <w:r>
              <w:t>MAK derived from LOAEC of 1.18 mg/m</w:t>
            </w:r>
            <w:r>
              <w:rPr>
                <w:vertAlign w:val="superscript"/>
              </w:rPr>
              <w:t>3</w:t>
            </w:r>
            <w:r>
              <w:t xml:space="preserve"> </w:t>
            </w:r>
            <w:r w:rsidR="00D71516">
              <w:t xml:space="preserve">for hyperplasia in the nasal cavity </w:t>
            </w:r>
            <w:r w:rsidR="001571EB">
              <w:t>of</w:t>
            </w:r>
            <w:r w:rsidR="00D71516">
              <w:t xml:space="preserve"> rats. Preliminary value of 0.58 mg/m</w:t>
            </w:r>
            <w:r w:rsidR="00D71516">
              <w:rPr>
                <w:vertAlign w:val="superscript"/>
              </w:rPr>
              <w:t>3</w:t>
            </w:r>
            <w:r w:rsidR="00D71516">
              <w:t xml:space="preserve"> considered sufficiently protective because it is below the vapour saturation point and thus unlikely to form aerosols as reported at the LOAE</w:t>
            </w:r>
            <w:r w:rsidR="001571EB">
              <w:t>C</w:t>
            </w:r>
            <w:r w:rsidR="00D71516">
              <w:t xml:space="preserve">; aerosol exposure is likely to result in higher local concentrations versus the vapour. </w:t>
            </w:r>
            <w:r w:rsidR="001571EB">
              <w:t xml:space="preserve">Observance of the MAK should also protect </w:t>
            </w:r>
            <w:r w:rsidR="00CF3940">
              <w:t xml:space="preserve">for </w:t>
            </w:r>
            <w:r w:rsidR="001571EB">
              <w:t>abnormal sperm development observed in rats</w:t>
            </w:r>
            <w:r w:rsidR="00C46412">
              <w:t xml:space="preserve">, </w:t>
            </w:r>
            <w:r w:rsidR="001571EB">
              <w:t>for</w:t>
            </w:r>
            <w:r w:rsidR="00D0433A">
              <w:t xml:space="preserve"> which a NOAEL of 1.5 mg/kg/d was calculated</w:t>
            </w:r>
            <w:r w:rsidR="001571EB">
              <w:t xml:space="preserve">. </w:t>
            </w:r>
            <w:r w:rsidR="00C46412">
              <w:t>An equivalent inhalational exposure is estimated at 10 mg/m</w:t>
            </w:r>
            <w:r w:rsidR="00C46412">
              <w:rPr>
                <w:vertAlign w:val="superscript"/>
              </w:rPr>
              <w:t>3</w:t>
            </w:r>
            <w:r w:rsidR="00C46412">
              <w:t xml:space="preserve"> (a</w:t>
            </w:r>
            <w:r w:rsidR="001571EB">
              <w:t>ssuming a 70</w:t>
            </w:r>
            <w:r w:rsidR="00BA3CC6">
              <w:t xml:space="preserve"> </w:t>
            </w:r>
            <w:r w:rsidR="001571EB">
              <w:t>kg worker, with a respiratory volume of 10</w:t>
            </w:r>
            <w:r w:rsidR="00BA3CC6">
              <w:t xml:space="preserve"> </w:t>
            </w:r>
            <w:r w:rsidR="001571EB">
              <w:t>m</w:t>
            </w:r>
            <w:r w:rsidR="001571EB">
              <w:rPr>
                <w:vertAlign w:val="superscript"/>
              </w:rPr>
              <w:t>3</w:t>
            </w:r>
            <w:r w:rsidR="001571EB">
              <w:t xml:space="preserve"> during an 8</w:t>
            </w:r>
            <w:r w:rsidR="00BA3CC6">
              <w:t xml:space="preserve"> </w:t>
            </w:r>
            <w:r w:rsidR="001571EB">
              <w:t>h shift</w:t>
            </w:r>
            <w:r w:rsidR="00C46412">
              <w:t>).</w:t>
            </w:r>
            <w:r w:rsidR="001571EB">
              <w:t xml:space="preserve"> </w:t>
            </w:r>
          </w:p>
          <w:p w14:paraId="56C9219D" w14:textId="47488BF4" w:rsidR="00B419DF" w:rsidRDefault="00B419DF" w:rsidP="003365A5">
            <w:pPr>
              <w:pStyle w:val="Tabletextprimarysource"/>
            </w:pPr>
            <w:r>
              <w:t>Human data:</w:t>
            </w:r>
          </w:p>
          <w:p w14:paraId="0C9F6C15" w14:textId="77777777" w:rsidR="003E47A9" w:rsidRDefault="00E73DD5" w:rsidP="00C6642D">
            <w:pPr>
              <w:pStyle w:val="Tabletextprimarysource"/>
              <w:numPr>
                <w:ilvl w:val="0"/>
                <w:numId w:val="1"/>
              </w:numPr>
              <w:ind w:left="714" w:hanging="357"/>
            </w:pPr>
            <w:r>
              <w:t>An inadequately designed</w:t>
            </w:r>
            <w:r w:rsidR="0035606E">
              <w:t xml:space="preserve"> study reported an increased incidence of hypospadias and breast cancer in children of soldiers exposed to DBP impregnated clothing</w:t>
            </w:r>
          </w:p>
          <w:p w14:paraId="2ADFB610" w14:textId="6154FFA9" w:rsidR="009E2F2B" w:rsidRDefault="003E47A9" w:rsidP="00C6642D">
            <w:pPr>
              <w:pStyle w:val="Tabletextprimarysource"/>
              <w:numPr>
                <w:ilvl w:val="1"/>
                <w:numId w:val="2"/>
              </w:numPr>
              <w:ind w:left="1094" w:hanging="357"/>
            </w:pPr>
            <w:r>
              <w:t>s</w:t>
            </w:r>
            <w:r w:rsidR="0035606E">
              <w:t xml:space="preserve">tudy </w:t>
            </w:r>
            <w:r w:rsidR="00D0433A">
              <w:t>was</w:t>
            </w:r>
            <w:r w:rsidR="0035606E">
              <w:t xml:space="preserve"> dismissed due to incorrect interpretation </w:t>
            </w:r>
            <w:r w:rsidR="00D0433A">
              <w:t>and representation of data</w:t>
            </w:r>
          </w:p>
          <w:p w14:paraId="42930DCF" w14:textId="77777777" w:rsidR="003E47A9" w:rsidRDefault="00E20201" w:rsidP="00C6642D">
            <w:pPr>
              <w:pStyle w:val="Tabletextprimarysource"/>
              <w:numPr>
                <w:ilvl w:val="0"/>
                <w:numId w:val="1"/>
              </w:numPr>
              <w:ind w:left="714" w:hanging="357"/>
            </w:pPr>
            <w:r>
              <w:t>Isolated cases suggest weak skin sensitisation effect in some individuals, but insufficient to warrant classification as a skin sensitiser</w:t>
            </w:r>
          </w:p>
          <w:p w14:paraId="26DB486B" w14:textId="14E0F09B" w:rsidR="00E20201" w:rsidRDefault="00E20201" w:rsidP="00C6642D">
            <w:pPr>
              <w:pStyle w:val="Tabletextprimarysource"/>
              <w:numPr>
                <w:ilvl w:val="1"/>
                <w:numId w:val="2"/>
              </w:numPr>
              <w:ind w:left="1094" w:hanging="357"/>
            </w:pPr>
            <w:r>
              <w:t>no studies available regarding respiratory sensitisation</w:t>
            </w:r>
          </w:p>
          <w:p w14:paraId="640313B3" w14:textId="21396687" w:rsidR="006F0300" w:rsidRDefault="00E20201" w:rsidP="00C6642D">
            <w:pPr>
              <w:pStyle w:val="Tabletextprimarysource"/>
              <w:numPr>
                <w:ilvl w:val="0"/>
                <w:numId w:val="1"/>
              </w:numPr>
              <w:ind w:left="714" w:hanging="357"/>
            </w:pPr>
            <w:r>
              <w:t>Skin absorption rate of 2.4 µg/cm</w:t>
            </w:r>
            <w:r>
              <w:rPr>
                <w:vertAlign w:val="superscript"/>
              </w:rPr>
              <w:t>2</w:t>
            </w:r>
            <w:r w:rsidR="00051EFC">
              <w:t>/h</w:t>
            </w:r>
            <w:r>
              <w:rPr>
                <w:rFonts w:cs="Arial"/>
              </w:rPr>
              <w:t>≡</w:t>
            </w:r>
            <w:r>
              <w:t>0.28 mg/kg/d (assuming 2,000 cm</w:t>
            </w:r>
            <w:r>
              <w:rPr>
                <w:vertAlign w:val="superscript"/>
              </w:rPr>
              <w:t>2</w:t>
            </w:r>
            <w:r>
              <w:t xml:space="preserve"> of skin on arms of 70</w:t>
            </w:r>
            <w:r w:rsidR="00BA3CC6">
              <w:t xml:space="preserve"> </w:t>
            </w:r>
            <w:r>
              <w:t>kg worker) considered too low for systemic toxicity to occur at a calculated NOAEL of 1.5 mg/kg</w:t>
            </w:r>
            <w:r w:rsidR="000A2110">
              <w:t xml:space="preserve"> for systemic reproductive effects</w:t>
            </w:r>
            <w:r w:rsidR="00744DED">
              <w:t>.</w:t>
            </w:r>
          </w:p>
          <w:p w14:paraId="0315BF43" w14:textId="77777777" w:rsidR="00B419DF" w:rsidRDefault="00B419DF" w:rsidP="003365A5">
            <w:pPr>
              <w:pStyle w:val="Tabletextprimarysource"/>
            </w:pPr>
            <w:r>
              <w:t>Animal data:</w:t>
            </w:r>
          </w:p>
          <w:p w14:paraId="55F3894C" w14:textId="4DB16EAB" w:rsidR="00A71728" w:rsidRDefault="00A71728" w:rsidP="00C6642D">
            <w:pPr>
              <w:pStyle w:val="Tabletextprimarysource"/>
              <w:numPr>
                <w:ilvl w:val="0"/>
                <w:numId w:val="1"/>
              </w:numPr>
              <w:ind w:left="714" w:hanging="357"/>
            </w:pPr>
            <w:r>
              <w:t>Studies used in the mechanistic evaluation of testes toxicity:</w:t>
            </w:r>
          </w:p>
          <w:p w14:paraId="00D81976" w14:textId="637B845E" w:rsidR="00B419DF" w:rsidRDefault="006F0300" w:rsidP="00C6642D">
            <w:pPr>
              <w:pStyle w:val="Tabletextprimarysource"/>
              <w:numPr>
                <w:ilvl w:val="1"/>
                <w:numId w:val="2"/>
              </w:numPr>
              <w:ind w:left="1094" w:hanging="357"/>
            </w:pPr>
            <w:r>
              <w:t>i</w:t>
            </w:r>
            <w:r w:rsidR="00A71728">
              <w:t>nhibition of steroid/testosterone production at 50 or 250 mg/kg/d (rats, 90 d)</w:t>
            </w:r>
          </w:p>
          <w:p w14:paraId="1D3C963D" w14:textId="1491E317" w:rsidR="00A71728" w:rsidRDefault="006F0300" w:rsidP="00C6642D">
            <w:pPr>
              <w:pStyle w:val="Tabletextprimarysource"/>
              <w:numPr>
                <w:ilvl w:val="1"/>
                <w:numId w:val="2"/>
              </w:numPr>
              <w:ind w:left="1094" w:hanging="357"/>
            </w:pPr>
            <w:r>
              <w:t>r</w:t>
            </w:r>
            <w:r w:rsidR="00A71728">
              <w:t>educed sperm count/motility due to oxidative stress at 250 mg/kg/d (rats, 2 wk)</w:t>
            </w:r>
          </w:p>
          <w:p w14:paraId="0C7F9EFF" w14:textId="112860D5" w:rsidR="004F4EAE" w:rsidRPr="009E2F2B" w:rsidRDefault="006F0300" w:rsidP="00C6642D">
            <w:pPr>
              <w:pStyle w:val="Tabletextprimarysource"/>
              <w:numPr>
                <w:ilvl w:val="1"/>
                <w:numId w:val="2"/>
              </w:numPr>
              <w:ind w:left="1094" w:hanging="357"/>
            </w:pPr>
            <w:r>
              <w:t>c</w:t>
            </w:r>
            <w:r w:rsidR="00A71728">
              <w:t xml:space="preserve">ollapse of </w:t>
            </w:r>
            <w:proofErr w:type="spellStart"/>
            <w:r w:rsidR="00A71728">
              <w:t>Sertoli</w:t>
            </w:r>
            <w:proofErr w:type="spellEnd"/>
            <w:r w:rsidR="00A71728">
              <w:t xml:space="preserve"> cell </w:t>
            </w:r>
            <w:proofErr w:type="spellStart"/>
            <w:r w:rsidR="00A71728">
              <w:t>vimentin</w:t>
            </w:r>
            <w:proofErr w:type="spellEnd"/>
            <w:r w:rsidR="00A71728">
              <w:t xml:space="preserve"> filaments caused apoptosis of </w:t>
            </w:r>
            <w:proofErr w:type="spellStart"/>
            <w:r w:rsidR="00A71728">
              <w:t>spermatogonia</w:t>
            </w:r>
            <w:proofErr w:type="spellEnd"/>
            <w:r w:rsidR="00A71728">
              <w:t xml:space="preserve"> at 500</w:t>
            </w:r>
            <w:r w:rsidR="00445AA5">
              <w:t> </w:t>
            </w:r>
            <w:r w:rsidR="00A71728">
              <w:t xml:space="preserve">mg/kg in </w:t>
            </w:r>
            <w:proofErr w:type="spellStart"/>
            <w:r w:rsidR="00A71728">
              <w:t>prepubertal</w:t>
            </w:r>
            <w:proofErr w:type="spellEnd"/>
            <w:r w:rsidR="00A71728">
              <w:t xml:space="preserve"> rats</w:t>
            </w:r>
          </w:p>
          <w:p w14:paraId="4C76551A" w14:textId="77777777" w:rsidR="00C6642D" w:rsidRDefault="00E73DD5" w:rsidP="00C6642D">
            <w:pPr>
              <w:pStyle w:val="Tabletextprimarysource"/>
              <w:numPr>
                <w:ilvl w:val="0"/>
                <w:numId w:val="1"/>
              </w:numPr>
              <w:ind w:left="714" w:hanging="357"/>
            </w:pPr>
            <w:r>
              <w:t>Maternal and foetal NOAELs: 500 mg/kg/d for prenatal mortality, foetal weight, external malformations in repeat gavage study (rats, on gestation d 7</w:t>
            </w:r>
            <w:r w:rsidR="00BA3CC6">
              <w:t>–</w:t>
            </w:r>
            <w:r>
              <w:t>15)</w:t>
            </w:r>
          </w:p>
          <w:p w14:paraId="714C3149" w14:textId="5A04AF59" w:rsidR="00E73DD5" w:rsidRDefault="00E73DD5" w:rsidP="00C6642D">
            <w:pPr>
              <w:pStyle w:val="Tabletextprimarysource"/>
              <w:numPr>
                <w:ilvl w:val="1"/>
                <w:numId w:val="2"/>
              </w:numPr>
              <w:ind w:left="1094" w:hanging="357"/>
            </w:pPr>
            <w:r>
              <w:t>LOAEL</w:t>
            </w:r>
            <w:r w:rsidR="00EC3C77">
              <w:t>s</w:t>
            </w:r>
            <w:r>
              <w:t>: 630</w:t>
            </w:r>
            <w:r w:rsidR="00EC3C77">
              <w:t> </w:t>
            </w:r>
            <w:r>
              <w:t>mg/kg/d</w:t>
            </w:r>
          </w:p>
          <w:p w14:paraId="5E06FB9C" w14:textId="00C7DA1A" w:rsidR="006F0300" w:rsidRDefault="006F6851" w:rsidP="00C6642D">
            <w:pPr>
              <w:pStyle w:val="Tabletextprimarysource"/>
              <w:numPr>
                <w:ilvl w:val="0"/>
                <w:numId w:val="1"/>
              </w:numPr>
              <w:ind w:left="714" w:hanging="357"/>
            </w:pPr>
            <w:r>
              <w:t>Hyperplasia in nasal cavity</w:t>
            </w:r>
            <w:r w:rsidR="00A54BC8">
              <w:t xml:space="preserve">, increased lung weights and reduced </w:t>
            </w:r>
            <w:r w:rsidR="004A4A29">
              <w:t>testis</w:t>
            </w:r>
            <w:r w:rsidR="00A54BC8">
              <w:t xml:space="preserve"> weights</w:t>
            </w:r>
            <w:r>
              <w:t xml:space="preserve"> observed in repeat inhalation study under aerosol conditions, treatment range</w:t>
            </w:r>
            <w:r w:rsidR="004A4A29">
              <w:t>:</w:t>
            </w:r>
            <w:r>
              <w:t xml:space="preserve"> </w:t>
            </w:r>
          </w:p>
          <w:p w14:paraId="74C5297B" w14:textId="6013433A" w:rsidR="006F6851" w:rsidRDefault="006F6851" w:rsidP="00C6642D">
            <w:pPr>
              <w:pStyle w:val="Tabletextprimarysource"/>
              <w:numPr>
                <w:ilvl w:val="0"/>
                <w:numId w:val="7"/>
              </w:numPr>
              <w:ind w:left="1094" w:hanging="357"/>
            </w:pPr>
            <w:r>
              <w:t>1.18</w:t>
            </w:r>
            <w:r w:rsidR="00BA3CC6">
              <w:t>–</w:t>
            </w:r>
            <w:r>
              <w:t>50</w:t>
            </w:r>
            <w:r w:rsidR="004A4A29">
              <w:t>9</w:t>
            </w:r>
            <w:r>
              <w:t xml:space="preserve"> mg/m</w:t>
            </w:r>
            <w:r>
              <w:rPr>
                <w:vertAlign w:val="superscript"/>
              </w:rPr>
              <w:t>3</w:t>
            </w:r>
            <w:r w:rsidR="004A4A29">
              <w:t xml:space="preserve"> (rats, 6</w:t>
            </w:r>
            <w:r w:rsidR="00BA3CC6">
              <w:t xml:space="preserve"> </w:t>
            </w:r>
            <w:r>
              <w:t>h/d,</w:t>
            </w:r>
            <w:r w:rsidR="00A54BC8">
              <w:t xml:space="preserve"> 5 d/wk,</w:t>
            </w:r>
            <w:r>
              <w:t xml:space="preserve"> 28 d)</w:t>
            </w:r>
            <w:r w:rsidR="00D71516">
              <w:t>;</w:t>
            </w:r>
          </w:p>
          <w:p w14:paraId="7E0D9C39" w14:textId="028C9AAB" w:rsidR="006F6851" w:rsidRDefault="006F6851" w:rsidP="00C6642D">
            <w:pPr>
              <w:pStyle w:val="Tabletextprimarysource"/>
              <w:numPr>
                <w:ilvl w:val="1"/>
                <w:numId w:val="2"/>
              </w:numPr>
              <w:ind w:left="1094" w:hanging="357"/>
            </w:pPr>
            <w:r>
              <w:t>LOAE</w:t>
            </w:r>
            <w:r w:rsidR="007A41EF">
              <w:t>C</w:t>
            </w:r>
            <w:r>
              <w:t>: 1.18 mg/m</w:t>
            </w:r>
            <w:r>
              <w:rPr>
                <w:vertAlign w:val="superscript"/>
              </w:rPr>
              <w:t>3</w:t>
            </w:r>
            <w:r w:rsidR="004A4A29">
              <w:t>; as regarded by EU Risk Assessment Report (2003)</w:t>
            </w:r>
          </w:p>
          <w:p w14:paraId="7503444A" w14:textId="0E06D916" w:rsidR="006F6851" w:rsidRDefault="006F0300" w:rsidP="00C6642D">
            <w:pPr>
              <w:pStyle w:val="Tabletextprimarysource"/>
              <w:numPr>
                <w:ilvl w:val="1"/>
                <w:numId w:val="2"/>
              </w:numPr>
              <w:ind w:left="1094" w:hanging="357"/>
            </w:pPr>
            <w:r>
              <w:t>r</w:t>
            </w:r>
            <w:r w:rsidR="00A54BC8">
              <w:t>elatively flat dose-</w:t>
            </w:r>
            <w:r w:rsidR="003B6030">
              <w:t>response</w:t>
            </w:r>
            <w:r w:rsidR="00A54BC8">
              <w:t xml:space="preserve"> curve suggests </w:t>
            </w:r>
            <w:r w:rsidR="007A41EF">
              <w:t xml:space="preserve">no increased effect over longer exposure periods and </w:t>
            </w:r>
            <w:r w:rsidR="00A54BC8">
              <w:t>a NOAE</w:t>
            </w:r>
            <w:r w:rsidR="007A41EF">
              <w:t>C</w:t>
            </w:r>
            <w:r w:rsidR="00A54BC8">
              <w:t xml:space="preserve"> near the </w:t>
            </w:r>
            <w:r w:rsidR="007A41EF">
              <w:t xml:space="preserve">experimental </w:t>
            </w:r>
            <w:r w:rsidR="00A54BC8">
              <w:t>LOAE</w:t>
            </w:r>
            <w:r w:rsidR="007A41EF">
              <w:t>C</w:t>
            </w:r>
          </w:p>
          <w:p w14:paraId="04255202" w14:textId="37C2D8F7" w:rsidR="008809EF" w:rsidRDefault="008809EF" w:rsidP="00C6642D">
            <w:pPr>
              <w:pStyle w:val="Tabletextprimarysource"/>
              <w:numPr>
                <w:ilvl w:val="0"/>
                <w:numId w:val="1"/>
              </w:numPr>
              <w:ind w:left="714" w:hanging="357"/>
            </w:pPr>
            <w:r>
              <w:t>Increased liver weight, anaemia and changes in clinical biochemistry in chronic feeding study, treatment range: 30</w:t>
            </w:r>
            <w:r w:rsidR="00BA3CC6">
              <w:t>–</w:t>
            </w:r>
            <w:r>
              <w:t>752 mg/kg/d (rats, 13 wk); histopathology showed reduction of fat deposits in hepatocytes</w:t>
            </w:r>
            <w:r w:rsidR="009B1675">
              <w:t>:</w:t>
            </w:r>
          </w:p>
          <w:p w14:paraId="3E0BF5F5" w14:textId="31D1F7C0" w:rsidR="008809EF" w:rsidRDefault="008809EF" w:rsidP="00C6642D">
            <w:pPr>
              <w:pStyle w:val="Tabletextprimarysource"/>
              <w:numPr>
                <w:ilvl w:val="1"/>
                <w:numId w:val="2"/>
              </w:numPr>
              <w:ind w:left="1094" w:hanging="357"/>
            </w:pPr>
            <w:r>
              <w:t>NOAEL: 152 mg/kg/d</w:t>
            </w:r>
          </w:p>
          <w:p w14:paraId="01B9951B" w14:textId="490A5502" w:rsidR="00D0433A" w:rsidRDefault="00D0433A" w:rsidP="00C6642D">
            <w:pPr>
              <w:pStyle w:val="Tabletextprimarysource"/>
              <w:numPr>
                <w:ilvl w:val="0"/>
                <w:numId w:val="1"/>
              </w:numPr>
              <w:ind w:left="714" w:hanging="357"/>
            </w:pPr>
            <w:r>
              <w:t>Dose-dependent increase in abnormal sperm development in repeat gavage study, treatment range: 31.25</w:t>
            </w:r>
            <w:r w:rsidR="006F0300">
              <w:t>–</w:t>
            </w:r>
            <w:r>
              <w:t>500 mg/kg/d (rats, 4 wk); LOAEL: 31.25 mg/kg/d, no NOAEL determined</w:t>
            </w:r>
            <w:r w:rsidR="009B1675">
              <w:t>:</w:t>
            </w:r>
          </w:p>
          <w:p w14:paraId="2E66B17C" w14:textId="2C6C04A5" w:rsidR="00D0433A" w:rsidRDefault="006F0300" w:rsidP="00C6642D">
            <w:pPr>
              <w:pStyle w:val="Tabletextprimarysource"/>
              <w:numPr>
                <w:ilvl w:val="1"/>
                <w:numId w:val="2"/>
              </w:numPr>
              <w:ind w:left="1094" w:hanging="357"/>
            </w:pPr>
            <w:r>
              <w:t>b</w:t>
            </w:r>
            <w:r w:rsidR="00D0433A">
              <w:t xml:space="preserve">enchmark calculation (Hill model) yielded benchmark dose of 1.5 mg/kg/d at the lower 95% confidence limit </w:t>
            </w:r>
          </w:p>
          <w:p w14:paraId="5FE45D91" w14:textId="77777777" w:rsidR="00C6642D" w:rsidRDefault="00D0433A" w:rsidP="00C6642D">
            <w:pPr>
              <w:pStyle w:val="Tabletextprimarysource"/>
              <w:numPr>
                <w:ilvl w:val="0"/>
                <w:numId w:val="1"/>
              </w:numPr>
              <w:ind w:left="714" w:hanging="357"/>
            </w:pPr>
            <w:r>
              <w:t>Peroxisome proliferatio</w:t>
            </w:r>
            <w:r w:rsidR="00E73DD5">
              <w:t xml:space="preserve">n demonstrated in some studies </w:t>
            </w:r>
            <w:r>
              <w:t xml:space="preserve">suggests potential carcinogenicity </w:t>
            </w:r>
            <w:r w:rsidRPr="009179B0">
              <w:rPr>
                <w:i/>
              </w:rPr>
              <w:t>via</w:t>
            </w:r>
            <w:r>
              <w:t xml:space="preserve"> non-mutagenic mechanisms</w:t>
            </w:r>
          </w:p>
          <w:p w14:paraId="437DE99D" w14:textId="25B168FD" w:rsidR="00D0433A" w:rsidRDefault="00C6642D" w:rsidP="00C6642D">
            <w:pPr>
              <w:pStyle w:val="Tabletextprimarysource"/>
              <w:numPr>
                <w:ilvl w:val="1"/>
                <w:numId w:val="2"/>
              </w:numPr>
              <w:ind w:left="1094" w:hanging="357"/>
            </w:pPr>
            <w:r>
              <w:t>h</w:t>
            </w:r>
            <w:r w:rsidR="00D0433A">
              <w:t>umans are less susceptible to peroxisome proliferation than rats</w:t>
            </w:r>
          </w:p>
          <w:p w14:paraId="58450300" w14:textId="1D5130E0" w:rsidR="00CD6494" w:rsidRDefault="00CD6494" w:rsidP="00C6642D">
            <w:pPr>
              <w:pStyle w:val="Tabletextprimarysource"/>
              <w:numPr>
                <w:ilvl w:val="0"/>
                <w:numId w:val="1"/>
              </w:numPr>
              <w:ind w:left="714" w:hanging="357"/>
            </w:pPr>
            <w:r>
              <w:t>Overall evaluated as non-mutagenic</w:t>
            </w:r>
            <w:r w:rsidR="009B1675">
              <w:t>:</w:t>
            </w:r>
          </w:p>
          <w:p w14:paraId="790CE8D0" w14:textId="22157187" w:rsidR="00CD6494" w:rsidRDefault="006F0300" w:rsidP="00C6642D">
            <w:pPr>
              <w:pStyle w:val="Tabletextprimarysource"/>
              <w:numPr>
                <w:ilvl w:val="1"/>
                <w:numId w:val="2"/>
              </w:numPr>
              <w:ind w:left="1094" w:hanging="357"/>
            </w:pPr>
            <w:r>
              <w:t>n</w:t>
            </w:r>
            <w:r w:rsidR="002344EA">
              <w:t xml:space="preserve">egative results for 2 </w:t>
            </w:r>
            <w:r w:rsidR="002344EA">
              <w:rPr>
                <w:i/>
              </w:rPr>
              <w:t>in vivo</w:t>
            </w:r>
            <w:r w:rsidR="002344EA">
              <w:t xml:space="preserve"> micronucleus tests, no other </w:t>
            </w:r>
            <w:r w:rsidR="002344EA">
              <w:rPr>
                <w:i/>
              </w:rPr>
              <w:t>in vivo</w:t>
            </w:r>
            <w:r w:rsidR="002344EA">
              <w:t xml:space="preserve"> mutagenicity tests available for assessment </w:t>
            </w:r>
          </w:p>
          <w:p w14:paraId="16058323" w14:textId="2BB103B0" w:rsidR="006F0300" w:rsidRDefault="006F0300" w:rsidP="00C6642D">
            <w:pPr>
              <w:pStyle w:val="Tabletextprimarysource"/>
              <w:numPr>
                <w:ilvl w:val="1"/>
                <w:numId w:val="2"/>
              </w:numPr>
              <w:ind w:left="1094" w:hanging="357"/>
            </w:pPr>
            <w:proofErr w:type="gramStart"/>
            <w:r>
              <w:lastRenderedPageBreak/>
              <w:t>h</w:t>
            </w:r>
            <w:r w:rsidR="002344EA">
              <w:t>istological</w:t>
            </w:r>
            <w:proofErr w:type="gramEnd"/>
            <w:r w:rsidR="002344EA">
              <w:t xml:space="preserve"> examination of rat foetuses showed effects to germ cells</w:t>
            </w:r>
            <w:r w:rsidR="00D47E6B">
              <w:t>.</w:t>
            </w:r>
          </w:p>
          <w:p w14:paraId="5E6B9B24" w14:textId="40E740E4" w:rsidR="002344EA" w:rsidRPr="00DA352E" w:rsidRDefault="002344EA" w:rsidP="00C6642D">
            <w:pPr>
              <w:pStyle w:val="Tabletextprimarysource"/>
              <w:ind w:left="1375"/>
            </w:pPr>
          </w:p>
        </w:tc>
      </w:tr>
      <w:tr w:rsidR="00C978F0" w:rsidRPr="00DA352E" w14:paraId="66C1DB06" w14:textId="77777777" w:rsidTr="00C6642D">
        <w:trPr>
          <w:gridAfter w:val="1"/>
          <w:wAfter w:w="8" w:type="pct"/>
        </w:trPr>
        <w:tc>
          <w:tcPr>
            <w:tcW w:w="4992" w:type="pct"/>
            <w:shd w:val="clear" w:color="auto" w:fill="F2F2F2" w:themeFill="background1" w:themeFillShade="F2"/>
          </w:tcPr>
          <w:p w14:paraId="63B30B35" w14:textId="796DFC5F"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E74447">
                  <w:t>2016</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E74447">
                  <w:t>TWA: 0.05 ppm (0.58 mg/m</w:t>
                </w:r>
                <w:r w:rsidR="00E74447" w:rsidRPr="00E74447">
                  <w:rPr>
                    <w:vertAlign w:val="superscript"/>
                  </w:rPr>
                  <w:t>3</w:t>
                </w:r>
                <w:r w:rsidR="00E74447">
                  <w:t>)</w:t>
                </w:r>
              </w:sdtContent>
            </w:sdt>
          </w:p>
        </w:tc>
      </w:tr>
      <w:tr w:rsidR="00C978F0" w:rsidRPr="00DA352E" w14:paraId="30416D02" w14:textId="77777777" w:rsidTr="00C6642D">
        <w:trPr>
          <w:gridAfter w:val="1"/>
          <w:wAfter w:w="8" w:type="pct"/>
        </w:trPr>
        <w:tc>
          <w:tcPr>
            <w:tcW w:w="4992" w:type="pct"/>
          </w:tcPr>
          <w:p w14:paraId="2B941396" w14:textId="277E33E6" w:rsidR="00C978F0" w:rsidRDefault="00D12B51" w:rsidP="003365A5">
            <w:pPr>
              <w:pStyle w:val="Tabletextprimarysource"/>
            </w:pPr>
            <w:r>
              <w:t>Summary of additional data:</w:t>
            </w:r>
          </w:p>
          <w:p w14:paraId="2F99C237" w14:textId="42C8B663" w:rsidR="00D102C7" w:rsidRDefault="00D102C7" w:rsidP="003365A5">
            <w:pPr>
              <w:pStyle w:val="Tabletextprimarysource"/>
            </w:pPr>
            <w:r>
              <w:t xml:space="preserve">OEL derivation is commensurate with MAK derivation </w:t>
            </w:r>
            <w:r w:rsidR="00067807">
              <w:t xml:space="preserve">presented </w:t>
            </w:r>
            <w:r>
              <w:t>in DFG (2013).</w:t>
            </w:r>
            <w:r w:rsidR="00DF6BE1">
              <w:t xml:space="preserve"> No STEL proposed due to absence of irritati</w:t>
            </w:r>
            <w:r w:rsidR="003B20FA">
              <w:t>on in tests of acute exposure. No skin notation warranted due to low dermal absorption rate relative to levels required for systemic toxicity. Not considered sensitising based on weight of evidence in human and animal studies.</w:t>
            </w:r>
          </w:p>
          <w:p w14:paraId="42311F06" w14:textId="298A4981" w:rsidR="00D12B51" w:rsidRDefault="00D12B51" w:rsidP="00D12B51">
            <w:pPr>
              <w:pStyle w:val="Tabletextprimarysource"/>
            </w:pPr>
            <w:r>
              <w:t>Human data:</w:t>
            </w:r>
          </w:p>
          <w:p w14:paraId="39329F66" w14:textId="67EAE543" w:rsidR="00D12B51" w:rsidRDefault="00D12B51" w:rsidP="00C6642D">
            <w:pPr>
              <w:pStyle w:val="Tabletextprimarysource"/>
              <w:numPr>
                <w:ilvl w:val="1"/>
                <w:numId w:val="5"/>
              </w:numPr>
              <w:ind w:left="714" w:hanging="357"/>
            </w:pPr>
            <w:r>
              <w:t xml:space="preserve">Urinary concentration of monobutyl phthalate metabolite was not correlated with DNA damage in </w:t>
            </w:r>
            <w:r w:rsidR="00BA3CC6">
              <w:t xml:space="preserve">comet </w:t>
            </w:r>
            <w:r>
              <w:t>assay with human sperm (n=141)</w:t>
            </w:r>
          </w:p>
          <w:p w14:paraId="53A58F32" w14:textId="4A117EDB" w:rsidR="006F0300" w:rsidRDefault="00097E9D" w:rsidP="00C6642D">
            <w:pPr>
              <w:pStyle w:val="Tabletextprimarysource"/>
              <w:numPr>
                <w:ilvl w:val="1"/>
                <w:numId w:val="5"/>
              </w:numPr>
              <w:ind w:left="714" w:hanging="357"/>
            </w:pPr>
            <w:r>
              <w:t>Several epidemiological studies indicate association between phthalate exposure (various phthalate esters discussed) and adverse male reproductive effects. However, due to inconsistencies and confounding co-exposures no evaluation as to the risk of DBP is made specifically</w:t>
            </w:r>
            <w:r w:rsidR="00AD7CCB">
              <w:t>.</w:t>
            </w:r>
          </w:p>
          <w:p w14:paraId="5F002C11" w14:textId="23D1C9A2" w:rsidR="00D12B51" w:rsidRDefault="00D12B51" w:rsidP="00D12B51">
            <w:pPr>
              <w:pStyle w:val="Tabletextprimarysource"/>
            </w:pPr>
            <w:r>
              <w:t>Animal data:</w:t>
            </w:r>
          </w:p>
          <w:p w14:paraId="27C29B8A" w14:textId="1AD87AE4" w:rsidR="00D12B51" w:rsidRDefault="00D12B51" w:rsidP="00C6642D">
            <w:pPr>
              <w:pStyle w:val="Tabletextprimarysource"/>
              <w:numPr>
                <w:ilvl w:val="0"/>
                <w:numId w:val="6"/>
              </w:numPr>
              <w:ind w:left="714" w:hanging="357"/>
            </w:pPr>
            <w:r>
              <w:t>LC</w:t>
            </w:r>
            <w:r>
              <w:rPr>
                <w:vertAlign w:val="subscript"/>
              </w:rPr>
              <w:t>50</w:t>
            </w:r>
            <w:r>
              <w:t>: 25,000 mg/m</w:t>
            </w:r>
            <w:r>
              <w:rPr>
                <w:vertAlign w:val="superscript"/>
              </w:rPr>
              <w:t>3</w:t>
            </w:r>
            <w:r>
              <w:t xml:space="preserve"> (mice, 2 h), &gt;15,680 mg/m</w:t>
            </w:r>
            <w:r>
              <w:rPr>
                <w:vertAlign w:val="superscript"/>
              </w:rPr>
              <w:t>3</w:t>
            </w:r>
            <w:r>
              <w:t xml:space="preserve"> (rats, 4 h)</w:t>
            </w:r>
          </w:p>
          <w:p w14:paraId="4844A951" w14:textId="568F1F73" w:rsidR="00D12B51" w:rsidRDefault="00D12B51" w:rsidP="00C6642D">
            <w:pPr>
              <w:pStyle w:val="Tabletextprimarysource"/>
              <w:numPr>
                <w:ilvl w:val="0"/>
                <w:numId w:val="6"/>
              </w:numPr>
              <w:ind w:left="714" w:hanging="357"/>
            </w:pPr>
            <w:r>
              <w:t>Oral LD</w:t>
            </w:r>
            <w:r>
              <w:rPr>
                <w:vertAlign w:val="subscript"/>
              </w:rPr>
              <w:t>50</w:t>
            </w:r>
            <w:r>
              <w:t xml:space="preserve">: </w:t>
            </w:r>
            <w:r w:rsidR="009B1675">
              <w:t xml:space="preserve">between </w:t>
            </w:r>
            <w:r>
              <w:t>6,300</w:t>
            </w:r>
            <w:r w:rsidR="009B1675">
              <w:t xml:space="preserve"> and </w:t>
            </w:r>
            <w:r>
              <w:t>&gt;20,000 mg/kg (rats), 10,000 mg/kg (guinea pigs)</w:t>
            </w:r>
          </w:p>
          <w:p w14:paraId="6FD731AE" w14:textId="77777777" w:rsidR="00D12B51" w:rsidRDefault="00D12B51" w:rsidP="00C6642D">
            <w:pPr>
              <w:pStyle w:val="Tabletextprimarysource"/>
              <w:numPr>
                <w:ilvl w:val="0"/>
                <w:numId w:val="6"/>
              </w:numPr>
              <w:ind w:left="714" w:hanging="357"/>
            </w:pPr>
            <w:r>
              <w:t>LD</w:t>
            </w:r>
            <w:r>
              <w:rPr>
                <w:vertAlign w:val="subscript"/>
              </w:rPr>
              <w:t>50</w:t>
            </w:r>
            <w:r>
              <w:t>: 22,000 mg/kg (rabbits</w:t>
            </w:r>
            <w:r w:rsidR="00C51B3C">
              <w:t>, dermal</w:t>
            </w:r>
            <w:r>
              <w:t>)</w:t>
            </w:r>
            <w:r w:rsidR="00BA3CC6">
              <w:t>.</w:t>
            </w:r>
          </w:p>
          <w:p w14:paraId="35FC6F2A" w14:textId="50F55BFF" w:rsidR="006F0300" w:rsidRPr="00D12B51" w:rsidRDefault="006F0300" w:rsidP="00C6642D">
            <w:pPr>
              <w:pStyle w:val="Tabletextprimarysource"/>
              <w:ind w:left="1091"/>
            </w:pPr>
          </w:p>
        </w:tc>
      </w:tr>
      <w:tr w:rsidR="00DA352E" w:rsidRPr="00DA352E" w14:paraId="65D815AF" w14:textId="77777777" w:rsidTr="00C6642D">
        <w:trPr>
          <w:gridAfter w:val="1"/>
          <w:wAfter w:w="8" w:type="pct"/>
        </w:trPr>
        <w:tc>
          <w:tcPr>
            <w:tcW w:w="4992" w:type="pct"/>
            <w:shd w:val="clear" w:color="auto" w:fill="F2F2F2" w:themeFill="background1" w:themeFillShade="F2"/>
          </w:tcPr>
          <w:p w14:paraId="58FFBBE5" w14:textId="234A6652"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374AA8">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proofErr w:type="spellStart"/>
                <w:r w:rsidR="00374AA8">
                  <w:t>NA</w:t>
                </w:r>
                <w:proofErr w:type="spellEnd"/>
              </w:sdtContent>
            </w:sdt>
          </w:p>
        </w:tc>
      </w:tr>
      <w:tr w:rsidR="00DA352E" w:rsidRPr="00DA352E" w14:paraId="6FBCE77E" w14:textId="77777777" w:rsidTr="00C6642D">
        <w:trPr>
          <w:gridAfter w:val="1"/>
          <w:wAfter w:w="8" w:type="pct"/>
        </w:trPr>
        <w:tc>
          <w:tcPr>
            <w:tcW w:w="4992" w:type="pct"/>
          </w:tcPr>
          <w:p w14:paraId="2DC4BE15" w14:textId="4F719C29" w:rsidR="00DA352E" w:rsidRPr="00DA352E" w:rsidRDefault="00374AA8" w:rsidP="003365A5">
            <w:pPr>
              <w:pStyle w:val="Tabletextprimarysource"/>
            </w:pPr>
            <w:r>
              <w:t>No report</w:t>
            </w:r>
            <w:r w:rsidR="00A30BFF">
              <w:t>.</w:t>
            </w:r>
          </w:p>
        </w:tc>
      </w:tr>
      <w:tr w:rsidR="00DA352E" w:rsidRPr="00DA352E" w14:paraId="3CC9FBFA" w14:textId="77777777" w:rsidTr="00C6642D">
        <w:trPr>
          <w:gridAfter w:val="1"/>
          <w:wAfter w:w="8" w:type="pct"/>
        </w:trPr>
        <w:tc>
          <w:tcPr>
            <w:tcW w:w="4992" w:type="pct"/>
            <w:shd w:val="clear" w:color="auto" w:fill="F2F2F2" w:themeFill="background1" w:themeFillShade="F2"/>
          </w:tcPr>
          <w:p w14:paraId="3D09D1FF" w14:textId="6F2B29B2"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374AA8">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proofErr w:type="spellStart"/>
                <w:r w:rsidR="00374AA8">
                  <w:t>NA</w:t>
                </w:r>
                <w:proofErr w:type="spellEnd"/>
              </w:sdtContent>
            </w:sdt>
          </w:p>
        </w:tc>
      </w:tr>
      <w:tr w:rsidR="00DA352E" w:rsidRPr="00DA352E" w14:paraId="13155DDA" w14:textId="77777777" w:rsidTr="00C6642D">
        <w:trPr>
          <w:gridAfter w:val="1"/>
          <w:wAfter w:w="8" w:type="pct"/>
        </w:trPr>
        <w:tc>
          <w:tcPr>
            <w:tcW w:w="4992" w:type="pct"/>
          </w:tcPr>
          <w:p w14:paraId="2BD48595" w14:textId="64414F9D" w:rsidR="00DA352E" w:rsidRPr="00DA352E" w:rsidRDefault="00374AA8" w:rsidP="003365A5">
            <w:pPr>
              <w:pStyle w:val="Tabletextprimarysource"/>
            </w:pPr>
            <w:r>
              <w:t>No report</w:t>
            </w:r>
            <w:r w:rsidR="00A30BFF">
              <w:t>.</w:t>
            </w:r>
          </w:p>
        </w:tc>
      </w:tr>
    </w:tbl>
    <w:p w14:paraId="35BE3AEE" w14:textId="77777777" w:rsidR="00A20751" w:rsidRPr="004C23F4" w:rsidRDefault="00A20751" w:rsidP="003365A5">
      <w:pPr>
        <w:pStyle w:val="Heading3"/>
      </w:pPr>
      <w:bookmarkStart w:id="1"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94"/>
        <w:gridCol w:w="422"/>
        <w:gridCol w:w="661"/>
        <w:gridCol w:w="6449"/>
      </w:tblGrid>
      <w:tr w:rsidR="004966BF" w:rsidRPr="00263255" w14:paraId="151A2A32" w14:textId="77777777" w:rsidTr="0099102B">
        <w:trPr>
          <w:cantSplit/>
          <w:trHeight w:val="393"/>
          <w:tblHeader/>
        </w:trPr>
        <w:tc>
          <w:tcPr>
            <w:tcW w:w="1494" w:type="dxa"/>
            <w:shd w:val="clear" w:color="auto" w:fill="BFBFBF" w:themeFill="background1" w:themeFillShade="BF"/>
            <w:vAlign w:val="center"/>
          </w:tcPr>
          <w:p w14:paraId="5DE781EB" w14:textId="77777777" w:rsidR="004966BF" w:rsidRPr="00263255" w:rsidRDefault="004966BF" w:rsidP="00263255">
            <w:pPr>
              <w:pStyle w:val="Tableheader"/>
            </w:pPr>
            <w:r w:rsidRPr="00263255">
              <w:t>Source</w:t>
            </w:r>
          </w:p>
        </w:tc>
        <w:tc>
          <w:tcPr>
            <w:tcW w:w="422" w:type="dxa"/>
            <w:shd w:val="clear" w:color="auto" w:fill="BFBFBF" w:themeFill="background1" w:themeFillShade="BF"/>
            <w:vAlign w:val="center"/>
          </w:tcPr>
          <w:p w14:paraId="156FFCD3" w14:textId="77777777" w:rsidR="004966BF" w:rsidRPr="00263255" w:rsidRDefault="004966BF" w:rsidP="00263255">
            <w:pPr>
              <w:pStyle w:val="Tableheader"/>
            </w:pPr>
          </w:p>
        </w:tc>
        <w:tc>
          <w:tcPr>
            <w:tcW w:w="661" w:type="dxa"/>
            <w:shd w:val="clear" w:color="auto" w:fill="BFBFBF" w:themeFill="background1" w:themeFillShade="BF"/>
            <w:vAlign w:val="center"/>
          </w:tcPr>
          <w:p w14:paraId="0442E613" w14:textId="77777777" w:rsidR="004966BF" w:rsidRPr="00263255" w:rsidRDefault="004966BF" w:rsidP="00263255">
            <w:pPr>
              <w:pStyle w:val="Tableheader"/>
            </w:pPr>
            <w:r>
              <w:t>Year</w:t>
            </w:r>
          </w:p>
        </w:tc>
        <w:tc>
          <w:tcPr>
            <w:tcW w:w="6449" w:type="dxa"/>
            <w:shd w:val="clear" w:color="auto" w:fill="BFBFBF" w:themeFill="background1" w:themeFillShade="BF"/>
            <w:vAlign w:val="center"/>
          </w:tcPr>
          <w:p w14:paraId="15811BF4" w14:textId="77777777" w:rsidR="004966BF" w:rsidRPr="00263255" w:rsidRDefault="004966BF" w:rsidP="00263255">
            <w:pPr>
              <w:pStyle w:val="Tableheader"/>
            </w:pPr>
            <w:r>
              <w:t>Additional information</w:t>
            </w:r>
          </w:p>
        </w:tc>
      </w:tr>
      <w:tr w:rsidR="004966BF" w:rsidRPr="004C23F4" w14:paraId="43F62EF6" w14:textId="77777777" w:rsidTr="0099102B">
        <w:trPr>
          <w:cantSplit/>
        </w:trPr>
        <w:tc>
          <w:tcPr>
            <w:tcW w:w="1494" w:type="dxa"/>
          </w:tcPr>
          <w:p w14:paraId="27D18FBD" w14:textId="77777777" w:rsidR="004966BF" w:rsidRPr="004C23F4" w:rsidRDefault="004966BF" w:rsidP="00224EE2">
            <w:pPr>
              <w:pStyle w:val="Tablefont"/>
            </w:pPr>
            <w:r>
              <w:t>HSE</w:t>
            </w:r>
          </w:p>
        </w:tc>
        <w:tc>
          <w:tcPr>
            <w:tcW w:w="422" w:type="dxa"/>
          </w:tcPr>
          <w:p w14:paraId="2D841BC1" w14:textId="5342006A" w:rsidR="004966BF" w:rsidRPr="00CE617F" w:rsidRDefault="00360EBF" w:rsidP="00AB43C4">
            <w:pPr>
              <w:spacing w:before="40"/>
              <w:jc w:val="center"/>
              <w:rPr>
                <w:rStyle w:val="checkbox"/>
              </w:rPr>
            </w:pPr>
            <w:sdt>
              <w:sdtPr>
                <w:rPr>
                  <w:rStyle w:val="checkbox"/>
                </w:rPr>
                <w:id w:val="-1382551732"/>
                <w:placeholder>
                  <w:docPart w:val="8DD754E365844A4E82EC69A07E229629"/>
                </w:placeholder>
                <w:dropDownList>
                  <w:listItem w:displayText="" w:value=""/>
                  <w:listItem w:displayText="" w:value=""/>
                  <w:listItem w:displayText="" w:value=""/>
                </w:dropDownList>
              </w:sdtPr>
              <w:sdtEndPr>
                <w:rPr>
                  <w:rStyle w:val="checkbox"/>
                </w:rPr>
              </w:sdtEndPr>
              <w:sdtContent>
                <w:r w:rsidR="00F91458">
                  <w:rPr>
                    <w:rStyle w:val="checkbox"/>
                  </w:rPr>
                  <w:t></w:t>
                </w:r>
              </w:sdtContent>
            </w:sdt>
          </w:p>
        </w:tc>
        <w:tc>
          <w:tcPr>
            <w:tcW w:w="661" w:type="dxa"/>
          </w:tcPr>
          <w:p w14:paraId="402989A3" w14:textId="0C27B40B" w:rsidR="004966BF" w:rsidRPr="004C23F4" w:rsidRDefault="00F91458" w:rsidP="00717D45">
            <w:pPr>
              <w:pStyle w:val="Tablefont"/>
            </w:pPr>
            <w:r>
              <w:t>2002</w:t>
            </w:r>
          </w:p>
        </w:tc>
        <w:tc>
          <w:tcPr>
            <w:tcW w:w="6449" w:type="dxa"/>
          </w:tcPr>
          <w:p w14:paraId="149219D8" w14:textId="07C64B50" w:rsidR="004966BF" w:rsidRPr="00F91458" w:rsidRDefault="00F91458" w:rsidP="00C6642D">
            <w:pPr>
              <w:pStyle w:val="Tablefont"/>
              <w:numPr>
                <w:ilvl w:val="0"/>
                <w:numId w:val="9"/>
              </w:numPr>
              <w:spacing w:before="60" w:after="60"/>
              <w:ind w:left="714" w:hanging="357"/>
            </w:pPr>
            <w:r>
              <w:t>8</w:t>
            </w:r>
            <w:r w:rsidR="00BA3CC6">
              <w:t xml:space="preserve"> </w:t>
            </w:r>
            <w:r>
              <w:t>h TWA: 5 mg/m</w:t>
            </w:r>
            <w:r>
              <w:rPr>
                <w:vertAlign w:val="superscript"/>
              </w:rPr>
              <w:t>3</w:t>
            </w:r>
            <w:r>
              <w:t>; 15</w:t>
            </w:r>
            <w:r w:rsidR="00BA3CC6">
              <w:t xml:space="preserve"> </w:t>
            </w:r>
            <w:r>
              <w:t>min STEL: 10 mg/m</w:t>
            </w:r>
            <w:r>
              <w:rPr>
                <w:vertAlign w:val="superscript"/>
              </w:rPr>
              <w:t>3</w:t>
            </w:r>
            <w:r w:rsidR="00EF2368">
              <w:t>.</w:t>
            </w:r>
          </w:p>
        </w:tc>
      </w:tr>
      <w:tr w:rsidR="004966BF" w:rsidRPr="004C23F4" w14:paraId="6A5AE4FD" w14:textId="77777777" w:rsidTr="0099102B">
        <w:trPr>
          <w:cantSplit/>
        </w:trPr>
        <w:tc>
          <w:tcPr>
            <w:tcW w:w="1494" w:type="dxa"/>
          </w:tcPr>
          <w:p w14:paraId="53E7C67B" w14:textId="77777777" w:rsidR="004966BF" w:rsidRPr="004C23F4" w:rsidRDefault="004966BF" w:rsidP="00224EE2">
            <w:pPr>
              <w:pStyle w:val="Tablefont"/>
            </w:pPr>
            <w:r>
              <w:t>NICNAS</w:t>
            </w:r>
          </w:p>
        </w:tc>
        <w:tc>
          <w:tcPr>
            <w:tcW w:w="422" w:type="dxa"/>
          </w:tcPr>
          <w:p w14:paraId="7DB633E6" w14:textId="5B8DEA96" w:rsidR="004966BF" w:rsidRPr="00CE617F" w:rsidRDefault="00360EBF"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DE413A">
                  <w:rPr>
                    <w:rStyle w:val="checkbox"/>
                  </w:rPr>
                  <w:t></w:t>
                </w:r>
              </w:sdtContent>
            </w:sdt>
          </w:p>
        </w:tc>
        <w:tc>
          <w:tcPr>
            <w:tcW w:w="661" w:type="dxa"/>
          </w:tcPr>
          <w:p w14:paraId="51F1E8E1" w14:textId="7BD7F963" w:rsidR="004966BF" w:rsidRPr="004C23F4" w:rsidRDefault="00DE413A" w:rsidP="00717D45">
            <w:pPr>
              <w:pStyle w:val="Tablefont"/>
              <w:rPr>
                <w:rStyle w:val="checkbox"/>
                <w:rFonts w:ascii="Arial" w:hAnsi="Arial" w:cs="Arial"/>
              </w:rPr>
            </w:pPr>
            <w:r>
              <w:rPr>
                <w:rStyle w:val="checkbox"/>
                <w:rFonts w:ascii="Arial" w:hAnsi="Arial" w:cs="Arial"/>
              </w:rPr>
              <w:t>2016</w:t>
            </w:r>
          </w:p>
        </w:tc>
        <w:tc>
          <w:tcPr>
            <w:tcW w:w="6449" w:type="dxa"/>
          </w:tcPr>
          <w:p w14:paraId="3C39DFA7" w14:textId="1F96B35B" w:rsidR="004966BF" w:rsidRDefault="00F91458" w:rsidP="00C6642D">
            <w:pPr>
              <w:pStyle w:val="ListBullet"/>
              <w:spacing w:before="60" w:after="60"/>
              <w:ind w:left="720" w:hanging="357"/>
              <w:contextualSpacing w:val="0"/>
              <w:rPr>
                <w:rStyle w:val="checkbox"/>
                <w:rFonts w:ascii="Arial" w:hAnsi="Arial" w:cs="Arial"/>
                <w:lang w:eastAsia="en-AU"/>
              </w:rPr>
            </w:pPr>
            <w:r>
              <w:rPr>
                <w:rStyle w:val="checkbox"/>
                <w:rFonts w:ascii="Arial" w:hAnsi="Arial" w:cs="Arial"/>
              </w:rPr>
              <w:t>Grouped with other alkyl (C</w:t>
            </w:r>
            <w:r>
              <w:rPr>
                <w:rStyle w:val="checkbox"/>
                <w:rFonts w:ascii="Arial" w:hAnsi="Arial" w:cs="Arial"/>
                <w:vertAlign w:val="subscript"/>
              </w:rPr>
              <w:t>4</w:t>
            </w:r>
            <w:r>
              <w:rPr>
                <w:rStyle w:val="checkbox"/>
                <w:rFonts w:ascii="Arial" w:hAnsi="Arial" w:cs="Arial"/>
              </w:rPr>
              <w:t>-C</w:t>
            </w:r>
            <w:r>
              <w:rPr>
                <w:rStyle w:val="checkbox"/>
                <w:rFonts w:ascii="Arial" w:hAnsi="Arial" w:cs="Arial"/>
                <w:vertAlign w:val="subscript"/>
              </w:rPr>
              <w:t>6</w:t>
            </w:r>
            <w:r>
              <w:rPr>
                <w:rStyle w:val="checkbox"/>
                <w:rFonts w:ascii="Arial" w:hAnsi="Arial" w:cs="Arial"/>
              </w:rPr>
              <w:t>) phthalate esters</w:t>
            </w:r>
            <w:r w:rsidR="00703E23">
              <w:rPr>
                <w:rStyle w:val="checkbox"/>
                <w:rFonts w:ascii="Arial" w:hAnsi="Arial" w:cs="Arial"/>
              </w:rPr>
              <w:t xml:space="preserve"> based on American Chemical Council categorisation of alkyl phthalate esters by molecular weight of side-chains</w:t>
            </w:r>
          </w:p>
          <w:p w14:paraId="1FE0E5B1" w14:textId="77777777" w:rsidR="00DF1694" w:rsidRDefault="00DF1694" w:rsidP="00C6642D">
            <w:pPr>
              <w:pStyle w:val="ListBullet"/>
              <w:spacing w:before="60" w:after="60"/>
              <w:ind w:left="720" w:hanging="357"/>
              <w:contextualSpacing w:val="0"/>
              <w:rPr>
                <w:rStyle w:val="checkbox"/>
                <w:rFonts w:ascii="Arial" w:hAnsi="Arial" w:cs="Arial"/>
              </w:rPr>
            </w:pPr>
            <w:r>
              <w:rPr>
                <w:rStyle w:val="checkbox"/>
                <w:rFonts w:ascii="Arial" w:hAnsi="Arial" w:cs="Arial"/>
              </w:rPr>
              <w:t>Phthalates</w:t>
            </w:r>
            <w:r w:rsidR="00703E23" w:rsidRPr="00703E23">
              <w:rPr>
                <w:rStyle w:val="checkbox"/>
                <w:rFonts w:ascii="Arial" w:hAnsi="Arial" w:cs="Arial"/>
              </w:rPr>
              <w:t xml:space="preserve"> are rapidly and almost completely absorbed following oral exposure</w:t>
            </w:r>
            <w:r>
              <w:rPr>
                <w:rStyle w:val="checkbox"/>
                <w:rFonts w:ascii="Arial" w:hAnsi="Arial" w:cs="Arial"/>
              </w:rPr>
              <w:t xml:space="preserve">; </w:t>
            </w:r>
            <w:r w:rsidR="00703E23" w:rsidRPr="00703E23">
              <w:rPr>
                <w:rStyle w:val="checkbox"/>
                <w:rFonts w:ascii="Arial" w:hAnsi="Arial" w:cs="Arial"/>
              </w:rPr>
              <w:t xml:space="preserve">bioavailability </w:t>
            </w:r>
            <w:r>
              <w:rPr>
                <w:rStyle w:val="checkbox"/>
                <w:rFonts w:ascii="Arial" w:hAnsi="Arial" w:cs="Arial"/>
              </w:rPr>
              <w:t>is assessed as 100</w:t>
            </w:r>
            <w:r w:rsidR="00703E23" w:rsidRPr="00703E23">
              <w:rPr>
                <w:rStyle w:val="checkbox"/>
                <w:rFonts w:ascii="Arial" w:hAnsi="Arial" w:cs="Arial"/>
              </w:rPr>
              <w:t xml:space="preserve">% </w:t>
            </w:r>
          </w:p>
          <w:p w14:paraId="0406660B" w14:textId="29F491C5" w:rsidR="00703E23" w:rsidRPr="00703E23" w:rsidRDefault="00703E23" w:rsidP="00C6642D">
            <w:pPr>
              <w:pStyle w:val="ListBullet"/>
              <w:spacing w:before="60" w:after="60"/>
              <w:ind w:left="720" w:hanging="357"/>
              <w:contextualSpacing w:val="0"/>
              <w:rPr>
                <w:rStyle w:val="checkbox"/>
                <w:rFonts w:ascii="Arial" w:hAnsi="Arial" w:cs="Arial"/>
              </w:rPr>
            </w:pPr>
            <w:r w:rsidRPr="00703E23">
              <w:rPr>
                <w:rStyle w:val="checkbox"/>
                <w:rFonts w:ascii="Arial" w:hAnsi="Arial" w:cs="Arial"/>
              </w:rPr>
              <w:t>Bioavailability from dermal abs</w:t>
            </w:r>
            <w:r w:rsidR="00DF1694">
              <w:rPr>
                <w:rStyle w:val="checkbox"/>
                <w:rFonts w:ascii="Arial" w:hAnsi="Arial" w:cs="Arial"/>
              </w:rPr>
              <w:t>orption is unlikely to exceed 5</w:t>
            </w:r>
            <w:r w:rsidRPr="00703E23">
              <w:rPr>
                <w:rStyle w:val="checkbox"/>
                <w:rFonts w:ascii="Arial" w:hAnsi="Arial" w:cs="Arial"/>
              </w:rPr>
              <w:t xml:space="preserve">% of </w:t>
            </w:r>
            <w:r w:rsidR="00DF1694">
              <w:rPr>
                <w:rStyle w:val="checkbox"/>
                <w:rFonts w:ascii="Arial" w:hAnsi="Arial" w:cs="Arial"/>
              </w:rPr>
              <w:t>dose in humans</w:t>
            </w:r>
          </w:p>
          <w:p w14:paraId="6E04FADC" w14:textId="07F805B5" w:rsidR="00703E23" w:rsidRDefault="00DF1694" w:rsidP="00C6642D">
            <w:pPr>
              <w:pStyle w:val="ListBullet"/>
              <w:spacing w:before="60" w:after="60"/>
              <w:ind w:left="720" w:hanging="357"/>
              <w:contextualSpacing w:val="0"/>
              <w:rPr>
                <w:rStyle w:val="checkbox"/>
                <w:rFonts w:ascii="Arial" w:hAnsi="Arial" w:cs="Arial"/>
              </w:rPr>
            </w:pPr>
            <w:r>
              <w:rPr>
                <w:rStyle w:val="checkbox"/>
                <w:rFonts w:ascii="Arial" w:hAnsi="Arial" w:cs="Arial"/>
              </w:rPr>
              <w:t>N</w:t>
            </w:r>
            <w:r w:rsidR="00703E23" w:rsidRPr="00703E23">
              <w:rPr>
                <w:rStyle w:val="checkbox"/>
                <w:rFonts w:ascii="Arial" w:hAnsi="Arial" w:cs="Arial"/>
              </w:rPr>
              <w:t xml:space="preserve">o evidence </w:t>
            </w:r>
            <w:r>
              <w:rPr>
                <w:rStyle w:val="checkbox"/>
                <w:rFonts w:ascii="Arial" w:hAnsi="Arial" w:cs="Arial"/>
              </w:rPr>
              <w:t>for bioaccumulation</w:t>
            </w:r>
          </w:p>
          <w:p w14:paraId="487FCFFC" w14:textId="6BC25756" w:rsidR="001D6211" w:rsidRPr="00DF1694" w:rsidRDefault="00DF1694" w:rsidP="00C6642D">
            <w:pPr>
              <w:pStyle w:val="ListBullet"/>
              <w:spacing w:before="60" w:after="60"/>
              <w:ind w:left="720" w:hanging="357"/>
              <w:contextualSpacing w:val="0"/>
              <w:rPr>
                <w:rStyle w:val="checkbox"/>
                <w:rFonts w:ascii="Arial" w:hAnsi="Arial"/>
                <w:color w:val="262626"/>
              </w:rPr>
            </w:pPr>
            <w:r>
              <w:rPr>
                <w:color w:val="262626"/>
              </w:rPr>
              <w:t>N</w:t>
            </w:r>
            <w:r w:rsidR="00703E23">
              <w:rPr>
                <w:color w:val="262626"/>
              </w:rPr>
              <w:t>ot expected to have mutagenic or genotoxic potential in humans</w:t>
            </w:r>
            <w:r>
              <w:rPr>
                <w:color w:val="262626"/>
              </w:rPr>
              <w:t xml:space="preserve"> based on the weight of evidence</w:t>
            </w:r>
            <w:r w:rsidR="00BA3CC6">
              <w:rPr>
                <w:color w:val="262626"/>
              </w:rPr>
              <w:t>.</w:t>
            </w:r>
          </w:p>
        </w:tc>
      </w:tr>
      <w:tr w:rsidR="004966BF" w:rsidRPr="004C23F4" w14:paraId="109B73EE" w14:textId="77777777" w:rsidTr="0099102B">
        <w:trPr>
          <w:cantSplit/>
        </w:trPr>
        <w:tc>
          <w:tcPr>
            <w:tcW w:w="1494" w:type="dxa"/>
          </w:tcPr>
          <w:p w14:paraId="3C0FB413" w14:textId="77777777" w:rsidR="004966BF" w:rsidRPr="004C23F4" w:rsidRDefault="004966BF" w:rsidP="00224EE2">
            <w:pPr>
              <w:pStyle w:val="Tablefont"/>
            </w:pPr>
            <w:r>
              <w:t>APVMA</w:t>
            </w:r>
          </w:p>
        </w:tc>
        <w:tc>
          <w:tcPr>
            <w:tcW w:w="422" w:type="dxa"/>
          </w:tcPr>
          <w:p w14:paraId="417C0189" w14:textId="37B1B22F" w:rsidR="004966BF" w:rsidRPr="00CE617F" w:rsidRDefault="00360EBF" w:rsidP="00AB43C4">
            <w:pPr>
              <w:spacing w:before="40"/>
              <w:jc w:val="center"/>
              <w:rPr>
                <w:rStyle w:val="checkbox"/>
              </w:rPr>
            </w:pPr>
            <w:sdt>
              <w:sdtPr>
                <w:rPr>
                  <w:rStyle w:val="checkbox"/>
                </w:rPr>
                <w:id w:val="1864932884"/>
                <w:placeholder>
                  <w:docPart w:val="CC96E8CFB35445F7B98574D62F848316"/>
                </w:placeholder>
                <w:dropDownList>
                  <w:listItem w:displayText="" w:value=""/>
                  <w:listItem w:displayText="" w:value=""/>
                  <w:listItem w:displayText="" w:value=""/>
                </w:dropDownList>
              </w:sdtPr>
              <w:sdtEndPr>
                <w:rPr>
                  <w:rStyle w:val="checkbox"/>
                </w:rPr>
              </w:sdtEndPr>
              <w:sdtContent>
                <w:r w:rsidR="001D6211">
                  <w:rPr>
                    <w:rStyle w:val="checkbox"/>
                  </w:rPr>
                  <w:t></w:t>
                </w:r>
              </w:sdtContent>
            </w:sdt>
          </w:p>
        </w:tc>
        <w:tc>
          <w:tcPr>
            <w:tcW w:w="661" w:type="dxa"/>
          </w:tcPr>
          <w:p w14:paraId="4D53CD4B" w14:textId="612C7A11" w:rsidR="004966BF" w:rsidRPr="004C23F4" w:rsidRDefault="001D6211" w:rsidP="00717D45">
            <w:pPr>
              <w:pStyle w:val="Tablefont"/>
              <w:rPr>
                <w:rStyle w:val="checkbox"/>
                <w:rFonts w:ascii="Arial" w:hAnsi="Arial" w:cs="Arial"/>
              </w:rPr>
            </w:pPr>
            <w:r>
              <w:rPr>
                <w:rStyle w:val="checkbox"/>
                <w:rFonts w:ascii="Arial" w:hAnsi="Arial" w:cs="Arial"/>
              </w:rPr>
              <w:t>2014</w:t>
            </w:r>
          </w:p>
        </w:tc>
        <w:tc>
          <w:tcPr>
            <w:tcW w:w="6449" w:type="dxa"/>
          </w:tcPr>
          <w:p w14:paraId="22F79EFF" w14:textId="199D7F02" w:rsidR="004966BF" w:rsidRPr="004C23F4" w:rsidRDefault="001D6211" w:rsidP="00C6642D">
            <w:pPr>
              <w:pStyle w:val="Tablefont"/>
              <w:numPr>
                <w:ilvl w:val="0"/>
                <w:numId w:val="9"/>
              </w:numPr>
              <w:spacing w:before="60" w:after="60"/>
              <w:ind w:left="714" w:hanging="357"/>
              <w:rPr>
                <w:rStyle w:val="checkbox"/>
                <w:rFonts w:ascii="Arial" w:hAnsi="Arial" w:cs="Arial"/>
              </w:rPr>
            </w:pPr>
            <w:r>
              <w:rPr>
                <w:rStyle w:val="checkbox"/>
                <w:rFonts w:ascii="Arial" w:hAnsi="Arial" w:cs="Arial"/>
              </w:rPr>
              <w:t>Insect repellent for sheep, not to be used 14 d before slaughter or on females producing offspring or milk for human consumption</w:t>
            </w:r>
            <w:r w:rsidR="00BA3CC6">
              <w:rPr>
                <w:rStyle w:val="checkbox"/>
                <w:rFonts w:ascii="Arial" w:hAnsi="Arial" w:cs="Arial"/>
              </w:rPr>
              <w:t>.</w:t>
            </w:r>
          </w:p>
        </w:tc>
      </w:tr>
      <w:tr w:rsidR="004966BF" w:rsidRPr="004C23F4" w14:paraId="177DBE8A" w14:textId="77777777" w:rsidTr="0099102B">
        <w:trPr>
          <w:cantSplit/>
        </w:trPr>
        <w:tc>
          <w:tcPr>
            <w:tcW w:w="1494" w:type="dxa"/>
          </w:tcPr>
          <w:p w14:paraId="07E534E9" w14:textId="77777777" w:rsidR="004966BF" w:rsidRPr="004C23F4" w:rsidRDefault="004966BF" w:rsidP="00224EE2">
            <w:pPr>
              <w:pStyle w:val="Tablefont"/>
            </w:pPr>
            <w:r>
              <w:t>NTP</w:t>
            </w:r>
          </w:p>
        </w:tc>
        <w:tc>
          <w:tcPr>
            <w:tcW w:w="422" w:type="dxa"/>
          </w:tcPr>
          <w:p w14:paraId="7F2B9406" w14:textId="6B63BDC2" w:rsidR="004966BF" w:rsidRPr="00CE617F" w:rsidRDefault="00360EBF" w:rsidP="00AB43C4">
            <w:pPr>
              <w:spacing w:before="40"/>
              <w:jc w:val="center"/>
              <w:rPr>
                <w:rStyle w:val="checkbox"/>
              </w:rPr>
            </w:pPr>
            <w:sdt>
              <w:sdtPr>
                <w:rPr>
                  <w:rStyle w:val="checkbox"/>
                </w:rPr>
                <w:id w:val="1954586092"/>
                <w:placeholder>
                  <w:docPart w:val="0599BE4318CD4CC0836196E577CC2921"/>
                </w:placeholder>
                <w:dropDownList>
                  <w:listItem w:displayText="" w:value=""/>
                  <w:listItem w:displayText="" w:value=""/>
                  <w:listItem w:displayText="" w:value=""/>
                </w:dropDownList>
              </w:sdtPr>
              <w:sdtEndPr>
                <w:rPr>
                  <w:rStyle w:val="checkbox"/>
                </w:rPr>
              </w:sdtEndPr>
              <w:sdtContent>
                <w:r w:rsidR="00EA65C7">
                  <w:rPr>
                    <w:rStyle w:val="checkbox"/>
                  </w:rPr>
                  <w:t></w:t>
                </w:r>
              </w:sdtContent>
            </w:sdt>
          </w:p>
        </w:tc>
        <w:tc>
          <w:tcPr>
            <w:tcW w:w="661" w:type="dxa"/>
          </w:tcPr>
          <w:p w14:paraId="45DAB206" w14:textId="5A2BB95D" w:rsidR="004966BF" w:rsidRPr="004C23F4" w:rsidRDefault="00EA65C7" w:rsidP="00717D45">
            <w:pPr>
              <w:pStyle w:val="Tablefont"/>
              <w:rPr>
                <w:rStyle w:val="checkbox"/>
                <w:rFonts w:ascii="Arial" w:hAnsi="Arial" w:cs="Arial"/>
              </w:rPr>
            </w:pPr>
            <w:r>
              <w:rPr>
                <w:rStyle w:val="checkbox"/>
                <w:rFonts w:ascii="Arial" w:hAnsi="Arial" w:cs="Arial"/>
              </w:rPr>
              <w:t>2000</w:t>
            </w:r>
          </w:p>
        </w:tc>
        <w:tc>
          <w:tcPr>
            <w:tcW w:w="6449" w:type="dxa"/>
          </w:tcPr>
          <w:p w14:paraId="71EC7628" w14:textId="655B579B" w:rsidR="004966BF" w:rsidRPr="00BA3CC6" w:rsidRDefault="00DF1694" w:rsidP="00D85A64">
            <w:pPr>
              <w:pStyle w:val="Tablefont"/>
              <w:numPr>
                <w:ilvl w:val="0"/>
                <w:numId w:val="9"/>
              </w:numPr>
              <w:spacing w:before="60" w:after="60"/>
              <w:ind w:left="714" w:hanging="357"/>
              <w:rPr>
                <w:rStyle w:val="checkbox"/>
                <w:rFonts w:ascii="Arial" w:hAnsi="Arial" w:cs="Arial"/>
              </w:rPr>
            </w:pPr>
            <w:r>
              <w:rPr>
                <w:rStyle w:val="checkbox"/>
                <w:rFonts w:ascii="Arial" w:hAnsi="Arial" w:cs="Arial"/>
              </w:rPr>
              <w:t>C</w:t>
            </w:r>
            <w:r w:rsidR="001D6211" w:rsidRPr="001D6211">
              <w:rPr>
                <w:rStyle w:val="checkbox"/>
                <w:rFonts w:ascii="Arial" w:hAnsi="Arial" w:cs="Arial"/>
              </w:rPr>
              <w:t xml:space="preserve">oncentrations </w:t>
            </w:r>
            <w:r w:rsidRPr="001D6211">
              <w:rPr>
                <w:rStyle w:val="checkbox"/>
                <w:rFonts w:ascii="Arial" w:hAnsi="Arial" w:cs="Arial"/>
              </w:rPr>
              <w:t xml:space="preserve">in US plants ranged </w:t>
            </w:r>
            <w:r>
              <w:rPr>
                <w:rStyle w:val="checkbox"/>
                <w:rFonts w:ascii="Arial" w:hAnsi="Arial" w:cs="Arial"/>
              </w:rPr>
              <w:t xml:space="preserve">from </w:t>
            </w:r>
            <w:r w:rsidR="001D6211" w:rsidRPr="001D6211">
              <w:rPr>
                <w:rStyle w:val="checkbox"/>
                <w:rFonts w:ascii="Arial" w:hAnsi="Arial" w:cs="Arial"/>
              </w:rPr>
              <w:t>below the</w:t>
            </w:r>
            <w:r>
              <w:rPr>
                <w:rStyle w:val="checkbox"/>
                <w:rFonts w:ascii="Arial" w:hAnsi="Arial" w:cs="Arial"/>
              </w:rPr>
              <w:t xml:space="preserve"> </w:t>
            </w:r>
            <w:r w:rsidR="001D6211" w:rsidRPr="001D6211">
              <w:rPr>
                <w:rStyle w:val="checkbox"/>
                <w:rFonts w:ascii="Arial" w:hAnsi="Arial" w:cs="Arial"/>
              </w:rPr>
              <w:t>detection limit (0.01–0.02 mg/m</w:t>
            </w:r>
            <w:r w:rsidR="001D6211" w:rsidRPr="00EA65C7">
              <w:rPr>
                <w:rStyle w:val="checkbox"/>
                <w:rFonts w:ascii="Arial" w:hAnsi="Arial" w:cs="Arial"/>
                <w:vertAlign w:val="superscript"/>
              </w:rPr>
              <w:t>3</w:t>
            </w:r>
            <w:r w:rsidR="001D6211" w:rsidRPr="001D6211">
              <w:rPr>
                <w:rStyle w:val="checkbox"/>
                <w:rFonts w:ascii="Arial" w:hAnsi="Arial" w:cs="Arial"/>
              </w:rPr>
              <w:t>) to 0.08 mg/m</w:t>
            </w:r>
            <w:r w:rsidR="001D6211" w:rsidRPr="00EA65C7">
              <w:rPr>
                <w:rStyle w:val="checkbox"/>
                <w:rFonts w:ascii="Arial" w:hAnsi="Arial" w:cs="Arial"/>
                <w:vertAlign w:val="superscript"/>
              </w:rPr>
              <w:t>3</w:t>
            </w:r>
            <w:r w:rsidR="00BA3CC6">
              <w:rPr>
                <w:rStyle w:val="checkbox"/>
                <w:rFonts w:ascii="Arial" w:hAnsi="Arial" w:cs="Arial"/>
              </w:rPr>
              <w:t>.</w:t>
            </w:r>
          </w:p>
        </w:tc>
      </w:tr>
      <w:tr w:rsidR="004966BF" w:rsidRPr="004C23F4" w14:paraId="5EA934B0" w14:textId="77777777" w:rsidTr="0099102B">
        <w:trPr>
          <w:cantSplit/>
        </w:trPr>
        <w:tc>
          <w:tcPr>
            <w:tcW w:w="1494" w:type="dxa"/>
          </w:tcPr>
          <w:p w14:paraId="02EFAB37" w14:textId="77777777" w:rsidR="004966BF" w:rsidRPr="004C23F4" w:rsidRDefault="004966BF" w:rsidP="00224EE2">
            <w:pPr>
              <w:pStyle w:val="Tablefont"/>
            </w:pPr>
            <w:r>
              <w:lastRenderedPageBreak/>
              <w:t>OECD</w:t>
            </w:r>
          </w:p>
        </w:tc>
        <w:tc>
          <w:tcPr>
            <w:tcW w:w="422" w:type="dxa"/>
          </w:tcPr>
          <w:p w14:paraId="3F8818C6" w14:textId="1BF35773" w:rsidR="004966BF" w:rsidRPr="00CE617F" w:rsidRDefault="00360EBF" w:rsidP="00AB43C4">
            <w:pPr>
              <w:spacing w:before="40"/>
              <w:jc w:val="center"/>
              <w:rPr>
                <w:rStyle w:val="checkbox"/>
              </w:rPr>
            </w:pPr>
            <w:sdt>
              <w:sdtPr>
                <w:rPr>
                  <w:rStyle w:val="checkbox"/>
                </w:rPr>
                <w:id w:val="-491947220"/>
                <w:placeholder>
                  <w:docPart w:val="320A77D155374054996F168A20882C28"/>
                </w:placeholder>
                <w:dropDownList>
                  <w:listItem w:displayText="" w:value=""/>
                  <w:listItem w:displayText="" w:value=""/>
                  <w:listItem w:displayText="" w:value=""/>
                </w:dropDownList>
              </w:sdtPr>
              <w:sdtEndPr>
                <w:rPr>
                  <w:rStyle w:val="checkbox"/>
                </w:rPr>
              </w:sdtEndPr>
              <w:sdtContent>
                <w:r w:rsidR="003C2D40">
                  <w:rPr>
                    <w:rStyle w:val="checkbox"/>
                  </w:rPr>
                  <w:t></w:t>
                </w:r>
              </w:sdtContent>
            </w:sdt>
          </w:p>
        </w:tc>
        <w:tc>
          <w:tcPr>
            <w:tcW w:w="661" w:type="dxa"/>
          </w:tcPr>
          <w:p w14:paraId="632B3BD2" w14:textId="255F548D" w:rsidR="004966BF" w:rsidRPr="004C23F4" w:rsidRDefault="003C2D40" w:rsidP="00717D45">
            <w:pPr>
              <w:pStyle w:val="Tablefont"/>
              <w:rPr>
                <w:rStyle w:val="checkbox"/>
                <w:rFonts w:ascii="Arial" w:hAnsi="Arial" w:cs="Arial"/>
              </w:rPr>
            </w:pPr>
            <w:r>
              <w:rPr>
                <w:rStyle w:val="checkbox"/>
                <w:rFonts w:ascii="Arial" w:hAnsi="Arial" w:cs="Arial"/>
              </w:rPr>
              <w:t>2001</w:t>
            </w:r>
          </w:p>
        </w:tc>
        <w:tc>
          <w:tcPr>
            <w:tcW w:w="6449" w:type="dxa"/>
          </w:tcPr>
          <w:p w14:paraId="12F17A42" w14:textId="50A68084" w:rsidR="00DF1694" w:rsidRDefault="00DF1694" w:rsidP="00C6642D">
            <w:pPr>
              <w:pStyle w:val="ListBullet"/>
              <w:spacing w:before="60" w:after="60"/>
              <w:ind w:left="720" w:hanging="357"/>
              <w:contextualSpacing w:val="0"/>
              <w:rPr>
                <w:rStyle w:val="checkbox"/>
                <w:rFonts w:ascii="Arial" w:hAnsi="Arial" w:cs="Arial"/>
                <w:lang w:eastAsia="en-AU"/>
              </w:rPr>
            </w:pPr>
            <w:r>
              <w:rPr>
                <w:rStyle w:val="checkbox"/>
                <w:rFonts w:ascii="Arial" w:hAnsi="Arial" w:cs="Arial"/>
              </w:rPr>
              <w:t>Same rat inhalation study as cited in DFG (2013), which was used for MAK derivation:</w:t>
            </w:r>
          </w:p>
          <w:p w14:paraId="048EA3FE" w14:textId="0BA4201A" w:rsidR="00DF1694" w:rsidRDefault="00DF1694" w:rsidP="00C6642D">
            <w:pPr>
              <w:pStyle w:val="ListBullet"/>
              <w:numPr>
                <w:ilvl w:val="0"/>
                <w:numId w:val="4"/>
              </w:numPr>
              <w:spacing w:before="60" w:after="60"/>
              <w:ind w:left="1094" w:hanging="357"/>
              <w:contextualSpacing w:val="0"/>
              <w:rPr>
                <w:rStyle w:val="checkbox"/>
                <w:rFonts w:ascii="Arial" w:hAnsi="Arial" w:cs="Arial"/>
              </w:rPr>
            </w:pPr>
            <w:r>
              <w:rPr>
                <w:rStyle w:val="checkbox"/>
                <w:rFonts w:ascii="Arial" w:hAnsi="Arial" w:cs="Arial"/>
              </w:rPr>
              <w:t>NOAEC of 509 mg/m</w:t>
            </w:r>
            <w:r>
              <w:rPr>
                <w:rStyle w:val="checkbox"/>
                <w:rFonts w:ascii="Arial" w:hAnsi="Arial" w:cs="Arial"/>
                <w:vertAlign w:val="superscript"/>
              </w:rPr>
              <w:t>3</w:t>
            </w:r>
            <w:r>
              <w:rPr>
                <w:rStyle w:val="checkbox"/>
                <w:rFonts w:ascii="Arial" w:hAnsi="Arial" w:cs="Arial"/>
              </w:rPr>
              <w:t xml:space="preserve"> for systemic and neurotoxic effects</w:t>
            </w:r>
          </w:p>
          <w:p w14:paraId="0CA2DA9B" w14:textId="04F9685F" w:rsidR="00EA65C7" w:rsidRPr="004C23F4" w:rsidRDefault="00DF1694" w:rsidP="00C6642D">
            <w:pPr>
              <w:pStyle w:val="ListBullet"/>
              <w:numPr>
                <w:ilvl w:val="0"/>
                <w:numId w:val="4"/>
              </w:numPr>
              <w:spacing w:before="60" w:after="60"/>
              <w:ind w:left="1094" w:hanging="357"/>
              <w:contextualSpacing w:val="0"/>
              <w:rPr>
                <w:rStyle w:val="checkbox"/>
                <w:rFonts w:ascii="Arial" w:hAnsi="Arial" w:cs="Arial"/>
              </w:rPr>
            </w:pPr>
            <w:r>
              <w:rPr>
                <w:rStyle w:val="checkbox"/>
                <w:rFonts w:ascii="Arial" w:hAnsi="Arial" w:cs="Arial"/>
              </w:rPr>
              <w:t>LOAEC of 1.18 mg/m</w:t>
            </w:r>
            <w:r>
              <w:rPr>
                <w:rStyle w:val="checkbox"/>
                <w:rFonts w:ascii="Arial" w:hAnsi="Arial" w:cs="Arial"/>
                <w:vertAlign w:val="superscript"/>
              </w:rPr>
              <w:t>3</w:t>
            </w:r>
            <w:r>
              <w:rPr>
                <w:rStyle w:val="checkbox"/>
                <w:rFonts w:ascii="Arial" w:hAnsi="Arial" w:cs="Arial"/>
              </w:rPr>
              <w:t xml:space="preserve"> for local upper respiratory effects</w:t>
            </w:r>
            <w:r w:rsidR="00BA3CC6">
              <w:rPr>
                <w:rStyle w:val="checkbox"/>
                <w:rFonts w:ascii="Arial" w:hAnsi="Arial" w:cs="Arial"/>
              </w:rPr>
              <w:t>.</w:t>
            </w:r>
          </w:p>
        </w:tc>
      </w:tr>
      <w:tr w:rsidR="004966BF" w:rsidRPr="004C23F4" w14:paraId="3E56E8FC" w14:textId="77777777" w:rsidTr="0099102B">
        <w:trPr>
          <w:cantSplit/>
        </w:trPr>
        <w:tc>
          <w:tcPr>
            <w:tcW w:w="1494" w:type="dxa"/>
          </w:tcPr>
          <w:p w14:paraId="1C572F9D" w14:textId="77777777" w:rsidR="004966BF" w:rsidRDefault="004966BF" w:rsidP="00224EE2">
            <w:pPr>
              <w:pStyle w:val="Tablefont"/>
            </w:pPr>
            <w:r>
              <w:t>US NIOSH</w:t>
            </w:r>
          </w:p>
        </w:tc>
        <w:tc>
          <w:tcPr>
            <w:tcW w:w="422" w:type="dxa"/>
          </w:tcPr>
          <w:p w14:paraId="57CA4E2F" w14:textId="4341750E" w:rsidR="004966BF" w:rsidRDefault="00360EBF"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067807">
                  <w:rPr>
                    <w:rStyle w:val="checkbox"/>
                  </w:rPr>
                  <w:t></w:t>
                </w:r>
              </w:sdtContent>
            </w:sdt>
          </w:p>
        </w:tc>
        <w:tc>
          <w:tcPr>
            <w:tcW w:w="661" w:type="dxa"/>
          </w:tcPr>
          <w:p w14:paraId="07264B1A" w14:textId="08E17998" w:rsidR="004966BF" w:rsidRPr="004C23F4" w:rsidRDefault="00067807" w:rsidP="00717D45">
            <w:pPr>
              <w:pStyle w:val="Tablefont"/>
              <w:rPr>
                <w:rStyle w:val="checkbox"/>
                <w:rFonts w:ascii="Arial" w:hAnsi="Arial" w:cs="Arial"/>
              </w:rPr>
            </w:pPr>
            <w:r>
              <w:rPr>
                <w:rStyle w:val="checkbox"/>
                <w:rFonts w:ascii="Arial" w:hAnsi="Arial" w:cs="Arial"/>
              </w:rPr>
              <w:t>1994</w:t>
            </w:r>
          </w:p>
        </w:tc>
        <w:tc>
          <w:tcPr>
            <w:tcW w:w="6449" w:type="dxa"/>
          </w:tcPr>
          <w:p w14:paraId="631BD8BE" w14:textId="6F25BC2E" w:rsidR="004966BF" w:rsidRPr="004C23F4" w:rsidRDefault="00067807" w:rsidP="00C6642D">
            <w:pPr>
              <w:pStyle w:val="Tablefont"/>
              <w:numPr>
                <w:ilvl w:val="0"/>
                <w:numId w:val="9"/>
              </w:numPr>
              <w:spacing w:before="60" w:after="60"/>
              <w:ind w:left="714" w:hanging="357"/>
              <w:rPr>
                <w:rStyle w:val="checkbox"/>
                <w:rFonts w:ascii="Arial" w:hAnsi="Arial" w:cs="Arial"/>
              </w:rPr>
            </w:pPr>
            <w:r w:rsidRPr="00067807">
              <w:rPr>
                <w:rStyle w:val="checkbox"/>
                <w:rFonts w:ascii="Arial" w:hAnsi="Arial" w:cs="Arial"/>
              </w:rPr>
              <w:t>IDLH based on acute inhalation toxicity data in animals</w:t>
            </w:r>
            <w:r w:rsidR="00DF1694">
              <w:rPr>
                <w:rStyle w:val="checkbox"/>
                <w:rFonts w:ascii="Arial" w:hAnsi="Arial" w:cs="Arial"/>
              </w:rPr>
              <w:t xml:space="preserve">. </w:t>
            </w:r>
            <w:r w:rsidRPr="00067807">
              <w:rPr>
                <w:rStyle w:val="checkbox"/>
                <w:rFonts w:ascii="Arial" w:hAnsi="Arial" w:cs="Arial"/>
              </w:rPr>
              <w:t xml:space="preserve">Due to its low volatility, </w:t>
            </w:r>
            <w:r w:rsidR="00DF1694">
              <w:rPr>
                <w:rStyle w:val="checkbox"/>
                <w:rFonts w:ascii="Arial" w:hAnsi="Arial" w:cs="Arial"/>
              </w:rPr>
              <w:t>the IDLH concentration</w:t>
            </w:r>
            <w:r w:rsidRPr="00067807">
              <w:rPr>
                <w:rStyle w:val="checkbox"/>
                <w:rFonts w:ascii="Arial" w:hAnsi="Arial" w:cs="Arial"/>
              </w:rPr>
              <w:t xml:space="preserve"> </w:t>
            </w:r>
            <w:r w:rsidR="00DF1694">
              <w:rPr>
                <w:rStyle w:val="checkbox"/>
                <w:rFonts w:ascii="Arial" w:hAnsi="Arial" w:cs="Arial"/>
              </w:rPr>
              <w:t xml:space="preserve">can </w:t>
            </w:r>
            <w:r w:rsidRPr="00067807">
              <w:rPr>
                <w:rStyle w:val="checkbox"/>
                <w:rFonts w:ascii="Arial" w:hAnsi="Arial" w:cs="Arial"/>
              </w:rPr>
              <w:t xml:space="preserve">only be reached at elevated temperatures or if the liquid </w:t>
            </w:r>
            <w:r w:rsidR="00DF1694">
              <w:rPr>
                <w:rStyle w:val="checkbox"/>
                <w:rFonts w:ascii="Arial" w:hAnsi="Arial" w:cs="Arial"/>
              </w:rPr>
              <w:t>is misted</w:t>
            </w:r>
            <w:r w:rsidR="00BA3CC6">
              <w:rPr>
                <w:rStyle w:val="checkbox"/>
                <w:rFonts w:ascii="Arial" w:hAnsi="Arial" w:cs="Arial"/>
              </w:rPr>
              <w:t>.</w:t>
            </w:r>
          </w:p>
        </w:tc>
      </w:tr>
    </w:tbl>
    <w:bookmarkEnd w:id="1"/>
    <w:p w14:paraId="32344571"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007B1FFF" w14:textId="77777777" w:rsidTr="00DF1694">
        <w:trPr>
          <w:trHeight w:val="454"/>
          <w:tblHeader/>
        </w:trPr>
        <w:tc>
          <w:tcPr>
            <w:tcW w:w="6603" w:type="dxa"/>
            <w:vAlign w:val="center"/>
          </w:tcPr>
          <w:p w14:paraId="1A58CB6E" w14:textId="77777777" w:rsidR="002E0D61" w:rsidRDefault="00B1422A" w:rsidP="00C3091E">
            <w:pPr>
              <w:pStyle w:val="Tablefont"/>
              <w:keepNext/>
              <w:keepLines/>
              <w:spacing w:before="40" w:after="40"/>
            </w:pPr>
            <w:bookmarkStart w:id="2"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5B810A75" w14:textId="5E88E299" w:rsidR="002E0D61" w:rsidRDefault="00A71728" w:rsidP="00C3091E">
                <w:pPr>
                  <w:pStyle w:val="Tablefont"/>
                  <w:keepNext/>
                  <w:keepLines/>
                  <w:spacing w:before="40" w:after="40"/>
                </w:pPr>
                <w:r>
                  <w:t>No</w:t>
                </w:r>
              </w:p>
            </w:tc>
          </w:sdtContent>
        </w:sdt>
      </w:tr>
      <w:tr w:rsidR="008A36CF" w14:paraId="55AAA3CB" w14:textId="77777777" w:rsidTr="00DF1694">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0A11EDF7" w14:textId="074CC80C" w:rsidR="008A36CF" w:rsidRPr="006901A2" w:rsidRDefault="00A71728"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6CE2D8F8" w14:textId="77777777" w:rsidR="008A36CF" w:rsidRDefault="008A36CF" w:rsidP="008A36CF">
            <w:pPr>
              <w:pStyle w:val="Tablefont"/>
              <w:keepNext/>
              <w:keepLines/>
              <w:spacing w:before="40" w:after="40"/>
            </w:pPr>
          </w:p>
        </w:tc>
      </w:tr>
    </w:tbl>
    <w:bookmarkEnd w:id="2"/>
    <w:p w14:paraId="4AF32A7F"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328422DB" w14:textId="77777777" w:rsidTr="00812887">
        <w:trPr>
          <w:cantSplit/>
          <w:tblHeader/>
        </w:trPr>
        <w:tc>
          <w:tcPr>
            <w:tcW w:w="3227" w:type="dxa"/>
            <w:shd w:val="clear" w:color="auto" w:fill="BFBFBF" w:themeFill="background1" w:themeFillShade="BF"/>
            <w:vAlign w:val="center"/>
          </w:tcPr>
          <w:p w14:paraId="6DB22FE3" w14:textId="77777777" w:rsidR="00687890" w:rsidRPr="004C23F4" w:rsidRDefault="00687890" w:rsidP="00263255">
            <w:pPr>
              <w:pStyle w:val="Tableheader"/>
            </w:pPr>
            <w:bookmarkStart w:id="3" w:name="Notations"/>
            <w:r w:rsidRPr="004C23F4">
              <w:t>Source</w:t>
            </w:r>
          </w:p>
        </w:tc>
        <w:tc>
          <w:tcPr>
            <w:tcW w:w="6015" w:type="dxa"/>
            <w:shd w:val="clear" w:color="auto" w:fill="BFBFBF" w:themeFill="background1" w:themeFillShade="BF"/>
            <w:vAlign w:val="center"/>
          </w:tcPr>
          <w:p w14:paraId="67E40AED" w14:textId="77777777" w:rsidR="00687890" w:rsidRPr="004C23F4" w:rsidRDefault="00687890" w:rsidP="00F4402E">
            <w:pPr>
              <w:pStyle w:val="Tableheader"/>
              <w:tabs>
                <w:tab w:val="right" w:pos="5272"/>
              </w:tabs>
            </w:pPr>
            <w:r w:rsidRPr="004C23F4">
              <w:t>Notations</w:t>
            </w:r>
            <w:r w:rsidR="003A2B94">
              <w:tab/>
            </w:r>
          </w:p>
        </w:tc>
      </w:tr>
      <w:tr w:rsidR="00687890" w:rsidRPr="004C23F4" w14:paraId="266EB9C7" w14:textId="77777777" w:rsidTr="00812887">
        <w:trPr>
          <w:cantSplit/>
        </w:trPr>
        <w:tc>
          <w:tcPr>
            <w:tcW w:w="3227" w:type="dxa"/>
          </w:tcPr>
          <w:p w14:paraId="1239EF99" w14:textId="77777777" w:rsidR="004079B4" w:rsidRPr="004C23F4" w:rsidRDefault="00084513" w:rsidP="00F4402E">
            <w:pPr>
              <w:pStyle w:val="Tablefont"/>
            </w:pPr>
            <w:r w:rsidRPr="004C23F4">
              <w:t>SWA</w:t>
            </w:r>
          </w:p>
        </w:tc>
        <w:tc>
          <w:tcPr>
            <w:tcW w:w="6015" w:type="dxa"/>
          </w:tcPr>
          <w:p w14:paraId="53A9715C" w14:textId="5F1213E0" w:rsidR="00687890" w:rsidRPr="00DD2F9B" w:rsidRDefault="00B419DF" w:rsidP="00DD2F9B">
            <w:pPr>
              <w:pStyle w:val="Tablefont"/>
            </w:pPr>
            <w:r>
              <w:t>—</w:t>
            </w:r>
          </w:p>
        </w:tc>
      </w:tr>
      <w:tr w:rsidR="007925F0" w:rsidRPr="004C23F4" w14:paraId="1E1FCEAA" w14:textId="77777777" w:rsidTr="00812887">
        <w:trPr>
          <w:cantSplit/>
        </w:trPr>
        <w:tc>
          <w:tcPr>
            <w:tcW w:w="3227" w:type="dxa"/>
          </w:tcPr>
          <w:p w14:paraId="00D9DB97" w14:textId="77777777" w:rsidR="004079B4" w:rsidRPr="004C23F4" w:rsidRDefault="007925F0" w:rsidP="00F4402E">
            <w:pPr>
              <w:pStyle w:val="Tablefont"/>
            </w:pPr>
            <w:r>
              <w:t>HCIS</w:t>
            </w:r>
          </w:p>
        </w:tc>
        <w:tc>
          <w:tcPr>
            <w:tcW w:w="6015" w:type="dxa"/>
          </w:tcPr>
          <w:p w14:paraId="40C9F098" w14:textId="70BC2E56" w:rsidR="007925F0" w:rsidRPr="00DD2F9B" w:rsidRDefault="003474F1" w:rsidP="00DD2F9B">
            <w:pPr>
              <w:pStyle w:val="Tablefont"/>
            </w:pPr>
            <w:r>
              <w:t>—</w:t>
            </w:r>
          </w:p>
        </w:tc>
      </w:tr>
      <w:tr w:rsidR="00AF483F" w:rsidRPr="004C23F4" w14:paraId="4A084BAD" w14:textId="77777777" w:rsidTr="00812887">
        <w:trPr>
          <w:cantSplit/>
        </w:trPr>
        <w:tc>
          <w:tcPr>
            <w:tcW w:w="3227" w:type="dxa"/>
          </w:tcPr>
          <w:p w14:paraId="45480DB9" w14:textId="77777777" w:rsidR="00AF483F" w:rsidRPr="004C23F4" w:rsidRDefault="00AF483F" w:rsidP="00F4402E">
            <w:pPr>
              <w:pStyle w:val="Tablefont"/>
            </w:pPr>
            <w:r>
              <w:t>NICNAS</w:t>
            </w:r>
          </w:p>
        </w:tc>
        <w:tc>
          <w:tcPr>
            <w:tcW w:w="6015" w:type="dxa"/>
          </w:tcPr>
          <w:p w14:paraId="7843545C" w14:textId="0F4810F4" w:rsidR="00AF483F" w:rsidRPr="00DD2F9B" w:rsidRDefault="003474F1" w:rsidP="00DD2F9B">
            <w:pPr>
              <w:pStyle w:val="Tablefont"/>
            </w:pPr>
            <w:r>
              <w:t>—</w:t>
            </w:r>
          </w:p>
        </w:tc>
      </w:tr>
      <w:tr w:rsidR="00687890" w:rsidRPr="004C23F4" w14:paraId="58620458" w14:textId="77777777" w:rsidTr="00812887">
        <w:trPr>
          <w:cantSplit/>
        </w:trPr>
        <w:tc>
          <w:tcPr>
            <w:tcW w:w="3227" w:type="dxa"/>
          </w:tcPr>
          <w:p w14:paraId="3B4C083C" w14:textId="77777777" w:rsidR="004079B4" w:rsidRPr="004C23F4" w:rsidRDefault="00687890" w:rsidP="00F4402E">
            <w:pPr>
              <w:pStyle w:val="Tablefont"/>
            </w:pPr>
            <w:r w:rsidRPr="004C23F4">
              <w:t>EU Annex</w:t>
            </w:r>
          </w:p>
        </w:tc>
        <w:tc>
          <w:tcPr>
            <w:tcW w:w="6015" w:type="dxa"/>
          </w:tcPr>
          <w:p w14:paraId="6EE4BE36" w14:textId="13450F86" w:rsidR="00687890" w:rsidRPr="00DD2F9B" w:rsidRDefault="003474F1" w:rsidP="00DD2F9B">
            <w:pPr>
              <w:pStyle w:val="Tablefont"/>
            </w:pPr>
            <w:r>
              <w:t>—</w:t>
            </w:r>
          </w:p>
        </w:tc>
      </w:tr>
      <w:tr w:rsidR="00E41A26" w:rsidRPr="004C23F4" w14:paraId="3065C5A7" w14:textId="77777777" w:rsidTr="00812887">
        <w:trPr>
          <w:cantSplit/>
        </w:trPr>
        <w:tc>
          <w:tcPr>
            <w:tcW w:w="3227" w:type="dxa"/>
          </w:tcPr>
          <w:p w14:paraId="434D7F02" w14:textId="77777777" w:rsidR="00E41A26" w:rsidRDefault="00E41A26" w:rsidP="00F4402E">
            <w:pPr>
              <w:pStyle w:val="Tablefont"/>
            </w:pPr>
            <w:r>
              <w:t>ECHA</w:t>
            </w:r>
          </w:p>
        </w:tc>
        <w:tc>
          <w:tcPr>
            <w:tcW w:w="6015" w:type="dxa"/>
          </w:tcPr>
          <w:p w14:paraId="0F0E3DCE" w14:textId="40ACE42C" w:rsidR="00E41A26" w:rsidRPr="00DD2F9B" w:rsidRDefault="00CF2E41" w:rsidP="00DD2F9B">
            <w:pPr>
              <w:pStyle w:val="Tablefont"/>
            </w:pPr>
            <w:r>
              <w:t>NA</w:t>
            </w:r>
          </w:p>
        </w:tc>
      </w:tr>
      <w:tr w:rsidR="002E0D61" w:rsidRPr="004C23F4" w14:paraId="2C93A025" w14:textId="77777777" w:rsidTr="00812887">
        <w:trPr>
          <w:cantSplit/>
        </w:trPr>
        <w:tc>
          <w:tcPr>
            <w:tcW w:w="3227" w:type="dxa"/>
          </w:tcPr>
          <w:p w14:paraId="4B5C6BE3" w14:textId="77777777" w:rsidR="004079B4" w:rsidRPr="004C23F4" w:rsidRDefault="002E0D61" w:rsidP="00F4402E">
            <w:pPr>
              <w:pStyle w:val="Tablefont"/>
            </w:pPr>
            <w:r>
              <w:t>ACGIH</w:t>
            </w:r>
          </w:p>
        </w:tc>
        <w:tc>
          <w:tcPr>
            <w:tcW w:w="6015" w:type="dxa"/>
          </w:tcPr>
          <w:p w14:paraId="33A3C399" w14:textId="20DEE7EC" w:rsidR="002E0D61" w:rsidRPr="00DD2F9B" w:rsidRDefault="003474F1" w:rsidP="00DD2F9B">
            <w:pPr>
              <w:pStyle w:val="Tablefont"/>
            </w:pPr>
            <w:r>
              <w:t>—</w:t>
            </w:r>
          </w:p>
        </w:tc>
      </w:tr>
      <w:tr w:rsidR="002E0D61" w:rsidRPr="004C23F4" w14:paraId="77B2E85F" w14:textId="77777777" w:rsidTr="00812887">
        <w:trPr>
          <w:cantSplit/>
        </w:trPr>
        <w:tc>
          <w:tcPr>
            <w:tcW w:w="3227" w:type="dxa"/>
          </w:tcPr>
          <w:p w14:paraId="367383EF" w14:textId="77777777" w:rsidR="004079B4" w:rsidRPr="004C23F4" w:rsidRDefault="002E0D61" w:rsidP="00F4402E">
            <w:pPr>
              <w:pStyle w:val="Tablefont"/>
            </w:pPr>
            <w:r>
              <w:t>DFG</w:t>
            </w:r>
          </w:p>
        </w:tc>
        <w:tc>
          <w:tcPr>
            <w:tcW w:w="6015" w:type="dxa"/>
          </w:tcPr>
          <w:p w14:paraId="08992F29" w14:textId="32D63109" w:rsidR="002E0D61" w:rsidRPr="00DD2F9B" w:rsidRDefault="00CF2E41" w:rsidP="00DD2F9B">
            <w:pPr>
              <w:pStyle w:val="Tablefont"/>
            </w:pPr>
            <w:r w:rsidRPr="00CF2E41">
              <w:t>Carcinogenicity – 3B</w:t>
            </w:r>
          </w:p>
        </w:tc>
      </w:tr>
      <w:tr w:rsidR="002E0D61" w:rsidRPr="004C23F4" w14:paraId="63F44416" w14:textId="77777777" w:rsidTr="00812887">
        <w:trPr>
          <w:cantSplit/>
        </w:trPr>
        <w:tc>
          <w:tcPr>
            <w:tcW w:w="3227" w:type="dxa"/>
          </w:tcPr>
          <w:p w14:paraId="2589725C" w14:textId="77777777" w:rsidR="004079B4" w:rsidRPr="004C23F4" w:rsidRDefault="002E0D61" w:rsidP="00F4402E">
            <w:pPr>
              <w:pStyle w:val="Tablefont"/>
            </w:pPr>
            <w:r>
              <w:t>SCOEL</w:t>
            </w:r>
          </w:p>
        </w:tc>
        <w:tc>
          <w:tcPr>
            <w:tcW w:w="6015" w:type="dxa"/>
          </w:tcPr>
          <w:p w14:paraId="24F4F1FD" w14:textId="3DAAC384" w:rsidR="002E0D61" w:rsidRPr="00DD2F9B" w:rsidRDefault="003474F1" w:rsidP="00DD2F9B">
            <w:pPr>
              <w:pStyle w:val="Tablefont"/>
            </w:pPr>
            <w:r>
              <w:t>—</w:t>
            </w:r>
          </w:p>
        </w:tc>
      </w:tr>
      <w:tr w:rsidR="002E0D61" w:rsidRPr="004C23F4" w14:paraId="09E7DD16" w14:textId="77777777" w:rsidTr="00812887">
        <w:trPr>
          <w:cantSplit/>
        </w:trPr>
        <w:tc>
          <w:tcPr>
            <w:tcW w:w="3227" w:type="dxa"/>
          </w:tcPr>
          <w:p w14:paraId="2CE4DD48" w14:textId="77777777" w:rsidR="004079B4" w:rsidRDefault="002E0D61" w:rsidP="00F4402E">
            <w:pPr>
              <w:pStyle w:val="Tablefont"/>
            </w:pPr>
            <w:r>
              <w:t>HCOTN</w:t>
            </w:r>
          </w:p>
        </w:tc>
        <w:tc>
          <w:tcPr>
            <w:tcW w:w="6015" w:type="dxa"/>
          </w:tcPr>
          <w:p w14:paraId="6309CC1A" w14:textId="2AF7F16D" w:rsidR="002E0D61" w:rsidRPr="00DD2F9B" w:rsidRDefault="00D33E29" w:rsidP="00DD2F9B">
            <w:pPr>
              <w:pStyle w:val="Tablefont"/>
            </w:pPr>
            <w:r>
              <w:t>NA</w:t>
            </w:r>
          </w:p>
        </w:tc>
      </w:tr>
      <w:tr w:rsidR="00386093" w:rsidRPr="004C23F4" w14:paraId="235810E5" w14:textId="77777777" w:rsidTr="00812887">
        <w:trPr>
          <w:cantSplit/>
        </w:trPr>
        <w:tc>
          <w:tcPr>
            <w:tcW w:w="3227" w:type="dxa"/>
          </w:tcPr>
          <w:p w14:paraId="1F194E17" w14:textId="77777777" w:rsidR="004079B4" w:rsidRDefault="00386093" w:rsidP="00F4402E">
            <w:pPr>
              <w:pStyle w:val="Tablefont"/>
            </w:pPr>
            <w:r>
              <w:t>IARC</w:t>
            </w:r>
          </w:p>
        </w:tc>
        <w:tc>
          <w:tcPr>
            <w:tcW w:w="6015" w:type="dxa"/>
          </w:tcPr>
          <w:p w14:paraId="28D58B91" w14:textId="222578E3" w:rsidR="00386093" w:rsidRPr="00DD2F9B" w:rsidRDefault="00D33E29" w:rsidP="00DD2F9B">
            <w:pPr>
              <w:pStyle w:val="Tablefont"/>
            </w:pPr>
            <w:r>
              <w:t>NA</w:t>
            </w:r>
          </w:p>
        </w:tc>
      </w:tr>
      <w:tr w:rsidR="00386093" w:rsidRPr="004C23F4" w14:paraId="2881C615" w14:textId="77777777" w:rsidTr="00812887">
        <w:trPr>
          <w:cantSplit/>
        </w:trPr>
        <w:tc>
          <w:tcPr>
            <w:tcW w:w="3227" w:type="dxa"/>
          </w:tcPr>
          <w:p w14:paraId="048CE528" w14:textId="77777777" w:rsidR="004079B4" w:rsidRDefault="00386093" w:rsidP="00F4402E">
            <w:pPr>
              <w:pStyle w:val="Tablefont"/>
              <w:keepNext/>
            </w:pPr>
            <w:r>
              <w:t>US NIOSH</w:t>
            </w:r>
          </w:p>
        </w:tc>
        <w:tc>
          <w:tcPr>
            <w:tcW w:w="6015" w:type="dxa"/>
          </w:tcPr>
          <w:p w14:paraId="2C3FD958" w14:textId="28C2B7F3" w:rsidR="00386093" w:rsidRPr="00DD2F9B" w:rsidRDefault="00D33E29" w:rsidP="00D87570">
            <w:pPr>
              <w:pStyle w:val="Tablefont"/>
              <w:keepNext/>
            </w:pPr>
            <w:r>
              <w:t>NA</w:t>
            </w:r>
          </w:p>
        </w:tc>
      </w:tr>
    </w:tbl>
    <w:bookmarkEnd w:id="3"/>
    <w:p w14:paraId="1598E78D"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25F7D07C"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110ADEEE" w14:textId="77777777" w:rsidTr="00EA6243">
        <w:trPr>
          <w:cantSplit/>
          <w:tblHeader/>
        </w:trPr>
        <w:tc>
          <w:tcPr>
            <w:tcW w:w="5000" w:type="pct"/>
            <w:shd w:val="clear" w:color="auto" w:fill="BFBFBF" w:themeFill="background1" w:themeFillShade="BF"/>
            <w:vAlign w:val="center"/>
          </w:tcPr>
          <w:p w14:paraId="2F05EABB"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3255477E" w14:textId="77777777" w:rsidTr="00EA6243">
        <w:trPr>
          <w:cantSplit/>
          <w:tblHeader/>
        </w:trPr>
        <w:tc>
          <w:tcPr>
            <w:tcW w:w="5000" w:type="pct"/>
            <w:vAlign w:val="center"/>
          </w:tcPr>
          <w:tbl>
            <w:tblPr>
              <w:tblW w:w="8810" w:type="dxa"/>
              <w:tblLook w:val="04A0" w:firstRow="1" w:lastRow="0" w:firstColumn="1" w:lastColumn="0" w:noHBand="0" w:noVBand="1"/>
            </w:tblPr>
            <w:tblGrid>
              <w:gridCol w:w="3654"/>
              <w:gridCol w:w="775"/>
              <w:gridCol w:w="573"/>
              <w:gridCol w:w="3808"/>
            </w:tblGrid>
            <w:tr w:rsidR="003C2D40" w:rsidRPr="003C2D40" w14:paraId="2FD13BE0" w14:textId="77777777" w:rsidTr="003C2D40">
              <w:trPr>
                <w:trHeight w:val="223"/>
              </w:trPr>
              <w:tc>
                <w:tcPr>
                  <w:tcW w:w="3654" w:type="dxa"/>
                  <w:tcBorders>
                    <w:top w:val="nil"/>
                    <w:left w:val="nil"/>
                    <w:bottom w:val="nil"/>
                    <w:right w:val="nil"/>
                  </w:tcBorders>
                  <w:shd w:val="clear" w:color="000000" w:fill="C5D9F1"/>
                  <w:noWrap/>
                  <w:vAlign w:val="center"/>
                  <w:hideMark/>
                </w:tcPr>
                <w:p w14:paraId="525B3876" w14:textId="77777777" w:rsidR="003C2D40" w:rsidRPr="003C2D40" w:rsidRDefault="003C2D40" w:rsidP="003C2D40">
                  <w:pPr>
                    <w:spacing w:after="0" w:line="240" w:lineRule="auto"/>
                    <w:jc w:val="right"/>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Adverse effects in human case study:</w:t>
                  </w:r>
                </w:p>
              </w:tc>
              <w:tc>
                <w:tcPr>
                  <w:tcW w:w="775" w:type="dxa"/>
                  <w:tcBorders>
                    <w:top w:val="nil"/>
                    <w:left w:val="nil"/>
                    <w:bottom w:val="nil"/>
                    <w:right w:val="nil"/>
                  </w:tcBorders>
                  <w:shd w:val="clear" w:color="000000" w:fill="C5D9F1"/>
                  <w:noWrap/>
                  <w:vAlign w:val="center"/>
                  <w:hideMark/>
                </w:tcPr>
                <w:p w14:paraId="1091FA1C" w14:textId="77777777" w:rsidR="003C2D40" w:rsidRPr="003C2D40" w:rsidRDefault="003C2D40" w:rsidP="003C2D40">
                  <w:pPr>
                    <w:spacing w:after="0" w:line="240" w:lineRule="auto"/>
                    <w:jc w:val="center"/>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no</w:t>
                  </w:r>
                </w:p>
              </w:tc>
              <w:tc>
                <w:tcPr>
                  <w:tcW w:w="573" w:type="dxa"/>
                  <w:tcBorders>
                    <w:top w:val="nil"/>
                    <w:left w:val="nil"/>
                    <w:bottom w:val="nil"/>
                    <w:right w:val="nil"/>
                  </w:tcBorders>
                  <w:shd w:val="clear" w:color="000000" w:fill="C5D9F1"/>
                  <w:noWrap/>
                  <w:vAlign w:val="center"/>
                  <w:hideMark/>
                </w:tcPr>
                <w:p w14:paraId="4B34C595" w14:textId="77777777" w:rsidR="003C2D40" w:rsidRPr="003C2D40" w:rsidRDefault="003C2D40" w:rsidP="003C2D40">
                  <w:pPr>
                    <w:spacing w:after="0" w:line="240" w:lineRule="auto"/>
                    <w:rPr>
                      <w:rFonts w:ascii="Segoe UI" w:eastAsia="Times New Roman" w:hAnsi="Segoe UI" w:cs="Segoe UI"/>
                      <w:color w:val="C5D9F1"/>
                      <w:sz w:val="18"/>
                      <w:szCs w:val="18"/>
                      <w:lang w:eastAsia="en-AU"/>
                    </w:rPr>
                  </w:pPr>
                  <w:r w:rsidRPr="003C2D40">
                    <w:rPr>
                      <w:rFonts w:ascii="Segoe UI" w:eastAsia="Times New Roman" w:hAnsi="Segoe UI" w:cs="Segoe UI"/>
                      <w:color w:val="C5D9F1"/>
                      <w:sz w:val="18"/>
                      <w:szCs w:val="18"/>
                      <w:lang w:eastAsia="en-AU"/>
                    </w:rPr>
                    <w:t> </w:t>
                  </w:r>
                </w:p>
              </w:tc>
              <w:tc>
                <w:tcPr>
                  <w:tcW w:w="3808" w:type="dxa"/>
                  <w:tcBorders>
                    <w:top w:val="nil"/>
                    <w:left w:val="nil"/>
                    <w:bottom w:val="nil"/>
                    <w:right w:val="nil"/>
                  </w:tcBorders>
                  <w:shd w:val="clear" w:color="000000" w:fill="C5D9F1"/>
                  <w:noWrap/>
                  <w:vAlign w:val="center"/>
                  <w:hideMark/>
                </w:tcPr>
                <w:p w14:paraId="428CD4EC" w14:textId="77777777" w:rsidR="003C2D40" w:rsidRPr="003C2D40" w:rsidRDefault="003C2D40" w:rsidP="003C2D40">
                  <w:pPr>
                    <w:spacing w:after="0" w:line="240" w:lineRule="auto"/>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r>
            <w:tr w:rsidR="003C2D40" w:rsidRPr="003C2D40" w14:paraId="3C531BB9" w14:textId="77777777" w:rsidTr="003C2D40">
              <w:trPr>
                <w:trHeight w:val="223"/>
              </w:trPr>
              <w:tc>
                <w:tcPr>
                  <w:tcW w:w="3654" w:type="dxa"/>
                  <w:tcBorders>
                    <w:top w:val="nil"/>
                    <w:left w:val="nil"/>
                    <w:bottom w:val="nil"/>
                    <w:right w:val="nil"/>
                  </w:tcBorders>
                  <w:shd w:val="clear" w:color="000000" w:fill="C5D9F1"/>
                  <w:noWrap/>
                  <w:vAlign w:val="center"/>
                  <w:hideMark/>
                </w:tcPr>
                <w:p w14:paraId="08F2C790" w14:textId="77777777" w:rsidR="003C2D40" w:rsidRPr="003C2D40" w:rsidRDefault="003C2D40" w:rsidP="003C2D40">
                  <w:pPr>
                    <w:spacing w:after="0" w:line="240" w:lineRule="auto"/>
                    <w:jc w:val="right"/>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Dermal LD</w:t>
                  </w:r>
                  <w:r w:rsidRPr="003C2D40">
                    <w:rPr>
                      <w:rFonts w:ascii="Segoe UI" w:eastAsia="Times New Roman" w:hAnsi="Segoe UI" w:cs="Segoe UI"/>
                      <w:color w:val="000000"/>
                      <w:sz w:val="18"/>
                      <w:szCs w:val="18"/>
                      <w:vertAlign w:val="subscript"/>
                      <w:lang w:eastAsia="en-AU"/>
                    </w:rPr>
                    <w:t>50</w:t>
                  </w:r>
                  <w:r w:rsidRPr="003C2D40">
                    <w:rPr>
                      <w:rFonts w:ascii="Segoe UI" w:eastAsia="Times New Roman" w:hAnsi="Segoe UI" w:cs="Segoe UI"/>
                      <w:color w:val="000000"/>
                      <w:sz w:val="18"/>
                      <w:szCs w:val="18"/>
                      <w:lang w:eastAsia="en-AU"/>
                    </w:rPr>
                    <w:t xml:space="preserve"> ≤1000 mg/kg:</w:t>
                  </w:r>
                </w:p>
              </w:tc>
              <w:tc>
                <w:tcPr>
                  <w:tcW w:w="775" w:type="dxa"/>
                  <w:tcBorders>
                    <w:top w:val="nil"/>
                    <w:left w:val="nil"/>
                    <w:bottom w:val="nil"/>
                    <w:right w:val="nil"/>
                  </w:tcBorders>
                  <w:shd w:val="clear" w:color="000000" w:fill="C5D9F1"/>
                  <w:noWrap/>
                  <w:vAlign w:val="center"/>
                  <w:hideMark/>
                </w:tcPr>
                <w:p w14:paraId="64DE81DA" w14:textId="77777777" w:rsidR="003C2D40" w:rsidRPr="003C2D40" w:rsidRDefault="003C2D40" w:rsidP="003C2D40">
                  <w:pPr>
                    <w:spacing w:after="0" w:line="240" w:lineRule="auto"/>
                    <w:jc w:val="center"/>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no</w:t>
                  </w:r>
                </w:p>
              </w:tc>
              <w:tc>
                <w:tcPr>
                  <w:tcW w:w="573" w:type="dxa"/>
                  <w:tcBorders>
                    <w:top w:val="nil"/>
                    <w:left w:val="nil"/>
                    <w:bottom w:val="nil"/>
                    <w:right w:val="nil"/>
                  </w:tcBorders>
                  <w:shd w:val="clear" w:color="000000" w:fill="C5D9F1"/>
                  <w:noWrap/>
                  <w:vAlign w:val="center"/>
                  <w:hideMark/>
                </w:tcPr>
                <w:p w14:paraId="47287E48" w14:textId="77777777" w:rsidR="003C2D40" w:rsidRPr="003C2D40" w:rsidRDefault="003C2D40" w:rsidP="003C2D40">
                  <w:pPr>
                    <w:spacing w:after="0" w:line="240" w:lineRule="auto"/>
                    <w:rPr>
                      <w:rFonts w:ascii="Segoe UI" w:eastAsia="Times New Roman" w:hAnsi="Segoe UI" w:cs="Segoe UI"/>
                      <w:color w:val="C5D9F1"/>
                      <w:sz w:val="18"/>
                      <w:szCs w:val="18"/>
                      <w:lang w:eastAsia="en-AU"/>
                    </w:rPr>
                  </w:pPr>
                  <w:r w:rsidRPr="003C2D40">
                    <w:rPr>
                      <w:rFonts w:ascii="Segoe UI" w:eastAsia="Times New Roman" w:hAnsi="Segoe UI" w:cs="Segoe UI"/>
                      <w:color w:val="C5D9F1"/>
                      <w:sz w:val="18"/>
                      <w:szCs w:val="18"/>
                      <w:lang w:eastAsia="en-AU"/>
                    </w:rPr>
                    <w:t> </w:t>
                  </w:r>
                </w:p>
              </w:tc>
              <w:tc>
                <w:tcPr>
                  <w:tcW w:w="3808" w:type="dxa"/>
                  <w:tcBorders>
                    <w:top w:val="nil"/>
                    <w:left w:val="nil"/>
                    <w:bottom w:val="nil"/>
                    <w:right w:val="nil"/>
                  </w:tcBorders>
                  <w:shd w:val="clear" w:color="000000" w:fill="C5D9F1"/>
                  <w:noWrap/>
                  <w:vAlign w:val="center"/>
                  <w:hideMark/>
                </w:tcPr>
                <w:p w14:paraId="7781742F" w14:textId="77777777" w:rsidR="003C2D40" w:rsidRPr="003C2D40" w:rsidRDefault="003C2D40" w:rsidP="003C2D40">
                  <w:pPr>
                    <w:spacing w:after="0" w:line="240" w:lineRule="auto"/>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r>
            <w:tr w:rsidR="003C2D40" w:rsidRPr="003C2D40" w14:paraId="335855E5" w14:textId="77777777" w:rsidTr="003C2D40">
              <w:trPr>
                <w:trHeight w:val="223"/>
              </w:trPr>
              <w:tc>
                <w:tcPr>
                  <w:tcW w:w="3654" w:type="dxa"/>
                  <w:tcBorders>
                    <w:top w:val="nil"/>
                    <w:left w:val="nil"/>
                    <w:bottom w:val="nil"/>
                    <w:right w:val="nil"/>
                  </w:tcBorders>
                  <w:shd w:val="clear" w:color="000000" w:fill="C5D9F1"/>
                  <w:noWrap/>
                  <w:vAlign w:val="center"/>
                  <w:hideMark/>
                </w:tcPr>
                <w:p w14:paraId="5B5B4A5E" w14:textId="77777777" w:rsidR="003C2D40" w:rsidRPr="003C2D40" w:rsidRDefault="003C2D40" w:rsidP="003C2D40">
                  <w:pPr>
                    <w:spacing w:after="0" w:line="240" w:lineRule="auto"/>
                    <w:jc w:val="right"/>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Dermal repeat-dose NOAEL ≤200 mg/kg:</w:t>
                  </w:r>
                </w:p>
              </w:tc>
              <w:tc>
                <w:tcPr>
                  <w:tcW w:w="775" w:type="dxa"/>
                  <w:tcBorders>
                    <w:top w:val="nil"/>
                    <w:left w:val="nil"/>
                    <w:bottom w:val="nil"/>
                    <w:right w:val="nil"/>
                  </w:tcBorders>
                  <w:shd w:val="clear" w:color="000000" w:fill="C5D9F1"/>
                  <w:noWrap/>
                  <w:vAlign w:val="center"/>
                  <w:hideMark/>
                </w:tcPr>
                <w:p w14:paraId="5840E0E6" w14:textId="77777777" w:rsidR="003C2D40" w:rsidRPr="003C2D40" w:rsidRDefault="003C2D40" w:rsidP="003C2D40">
                  <w:pPr>
                    <w:spacing w:after="0" w:line="240" w:lineRule="auto"/>
                    <w:jc w:val="center"/>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c>
                <w:tcPr>
                  <w:tcW w:w="573" w:type="dxa"/>
                  <w:tcBorders>
                    <w:top w:val="nil"/>
                    <w:left w:val="nil"/>
                    <w:bottom w:val="nil"/>
                    <w:right w:val="nil"/>
                  </w:tcBorders>
                  <w:shd w:val="clear" w:color="000000" w:fill="C5D9F1"/>
                  <w:noWrap/>
                  <w:vAlign w:val="center"/>
                  <w:hideMark/>
                </w:tcPr>
                <w:p w14:paraId="4C00AED9" w14:textId="77777777" w:rsidR="003C2D40" w:rsidRPr="003C2D40" w:rsidRDefault="003C2D40" w:rsidP="003C2D40">
                  <w:pPr>
                    <w:spacing w:after="0" w:line="240" w:lineRule="auto"/>
                    <w:rPr>
                      <w:rFonts w:ascii="Segoe UI" w:eastAsia="Times New Roman" w:hAnsi="Segoe UI" w:cs="Segoe UI"/>
                      <w:color w:val="C5D9F1"/>
                      <w:sz w:val="18"/>
                      <w:szCs w:val="18"/>
                      <w:lang w:eastAsia="en-AU"/>
                    </w:rPr>
                  </w:pPr>
                  <w:r w:rsidRPr="003C2D40">
                    <w:rPr>
                      <w:rFonts w:ascii="Segoe UI" w:eastAsia="Times New Roman" w:hAnsi="Segoe UI" w:cs="Segoe UI"/>
                      <w:color w:val="C5D9F1"/>
                      <w:sz w:val="18"/>
                      <w:szCs w:val="18"/>
                      <w:lang w:eastAsia="en-AU"/>
                    </w:rPr>
                    <w:t> </w:t>
                  </w:r>
                </w:p>
              </w:tc>
              <w:tc>
                <w:tcPr>
                  <w:tcW w:w="3808" w:type="dxa"/>
                  <w:tcBorders>
                    <w:top w:val="nil"/>
                    <w:left w:val="nil"/>
                    <w:bottom w:val="nil"/>
                    <w:right w:val="nil"/>
                  </w:tcBorders>
                  <w:shd w:val="clear" w:color="000000" w:fill="C5D9F1"/>
                  <w:noWrap/>
                  <w:vAlign w:val="center"/>
                  <w:hideMark/>
                </w:tcPr>
                <w:p w14:paraId="514085C2" w14:textId="77777777" w:rsidR="003C2D40" w:rsidRPr="003C2D40" w:rsidRDefault="003C2D40" w:rsidP="003C2D40">
                  <w:pPr>
                    <w:spacing w:after="0" w:line="240" w:lineRule="auto"/>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r>
            <w:tr w:rsidR="003C2D40" w:rsidRPr="003C2D40" w14:paraId="3427EE4E" w14:textId="77777777" w:rsidTr="003C2D40">
              <w:trPr>
                <w:trHeight w:val="223"/>
              </w:trPr>
              <w:tc>
                <w:tcPr>
                  <w:tcW w:w="3654" w:type="dxa"/>
                  <w:tcBorders>
                    <w:top w:val="nil"/>
                    <w:left w:val="nil"/>
                    <w:bottom w:val="nil"/>
                    <w:right w:val="nil"/>
                  </w:tcBorders>
                  <w:shd w:val="clear" w:color="000000" w:fill="C5D9F1"/>
                  <w:noWrap/>
                  <w:vAlign w:val="center"/>
                  <w:hideMark/>
                </w:tcPr>
                <w:p w14:paraId="5EE3F3AD" w14:textId="77777777" w:rsidR="003C2D40" w:rsidRPr="003C2D40" w:rsidRDefault="003C2D40" w:rsidP="003C2D40">
                  <w:pPr>
                    <w:spacing w:after="0" w:line="240" w:lineRule="auto"/>
                    <w:jc w:val="right"/>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Dermal LD</w:t>
                  </w:r>
                  <w:r w:rsidRPr="003C2D40">
                    <w:rPr>
                      <w:rFonts w:ascii="Segoe UI" w:eastAsia="Times New Roman" w:hAnsi="Segoe UI" w:cs="Segoe UI"/>
                      <w:color w:val="000000"/>
                      <w:sz w:val="18"/>
                      <w:szCs w:val="18"/>
                      <w:vertAlign w:val="subscript"/>
                      <w:lang w:eastAsia="en-AU"/>
                    </w:rPr>
                    <w:t>50</w:t>
                  </w:r>
                  <w:r w:rsidRPr="003C2D40">
                    <w:rPr>
                      <w:rFonts w:ascii="Segoe UI" w:eastAsia="Times New Roman" w:hAnsi="Segoe UI" w:cs="Segoe UI"/>
                      <w:color w:val="000000"/>
                      <w:sz w:val="18"/>
                      <w:szCs w:val="18"/>
                      <w:lang w:eastAsia="en-AU"/>
                    </w:rPr>
                    <w:t>/Inhalation LD</w:t>
                  </w:r>
                  <w:r w:rsidRPr="003C2D40">
                    <w:rPr>
                      <w:rFonts w:ascii="Segoe UI" w:eastAsia="Times New Roman" w:hAnsi="Segoe UI" w:cs="Segoe UI"/>
                      <w:color w:val="000000"/>
                      <w:sz w:val="18"/>
                      <w:szCs w:val="18"/>
                      <w:vertAlign w:val="subscript"/>
                      <w:lang w:eastAsia="en-AU"/>
                    </w:rPr>
                    <w:t>50</w:t>
                  </w:r>
                  <w:r w:rsidRPr="003C2D40">
                    <w:rPr>
                      <w:rFonts w:ascii="Segoe UI" w:eastAsia="Times New Roman" w:hAnsi="Segoe UI" w:cs="Segoe UI"/>
                      <w:color w:val="000000"/>
                      <w:sz w:val="18"/>
                      <w:szCs w:val="18"/>
                      <w:lang w:eastAsia="en-AU"/>
                    </w:rPr>
                    <w:t xml:space="preserve"> &lt;10:</w:t>
                  </w:r>
                </w:p>
              </w:tc>
              <w:tc>
                <w:tcPr>
                  <w:tcW w:w="775" w:type="dxa"/>
                  <w:tcBorders>
                    <w:top w:val="nil"/>
                    <w:left w:val="nil"/>
                    <w:bottom w:val="nil"/>
                    <w:right w:val="nil"/>
                  </w:tcBorders>
                  <w:shd w:val="clear" w:color="000000" w:fill="C5D9F1"/>
                  <w:noWrap/>
                  <w:vAlign w:val="center"/>
                  <w:hideMark/>
                </w:tcPr>
                <w:p w14:paraId="6A082A9B" w14:textId="77777777" w:rsidR="003C2D40" w:rsidRPr="003C2D40" w:rsidRDefault="003C2D40" w:rsidP="003C2D40">
                  <w:pPr>
                    <w:spacing w:after="0" w:line="240" w:lineRule="auto"/>
                    <w:jc w:val="center"/>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c>
                <w:tcPr>
                  <w:tcW w:w="573" w:type="dxa"/>
                  <w:tcBorders>
                    <w:top w:val="nil"/>
                    <w:left w:val="nil"/>
                    <w:bottom w:val="nil"/>
                    <w:right w:val="nil"/>
                  </w:tcBorders>
                  <w:shd w:val="clear" w:color="000000" w:fill="C5D9F1"/>
                  <w:noWrap/>
                  <w:vAlign w:val="center"/>
                  <w:hideMark/>
                </w:tcPr>
                <w:p w14:paraId="565778B0" w14:textId="77777777" w:rsidR="003C2D40" w:rsidRPr="003C2D40" w:rsidRDefault="003C2D40" w:rsidP="003C2D40">
                  <w:pPr>
                    <w:spacing w:after="0" w:line="240" w:lineRule="auto"/>
                    <w:rPr>
                      <w:rFonts w:ascii="Segoe UI" w:eastAsia="Times New Roman" w:hAnsi="Segoe UI" w:cs="Segoe UI"/>
                      <w:color w:val="C5D9F1"/>
                      <w:sz w:val="18"/>
                      <w:szCs w:val="18"/>
                      <w:lang w:eastAsia="en-AU"/>
                    </w:rPr>
                  </w:pPr>
                  <w:r w:rsidRPr="003C2D40">
                    <w:rPr>
                      <w:rFonts w:ascii="Segoe UI" w:eastAsia="Times New Roman" w:hAnsi="Segoe UI" w:cs="Segoe UI"/>
                      <w:color w:val="C5D9F1"/>
                      <w:sz w:val="18"/>
                      <w:szCs w:val="18"/>
                      <w:lang w:eastAsia="en-AU"/>
                    </w:rPr>
                    <w:t> </w:t>
                  </w:r>
                </w:p>
              </w:tc>
              <w:tc>
                <w:tcPr>
                  <w:tcW w:w="3808" w:type="dxa"/>
                  <w:tcBorders>
                    <w:top w:val="nil"/>
                    <w:left w:val="nil"/>
                    <w:bottom w:val="nil"/>
                    <w:right w:val="nil"/>
                  </w:tcBorders>
                  <w:shd w:val="clear" w:color="000000" w:fill="C5D9F1"/>
                  <w:noWrap/>
                  <w:vAlign w:val="center"/>
                  <w:hideMark/>
                </w:tcPr>
                <w:p w14:paraId="74BDE5DB" w14:textId="77777777" w:rsidR="003C2D40" w:rsidRPr="003C2D40" w:rsidRDefault="003C2D40" w:rsidP="003C2D40">
                  <w:pPr>
                    <w:spacing w:after="0" w:line="240" w:lineRule="auto"/>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r>
            <w:tr w:rsidR="003C2D40" w:rsidRPr="003C2D40" w14:paraId="20B8E098" w14:textId="77777777" w:rsidTr="003C2D40">
              <w:trPr>
                <w:trHeight w:val="223"/>
              </w:trPr>
              <w:tc>
                <w:tcPr>
                  <w:tcW w:w="3654" w:type="dxa"/>
                  <w:tcBorders>
                    <w:top w:val="nil"/>
                    <w:left w:val="nil"/>
                    <w:bottom w:val="nil"/>
                    <w:right w:val="nil"/>
                  </w:tcBorders>
                  <w:shd w:val="clear" w:color="000000" w:fill="C5D9F1"/>
                  <w:noWrap/>
                  <w:vAlign w:val="center"/>
                  <w:hideMark/>
                </w:tcPr>
                <w:p w14:paraId="7AEE07F7" w14:textId="77777777" w:rsidR="003C2D40" w:rsidRPr="003C2D40" w:rsidRDefault="003C2D40" w:rsidP="003C2D40">
                  <w:pPr>
                    <w:spacing w:after="0" w:line="240" w:lineRule="auto"/>
                    <w:jc w:val="right"/>
                    <w:rPr>
                      <w:rFonts w:ascii="Segoe UI" w:eastAsia="Times New Roman" w:hAnsi="Segoe UI" w:cs="Segoe UI"/>
                      <w:i/>
                      <w:iCs/>
                      <w:color w:val="000000"/>
                      <w:sz w:val="18"/>
                      <w:szCs w:val="18"/>
                      <w:lang w:eastAsia="en-AU"/>
                    </w:rPr>
                  </w:pPr>
                  <w:r w:rsidRPr="003C2D40">
                    <w:rPr>
                      <w:rFonts w:ascii="Segoe UI" w:eastAsia="Times New Roman" w:hAnsi="Segoe UI" w:cs="Segoe UI"/>
                      <w:i/>
                      <w:iCs/>
                      <w:color w:val="000000"/>
                      <w:sz w:val="18"/>
                      <w:szCs w:val="18"/>
                      <w:lang w:eastAsia="en-AU"/>
                    </w:rPr>
                    <w:t>In vivo</w:t>
                  </w:r>
                  <w:r w:rsidRPr="003C2D40">
                    <w:rPr>
                      <w:rFonts w:ascii="Segoe UI" w:eastAsia="Times New Roman" w:hAnsi="Segoe UI" w:cs="Segoe UI"/>
                      <w:color w:val="000000"/>
                      <w:sz w:val="18"/>
                      <w:szCs w:val="18"/>
                      <w:lang w:eastAsia="en-AU"/>
                    </w:rPr>
                    <w:t xml:space="preserve"> dermal absorption rate &gt;10%:</w:t>
                  </w:r>
                </w:p>
              </w:tc>
              <w:tc>
                <w:tcPr>
                  <w:tcW w:w="775" w:type="dxa"/>
                  <w:tcBorders>
                    <w:top w:val="nil"/>
                    <w:left w:val="nil"/>
                    <w:bottom w:val="nil"/>
                    <w:right w:val="nil"/>
                  </w:tcBorders>
                  <w:shd w:val="clear" w:color="000000" w:fill="C5D9F1"/>
                  <w:noWrap/>
                  <w:vAlign w:val="center"/>
                  <w:hideMark/>
                </w:tcPr>
                <w:p w14:paraId="18B48293" w14:textId="77777777" w:rsidR="003C2D40" w:rsidRPr="003C2D40" w:rsidRDefault="003C2D40" w:rsidP="003C2D40">
                  <w:pPr>
                    <w:spacing w:after="0" w:line="240" w:lineRule="auto"/>
                    <w:jc w:val="center"/>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c>
                <w:tcPr>
                  <w:tcW w:w="573" w:type="dxa"/>
                  <w:tcBorders>
                    <w:top w:val="nil"/>
                    <w:left w:val="nil"/>
                    <w:bottom w:val="nil"/>
                    <w:right w:val="nil"/>
                  </w:tcBorders>
                  <w:shd w:val="clear" w:color="000000" w:fill="C5D9F1"/>
                  <w:noWrap/>
                  <w:vAlign w:val="center"/>
                  <w:hideMark/>
                </w:tcPr>
                <w:p w14:paraId="6001EDFC" w14:textId="77777777" w:rsidR="003C2D40" w:rsidRPr="003C2D40" w:rsidRDefault="003C2D40" w:rsidP="003C2D40">
                  <w:pPr>
                    <w:spacing w:after="0" w:line="240" w:lineRule="auto"/>
                    <w:rPr>
                      <w:rFonts w:ascii="Segoe UI" w:eastAsia="Times New Roman" w:hAnsi="Segoe UI" w:cs="Segoe UI"/>
                      <w:color w:val="C5D9F1"/>
                      <w:sz w:val="18"/>
                      <w:szCs w:val="18"/>
                      <w:lang w:eastAsia="en-AU"/>
                    </w:rPr>
                  </w:pPr>
                  <w:r w:rsidRPr="003C2D40">
                    <w:rPr>
                      <w:rFonts w:ascii="Segoe UI" w:eastAsia="Times New Roman" w:hAnsi="Segoe UI" w:cs="Segoe UI"/>
                      <w:color w:val="C5D9F1"/>
                      <w:sz w:val="18"/>
                      <w:szCs w:val="18"/>
                      <w:lang w:eastAsia="en-AU"/>
                    </w:rPr>
                    <w:t> </w:t>
                  </w:r>
                </w:p>
              </w:tc>
              <w:tc>
                <w:tcPr>
                  <w:tcW w:w="3808" w:type="dxa"/>
                  <w:tcBorders>
                    <w:top w:val="nil"/>
                    <w:left w:val="nil"/>
                    <w:bottom w:val="nil"/>
                    <w:right w:val="nil"/>
                  </w:tcBorders>
                  <w:shd w:val="clear" w:color="000000" w:fill="C5D9F1"/>
                  <w:noWrap/>
                  <w:vAlign w:val="center"/>
                  <w:hideMark/>
                </w:tcPr>
                <w:p w14:paraId="4513B94F" w14:textId="77777777" w:rsidR="003C2D40" w:rsidRPr="003C2D40" w:rsidRDefault="003C2D40" w:rsidP="003C2D40">
                  <w:pPr>
                    <w:spacing w:after="0" w:line="240" w:lineRule="auto"/>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r>
            <w:tr w:rsidR="003C2D40" w:rsidRPr="003C2D40" w14:paraId="42CEF7D4" w14:textId="77777777" w:rsidTr="003C2D40">
              <w:trPr>
                <w:trHeight w:val="223"/>
              </w:trPr>
              <w:tc>
                <w:tcPr>
                  <w:tcW w:w="3654" w:type="dxa"/>
                  <w:tcBorders>
                    <w:top w:val="nil"/>
                    <w:left w:val="nil"/>
                    <w:bottom w:val="nil"/>
                    <w:right w:val="nil"/>
                  </w:tcBorders>
                  <w:shd w:val="clear" w:color="000000" w:fill="C5D9F1"/>
                  <w:noWrap/>
                  <w:vAlign w:val="center"/>
                  <w:hideMark/>
                </w:tcPr>
                <w:p w14:paraId="6F8CF956" w14:textId="77777777" w:rsidR="003C2D40" w:rsidRPr="003C2D40" w:rsidRDefault="003C2D40" w:rsidP="003C2D40">
                  <w:pPr>
                    <w:spacing w:after="0" w:line="240" w:lineRule="auto"/>
                    <w:jc w:val="right"/>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Estimated dermal exposure at WES &gt;10%:</w:t>
                  </w:r>
                </w:p>
              </w:tc>
              <w:tc>
                <w:tcPr>
                  <w:tcW w:w="775" w:type="dxa"/>
                  <w:tcBorders>
                    <w:top w:val="nil"/>
                    <w:left w:val="nil"/>
                    <w:bottom w:val="nil"/>
                    <w:right w:val="nil"/>
                  </w:tcBorders>
                  <w:shd w:val="clear" w:color="000000" w:fill="C5D9F1"/>
                  <w:noWrap/>
                  <w:vAlign w:val="center"/>
                  <w:hideMark/>
                </w:tcPr>
                <w:p w14:paraId="0E465B72" w14:textId="77777777" w:rsidR="003C2D40" w:rsidRPr="003C2D40" w:rsidRDefault="003C2D40" w:rsidP="003C2D40">
                  <w:pPr>
                    <w:spacing w:after="0" w:line="240" w:lineRule="auto"/>
                    <w:jc w:val="center"/>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c>
                <w:tcPr>
                  <w:tcW w:w="573" w:type="dxa"/>
                  <w:tcBorders>
                    <w:top w:val="nil"/>
                    <w:left w:val="nil"/>
                    <w:bottom w:val="nil"/>
                    <w:right w:val="nil"/>
                  </w:tcBorders>
                  <w:shd w:val="clear" w:color="000000" w:fill="C5D9F1"/>
                  <w:noWrap/>
                  <w:vAlign w:val="center"/>
                  <w:hideMark/>
                </w:tcPr>
                <w:p w14:paraId="3C2ED9FD" w14:textId="77777777" w:rsidR="003C2D40" w:rsidRPr="003C2D40" w:rsidRDefault="003C2D40" w:rsidP="003C2D40">
                  <w:pPr>
                    <w:spacing w:after="0" w:line="240" w:lineRule="auto"/>
                    <w:rPr>
                      <w:rFonts w:ascii="Segoe UI" w:eastAsia="Times New Roman" w:hAnsi="Segoe UI" w:cs="Segoe UI"/>
                      <w:color w:val="C5D9F1"/>
                      <w:sz w:val="18"/>
                      <w:szCs w:val="18"/>
                      <w:lang w:eastAsia="en-AU"/>
                    </w:rPr>
                  </w:pPr>
                  <w:r w:rsidRPr="003C2D40">
                    <w:rPr>
                      <w:rFonts w:ascii="Segoe UI" w:eastAsia="Times New Roman" w:hAnsi="Segoe UI" w:cs="Segoe UI"/>
                      <w:color w:val="C5D9F1"/>
                      <w:sz w:val="18"/>
                      <w:szCs w:val="18"/>
                      <w:lang w:eastAsia="en-AU"/>
                    </w:rPr>
                    <w:t> </w:t>
                  </w:r>
                </w:p>
              </w:tc>
              <w:tc>
                <w:tcPr>
                  <w:tcW w:w="3808" w:type="dxa"/>
                  <w:tcBorders>
                    <w:top w:val="nil"/>
                    <w:left w:val="nil"/>
                    <w:bottom w:val="nil"/>
                    <w:right w:val="nil"/>
                  </w:tcBorders>
                  <w:shd w:val="clear" w:color="000000" w:fill="C5D9F1"/>
                  <w:noWrap/>
                  <w:vAlign w:val="center"/>
                  <w:hideMark/>
                </w:tcPr>
                <w:p w14:paraId="6C6D93E0" w14:textId="77777777" w:rsidR="003C2D40" w:rsidRPr="003C2D40" w:rsidRDefault="003C2D40" w:rsidP="003C2D40">
                  <w:pPr>
                    <w:spacing w:after="0" w:line="240" w:lineRule="auto"/>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r>
            <w:tr w:rsidR="003C2D40" w:rsidRPr="003C2D40" w14:paraId="70BF0079" w14:textId="77777777" w:rsidTr="003C2D40">
              <w:trPr>
                <w:trHeight w:val="223"/>
              </w:trPr>
              <w:tc>
                <w:tcPr>
                  <w:tcW w:w="3654" w:type="dxa"/>
                  <w:tcBorders>
                    <w:top w:val="nil"/>
                    <w:left w:val="nil"/>
                    <w:bottom w:val="nil"/>
                    <w:right w:val="nil"/>
                  </w:tcBorders>
                  <w:shd w:val="clear" w:color="000000" w:fill="C5D9F1"/>
                  <w:noWrap/>
                  <w:vAlign w:val="center"/>
                  <w:hideMark/>
                </w:tcPr>
                <w:p w14:paraId="190658CF" w14:textId="77777777" w:rsidR="003C2D40" w:rsidRPr="003C2D40" w:rsidRDefault="003C2D40" w:rsidP="003C2D40">
                  <w:pPr>
                    <w:spacing w:after="0" w:line="240" w:lineRule="auto"/>
                    <w:jc w:val="right"/>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c>
                <w:tcPr>
                  <w:tcW w:w="775" w:type="dxa"/>
                  <w:tcBorders>
                    <w:top w:val="nil"/>
                    <w:left w:val="nil"/>
                    <w:bottom w:val="nil"/>
                    <w:right w:val="nil"/>
                  </w:tcBorders>
                  <w:shd w:val="clear" w:color="000000" w:fill="C5D9F1"/>
                  <w:noWrap/>
                  <w:vAlign w:val="center"/>
                  <w:hideMark/>
                </w:tcPr>
                <w:p w14:paraId="2389BA0B" w14:textId="77777777" w:rsidR="003C2D40" w:rsidRPr="003C2D40" w:rsidRDefault="003C2D40" w:rsidP="003C2D40">
                  <w:pPr>
                    <w:spacing w:after="0" w:line="240" w:lineRule="auto"/>
                    <w:jc w:val="center"/>
                    <w:rPr>
                      <w:rFonts w:ascii="Segoe UI" w:eastAsia="Times New Roman" w:hAnsi="Segoe UI" w:cs="Segoe UI"/>
                      <w:color w:val="000000"/>
                      <w:sz w:val="18"/>
                      <w:szCs w:val="18"/>
                      <w:lang w:eastAsia="en-AU"/>
                    </w:rPr>
                  </w:pPr>
                  <w:r w:rsidRPr="003C2D40">
                    <w:rPr>
                      <w:rFonts w:ascii="Segoe UI" w:eastAsia="Times New Roman" w:hAnsi="Segoe UI" w:cs="Segoe UI"/>
                      <w:color w:val="000000"/>
                      <w:sz w:val="18"/>
                      <w:szCs w:val="18"/>
                      <w:lang w:eastAsia="en-AU"/>
                    </w:rPr>
                    <w:t> </w:t>
                  </w:r>
                </w:p>
              </w:tc>
              <w:tc>
                <w:tcPr>
                  <w:tcW w:w="573" w:type="dxa"/>
                  <w:tcBorders>
                    <w:top w:val="nil"/>
                    <w:left w:val="nil"/>
                    <w:bottom w:val="nil"/>
                    <w:right w:val="nil"/>
                  </w:tcBorders>
                  <w:shd w:val="clear" w:color="000000" w:fill="C5D9F1"/>
                  <w:noWrap/>
                  <w:vAlign w:val="center"/>
                  <w:hideMark/>
                </w:tcPr>
                <w:p w14:paraId="75B2FE5A" w14:textId="77777777" w:rsidR="003C2D40" w:rsidRPr="003C2D40" w:rsidRDefault="003C2D40" w:rsidP="003C2D40">
                  <w:pPr>
                    <w:spacing w:after="0" w:line="240" w:lineRule="auto"/>
                    <w:rPr>
                      <w:rFonts w:ascii="Segoe UI" w:eastAsia="Times New Roman" w:hAnsi="Segoe UI" w:cs="Segoe UI"/>
                      <w:color w:val="C5D9F1"/>
                      <w:sz w:val="18"/>
                      <w:szCs w:val="18"/>
                      <w:lang w:eastAsia="en-AU"/>
                    </w:rPr>
                  </w:pPr>
                  <w:r w:rsidRPr="003C2D40">
                    <w:rPr>
                      <w:rFonts w:ascii="Segoe UI" w:eastAsia="Times New Roman" w:hAnsi="Segoe UI" w:cs="Segoe UI"/>
                      <w:color w:val="C5D9F1"/>
                      <w:sz w:val="18"/>
                      <w:szCs w:val="18"/>
                      <w:lang w:eastAsia="en-AU"/>
                    </w:rPr>
                    <w:t> </w:t>
                  </w:r>
                </w:p>
              </w:tc>
              <w:tc>
                <w:tcPr>
                  <w:tcW w:w="3808" w:type="dxa"/>
                  <w:tcBorders>
                    <w:top w:val="nil"/>
                    <w:left w:val="nil"/>
                    <w:bottom w:val="nil"/>
                    <w:right w:val="nil"/>
                  </w:tcBorders>
                  <w:shd w:val="clear" w:color="000000" w:fill="C5D9F1"/>
                  <w:noWrap/>
                  <w:vAlign w:val="center"/>
                  <w:hideMark/>
                </w:tcPr>
                <w:p w14:paraId="6ED4B209" w14:textId="77777777" w:rsidR="003C2D40" w:rsidRPr="003C2D40" w:rsidRDefault="003C2D40" w:rsidP="003C2D40">
                  <w:pPr>
                    <w:spacing w:after="0" w:line="240" w:lineRule="auto"/>
                    <w:rPr>
                      <w:rFonts w:ascii="Segoe UI" w:eastAsia="Times New Roman" w:hAnsi="Segoe UI" w:cs="Segoe UI"/>
                      <w:b/>
                      <w:bCs/>
                      <w:color w:val="000000"/>
                      <w:sz w:val="18"/>
                      <w:szCs w:val="18"/>
                      <w:lang w:eastAsia="en-AU"/>
                    </w:rPr>
                  </w:pPr>
                  <w:r w:rsidRPr="003C2D40">
                    <w:rPr>
                      <w:rFonts w:ascii="Segoe UI" w:eastAsia="Times New Roman" w:hAnsi="Segoe UI" w:cs="Segoe UI"/>
                      <w:b/>
                      <w:bCs/>
                      <w:color w:val="000000"/>
                      <w:sz w:val="18"/>
                      <w:szCs w:val="18"/>
                      <w:lang w:eastAsia="en-AU"/>
                    </w:rPr>
                    <w:t>a skin notation is not warranted</w:t>
                  </w:r>
                </w:p>
              </w:tc>
            </w:tr>
          </w:tbl>
          <w:p w14:paraId="6916FF84" w14:textId="6634C8C9" w:rsidR="00932DCE" w:rsidRPr="004C23F4" w:rsidRDefault="00932DCE" w:rsidP="00F9496B">
            <w:pPr>
              <w:pStyle w:val="Tablefont"/>
            </w:pPr>
          </w:p>
        </w:tc>
      </w:tr>
    </w:tbl>
    <w:bookmarkEnd w:id="4"/>
    <w:p w14:paraId="0CA46CC4"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7C1D6EB5" w14:textId="77777777" w:rsidTr="00610F2E">
        <w:trPr>
          <w:trHeight w:val="454"/>
          <w:tblHeader/>
        </w:trPr>
        <w:tc>
          <w:tcPr>
            <w:tcW w:w="4361" w:type="dxa"/>
            <w:vAlign w:val="center"/>
          </w:tcPr>
          <w:p w14:paraId="1AED5354"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1DA272DE" w14:textId="1645EFDA" w:rsidR="00EB3D1B" w:rsidRDefault="00D33E29" w:rsidP="00EB3D1B">
                <w:pPr>
                  <w:pStyle w:val="Tablefont"/>
                </w:pPr>
                <w:r>
                  <w:t>Yes</w:t>
                </w:r>
              </w:p>
            </w:tc>
          </w:sdtContent>
        </w:sdt>
      </w:tr>
    </w:tbl>
    <w:p w14:paraId="102D2193" w14:textId="77777777" w:rsidR="00687890" w:rsidRPr="004C23F4" w:rsidRDefault="00B479A9" w:rsidP="00474E33">
      <w:pPr>
        <w:pStyle w:val="Heading2"/>
      </w:pPr>
      <w:r w:rsidRPr="004C23F4">
        <w:lastRenderedPageBreak/>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50E67498" w14:textId="77777777" w:rsidTr="00EA6243">
        <w:trPr>
          <w:cantSplit/>
          <w:tblHeader/>
        </w:trPr>
        <w:tc>
          <w:tcPr>
            <w:tcW w:w="4077" w:type="dxa"/>
            <w:vAlign w:val="center"/>
          </w:tcPr>
          <w:p w14:paraId="2E6DB5C8"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1E38808" w14:textId="41098893" w:rsidR="001B79E5" w:rsidRDefault="00D33E29" w:rsidP="001B79E5">
                <w:pPr>
                  <w:pStyle w:val="Tablefont"/>
                </w:pPr>
                <w:r w:rsidRPr="00D33E29">
                  <w:t>278.34</w:t>
                </w:r>
              </w:p>
            </w:tc>
          </w:sdtContent>
        </w:sdt>
      </w:tr>
      <w:tr w:rsidR="00A31D99" w:rsidRPr="004C23F4" w14:paraId="1CB71AED" w14:textId="77777777" w:rsidTr="00EA6243">
        <w:trPr>
          <w:cantSplit/>
          <w:tblHeader/>
        </w:trPr>
        <w:tc>
          <w:tcPr>
            <w:tcW w:w="4077" w:type="dxa"/>
            <w:vAlign w:val="center"/>
          </w:tcPr>
          <w:p w14:paraId="3413D551" w14:textId="77777777" w:rsidR="00A31D99" w:rsidRPr="00263255" w:rsidRDefault="00A31D99" w:rsidP="00A31D99">
            <w:pPr>
              <w:pStyle w:val="Tablefont"/>
            </w:pPr>
            <w:r>
              <w:t>Conversion factors at 25</w:t>
            </w:r>
            <w:r>
              <w:rPr>
                <w:rFonts w:cs="Arial"/>
              </w:rPr>
              <w:t>°</w:t>
            </w:r>
            <w:r>
              <w:t xml:space="preserve">C and 101.3 </w:t>
            </w:r>
            <w:proofErr w:type="spellStart"/>
            <w:r>
              <w:t>kPa</w:t>
            </w:r>
            <w:proofErr w:type="spellEnd"/>
            <w:r>
              <w:t xml:space="preserve">: </w:t>
            </w:r>
          </w:p>
        </w:tc>
        <w:tc>
          <w:tcPr>
            <w:tcW w:w="5165" w:type="dxa"/>
            <w:vAlign w:val="center"/>
          </w:tcPr>
          <w:p w14:paraId="77EB660E"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12CDF260" w14:textId="77777777" w:rsidTr="00EA6243">
        <w:trPr>
          <w:cantSplit/>
          <w:tblHeader/>
        </w:trPr>
        <w:tc>
          <w:tcPr>
            <w:tcW w:w="4077" w:type="dxa"/>
            <w:vAlign w:val="center"/>
          </w:tcPr>
          <w:p w14:paraId="3790C90B"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487D87C2" w14:textId="0F290BBC" w:rsidR="00687890" w:rsidRPr="004C23F4" w:rsidRDefault="003474F1" w:rsidP="00717D45">
                <w:pPr>
                  <w:pStyle w:val="Tablefont"/>
                </w:pPr>
                <w:r>
                  <w:sym w:font="Wingdings" w:char="F0FC"/>
                </w:r>
              </w:p>
            </w:tc>
          </w:sdtContent>
        </w:sdt>
      </w:tr>
      <w:tr w:rsidR="00687890" w:rsidRPr="004C23F4" w14:paraId="6780AACD" w14:textId="77777777" w:rsidTr="00EA6243">
        <w:trPr>
          <w:cantSplit/>
        </w:trPr>
        <w:tc>
          <w:tcPr>
            <w:tcW w:w="4077" w:type="dxa"/>
            <w:vAlign w:val="center"/>
          </w:tcPr>
          <w:p w14:paraId="01D7F8A3"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556A3BB0"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670E7165" w14:textId="77777777" w:rsidTr="00EA6243">
        <w:trPr>
          <w:cantSplit/>
        </w:trPr>
        <w:tc>
          <w:tcPr>
            <w:tcW w:w="4077" w:type="dxa"/>
            <w:vAlign w:val="center"/>
          </w:tcPr>
          <w:p w14:paraId="4E255F7A"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0ACC9F78"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61BAB420" w14:textId="77777777" w:rsidTr="00EA6243">
        <w:trPr>
          <w:cantSplit/>
        </w:trPr>
        <w:tc>
          <w:tcPr>
            <w:tcW w:w="4077" w:type="dxa"/>
            <w:vAlign w:val="center"/>
          </w:tcPr>
          <w:p w14:paraId="30210F60"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7F57ADFD" w14:textId="745EFAF8" w:rsidR="00E06F40" w:rsidRPr="00A006A0" w:rsidRDefault="00360EBF"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1"/>
                  <w14:checkedState w14:val="00FC" w14:font="Wingdings"/>
                  <w14:uncheckedState w14:val="2610" w14:font="MS Gothic"/>
                </w14:checkbox>
              </w:sdtPr>
              <w:sdtEndPr/>
              <w:sdtContent>
                <w:r w:rsidR="00C31FB8">
                  <w:sym w:font="Wingdings" w:char="F0FC"/>
                </w:r>
              </w:sdtContent>
            </w:sdt>
            <w:r w:rsidR="00E06F40" w:rsidRPr="00A006A0">
              <w:t xml:space="preserve"> SCOEL</w:t>
            </w:r>
            <w:r w:rsidR="00E06F40">
              <w:tab/>
            </w:r>
          </w:p>
        </w:tc>
      </w:tr>
    </w:tbl>
    <w:p w14:paraId="529D1B25"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0E1252DB" w14:textId="77777777" w:rsidTr="00F053FA">
        <w:trPr>
          <w:tblHeader/>
        </w:trPr>
        <w:tc>
          <w:tcPr>
            <w:tcW w:w="4077" w:type="dxa"/>
            <w:shd w:val="clear" w:color="auto" w:fill="BFBFBF" w:themeFill="background1" w:themeFillShade="BF"/>
            <w:vAlign w:val="center"/>
          </w:tcPr>
          <w:p w14:paraId="70274D61"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2ED07481" w14:textId="77777777" w:rsidR="00224EE2" w:rsidRPr="004C23F4" w:rsidRDefault="00224EE2" w:rsidP="00EB3D1B">
            <w:pPr>
              <w:pStyle w:val="Tableheader"/>
              <w:keepNext/>
              <w:keepLines/>
            </w:pPr>
            <w:r>
              <w:t>Standard</w:t>
            </w:r>
          </w:p>
        </w:tc>
      </w:tr>
      <w:tr w:rsidR="007F1005" w:rsidRPr="004C23F4" w14:paraId="0E1A1999" w14:textId="77777777" w:rsidTr="00F053FA">
        <w:trPr>
          <w:tblHeader/>
        </w:trPr>
        <w:sdt>
          <w:sdtPr>
            <w:id w:val="-25557549"/>
            <w:placeholder>
              <w:docPart w:val="2BF891C0AB704CDAB9BC6E80D556473F"/>
            </w:placeholder>
            <w:showingPlcHdr/>
            <w:text/>
          </w:sdtPr>
          <w:sdtEndPr/>
          <w:sdtContent>
            <w:tc>
              <w:tcPr>
                <w:tcW w:w="4077" w:type="dxa"/>
                <w:vAlign w:val="center"/>
              </w:tcPr>
              <w:p w14:paraId="700154CD"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7E1F33FB" w14:textId="77777777" w:rsidR="007F1005" w:rsidRPr="004C23F4" w:rsidRDefault="007F1005" w:rsidP="00EB3D1B">
            <w:pPr>
              <w:pStyle w:val="Tablefont"/>
              <w:keepLines/>
            </w:pPr>
          </w:p>
        </w:tc>
      </w:tr>
    </w:tbl>
    <w:bookmarkEnd w:id="5"/>
    <w:p w14:paraId="1A54CE56" w14:textId="77777777" w:rsidR="00F87D92" w:rsidRPr="0099102B" w:rsidRDefault="00F87D92" w:rsidP="00EF7F78">
      <w:pPr>
        <w:pStyle w:val="Heading2"/>
        <w:tabs>
          <w:tab w:val="right" w:pos="8505"/>
        </w:tabs>
        <w:rPr>
          <w:color w:val="auto"/>
        </w:rPr>
      </w:pPr>
      <w:r w:rsidRPr="0099102B">
        <w:rPr>
          <w:color w:val="auto"/>
        </w:rPr>
        <w:t>References</w:t>
      </w:r>
      <w:r w:rsidR="00EF7F78" w:rsidRPr="0099102B">
        <w:rPr>
          <w:color w:val="auto"/>
        </w:rPr>
        <w:tab/>
      </w:r>
    </w:p>
    <w:p w14:paraId="427C8538" w14:textId="681F23D6" w:rsidR="007F1005" w:rsidRPr="0099102B" w:rsidRDefault="006650FE" w:rsidP="00084859">
      <w:r w:rsidRPr="0099102B">
        <w:t>American Conference of Industrial Hygienists (ACGIH</w:t>
      </w:r>
      <w:r w:rsidRPr="0099102B">
        <w:rPr>
          <w:vertAlign w:val="superscript"/>
        </w:rPr>
        <w:t>®</w:t>
      </w:r>
      <w:r w:rsidRPr="0099102B">
        <w:t>) (201</w:t>
      </w:r>
      <w:r w:rsidR="00F67BBB" w:rsidRPr="0099102B">
        <w:t>8</w:t>
      </w:r>
      <w:r w:rsidRPr="0099102B">
        <w:t>) TLVs</w:t>
      </w:r>
      <w:r w:rsidRPr="0099102B">
        <w:rPr>
          <w:vertAlign w:val="superscript"/>
        </w:rPr>
        <w:t>®</w:t>
      </w:r>
      <w:r w:rsidRPr="0099102B">
        <w:t xml:space="preserve"> and BEIs</w:t>
      </w:r>
      <w:r w:rsidRPr="0099102B">
        <w:rPr>
          <w:vertAlign w:val="superscript"/>
        </w:rPr>
        <w:t>®</w:t>
      </w:r>
      <w:r w:rsidRPr="0099102B">
        <w:t xml:space="preserve"> with 7</w:t>
      </w:r>
      <w:r w:rsidRPr="0099102B">
        <w:rPr>
          <w:vertAlign w:val="superscript"/>
        </w:rPr>
        <w:t>th</w:t>
      </w:r>
      <w:r w:rsidRPr="0099102B">
        <w:t xml:space="preserve"> Edition Documentation, CD-ROM, Single User Version. Copyright 201</w:t>
      </w:r>
      <w:r w:rsidR="00F67BBB" w:rsidRPr="0099102B">
        <w:t>8</w:t>
      </w:r>
      <w:r w:rsidRPr="0099102B">
        <w:t xml:space="preserve">. Reprinted with permission. See the </w:t>
      </w:r>
      <w:hyperlink r:id="rId17" w:history="1">
        <w:r w:rsidRPr="0099102B">
          <w:rPr>
            <w:rStyle w:val="Hyperlink"/>
            <w:i/>
            <w:color w:val="auto"/>
          </w:rPr>
          <w:t>TLVs</w:t>
        </w:r>
        <w:r w:rsidRPr="0099102B">
          <w:rPr>
            <w:rStyle w:val="Hyperlink"/>
            <w:i/>
            <w:color w:val="auto"/>
            <w:vertAlign w:val="superscript"/>
          </w:rPr>
          <w:t>®</w:t>
        </w:r>
        <w:r w:rsidRPr="0099102B">
          <w:rPr>
            <w:rStyle w:val="Hyperlink"/>
            <w:i/>
            <w:color w:val="auto"/>
          </w:rPr>
          <w:t xml:space="preserve"> and BEIs</w:t>
        </w:r>
        <w:r w:rsidRPr="0099102B">
          <w:rPr>
            <w:rStyle w:val="Hyperlink"/>
            <w:i/>
            <w:color w:val="auto"/>
            <w:vertAlign w:val="superscript"/>
          </w:rPr>
          <w:t>®</w:t>
        </w:r>
        <w:r w:rsidRPr="0099102B">
          <w:rPr>
            <w:rStyle w:val="Hyperlink"/>
            <w:i/>
            <w:color w:val="auto"/>
          </w:rPr>
          <w:t xml:space="preserve"> Guidelines section</w:t>
        </w:r>
      </w:hyperlink>
      <w:r w:rsidRPr="0099102B">
        <w:t xml:space="preserve"> on the ACGIH website.</w:t>
      </w:r>
    </w:p>
    <w:p w14:paraId="1640CD26" w14:textId="7BEDB2AA" w:rsidR="00DF1694" w:rsidRPr="0099102B" w:rsidRDefault="00DF1694" w:rsidP="00DF1694">
      <w:r w:rsidRPr="0099102B">
        <w:t xml:space="preserve">Australian Pesticides and Veterinary Medicines Authority </w:t>
      </w:r>
      <w:r w:rsidR="001D56E2" w:rsidRPr="0099102B">
        <w:t>(</w:t>
      </w:r>
      <w:r w:rsidRPr="0099102B">
        <w:t>APVMA</w:t>
      </w:r>
      <w:r w:rsidR="001D56E2" w:rsidRPr="0099102B">
        <w:t>)</w:t>
      </w:r>
      <w:r w:rsidRPr="0099102B">
        <w:t xml:space="preserve"> (2014) </w:t>
      </w:r>
      <w:r w:rsidR="001D56E2" w:rsidRPr="0099102B">
        <w:t xml:space="preserve">list of registered products, </w:t>
      </w:r>
      <w:r w:rsidRPr="0099102B">
        <w:t>approval no. 39575/0614</w:t>
      </w:r>
    </w:p>
    <w:p w14:paraId="7F9C9804" w14:textId="38BC8704" w:rsidR="008309D1" w:rsidRPr="0099102B" w:rsidRDefault="00CF7A8E" w:rsidP="00084859">
      <w:r w:rsidRPr="0099102B">
        <w:t>Deutsche Forschungsgemeinschaft (DFG) (201</w:t>
      </w:r>
      <w:r w:rsidR="004A4A29" w:rsidRPr="0099102B">
        <w:t>5</w:t>
      </w:r>
      <w:r w:rsidRPr="0099102B">
        <w:t>) Di</w:t>
      </w:r>
      <w:r w:rsidR="004A4A29" w:rsidRPr="0099102B">
        <w:t>-n-</w:t>
      </w:r>
      <w:r w:rsidRPr="0099102B">
        <w:t>butyl phthalate – MAK value documentation.</w:t>
      </w:r>
    </w:p>
    <w:p w14:paraId="6CA38AAE" w14:textId="77777777" w:rsidR="00BA3CC6" w:rsidRPr="0099102B" w:rsidRDefault="00BA3CC6" w:rsidP="00BA3CC6">
      <w:r w:rsidRPr="0099102B">
        <w:t>EU Scientific Committee on Occupational Exposure Limits (SCOEL) (2016) Recommendation from the Scientific Committee on Occupational Exposure Limits for Di-n-butyl phthalate. SCOEL/REC/143.</w:t>
      </w:r>
    </w:p>
    <w:p w14:paraId="54C570E4" w14:textId="3D94B408" w:rsidR="001D56E2" w:rsidRPr="0099102B" w:rsidRDefault="001D56E2" w:rsidP="00084859">
      <w:pPr>
        <w:rPr>
          <w:b/>
        </w:rPr>
      </w:pPr>
      <w:r w:rsidRPr="0099102B">
        <w:t xml:space="preserve">National Industrial Chemicals Notification and Assessment Scheme (NICNAS) (2016) C4-6 side chain transitional phthalates: Human health </w:t>
      </w:r>
      <w:sdt>
        <w:sdtPr>
          <w:id w:val="-1295753243"/>
          <w:placeholder>
            <w:docPart w:val="1F17D683F3DA41E9848DCF131ED90F60"/>
          </w:placeholder>
          <w:temporary/>
          <w:showingPlcHdr/>
        </w:sdtPr>
        <w:sdtEndPr/>
        <w:sdtContent>
          <w:r w:rsidRPr="0099102B">
            <w:t>tier II</w:t>
          </w:r>
        </w:sdtContent>
      </w:sdt>
      <w:r w:rsidRPr="0099102B">
        <w:t xml:space="preserve"> assessment – IMAP report.</w:t>
      </w:r>
    </w:p>
    <w:p w14:paraId="098F0E25" w14:textId="645DAE59" w:rsidR="001D56E2" w:rsidRPr="0099102B" w:rsidRDefault="001D56E2" w:rsidP="00EA65C7">
      <w:r w:rsidRPr="0099102B">
        <w:t>National Toxicology Program (NTP) (2000) NTP-CERHR Expert Panel Report on Di-n-Butyl Phthalate. NTP-CERHR-DBP-00.</w:t>
      </w:r>
    </w:p>
    <w:p w14:paraId="12971787" w14:textId="014C1ED0" w:rsidR="001D56E2" w:rsidRPr="0099102B" w:rsidRDefault="001D56E2" w:rsidP="003C2D40">
      <w:r w:rsidRPr="0099102B">
        <w:t xml:space="preserve">Organisation for Economic Cooperation and Development (OECD) (2001) SIDS initial assessment profile – </w:t>
      </w:r>
      <w:proofErr w:type="spellStart"/>
      <w:r w:rsidRPr="0099102B">
        <w:t>Dibutylphalate</w:t>
      </w:r>
      <w:proofErr w:type="spellEnd"/>
      <w:r w:rsidRPr="0099102B">
        <w:t>.</w:t>
      </w:r>
    </w:p>
    <w:p w14:paraId="4B4F91D2" w14:textId="77777777" w:rsidR="001D56E2" w:rsidRPr="0099102B" w:rsidRDefault="003C2D40" w:rsidP="001D56E2">
      <w:r w:rsidRPr="0099102B">
        <w:t>US National Institute for Occupational Safety and Health (NIOSH) (</w:t>
      </w:r>
      <w:sdt>
        <w:sdtPr>
          <w:id w:val="-1194999823"/>
          <w:placeholder>
            <w:docPart w:val="699021580F0D46F2A7E8CD458960A01B"/>
          </w:placeholder>
          <w:temporary/>
          <w:showingPlcHdr/>
        </w:sdtPr>
        <w:sdtEndPr/>
        <w:sdtContent>
          <w:r w:rsidRPr="0099102B">
            <w:t>1994</w:t>
          </w:r>
        </w:sdtContent>
      </w:sdt>
      <w:r w:rsidRPr="0099102B">
        <w:t xml:space="preserve">) </w:t>
      </w:r>
      <w:proofErr w:type="gramStart"/>
      <w:r w:rsidRPr="0099102B">
        <w:t>Immediately</w:t>
      </w:r>
      <w:proofErr w:type="gramEnd"/>
      <w:r w:rsidRPr="0099102B">
        <w:t xml:space="preserve"> dangerous to life or health concentrations – </w:t>
      </w:r>
      <w:proofErr w:type="spellStart"/>
      <w:r w:rsidRPr="0099102B">
        <w:t>dibutyl</w:t>
      </w:r>
      <w:proofErr w:type="spellEnd"/>
      <w:r w:rsidRPr="0099102B">
        <w:t xml:space="preserve"> phthalate.</w:t>
      </w:r>
      <w:r w:rsidR="001D56E2" w:rsidRPr="0099102B">
        <w:t xml:space="preserve"> </w:t>
      </w:r>
    </w:p>
    <w:bookmarkEnd w:id="0"/>
    <w:p w14:paraId="1387975D" w14:textId="1703444E" w:rsidR="003C2D40" w:rsidRPr="00351FE0" w:rsidRDefault="003C2D40" w:rsidP="003C2D40"/>
    <w:sectPr w:rsidR="003C2D40" w:rsidRPr="00351FE0" w:rsidSect="00B87D4C">
      <w:headerReference w:type="even" r:id="rId18"/>
      <w:headerReference w:type="default" r:id="rId19"/>
      <w:headerReference w:type="first" r:id="rId20"/>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6FF61" w16cid:durableId="2149C9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D7BD1" w14:textId="77777777" w:rsidR="00E34B4C" w:rsidRDefault="00E34B4C" w:rsidP="00F43AD5">
      <w:pPr>
        <w:spacing w:after="0" w:line="240" w:lineRule="auto"/>
      </w:pPr>
      <w:r>
        <w:separator/>
      </w:r>
    </w:p>
  </w:endnote>
  <w:endnote w:type="continuationSeparator" w:id="0">
    <w:p w14:paraId="670A4A40" w14:textId="77777777" w:rsidR="00E34B4C" w:rsidRDefault="00E34B4C"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8BE9" w14:textId="77777777" w:rsidR="00360EBF" w:rsidRDefault="00360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7672D365" w14:textId="47C0E294" w:rsidR="001D56E2" w:rsidRDefault="001D56E2" w:rsidP="0034744C">
        <w:pPr>
          <w:pStyle w:val="Footer"/>
          <w:rPr>
            <w:sz w:val="18"/>
            <w:szCs w:val="18"/>
          </w:rPr>
        </w:pPr>
        <w:proofErr w:type="spellStart"/>
        <w:r w:rsidRPr="008309D1">
          <w:rPr>
            <w:b/>
            <w:sz w:val="18"/>
            <w:szCs w:val="18"/>
          </w:rPr>
          <w:t>Dibutyl</w:t>
        </w:r>
        <w:proofErr w:type="spellEnd"/>
        <w:r w:rsidRPr="008309D1">
          <w:rPr>
            <w:b/>
            <w:sz w:val="18"/>
            <w:szCs w:val="18"/>
          </w:rPr>
          <w:t xml:space="preserve"> phthalate</w:t>
        </w:r>
        <w:r>
          <w:rPr>
            <w:b/>
            <w:sz w:val="18"/>
            <w:szCs w:val="18"/>
          </w:rPr>
          <w:t xml:space="preserve"> (</w:t>
        </w:r>
        <w:r w:rsidRPr="008309D1">
          <w:rPr>
            <w:b/>
            <w:sz w:val="18"/>
            <w:szCs w:val="18"/>
          </w:rPr>
          <w:t>84-74-2</w:t>
        </w:r>
        <w:proofErr w:type="gramStart"/>
        <w:r>
          <w:rPr>
            <w:b/>
            <w:sz w:val="18"/>
            <w:szCs w:val="18"/>
          </w:rPr>
          <w:t>)</w:t>
        </w:r>
        <w:proofErr w:type="gramEnd"/>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201</w:t>
        </w:r>
        <w:r>
          <w:rPr>
            <w:sz w:val="18"/>
            <w:szCs w:val="18"/>
          </w:rPr>
          <w:t>9</w:t>
        </w:r>
      </w:p>
      <w:p w14:paraId="2E24BD02" w14:textId="58D8A506" w:rsidR="001D56E2" w:rsidRPr="00F43AD5" w:rsidRDefault="001D56E2"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360EBF">
          <w:rPr>
            <w:noProof/>
            <w:sz w:val="18"/>
            <w:szCs w:val="18"/>
          </w:rPr>
          <w:t>2</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D246" w14:textId="77777777" w:rsidR="00360EBF" w:rsidRDefault="00360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43AC2" w14:textId="77777777" w:rsidR="00E34B4C" w:rsidRDefault="00E34B4C" w:rsidP="00F43AD5">
      <w:pPr>
        <w:spacing w:after="0" w:line="240" w:lineRule="auto"/>
      </w:pPr>
      <w:r>
        <w:separator/>
      </w:r>
    </w:p>
  </w:footnote>
  <w:footnote w:type="continuationSeparator" w:id="0">
    <w:p w14:paraId="7FC75840" w14:textId="77777777" w:rsidR="00E34B4C" w:rsidRDefault="00E34B4C"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345C" w14:textId="698E227E" w:rsidR="00360EBF" w:rsidRDefault="00360EBF">
    <w:pPr>
      <w:pStyle w:val="Header"/>
    </w:pPr>
    <w:r>
      <w:rPr>
        <w:noProof/>
      </w:rPr>
      <w:pict w14:anchorId="0473C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69344" o:spid="_x0000_s8194"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2787D" w14:textId="26B35DE2" w:rsidR="001D56E2" w:rsidRDefault="00360EBF" w:rsidP="00F43AD5">
    <w:pPr>
      <w:pStyle w:val="Header"/>
      <w:jc w:val="right"/>
    </w:pPr>
    <w:r>
      <w:rPr>
        <w:noProof/>
      </w:rPr>
      <w:pict w14:anchorId="6A5A5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69345" o:spid="_x0000_s8195"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1D56E2">
      <w:rPr>
        <w:noProof/>
        <w:lang w:eastAsia="en-AU"/>
      </w:rPr>
      <w:drawing>
        <wp:inline distT="0" distB="0" distL="0" distR="0" wp14:anchorId="1F50867D" wp14:editId="6F441983">
          <wp:extent cx="2938272" cy="594360"/>
          <wp:effectExtent l="0" t="0" r="0" b="0"/>
          <wp:docPr id="2" name="Picture 2"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6493" w14:textId="1BA43BF3" w:rsidR="00360EBF" w:rsidRDefault="00360EBF">
    <w:pPr>
      <w:pStyle w:val="Header"/>
    </w:pPr>
    <w:r>
      <w:rPr>
        <w:noProof/>
      </w:rPr>
      <w:pict w14:anchorId="74E1F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69343" o:spid="_x0000_s8193"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D8CC" w14:textId="147B273B" w:rsidR="00360EBF" w:rsidRDefault="00360EBF">
    <w:pPr>
      <w:pStyle w:val="Header"/>
    </w:pPr>
    <w:r>
      <w:rPr>
        <w:noProof/>
      </w:rPr>
      <w:pict w14:anchorId="1E469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69347" o:spid="_x0000_s8197"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30396" w14:textId="4DC5CF8F" w:rsidR="001D56E2" w:rsidRDefault="00360EBF" w:rsidP="00F43AD5">
    <w:pPr>
      <w:pStyle w:val="Header"/>
      <w:jc w:val="right"/>
    </w:pPr>
    <w:r>
      <w:rPr>
        <w:noProof/>
      </w:rPr>
      <w:pict w14:anchorId="7FB49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69348" o:spid="_x0000_s8198" type="#_x0000_t136" style="position:absolute;left:0;text-align:left;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2292" w14:textId="40795CB6" w:rsidR="00360EBF" w:rsidRDefault="00360EBF">
    <w:pPr>
      <w:pStyle w:val="Header"/>
    </w:pPr>
    <w:r>
      <w:rPr>
        <w:noProof/>
      </w:rPr>
      <w:pict w14:anchorId="159CE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69346" o:spid="_x0000_s8196"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0090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59530B"/>
    <w:multiLevelType w:val="hybridMultilevel"/>
    <w:tmpl w:val="0B98311C"/>
    <w:lvl w:ilvl="0" w:tplc="110C49F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EE2A05"/>
    <w:multiLevelType w:val="hybridMultilevel"/>
    <w:tmpl w:val="492A3AAC"/>
    <w:lvl w:ilvl="0" w:tplc="254C398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2F2AD3"/>
    <w:multiLevelType w:val="hybridMultilevel"/>
    <w:tmpl w:val="3BC6A1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376C7E"/>
    <w:multiLevelType w:val="hybridMultilevel"/>
    <w:tmpl w:val="F80469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92071D"/>
    <w:multiLevelType w:val="hybridMultilevel"/>
    <w:tmpl w:val="22EC2F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3EA63F6"/>
    <w:multiLevelType w:val="hybridMultilevel"/>
    <w:tmpl w:val="3B9ACB5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6AC019A4"/>
    <w:multiLevelType w:val="hybridMultilevel"/>
    <w:tmpl w:val="C3705CDE"/>
    <w:lvl w:ilvl="0" w:tplc="254C3980">
      <w:numFmt w:val="bullet"/>
      <w:lvlText w:val=""/>
      <w:lvlJc w:val="left"/>
      <w:pPr>
        <w:ind w:left="720" w:hanging="360"/>
      </w:pPr>
      <w:rPr>
        <w:rFonts w:ascii="Symbol" w:eastAsiaTheme="minorHAnsi" w:hAnsi="Symbol" w:cstheme="minorBid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616C23"/>
    <w:multiLevelType w:val="hybridMultilevel"/>
    <w:tmpl w:val="7E142E5E"/>
    <w:lvl w:ilvl="0" w:tplc="0C090001">
      <w:start w:val="1"/>
      <w:numFmt w:val="bullet"/>
      <w:lvlText w:val=""/>
      <w:lvlJc w:val="left"/>
      <w:pPr>
        <w:ind w:left="1091" w:hanging="360"/>
      </w:pPr>
      <w:rPr>
        <w:rFonts w:ascii="Symbol" w:hAnsi="Symbol" w:hint="default"/>
      </w:rPr>
    </w:lvl>
    <w:lvl w:ilvl="1" w:tplc="0C090003" w:tentative="1">
      <w:start w:val="1"/>
      <w:numFmt w:val="bullet"/>
      <w:lvlText w:val="o"/>
      <w:lvlJc w:val="left"/>
      <w:pPr>
        <w:ind w:left="1811" w:hanging="360"/>
      </w:pPr>
      <w:rPr>
        <w:rFonts w:ascii="Courier New" w:hAnsi="Courier New" w:cs="Courier New" w:hint="default"/>
      </w:rPr>
    </w:lvl>
    <w:lvl w:ilvl="2" w:tplc="0C090005" w:tentative="1">
      <w:start w:val="1"/>
      <w:numFmt w:val="bullet"/>
      <w:lvlText w:val=""/>
      <w:lvlJc w:val="left"/>
      <w:pPr>
        <w:ind w:left="2531" w:hanging="360"/>
      </w:pPr>
      <w:rPr>
        <w:rFonts w:ascii="Wingdings" w:hAnsi="Wingdings" w:hint="default"/>
      </w:rPr>
    </w:lvl>
    <w:lvl w:ilvl="3" w:tplc="0C090001" w:tentative="1">
      <w:start w:val="1"/>
      <w:numFmt w:val="bullet"/>
      <w:lvlText w:val=""/>
      <w:lvlJc w:val="left"/>
      <w:pPr>
        <w:ind w:left="3251" w:hanging="360"/>
      </w:pPr>
      <w:rPr>
        <w:rFonts w:ascii="Symbol" w:hAnsi="Symbol" w:hint="default"/>
      </w:rPr>
    </w:lvl>
    <w:lvl w:ilvl="4" w:tplc="0C090003" w:tentative="1">
      <w:start w:val="1"/>
      <w:numFmt w:val="bullet"/>
      <w:lvlText w:val="o"/>
      <w:lvlJc w:val="left"/>
      <w:pPr>
        <w:ind w:left="3971" w:hanging="360"/>
      </w:pPr>
      <w:rPr>
        <w:rFonts w:ascii="Courier New" w:hAnsi="Courier New" w:cs="Courier New" w:hint="default"/>
      </w:rPr>
    </w:lvl>
    <w:lvl w:ilvl="5" w:tplc="0C090005" w:tentative="1">
      <w:start w:val="1"/>
      <w:numFmt w:val="bullet"/>
      <w:lvlText w:val=""/>
      <w:lvlJc w:val="left"/>
      <w:pPr>
        <w:ind w:left="4691" w:hanging="360"/>
      </w:pPr>
      <w:rPr>
        <w:rFonts w:ascii="Wingdings" w:hAnsi="Wingdings" w:hint="default"/>
      </w:rPr>
    </w:lvl>
    <w:lvl w:ilvl="6" w:tplc="0C090001" w:tentative="1">
      <w:start w:val="1"/>
      <w:numFmt w:val="bullet"/>
      <w:lvlText w:val=""/>
      <w:lvlJc w:val="left"/>
      <w:pPr>
        <w:ind w:left="5411" w:hanging="360"/>
      </w:pPr>
      <w:rPr>
        <w:rFonts w:ascii="Symbol" w:hAnsi="Symbol" w:hint="default"/>
      </w:rPr>
    </w:lvl>
    <w:lvl w:ilvl="7" w:tplc="0C090003" w:tentative="1">
      <w:start w:val="1"/>
      <w:numFmt w:val="bullet"/>
      <w:lvlText w:val="o"/>
      <w:lvlJc w:val="left"/>
      <w:pPr>
        <w:ind w:left="6131" w:hanging="360"/>
      </w:pPr>
      <w:rPr>
        <w:rFonts w:ascii="Courier New" w:hAnsi="Courier New" w:cs="Courier New" w:hint="default"/>
      </w:rPr>
    </w:lvl>
    <w:lvl w:ilvl="8" w:tplc="0C090005" w:tentative="1">
      <w:start w:val="1"/>
      <w:numFmt w:val="bullet"/>
      <w:lvlText w:val=""/>
      <w:lvlJc w:val="left"/>
      <w:pPr>
        <w:ind w:left="6851"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8"/>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9"/>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3A22"/>
    <w:rsid w:val="00014C3F"/>
    <w:rsid w:val="000166CC"/>
    <w:rsid w:val="00017C82"/>
    <w:rsid w:val="00032B88"/>
    <w:rsid w:val="00046DF5"/>
    <w:rsid w:val="00051EFC"/>
    <w:rsid w:val="00052060"/>
    <w:rsid w:val="0005574A"/>
    <w:rsid w:val="00055FE1"/>
    <w:rsid w:val="00056EC2"/>
    <w:rsid w:val="00060B48"/>
    <w:rsid w:val="00067807"/>
    <w:rsid w:val="00067F32"/>
    <w:rsid w:val="00071807"/>
    <w:rsid w:val="000803E1"/>
    <w:rsid w:val="00084513"/>
    <w:rsid w:val="00084859"/>
    <w:rsid w:val="00092D94"/>
    <w:rsid w:val="00097E9D"/>
    <w:rsid w:val="000A2110"/>
    <w:rsid w:val="000B0868"/>
    <w:rsid w:val="000B3E12"/>
    <w:rsid w:val="000B3E78"/>
    <w:rsid w:val="000B7B48"/>
    <w:rsid w:val="000C096D"/>
    <w:rsid w:val="000C139A"/>
    <w:rsid w:val="000C2053"/>
    <w:rsid w:val="000C248C"/>
    <w:rsid w:val="000D291C"/>
    <w:rsid w:val="000D6381"/>
    <w:rsid w:val="000E5A54"/>
    <w:rsid w:val="000E63D3"/>
    <w:rsid w:val="000E67CF"/>
    <w:rsid w:val="0010461E"/>
    <w:rsid w:val="00106FAA"/>
    <w:rsid w:val="00113443"/>
    <w:rsid w:val="001269A7"/>
    <w:rsid w:val="00131092"/>
    <w:rsid w:val="00140E6A"/>
    <w:rsid w:val="00146545"/>
    <w:rsid w:val="00146B75"/>
    <w:rsid w:val="0015266D"/>
    <w:rsid w:val="0015288A"/>
    <w:rsid w:val="001571EB"/>
    <w:rsid w:val="00160F47"/>
    <w:rsid w:val="00177CA1"/>
    <w:rsid w:val="00183823"/>
    <w:rsid w:val="00183942"/>
    <w:rsid w:val="001A009E"/>
    <w:rsid w:val="001A1287"/>
    <w:rsid w:val="001A3859"/>
    <w:rsid w:val="001A3C9D"/>
    <w:rsid w:val="001A43F8"/>
    <w:rsid w:val="001B79E5"/>
    <w:rsid w:val="001C2D1B"/>
    <w:rsid w:val="001C6704"/>
    <w:rsid w:val="001D56E2"/>
    <w:rsid w:val="001D56F0"/>
    <w:rsid w:val="001D6211"/>
    <w:rsid w:val="001D663B"/>
    <w:rsid w:val="001D7B41"/>
    <w:rsid w:val="001E46DA"/>
    <w:rsid w:val="001E7D80"/>
    <w:rsid w:val="001F4B6C"/>
    <w:rsid w:val="001F62CB"/>
    <w:rsid w:val="001F6ED0"/>
    <w:rsid w:val="001F72E6"/>
    <w:rsid w:val="001F73C5"/>
    <w:rsid w:val="002046A6"/>
    <w:rsid w:val="00204956"/>
    <w:rsid w:val="0021005D"/>
    <w:rsid w:val="00213640"/>
    <w:rsid w:val="00221547"/>
    <w:rsid w:val="002216FC"/>
    <w:rsid w:val="00222533"/>
    <w:rsid w:val="00222F30"/>
    <w:rsid w:val="00224EE2"/>
    <w:rsid w:val="00227EC7"/>
    <w:rsid w:val="002344EA"/>
    <w:rsid w:val="00244AD1"/>
    <w:rsid w:val="002463BC"/>
    <w:rsid w:val="002465CE"/>
    <w:rsid w:val="0025734A"/>
    <w:rsid w:val="00263255"/>
    <w:rsid w:val="00276494"/>
    <w:rsid w:val="00276DA8"/>
    <w:rsid w:val="00277B0C"/>
    <w:rsid w:val="002B1A2C"/>
    <w:rsid w:val="002C34F2"/>
    <w:rsid w:val="002C58FF"/>
    <w:rsid w:val="002C7AFE"/>
    <w:rsid w:val="002D05D2"/>
    <w:rsid w:val="002E0D61"/>
    <w:rsid w:val="002E4C7B"/>
    <w:rsid w:val="0030740C"/>
    <w:rsid w:val="00315833"/>
    <w:rsid w:val="003215EE"/>
    <w:rsid w:val="003224BF"/>
    <w:rsid w:val="003241A8"/>
    <w:rsid w:val="003253F0"/>
    <w:rsid w:val="00327C3C"/>
    <w:rsid w:val="003337DA"/>
    <w:rsid w:val="00334EFB"/>
    <w:rsid w:val="00335CDE"/>
    <w:rsid w:val="003365A5"/>
    <w:rsid w:val="00347192"/>
    <w:rsid w:val="0034744C"/>
    <w:rsid w:val="003474F1"/>
    <w:rsid w:val="00351FE0"/>
    <w:rsid w:val="00352615"/>
    <w:rsid w:val="0035412B"/>
    <w:rsid w:val="0035606E"/>
    <w:rsid w:val="003567A8"/>
    <w:rsid w:val="00360EBF"/>
    <w:rsid w:val="00362895"/>
    <w:rsid w:val="00370DBF"/>
    <w:rsid w:val="00374AA8"/>
    <w:rsid w:val="00386093"/>
    <w:rsid w:val="003904A4"/>
    <w:rsid w:val="00391841"/>
    <w:rsid w:val="00391B6D"/>
    <w:rsid w:val="00394922"/>
    <w:rsid w:val="003A0E32"/>
    <w:rsid w:val="003A2B94"/>
    <w:rsid w:val="003B20FA"/>
    <w:rsid w:val="003B387D"/>
    <w:rsid w:val="003B6030"/>
    <w:rsid w:val="003C0D58"/>
    <w:rsid w:val="003C2D40"/>
    <w:rsid w:val="003D4FA3"/>
    <w:rsid w:val="003E0807"/>
    <w:rsid w:val="003E47A9"/>
    <w:rsid w:val="003E51FB"/>
    <w:rsid w:val="003E6B39"/>
    <w:rsid w:val="003F07E1"/>
    <w:rsid w:val="004030BC"/>
    <w:rsid w:val="00403F7D"/>
    <w:rsid w:val="00406785"/>
    <w:rsid w:val="004079B4"/>
    <w:rsid w:val="00417A56"/>
    <w:rsid w:val="00420957"/>
    <w:rsid w:val="00422A10"/>
    <w:rsid w:val="00430179"/>
    <w:rsid w:val="004414B5"/>
    <w:rsid w:val="00444482"/>
    <w:rsid w:val="00444B42"/>
    <w:rsid w:val="00445AA5"/>
    <w:rsid w:val="00445E44"/>
    <w:rsid w:val="004509E2"/>
    <w:rsid w:val="004515EE"/>
    <w:rsid w:val="004529F0"/>
    <w:rsid w:val="00460A03"/>
    <w:rsid w:val="00472A11"/>
    <w:rsid w:val="00472AAD"/>
    <w:rsid w:val="0047497C"/>
    <w:rsid w:val="00474E33"/>
    <w:rsid w:val="00476803"/>
    <w:rsid w:val="00485BFD"/>
    <w:rsid w:val="004867A2"/>
    <w:rsid w:val="004873F2"/>
    <w:rsid w:val="00490D4C"/>
    <w:rsid w:val="00493A35"/>
    <w:rsid w:val="0049527A"/>
    <w:rsid w:val="004966BF"/>
    <w:rsid w:val="00497984"/>
    <w:rsid w:val="004A4A29"/>
    <w:rsid w:val="004A5088"/>
    <w:rsid w:val="004C1E3F"/>
    <w:rsid w:val="004C23F4"/>
    <w:rsid w:val="004C3475"/>
    <w:rsid w:val="004C58B6"/>
    <w:rsid w:val="004D16A3"/>
    <w:rsid w:val="004D4AA1"/>
    <w:rsid w:val="004D6D68"/>
    <w:rsid w:val="004E5EDD"/>
    <w:rsid w:val="004F448A"/>
    <w:rsid w:val="004F493D"/>
    <w:rsid w:val="004F4EAE"/>
    <w:rsid w:val="004F65E8"/>
    <w:rsid w:val="0050005E"/>
    <w:rsid w:val="00502B88"/>
    <w:rsid w:val="005142C4"/>
    <w:rsid w:val="0051509C"/>
    <w:rsid w:val="005272E2"/>
    <w:rsid w:val="0053108F"/>
    <w:rsid w:val="00532B56"/>
    <w:rsid w:val="00534B10"/>
    <w:rsid w:val="00540E7E"/>
    <w:rsid w:val="005446A2"/>
    <w:rsid w:val="00544D2F"/>
    <w:rsid w:val="00551BD8"/>
    <w:rsid w:val="00581055"/>
    <w:rsid w:val="00591E38"/>
    <w:rsid w:val="005A19C5"/>
    <w:rsid w:val="005A3034"/>
    <w:rsid w:val="005A462D"/>
    <w:rsid w:val="005B222B"/>
    <w:rsid w:val="005B253B"/>
    <w:rsid w:val="005B771D"/>
    <w:rsid w:val="005C5D16"/>
    <w:rsid w:val="005D3193"/>
    <w:rsid w:val="005D4A6E"/>
    <w:rsid w:val="005E6979"/>
    <w:rsid w:val="005E75CB"/>
    <w:rsid w:val="006013C1"/>
    <w:rsid w:val="0060669E"/>
    <w:rsid w:val="00610F2E"/>
    <w:rsid w:val="00611399"/>
    <w:rsid w:val="006169A9"/>
    <w:rsid w:val="00624C4E"/>
    <w:rsid w:val="00625200"/>
    <w:rsid w:val="00632D42"/>
    <w:rsid w:val="006363A8"/>
    <w:rsid w:val="00636DB7"/>
    <w:rsid w:val="00650905"/>
    <w:rsid w:val="006532ED"/>
    <w:rsid w:val="006549F2"/>
    <w:rsid w:val="006567B7"/>
    <w:rsid w:val="00657BFB"/>
    <w:rsid w:val="0066333C"/>
    <w:rsid w:val="006639B4"/>
    <w:rsid w:val="006650FE"/>
    <w:rsid w:val="0067305D"/>
    <w:rsid w:val="00677D9B"/>
    <w:rsid w:val="006867F3"/>
    <w:rsid w:val="00687890"/>
    <w:rsid w:val="006901A2"/>
    <w:rsid w:val="00690368"/>
    <w:rsid w:val="0069079C"/>
    <w:rsid w:val="00690B53"/>
    <w:rsid w:val="0069446C"/>
    <w:rsid w:val="00695B72"/>
    <w:rsid w:val="006B160A"/>
    <w:rsid w:val="006B1E94"/>
    <w:rsid w:val="006B4E6C"/>
    <w:rsid w:val="006B50B6"/>
    <w:rsid w:val="006D79EA"/>
    <w:rsid w:val="006E5D05"/>
    <w:rsid w:val="006F0300"/>
    <w:rsid w:val="006F6851"/>
    <w:rsid w:val="00701053"/>
    <w:rsid w:val="00701507"/>
    <w:rsid w:val="00702571"/>
    <w:rsid w:val="00703E23"/>
    <w:rsid w:val="00714021"/>
    <w:rsid w:val="00716A0F"/>
    <w:rsid w:val="00717D45"/>
    <w:rsid w:val="007208F7"/>
    <w:rsid w:val="007218AF"/>
    <w:rsid w:val="00733FDB"/>
    <w:rsid w:val="007365D1"/>
    <w:rsid w:val="00740E0E"/>
    <w:rsid w:val="00744DED"/>
    <w:rsid w:val="00750212"/>
    <w:rsid w:val="00754779"/>
    <w:rsid w:val="0075716D"/>
    <w:rsid w:val="00765F14"/>
    <w:rsid w:val="00770E31"/>
    <w:rsid w:val="00776D13"/>
    <w:rsid w:val="007770F1"/>
    <w:rsid w:val="00783FB1"/>
    <w:rsid w:val="00785CDD"/>
    <w:rsid w:val="00791847"/>
    <w:rsid w:val="007925F0"/>
    <w:rsid w:val="007939B3"/>
    <w:rsid w:val="0079509C"/>
    <w:rsid w:val="00796708"/>
    <w:rsid w:val="007A3800"/>
    <w:rsid w:val="007A41EF"/>
    <w:rsid w:val="007B1B42"/>
    <w:rsid w:val="007C30EB"/>
    <w:rsid w:val="007D6F06"/>
    <w:rsid w:val="007E063C"/>
    <w:rsid w:val="007E2A4B"/>
    <w:rsid w:val="007E307D"/>
    <w:rsid w:val="007E6A4E"/>
    <w:rsid w:val="007E6C94"/>
    <w:rsid w:val="007F1005"/>
    <w:rsid w:val="007F25E0"/>
    <w:rsid w:val="007F5328"/>
    <w:rsid w:val="00803120"/>
    <w:rsid w:val="00804F5A"/>
    <w:rsid w:val="00810C6D"/>
    <w:rsid w:val="00812887"/>
    <w:rsid w:val="00826F21"/>
    <w:rsid w:val="008309D1"/>
    <w:rsid w:val="00833A10"/>
    <w:rsid w:val="00834CC8"/>
    <w:rsid w:val="00835E00"/>
    <w:rsid w:val="00837113"/>
    <w:rsid w:val="008414E4"/>
    <w:rsid w:val="00843E21"/>
    <w:rsid w:val="0084508E"/>
    <w:rsid w:val="00857A8A"/>
    <w:rsid w:val="008630EE"/>
    <w:rsid w:val="00864D13"/>
    <w:rsid w:val="00871CD5"/>
    <w:rsid w:val="008745A2"/>
    <w:rsid w:val="008768A8"/>
    <w:rsid w:val="008809EF"/>
    <w:rsid w:val="008867F3"/>
    <w:rsid w:val="0088798F"/>
    <w:rsid w:val="00887E4B"/>
    <w:rsid w:val="008915C8"/>
    <w:rsid w:val="008A36CF"/>
    <w:rsid w:val="008A3BC4"/>
    <w:rsid w:val="008B403C"/>
    <w:rsid w:val="008B7983"/>
    <w:rsid w:val="008C2511"/>
    <w:rsid w:val="008C3F7E"/>
    <w:rsid w:val="008D026D"/>
    <w:rsid w:val="008D23AB"/>
    <w:rsid w:val="008D4B8B"/>
    <w:rsid w:val="008D5A78"/>
    <w:rsid w:val="008E7B64"/>
    <w:rsid w:val="008F5DCD"/>
    <w:rsid w:val="00900951"/>
    <w:rsid w:val="009118A6"/>
    <w:rsid w:val="00916909"/>
    <w:rsid w:val="00916EC0"/>
    <w:rsid w:val="009179B0"/>
    <w:rsid w:val="00920467"/>
    <w:rsid w:val="00921DE7"/>
    <w:rsid w:val="0093041A"/>
    <w:rsid w:val="00930714"/>
    <w:rsid w:val="00931B03"/>
    <w:rsid w:val="009323B9"/>
    <w:rsid w:val="00932DCE"/>
    <w:rsid w:val="0093327E"/>
    <w:rsid w:val="00934028"/>
    <w:rsid w:val="0093760E"/>
    <w:rsid w:val="00944D52"/>
    <w:rsid w:val="00946044"/>
    <w:rsid w:val="0094660B"/>
    <w:rsid w:val="00946A33"/>
    <w:rsid w:val="00951E52"/>
    <w:rsid w:val="0095260E"/>
    <w:rsid w:val="009578DD"/>
    <w:rsid w:val="00961124"/>
    <w:rsid w:val="009621B6"/>
    <w:rsid w:val="00974F2D"/>
    <w:rsid w:val="00977524"/>
    <w:rsid w:val="00977E88"/>
    <w:rsid w:val="00984920"/>
    <w:rsid w:val="0099102B"/>
    <w:rsid w:val="0099303A"/>
    <w:rsid w:val="009971C2"/>
    <w:rsid w:val="009A1254"/>
    <w:rsid w:val="009B1675"/>
    <w:rsid w:val="009B16F4"/>
    <w:rsid w:val="009B2FF2"/>
    <w:rsid w:val="009B380C"/>
    <w:rsid w:val="009B4843"/>
    <w:rsid w:val="009B6543"/>
    <w:rsid w:val="009C199D"/>
    <w:rsid w:val="009C278F"/>
    <w:rsid w:val="009C2B94"/>
    <w:rsid w:val="009C5874"/>
    <w:rsid w:val="009D3B5A"/>
    <w:rsid w:val="009E0C05"/>
    <w:rsid w:val="009E0D1C"/>
    <w:rsid w:val="009E2214"/>
    <w:rsid w:val="009E2F2B"/>
    <w:rsid w:val="009E355A"/>
    <w:rsid w:val="009E63E2"/>
    <w:rsid w:val="009F04D2"/>
    <w:rsid w:val="009F05CF"/>
    <w:rsid w:val="009F0F3A"/>
    <w:rsid w:val="00A01D0C"/>
    <w:rsid w:val="00A03BB2"/>
    <w:rsid w:val="00A0643F"/>
    <w:rsid w:val="00A067EE"/>
    <w:rsid w:val="00A10FCE"/>
    <w:rsid w:val="00A16D91"/>
    <w:rsid w:val="00A174CC"/>
    <w:rsid w:val="00A2073D"/>
    <w:rsid w:val="00A20751"/>
    <w:rsid w:val="00A27E2D"/>
    <w:rsid w:val="00A30BFF"/>
    <w:rsid w:val="00A31D99"/>
    <w:rsid w:val="00A357BA"/>
    <w:rsid w:val="00A35ADC"/>
    <w:rsid w:val="00A402A3"/>
    <w:rsid w:val="00A419AF"/>
    <w:rsid w:val="00A53681"/>
    <w:rsid w:val="00A54BC8"/>
    <w:rsid w:val="00A633D4"/>
    <w:rsid w:val="00A6461A"/>
    <w:rsid w:val="00A71728"/>
    <w:rsid w:val="00A84504"/>
    <w:rsid w:val="00A85604"/>
    <w:rsid w:val="00A8672F"/>
    <w:rsid w:val="00A93057"/>
    <w:rsid w:val="00A968B0"/>
    <w:rsid w:val="00AB2672"/>
    <w:rsid w:val="00AB2817"/>
    <w:rsid w:val="00AB43C4"/>
    <w:rsid w:val="00AC32E7"/>
    <w:rsid w:val="00AC3A9F"/>
    <w:rsid w:val="00AC6D2F"/>
    <w:rsid w:val="00AD7CCB"/>
    <w:rsid w:val="00AE2745"/>
    <w:rsid w:val="00AE2F64"/>
    <w:rsid w:val="00AF42CB"/>
    <w:rsid w:val="00AF483F"/>
    <w:rsid w:val="00AF5E07"/>
    <w:rsid w:val="00AF5F06"/>
    <w:rsid w:val="00B00A25"/>
    <w:rsid w:val="00B11199"/>
    <w:rsid w:val="00B1422A"/>
    <w:rsid w:val="00B1765C"/>
    <w:rsid w:val="00B213C4"/>
    <w:rsid w:val="00B40C60"/>
    <w:rsid w:val="00B419DF"/>
    <w:rsid w:val="00B479A9"/>
    <w:rsid w:val="00B52EDF"/>
    <w:rsid w:val="00B71188"/>
    <w:rsid w:val="00B76A41"/>
    <w:rsid w:val="00B87D4C"/>
    <w:rsid w:val="00B93646"/>
    <w:rsid w:val="00BA0B38"/>
    <w:rsid w:val="00BA1DBB"/>
    <w:rsid w:val="00BA3CC6"/>
    <w:rsid w:val="00BA4510"/>
    <w:rsid w:val="00BA529A"/>
    <w:rsid w:val="00BB612A"/>
    <w:rsid w:val="00BD499F"/>
    <w:rsid w:val="00BD56DE"/>
    <w:rsid w:val="00BF2406"/>
    <w:rsid w:val="00C06E43"/>
    <w:rsid w:val="00C16315"/>
    <w:rsid w:val="00C25125"/>
    <w:rsid w:val="00C3091E"/>
    <w:rsid w:val="00C31FB8"/>
    <w:rsid w:val="00C40FF1"/>
    <w:rsid w:val="00C419E2"/>
    <w:rsid w:val="00C46412"/>
    <w:rsid w:val="00C5020E"/>
    <w:rsid w:val="00C51B3C"/>
    <w:rsid w:val="00C57452"/>
    <w:rsid w:val="00C61EDF"/>
    <w:rsid w:val="00C6239D"/>
    <w:rsid w:val="00C6594B"/>
    <w:rsid w:val="00C6642D"/>
    <w:rsid w:val="00C67FFB"/>
    <w:rsid w:val="00C7155E"/>
    <w:rsid w:val="00C71D1E"/>
    <w:rsid w:val="00C71D7D"/>
    <w:rsid w:val="00C74833"/>
    <w:rsid w:val="00C850A0"/>
    <w:rsid w:val="00C85A86"/>
    <w:rsid w:val="00C978F0"/>
    <w:rsid w:val="00CA58FE"/>
    <w:rsid w:val="00CB1CB1"/>
    <w:rsid w:val="00CB6BC1"/>
    <w:rsid w:val="00CB6CB8"/>
    <w:rsid w:val="00CC1A68"/>
    <w:rsid w:val="00CC2123"/>
    <w:rsid w:val="00CC71C7"/>
    <w:rsid w:val="00CD2BFD"/>
    <w:rsid w:val="00CD6494"/>
    <w:rsid w:val="00CE5AD6"/>
    <w:rsid w:val="00CE617F"/>
    <w:rsid w:val="00CE78EF"/>
    <w:rsid w:val="00CF2E41"/>
    <w:rsid w:val="00CF3940"/>
    <w:rsid w:val="00CF7A8E"/>
    <w:rsid w:val="00D0433A"/>
    <w:rsid w:val="00D048F7"/>
    <w:rsid w:val="00D0517E"/>
    <w:rsid w:val="00D102C7"/>
    <w:rsid w:val="00D12B51"/>
    <w:rsid w:val="00D140FC"/>
    <w:rsid w:val="00D15EDE"/>
    <w:rsid w:val="00D21D8C"/>
    <w:rsid w:val="00D31357"/>
    <w:rsid w:val="00D33220"/>
    <w:rsid w:val="00D334D1"/>
    <w:rsid w:val="00D33E29"/>
    <w:rsid w:val="00D44C89"/>
    <w:rsid w:val="00D47E6B"/>
    <w:rsid w:val="00D516CD"/>
    <w:rsid w:val="00D668E6"/>
    <w:rsid w:val="00D70670"/>
    <w:rsid w:val="00D71516"/>
    <w:rsid w:val="00D74D80"/>
    <w:rsid w:val="00D76624"/>
    <w:rsid w:val="00D85A64"/>
    <w:rsid w:val="00D87570"/>
    <w:rsid w:val="00D91CB9"/>
    <w:rsid w:val="00D97989"/>
    <w:rsid w:val="00D97D8D"/>
    <w:rsid w:val="00DA352E"/>
    <w:rsid w:val="00DC2DA4"/>
    <w:rsid w:val="00DC7694"/>
    <w:rsid w:val="00DD1BF6"/>
    <w:rsid w:val="00DD2F9B"/>
    <w:rsid w:val="00DE2513"/>
    <w:rsid w:val="00DE26E8"/>
    <w:rsid w:val="00DE413A"/>
    <w:rsid w:val="00DF1694"/>
    <w:rsid w:val="00DF6BE1"/>
    <w:rsid w:val="00DF6F36"/>
    <w:rsid w:val="00E0084C"/>
    <w:rsid w:val="00E025AB"/>
    <w:rsid w:val="00E02B23"/>
    <w:rsid w:val="00E06F40"/>
    <w:rsid w:val="00E07CE8"/>
    <w:rsid w:val="00E20201"/>
    <w:rsid w:val="00E26A07"/>
    <w:rsid w:val="00E32595"/>
    <w:rsid w:val="00E34B4C"/>
    <w:rsid w:val="00E37CFD"/>
    <w:rsid w:val="00E41A26"/>
    <w:rsid w:val="00E46BCB"/>
    <w:rsid w:val="00E51CAF"/>
    <w:rsid w:val="00E60F04"/>
    <w:rsid w:val="00E62AAC"/>
    <w:rsid w:val="00E67C2F"/>
    <w:rsid w:val="00E67EF5"/>
    <w:rsid w:val="00E73DD5"/>
    <w:rsid w:val="00E74447"/>
    <w:rsid w:val="00E804EA"/>
    <w:rsid w:val="00E80A71"/>
    <w:rsid w:val="00E82337"/>
    <w:rsid w:val="00E869E4"/>
    <w:rsid w:val="00E92499"/>
    <w:rsid w:val="00E949AF"/>
    <w:rsid w:val="00E96077"/>
    <w:rsid w:val="00EA0A06"/>
    <w:rsid w:val="00EA6243"/>
    <w:rsid w:val="00EA65C7"/>
    <w:rsid w:val="00EA74AB"/>
    <w:rsid w:val="00EB3D1B"/>
    <w:rsid w:val="00EB70A7"/>
    <w:rsid w:val="00EC3C77"/>
    <w:rsid w:val="00ED1D89"/>
    <w:rsid w:val="00ED66BC"/>
    <w:rsid w:val="00EF233A"/>
    <w:rsid w:val="00EF2368"/>
    <w:rsid w:val="00EF303E"/>
    <w:rsid w:val="00EF3A40"/>
    <w:rsid w:val="00EF7F78"/>
    <w:rsid w:val="00F01B08"/>
    <w:rsid w:val="00F01C4D"/>
    <w:rsid w:val="00F053FA"/>
    <w:rsid w:val="00F06D46"/>
    <w:rsid w:val="00F10C97"/>
    <w:rsid w:val="00F11C71"/>
    <w:rsid w:val="00F16019"/>
    <w:rsid w:val="00F20E68"/>
    <w:rsid w:val="00F22093"/>
    <w:rsid w:val="00F236DF"/>
    <w:rsid w:val="00F26E75"/>
    <w:rsid w:val="00F43AD5"/>
    <w:rsid w:val="00F4402E"/>
    <w:rsid w:val="00F56DD0"/>
    <w:rsid w:val="00F6491C"/>
    <w:rsid w:val="00F67BBB"/>
    <w:rsid w:val="00F87D92"/>
    <w:rsid w:val="00F90AA7"/>
    <w:rsid w:val="00F91458"/>
    <w:rsid w:val="00F92498"/>
    <w:rsid w:val="00F93E6F"/>
    <w:rsid w:val="00F9496B"/>
    <w:rsid w:val="00F970C9"/>
    <w:rsid w:val="00FA06A8"/>
    <w:rsid w:val="00FA3DF5"/>
    <w:rsid w:val="00FA741F"/>
    <w:rsid w:val="00FB4E07"/>
    <w:rsid w:val="00FB755A"/>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14:docId w14:val="090CACBD"/>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character" w:styleId="CommentReference">
    <w:name w:val="annotation reference"/>
    <w:basedOn w:val="DefaultParagraphFont"/>
    <w:uiPriority w:val="99"/>
    <w:semiHidden/>
    <w:unhideWhenUsed/>
    <w:rsid w:val="00C31FB8"/>
    <w:rPr>
      <w:sz w:val="16"/>
      <w:szCs w:val="16"/>
    </w:rPr>
  </w:style>
  <w:style w:type="paragraph" w:styleId="CommentText">
    <w:name w:val="annotation text"/>
    <w:basedOn w:val="Normal"/>
    <w:link w:val="CommentTextChar"/>
    <w:uiPriority w:val="99"/>
    <w:semiHidden/>
    <w:unhideWhenUsed/>
    <w:rsid w:val="00C31FB8"/>
    <w:pPr>
      <w:spacing w:line="240" w:lineRule="auto"/>
    </w:pPr>
    <w:rPr>
      <w:szCs w:val="20"/>
    </w:rPr>
  </w:style>
  <w:style w:type="character" w:customStyle="1" w:styleId="CommentTextChar">
    <w:name w:val="Comment Text Char"/>
    <w:basedOn w:val="DefaultParagraphFont"/>
    <w:link w:val="CommentText"/>
    <w:uiPriority w:val="99"/>
    <w:semiHidden/>
    <w:rsid w:val="00C31FB8"/>
    <w:rPr>
      <w:szCs w:val="20"/>
    </w:rPr>
  </w:style>
  <w:style w:type="paragraph" w:styleId="CommentSubject">
    <w:name w:val="annotation subject"/>
    <w:basedOn w:val="CommentText"/>
    <w:next w:val="CommentText"/>
    <w:link w:val="CommentSubjectChar"/>
    <w:uiPriority w:val="99"/>
    <w:semiHidden/>
    <w:unhideWhenUsed/>
    <w:rsid w:val="00C31FB8"/>
    <w:rPr>
      <w:b/>
      <w:bCs/>
    </w:rPr>
  </w:style>
  <w:style w:type="character" w:customStyle="1" w:styleId="CommentSubjectChar">
    <w:name w:val="Comment Subject Char"/>
    <w:basedOn w:val="CommentTextChar"/>
    <w:link w:val="CommentSubject"/>
    <w:uiPriority w:val="99"/>
    <w:semiHidden/>
    <w:rsid w:val="00C31FB8"/>
    <w:rPr>
      <w:b/>
      <w:bCs/>
      <w:szCs w:val="20"/>
    </w:rPr>
  </w:style>
  <w:style w:type="paragraph" w:styleId="ListBullet">
    <w:name w:val="List Bullet"/>
    <w:basedOn w:val="Normal"/>
    <w:uiPriority w:val="99"/>
    <w:unhideWhenUsed/>
    <w:rsid w:val="001D6211"/>
    <w:pPr>
      <w:numPr>
        <w:numId w:val="3"/>
      </w:numPr>
      <w:contextualSpacing/>
    </w:pPr>
  </w:style>
  <w:style w:type="table" w:styleId="LightShading-Accent2">
    <w:name w:val="Light Shading Accent 2"/>
    <w:aliases w:val="SWA Table Style"/>
    <w:basedOn w:val="TableNormal"/>
    <w:uiPriority w:val="60"/>
    <w:rsid w:val="001D56E2"/>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64653">
      <w:bodyDiv w:val="1"/>
      <w:marLeft w:val="0"/>
      <w:marRight w:val="0"/>
      <w:marTop w:val="0"/>
      <w:marBottom w:val="0"/>
      <w:divBdr>
        <w:top w:val="none" w:sz="0" w:space="0" w:color="auto"/>
        <w:left w:val="none" w:sz="0" w:space="0" w:color="auto"/>
        <w:bottom w:val="none" w:sz="0" w:space="0" w:color="auto"/>
        <w:right w:val="none" w:sz="0" w:space="0" w:color="auto"/>
      </w:divBdr>
    </w:div>
    <w:div w:id="18835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8DD754E365844A4E82EC69A07E229629"/>
        <w:category>
          <w:name w:val="General"/>
          <w:gallery w:val="placeholder"/>
        </w:category>
        <w:types>
          <w:type w:val="bbPlcHdr"/>
        </w:types>
        <w:behaviors>
          <w:behavior w:val="content"/>
        </w:behaviors>
        <w:guid w:val="{9F4DDB53-9FC4-45A7-A37C-FDECC7AE23CB}"/>
      </w:docPartPr>
      <w:docPartBody>
        <w:p w:rsidR="00D21A9F" w:rsidRDefault="00D21A9F">
          <w:pPr>
            <w:pStyle w:val="8DD754E365844A4E82EC69A07E229629"/>
          </w:pPr>
          <w:r w:rsidRPr="00724F1C">
            <w:rPr>
              <w:rStyle w:val="PlaceholderText"/>
            </w:rPr>
            <w:t>Choose an item.</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CC96E8CFB35445F7B98574D62F848316"/>
        <w:category>
          <w:name w:val="General"/>
          <w:gallery w:val="placeholder"/>
        </w:category>
        <w:types>
          <w:type w:val="bbPlcHdr"/>
        </w:types>
        <w:behaviors>
          <w:behavior w:val="content"/>
        </w:behaviors>
        <w:guid w:val="{11439DF5-6E93-475B-AC7E-D7E1C74E2052}"/>
      </w:docPartPr>
      <w:docPartBody>
        <w:p w:rsidR="00D21A9F" w:rsidRDefault="00D21A9F">
          <w:pPr>
            <w:pStyle w:val="CC96E8CFB35445F7B98574D62F848316"/>
          </w:pPr>
          <w:r w:rsidRPr="00724F1C">
            <w:rPr>
              <w:rStyle w:val="PlaceholderText"/>
            </w:rPr>
            <w:t>Choose an item.</w:t>
          </w:r>
        </w:p>
      </w:docPartBody>
    </w:docPart>
    <w:docPart>
      <w:docPartPr>
        <w:name w:val="0599BE4318CD4CC0836196E577CC2921"/>
        <w:category>
          <w:name w:val="General"/>
          <w:gallery w:val="placeholder"/>
        </w:category>
        <w:types>
          <w:type w:val="bbPlcHdr"/>
        </w:types>
        <w:behaviors>
          <w:behavior w:val="content"/>
        </w:behaviors>
        <w:guid w:val="{CEFA569F-48FE-4FF8-8C03-2D2A8FB34A20}"/>
      </w:docPartPr>
      <w:docPartBody>
        <w:p w:rsidR="00D21A9F" w:rsidRDefault="00D21A9F">
          <w:pPr>
            <w:pStyle w:val="0599BE4318CD4CC0836196E577CC2921"/>
          </w:pPr>
          <w:r w:rsidRPr="00724F1C">
            <w:rPr>
              <w:rStyle w:val="PlaceholderText"/>
            </w:rPr>
            <w:t>Choose an item.</w:t>
          </w:r>
        </w:p>
      </w:docPartBody>
    </w:docPart>
    <w:docPart>
      <w:docPartPr>
        <w:name w:val="320A77D155374054996F168A20882C28"/>
        <w:category>
          <w:name w:val="General"/>
          <w:gallery w:val="placeholder"/>
        </w:category>
        <w:types>
          <w:type w:val="bbPlcHdr"/>
        </w:types>
        <w:behaviors>
          <w:behavior w:val="content"/>
        </w:behaviors>
        <w:guid w:val="{F4DC0181-19B2-490D-83F0-D85D1689E2A9}"/>
      </w:docPartPr>
      <w:docPartBody>
        <w:p w:rsidR="00D21A9F" w:rsidRDefault="00D21A9F">
          <w:pPr>
            <w:pStyle w:val="320A77D155374054996F168A20882C28"/>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699021580F0D46F2A7E8CD458960A01B"/>
        <w:category>
          <w:name w:val="General"/>
          <w:gallery w:val="placeholder"/>
        </w:category>
        <w:types>
          <w:type w:val="bbPlcHdr"/>
        </w:types>
        <w:behaviors>
          <w:behavior w:val="content"/>
        </w:behaviors>
        <w:guid w:val="{9538FB0E-2BA7-4804-8625-25D684C72568}"/>
      </w:docPartPr>
      <w:docPartBody>
        <w:p w:rsidR="00DC36B0" w:rsidRDefault="00DC36B0" w:rsidP="00DC36B0">
          <w:pPr>
            <w:pStyle w:val="699021580F0D46F2A7E8CD458960A01B"/>
          </w:pPr>
          <w:r w:rsidRPr="00262278">
            <w:rPr>
              <w:color w:val="00B050"/>
            </w:rPr>
            <w:t>1994</w:t>
          </w:r>
        </w:p>
      </w:docPartBody>
    </w:docPart>
    <w:docPart>
      <w:docPartPr>
        <w:name w:val="1F17D683F3DA41E9848DCF131ED90F60"/>
        <w:category>
          <w:name w:val="General"/>
          <w:gallery w:val="placeholder"/>
        </w:category>
        <w:types>
          <w:type w:val="bbPlcHdr"/>
        </w:types>
        <w:behaviors>
          <w:behavior w:val="content"/>
        </w:behaviors>
        <w:guid w:val="{CF8AAF6E-3867-423A-BEAE-6C88C3CD6122}"/>
      </w:docPartPr>
      <w:docPartBody>
        <w:p w:rsidR="00DC36B0" w:rsidRDefault="00DC36B0" w:rsidP="00DC36B0">
          <w:pPr>
            <w:pStyle w:val="1F17D683F3DA41E9848DCF131ED90F60"/>
          </w:pPr>
          <w:r>
            <w:rPr>
              <w:color w:val="00B050"/>
            </w:rPr>
            <w:t>tier </w:t>
          </w:r>
          <w:r w:rsidRPr="0071660C">
            <w:rPr>
              <w:color w:val="00B050"/>
            </w:rPr>
            <w:t>II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6D2C75"/>
    <w:rsid w:val="008561D5"/>
    <w:rsid w:val="00D11D9E"/>
    <w:rsid w:val="00D21A9F"/>
    <w:rsid w:val="00DC36B0"/>
    <w:rsid w:val="00F25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6B0"/>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E92A483BF61F478FBC3AEE12549BF386">
    <w:name w:val="E92A483BF61F478FBC3AEE12549BF386"/>
    <w:rsid w:val="006D2C75"/>
  </w:style>
  <w:style w:type="paragraph" w:customStyle="1" w:styleId="7B33D74AA3E1413386D5EE1942F8AE6F">
    <w:name w:val="7B33D74AA3E1413386D5EE1942F8AE6F"/>
    <w:rsid w:val="006D2C75"/>
  </w:style>
  <w:style w:type="paragraph" w:customStyle="1" w:styleId="07E0EBC6243E4A70AF6E3377975BD648">
    <w:name w:val="07E0EBC6243E4A70AF6E3377975BD648"/>
    <w:rsid w:val="006D2C75"/>
  </w:style>
  <w:style w:type="paragraph" w:customStyle="1" w:styleId="0A7545241AB846A3B969D22197A164F9">
    <w:name w:val="0A7545241AB846A3B969D22197A164F9"/>
    <w:rsid w:val="006D2C75"/>
  </w:style>
  <w:style w:type="paragraph" w:customStyle="1" w:styleId="B6DF6D8EE57240CE860F7046C9B56B27">
    <w:name w:val="B6DF6D8EE57240CE860F7046C9B56B27"/>
    <w:rsid w:val="006D2C75"/>
  </w:style>
  <w:style w:type="paragraph" w:customStyle="1" w:styleId="699021580F0D46F2A7E8CD458960A01B">
    <w:name w:val="699021580F0D46F2A7E8CD458960A01B"/>
    <w:rsid w:val="00DC36B0"/>
  </w:style>
  <w:style w:type="paragraph" w:customStyle="1" w:styleId="99A73F7B8BD84B1D9DB9998C0BA7508C">
    <w:name w:val="99A73F7B8BD84B1D9DB9998C0BA7508C"/>
    <w:rsid w:val="00DC36B0"/>
  </w:style>
  <w:style w:type="paragraph" w:customStyle="1" w:styleId="21DB22695137484AA50BAF309DD9726D">
    <w:name w:val="21DB22695137484AA50BAF309DD9726D"/>
    <w:rsid w:val="00DC36B0"/>
  </w:style>
  <w:style w:type="paragraph" w:customStyle="1" w:styleId="64762B744FBA4955B42F8459C5A01EDC">
    <w:name w:val="64762B744FBA4955B42F8459C5A01EDC"/>
    <w:rsid w:val="00DC36B0"/>
  </w:style>
  <w:style w:type="paragraph" w:customStyle="1" w:styleId="0C5FFD52B3A64C2BA0F18815E22C2ACE">
    <w:name w:val="0C5FFD52B3A64C2BA0F18815E22C2ACE"/>
    <w:rsid w:val="00DC36B0"/>
  </w:style>
  <w:style w:type="paragraph" w:customStyle="1" w:styleId="60F78BDD337A4793AC995B35706BA9D7">
    <w:name w:val="60F78BDD337A4793AC995B35706BA9D7"/>
    <w:rsid w:val="00DC36B0"/>
  </w:style>
  <w:style w:type="paragraph" w:customStyle="1" w:styleId="46FC142DD2054335BA466EEE7C28865B">
    <w:name w:val="46FC142DD2054335BA466EEE7C28865B"/>
    <w:rsid w:val="00DC36B0"/>
  </w:style>
  <w:style w:type="paragraph" w:customStyle="1" w:styleId="1F17D683F3DA41E9848DCF131ED90F60">
    <w:name w:val="1F17D683F3DA41E9848DCF131ED90F60"/>
    <w:rsid w:val="00DC3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D3B4-E5FF-44D0-A85D-1656AEB7AF7B}">
  <ds:schemaRefs>
    <ds:schemaRef ds:uri="http://purl.org/dc/elements/1.1/"/>
    <ds:schemaRef ds:uri="http://schemas.microsoft.com/office/2006/metadata/properties"/>
    <ds:schemaRef ds:uri="bf54d604-3e62-4e70-ba33-9e9084b96a6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1834DA-4C50-412D-814F-14E8E8252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4.xml><?xml version="1.0" encoding="utf-8"?>
<ds:datastoreItem xmlns:ds="http://schemas.openxmlformats.org/officeDocument/2006/customXml" ds:itemID="{E2E8BB80-8B26-46A8-A273-CC004C9F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6</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HEARD,Jonathan</cp:lastModifiedBy>
  <cp:revision>26</cp:revision>
  <cp:lastPrinted>2018-10-22T22:41:00Z</cp:lastPrinted>
  <dcterms:created xsi:type="dcterms:W3CDTF">2019-08-16T02:38:00Z</dcterms:created>
  <dcterms:modified xsi:type="dcterms:W3CDTF">2019-10-11T00:25:00Z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