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0ACFFAB" w14:textId="03F7B430" w:rsidR="00BD499F" w:rsidRPr="004C23F4" w:rsidRDefault="002755D9" w:rsidP="00B40C60">
          <w:pPr>
            <w:pStyle w:val="Heading1"/>
            <w:jc w:val="center"/>
            <w:rPr>
              <w:rFonts w:ascii="Arial" w:hAnsi="Arial" w:cs="Arial"/>
            </w:rPr>
          </w:pPr>
          <w:r w:rsidRPr="002755D9">
            <w:rPr>
              <w:rFonts w:ascii="Arial" w:hAnsi="Arial" w:cs="Arial"/>
            </w:rPr>
            <w:t>Ferbam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2"/>
        <w:gridCol w:w="5054"/>
      </w:tblGrid>
      <w:tr w:rsidR="00F43AD5" w:rsidRPr="004C23F4" w14:paraId="4E1C11F4" w14:textId="77777777" w:rsidTr="00B76A41">
        <w:trPr>
          <w:cantSplit/>
          <w:tblHeader/>
        </w:trPr>
        <w:tc>
          <w:tcPr>
            <w:tcW w:w="4077" w:type="dxa"/>
          </w:tcPr>
          <w:p w14:paraId="47D910A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D61703F" w14:textId="057D8186" w:rsidR="00F43AD5" w:rsidRPr="00717D45" w:rsidRDefault="002755D9" w:rsidP="00B76A41">
            <w:pPr>
              <w:pStyle w:val="Tablefont"/>
            </w:pPr>
            <w:bookmarkStart w:id="0" w:name="_Hlk17959534"/>
            <w:r w:rsidRPr="002755D9">
              <w:t>14484-64-1</w:t>
            </w:r>
            <w:bookmarkEnd w:id="0"/>
          </w:p>
        </w:tc>
      </w:tr>
      <w:tr w:rsidR="00F43AD5" w:rsidRPr="004C23F4" w14:paraId="0497F9FC" w14:textId="77777777" w:rsidTr="00B76A41">
        <w:trPr>
          <w:cantSplit/>
        </w:trPr>
        <w:tc>
          <w:tcPr>
            <w:tcW w:w="4077" w:type="dxa"/>
          </w:tcPr>
          <w:p w14:paraId="25E99B3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DF4D4E4" w14:textId="5E4F73E3" w:rsidR="00F43AD5" w:rsidRPr="00717D45" w:rsidRDefault="00A12DC5" w:rsidP="00B76A41">
            <w:pPr>
              <w:pStyle w:val="Tablefont"/>
            </w:pPr>
            <w:r>
              <w:t>Carbamate, ferbeck, ferric dimethylthiocarbamate</w:t>
            </w:r>
          </w:p>
        </w:tc>
      </w:tr>
      <w:tr w:rsidR="00F43AD5" w:rsidRPr="004C23F4" w14:paraId="566E9732" w14:textId="77777777" w:rsidTr="00B76A41">
        <w:trPr>
          <w:cantSplit/>
        </w:trPr>
        <w:tc>
          <w:tcPr>
            <w:tcW w:w="4077" w:type="dxa"/>
          </w:tcPr>
          <w:p w14:paraId="555DF32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0458792" w14:textId="526698CC" w:rsidR="00F43AD5" w:rsidRPr="00717D45" w:rsidRDefault="00A12DC5" w:rsidP="00B76A41">
            <w:pPr>
              <w:pStyle w:val="Tablefont"/>
            </w:pPr>
            <w:r>
              <w:t>C</w:t>
            </w:r>
            <w:r w:rsidRPr="00A12DC5">
              <w:rPr>
                <w:vertAlign w:val="subscript"/>
              </w:rPr>
              <w:t>9</w:t>
            </w:r>
            <w:r>
              <w:t>H</w:t>
            </w:r>
            <w:r w:rsidRPr="00A12DC5">
              <w:rPr>
                <w:vertAlign w:val="subscript"/>
              </w:rPr>
              <w:t>18</w:t>
            </w:r>
            <w:r>
              <w:t>FeN</w:t>
            </w:r>
            <w:r w:rsidRPr="00A12DC5">
              <w:rPr>
                <w:vertAlign w:val="subscript"/>
              </w:rPr>
              <w:t>3</w:t>
            </w:r>
            <w:r>
              <w:t>S</w:t>
            </w:r>
            <w:r w:rsidRPr="00A12DC5">
              <w:rPr>
                <w:vertAlign w:val="subscript"/>
              </w:rPr>
              <w:t>6</w:t>
            </w:r>
          </w:p>
        </w:tc>
      </w:tr>
      <w:tr w:rsidR="00F43AD5" w:rsidRPr="004C23F4" w14:paraId="2EAAB2D3" w14:textId="77777777" w:rsidTr="00B76A41">
        <w:trPr>
          <w:cantSplit/>
        </w:trPr>
        <w:tc>
          <w:tcPr>
            <w:tcW w:w="4077" w:type="dxa"/>
          </w:tcPr>
          <w:p w14:paraId="6BAB4AF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56855A7" w14:textId="1D357529" w:rsidR="00F43AD5" w:rsidRPr="009C03B4" w:rsidRDefault="00A12DC5" w:rsidP="00B76A41">
            <w:pPr>
              <w:pStyle w:val="Tablerowheading"/>
              <w:rPr>
                <w:b w:val="0"/>
              </w:rPr>
            </w:pPr>
            <w:r w:rsidRPr="009C03B4">
              <w:rPr>
                <w:b w:val="0"/>
              </w:rPr>
              <w:t>—</w:t>
            </w:r>
          </w:p>
        </w:tc>
      </w:tr>
    </w:tbl>
    <w:p w14:paraId="659B033F" w14:textId="2DFA6FC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E3A68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BB2B381" w14:textId="77777777" w:rsidTr="003925D8">
        <w:trPr>
          <w:cantSplit/>
          <w:tblHeader/>
        </w:trPr>
        <w:tc>
          <w:tcPr>
            <w:tcW w:w="4005" w:type="dxa"/>
            <w:vAlign w:val="center"/>
          </w:tcPr>
          <w:p w14:paraId="06D8636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6692B66" w14:textId="5A149034" w:rsidR="002C7AFE" w:rsidRPr="009E3A68" w:rsidRDefault="009E3A6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7AAE85E1" w14:textId="77777777" w:rsidTr="003925D8">
        <w:trPr>
          <w:cantSplit/>
        </w:trPr>
        <w:tc>
          <w:tcPr>
            <w:tcW w:w="4005" w:type="dxa"/>
            <w:vAlign w:val="center"/>
          </w:tcPr>
          <w:p w14:paraId="119D58B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C606FD1" w14:textId="42E85BD9" w:rsidR="002C7AFE" w:rsidRPr="00EB3D1B" w:rsidRDefault="009E3A6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37F788F" w14:textId="77777777" w:rsidTr="003925D8">
        <w:trPr>
          <w:cantSplit/>
        </w:trPr>
        <w:tc>
          <w:tcPr>
            <w:tcW w:w="4005" w:type="dxa"/>
            <w:vAlign w:val="center"/>
          </w:tcPr>
          <w:p w14:paraId="14530A9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0CA1474" w14:textId="5BB28772" w:rsidR="002C7AFE" w:rsidRPr="00EB3D1B" w:rsidRDefault="009E3A6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D07AF60" w14:textId="77777777" w:rsidTr="003925D8">
        <w:trPr>
          <w:cantSplit/>
        </w:trPr>
        <w:tc>
          <w:tcPr>
            <w:tcW w:w="4005" w:type="dxa"/>
          </w:tcPr>
          <w:p w14:paraId="7C40FEA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47664D8" w14:textId="372251FC" w:rsidR="002C7AFE" w:rsidRPr="00EB3D1B" w:rsidRDefault="009E3A68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D905009" w14:textId="77777777" w:rsidTr="003925D8">
        <w:trPr>
          <w:cantSplit/>
        </w:trPr>
        <w:tc>
          <w:tcPr>
            <w:tcW w:w="4005" w:type="dxa"/>
            <w:vAlign w:val="center"/>
          </w:tcPr>
          <w:p w14:paraId="1ADFC7D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6029EBC" w14:textId="57BD59D4" w:rsidR="002C7AFE" w:rsidRPr="00EB3D1B" w:rsidRDefault="00C106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800 mg/m</w:t>
            </w:r>
            <w:r w:rsidRPr="00C1062F">
              <w:rPr>
                <w:b/>
                <w:vertAlign w:val="superscript"/>
              </w:rPr>
              <w:t>3</w:t>
            </w:r>
          </w:p>
        </w:tc>
      </w:tr>
      <w:tr w:rsidR="003925D8" w:rsidRPr="004C23F4" w14:paraId="0E8D141F" w14:textId="77777777" w:rsidTr="003D092A">
        <w:trPr>
          <w:cantSplit/>
        </w:trPr>
        <w:tc>
          <w:tcPr>
            <w:tcW w:w="9026" w:type="dxa"/>
            <w:gridSpan w:val="2"/>
            <w:vAlign w:val="center"/>
          </w:tcPr>
          <w:p w14:paraId="60072E6E" w14:textId="554D1F18" w:rsidR="003925D8" w:rsidRPr="00E81458" w:rsidRDefault="003925D8" w:rsidP="003925D8">
            <w:pPr>
              <w:pStyle w:val="Tablefont"/>
              <w:rPr>
                <w:b/>
              </w:rPr>
            </w:pPr>
            <w:r w:rsidRPr="00E81458">
              <w:rPr>
                <w:b/>
              </w:rPr>
              <w:t>Sampling and analysis:</w:t>
            </w:r>
            <w:r w:rsidRPr="00E81458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F9AE3847FB24379B6470140CE4ADDF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8145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5499AC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3C413B3" w14:textId="7409105F" w:rsidR="006639B4" w:rsidRPr="004C23F4" w:rsidRDefault="00BD0255" w:rsidP="000C139A">
      <w:pPr>
        <w:rPr>
          <w:rFonts w:cs="Arial"/>
        </w:rPr>
      </w:pPr>
      <w:r w:rsidRPr="00BD0255">
        <w:rPr>
          <w:rFonts w:cs="Arial"/>
        </w:rPr>
        <w:t xml:space="preserve">A TWA of </w:t>
      </w:r>
      <w:r>
        <w:rPr>
          <w:rFonts w:cs="Arial"/>
        </w:rPr>
        <w:t>5</w:t>
      </w:r>
      <w:r w:rsidRPr="00BD0255">
        <w:rPr>
          <w:rFonts w:cs="Arial"/>
        </w:rPr>
        <w:t xml:space="preserve"> mg/m</w:t>
      </w:r>
      <w:r w:rsidRPr="00BD0255">
        <w:rPr>
          <w:rFonts w:cs="Arial"/>
          <w:vertAlign w:val="superscript"/>
        </w:rPr>
        <w:t>3</w:t>
      </w:r>
      <w:r w:rsidRPr="00BD0255">
        <w:rPr>
          <w:rFonts w:cs="Arial"/>
        </w:rPr>
        <w:t xml:space="preserve"> is recommended </w:t>
      </w:r>
      <w:r>
        <w:rPr>
          <w:rFonts w:cs="Arial"/>
        </w:rPr>
        <w:t>to</w:t>
      </w:r>
      <w:r w:rsidRPr="00BD0255">
        <w:rPr>
          <w:rFonts w:cs="Arial"/>
        </w:rPr>
        <w:t xml:space="preserve"> protect for </w:t>
      </w:r>
      <w:r>
        <w:rPr>
          <w:rFonts w:cs="Arial"/>
        </w:rPr>
        <w:t xml:space="preserve">central nervous </w:t>
      </w:r>
      <w:r w:rsidR="006A0B6D">
        <w:rPr>
          <w:rFonts w:cs="Arial"/>
        </w:rPr>
        <w:t xml:space="preserve">system </w:t>
      </w:r>
      <w:r>
        <w:rPr>
          <w:rFonts w:cs="Arial"/>
        </w:rPr>
        <w:t>effects</w:t>
      </w:r>
      <w:r w:rsidRPr="00BD0255">
        <w:rPr>
          <w:rFonts w:cs="Arial"/>
        </w:rPr>
        <w:t xml:space="preserve"> </w:t>
      </w:r>
      <w:r>
        <w:rPr>
          <w:rFonts w:cs="Arial"/>
        </w:rPr>
        <w:t xml:space="preserve">and potential </w:t>
      </w:r>
      <w:r w:rsidRPr="00BD0255">
        <w:rPr>
          <w:rFonts w:cs="Arial"/>
        </w:rPr>
        <w:t>irritant effects in exposed workers</w:t>
      </w:r>
      <w:r>
        <w:rPr>
          <w:rFonts w:cs="Arial"/>
        </w:rPr>
        <w:t>.</w:t>
      </w:r>
    </w:p>
    <w:p w14:paraId="1434651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917CE05" w14:textId="52A74254" w:rsidR="006639B4" w:rsidRDefault="00AA39DB" w:rsidP="006639B4">
      <w:pPr>
        <w:rPr>
          <w:rFonts w:cs="Arial"/>
        </w:rPr>
      </w:pPr>
      <w:r>
        <w:rPr>
          <w:rFonts w:cs="Arial"/>
        </w:rPr>
        <w:t xml:space="preserve">Ferbam is used as a fungicide. </w:t>
      </w:r>
      <w:r w:rsidR="00E04A71">
        <w:rPr>
          <w:rFonts w:cs="Arial"/>
        </w:rPr>
        <w:t>C</w:t>
      </w:r>
      <w:r>
        <w:rPr>
          <w:rFonts w:cs="Arial"/>
        </w:rPr>
        <w:t xml:space="preserve">ritical effects </w:t>
      </w:r>
      <w:r w:rsidR="00204E0C">
        <w:rPr>
          <w:rFonts w:cs="Arial"/>
        </w:rPr>
        <w:t xml:space="preserve">of exposure </w:t>
      </w:r>
      <w:r>
        <w:rPr>
          <w:rFonts w:cs="Arial"/>
        </w:rPr>
        <w:t xml:space="preserve">are </w:t>
      </w:r>
      <w:r w:rsidR="0051088E" w:rsidRPr="0051088E">
        <w:rPr>
          <w:rFonts w:cs="Arial"/>
        </w:rPr>
        <w:t xml:space="preserve">central nervous system impairment, changes in </w:t>
      </w:r>
      <w:r w:rsidR="00580768">
        <w:rPr>
          <w:rFonts w:cs="Arial"/>
        </w:rPr>
        <w:t>bodyweight</w:t>
      </w:r>
      <w:r w:rsidR="0051088E" w:rsidRPr="0051088E">
        <w:rPr>
          <w:rFonts w:cs="Arial"/>
        </w:rPr>
        <w:t xml:space="preserve"> and spleen damage</w:t>
      </w:r>
      <w:r w:rsidR="00E04A71">
        <w:rPr>
          <w:rFonts w:cs="Arial"/>
        </w:rPr>
        <w:t xml:space="preserve"> as reported in animal studies (ACGIH, 2018)</w:t>
      </w:r>
      <w:r w:rsidR="0051088E">
        <w:rPr>
          <w:rFonts w:cs="Arial"/>
        </w:rPr>
        <w:t>.</w:t>
      </w:r>
      <w:r w:rsidR="00580768">
        <w:rPr>
          <w:rFonts w:cs="Arial"/>
        </w:rPr>
        <w:t xml:space="preserve"> </w:t>
      </w:r>
      <w:r w:rsidR="00BD0255">
        <w:rPr>
          <w:rFonts w:cs="Arial"/>
        </w:rPr>
        <w:t>Very limited</w:t>
      </w:r>
      <w:r w:rsidR="00580768">
        <w:rPr>
          <w:rFonts w:cs="Arial"/>
        </w:rPr>
        <w:t xml:space="preserve"> human exposure data indicate irritation of eyes and respiratory tract</w:t>
      </w:r>
      <w:r w:rsidR="00BD0255">
        <w:rPr>
          <w:rFonts w:cs="Arial"/>
        </w:rPr>
        <w:t xml:space="preserve"> may</w:t>
      </w:r>
      <w:r w:rsidR="00580768">
        <w:rPr>
          <w:rFonts w:cs="Arial"/>
        </w:rPr>
        <w:t xml:space="preserve"> occur before potential central nervous effects are elicited (ACGIH, 2018).</w:t>
      </w:r>
    </w:p>
    <w:p w14:paraId="536D4E59" w14:textId="52F17779" w:rsidR="009E3A68" w:rsidRDefault="006A0B6D" w:rsidP="006639B4">
      <w:pPr>
        <w:rPr>
          <w:rFonts w:cs="Arial"/>
        </w:rPr>
      </w:pPr>
      <w:r>
        <w:rPr>
          <w:rFonts w:cs="Arial"/>
        </w:rPr>
        <w:t>Adverse n</w:t>
      </w:r>
      <w:r w:rsidR="00E04A71">
        <w:rPr>
          <w:rFonts w:cs="Arial"/>
        </w:rPr>
        <w:t xml:space="preserve">eurological effects are reported in </w:t>
      </w:r>
      <w:r w:rsidR="001E7765">
        <w:rPr>
          <w:rFonts w:cs="Arial"/>
        </w:rPr>
        <w:t xml:space="preserve">a </w:t>
      </w:r>
      <w:r w:rsidR="00E04A71">
        <w:rPr>
          <w:rFonts w:cs="Arial"/>
        </w:rPr>
        <w:t xml:space="preserve">chronic </w:t>
      </w:r>
      <w:r w:rsidR="001E7765">
        <w:rPr>
          <w:rFonts w:cs="Arial"/>
        </w:rPr>
        <w:t>rat</w:t>
      </w:r>
      <w:r w:rsidR="00E04A71">
        <w:rPr>
          <w:rFonts w:cs="Arial"/>
        </w:rPr>
        <w:t xml:space="preserve"> feeding st</w:t>
      </w:r>
      <w:r w:rsidR="001E7765">
        <w:rPr>
          <w:rFonts w:cs="Arial"/>
        </w:rPr>
        <w:t>udy</w:t>
      </w:r>
      <w:r w:rsidR="00E04A71">
        <w:rPr>
          <w:rFonts w:cs="Arial"/>
        </w:rPr>
        <w:t xml:space="preserve"> at </w:t>
      </w:r>
      <w:r>
        <w:rPr>
          <w:rFonts w:cs="Arial"/>
        </w:rPr>
        <w:t>2.5 </w:t>
      </w:r>
      <w:r w:rsidR="001E7765">
        <w:rPr>
          <w:rFonts w:cs="Arial"/>
        </w:rPr>
        <w:t>mg/kg</w:t>
      </w:r>
      <w:r w:rsidR="00EC06B6">
        <w:rPr>
          <w:rFonts w:cs="Arial"/>
        </w:rPr>
        <w:t>/day</w:t>
      </w:r>
      <w:r w:rsidR="00E04A71">
        <w:rPr>
          <w:rFonts w:cs="Arial"/>
        </w:rPr>
        <w:t xml:space="preserve"> (DFG,</w:t>
      </w:r>
      <w:r w:rsidR="00534908">
        <w:rPr>
          <w:rFonts w:cs="Arial"/>
        </w:rPr>
        <w:t> </w:t>
      </w:r>
      <w:r w:rsidR="00E04A71">
        <w:rPr>
          <w:rFonts w:cs="Arial"/>
        </w:rPr>
        <w:t>2003).</w:t>
      </w:r>
      <w:r w:rsidR="001E7765">
        <w:rPr>
          <w:rFonts w:cs="Arial"/>
        </w:rPr>
        <w:t xml:space="preserve"> These effects are not described</w:t>
      </w:r>
      <w:r w:rsidR="009E3A68">
        <w:rPr>
          <w:rFonts w:cs="Arial"/>
        </w:rPr>
        <w:t xml:space="preserve"> in </w:t>
      </w:r>
      <w:r w:rsidR="001E7765">
        <w:rPr>
          <w:rFonts w:cs="Arial"/>
        </w:rPr>
        <w:t xml:space="preserve">summaries of the same study in reports </w:t>
      </w:r>
      <w:r w:rsidR="00BD0255">
        <w:rPr>
          <w:rFonts w:cs="Arial"/>
        </w:rPr>
        <w:t xml:space="preserve">published </w:t>
      </w:r>
      <w:r w:rsidR="001E7765">
        <w:rPr>
          <w:rFonts w:cs="Arial"/>
        </w:rPr>
        <w:t xml:space="preserve">by the ACGIH (2018) and IARC (1976). </w:t>
      </w:r>
    </w:p>
    <w:p w14:paraId="713FC702" w14:textId="64DD7D74" w:rsidR="009E3A68" w:rsidRPr="004C23F4" w:rsidRDefault="001E7765" w:rsidP="006639B4">
      <w:pPr>
        <w:rPr>
          <w:rFonts w:cs="Arial"/>
        </w:rPr>
      </w:pPr>
      <w:r>
        <w:rPr>
          <w:rFonts w:cs="Arial"/>
        </w:rPr>
        <w:t xml:space="preserve">A NOAEL </w:t>
      </w:r>
      <w:r w:rsidR="006A0B6D">
        <w:rPr>
          <w:rFonts w:cs="Arial"/>
        </w:rPr>
        <w:t>of 5 mg/kg</w:t>
      </w:r>
      <w:r w:rsidR="00EC06B6">
        <w:rPr>
          <w:rFonts w:cs="Arial"/>
        </w:rPr>
        <w:t>/day</w:t>
      </w:r>
      <w:r w:rsidR="006A0B6D">
        <w:rPr>
          <w:rFonts w:cs="Arial"/>
        </w:rPr>
        <w:t xml:space="preserve"> </w:t>
      </w:r>
      <w:r>
        <w:rPr>
          <w:rFonts w:cs="Arial"/>
        </w:rPr>
        <w:t xml:space="preserve">for seizures in dogs is </w:t>
      </w:r>
      <w:r w:rsidR="006A0B6D">
        <w:rPr>
          <w:rFonts w:cs="Arial"/>
        </w:rPr>
        <w:t>reported</w:t>
      </w:r>
      <w:r>
        <w:rPr>
          <w:rFonts w:cs="Arial"/>
        </w:rPr>
        <w:t xml:space="preserve"> </w:t>
      </w:r>
      <w:r w:rsidR="00EC06B6">
        <w:rPr>
          <w:rFonts w:cs="Arial"/>
        </w:rPr>
        <w:t xml:space="preserve">with </w:t>
      </w:r>
      <w:r>
        <w:rPr>
          <w:rFonts w:cs="Arial"/>
        </w:rPr>
        <w:t>a corresponding LOAEL of 25</w:t>
      </w:r>
      <w:r w:rsidR="005D5C3E">
        <w:rPr>
          <w:rFonts w:cs="Arial"/>
        </w:rPr>
        <w:t> </w:t>
      </w:r>
      <w:r>
        <w:rPr>
          <w:rFonts w:cs="Arial"/>
        </w:rPr>
        <w:t>mg/kg</w:t>
      </w:r>
      <w:r w:rsidR="00EC06B6">
        <w:rPr>
          <w:rFonts w:cs="Arial"/>
        </w:rPr>
        <w:t>/day</w:t>
      </w:r>
      <w:r>
        <w:rPr>
          <w:rFonts w:cs="Arial"/>
        </w:rPr>
        <w:t xml:space="preserve"> </w:t>
      </w:r>
      <w:r w:rsidR="009E3A68">
        <w:rPr>
          <w:rFonts w:cs="Arial"/>
        </w:rPr>
        <w:t xml:space="preserve">and is used as a starting point for the derivation of the recommended </w:t>
      </w:r>
      <w:r w:rsidR="00A653BF">
        <w:rPr>
          <w:rFonts w:cs="Arial"/>
        </w:rPr>
        <w:t>TLV-</w:t>
      </w:r>
      <w:r w:rsidR="009E3A68">
        <w:rPr>
          <w:rFonts w:cs="Arial"/>
        </w:rPr>
        <w:t xml:space="preserve">TWA </w:t>
      </w:r>
      <w:r w:rsidR="00A653BF">
        <w:rPr>
          <w:rFonts w:cs="Arial"/>
        </w:rPr>
        <w:t>of 5 </w:t>
      </w:r>
      <w:r w:rsidR="00A653BF" w:rsidRPr="00BD0255">
        <w:rPr>
          <w:rFonts w:cs="Arial"/>
        </w:rPr>
        <w:t>mg/m</w:t>
      </w:r>
      <w:r w:rsidR="00A653BF" w:rsidRPr="00BD0255">
        <w:rPr>
          <w:rFonts w:cs="Arial"/>
          <w:vertAlign w:val="superscript"/>
        </w:rPr>
        <w:t>3</w:t>
      </w:r>
      <w:r w:rsidR="00A653BF" w:rsidRPr="00BD0255">
        <w:rPr>
          <w:rFonts w:cs="Arial"/>
        </w:rPr>
        <w:t xml:space="preserve"> </w:t>
      </w:r>
      <w:r>
        <w:rPr>
          <w:rFonts w:cs="Arial"/>
        </w:rPr>
        <w:t xml:space="preserve">(ACGIH, 2018). </w:t>
      </w:r>
      <w:r w:rsidR="00EB6380">
        <w:rPr>
          <w:rFonts w:cs="Arial"/>
        </w:rPr>
        <w:t>A</w:t>
      </w:r>
      <w:r w:rsidR="005D5C3E">
        <w:rPr>
          <w:rFonts w:cs="Arial"/>
        </w:rPr>
        <w:t xml:space="preserve"> </w:t>
      </w:r>
      <w:r w:rsidR="00A653BF">
        <w:rPr>
          <w:rFonts w:cs="Arial"/>
        </w:rPr>
        <w:t xml:space="preserve">corresponding </w:t>
      </w:r>
      <w:r w:rsidR="005D5C3E">
        <w:rPr>
          <w:rFonts w:cs="Arial"/>
        </w:rPr>
        <w:t>NOAEC</w:t>
      </w:r>
      <w:r w:rsidR="009E3A68">
        <w:rPr>
          <w:rFonts w:cs="Arial"/>
        </w:rPr>
        <w:t xml:space="preserve"> </w:t>
      </w:r>
      <w:r w:rsidR="005D5C3E">
        <w:rPr>
          <w:rFonts w:cs="Arial"/>
        </w:rPr>
        <w:t>of 35 mg/m</w:t>
      </w:r>
      <w:r w:rsidR="005D5C3E">
        <w:rPr>
          <w:rFonts w:cs="Arial"/>
          <w:vertAlign w:val="superscript"/>
        </w:rPr>
        <w:t>3</w:t>
      </w:r>
      <w:r w:rsidR="005D5C3E">
        <w:rPr>
          <w:rFonts w:cs="Arial"/>
        </w:rPr>
        <w:t xml:space="preserve"> </w:t>
      </w:r>
      <w:r w:rsidR="00A653BF">
        <w:rPr>
          <w:rFonts w:cs="Arial"/>
        </w:rPr>
        <w:t>was</w:t>
      </w:r>
      <w:r w:rsidR="005D5C3E">
        <w:rPr>
          <w:rFonts w:cs="Arial"/>
        </w:rPr>
        <w:t xml:space="preserve"> extrapolated from the</w:t>
      </w:r>
      <w:r w:rsidR="009E3A68">
        <w:rPr>
          <w:rFonts w:cs="Arial"/>
        </w:rPr>
        <w:t xml:space="preserve"> NOAEL</w:t>
      </w:r>
      <w:r w:rsidR="005D5C3E" w:rsidRPr="005D5C3E">
        <w:rPr>
          <w:rFonts w:cs="Arial"/>
        </w:rPr>
        <w:t xml:space="preserve"> </w:t>
      </w:r>
      <w:r w:rsidR="005D5C3E">
        <w:rPr>
          <w:rFonts w:cs="Arial"/>
        </w:rPr>
        <w:t>of 25 mg/kg/day</w:t>
      </w:r>
      <w:r w:rsidR="00F27C62">
        <w:rPr>
          <w:rFonts w:cs="Arial"/>
        </w:rPr>
        <w:t xml:space="preserve"> (ACGIH, 2018)</w:t>
      </w:r>
      <w:r w:rsidR="00A653BF">
        <w:rPr>
          <w:rFonts w:cs="Arial"/>
        </w:rPr>
        <w:t>. ACGIH (2018) did not provide additional evidence of how the TLV</w:t>
      </w:r>
      <w:r w:rsidR="00F27C62">
        <w:rPr>
          <w:rFonts w:cs="Arial"/>
        </w:rPr>
        <w:t>-TWA</w:t>
      </w:r>
      <w:r w:rsidR="009E3A68">
        <w:rPr>
          <w:rFonts w:cs="Arial"/>
        </w:rPr>
        <w:t xml:space="preserve"> </w:t>
      </w:r>
      <w:r w:rsidR="00B64C7C">
        <w:rPr>
          <w:rFonts w:cs="Arial"/>
        </w:rPr>
        <w:t>was derived. Presumably, an uncertainty</w:t>
      </w:r>
      <w:r w:rsidR="009E3A68">
        <w:rPr>
          <w:rFonts w:cs="Arial"/>
        </w:rPr>
        <w:t xml:space="preserve"> factor of 10 </w:t>
      </w:r>
      <w:r w:rsidR="00B64C7C">
        <w:rPr>
          <w:rFonts w:cs="Arial"/>
        </w:rPr>
        <w:t xml:space="preserve">was </w:t>
      </w:r>
      <w:r w:rsidR="009E3A68">
        <w:rPr>
          <w:rFonts w:cs="Arial"/>
        </w:rPr>
        <w:t xml:space="preserve">applied to this </w:t>
      </w:r>
      <w:r w:rsidR="005D5C3E">
        <w:rPr>
          <w:rFonts w:cs="Arial"/>
        </w:rPr>
        <w:t xml:space="preserve">NOAEC </w:t>
      </w:r>
      <w:r w:rsidR="00B64C7C">
        <w:rPr>
          <w:rFonts w:cs="Arial"/>
        </w:rPr>
        <w:t>and the</w:t>
      </w:r>
      <w:r w:rsidR="009E3A68">
        <w:rPr>
          <w:rFonts w:cs="Arial"/>
        </w:rPr>
        <w:t xml:space="preserve"> result rounded up to 5</w:t>
      </w:r>
      <w:r w:rsidR="00B64C7C">
        <w:rPr>
          <w:rFonts w:cs="Arial"/>
        </w:rPr>
        <w:t> </w:t>
      </w:r>
      <w:r w:rsidR="009E3A68">
        <w:rPr>
          <w:rFonts w:cs="Arial"/>
        </w:rPr>
        <w:t>mg/m</w:t>
      </w:r>
      <w:r w:rsidR="009E3A68">
        <w:rPr>
          <w:rFonts w:cs="Arial"/>
          <w:vertAlign w:val="superscript"/>
        </w:rPr>
        <w:t>3</w:t>
      </w:r>
      <w:r w:rsidR="009E3A68">
        <w:rPr>
          <w:rFonts w:cs="Arial"/>
        </w:rPr>
        <w:t xml:space="preserve">. </w:t>
      </w:r>
      <w:r w:rsidR="00EA5FCB">
        <w:rPr>
          <w:rFonts w:cs="Arial"/>
        </w:rPr>
        <w:t xml:space="preserve">This TWA </w:t>
      </w:r>
      <w:r w:rsidR="00F27C62">
        <w:rPr>
          <w:rFonts w:cs="Arial"/>
        </w:rPr>
        <w:t>of 5 mg/m</w:t>
      </w:r>
      <w:r w:rsidR="00F27C62">
        <w:rPr>
          <w:rFonts w:cs="Arial"/>
          <w:vertAlign w:val="superscript"/>
        </w:rPr>
        <w:t>3</w:t>
      </w:r>
      <w:r w:rsidR="00204E0C">
        <w:rPr>
          <w:rFonts w:cs="Arial"/>
        </w:rPr>
        <w:t>,</w:t>
      </w:r>
      <w:r w:rsidR="00F27C62">
        <w:rPr>
          <w:rFonts w:cs="Arial"/>
          <w:vertAlign w:val="superscript"/>
        </w:rPr>
        <w:t xml:space="preserve"> </w:t>
      </w:r>
      <w:r w:rsidR="00F27C62">
        <w:rPr>
          <w:rFonts w:cs="Arial"/>
        </w:rPr>
        <w:t>as assigned by ACGIH</w:t>
      </w:r>
      <w:r w:rsidR="00204E0C">
        <w:rPr>
          <w:rFonts w:cs="Arial"/>
        </w:rPr>
        <w:t>,</w:t>
      </w:r>
      <w:r w:rsidR="00F27C62">
        <w:rPr>
          <w:rFonts w:cs="Arial"/>
        </w:rPr>
        <w:t xml:space="preserve"> </w:t>
      </w:r>
      <w:r w:rsidR="00EA5FCB">
        <w:rPr>
          <w:rFonts w:cs="Arial"/>
        </w:rPr>
        <w:t xml:space="preserve">is </w:t>
      </w:r>
      <w:r w:rsidR="00204E0C">
        <w:rPr>
          <w:rFonts w:cs="Arial"/>
        </w:rPr>
        <w:t>considered</w:t>
      </w:r>
      <w:r w:rsidR="00EA5FCB">
        <w:rPr>
          <w:rFonts w:cs="Arial"/>
        </w:rPr>
        <w:t xml:space="preserve">sufficient to protect for </w:t>
      </w:r>
      <w:r w:rsidR="00B64C7C">
        <w:rPr>
          <w:rFonts w:cs="Arial"/>
        </w:rPr>
        <w:t xml:space="preserve">identified </w:t>
      </w:r>
      <w:r w:rsidR="00EA5FCB">
        <w:rPr>
          <w:rFonts w:cs="Arial"/>
        </w:rPr>
        <w:t xml:space="preserve">effects in exposed workers. </w:t>
      </w:r>
    </w:p>
    <w:p w14:paraId="61477067" w14:textId="77777777" w:rsidR="004529F0" w:rsidRPr="004C23F4" w:rsidRDefault="004529F0" w:rsidP="0044682A">
      <w:pPr>
        <w:pStyle w:val="Heading2"/>
      </w:pPr>
      <w:r>
        <w:lastRenderedPageBreak/>
        <w:t>Recommendation for notations</w:t>
      </w:r>
    </w:p>
    <w:p w14:paraId="72956F6E" w14:textId="06625741" w:rsidR="00C86EAE" w:rsidRDefault="00C86EAE" w:rsidP="003925D8">
      <w:pPr>
        <w:keepNext/>
        <w:rPr>
          <w:rFonts w:cs="Arial"/>
        </w:rPr>
      </w:pPr>
      <w:r>
        <w:rPr>
          <w:rFonts w:cs="Arial"/>
        </w:rPr>
        <w:t>Not classified as a carcinogen according to the Globally Harmonized System of</w:t>
      </w:r>
      <w:r w:rsidR="003925D8">
        <w:rPr>
          <w:rFonts w:cs="Arial"/>
        </w:rPr>
        <w:t xml:space="preserve"> Classification and Labelling of</w:t>
      </w:r>
      <w:r>
        <w:rPr>
          <w:rFonts w:cs="Arial"/>
        </w:rPr>
        <w:t xml:space="preserve"> Chemicals (GHS). </w:t>
      </w:r>
    </w:p>
    <w:p w14:paraId="69E0C712" w14:textId="51376BFD" w:rsidR="00C86EAE" w:rsidRDefault="00C86EAE" w:rsidP="003925D8">
      <w:pPr>
        <w:keepNext/>
        <w:rPr>
          <w:rFonts w:cs="Arial"/>
        </w:rPr>
      </w:pPr>
      <w:r>
        <w:rPr>
          <w:rFonts w:cs="Arial"/>
        </w:rPr>
        <w:t>Not classified as a skin</w:t>
      </w:r>
      <w:r w:rsidR="003925D8">
        <w:rPr>
          <w:rFonts w:cs="Arial"/>
        </w:rPr>
        <w:t xml:space="preserve"> sensitiser</w:t>
      </w:r>
      <w:r>
        <w:rPr>
          <w:rFonts w:cs="Arial"/>
        </w:rPr>
        <w:t xml:space="preserve"> or respiratory sensitiser according to the GHS.</w:t>
      </w:r>
    </w:p>
    <w:p w14:paraId="7F36B70E" w14:textId="45F287B7" w:rsidR="005E6979" w:rsidRPr="004C23F4" w:rsidRDefault="009C03B4" w:rsidP="003925D8">
      <w:pPr>
        <w:keepNext/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9C03B4">
        <w:rPr>
          <w:rFonts w:cs="Arial"/>
        </w:rPr>
        <w:t>A skin notation is not warranted based on the available evidence.</w:t>
      </w:r>
    </w:p>
    <w:p w14:paraId="7119967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DAE08C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82CE6E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8949BE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64E3E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DA1D494" w14:textId="4E742BB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86EA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86EAE">
                  <w:t>TWA: 10 mg/m</w:t>
                </w:r>
                <w:r w:rsidR="00C86EAE" w:rsidRPr="00C86EA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499DE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D878F8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E63238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FA823D" w14:textId="01318DD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86EAE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86EAE">
                  <w:t>TLV-TWA: 5 mg/m</w:t>
                </w:r>
                <w:r w:rsidR="00C86EAE" w:rsidRPr="00C86EA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0FC98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12F8349" w14:textId="3429B0DF" w:rsidR="00C978F0" w:rsidRDefault="00AA39DB" w:rsidP="003365A5">
            <w:pPr>
              <w:pStyle w:val="Tabletextprimarysource"/>
            </w:pPr>
            <w:r>
              <w:t xml:space="preserve">TLV-TWA intended to protect for </w:t>
            </w:r>
            <w:r w:rsidR="003925D8">
              <w:t>CNS</w:t>
            </w:r>
            <w:r>
              <w:t xml:space="preserve"> impairment, changes in b</w:t>
            </w:r>
            <w:r w:rsidR="00EB6380">
              <w:t xml:space="preserve">ody </w:t>
            </w:r>
            <w:r>
              <w:t>w</w:t>
            </w:r>
            <w:r w:rsidR="00EB6380">
              <w:t>eight</w:t>
            </w:r>
            <w:r>
              <w:t xml:space="preserve"> and spleen damage reported in animal studies. </w:t>
            </w:r>
          </w:p>
          <w:p w14:paraId="1E36EEEF" w14:textId="215011E9" w:rsidR="00AA39DB" w:rsidRDefault="00AA39DB" w:rsidP="003365A5">
            <w:pPr>
              <w:pStyle w:val="Tabletextprimarysource"/>
            </w:pPr>
            <w:r>
              <w:t>Summary of data:</w:t>
            </w:r>
          </w:p>
          <w:p w14:paraId="17CBD64A" w14:textId="358C6362" w:rsidR="00A1655B" w:rsidRPr="00F4512A" w:rsidRDefault="00A1655B" w:rsidP="003365A5">
            <w:pPr>
              <w:pStyle w:val="Tabletextprimarysource"/>
            </w:pPr>
            <w:r>
              <w:t xml:space="preserve">TLV-TWA based on NOAELs of repeat oral dose studies with animals; NOAEL of 5 mg/kg for central nervous effects in dogs used as starting point. Assuming 100% absorption, an air concentration </w:t>
            </w:r>
            <w:r w:rsidR="00F4512A">
              <w:t>of 35 mg/m</w:t>
            </w:r>
            <w:r w:rsidR="00F4512A">
              <w:rPr>
                <w:vertAlign w:val="superscript"/>
              </w:rPr>
              <w:t>3</w:t>
            </w:r>
            <w:r w:rsidR="00F4512A">
              <w:t xml:space="preserve"> would deliver an effective oral dose at the NOAEL (further assumptions </w:t>
            </w:r>
            <w:r w:rsidR="00E04A71">
              <w:t>not specified</w:t>
            </w:r>
            <w:r w:rsidR="00F4512A">
              <w:t>). A UF is applied to arrive at the TLV-TWA of 5 mg/m</w:t>
            </w:r>
            <w:r w:rsidR="00F4512A">
              <w:rPr>
                <w:vertAlign w:val="superscript"/>
              </w:rPr>
              <w:t>3</w:t>
            </w:r>
            <w:r w:rsidR="00F4512A">
              <w:t xml:space="preserve"> (UF derivation not discussed).</w:t>
            </w:r>
          </w:p>
          <w:p w14:paraId="56543E09" w14:textId="44193B4F" w:rsidR="00AA39DB" w:rsidRDefault="00AA39DB" w:rsidP="003365A5">
            <w:pPr>
              <w:pStyle w:val="Tabletextprimarysource"/>
            </w:pPr>
            <w:r>
              <w:t>Human data:</w:t>
            </w:r>
          </w:p>
          <w:p w14:paraId="17051A4C" w14:textId="74384538" w:rsidR="00985C42" w:rsidRDefault="00985C42" w:rsidP="006A0B6D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 xml:space="preserve">Irritating to eyes and respiratory tract, higher concentrations (not specified) expected to cause </w:t>
            </w:r>
            <w:r w:rsidR="003925D8">
              <w:t>CNS</w:t>
            </w:r>
            <w:r>
              <w:t xml:space="preserve"> depression</w:t>
            </w:r>
          </w:p>
          <w:p w14:paraId="4EB954B7" w14:textId="63F5BFCB" w:rsidR="00985C42" w:rsidRDefault="00985C42" w:rsidP="006A0B6D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Large oral doses (not specified) cause gastrointestinal disturbances</w:t>
            </w:r>
            <w:r w:rsidR="0056117A">
              <w:t>.</w:t>
            </w:r>
          </w:p>
          <w:p w14:paraId="54CF2355" w14:textId="77777777" w:rsidR="00AA39DB" w:rsidRDefault="00AA39DB" w:rsidP="003365A5">
            <w:pPr>
              <w:pStyle w:val="Tabletextprimarysource"/>
            </w:pPr>
            <w:r>
              <w:t>Animal data:</w:t>
            </w:r>
          </w:p>
          <w:p w14:paraId="3D444607" w14:textId="77777777" w:rsidR="00AA39DB" w:rsidRDefault="00985C42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1,130 mg/kg (rats); 3,400 mg/kg (mice); 3,000 mg/kg (rabbits)</w:t>
            </w:r>
          </w:p>
          <w:p w14:paraId="7D8B7209" w14:textId="567EEB18" w:rsidR="00985C42" w:rsidRDefault="00985C42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 w:rsidR="003925D8" w:rsidRPr="003925D8">
              <w:t>:</w:t>
            </w:r>
            <w:r>
              <w:t xml:space="preserve"> &gt;4,000 mg/kg (rabbits</w:t>
            </w:r>
            <w:r w:rsidR="003925D8">
              <w:t>, dermal</w:t>
            </w:r>
            <w:r>
              <w:t>)</w:t>
            </w:r>
          </w:p>
          <w:p w14:paraId="7E6558D8" w14:textId="77777777" w:rsidR="00985C42" w:rsidRDefault="00985C42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400 mg/m</w:t>
            </w:r>
            <w:r>
              <w:rPr>
                <w:vertAlign w:val="superscript"/>
              </w:rPr>
              <w:t>3</w:t>
            </w:r>
            <w:r>
              <w:t xml:space="preserve"> (rabbits, 4 h)</w:t>
            </w:r>
          </w:p>
          <w:p w14:paraId="27E55CAE" w14:textId="3E733779" w:rsidR="00985C42" w:rsidRDefault="00473643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1/35 positive responses solution in sensitisation study as 25% aqueous (guinea pigs, n=35, challenged with 5, 10 and 25%, no further information provided)</w:t>
            </w:r>
          </w:p>
          <w:p w14:paraId="45E5C19D" w14:textId="545D430B" w:rsidR="00CA51E8" w:rsidRDefault="00CA51E8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Two repeat feeding studies (rats, </w:t>
            </w:r>
            <w:r w:rsidR="00203522">
              <w:t xml:space="preserve">4 wk, </w:t>
            </w:r>
            <w:r>
              <w:t>13 wk</w:t>
            </w:r>
            <w:r w:rsidR="00203522">
              <w:t xml:space="preserve"> or 2 yr</w:t>
            </w:r>
            <w:r>
              <w:t xml:space="preserve">) report LOAEL for decreased </w:t>
            </w:r>
            <w:r w:rsidR="00960B95">
              <w:t xml:space="preserve">body weight </w:t>
            </w:r>
            <w:r w:rsidR="000C7BE9">
              <w:t xml:space="preserve">and spleen changes </w:t>
            </w:r>
            <w:r>
              <w:t xml:space="preserve">at </w:t>
            </w:r>
            <w:r>
              <w:rPr>
                <w:rFonts w:cs="Arial"/>
              </w:rPr>
              <w:t>≈</w:t>
            </w:r>
            <w:r>
              <w:t>66 mg/kg</w:t>
            </w:r>
            <w:r w:rsidR="00EA5FCB">
              <w:t>/d</w:t>
            </w:r>
            <w:r>
              <w:t xml:space="preserve"> and mortality above </w:t>
            </w:r>
            <w:r>
              <w:rPr>
                <w:rFonts w:cs="Arial"/>
              </w:rPr>
              <w:t>≈</w:t>
            </w:r>
            <w:r>
              <w:t>109 mg/kg</w:t>
            </w:r>
            <w:r w:rsidR="00EA5FCB">
              <w:t>/d</w:t>
            </w:r>
            <w:r w:rsidR="00BB69B8">
              <w:t>:</w:t>
            </w:r>
          </w:p>
          <w:p w14:paraId="6E2DD10C" w14:textId="559AD49D" w:rsidR="00203522" w:rsidRDefault="00CA51E8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 xml:space="preserve">NOAEL: </w:t>
            </w:r>
            <w:r w:rsidR="00203522">
              <w:t>12.5 mg/kg</w:t>
            </w:r>
            <w:r w:rsidR="00EA5FCB">
              <w:t>/d</w:t>
            </w:r>
            <w:r w:rsidR="00203522">
              <w:t xml:space="preserve"> (2 yr), </w:t>
            </w:r>
            <w:r>
              <w:t>23 mg/kg</w:t>
            </w:r>
            <w:r w:rsidR="00EA5FCB">
              <w:t>/d</w:t>
            </w:r>
            <w:r>
              <w:t xml:space="preserve"> (13 wk) and 37.5 mg/kg</w:t>
            </w:r>
            <w:r w:rsidR="00EA5FCB">
              <w:t>/d</w:t>
            </w:r>
            <w:r>
              <w:t xml:space="preserve"> (4 wk)</w:t>
            </w:r>
          </w:p>
          <w:p w14:paraId="029FDCAB" w14:textId="6CE58A21" w:rsidR="00CA51E8" w:rsidRDefault="0056117A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a</w:t>
            </w:r>
            <w:r w:rsidR="00CA51E8">
              <w:t>naemic effects at 325 mg/kg</w:t>
            </w:r>
            <w:r w:rsidR="00EA5FCB">
              <w:t>/d</w:t>
            </w:r>
            <w:r w:rsidR="00CA51E8">
              <w:t xml:space="preserve"> (4 wk)</w:t>
            </w:r>
          </w:p>
          <w:p w14:paraId="152E2F5F" w14:textId="648EED00" w:rsidR="00203522" w:rsidRDefault="0056117A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b</w:t>
            </w:r>
            <w:r w:rsidR="00203522">
              <w:t>rain lesions at 125 mg/kg</w:t>
            </w:r>
            <w:r w:rsidR="00EA5FCB">
              <w:t>/d</w:t>
            </w:r>
            <w:r w:rsidR="00203522">
              <w:t xml:space="preserve"> (2 yr)</w:t>
            </w:r>
          </w:p>
          <w:p w14:paraId="6918C11C" w14:textId="2EAADECB" w:rsidR="00203522" w:rsidRDefault="0056117A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</w:t>
            </w:r>
            <w:r w:rsidR="00203522">
              <w:t>o evidence for carcinogenicity in 2</w:t>
            </w:r>
            <w:r w:rsidR="0044682A">
              <w:t xml:space="preserve"> </w:t>
            </w:r>
            <w:r w:rsidR="00203522">
              <w:t>yr study</w:t>
            </w:r>
          </w:p>
          <w:p w14:paraId="3E692649" w14:textId="7A3C7047" w:rsidR="00CA51E8" w:rsidRDefault="0044682A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2</w:t>
            </w:r>
            <w:r w:rsidR="00CA51E8">
              <w:t xml:space="preserve"> repeat feeding studies (dogs, 28 d or 1 yr) report LOAEL for reduced blood cell count (28</w:t>
            </w:r>
            <w:r w:rsidR="00BB69B8">
              <w:t> </w:t>
            </w:r>
            <w:r w:rsidR="00CA51E8">
              <w:t>d) and seizures/mortality (1 yr) at 25 mg/kg</w:t>
            </w:r>
            <w:r w:rsidR="00EA5FCB">
              <w:t>/d</w:t>
            </w:r>
            <w:r w:rsidR="00BB69B8">
              <w:t>:</w:t>
            </w:r>
          </w:p>
          <w:p w14:paraId="3E5F47C9" w14:textId="254A8CFE" w:rsidR="00CA51E8" w:rsidRDefault="00CA51E8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NOAEL: 5 mg/kg</w:t>
            </w:r>
            <w:r w:rsidR="00EA5FCB">
              <w:t>/d</w:t>
            </w:r>
            <w:r>
              <w:t xml:space="preserve"> (28 d and 1 yr)</w:t>
            </w:r>
          </w:p>
          <w:p w14:paraId="5BBE0DAB" w14:textId="40F82D78" w:rsidR="00CA51E8" w:rsidRDefault="0056117A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s</w:t>
            </w:r>
            <w:r w:rsidR="00203522">
              <w:t>eizures and deaths occurred after 5–9 wk</w:t>
            </w:r>
          </w:p>
          <w:p w14:paraId="0CD54FD6" w14:textId="77E20E85" w:rsidR="00203522" w:rsidRDefault="00203522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Mutagenic </w:t>
            </w:r>
            <w:r>
              <w:rPr>
                <w:i/>
              </w:rPr>
              <w:t>in vitro</w:t>
            </w:r>
            <w:r>
              <w:t xml:space="preserve"> but not </w:t>
            </w:r>
            <w:r>
              <w:rPr>
                <w:i/>
              </w:rPr>
              <w:t>in vivo</w:t>
            </w:r>
            <w:r>
              <w:t xml:space="preserve"> except at 1,000 mg/kg</w:t>
            </w:r>
            <w:r w:rsidR="00EA5FCB">
              <w:t>/d</w:t>
            </w:r>
            <w:r>
              <w:t xml:space="preserve"> oral doses where increased number of sperm abnormalities was reported (mice, 5 d)</w:t>
            </w:r>
            <w:r w:rsidR="00BB69B8">
              <w:t>:</w:t>
            </w:r>
          </w:p>
          <w:p w14:paraId="520626F8" w14:textId="77777777" w:rsidR="00203522" w:rsidRDefault="00203522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NOAEL: 500 mg/kg for oral and ip administration</w:t>
            </w:r>
          </w:p>
          <w:p w14:paraId="7549FFDE" w14:textId="47470225" w:rsidR="00A1655B" w:rsidRDefault="00A1655B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maternal or foetal adverse effects at 23 mg/kg, abnormal ossification but no maternal toxicity at 228 mg/kg (mice, gestational d 6–14)</w:t>
            </w:r>
          </w:p>
          <w:p w14:paraId="7D858AE7" w14:textId="74FB208C" w:rsidR="00A1655B" w:rsidRDefault="00A1655B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40–70% absorbed within 24 h </w:t>
            </w:r>
            <w:r w:rsidR="00A84283">
              <w:t xml:space="preserve">at 500 mg/kg </w:t>
            </w:r>
            <w:r>
              <w:t>(rats, route unspecified); 23% excreted in urine, 18% in expired air, 3% in bile and &lt;1% accumulated in tissue</w:t>
            </w:r>
            <w:r w:rsidR="00F4512A">
              <w:t>.</w:t>
            </w:r>
          </w:p>
          <w:p w14:paraId="432967F7" w14:textId="77777777" w:rsidR="00637A53" w:rsidRDefault="00637A53" w:rsidP="006A0B6D">
            <w:pPr>
              <w:pStyle w:val="Tabletextprimarysource"/>
            </w:pPr>
          </w:p>
          <w:p w14:paraId="3B4946ED" w14:textId="77777777" w:rsidR="00637A53" w:rsidRDefault="00637A53" w:rsidP="006A0B6D">
            <w:pPr>
              <w:pStyle w:val="Tabletextprimarysource"/>
            </w:pPr>
            <w:r>
              <w:t>A skin notation is not recommended based on low dermal toxicity observed in rabbits; slight dermal sensitisation effects reported in guinea pigs do not warrant a sensitiser notation. Insufficient data available to recommend a TLV-STEL.</w:t>
            </w:r>
          </w:p>
          <w:p w14:paraId="3C576CFA" w14:textId="0C0873A5" w:rsidR="00BB69B8" w:rsidRPr="00DA352E" w:rsidRDefault="00BB69B8" w:rsidP="006A0B6D">
            <w:pPr>
              <w:pStyle w:val="Tabletextprimarysource"/>
            </w:pPr>
          </w:p>
        </w:tc>
      </w:tr>
      <w:tr w:rsidR="00C978F0" w:rsidRPr="00DA352E" w14:paraId="179DC4D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57EAC1D" w14:textId="77F920A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86EAE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86EAE">
                  <w:t>Not assigned</w:t>
                </w:r>
              </w:sdtContent>
            </w:sdt>
          </w:p>
        </w:tc>
      </w:tr>
      <w:tr w:rsidR="00C978F0" w:rsidRPr="00DA352E" w14:paraId="0040F96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0DE0C0" w14:textId="4BCDE06A" w:rsidR="00F4512A" w:rsidRDefault="00F4512A" w:rsidP="003365A5">
            <w:pPr>
              <w:pStyle w:val="Tabletextprimarysource"/>
            </w:pPr>
            <w:r>
              <w:t>Summary of additional data:</w:t>
            </w:r>
          </w:p>
          <w:p w14:paraId="1E0E81A0" w14:textId="1A49D105" w:rsidR="00C978F0" w:rsidRDefault="00F4512A" w:rsidP="003365A5">
            <w:pPr>
              <w:pStyle w:val="Tabletextprimarysource"/>
            </w:pPr>
            <w:r>
              <w:t>Previous MAK of 15 mg/m</w:t>
            </w:r>
            <w:r>
              <w:rPr>
                <w:vertAlign w:val="superscript"/>
              </w:rPr>
              <w:t>3</w:t>
            </w:r>
            <w:r>
              <w:t xml:space="preserve"> withdrawn due to the publication of additional data that prompted re-evaluation. No MAK currently established due to the lack of a NOAEL</w:t>
            </w:r>
            <w:r w:rsidR="00580768">
              <w:t xml:space="preserve"> or adequate </w:t>
            </w:r>
            <w:r w:rsidR="00580768">
              <w:rPr>
                <w:i/>
              </w:rPr>
              <w:t xml:space="preserve">in vivo </w:t>
            </w:r>
            <w:r w:rsidR="00580768">
              <w:t>genotoxicity data</w:t>
            </w:r>
            <w:r>
              <w:t xml:space="preserve"> in the available animal </w:t>
            </w:r>
            <w:r w:rsidR="00580768">
              <w:t>studies</w:t>
            </w:r>
            <w:r>
              <w:t xml:space="preserve"> and </w:t>
            </w:r>
            <w:r w:rsidR="00580768">
              <w:t>insufficient</w:t>
            </w:r>
            <w:r>
              <w:t xml:space="preserve"> human exposure data. Data regarding skin absorption and sensitisation potential are not discussed.</w:t>
            </w:r>
            <w:r w:rsidR="002678BF">
              <w:t xml:space="preserve"> Embryotoxic at maternally toxic oral doses.</w:t>
            </w:r>
          </w:p>
          <w:p w14:paraId="2ABEFB75" w14:textId="73D1EEC2" w:rsidR="00F4512A" w:rsidRDefault="00A84283" w:rsidP="003365A5">
            <w:pPr>
              <w:pStyle w:val="Tabletextprimarysource"/>
            </w:pPr>
            <w:r>
              <w:t>Animal data:</w:t>
            </w:r>
          </w:p>
          <w:p w14:paraId="19339E58" w14:textId="77777777" w:rsidR="00A84283" w:rsidRDefault="00A84283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Can produce carcinogenic nitrosamines in combination with nitrite under acidic conditions, carcinogenicity has however not been affirmed in chronic animal studies</w:t>
            </w:r>
          </w:p>
          <w:p w14:paraId="47ED1CD1" w14:textId="31E9A9B4" w:rsidR="00A84283" w:rsidRDefault="00A84283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Repeat feeding study with exposure groups of 9, 37 and 96 mg/kg</w:t>
            </w:r>
            <w:r w:rsidR="00EA5FCB">
              <w:t>/d</w:t>
            </w:r>
            <w:r>
              <w:t xml:space="preserve"> (rats, 80 wk) reported reduced </w:t>
            </w:r>
            <w:r w:rsidR="006A0B6D">
              <w:t>body weight</w:t>
            </w:r>
            <w:r>
              <w:t xml:space="preserve"> gain and</w:t>
            </w:r>
            <w:r w:rsidR="006A0B6D">
              <w:t xml:space="preserve"> reduced</w:t>
            </w:r>
            <w:r>
              <w:t xml:space="preserve"> food consumption in all exposure groups</w:t>
            </w:r>
            <w:r w:rsidR="00BB69B8">
              <w:t>:</w:t>
            </w:r>
          </w:p>
          <w:p w14:paraId="02E79916" w14:textId="59608B18" w:rsidR="00A84283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r</w:t>
            </w:r>
            <w:r w:rsidR="000C7BE9">
              <w:t>educed spleen, thyroid and testes weights at 37 mg/kg</w:t>
            </w:r>
            <w:r w:rsidR="00EA5FCB">
              <w:t>/d</w:t>
            </w:r>
            <w:r w:rsidR="000C7BE9">
              <w:t xml:space="preserve"> (male rats)</w:t>
            </w:r>
          </w:p>
          <w:p w14:paraId="71DC8192" w14:textId="38696722" w:rsidR="000C7BE9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a</w:t>
            </w:r>
            <w:r w:rsidR="000C7BE9">
              <w:t>taxia, hair loss an</w:t>
            </w:r>
            <w:r w:rsidR="0044682A">
              <w:t>d</w:t>
            </w:r>
            <w:r w:rsidR="000C7BE9">
              <w:t xml:space="preserve"> paralysis in hind limbs at 96 mg/kg</w:t>
            </w:r>
            <w:r w:rsidR="00EA5FCB">
              <w:t>/d</w:t>
            </w:r>
            <w:r w:rsidR="000C7BE9">
              <w:t xml:space="preserve"> (female rats)</w:t>
            </w:r>
          </w:p>
          <w:p w14:paraId="26AC8BBB" w14:textId="46757D4F" w:rsidR="000C7BE9" w:rsidRDefault="000C7BE9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effect on fertility</w:t>
            </w:r>
            <w:r w:rsidR="002678BF">
              <w:t xml:space="preserve"> when treated males were mated with untreated females at </w:t>
            </w:r>
            <w:r w:rsidR="00BB69B8">
              <w:br/>
            </w:r>
            <w:r w:rsidR="002678BF">
              <w:t>23–109</w:t>
            </w:r>
            <w:r w:rsidR="0044682A">
              <w:t xml:space="preserve"> </w:t>
            </w:r>
            <w:r>
              <w:t>mg/kg</w:t>
            </w:r>
            <w:r w:rsidR="00EA5FCB">
              <w:t>/d</w:t>
            </w:r>
            <w:r>
              <w:t xml:space="preserve"> (rats, 13 wk); mortality and reduced </w:t>
            </w:r>
            <w:r w:rsidR="006A0B6D">
              <w:t>body weight</w:t>
            </w:r>
            <w:r>
              <w:t xml:space="preserve"> gain at 109 mg/kg</w:t>
            </w:r>
            <w:r w:rsidR="00EA5FCB">
              <w:t>/d</w:t>
            </w:r>
            <w:r w:rsidR="009B6108">
              <w:t>:</w:t>
            </w:r>
          </w:p>
          <w:p w14:paraId="17E8F1C6" w14:textId="10BBB2CC" w:rsidR="000C7BE9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</w:t>
            </w:r>
            <w:r w:rsidR="000C7BE9">
              <w:t>o effect on fertility when female rats were fed 15–51 mg/kg</w:t>
            </w:r>
            <w:r w:rsidR="00EA5FCB">
              <w:t>/d</w:t>
            </w:r>
            <w:r w:rsidR="000C7BE9">
              <w:t xml:space="preserve"> (2 wk)</w:t>
            </w:r>
            <w:r w:rsidR="002678BF">
              <w:t xml:space="preserve"> and mated with untreated males</w:t>
            </w:r>
          </w:p>
          <w:p w14:paraId="48545F42" w14:textId="77777777" w:rsidR="002678BF" w:rsidRDefault="002678BF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Mutagenic in some strains of </w:t>
            </w:r>
            <w:r>
              <w:rPr>
                <w:i/>
              </w:rPr>
              <w:t>Salmonella</w:t>
            </w:r>
            <w:r>
              <w:t xml:space="preserve"> at 1,000–5,000 µg/plate without metabolic activation; no </w:t>
            </w:r>
            <w:r>
              <w:rPr>
                <w:i/>
              </w:rPr>
              <w:t xml:space="preserve">in vivo </w:t>
            </w:r>
            <w:r>
              <w:t>data presented</w:t>
            </w:r>
          </w:p>
          <w:p w14:paraId="2D58C60B" w14:textId="15E5F277" w:rsidR="002678BF" w:rsidRDefault="002678BF" w:rsidP="006A0B6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Adverse neurologic effects observed </w:t>
            </w:r>
            <w:r w:rsidR="00580768">
              <w:t xml:space="preserve">after 3–4 mo </w:t>
            </w:r>
            <w:r>
              <w:t>in all groups of repeat feeding/carcinogenicity study with treatment range</w:t>
            </w:r>
            <w:r w:rsidR="00580768">
              <w:t>:</w:t>
            </w:r>
            <w:r>
              <w:t xml:space="preserve"> 2.5–250 mg/kg</w:t>
            </w:r>
            <w:r w:rsidR="00EA5FCB">
              <w:t>/d</w:t>
            </w:r>
            <w:r>
              <w:t xml:space="preserve"> (rats, 2 yr)</w:t>
            </w:r>
            <w:r w:rsidR="00BB69B8">
              <w:t>:</w:t>
            </w:r>
          </w:p>
          <w:p w14:paraId="60CFA6C1" w14:textId="01AC9770" w:rsidR="002678BF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c</w:t>
            </w:r>
            <w:r w:rsidR="002678BF">
              <w:t>hronic lung and kidney inflammation in older rats</w:t>
            </w:r>
          </w:p>
          <w:p w14:paraId="65A46703" w14:textId="40111680" w:rsidR="002678BF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b</w:t>
            </w:r>
            <w:r w:rsidR="002678BF">
              <w:t>rain lesions in highest dose group (unrelated to neurological effects)</w:t>
            </w:r>
          </w:p>
          <w:p w14:paraId="17FD02EC" w14:textId="77777777" w:rsidR="00580768" w:rsidRDefault="00EB6380" w:rsidP="006A0B6D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</w:t>
            </w:r>
            <w:r w:rsidR="002678BF">
              <w:t>o evidence for carcinogenicity</w:t>
            </w:r>
            <w:r w:rsidR="00580768">
              <w:t>.</w:t>
            </w:r>
          </w:p>
          <w:p w14:paraId="1A95CF5E" w14:textId="1BF819A8" w:rsidR="00BB69B8" w:rsidRPr="00F4512A" w:rsidRDefault="00BB69B8" w:rsidP="006A0B6D">
            <w:pPr>
              <w:pStyle w:val="Tabletextprimarysource"/>
            </w:pPr>
          </w:p>
        </w:tc>
      </w:tr>
      <w:tr w:rsidR="00C978F0" w:rsidRPr="00DA352E" w14:paraId="18E93D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7ACBD5B" w14:textId="51BD445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86EA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86EAE">
                  <w:t>NA</w:t>
                </w:r>
              </w:sdtContent>
            </w:sdt>
          </w:p>
        </w:tc>
      </w:tr>
      <w:tr w:rsidR="00C978F0" w:rsidRPr="00DA352E" w14:paraId="442AA7A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DDC064" w14:textId="47EE120C" w:rsidR="00C978F0" w:rsidRPr="00DA352E" w:rsidRDefault="00C86EAE" w:rsidP="003365A5">
            <w:pPr>
              <w:pStyle w:val="Tabletextprimarysource"/>
            </w:pPr>
            <w:r>
              <w:t>No report</w:t>
            </w:r>
            <w:r w:rsidR="003925D8">
              <w:t>.</w:t>
            </w:r>
          </w:p>
        </w:tc>
      </w:tr>
      <w:tr w:rsidR="00DA352E" w:rsidRPr="00DA352E" w14:paraId="0B4D942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36D8329" w14:textId="5E2E141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86EA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C86EAE">
                  <w:t>NA</w:t>
                </w:r>
              </w:sdtContent>
            </w:sdt>
          </w:p>
        </w:tc>
      </w:tr>
      <w:tr w:rsidR="00DA352E" w:rsidRPr="00DA352E" w14:paraId="54C839C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A39C1AF" w14:textId="670BDE86" w:rsidR="00DA352E" w:rsidRPr="00DA352E" w:rsidRDefault="00C86EAE" w:rsidP="003365A5">
            <w:pPr>
              <w:pStyle w:val="Tabletextprimarysource"/>
            </w:pPr>
            <w:r>
              <w:t>No report</w:t>
            </w:r>
            <w:r w:rsidR="003925D8">
              <w:t>.</w:t>
            </w:r>
          </w:p>
        </w:tc>
      </w:tr>
      <w:tr w:rsidR="00DA352E" w:rsidRPr="00DA352E" w14:paraId="3C38866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5D7404" w14:textId="56DB52F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86EA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86EAE">
                  <w:t>NA</w:t>
                </w:r>
              </w:sdtContent>
            </w:sdt>
          </w:p>
        </w:tc>
      </w:tr>
      <w:tr w:rsidR="00DA352E" w:rsidRPr="00DA352E" w14:paraId="5207A45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F8A2704" w14:textId="017F3624" w:rsidR="00DA352E" w:rsidRPr="00DA352E" w:rsidRDefault="00C86EAE" w:rsidP="003365A5">
            <w:pPr>
              <w:pStyle w:val="Tabletextprimarysource"/>
            </w:pPr>
            <w:r>
              <w:t>No report</w:t>
            </w:r>
            <w:r w:rsidR="003925D8">
              <w:t>.</w:t>
            </w:r>
          </w:p>
        </w:tc>
      </w:tr>
    </w:tbl>
    <w:p w14:paraId="0A394A72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51B63A14" w14:textId="77777777" w:rsidTr="003925D8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52E9B5E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6AF44B7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900DBD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70FDBFD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94F8A86" w14:textId="77777777" w:rsidTr="003925D8">
        <w:trPr>
          <w:cantSplit/>
        </w:trPr>
        <w:tc>
          <w:tcPr>
            <w:tcW w:w="1492" w:type="dxa"/>
          </w:tcPr>
          <w:p w14:paraId="62DEBC1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15E1EEEF" w14:textId="468C149D" w:rsidR="004966BF" w:rsidRPr="00CE617F" w:rsidRDefault="00C56F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5717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7980BFC" w14:textId="7092D24A" w:rsidR="004966BF" w:rsidRPr="004C23F4" w:rsidRDefault="0025717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1" w:type="dxa"/>
          </w:tcPr>
          <w:p w14:paraId="3F108F20" w14:textId="41E01C11" w:rsidR="004966BF" w:rsidRPr="004C23F4" w:rsidRDefault="00F4512A" w:rsidP="006A0B6D">
            <w:pPr>
              <w:pStyle w:val="ListBullet"/>
              <w:ind w:left="717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Tier I assessment: </w:t>
            </w:r>
            <w:r w:rsidR="00067D30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 xml:space="preserve">gricultural and therapeutic uses are excluded from </w:t>
            </w:r>
            <w:r w:rsidR="00257178">
              <w:rPr>
                <w:shd w:val="clear" w:color="auto" w:fill="FFFFFF"/>
              </w:rPr>
              <w:t>assessment</w:t>
            </w:r>
            <w:r w:rsidR="0056117A">
              <w:rPr>
                <w:shd w:val="clear" w:color="auto" w:fill="FFFFFF"/>
              </w:rPr>
              <w:t>.</w:t>
            </w:r>
          </w:p>
        </w:tc>
      </w:tr>
      <w:tr w:rsidR="004966BF" w:rsidRPr="004C23F4" w14:paraId="136ACA6E" w14:textId="77777777" w:rsidTr="003925D8">
        <w:trPr>
          <w:cantSplit/>
        </w:trPr>
        <w:tc>
          <w:tcPr>
            <w:tcW w:w="1492" w:type="dxa"/>
          </w:tcPr>
          <w:p w14:paraId="50854F57" w14:textId="77777777" w:rsidR="004966BF" w:rsidRPr="004C23F4" w:rsidRDefault="004966BF" w:rsidP="00224EE2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422" w:type="dxa"/>
          </w:tcPr>
          <w:p w14:paraId="25419BD7" w14:textId="6A47ED7B" w:rsidR="004966BF" w:rsidRPr="00CE617F" w:rsidRDefault="00C56F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5717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1045BC6" w14:textId="4CFFC8CF" w:rsidR="004966BF" w:rsidRPr="004C23F4" w:rsidRDefault="0025717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1976</w:t>
            </w:r>
          </w:p>
        </w:tc>
        <w:tc>
          <w:tcPr>
            <w:tcW w:w="6451" w:type="dxa"/>
          </w:tcPr>
          <w:p w14:paraId="519CFFE7" w14:textId="035846B7" w:rsidR="00B83297" w:rsidRDefault="001E7765" w:rsidP="006A0B6D">
            <w:pPr>
              <w:pStyle w:val="Tabletextprimarysource"/>
              <w:numPr>
                <w:ilvl w:val="0"/>
                <w:numId w:val="1"/>
              </w:numPr>
              <w:ind w:left="717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3925D8">
              <w:t>adverse</w:t>
            </w:r>
            <w:r>
              <w:rPr>
                <w:rStyle w:val="checkbox"/>
                <w:rFonts w:ascii="Arial" w:hAnsi="Arial" w:cs="Arial"/>
              </w:rPr>
              <w:t xml:space="preserve"> effects except brain lesions at highest dose group in 2</w:t>
            </w:r>
            <w:r w:rsidR="0044682A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yr feeding study, also cited in ACGIH (2018)</w:t>
            </w:r>
          </w:p>
          <w:p w14:paraId="4F766415" w14:textId="5ACBA59B" w:rsidR="00E04A71" w:rsidRDefault="00E04A71" w:rsidP="006A0B6D">
            <w:pPr>
              <w:pStyle w:val="Tabletextprimarysource"/>
              <w:numPr>
                <w:ilvl w:val="0"/>
                <w:numId w:val="1"/>
              </w:numPr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Induces accumulation of acetaldehyde when ingested with ethanol in </w:t>
            </w:r>
            <w:r w:rsidRPr="003925D8">
              <w:t>animals</w:t>
            </w:r>
            <w:r>
              <w:rPr>
                <w:rStyle w:val="checkbox"/>
                <w:rFonts w:ascii="Arial" w:hAnsi="Arial" w:cs="Arial"/>
              </w:rPr>
              <w:t xml:space="preserve"> (species not specified)</w:t>
            </w:r>
          </w:p>
          <w:p w14:paraId="5DF42E11" w14:textId="1E4267CB" w:rsidR="00E04A71" w:rsidRDefault="00E04A71" w:rsidP="006A0B6D">
            <w:pPr>
              <w:pStyle w:val="Tabletextprimarysource"/>
              <w:numPr>
                <w:ilvl w:val="0"/>
                <w:numId w:val="1"/>
              </w:numPr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Despite negative carcinogenicity, available data insufficient to determine carcinogenicity in animals</w:t>
            </w:r>
          </w:p>
          <w:p w14:paraId="7F419E81" w14:textId="0ED66B51" w:rsidR="00257178" w:rsidRPr="004C23F4" w:rsidRDefault="00E04A71" w:rsidP="006A0B6D">
            <w:pPr>
              <w:pStyle w:val="Tabletextprimarysource"/>
              <w:numPr>
                <w:ilvl w:val="0"/>
                <w:numId w:val="1"/>
              </w:numPr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Ferbam reacts with </w:t>
            </w:r>
            <w:r w:rsidRPr="003925D8">
              <w:t>nitrite</w:t>
            </w:r>
            <w:r>
              <w:rPr>
                <w:rStyle w:val="checkbox"/>
                <w:rFonts w:ascii="Arial" w:hAnsi="Arial" w:cs="Arial"/>
              </w:rPr>
              <w:t xml:space="preserve"> under acidic conditions to form nitrosamines</w:t>
            </w:r>
            <w:r w:rsidR="0044682A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0A60540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855E692" w14:textId="77777777" w:rsidTr="00067D30">
        <w:trPr>
          <w:trHeight w:val="454"/>
          <w:tblHeader/>
        </w:trPr>
        <w:tc>
          <w:tcPr>
            <w:tcW w:w="6597" w:type="dxa"/>
            <w:vAlign w:val="center"/>
          </w:tcPr>
          <w:p w14:paraId="2C83591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5FEBAED" w14:textId="217D089C" w:rsidR="002E0D61" w:rsidRDefault="00067D3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9DB41F2" w14:textId="77777777" w:rsidTr="00067D30">
        <w:trPr>
          <w:trHeight w:val="454"/>
        </w:trPr>
        <w:tc>
          <w:tcPr>
            <w:tcW w:w="6597" w:type="dxa"/>
            <w:vAlign w:val="center"/>
          </w:tcPr>
          <w:p w14:paraId="727B4C0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F206BFA" w14:textId="28BD90D8" w:rsidR="008A36CF" w:rsidRDefault="00067D3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BFF0D44" w14:textId="77777777" w:rsidTr="00067D3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0B7D9897" w14:textId="03AA7D37" w:rsidR="008A36CF" w:rsidRPr="006901A2" w:rsidRDefault="00067D3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C538AC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0742655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9B43E9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9368ED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D1214C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B6D808F" w14:textId="77777777" w:rsidTr="00812887">
        <w:trPr>
          <w:cantSplit/>
        </w:trPr>
        <w:tc>
          <w:tcPr>
            <w:tcW w:w="3227" w:type="dxa"/>
          </w:tcPr>
          <w:p w14:paraId="32D1B29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BE4518" w14:textId="21D7A111" w:rsidR="00687890" w:rsidRPr="00DD2F9B" w:rsidRDefault="00C1062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D0EBD07" w14:textId="77777777" w:rsidTr="00812887">
        <w:trPr>
          <w:cantSplit/>
        </w:trPr>
        <w:tc>
          <w:tcPr>
            <w:tcW w:w="3227" w:type="dxa"/>
          </w:tcPr>
          <w:p w14:paraId="62E9DBC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0A1DFAD" w14:textId="28EF20AC" w:rsidR="007925F0" w:rsidRPr="00DD2F9B" w:rsidRDefault="00C1062F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3B7B9C5" w14:textId="77777777" w:rsidTr="00812887">
        <w:trPr>
          <w:cantSplit/>
        </w:trPr>
        <w:tc>
          <w:tcPr>
            <w:tcW w:w="3227" w:type="dxa"/>
          </w:tcPr>
          <w:p w14:paraId="59766C7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F2BF08A" w14:textId="325EC494" w:rsidR="00AF483F" w:rsidRPr="00DD2F9B" w:rsidRDefault="00C1062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DE0E067" w14:textId="77777777" w:rsidTr="00812887">
        <w:trPr>
          <w:cantSplit/>
        </w:trPr>
        <w:tc>
          <w:tcPr>
            <w:tcW w:w="3227" w:type="dxa"/>
          </w:tcPr>
          <w:p w14:paraId="7A5E9A0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A47C1C2" w14:textId="16617750" w:rsidR="00687890" w:rsidRPr="00DD2F9B" w:rsidRDefault="00C1062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BD9A379" w14:textId="77777777" w:rsidTr="00812887">
        <w:trPr>
          <w:cantSplit/>
        </w:trPr>
        <w:tc>
          <w:tcPr>
            <w:tcW w:w="3227" w:type="dxa"/>
          </w:tcPr>
          <w:p w14:paraId="470DC0B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5A6D22B" w14:textId="39CC2E93" w:rsidR="00E41A26" w:rsidRPr="00DD2F9B" w:rsidRDefault="00C1062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BBEC09A" w14:textId="77777777" w:rsidTr="00812887">
        <w:trPr>
          <w:cantSplit/>
        </w:trPr>
        <w:tc>
          <w:tcPr>
            <w:tcW w:w="3227" w:type="dxa"/>
          </w:tcPr>
          <w:p w14:paraId="0761298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5821DD2" w14:textId="6BB4BCB9" w:rsidR="002E0D61" w:rsidRPr="00DD2F9B" w:rsidRDefault="00C1062F" w:rsidP="00DD2F9B">
            <w:pPr>
              <w:pStyle w:val="Tablefont"/>
            </w:pPr>
            <w:r w:rsidRPr="00C1062F">
              <w:t>Carcinogenicity – A4</w:t>
            </w:r>
          </w:p>
        </w:tc>
      </w:tr>
      <w:tr w:rsidR="002E0D61" w:rsidRPr="004C23F4" w14:paraId="54C56377" w14:textId="77777777" w:rsidTr="00812887">
        <w:trPr>
          <w:cantSplit/>
        </w:trPr>
        <w:tc>
          <w:tcPr>
            <w:tcW w:w="3227" w:type="dxa"/>
          </w:tcPr>
          <w:p w14:paraId="3FEFC07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BB6897D" w14:textId="204B4DF4" w:rsidR="002E0D61" w:rsidRPr="00DD2F9B" w:rsidRDefault="00C1062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1815B93" w14:textId="77777777" w:rsidTr="00812887">
        <w:trPr>
          <w:cantSplit/>
        </w:trPr>
        <w:tc>
          <w:tcPr>
            <w:tcW w:w="3227" w:type="dxa"/>
          </w:tcPr>
          <w:p w14:paraId="3385AB2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A04496B" w14:textId="687271C4" w:rsidR="002E0D61" w:rsidRPr="00DD2F9B" w:rsidRDefault="00C106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371BCC5" w14:textId="77777777" w:rsidTr="00812887">
        <w:trPr>
          <w:cantSplit/>
        </w:trPr>
        <w:tc>
          <w:tcPr>
            <w:tcW w:w="3227" w:type="dxa"/>
          </w:tcPr>
          <w:p w14:paraId="5AA2D7B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43B567D" w14:textId="53B13F1E" w:rsidR="002E0D61" w:rsidRPr="00DD2F9B" w:rsidRDefault="00C1062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C25F04" w14:textId="77777777" w:rsidTr="00812887">
        <w:trPr>
          <w:cantSplit/>
        </w:trPr>
        <w:tc>
          <w:tcPr>
            <w:tcW w:w="3227" w:type="dxa"/>
          </w:tcPr>
          <w:p w14:paraId="1D63B6B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56592EE" w14:textId="0412F57B" w:rsidR="00386093" w:rsidRPr="00DD2F9B" w:rsidRDefault="00C1062F" w:rsidP="00DD2F9B">
            <w:pPr>
              <w:pStyle w:val="Tablefont"/>
            </w:pPr>
            <w:r w:rsidRPr="00C1062F">
              <w:t>Carcinogenicity – Group 3</w:t>
            </w:r>
          </w:p>
        </w:tc>
      </w:tr>
      <w:tr w:rsidR="00386093" w:rsidRPr="004C23F4" w14:paraId="61865B07" w14:textId="77777777" w:rsidTr="00812887">
        <w:trPr>
          <w:cantSplit/>
        </w:trPr>
        <w:tc>
          <w:tcPr>
            <w:tcW w:w="3227" w:type="dxa"/>
          </w:tcPr>
          <w:p w14:paraId="5FC4233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2891F67" w14:textId="41F50CAF" w:rsidR="00386093" w:rsidRPr="00DD2F9B" w:rsidRDefault="00A12DC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A5F069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A8DBB8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686817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A602C0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023CBC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983"/>
              <w:gridCol w:w="774"/>
              <w:gridCol w:w="266"/>
              <w:gridCol w:w="3787"/>
            </w:tblGrid>
            <w:tr w:rsidR="00067D30" w:rsidRPr="00067D30" w14:paraId="3EB2C86C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8D2249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690F4F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7CF370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93C9D6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04226EFD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BF9B1E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AEBD78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A769E7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969D6E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016AB896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089436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2AAD37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43E967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5DE6C3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6D1F9068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37FBA0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BD1E9D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4C4B38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EE898C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667D559D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F3C9BC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8F1721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76FAC6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7F30BB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5A517161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4A6696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4E80AD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AB542D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C90855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67D30" w:rsidRPr="00067D30" w14:paraId="578AAC37" w14:textId="77777777" w:rsidTr="00067D30">
              <w:trPr>
                <w:trHeight w:val="120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77818A" w14:textId="77777777" w:rsidR="00067D30" w:rsidRPr="00067D30" w:rsidRDefault="00067D30" w:rsidP="00067D3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B142CE" w14:textId="77777777" w:rsidR="00067D30" w:rsidRPr="00067D30" w:rsidRDefault="00067D30" w:rsidP="00067D3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5CB11B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0316B2" w14:textId="77777777" w:rsidR="00067D30" w:rsidRPr="00067D30" w:rsidRDefault="00067D30" w:rsidP="00067D3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67D3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212128B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84D35DC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776231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51804F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583AC50" w14:textId="61DFBE2C" w:rsidR="00EB3D1B" w:rsidRDefault="00A12DC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A2D4C1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6D030D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6CD490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C7670C0" w14:textId="0FB41384" w:rsidR="001B79E5" w:rsidRDefault="00A12DC5" w:rsidP="001B79E5">
                <w:pPr>
                  <w:pStyle w:val="Tablefont"/>
                </w:pPr>
                <w:r w:rsidRPr="00A12DC5">
                  <w:t>416.5</w:t>
                </w:r>
              </w:p>
            </w:tc>
          </w:sdtContent>
        </w:sdt>
      </w:tr>
      <w:tr w:rsidR="00A31D99" w:rsidRPr="004C23F4" w14:paraId="0BA94E7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EF9A8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208EE4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8590EF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34FC8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C9CA0D" w14:textId="7B55DCBB" w:rsidR="00687890" w:rsidRPr="004C23F4" w:rsidRDefault="0025717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EE73B0E" w14:textId="77777777" w:rsidTr="00EA6243">
        <w:trPr>
          <w:cantSplit/>
        </w:trPr>
        <w:tc>
          <w:tcPr>
            <w:tcW w:w="4077" w:type="dxa"/>
            <w:vAlign w:val="center"/>
          </w:tcPr>
          <w:p w14:paraId="6B9F128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097E98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1F4A53" w14:textId="77777777" w:rsidTr="00EA6243">
        <w:trPr>
          <w:cantSplit/>
        </w:trPr>
        <w:tc>
          <w:tcPr>
            <w:tcW w:w="4077" w:type="dxa"/>
            <w:vAlign w:val="center"/>
          </w:tcPr>
          <w:p w14:paraId="37D185D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0774F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B595C1E" w14:textId="77777777" w:rsidTr="00EA6243">
        <w:trPr>
          <w:cantSplit/>
        </w:trPr>
        <w:tc>
          <w:tcPr>
            <w:tcW w:w="4077" w:type="dxa"/>
            <w:vAlign w:val="center"/>
          </w:tcPr>
          <w:p w14:paraId="5C73324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A5CF615" w14:textId="77777777" w:rsidR="00E06F40" w:rsidRPr="00A006A0" w:rsidRDefault="00C56F5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E2FD89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C95C12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C95160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E7C2B4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FA117C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820A88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7EDFA1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21A270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058FE02" w14:textId="104AF7E0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71400AD" w14:textId="1E8EF41B" w:rsidR="00A12DC5" w:rsidRDefault="00A12DC5" w:rsidP="00084859">
      <w:r>
        <w:t xml:space="preserve">Deutsche Forschungsgemeinschaft (DFG) (2003) </w:t>
      </w:r>
      <w:r w:rsidRPr="00A12DC5">
        <w:t>Ferbam</w:t>
      </w:r>
      <w:r>
        <w:t xml:space="preserve"> – MAK value documentation.</w:t>
      </w:r>
    </w:p>
    <w:p w14:paraId="085F6C5D" w14:textId="77777777" w:rsidR="0044682A" w:rsidRDefault="0044682A" w:rsidP="0044682A">
      <w:r>
        <w:t xml:space="preserve">European Chemicals Agency (ECHA) (2016) </w:t>
      </w:r>
      <w:r w:rsidRPr="00A12DC5">
        <w:t>Ferbam</w:t>
      </w:r>
      <w:r>
        <w:t xml:space="preserve"> – REACH assessment.</w:t>
      </w:r>
    </w:p>
    <w:p w14:paraId="1A7264CE" w14:textId="1A820557" w:rsidR="00A12DC5" w:rsidRDefault="00A12DC5" w:rsidP="00084859">
      <w:r>
        <w:t>International Agency for Research on Cancer (IARC) (</w:t>
      </w:r>
      <w:r w:rsidR="00067D30">
        <w:t>1976</w:t>
      </w:r>
      <w:r>
        <w:t xml:space="preserve">) </w:t>
      </w:r>
      <w:r w:rsidRPr="00A12DC5">
        <w:t>Ferbam</w:t>
      </w:r>
      <w:r>
        <w:t>. IARC Monographs on the evaluation of the carcinogenic risk to humans</w:t>
      </w:r>
      <w:r w:rsidR="00067D30">
        <w:t>, volume 12</w:t>
      </w:r>
      <w:r>
        <w:t>.</w:t>
      </w:r>
    </w:p>
    <w:p w14:paraId="1DBAF4C0" w14:textId="77777777" w:rsidR="0044682A" w:rsidRPr="009E3A68" w:rsidRDefault="0044682A" w:rsidP="0044682A">
      <w:pPr>
        <w:rPr>
          <w:b/>
        </w:rPr>
      </w:pPr>
      <w:r w:rsidRPr="002022B6">
        <w:t>National Industrial Chemicals Notification and Assessment Scheme (NICNAS)</w:t>
      </w:r>
      <w:r>
        <w:t xml:space="preserve"> (2018) </w:t>
      </w:r>
      <w:r w:rsidRPr="00257178">
        <w:t>Iron, tris(dimethylcarbamodithioato-S,S')-, (OC-6-11)-</w:t>
      </w:r>
      <w:r w:rsidRPr="0071660C">
        <w:t xml:space="preserve">: Human health </w:t>
      </w:r>
      <w:r>
        <w:t xml:space="preserve">tier I </w:t>
      </w:r>
      <w:r w:rsidRPr="0071660C">
        <w:t>assessment</w:t>
      </w:r>
      <w:r>
        <w:t xml:space="preserve"> – IMAP report.</w:t>
      </w:r>
    </w:p>
    <w:p w14:paraId="2B782E5A" w14:textId="6FC9DE07" w:rsidR="003925D8" w:rsidRDefault="003925D8" w:rsidP="003925D8">
      <w:r>
        <w:t xml:space="preserve">US National Institute for Occupational Safety and Health (NIOSH) (1994) Immediately dangerous to life or health concentrations – Ferbam. </w:t>
      </w:r>
    </w:p>
    <w:p w14:paraId="3BBE7424" w14:textId="184BCD26" w:rsidR="00A12DC5" w:rsidRDefault="00A12DC5" w:rsidP="00084859"/>
    <w:p w14:paraId="3621A23B" w14:textId="153EB71C" w:rsidR="00257178" w:rsidRPr="009E3A68" w:rsidRDefault="00257178" w:rsidP="00084859">
      <w:pPr>
        <w:rPr>
          <w:b/>
        </w:rPr>
      </w:pPr>
    </w:p>
    <w:sectPr w:rsidR="00257178" w:rsidRPr="009E3A68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EA4A5" w16cid:durableId="2199D879"/>
  <w16cid:commentId w16cid:paraId="1E048F9B" w16cid:durableId="2199D9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2C88" w14:textId="77777777" w:rsidR="00D36087" w:rsidRDefault="00D36087" w:rsidP="00F43AD5">
      <w:pPr>
        <w:spacing w:after="0" w:line="240" w:lineRule="auto"/>
      </w:pPr>
      <w:r>
        <w:separator/>
      </w:r>
    </w:p>
  </w:endnote>
  <w:endnote w:type="continuationSeparator" w:id="0">
    <w:p w14:paraId="1B8841C2" w14:textId="77777777" w:rsidR="00D36087" w:rsidRDefault="00D3608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D3EB" w14:textId="77777777" w:rsidR="00C56F50" w:rsidRDefault="00C56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79CF132" w14:textId="26CC1F7C" w:rsidR="008A36CF" w:rsidRDefault="00B856B3" w:rsidP="0034744C">
        <w:pPr>
          <w:pStyle w:val="Footer"/>
          <w:rPr>
            <w:sz w:val="18"/>
            <w:szCs w:val="18"/>
          </w:rPr>
        </w:pPr>
        <w:r w:rsidRPr="00B856B3">
          <w:rPr>
            <w:b/>
            <w:sz w:val="18"/>
            <w:szCs w:val="18"/>
          </w:rPr>
          <w:t>Ferbam</w:t>
        </w:r>
        <w:r w:rsidR="008A36CF">
          <w:rPr>
            <w:b/>
            <w:sz w:val="18"/>
            <w:szCs w:val="18"/>
          </w:rPr>
          <w:t xml:space="preserve"> (</w:t>
        </w:r>
        <w:r w:rsidR="00C86EAE" w:rsidRPr="00C86EAE">
          <w:rPr>
            <w:b/>
            <w:sz w:val="18"/>
            <w:szCs w:val="18"/>
          </w:rPr>
          <w:t>14484-64-1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ADDEF6C" w14:textId="12A43C7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56F50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15B5" w14:textId="77777777" w:rsidR="00C56F50" w:rsidRDefault="00C56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C7233" w14:textId="77777777" w:rsidR="00D36087" w:rsidRDefault="00D36087" w:rsidP="00F43AD5">
      <w:pPr>
        <w:spacing w:after="0" w:line="240" w:lineRule="auto"/>
      </w:pPr>
      <w:r>
        <w:separator/>
      </w:r>
    </w:p>
  </w:footnote>
  <w:footnote w:type="continuationSeparator" w:id="0">
    <w:p w14:paraId="0544CB4C" w14:textId="77777777" w:rsidR="00D36087" w:rsidRDefault="00D3608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7111" w14:textId="77777777" w:rsidR="00C56F50" w:rsidRDefault="00C56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55D0" w14:textId="700A91FB" w:rsidR="00C56F50" w:rsidRDefault="00C56F50" w:rsidP="00C56F50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3577DB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23F0F50" wp14:editId="79BD58F4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B788C" w14:textId="71BE8817" w:rsidR="008A36CF" w:rsidRPr="00C56F50" w:rsidRDefault="008A36CF" w:rsidP="00C56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04C35" w14:textId="77777777" w:rsidR="00C56F50" w:rsidRDefault="00C56F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453C" w14:textId="49F11253" w:rsidR="00C56F50" w:rsidRDefault="00C56F50" w:rsidP="00C56F50">
    <w:pPr>
      <w:pStyle w:val="Header"/>
      <w:jc w:val="right"/>
    </w:pPr>
    <w:sdt>
      <w:sdtPr>
        <w:id w:val="-1457317976"/>
        <w:docPartObj>
          <w:docPartGallery w:val="Watermarks"/>
          <w:docPartUnique/>
        </w:docPartObj>
      </w:sdtPr>
      <w:sdtContent>
        <w:r>
          <w:pict w14:anchorId="03F585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D1DF18F" wp14:editId="0F9B0A91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BCF88" w14:textId="77777777" w:rsidR="008A36CF" w:rsidRDefault="008A36CF" w:rsidP="00F43AD5">
    <w:pPr>
      <w:pStyle w:val="Header"/>
      <w:jc w:val="right"/>
    </w:pPr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DA3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97124"/>
    <w:multiLevelType w:val="hybridMultilevel"/>
    <w:tmpl w:val="F774A646"/>
    <w:lvl w:ilvl="0" w:tplc="337ECCA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72BC"/>
    <w:multiLevelType w:val="hybridMultilevel"/>
    <w:tmpl w:val="DACC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63210"/>
    <w:multiLevelType w:val="hybridMultilevel"/>
    <w:tmpl w:val="0A26D82A"/>
    <w:lvl w:ilvl="0" w:tplc="4A121D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D30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BE9"/>
    <w:rsid w:val="000D291C"/>
    <w:rsid w:val="000E5A54"/>
    <w:rsid w:val="000E63D3"/>
    <w:rsid w:val="000E67CF"/>
    <w:rsid w:val="0010461E"/>
    <w:rsid w:val="00106FAA"/>
    <w:rsid w:val="00113443"/>
    <w:rsid w:val="001269A7"/>
    <w:rsid w:val="00127E96"/>
    <w:rsid w:val="00131092"/>
    <w:rsid w:val="00140E6A"/>
    <w:rsid w:val="00146545"/>
    <w:rsid w:val="00146B75"/>
    <w:rsid w:val="0015266D"/>
    <w:rsid w:val="0015288A"/>
    <w:rsid w:val="00160F47"/>
    <w:rsid w:val="001648E6"/>
    <w:rsid w:val="00177CA1"/>
    <w:rsid w:val="00183823"/>
    <w:rsid w:val="00183942"/>
    <w:rsid w:val="001A009E"/>
    <w:rsid w:val="001A1287"/>
    <w:rsid w:val="001A3859"/>
    <w:rsid w:val="001A3C9D"/>
    <w:rsid w:val="001A43F8"/>
    <w:rsid w:val="001B4F18"/>
    <w:rsid w:val="001B79E5"/>
    <w:rsid w:val="001D56F0"/>
    <w:rsid w:val="001D663B"/>
    <w:rsid w:val="001D7B41"/>
    <w:rsid w:val="001E46DA"/>
    <w:rsid w:val="001E7765"/>
    <w:rsid w:val="001E7D80"/>
    <w:rsid w:val="001F4B6C"/>
    <w:rsid w:val="001F62CB"/>
    <w:rsid w:val="001F6ED0"/>
    <w:rsid w:val="001F72E6"/>
    <w:rsid w:val="001F73C5"/>
    <w:rsid w:val="00203522"/>
    <w:rsid w:val="002046A6"/>
    <w:rsid w:val="00204956"/>
    <w:rsid w:val="00204E0C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178"/>
    <w:rsid w:val="0025734A"/>
    <w:rsid w:val="00263255"/>
    <w:rsid w:val="002678BF"/>
    <w:rsid w:val="00272E23"/>
    <w:rsid w:val="002755D9"/>
    <w:rsid w:val="00276494"/>
    <w:rsid w:val="00277B0C"/>
    <w:rsid w:val="002B1A2C"/>
    <w:rsid w:val="002C34F2"/>
    <w:rsid w:val="002C58FF"/>
    <w:rsid w:val="002C7AFE"/>
    <w:rsid w:val="002D05D2"/>
    <w:rsid w:val="002D1BA7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2ACA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25D8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682A"/>
    <w:rsid w:val="004509E2"/>
    <w:rsid w:val="004515EE"/>
    <w:rsid w:val="004529F0"/>
    <w:rsid w:val="00460A03"/>
    <w:rsid w:val="00472A11"/>
    <w:rsid w:val="00472AAD"/>
    <w:rsid w:val="00473643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088E"/>
    <w:rsid w:val="005142C4"/>
    <w:rsid w:val="0051509C"/>
    <w:rsid w:val="005272E2"/>
    <w:rsid w:val="0053108F"/>
    <w:rsid w:val="00532B56"/>
    <w:rsid w:val="00534908"/>
    <w:rsid w:val="00534B10"/>
    <w:rsid w:val="005446A2"/>
    <w:rsid w:val="00544D2F"/>
    <w:rsid w:val="00551BD8"/>
    <w:rsid w:val="0056117A"/>
    <w:rsid w:val="0058076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C3E"/>
    <w:rsid w:val="005E6979"/>
    <w:rsid w:val="005E75CB"/>
    <w:rsid w:val="006013C1"/>
    <w:rsid w:val="0060669E"/>
    <w:rsid w:val="00610F2E"/>
    <w:rsid w:val="00611399"/>
    <w:rsid w:val="00624C4E"/>
    <w:rsid w:val="00625200"/>
    <w:rsid w:val="00634D13"/>
    <w:rsid w:val="006363A8"/>
    <w:rsid w:val="00636DB7"/>
    <w:rsid w:val="00637A53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B6D"/>
    <w:rsid w:val="006A3EC9"/>
    <w:rsid w:val="006B160A"/>
    <w:rsid w:val="006B4E6C"/>
    <w:rsid w:val="006B50B6"/>
    <w:rsid w:val="006D79EA"/>
    <w:rsid w:val="006E5D05"/>
    <w:rsid w:val="006F0E8E"/>
    <w:rsid w:val="00701053"/>
    <w:rsid w:val="00701507"/>
    <w:rsid w:val="00714021"/>
    <w:rsid w:val="00715067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2E11"/>
    <w:rsid w:val="007A7C45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90F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111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7D8"/>
    <w:rsid w:val="00946044"/>
    <w:rsid w:val="0094660B"/>
    <w:rsid w:val="00946A33"/>
    <w:rsid w:val="0095260E"/>
    <w:rsid w:val="009578DD"/>
    <w:rsid w:val="00960B95"/>
    <w:rsid w:val="00961124"/>
    <w:rsid w:val="009621B6"/>
    <w:rsid w:val="00974C91"/>
    <w:rsid w:val="00974F2D"/>
    <w:rsid w:val="00977524"/>
    <w:rsid w:val="00977E88"/>
    <w:rsid w:val="00984920"/>
    <w:rsid w:val="00985C42"/>
    <w:rsid w:val="0099303A"/>
    <w:rsid w:val="009971C2"/>
    <w:rsid w:val="009A1254"/>
    <w:rsid w:val="009B2FF2"/>
    <w:rsid w:val="009B380C"/>
    <w:rsid w:val="009B4843"/>
    <w:rsid w:val="009B6108"/>
    <w:rsid w:val="009B6543"/>
    <w:rsid w:val="009C03B4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3A68"/>
    <w:rsid w:val="009E63E2"/>
    <w:rsid w:val="009F04D2"/>
    <w:rsid w:val="009F05CF"/>
    <w:rsid w:val="009F0F3A"/>
    <w:rsid w:val="00A01D0C"/>
    <w:rsid w:val="00A0643F"/>
    <w:rsid w:val="00A067EE"/>
    <w:rsid w:val="00A10FCE"/>
    <w:rsid w:val="00A12DC5"/>
    <w:rsid w:val="00A1655B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53BF"/>
    <w:rsid w:val="00A84283"/>
    <w:rsid w:val="00A84504"/>
    <w:rsid w:val="00A8672F"/>
    <w:rsid w:val="00A93057"/>
    <w:rsid w:val="00A968B0"/>
    <w:rsid w:val="00AA39DB"/>
    <w:rsid w:val="00AB2672"/>
    <w:rsid w:val="00AB2817"/>
    <w:rsid w:val="00AB43C4"/>
    <w:rsid w:val="00AB7235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21F7"/>
    <w:rsid w:val="00B40C60"/>
    <w:rsid w:val="00B479A9"/>
    <w:rsid w:val="00B52EDF"/>
    <w:rsid w:val="00B64C7C"/>
    <w:rsid w:val="00B71188"/>
    <w:rsid w:val="00B76A41"/>
    <w:rsid w:val="00B83297"/>
    <w:rsid w:val="00B856B3"/>
    <w:rsid w:val="00B87D4C"/>
    <w:rsid w:val="00B93646"/>
    <w:rsid w:val="00BA0B38"/>
    <w:rsid w:val="00BA1DBB"/>
    <w:rsid w:val="00BA4510"/>
    <w:rsid w:val="00BA529A"/>
    <w:rsid w:val="00BB612A"/>
    <w:rsid w:val="00BB69B8"/>
    <w:rsid w:val="00BD0255"/>
    <w:rsid w:val="00BD499F"/>
    <w:rsid w:val="00BD56DE"/>
    <w:rsid w:val="00BF2406"/>
    <w:rsid w:val="00C06E43"/>
    <w:rsid w:val="00C1062F"/>
    <w:rsid w:val="00C16315"/>
    <w:rsid w:val="00C3091E"/>
    <w:rsid w:val="00C40FF1"/>
    <w:rsid w:val="00C419E2"/>
    <w:rsid w:val="00C5020E"/>
    <w:rsid w:val="00C56F50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6EAE"/>
    <w:rsid w:val="00C978F0"/>
    <w:rsid w:val="00CA51E8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348"/>
    <w:rsid w:val="00D334D1"/>
    <w:rsid w:val="00D33B0C"/>
    <w:rsid w:val="00D36087"/>
    <w:rsid w:val="00D44C89"/>
    <w:rsid w:val="00D45F74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4A71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1458"/>
    <w:rsid w:val="00E82337"/>
    <w:rsid w:val="00E92499"/>
    <w:rsid w:val="00E949AF"/>
    <w:rsid w:val="00E96077"/>
    <w:rsid w:val="00EA0A06"/>
    <w:rsid w:val="00EA5FCB"/>
    <w:rsid w:val="00EA6243"/>
    <w:rsid w:val="00EA74AB"/>
    <w:rsid w:val="00EB3D1B"/>
    <w:rsid w:val="00EB6380"/>
    <w:rsid w:val="00EC06B6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C62"/>
    <w:rsid w:val="00F43AD5"/>
    <w:rsid w:val="00F4402E"/>
    <w:rsid w:val="00F4512A"/>
    <w:rsid w:val="00F56DD0"/>
    <w:rsid w:val="00F6491C"/>
    <w:rsid w:val="00F67BBB"/>
    <w:rsid w:val="00F82FD5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0256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E04A71"/>
    <w:pPr>
      <w:numPr>
        <w:numId w:val="3"/>
      </w:num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9E3A68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7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7D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7D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F9AE3847FB24379B6470140CE4A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C33A-A19A-4917-AB00-B61DA38E4A99}"/>
      </w:docPartPr>
      <w:docPartBody>
        <w:p w:rsidR="0052632F" w:rsidRDefault="00B33FE2" w:rsidP="00B33FE2">
          <w:pPr>
            <w:pStyle w:val="3F9AE3847FB24379B6470140CE4ADDF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A7EA1"/>
    <w:rsid w:val="0052632F"/>
    <w:rsid w:val="009E798E"/>
    <w:rsid w:val="00B33FE2"/>
    <w:rsid w:val="00D21A9F"/>
    <w:rsid w:val="00F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FE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1ECCA72679B4FA19A03A1CC1A29C3BE">
    <w:name w:val="D1ECCA72679B4FA19A03A1CC1A29C3BE"/>
    <w:rsid w:val="009E798E"/>
  </w:style>
  <w:style w:type="paragraph" w:customStyle="1" w:styleId="9DE552B2F4E24CE78CCA578EAC15C167">
    <w:name w:val="9DE552B2F4E24CE78CCA578EAC15C167"/>
    <w:rsid w:val="009E798E"/>
  </w:style>
  <w:style w:type="paragraph" w:customStyle="1" w:styleId="5E5F143A2010400FA8FD931648D3A576">
    <w:name w:val="5E5F143A2010400FA8FD931648D3A576"/>
    <w:rsid w:val="009E798E"/>
  </w:style>
  <w:style w:type="paragraph" w:customStyle="1" w:styleId="31FAD9663AB0470F9D02F2D246389D87">
    <w:name w:val="31FAD9663AB0470F9D02F2D246389D87"/>
    <w:rsid w:val="009E798E"/>
  </w:style>
  <w:style w:type="paragraph" w:customStyle="1" w:styleId="E1F68E1876E049B1922B7264C9E38736">
    <w:name w:val="E1F68E1876E049B1922B7264C9E38736"/>
    <w:rsid w:val="009E798E"/>
  </w:style>
  <w:style w:type="paragraph" w:customStyle="1" w:styleId="26AC5A9232F943AA809889A1EF2690CA">
    <w:name w:val="26AC5A9232F943AA809889A1EF2690CA"/>
    <w:rsid w:val="009E798E"/>
  </w:style>
  <w:style w:type="paragraph" w:customStyle="1" w:styleId="6470FB1919E34161B431D5A1B4689276">
    <w:name w:val="6470FB1919E34161B431D5A1B4689276"/>
    <w:rsid w:val="009E798E"/>
  </w:style>
  <w:style w:type="paragraph" w:customStyle="1" w:styleId="0E391C5863A9467586E7C0E594DFA03F">
    <w:name w:val="0E391C5863A9467586E7C0E594DFA03F"/>
    <w:rsid w:val="009E798E"/>
  </w:style>
  <w:style w:type="paragraph" w:customStyle="1" w:styleId="8E11EED1B78849AD80298342ED165780">
    <w:name w:val="8E11EED1B78849AD80298342ED165780"/>
    <w:rsid w:val="001A7EA1"/>
  </w:style>
  <w:style w:type="paragraph" w:customStyle="1" w:styleId="9AE9F65555964301941F5415EB15FCE3">
    <w:name w:val="9AE9F65555964301941F5415EB15FCE3"/>
    <w:rsid w:val="001A7EA1"/>
  </w:style>
  <w:style w:type="paragraph" w:customStyle="1" w:styleId="0D198972225C40F0A0F30E5DBEEF20E4">
    <w:name w:val="0D198972225C40F0A0F30E5DBEEF20E4"/>
    <w:rsid w:val="001A7EA1"/>
  </w:style>
  <w:style w:type="paragraph" w:customStyle="1" w:styleId="9C88E051074148FEAC0D5E93AB5DB60C">
    <w:name w:val="9C88E051074148FEAC0D5E93AB5DB60C"/>
    <w:rsid w:val="001A7EA1"/>
  </w:style>
  <w:style w:type="paragraph" w:customStyle="1" w:styleId="1153ABA164F34C2F8B5BCCD65D82BA5C">
    <w:name w:val="1153ABA164F34C2F8B5BCCD65D82BA5C"/>
    <w:rsid w:val="001A7EA1"/>
  </w:style>
  <w:style w:type="paragraph" w:customStyle="1" w:styleId="8C447749C9634A3A96380A31AF976C65">
    <w:name w:val="8C447749C9634A3A96380A31AF976C65"/>
    <w:rsid w:val="001A7EA1"/>
  </w:style>
  <w:style w:type="paragraph" w:customStyle="1" w:styleId="3F9AE3847FB24379B6470140CE4ADDF0">
    <w:name w:val="3F9AE3847FB24379B6470140CE4ADDF0"/>
    <w:rsid w:val="00B33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F390BF-ECA5-4FB1-92A4-09AA86E0B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89AFE-B6C9-471F-8812-A3274FD2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59436C59.dotm</Template>
  <TotalTime>1630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31</cp:revision>
  <cp:lastPrinted>2018-10-22T22:41:00Z</cp:lastPrinted>
  <dcterms:created xsi:type="dcterms:W3CDTF">2019-08-28T22:24:00Z</dcterms:created>
  <dcterms:modified xsi:type="dcterms:W3CDTF">2020-01-15T03:20:00Z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