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0099429" w14:textId="7E84CEAD" w:rsidR="00BD499F" w:rsidRPr="004C23F4" w:rsidRDefault="00F01FB3" w:rsidP="00B40C60">
          <w:pPr>
            <w:pStyle w:val="Heading1"/>
            <w:jc w:val="center"/>
            <w:rPr>
              <w:rFonts w:ascii="Arial" w:hAnsi="Arial" w:cs="Arial"/>
            </w:rPr>
          </w:pPr>
          <w:r w:rsidRPr="00F01FB3">
            <w:rPr>
              <w:rFonts w:ascii="Arial" w:hAnsi="Arial" w:cs="Arial"/>
            </w:rPr>
            <w:t>Furfural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21DB0ECF" w14:textId="77777777" w:rsidTr="00B76A41">
        <w:trPr>
          <w:cantSplit/>
          <w:tblHeader/>
        </w:trPr>
        <w:tc>
          <w:tcPr>
            <w:tcW w:w="4077" w:type="dxa"/>
          </w:tcPr>
          <w:p w14:paraId="4A85B8E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713E8EA" w14:textId="779FB0C4" w:rsidR="00F43AD5" w:rsidRPr="00717D45" w:rsidRDefault="00F01FB3" w:rsidP="00B76A41">
            <w:pPr>
              <w:pStyle w:val="Tablefont"/>
            </w:pPr>
            <w:r w:rsidRPr="00F01FB3">
              <w:t>98-01-1</w:t>
            </w:r>
          </w:p>
        </w:tc>
      </w:tr>
      <w:tr w:rsidR="00F43AD5" w:rsidRPr="004C23F4" w14:paraId="21A7104F" w14:textId="77777777" w:rsidTr="00B76A41">
        <w:trPr>
          <w:cantSplit/>
        </w:trPr>
        <w:tc>
          <w:tcPr>
            <w:tcW w:w="4077" w:type="dxa"/>
          </w:tcPr>
          <w:p w14:paraId="6BD3DEB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A13B8D8" w14:textId="58EDA21A" w:rsidR="00F43AD5" w:rsidRPr="00717D45" w:rsidRDefault="00F01FB3" w:rsidP="00B76A41">
            <w:pPr>
              <w:pStyle w:val="Tablefont"/>
            </w:pPr>
            <w:r>
              <w:t>2-Furaldehyde, 2-furancarboxyadehyde</w:t>
            </w:r>
          </w:p>
        </w:tc>
      </w:tr>
      <w:tr w:rsidR="00F43AD5" w:rsidRPr="004C23F4" w14:paraId="284B4525" w14:textId="77777777" w:rsidTr="00B76A41">
        <w:trPr>
          <w:cantSplit/>
        </w:trPr>
        <w:tc>
          <w:tcPr>
            <w:tcW w:w="4077" w:type="dxa"/>
          </w:tcPr>
          <w:p w14:paraId="2129786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EFBADE7" w14:textId="257AF5C9" w:rsidR="00F43AD5" w:rsidRPr="00717D45" w:rsidRDefault="00F01FB3" w:rsidP="00B76A41">
            <w:pPr>
              <w:pStyle w:val="Tablefont"/>
            </w:pPr>
            <w:r>
              <w:t>C</w:t>
            </w:r>
            <w:r w:rsidRPr="00F01FB3">
              <w:rPr>
                <w:vertAlign w:val="subscript"/>
              </w:rPr>
              <w:t>5</w:t>
            </w:r>
            <w:r>
              <w:t>H</w:t>
            </w:r>
            <w:r w:rsidRPr="00F01FB3">
              <w:rPr>
                <w:vertAlign w:val="subscript"/>
              </w:rPr>
              <w:t>4</w:t>
            </w:r>
            <w:r>
              <w:t>O</w:t>
            </w:r>
            <w:r w:rsidRPr="00F01FB3">
              <w:rPr>
                <w:vertAlign w:val="subscript"/>
              </w:rPr>
              <w:t>2</w:t>
            </w:r>
          </w:p>
        </w:tc>
      </w:tr>
      <w:tr w:rsidR="00F43AD5" w:rsidRPr="004C23F4" w14:paraId="1F6ECFF6" w14:textId="77777777" w:rsidTr="00B76A41">
        <w:trPr>
          <w:cantSplit/>
        </w:trPr>
        <w:tc>
          <w:tcPr>
            <w:tcW w:w="4077" w:type="dxa"/>
          </w:tcPr>
          <w:p w14:paraId="6AA8683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9B21224" w14:textId="74EE5660" w:rsidR="00F43AD5" w:rsidRPr="00B40C60" w:rsidRDefault="00F01FB3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792CE4E2" w14:textId="50F0EDE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32B6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68ED81C" w14:textId="77777777" w:rsidTr="00332B62">
        <w:trPr>
          <w:cantSplit/>
          <w:tblHeader/>
        </w:trPr>
        <w:tc>
          <w:tcPr>
            <w:tcW w:w="4005" w:type="dxa"/>
            <w:vAlign w:val="center"/>
          </w:tcPr>
          <w:p w14:paraId="4A55AE1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4053353" w14:textId="78CBFA86" w:rsidR="002C7AFE" w:rsidRPr="00655211" w:rsidRDefault="007C5CE7" w:rsidP="00017C82">
            <w:pPr>
              <w:pStyle w:val="Tablefont"/>
              <w:rPr>
                <w:b/>
              </w:rPr>
            </w:pPr>
            <w:r w:rsidRPr="00655211">
              <w:rPr>
                <w:b/>
              </w:rPr>
              <w:t>0.2 ppm (</w:t>
            </w:r>
            <w:r w:rsidR="008423E2" w:rsidRPr="00655211">
              <w:rPr>
                <w:b/>
              </w:rPr>
              <w:t>0.8 mg/m</w:t>
            </w:r>
            <w:r w:rsidR="008423E2" w:rsidRPr="00655211">
              <w:rPr>
                <w:b/>
                <w:vertAlign w:val="superscript"/>
              </w:rPr>
              <w:t>3</w:t>
            </w:r>
            <w:r w:rsidR="008423E2" w:rsidRPr="00655211">
              <w:rPr>
                <w:b/>
              </w:rPr>
              <w:t>)</w:t>
            </w:r>
          </w:p>
        </w:tc>
      </w:tr>
      <w:tr w:rsidR="002C7AFE" w:rsidRPr="004C23F4" w14:paraId="4CE983D3" w14:textId="77777777" w:rsidTr="00332B62">
        <w:trPr>
          <w:cantSplit/>
        </w:trPr>
        <w:tc>
          <w:tcPr>
            <w:tcW w:w="4005" w:type="dxa"/>
            <w:vAlign w:val="center"/>
          </w:tcPr>
          <w:p w14:paraId="110585A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BE575EB" w14:textId="19DBBD4D" w:rsidR="002C7AFE" w:rsidRPr="00655211" w:rsidRDefault="00655211" w:rsidP="00017C82">
            <w:pPr>
              <w:pStyle w:val="Tablefont"/>
              <w:rPr>
                <w:b/>
              </w:rPr>
            </w:pPr>
            <w:r w:rsidRPr="00655211">
              <w:rPr>
                <w:b/>
              </w:rPr>
              <w:t>—</w:t>
            </w:r>
          </w:p>
        </w:tc>
      </w:tr>
      <w:tr w:rsidR="002C7AFE" w:rsidRPr="004C23F4" w14:paraId="623D1FB9" w14:textId="77777777" w:rsidTr="00332B62">
        <w:trPr>
          <w:cantSplit/>
        </w:trPr>
        <w:tc>
          <w:tcPr>
            <w:tcW w:w="4005" w:type="dxa"/>
            <w:vAlign w:val="center"/>
          </w:tcPr>
          <w:p w14:paraId="35730C1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9A4CC45" w14:textId="1BB665A7" w:rsidR="002C7AFE" w:rsidRPr="00655211" w:rsidRDefault="00655211" w:rsidP="00017C82">
            <w:pPr>
              <w:pStyle w:val="Tablefont"/>
              <w:rPr>
                <w:b/>
              </w:rPr>
            </w:pPr>
            <w:r w:rsidRPr="00655211">
              <w:rPr>
                <w:b/>
              </w:rPr>
              <w:t>—</w:t>
            </w:r>
          </w:p>
        </w:tc>
      </w:tr>
      <w:tr w:rsidR="002C7AFE" w:rsidRPr="004C23F4" w14:paraId="23EC11DE" w14:textId="77777777" w:rsidTr="00332B62">
        <w:trPr>
          <w:cantSplit/>
        </w:trPr>
        <w:tc>
          <w:tcPr>
            <w:tcW w:w="4005" w:type="dxa"/>
          </w:tcPr>
          <w:p w14:paraId="5DF6DFE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62F9CAF5" w14:textId="0DDC3CFE" w:rsidR="002C7AFE" w:rsidRPr="00655211" w:rsidRDefault="00A820C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Carc .2, </w:t>
            </w:r>
            <w:r w:rsidR="008423E2" w:rsidRPr="00655211">
              <w:rPr>
                <w:b/>
              </w:rPr>
              <w:t>Sk</w:t>
            </w:r>
            <w:r w:rsidR="00332B62">
              <w:rPr>
                <w:b/>
              </w:rPr>
              <w:t>.</w:t>
            </w:r>
          </w:p>
        </w:tc>
      </w:tr>
      <w:tr w:rsidR="002C7AFE" w:rsidRPr="004C23F4" w14:paraId="7CF36DC3" w14:textId="77777777" w:rsidTr="00332B62">
        <w:trPr>
          <w:cantSplit/>
        </w:trPr>
        <w:tc>
          <w:tcPr>
            <w:tcW w:w="4005" w:type="dxa"/>
            <w:vAlign w:val="center"/>
          </w:tcPr>
          <w:p w14:paraId="3276249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966EF33" w14:textId="7623879B" w:rsidR="002C7AFE" w:rsidRPr="00655211" w:rsidRDefault="00F01FB3" w:rsidP="00017C82">
            <w:pPr>
              <w:pStyle w:val="Tablefont"/>
              <w:rPr>
                <w:b/>
              </w:rPr>
            </w:pPr>
            <w:r w:rsidRPr="00655211">
              <w:rPr>
                <w:b/>
              </w:rPr>
              <w:t>100 ppm</w:t>
            </w:r>
          </w:p>
        </w:tc>
      </w:tr>
      <w:tr w:rsidR="00332B62" w:rsidRPr="004C23F4" w14:paraId="1583B2F1" w14:textId="77777777" w:rsidTr="00A579E1">
        <w:trPr>
          <w:cantSplit/>
        </w:trPr>
        <w:tc>
          <w:tcPr>
            <w:tcW w:w="9026" w:type="dxa"/>
            <w:gridSpan w:val="2"/>
            <w:vAlign w:val="center"/>
          </w:tcPr>
          <w:p w14:paraId="61585A0E" w14:textId="6E70E0F8" w:rsidR="00332B62" w:rsidRPr="00EE372D" w:rsidRDefault="00332B62" w:rsidP="00017C82">
            <w:pPr>
              <w:pStyle w:val="Tablefont"/>
              <w:rPr>
                <w:b/>
              </w:rPr>
            </w:pPr>
            <w:r w:rsidRPr="00EE372D">
              <w:rPr>
                <w:b/>
              </w:rPr>
              <w:t>Sampling and analysis:</w:t>
            </w:r>
            <w:r w:rsidRPr="00EE372D">
              <w:rPr>
                <w:rStyle w:val="WESstatus"/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8EA35A0655E492083AFB04D2369C4E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EE372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874719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D4750BF" w14:textId="7738E8FF" w:rsidR="00F65129" w:rsidRDefault="00F65129" w:rsidP="000C139A">
      <w:pPr>
        <w:rPr>
          <w:rFonts w:cs="Arial"/>
        </w:rPr>
      </w:pPr>
      <w:r>
        <w:rPr>
          <w:rFonts w:cs="Arial"/>
        </w:rPr>
        <w:t>A TWA of 0.2 ppm (0.8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upper respiratory tract and eye irritation in exposed workers. </w:t>
      </w:r>
    </w:p>
    <w:p w14:paraId="0EAE322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2D8ABCC" w14:textId="3D21A0BD" w:rsidR="00EE372D" w:rsidRDefault="00332B62" w:rsidP="006639B4">
      <w:pPr>
        <w:rPr>
          <w:rFonts w:cs="Arial"/>
        </w:rPr>
      </w:pPr>
      <w:r>
        <w:rPr>
          <w:rFonts w:cs="Arial"/>
        </w:rPr>
        <w:t>Furfural</w:t>
      </w:r>
      <w:r w:rsidR="005E1879">
        <w:rPr>
          <w:rFonts w:cs="Arial"/>
        </w:rPr>
        <w:t xml:space="preserve"> </w:t>
      </w:r>
      <w:r w:rsidR="00F65129">
        <w:rPr>
          <w:rFonts w:cs="Arial"/>
        </w:rPr>
        <w:t>is commonly used as a solvent and</w:t>
      </w:r>
      <w:r w:rsidR="003835EF">
        <w:rPr>
          <w:rFonts w:cs="Arial"/>
        </w:rPr>
        <w:t xml:space="preserve"> as an</w:t>
      </w:r>
      <w:r w:rsidR="00F65129">
        <w:rPr>
          <w:rFonts w:cs="Arial"/>
        </w:rPr>
        <w:t xml:space="preserve"> intermediate in the production of various domestic and commercial products</w:t>
      </w:r>
      <w:r w:rsidR="000607E9">
        <w:rPr>
          <w:rFonts w:cs="Arial"/>
        </w:rPr>
        <w:t xml:space="preserve"> (ACGIH, 201</w:t>
      </w:r>
      <w:r w:rsidR="003835EF">
        <w:rPr>
          <w:rFonts w:cs="Arial"/>
        </w:rPr>
        <w:t>8</w:t>
      </w:r>
      <w:r w:rsidR="000607E9">
        <w:rPr>
          <w:rFonts w:cs="Arial"/>
        </w:rPr>
        <w:t>)</w:t>
      </w:r>
      <w:r w:rsidR="00F65129">
        <w:rPr>
          <w:rFonts w:cs="Arial"/>
        </w:rPr>
        <w:t xml:space="preserve">. </w:t>
      </w:r>
      <w:r w:rsidR="009A7457">
        <w:rPr>
          <w:rFonts w:cs="Arial"/>
        </w:rPr>
        <w:t xml:space="preserve">Critical effects include </w:t>
      </w:r>
      <w:r w:rsidR="009A7457">
        <w:t>upper respiratory tract</w:t>
      </w:r>
      <w:r w:rsidR="003835EF">
        <w:t xml:space="preserve"> irritation</w:t>
      </w:r>
      <w:r w:rsidR="009A7457">
        <w:t xml:space="preserve">, eye irritation and </w:t>
      </w:r>
      <w:r w:rsidR="009A7457" w:rsidRPr="009A7457">
        <w:t>photophobia</w:t>
      </w:r>
      <w:r w:rsidR="009A7457">
        <w:t>.</w:t>
      </w:r>
    </w:p>
    <w:p w14:paraId="44660114" w14:textId="29D6337C" w:rsidR="00EE372D" w:rsidRDefault="00ED17A0" w:rsidP="006639B4">
      <w:pPr>
        <w:rPr>
          <w:rFonts w:cs="Arial"/>
        </w:rPr>
      </w:pPr>
      <w:r>
        <w:rPr>
          <w:rFonts w:cs="Arial"/>
        </w:rPr>
        <w:t>W</w:t>
      </w:r>
      <w:r w:rsidR="00A47E1D">
        <w:rPr>
          <w:rFonts w:cs="Arial"/>
        </w:rPr>
        <w:t>orkers exposed to furfural concentrations between 1.6 and 4.2 ppm</w:t>
      </w:r>
      <w:r w:rsidR="004A1D19">
        <w:rPr>
          <w:rFonts w:cs="Arial"/>
        </w:rPr>
        <w:t xml:space="preserve"> </w:t>
      </w:r>
      <w:r>
        <w:rPr>
          <w:rFonts w:cs="Arial"/>
        </w:rPr>
        <w:t xml:space="preserve">reported </w:t>
      </w:r>
      <w:r w:rsidR="00A47E1D">
        <w:rPr>
          <w:rFonts w:cs="Arial"/>
        </w:rPr>
        <w:t xml:space="preserve">headaches, nasal bleeding, burning sensation and irritation </w:t>
      </w:r>
      <w:r w:rsidR="003835EF">
        <w:rPr>
          <w:rFonts w:cs="Arial"/>
        </w:rPr>
        <w:t>of</w:t>
      </w:r>
      <w:r w:rsidR="00A47E1D">
        <w:rPr>
          <w:rFonts w:cs="Arial"/>
        </w:rPr>
        <w:t xml:space="preserve"> eyes, nose and throat as well as shortness of breath</w:t>
      </w:r>
      <w:r w:rsidR="00591E7B">
        <w:rPr>
          <w:rFonts w:cs="Arial"/>
        </w:rPr>
        <w:t xml:space="preserve"> (ACGIH, 201</w:t>
      </w:r>
      <w:r w:rsidR="003835EF">
        <w:rPr>
          <w:rFonts w:cs="Arial"/>
        </w:rPr>
        <w:t>8</w:t>
      </w:r>
      <w:r w:rsidR="00591E7B">
        <w:rPr>
          <w:rFonts w:cs="Arial"/>
        </w:rPr>
        <w:t>)</w:t>
      </w:r>
      <w:r w:rsidR="00A47E1D">
        <w:rPr>
          <w:rFonts w:cs="Arial"/>
        </w:rPr>
        <w:t xml:space="preserve">. </w:t>
      </w:r>
      <w:r w:rsidR="004A1D19">
        <w:rPr>
          <w:rFonts w:cs="Arial"/>
        </w:rPr>
        <w:t>ACGIH (2018) assigned a TLV-TWA of 0.2 ppm</w:t>
      </w:r>
      <w:r>
        <w:rPr>
          <w:rFonts w:cs="Arial"/>
        </w:rPr>
        <w:t xml:space="preserve"> based on human case studies</w:t>
      </w:r>
      <w:r w:rsidR="004A1D19">
        <w:rPr>
          <w:rFonts w:cs="Arial"/>
        </w:rPr>
        <w:t>.</w:t>
      </w:r>
    </w:p>
    <w:p w14:paraId="6F8C6B3D" w14:textId="674EC7F8" w:rsidR="00A47E1D" w:rsidRDefault="00A47E1D" w:rsidP="006639B4">
      <w:pPr>
        <w:rPr>
          <w:rFonts w:cs="Arial"/>
        </w:rPr>
      </w:pPr>
      <w:r>
        <w:rPr>
          <w:rFonts w:cs="Arial"/>
        </w:rPr>
        <w:t xml:space="preserve">Limited </w:t>
      </w:r>
      <w:r w:rsidR="000607E9">
        <w:rPr>
          <w:rFonts w:cs="Arial"/>
        </w:rPr>
        <w:t xml:space="preserve">carcinogenicity data </w:t>
      </w:r>
      <w:r w:rsidR="004A1D19">
        <w:rPr>
          <w:rFonts w:cs="Arial"/>
        </w:rPr>
        <w:t xml:space="preserve">are available </w:t>
      </w:r>
      <w:r w:rsidR="000607E9">
        <w:rPr>
          <w:rFonts w:cs="Arial"/>
        </w:rPr>
        <w:t>in humans</w:t>
      </w:r>
      <w:r>
        <w:rPr>
          <w:rFonts w:cs="Arial"/>
        </w:rPr>
        <w:t xml:space="preserve">, but </w:t>
      </w:r>
      <w:r w:rsidR="008743B1">
        <w:rPr>
          <w:rFonts w:cs="Arial"/>
        </w:rPr>
        <w:t xml:space="preserve">available </w:t>
      </w:r>
      <w:r>
        <w:rPr>
          <w:rFonts w:cs="Arial"/>
        </w:rPr>
        <w:t>animal data suggests increased incidence of cancer following oral</w:t>
      </w:r>
      <w:r w:rsidR="008743B1">
        <w:rPr>
          <w:rFonts w:cs="Arial"/>
        </w:rPr>
        <w:t xml:space="preserve"> and </w:t>
      </w:r>
      <w:r>
        <w:rPr>
          <w:rFonts w:cs="Arial"/>
        </w:rPr>
        <w:t>inhalation exposure</w:t>
      </w:r>
      <w:r w:rsidR="008743B1">
        <w:rPr>
          <w:rFonts w:cs="Arial"/>
        </w:rPr>
        <w:t>s</w:t>
      </w:r>
      <w:r>
        <w:rPr>
          <w:rFonts w:cs="Arial"/>
        </w:rPr>
        <w:t xml:space="preserve"> (ACGIH, 201</w:t>
      </w:r>
      <w:r w:rsidR="003835EF">
        <w:rPr>
          <w:rFonts w:cs="Arial"/>
        </w:rPr>
        <w:t>8</w:t>
      </w:r>
      <w:r w:rsidR="008743B1">
        <w:rPr>
          <w:rFonts w:cs="Arial"/>
        </w:rPr>
        <w:t xml:space="preserve">; </w:t>
      </w:r>
      <w:r>
        <w:rPr>
          <w:rFonts w:cs="Arial"/>
        </w:rPr>
        <w:t xml:space="preserve">DFG, 2002). </w:t>
      </w:r>
    </w:p>
    <w:p w14:paraId="5AD3B8E0" w14:textId="0CC76791" w:rsidR="004A1D19" w:rsidRPr="00A47E1D" w:rsidRDefault="004A1D19" w:rsidP="006639B4">
      <w:pPr>
        <w:rPr>
          <w:rFonts w:cs="Arial"/>
        </w:rPr>
      </w:pPr>
      <w:r>
        <w:rPr>
          <w:rFonts w:cs="Arial"/>
        </w:rPr>
        <w:t xml:space="preserve">A TWA of 0.2 ppm is recommended as assigned by ACGIH to protect for </w:t>
      </w:r>
      <w:r w:rsidR="003835EF">
        <w:rPr>
          <w:rFonts w:cs="Arial"/>
        </w:rPr>
        <w:t>irritant</w:t>
      </w:r>
      <w:r>
        <w:rPr>
          <w:rFonts w:cs="Arial"/>
        </w:rPr>
        <w:t xml:space="preserve"> effects in exposed workers.</w:t>
      </w:r>
    </w:p>
    <w:p w14:paraId="1E228FEC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BB0B3E9" w14:textId="6D87D361" w:rsidR="00F01FB3" w:rsidRPr="00755E3E" w:rsidRDefault="00A820CF" w:rsidP="00F01FB3">
      <w:pPr>
        <w:rPr>
          <w:rFonts w:cs="Arial"/>
        </w:rPr>
      </w:pPr>
      <w:r>
        <w:rPr>
          <w:rFonts w:cs="Arial"/>
        </w:rPr>
        <w:t>C</w:t>
      </w:r>
      <w:r w:rsidR="00F01FB3" w:rsidRPr="00755E3E">
        <w:rPr>
          <w:rFonts w:cs="Arial"/>
        </w:rPr>
        <w:t xml:space="preserve">lassified as a </w:t>
      </w:r>
      <w:r>
        <w:rPr>
          <w:rFonts w:cs="Arial"/>
        </w:rPr>
        <w:t xml:space="preserve">category 2 </w:t>
      </w:r>
      <w:r w:rsidR="00F01FB3" w:rsidRPr="00755E3E">
        <w:rPr>
          <w:rFonts w:cs="Arial"/>
        </w:rPr>
        <w:t>carcinogen according to the Globally Harmonized System of Classification and Labelling o</w:t>
      </w:r>
      <w:r w:rsidR="00332B62">
        <w:rPr>
          <w:rFonts w:cs="Arial"/>
        </w:rPr>
        <w:t>f</w:t>
      </w:r>
      <w:r w:rsidR="00F01FB3" w:rsidRPr="00755E3E">
        <w:rPr>
          <w:rFonts w:cs="Arial"/>
        </w:rPr>
        <w:t xml:space="preserve"> Chemicals (GHS). </w:t>
      </w:r>
    </w:p>
    <w:p w14:paraId="74F2DBAA" w14:textId="44276FCB" w:rsidR="00F01FB3" w:rsidRPr="00755E3E" w:rsidRDefault="00F01FB3" w:rsidP="00F01FB3">
      <w:pPr>
        <w:rPr>
          <w:rFonts w:cs="Arial"/>
        </w:rPr>
      </w:pPr>
      <w:r w:rsidRPr="00755E3E">
        <w:rPr>
          <w:rFonts w:cs="Arial"/>
        </w:rPr>
        <w:t xml:space="preserve">Not classified as a skin </w:t>
      </w:r>
      <w:r w:rsidR="00332B62">
        <w:rPr>
          <w:rFonts w:cs="Arial"/>
        </w:rPr>
        <w:t xml:space="preserve">sensitiser </w:t>
      </w:r>
      <w:r w:rsidRPr="00755E3E">
        <w:rPr>
          <w:rFonts w:cs="Arial"/>
        </w:rPr>
        <w:t>or respiratory sensitiser according to the GHS.</w:t>
      </w:r>
    </w:p>
    <w:p w14:paraId="23E209DC" w14:textId="72ED4050" w:rsidR="00F01FB3" w:rsidRPr="004C23F4" w:rsidRDefault="00A47E1D" w:rsidP="00F01FB3">
      <w:pPr>
        <w:rPr>
          <w:rFonts w:cs="Arial"/>
        </w:rPr>
      </w:pPr>
      <w:r>
        <w:rPr>
          <w:rFonts w:cs="Arial"/>
        </w:rPr>
        <w:t xml:space="preserve">A skin notation has been recommended based on evidence suggesting potential dermal absorption and adverse systemic effects in animals. </w:t>
      </w:r>
    </w:p>
    <w:p w14:paraId="7D952877" w14:textId="77777777" w:rsidR="0025734A" w:rsidRPr="004C23F4" w:rsidRDefault="0025734A">
      <w:pPr>
        <w:rPr>
          <w:rFonts w:cs="Arial"/>
        </w:rPr>
      </w:pPr>
    </w:p>
    <w:p w14:paraId="1F9205B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FF26BC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E4A910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21D04B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DAF778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AAD4B8" w14:textId="7EF15B1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01FB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01FB3">
                  <w:t>TWA: 2 ppm (7.9 mg/m</w:t>
                </w:r>
                <w:r w:rsidR="00F01FB3" w:rsidRPr="00F01FB3">
                  <w:rPr>
                    <w:vertAlign w:val="superscript"/>
                  </w:rPr>
                  <w:t>3</w:t>
                </w:r>
                <w:r w:rsidR="00F01FB3">
                  <w:t>)</w:t>
                </w:r>
              </w:sdtContent>
            </w:sdt>
          </w:p>
        </w:tc>
      </w:tr>
      <w:tr w:rsidR="00C978F0" w:rsidRPr="00DA352E" w14:paraId="6B5DDD5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F884F7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372453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B00A979" w14:textId="71B3E55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01FB3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01FB3">
                  <w:t>TLV-TWA: 0.2 ppm (0.8 mg/m</w:t>
                </w:r>
                <w:r w:rsidR="00F01FB3" w:rsidRPr="00F01FB3">
                  <w:rPr>
                    <w:vertAlign w:val="superscript"/>
                  </w:rPr>
                  <w:t>3</w:t>
                </w:r>
                <w:r w:rsidR="00F01FB3">
                  <w:t>)</w:t>
                </w:r>
              </w:sdtContent>
            </w:sdt>
          </w:p>
        </w:tc>
      </w:tr>
      <w:tr w:rsidR="00C978F0" w:rsidRPr="00DA352E" w14:paraId="5B14F14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8EBB43" w14:textId="7D13064C" w:rsidR="00C978F0" w:rsidRDefault="001D20DB" w:rsidP="003365A5">
            <w:pPr>
              <w:pStyle w:val="Tabletextprimarysource"/>
            </w:pPr>
            <w:r>
              <w:t>Summary of data:</w:t>
            </w:r>
          </w:p>
          <w:p w14:paraId="4A4FA196" w14:textId="5B46C163" w:rsidR="00EE372D" w:rsidRDefault="00D72D6C" w:rsidP="003365A5">
            <w:pPr>
              <w:pStyle w:val="Tabletextprimarysource"/>
            </w:pPr>
            <w:r>
              <w:t>TLV-TWA of 0.2 ppm (0.8 mg/m</w:t>
            </w:r>
            <w:r>
              <w:rPr>
                <w:vertAlign w:val="superscript"/>
              </w:rPr>
              <w:t>3</w:t>
            </w:r>
            <w:r w:rsidR="00332B62">
              <w:t>) recommended to minimis</w:t>
            </w:r>
            <w:r>
              <w:t xml:space="preserve">e </w:t>
            </w:r>
            <w:r w:rsidR="00287ABB">
              <w:t xml:space="preserve">potential of upper respiratory tract and eye irritation in exposed workers. This value is based on human case studies, including </w:t>
            </w:r>
            <w:r w:rsidR="005C2B15">
              <w:t xml:space="preserve">studies </w:t>
            </w:r>
            <w:r w:rsidR="00287ABB">
              <w:t>which indicated that workers experienced nasal bleeding, burning sensation in eyes/nose/throat and shortness of breath</w:t>
            </w:r>
            <w:r w:rsidR="005C2B15">
              <w:t xml:space="preserve"> or chest tightness, light sensitivity</w:t>
            </w:r>
            <w:r w:rsidR="00287ABB">
              <w:t xml:space="preserve">, among other complications, when exposed to concentrations between </w:t>
            </w:r>
            <w:r w:rsidR="005C2B15">
              <w:t>1.6</w:t>
            </w:r>
            <w:r w:rsidR="005B7E63">
              <w:t>–</w:t>
            </w:r>
            <w:r w:rsidR="00287ABB">
              <w:t>4.2 ppm.</w:t>
            </w:r>
            <w:r w:rsidR="0092579A">
              <w:t xml:space="preserve"> No further explanation on derivation of TLV-TWA provided.</w:t>
            </w:r>
            <w:r w:rsidR="00287ABB">
              <w:t xml:space="preserve"> </w:t>
            </w:r>
          </w:p>
          <w:p w14:paraId="5DE59F5F" w14:textId="7C555A46" w:rsidR="00334F82" w:rsidRPr="00D72D6C" w:rsidRDefault="00A90578" w:rsidP="003365A5">
            <w:pPr>
              <w:pStyle w:val="Tabletextprimarysource"/>
            </w:pPr>
            <w:r>
              <w:t>Limited human carcinogenicity data exists, but animal studies suggest an increased incidence of tumours following oral and inhalation exposure, hence an A3 classification</w:t>
            </w:r>
            <w:r w:rsidR="004A1D19">
              <w:t xml:space="preserve"> (confirmed animal carcinogen with unknown relevance to humans)</w:t>
            </w:r>
            <w:r>
              <w:t xml:space="preserve"> was assigned. Insufficient information to recommend a STEL or SEN notation. </w:t>
            </w:r>
          </w:p>
          <w:p w14:paraId="11C0F00C" w14:textId="77777777" w:rsidR="001D20DB" w:rsidRDefault="001D20DB" w:rsidP="003365A5">
            <w:pPr>
              <w:pStyle w:val="Tabletextprimarysource"/>
            </w:pPr>
            <w:r>
              <w:t>Human data:</w:t>
            </w:r>
          </w:p>
          <w:p w14:paraId="6BC22F4A" w14:textId="4DD196C1" w:rsidR="001D20DB" w:rsidRDefault="00563EA9" w:rsidP="00AC2A96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Workers exposed </w:t>
            </w:r>
            <w:r w:rsidR="003835EF">
              <w:t>at</w:t>
            </w:r>
            <w:r>
              <w:t xml:space="preserve"> </w:t>
            </w:r>
            <w:r w:rsidR="004C1BFB">
              <w:t>concentrations between 5</w:t>
            </w:r>
            <w:r w:rsidR="005B7E63">
              <w:t>–</w:t>
            </w:r>
            <w:r w:rsidR="004C1BFB">
              <w:t>16 ppm experienced eye and respiratory tract irritation, with some indicating nasal bleeding, throat dryness and sun sensitivity</w:t>
            </w:r>
          </w:p>
          <w:p w14:paraId="78F9CBF8" w14:textId="60A8BF41" w:rsidR="00593928" w:rsidRDefault="001D4B84" w:rsidP="00AC2A96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 xml:space="preserve">Two NIOSH </w:t>
            </w:r>
            <w:r w:rsidR="004C1BFB">
              <w:t xml:space="preserve">health </w:t>
            </w:r>
            <w:r>
              <w:t xml:space="preserve">hazard </w:t>
            </w:r>
            <w:r w:rsidR="004C1BFB">
              <w:t>evaluation</w:t>
            </w:r>
            <w:r>
              <w:t>s</w:t>
            </w:r>
            <w:r w:rsidR="004C1BFB">
              <w:t xml:space="preserve"> </w:t>
            </w:r>
            <w:r>
              <w:t xml:space="preserve">reported similar </w:t>
            </w:r>
            <w:r w:rsidR="00593928">
              <w:t xml:space="preserve">symptoms </w:t>
            </w:r>
            <w:r>
              <w:t xml:space="preserve">in workers </w:t>
            </w:r>
            <w:r w:rsidR="00593928">
              <w:t>expos</w:t>
            </w:r>
            <w:r>
              <w:t>ed</w:t>
            </w:r>
            <w:r w:rsidR="00593928">
              <w:t xml:space="preserve"> </w:t>
            </w:r>
            <w:r w:rsidR="004C1BFB">
              <w:t xml:space="preserve">to </w:t>
            </w:r>
            <w:r>
              <w:t xml:space="preserve">concentrations </w:t>
            </w:r>
            <w:r w:rsidR="004C1BFB">
              <w:t xml:space="preserve">between </w:t>
            </w:r>
            <w:r w:rsidR="008E6F58">
              <w:t>1</w:t>
            </w:r>
            <w:r w:rsidR="004C1BFB">
              <w:t>.6 and 4.2 ppm</w:t>
            </w:r>
            <w:r>
              <w:t xml:space="preserve">; and concentrations between </w:t>
            </w:r>
            <w:r w:rsidR="00593928">
              <w:t>1.6 and 2.1 ppm</w:t>
            </w:r>
          </w:p>
          <w:p w14:paraId="03C458E8" w14:textId="58DB9DD8" w:rsidR="00593928" w:rsidRDefault="00593928" w:rsidP="00AC2A96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Genotoxicity testing involving human lymphocytes reported a strong induction of sister-chroma</w:t>
            </w:r>
            <w:r w:rsidR="00332B62">
              <w:t>tid exchange following exposure</w:t>
            </w:r>
          </w:p>
          <w:p w14:paraId="02F5666C" w14:textId="3B3D2FB7" w:rsidR="00593928" w:rsidRDefault="001D4B84" w:rsidP="00AC2A96">
            <w:pPr>
              <w:pStyle w:val="Tabletextprimarysource"/>
              <w:numPr>
                <w:ilvl w:val="0"/>
                <w:numId w:val="1"/>
              </w:numPr>
              <w:ind w:left="717"/>
            </w:pPr>
            <w:r>
              <w:t>N</w:t>
            </w:r>
            <w:r w:rsidR="00593928">
              <w:t xml:space="preserve">o evidence </w:t>
            </w:r>
            <w:r w:rsidR="00332B62">
              <w:t>of sensitisation</w:t>
            </w:r>
            <w:r>
              <w:t xml:space="preserve"> in humans</w:t>
            </w:r>
            <w:r w:rsidR="00A820CF">
              <w:t>.</w:t>
            </w:r>
          </w:p>
          <w:p w14:paraId="1C0AB0FE" w14:textId="77777777" w:rsidR="00FE184C" w:rsidRDefault="00FE184C" w:rsidP="00FE184C">
            <w:pPr>
              <w:pStyle w:val="Tabletextprimarysource"/>
            </w:pPr>
            <w:r>
              <w:t>Animal data:</w:t>
            </w:r>
          </w:p>
          <w:p w14:paraId="76B2C451" w14:textId="70C91D4E" w:rsidR="00FE184C" w:rsidRDefault="00FE184C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4A36F0">
              <w:t>(</w:t>
            </w:r>
            <w:r>
              <w:t>rats</w:t>
            </w:r>
            <w:r w:rsidR="00332B62">
              <w:t>, 1 h inhalation</w:t>
            </w:r>
            <w:r w:rsidR="004A36F0">
              <w:t>)</w:t>
            </w:r>
            <w:r>
              <w:t>: 995 ppm (males), 1056 ppm (females)</w:t>
            </w:r>
          </w:p>
          <w:p w14:paraId="1856D2BA" w14:textId="623B173D" w:rsidR="00FE184C" w:rsidRDefault="00FE184C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LD</w:t>
            </w:r>
            <w:r w:rsidR="00EE372D">
              <w:rPr>
                <w:vertAlign w:val="subscript"/>
              </w:rPr>
              <w:t>50</w:t>
            </w:r>
            <w:r w:rsidR="004A36F0">
              <w:t xml:space="preserve">: </w:t>
            </w:r>
            <w:r>
              <w:t>50</w:t>
            </w:r>
            <w:r w:rsidR="005B7E63">
              <w:t>–</w:t>
            </w:r>
            <w:r>
              <w:t>127 mg/kg</w:t>
            </w:r>
            <w:r w:rsidR="004A36F0">
              <w:t xml:space="preserve"> (rats</w:t>
            </w:r>
            <w:r w:rsidR="00332B62">
              <w:t>, oral</w:t>
            </w:r>
            <w:r w:rsidR="004A36F0">
              <w:t>)</w:t>
            </w:r>
          </w:p>
          <w:p w14:paraId="41DAD5A2" w14:textId="7D71406A" w:rsidR="00FE184C" w:rsidRDefault="00FE184C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192 mg/kg</w:t>
            </w:r>
            <w:r w:rsidR="004A36F0">
              <w:t xml:space="preserve"> (rats</w:t>
            </w:r>
            <w:r w:rsidR="00332B62">
              <w:t>, dermal</w:t>
            </w:r>
            <w:r w:rsidR="004A36F0">
              <w:t>)</w:t>
            </w:r>
            <w:r w:rsidR="00641C0F">
              <w:t xml:space="preserve">, which supports a skin notation </w:t>
            </w:r>
          </w:p>
          <w:p w14:paraId="7C250F07" w14:textId="17D9DE8F" w:rsidR="00FE184C" w:rsidRDefault="00ED17A0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Eye and upper respiratory tract irritation</w:t>
            </w:r>
            <w:r w:rsidDel="00ED17A0">
              <w:t xml:space="preserve"> </w:t>
            </w:r>
            <w:r>
              <w:t>reported in r</w:t>
            </w:r>
            <w:r w:rsidR="00FE184C">
              <w:t>ats exposed to 38 ppm for 1</w:t>
            </w:r>
            <w:r w:rsidR="00332B62">
              <w:t xml:space="preserve"> </w:t>
            </w:r>
            <w:r w:rsidR="00FE184C">
              <w:t>h/d, 5</w:t>
            </w:r>
            <w:r>
              <w:t> </w:t>
            </w:r>
            <w:r w:rsidR="00332B62">
              <w:t>d/wk for 7, 15 or 30 d</w:t>
            </w:r>
            <w:r w:rsidR="00FE184C">
              <w:t xml:space="preserve">. </w:t>
            </w:r>
            <w:r w:rsidR="00346449">
              <w:t>Hepatotoxicity was additionally reported at after 30 d exposure</w:t>
            </w:r>
          </w:p>
          <w:p w14:paraId="6961C243" w14:textId="2876941F" w:rsidR="00BD23E5" w:rsidRDefault="00ED17A0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 xml:space="preserve">Immunotoxic effects reported in rats </w:t>
            </w:r>
            <w:r w:rsidR="004A36F0">
              <w:t xml:space="preserve">exposed </w:t>
            </w:r>
            <w:r w:rsidR="00332B62">
              <w:t>to 40 ppm for 1 h</w:t>
            </w:r>
            <w:r w:rsidR="00BD23E5">
              <w:t xml:space="preserve">/d, 5 d/wk for 7, </w:t>
            </w:r>
            <w:r w:rsidR="009A7457">
              <w:t>15 or 30 d</w:t>
            </w:r>
            <w:r w:rsidR="00BD23E5">
              <w:t xml:space="preserve"> </w:t>
            </w:r>
          </w:p>
          <w:p w14:paraId="1E8E3F0D" w14:textId="395D41BC" w:rsidR="00DF4165" w:rsidRDefault="00DF4165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>NOAEL: &lt;20 mg/m</w:t>
            </w:r>
            <w:r>
              <w:rPr>
                <w:vertAlign w:val="superscript"/>
              </w:rPr>
              <w:t>3</w:t>
            </w:r>
            <w:r>
              <w:t xml:space="preserve"> (5.1 ppm) </w:t>
            </w:r>
            <w:r w:rsidR="004A36F0">
              <w:t xml:space="preserve">based on </w:t>
            </w:r>
            <w:r>
              <w:t>rats</w:t>
            </w:r>
            <w:r w:rsidR="004A36F0">
              <w:t xml:space="preserve"> </w:t>
            </w:r>
            <w:r>
              <w:t>expos</w:t>
            </w:r>
            <w:r w:rsidR="004A36F0">
              <w:t>ed</w:t>
            </w:r>
            <w:r>
              <w:t xml:space="preserve"> </w:t>
            </w:r>
            <w:r w:rsidR="004A36F0">
              <w:t>to concentrations (</w:t>
            </w:r>
            <w:r>
              <w:t>0</w:t>
            </w:r>
            <w:r w:rsidR="005B7E63">
              <w:t>–</w:t>
            </w:r>
            <w:r>
              <w:t>1</w:t>
            </w:r>
            <w:r w:rsidR="00332B62">
              <w:t>,</w:t>
            </w:r>
            <w:r>
              <w:t>280 mg/m</w:t>
            </w:r>
            <w:r>
              <w:rPr>
                <w:vertAlign w:val="superscript"/>
              </w:rPr>
              <w:t>3</w:t>
            </w:r>
            <w:r>
              <w:t>, 3</w:t>
            </w:r>
            <w:r w:rsidR="005B7E63">
              <w:t>–</w:t>
            </w:r>
            <w:r>
              <w:t>6</w:t>
            </w:r>
            <w:r w:rsidR="00332B62">
              <w:t xml:space="preserve"> </w:t>
            </w:r>
            <w:r>
              <w:t>h/d, 5 d/wk, 28 d)</w:t>
            </w:r>
            <w:r w:rsidR="004A36F0">
              <w:t xml:space="preserve">; study findings indicated effects strongly linked to duration </w:t>
            </w:r>
            <w:r w:rsidR="00346449">
              <w:t xml:space="preserve">rather </w:t>
            </w:r>
            <w:r w:rsidR="004A36F0">
              <w:t xml:space="preserve">than concentration </w:t>
            </w:r>
          </w:p>
          <w:p w14:paraId="6254F7E4" w14:textId="56675134" w:rsidR="00310A9F" w:rsidRDefault="00310A9F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 xml:space="preserve">Inhalation: </w:t>
            </w:r>
            <w:r w:rsidR="003E0DE0">
              <w:t xml:space="preserve">Dose-dependent </w:t>
            </w:r>
            <w:r w:rsidR="00805208">
              <w:t xml:space="preserve">increase in nasal epithelium adenomas and carcinomas </w:t>
            </w:r>
            <w:r w:rsidR="003E0DE0">
              <w:t>in rats and mice (2-yr inhalation study, 4 dose groups ranging from 0</w:t>
            </w:r>
            <w:r w:rsidR="005B7E63">
              <w:t>–</w:t>
            </w:r>
            <w:r w:rsidR="00A820CF">
              <w:t>32 ppm, 6 h/d, 5 d/wk for 105 wk</w:t>
            </w:r>
            <w:r w:rsidR="003E0DE0">
              <w:t>)</w:t>
            </w:r>
            <w:r>
              <w:t xml:space="preserve">; at 32 ppm, increase in renal tubule degeneration, adenomas or carcinomas in male mice; no liver lesions </w:t>
            </w:r>
            <w:r w:rsidR="009A7457">
              <w:t>reported in either mice or rats</w:t>
            </w:r>
          </w:p>
          <w:p w14:paraId="41D67360" w14:textId="064AA6E9" w:rsidR="00805208" w:rsidRPr="00DA352E" w:rsidRDefault="00805208" w:rsidP="00AC2A96">
            <w:pPr>
              <w:pStyle w:val="Tabletextprimarysource"/>
              <w:numPr>
                <w:ilvl w:val="0"/>
                <w:numId w:val="2"/>
              </w:numPr>
              <w:ind w:left="717"/>
            </w:pPr>
            <w:r>
              <w:t xml:space="preserve">Both positive and negative genotoxicity test results have been presented, </w:t>
            </w:r>
            <w:r w:rsidR="00F65129">
              <w:t>therefore</w:t>
            </w:r>
            <w:r>
              <w:t xml:space="preserve"> the mutagenic</w:t>
            </w:r>
            <w:r w:rsidR="00A820CF">
              <w:t>ity of furfural remains unclear.</w:t>
            </w:r>
          </w:p>
        </w:tc>
      </w:tr>
      <w:tr w:rsidR="00C978F0" w:rsidRPr="00DA352E" w14:paraId="3DF1D17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D7934F7" w14:textId="682E8C0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01FB3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01FB3">
                  <w:t>Not assigned</w:t>
                </w:r>
              </w:sdtContent>
            </w:sdt>
          </w:p>
        </w:tc>
      </w:tr>
      <w:tr w:rsidR="00C978F0" w:rsidRPr="00DA352E" w14:paraId="0CCC035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08E6F2" w14:textId="365B3478" w:rsidR="00C53740" w:rsidRDefault="00C53740" w:rsidP="003365A5">
            <w:pPr>
              <w:pStyle w:val="Tabletextprimarysource"/>
            </w:pPr>
            <w:r>
              <w:t xml:space="preserve">No MAK recommended for furfural due to evidence </w:t>
            </w:r>
            <w:r w:rsidR="00C40627">
              <w:t>it</w:t>
            </w:r>
            <w:r>
              <w:t xml:space="preserve"> can contribute to carcinogenic risk and a genotoxic mechanism cannot be disregarded.</w:t>
            </w:r>
          </w:p>
          <w:p w14:paraId="40170F00" w14:textId="04B2A95D" w:rsidR="007946EE" w:rsidRDefault="007946EE" w:rsidP="007946EE">
            <w:pPr>
              <w:pStyle w:val="Tabletextprimarysource"/>
            </w:pPr>
            <w:r>
              <w:t>Summary of additional data:</w:t>
            </w:r>
          </w:p>
          <w:p w14:paraId="76E0E9E1" w14:textId="003EBAE4" w:rsidR="00C978F0" w:rsidRDefault="007946EE" w:rsidP="003365A5">
            <w:pPr>
              <w:pStyle w:val="Tabletextprimarysource"/>
            </w:pPr>
            <w:r>
              <w:t>H</w:t>
            </w:r>
            <w:r w:rsidR="0094500C">
              <w:t>uman data:</w:t>
            </w:r>
          </w:p>
          <w:p w14:paraId="3ADFCA35" w14:textId="5F814A8B" w:rsidR="00865ABB" w:rsidRDefault="00865ABB" w:rsidP="00AC2A96">
            <w:pPr>
              <w:pStyle w:val="Tabletextprimarysource"/>
              <w:numPr>
                <w:ilvl w:val="0"/>
                <w:numId w:val="3"/>
              </w:numPr>
              <w:ind w:left="717"/>
            </w:pPr>
            <w:r>
              <w:t>Negative results for sister</w:t>
            </w:r>
            <w:r w:rsidR="00791E24">
              <w:t>-chromati</w:t>
            </w:r>
            <w:r w:rsidR="00A820CF">
              <w:t>d exchange on human lymphocytes.</w:t>
            </w:r>
          </w:p>
          <w:p w14:paraId="46B8F850" w14:textId="01947D32" w:rsidR="00941E18" w:rsidRDefault="007946EE" w:rsidP="00941E18">
            <w:pPr>
              <w:pStyle w:val="Tabletextprimarysource"/>
            </w:pPr>
            <w:r>
              <w:t>A</w:t>
            </w:r>
            <w:r w:rsidR="00941E18">
              <w:t>nimal data:</w:t>
            </w:r>
          </w:p>
          <w:p w14:paraId="5F84919E" w14:textId="4EC4B842" w:rsidR="00941E18" w:rsidRDefault="00AE4B41" w:rsidP="00AC2A96">
            <w:pPr>
              <w:pStyle w:val="Tabletextprimarysource"/>
              <w:numPr>
                <w:ilvl w:val="0"/>
                <w:numId w:val="4"/>
              </w:numPr>
              <w:ind w:left="717"/>
            </w:pPr>
            <w:r>
              <w:t>LC</w:t>
            </w:r>
            <w:r>
              <w:rPr>
                <w:vertAlign w:val="subscript"/>
              </w:rPr>
              <w:t>50</w:t>
            </w:r>
            <w:r w:rsidR="005D73A2">
              <w:t xml:space="preserve">: </w:t>
            </w:r>
            <w:r>
              <w:t>175 ppm</w:t>
            </w:r>
            <w:r w:rsidR="00A820CF">
              <w:t xml:space="preserve"> (rats, 6 h</w:t>
            </w:r>
            <w:r w:rsidR="005D73A2">
              <w:t>)</w:t>
            </w:r>
          </w:p>
          <w:p w14:paraId="35406190" w14:textId="697AF3DE" w:rsidR="00AE4B41" w:rsidRDefault="00AE4B41" w:rsidP="00AC2A96">
            <w:pPr>
              <w:pStyle w:val="Tabletextprimarysource"/>
              <w:numPr>
                <w:ilvl w:val="0"/>
                <w:numId w:val="4"/>
              </w:numPr>
              <w:ind w:left="717"/>
            </w:pPr>
            <w:r>
              <w:t>LD</w:t>
            </w:r>
            <w:r>
              <w:rPr>
                <w:vertAlign w:val="subscript"/>
              </w:rPr>
              <w:t>50</w:t>
            </w:r>
            <w:r w:rsidR="005D73A2">
              <w:t>:</w:t>
            </w:r>
            <w:r w:rsidR="00A820CF">
              <w:t xml:space="preserve"> </w:t>
            </w:r>
            <w:r>
              <w:t>125 mg/kg (rats and mice</w:t>
            </w:r>
            <w:r w:rsidR="00A820CF">
              <w:t>, oral</w:t>
            </w:r>
            <w:r>
              <w:t>)</w:t>
            </w:r>
          </w:p>
          <w:p w14:paraId="3C12A357" w14:textId="15007C55" w:rsidR="00AE4B41" w:rsidRDefault="00AE4B41" w:rsidP="00AC2A96">
            <w:pPr>
              <w:pStyle w:val="Tabletextprimarysource"/>
              <w:numPr>
                <w:ilvl w:val="0"/>
                <w:numId w:val="4"/>
              </w:numPr>
              <w:ind w:left="717"/>
            </w:pPr>
            <w:r>
              <w:t xml:space="preserve">Hamsters exposed to concentrations of 552 </w:t>
            </w:r>
            <w:r w:rsidR="008E6F58">
              <w:t>ppm</w:t>
            </w:r>
            <w:r>
              <w:t xml:space="preserve"> (2</w:t>
            </w:r>
            <w:r w:rsidR="00A820CF">
              <w:t>,</w:t>
            </w:r>
            <w:r>
              <w:t>208 mg/m</w:t>
            </w:r>
            <w:r>
              <w:rPr>
                <w:vertAlign w:val="superscript"/>
              </w:rPr>
              <w:t>3</w:t>
            </w:r>
            <w:r>
              <w:t>) displayed eye and nose irritation, liver damage and significant weight loss</w:t>
            </w:r>
          </w:p>
          <w:p w14:paraId="0977437F" w14:textId="5DBEE9B8" w:rsidR="00AE4B41" w:rsidRDefault="00AE4B41" w:rsidP="00AC2A96">
            <w:pPr>
              <w:pStyle w:val="Tabletextprimarysource"/>
              <w:numPr>
                <w:ilvl w:val="0"/>
                <w:numId w:val="4"/>
              </w:numPr>
              <w:ind w:left="717"/>
            </w:pPr>
            <w:r>
              <w:t xml:space="preserve">Rats exposed to 40 </w:t>
            </w:r>
            <w:r w:rsidR="008E6F58">
              <w:t>ppm</w:t>
            </w:r>
            <w:r>
              <w:rPr>
                <w:vertAlign w:val="superscript"/>
              </w:rPr>
              <w:t xml:space="preserve"> </w:t>
            </w:r>
            <w:r>
              <w:t>(</w:t>
            </w:r>
            <w:r w:rsidR="00C53740">
              <w:t>160 mg/m</w:t>
            </w:r>
            <w:r w:rsidR="00C53740">
              <w:rPr>
                <w:vertAlign w:val="superscript"/>
              </w:rPr>
              <w:t>3</w:t>
            </w:r>
            <w:r w:rsidR="00C53740">
              <w:t>)</w:t>
            </w:r>
            <w:r>
              <w:t xml:space="preserve"> for 1 h, 5 d/wk</w:t>
            </w:r>
            <w:r w:rsidR="005D73A2">
              <w:t>,</w:t>
            </w:r>
            <w:r w:rsidR="00A820CF">
              <w:t xml:space="preserve"> 6 wk</w:t>
            </w:r>
            <w:r>
              <w:t xml:space="preserve"> showed irritation in eyes and nose, and damage to type II pneumocytes </w:t>
            </w:r>
          </w:p>
          <w:p w14:paraId="5181F59D" w14:textId="77777777" w:rsidR="00C53740" w:rsidRDefault="00C53740" w:rsidP="00AC2A96">
            <w:pPr>
              <w:pStyle w:val="Tabletextprimarysource"/>
              <w:numPr>
                <w:ilvl w:val="0"/>
                <w:numId w:val="4"/>
              </w:numPr>
              <w:ind w:left="717"/>
            </w:pPr>
            <w:r>
              <w:t>Carcinogenic studies demonstrated an increase in the incidence of liver tumours in mice given 175 mg/kg</w:t>
            </w:r>
            <w:r w:rsidR="00A820CF">
              <w:t>.</w:t>
            </w:r>
          </w:p>
          <w:p w14:paraId="00FD344C" w14:textId="7241630E" w:rsidR="005B7E63" w:rsidRPr="00DA352E" w:rsidRDefault="005B7E63" w:rsidP="00AC2A96">
            <w:pPr>
              <w:pStyle w:val="Tabletextprimarysource"/>
            </w:pPr>
          </w:p>
        </w:tc>
      </w:tr>
      <w:tr w:rsidR="00C978F0" w:rsidRPr="00DA352E" w14:paraId="20077AA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9A87E71" w14:textId="5103DCA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01FB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01FB3">
                  <w:t>NA</w:t>
                </w:r>
              </w:sdtContent>
            </w:sdt>
          </w:p>
        </w:tc>
      </w:tr>
      <w:tr w:rsidR="00C978F0" w:rsidRPr="00DA352E" w14:paraId="1AF72E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F8057B" w14:textId="57EAAEEB" w:rsidR="00C978F0" w:rsidRPr="00DA352E" w:rsidRDefault="00F01FB3" w:rsidP="003365A5">
            <w:pPr>
              <w:pStyle w:val="Tabletextprimarysource"/>
            </w:pPr>
            <w:r>
              <w:t>No report</w:t>
            </w:r>
            <w:r w:rsidR="00A820CF">
              <w:t>.</w:t>
            </w:r>
          </w:p>
        </w:tc>
      </w:tr>
      <w:tr w:rsidR="00DA352E" w:rsidRPr="00DA352E" w14:paraId="7E8B917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7BE673F" w14:textId="4702527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01FB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01FB3">
                  <w:t>NA</w:t>
                </w:r>
              </w:sdtContent>
            </w:sdt>
          </w:p>
        </w:tc>
      </w:tr>
      <w:tr w:rsidR="00DA352E" w:rsidRPr="00DA352E" w14:paraId="11565AF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5830D6" w14:textId="62897ABC" w:rsidR="00DA352E" w:rsidRPr="00DA352E" w:rsidRDefault="00F01FB3" w:rsidP="003365A5">
            <w:pPr>
              <w:pStyle w:val="Tabletextprimarysource"/>
            </w:pPr>
            <w:r>
              <w:t>No report</w:t>
            </w:r>
            <w:r w:rsidR="00A820CF">
              <w:t>.</w:t>
            </w:r>
          </w:p>
        </w:tc>
      </w:tr>
      <w:tr w:rsidR="00DA352E" w:rsidRPr="00DA352E" w14:paraId="7F3726B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ED35D6" w14:textId="5EFFD2E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01FB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01FB3">
                  <w:t>NA</w:t>
                </w:r>
              </w:sdtContent>
            </w:sdt>
          </w:p>
        </w:tc>
      </w:tr>
      <w:tr w:rsidR="00DA352E" w:rsidRPr="00DA352E" w14:paraId="06C74B6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1D5EBE4" w14:textId="522B8E1E" w:rsidR="00DA352E" w:rsidRPr="00DA352E" w:rsidRDefault="00F01FB3" w:rsidP="003365A5">
            <w:pPr>
              <w:pStyle w:val="Tabletextprimarysource"/>
            </w:pPr>
            <w:r>
              <w:t>No report</w:t>
            </w:r>
            <w:r w:rsidR="00A820CF">
              <w:t>.</w:t>
            </w:r>
          </w:p>
        </w:tc>
      </w:tr>
    </w:tbl>
    <w:p w14:paraId="26A412B3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35756C3C" w14:textId="77777777" w:rsidTr="00FF36A5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7F6E1F8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EBD609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22E71F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AD7020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FF36A5" w:rsidRPr="004C23F4" w14:paraId="03545A85" w14:textId="77777777" w:rsidTr="00FF36A5">
        <w:trPr>
          <w:cantSplit/>
        </w:trPr>
        <w:tc>
          <w:tcPr>
            <w:tcW w:w="1498" w:type="dxa"/>
          </w:tcPr>
          <w:p w14:paraId="4CFDFEC0" w14:textId="77777777" w:rsidR="00FF36A5" w:rsidRPr="004C23F4" w:rsidRDefault="00FF36A5" w:rsidP="00FF36A5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4722EF8E" w14:textId="3854981D" w:rsidR="00FF36A5" w:rsidRPr="00CE617F" w:rsidRDefault="0031681F" w:rsidP="00FF36A5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575275B7D4FA49F68DA333C122CD02EE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F36A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24CF254" w14:textId="70221416" w:rsidR="00FF36A5" w:rsidRPr="004C23F4" w:rsidRDefault="00FF36A5" w:rsidP="00FF36A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4" w:type="dxa"/>
          </w:tcPr>
          <w:p w14:paraId="04593B77" w14:textId="1D538656" w:rsidR="00FF36A5" w:rsidRDefault="00B22B2C" w:rsidP="00AC2A96">
            <w:pPr>
              <w:pStyle w:val="Tablefont"/>
              <w:numPr>
                <w:ilvl w:val="0"/>
                <w:numId w:val="6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LOAEL: </w:t>
            </w:r>
            <w:r w:rsidR="003E7C7A">
              <w:rPr>
                <w:rStyle w:val="checkbox"/>
                <w:rFonts w:ascii="Arial" w:hAnsi="Arial" w:cs="Arial"/>
              </w:rPr>
              <w:t>20 mg/m</w:t>
            </w:r>
            <w:r w:rsidR="003E7C7A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3E7C7A">
              <w:rPr>
                <w:rStyle w:val="checkbox"/>
                <w:rFonts w:ascii="Arial" w:hAnsi="Arial" w:cs="Arial"/>
              </w:rPr>
              <w:t xml:space="preserve"> (rats</w:t>
            </w:r>
            <w:r>
              <w:rPr>
                <w:rStyle w:val="checkbox"/>
                <w:rFonts w:ascii="Arial" w:hAnsi="Arial" w:cs="Arial"/>
              </w:rPr>
              <w:t>, repeat dose inhalation) for respiratory tract effects</w:t>
            </w:r>
          </w:p>
          <w:p w14:paraId="45315FCB" w14:textId="28555521" w:rsidR="003E7C7A" w:rsidRDefault="003E7C7A" w:rsidP="00AC2A96">
            <w:pPr>
              <w:pStyle w:val="Tablefont"/>
              <w:numPr>
                <w:ilvl w:val="0"/>
                <w:numId w:val="6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</w:t>
            </w:r>
            <w:r w:rsidR="00B22B2C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8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(rats, inhalation)</w:t>
            </w:r>
          </w:p>
          <w:p w14:paraId="5AFACAEE" w14:textId="77777777" w:rsidR="003E7C7A" w:rsidRDefault="003E7C7A" w:rsidP="00AC2A96">
            <w:pPr>
              <w:pStyle w:val="Tablefont"/>
              <w:numPr>
                <w:ilvl w:val="0"/>
                <w:numId w:val="6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Most </w:t>
            </w:r>
            <w:r>
              <w:rPr>
                <w:rStyle w:val="checkbox"/>
                <w:rFonts w:ascii="Arial" w:hAnsi="Arial" w:cs="Arial"/>
                <w:i/>
              </w:rPr>
              <w:t xml:space="preserve">in vitro </w:t>
            </w:r>
            <w:r>
              <w:rPr>
                <w:rStyle w:val="checkbox"/>
                <w:rFonts w:ascii="Arial" w:hAnsi="Arial" w:cs="Arial"/>
              </w:rPr>
              <w:t xml:space="preserve">genotoxicity studies produced positive results, whilst most </w:t>
            </w:r>
            <w:r>
              <w:rPr>
                <w:rStyle w:val="checkbox"/>
                <w:rFonts w:ascii="Arial" w:hAnsi="Arial" w:cs="Arial"/>
                <w:i/>
              </w:rPr>
              <w:t xml:space="preserve">in vivo </w:t>
            </w:r>
            <w:r>
              <w:rPr>
                <w:rStyle w:val="checkbox"/>
                <w:rFonts w:ascii="Arial" w:hAnsi="Arial" w:cs="Arial"/>
              </w:rPr>
              <w:t xml:space="preserve">studies had negative results </w:t>
            </w:r>
          </w:p>
          <w:p w14:paraId="7CF94EE3" w14:textId="6B1AD0C2" w:rsidR="003E7C7A" w:rsidRPr="004C23F4" w:rsidRDefault="003E7C7A" w:rsidP="00AC2A96">
            <w:pPr>
              <w:pStyle w:val="Tablefont"/>
              <w:numPr>
                <w:ilvl w:val="0"/>
                <w:numId w:val="6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Studies did not show evidence of reprodu</w:t>
            </w:r>
            <w:r w:rsidR="009A7457">
              <w:rPr>
                <w:rStyle w:val="checkbox"/>
                <w:rFonts w:ascii="Arial" w:hAnsi="Arial" w:cs="Arial"/>
              </w:rPr>
              <w:t>ctive or developmental toxicity.</w:t>
            </w:r>
          </w:p>
        </w:tc>
      </w:tr>
      <w:tr w:rsidR="00FF36A5" w:rsidRPr="004C23F4" w14:paraId="071D601C" w14:textId="77777777" w:rsidTr="00FF36A5">
        <w:trPr>
          <w:cantSplit/>
        </w:trPr>
        <w:tc>
          <w:tcPr>
            <w:tcW w:w="1498" w:type="dxa"/>
          </w:tcPr>
          <w:p w14:paraId="2E55A3BD" w14:textId="77777777" w:rsidR="00FF36A5" w:rsidRPr="004C23F4" w:rsidRDefault="00FF36A5" w:rsidP="00FF36A5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267758C9" w14:textId="6370E8EB" w:rsidR="00FF36A5" w:rsidRPr="00CE617F" w:rsidRDefault="0031681F" w:rsidP="00FF36A5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E24DD39A8C6F46EBBF1658D7EB407812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26BB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B95E9AA" w14:textId="28589F72" w:rsidR="00FF36A5" w:rsidRPr="004C23F4" w:rsidRDefault="00E26BB3" w:rsidP="00FF36A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1995</w:t>
            </w:r>
          </w:p>
        </w:tc>
        <w:tc>
          <w:tcPr>
            <w:tcW w:w="6444" w:type="dxa"/>
          </w:tcPr>
          <w:p w14:paraId="51320602" w14:textId="484B8BBF" w:rsidR="00FF36A5" w:rsidRPr="004C23F4" w:rsidRDefault="00B22B2C" w:rsidP="00AC2A96">
            <w:pPr>
              <w:pStyle w:val="Tablefont"/>
              <w:numPr>
                <w:ilvl w:val="0"/>
                <w:numId w:val="8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E26BB3">
              <w:rPr>
                <w:rStyle w:val="checkbox"/>
                <w:rFonts w:ascii="Arial" w:hAnsi="Arial" w:cs="Arial"/>
              </w:rPr>
              <w:t>lassified as Group 3 (not classifiable as to its carcinogenicity)</w:t>
            </w:r>
            <w:r>
              <w:rPr>
                <w:rStyle w:val="checkbox"/>
                <w:rFonts w:ascii="Arial" w:hAnsi="Arial" w:cs="Arial"/>
              </w:rPr>
              <w:t xml:space="preserve"> based on limited evidence in animals</w:t>
            </w:r>
            <w:r w:rsidR="009A7457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FF36A5" w:rsidRPr="004C23F4" w14:paraId="5FAFCD89" w14:textId="77777777" w:rsidTr="00FF36A5">
        <w:trPr>
          <w:cantSplit/>
        </w:trPr>
        <w:tc>
          <w:tcPr>
            <w:tcW w:w="1498" w:type="dxa"/>
          </w:tcPr>
          <w:p w14:paraId="4ED12A3E" w14:textId="77777777" w:rsidR="00FF36A5" w:rsidRPr="004C23F4" w:rsidRDefault="00FF36A5" w:rsidP="00FF36A5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494E6430" w14:textId="68B5F09C" w:rsidR="00FF36A5" w:rsidRPr="00CE617F" w:rsidRDefault="0031681F" w:rsidP="00FF36A5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A63339FA50904F1DA5BCA382D94625CF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26BB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F667335" w14:textId="78C99B54" w:rsidR="00FF36A5" w:rsidRPr="004C23F4" w:rsidRDefault="00E26BB3" w:rsidP="00FF36A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1988</w:t>
            </w:r>
          </w:p>
        </w:tc>
        <w:tc>
          <w:tcPr>
            <w:tcW w:w="6444" w:type="dxa"/>
          </w:tcPr>
          <w:p w14:paraId="785E9610" w14:textId="442D91C6" w:rsidR="00B22B2C" w:rsidRPr="004C23F4" w:rsidRDefault="00B22B2C" w:rsidP="00AC2A96">
            <w:pPr>
              <w:pStyle w:val="Tablefont"/>
              <w:numPr>
                <w:ilvl w:val="0"/>
                <w:numId w:val="8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Oral RfD (0.003 mg/kg/d) based on LOAEL (11 mg/kg/d) for mild hepatocellular vacuolization (rat, oral sub-chronic study)</w:t>
            </w:r>
            <w:r w:rsidR="009A7457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FF36A5" w:rsidRPr="004C23F4" w14:paraId="196674F5" w14:textId="77777777" w:rsidTr="00FF36A5">
        <w:trPr>
          <w:cantSplit/>
        </w:trPr>
        <w:tc>
          <w:tcPr>
            <w:tcW w:w="1498" w:type="dxa"/>
          </w:tcPr>
          <w:p w14:paraId="2605419D" w14:textId="77777777" w:rsidR="00FF36A5" w:rsidRPr="004C23F4" w:rsidRDefault="00FF36A5" w:rsidP="00FF36A5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32B2E7B2" w14:textId="4541B492" w:rsidR="00FF36A5" w:rsidRPr="00CE617F" w:rsidRDefault="0031681F" w:rsidP="00FF36A5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D9DA98DACF5944C4ABE16C992A5ECE37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C206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46F7255" w14:textId="1E7B66EB" w:rsidR="00FF36A5" w:rsidRPr="004C23F4" w:rsidRDefault="005C206D" w:rsidP="00FF36A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2008</w:t>
            </w:r>
          </w:p>
        </w:tc>
        <w:tc>
          <w:tcPr>
            <w:tcW w:w="6444" w:type="dxa"/>
          </w:tcPr>
          <w:p w14:paraId="1281D21E" w14:textId="7BEE6583" w:rsidR="00FF36A5" w:rsidRPr="004C23F4" w:rsidRDefault="004E4239" w:rsidP="00AC2A96">
            <w:pPr>
              <w:pStyle w:val="Tablefont"/>
              <w:numPr>
                <w:ilvl w:val="0"/>
                <w:numId w:val="8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and LOAEL of 77 and 448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, respectively (hamsters, inhalation)</w:t>
            </w:r>
            <w:r w:rsidR="009A7457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FF36A5" w:rsidRPr="004C23F4" w14:paraId="0E4A9A04" w14:textId="77777777" w:rsidTr="00FF36A5">
        <w:trPr>
          <w:cantSplit/>
        </w:trPr>
        <w:tc>
          <w:tcPr>
            <w:tcW w:w="1498" w:type="dxa"/>
          </w:tcPr>
          <w:p w14:paraId="0AA1AD5B" w14:textId="77777777" w:rsidR="00FF36A5" w:rsidRDefault="00FF36A5" w:rsidP="00FF36A5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77842112" w14:textId="2FD3BAB2" w:rsidR="00FF36A5" w:rsidRDefault="0031681F" w:rsidP="00FF36A5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F6FF4C6085F74624864162F9419A817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E423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2F5A567" w14:textId="4C190081" w:rsidR="00FF36A5" w:rsidRPr="004C23F4" w:rsidRDefault="00C40627" w:rsidP="00FF36A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38EE39AA" w14:textId="77777777" w:rsidR="00AC2A96" w:rsidRDefault="004E4239" w:rsidP="00AC2A96">
            <w:pPr>
              <w:pStyle w:val="Tablefont"/>
              <w:numPr>
                <w:ilvl w:val="0"/>
                <w:numId w:val="8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TWA: 2 ppm (8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44D72F9E" w14:textId="61A2ADB1" w:rsidR="004E4239" w:rsidRPr="00832A82" w:rsidRDefault="004E4239" w:rsidP="00AC2A96">
            <w:pPr>
              <w:pStyle w:val="Tablefont"/>
              <w:numPr>
                <w:ilvl w:val="0"/>
                <w:numId w:val="8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eastAsia="en-US"/>
              </w:rPr>
            </w:pPr>
            <w:r w:rsidRPr="00832A82">
              <w:rPr>
                <w:rStyle w:val="checkbox"/>
                <w:rFonts w:ascii="Arial" w:hAnsi="Arial" w:cs="Arial"/>
              </w:rPr>
              <w:t>IDLH based on acute inh</w:t>
            </w:r>
            <w:r w:rsidR="009A7457" w:rsidRPr="00832A82">
              <w:rPr>
                <w:rStyle w:val="checkbox"/>
                <w:rFonts w:ascii="Arial" w:hAnsi="Arial" w:cs="Arial"/>
              </w:rPr>
              <w:t>alation toxicity data in humans.</w:t>
            </w:r>
          </w:p>
        </w:tc>
      </w:tr>
    </w:tbl>
    <w:p w14:paraId="5F034838" w14:textId="77777777" w:rsidR="007E2A4B" w:rsidRDefault="007E2A4B"/>
    <w:bookmarkEnd w:id="0"/>
    <w:p w14:paraId="1BF6721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AF4C2C2" w14:textId="77777777" w:rsidTr="00A820CF">
        <w:trPr>
          <w:trHeight w:val="454"/>
          <w:tblHeader/>
        </w:trPr>
        <w:tc>
          <w:tcPr>
            <w:tcW w:w="6597" w:type="dxa"/>
            <w:vAlign w:val="center"/>
          </w:tcPr>
          <w:p w14:paraId="5883F62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9883F64" w14:textId="39082421" w:rsidR="002E0D61" w:rsidRDefault="004E423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6378B79" w14:textId="77777777" w:rsidTr="00A820CF">
        <w:trPr>
          <w:trHeight w:val="454"/>
        </w:trPr>
        <w:tc>
          <w:tcPr>
            <w:tcW w:w="6597" w:type="dxa"/>
            <w:vAlign w:val="center"/>
          </w:tcPr>
          <w:p w14:paraId="7AE067B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DF8A0A5" w14:textId="36E0C62D" w:rsidR="008A36CF" w:rsidRDefault="004E423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92F717E" w14:textId="77777777" w:rsidTr="00A820C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6BEE56E7" w14:textId="477A689C" w:rsidR="008A36CF" w:rsidRPr="006901A2" w:rsidRDefault="00A820C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3188D3B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0ABA64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455B18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415B3B3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F9BBAB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9BD0785" w14:textId="77777777" w:rsidTr="00812887">
        <w:trPr>
          <w:cantSplit/>
        </w:trPr>
        <w:tc>
          <w:tcPr>
            <w:tcW w:w="3227" w:type="dxa"/>
          </w:tcPr>
          <w:p w14:paraId="4689503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CD7B164" w14:textId="1F1B478A" w:rsidR="00687890" w:rsidRPr="00DD2F9B" w:rsidRDefault="00F01FB3" w:rsidP="00DD2F9B">
            <w:pPr>
              <w:pStyle w:val="Tablefont"/>
            </w:pPr>
            <w:r w:rsidRPr="00F01FB3">
              <w:t>Sk</w:t>
            </w:r>
            <w:r w:rsidR="00A820CF">
              <w:t>in</w:t>
            </w:r>
          </w:p>
        </w:tc>
      </w:tr>
      <w:tr w:rsidR="007925F0" w:rsidRPr="004C23F4" w14:paraId="59C9E89E" w14:textId="77777777" w:rsidTr="00812887">
        <w:trPr>
          <w:cantSplit/>
        </w:trPr>
        <w:tc>
          <w:tcPr>
            <w:tcW w:w="3227" w:type="dxa"/>
          </w:tcPr>
          <w:p w14:paraId="03D64A0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EE246FB" w14:textId="59389650" w:rsidR="007925F0" w:rsidRPr="00DD2F9B" w:rsidRDefault="00C41D93" w:rsidP="00DD2F9B">
            <w:pPr>
              <w:pStyle w:val="Tablefont"/>
            </w:pPr>
            <w:r w:rsidRPr="00C41D93">
              <w:t>Carcinogenicity – category 2</w:t>
            </w:r>
          </w:p>
        </w:tc>
      </w:tr>
      <w:tr w:rsidR="00AF483F" w:rsidRPr="004C23F4" w14:paraId="7C4C6E72" w14:textId="77777777" w:rsidTr="00812887">
        <w:trPr>
          <w:cantSplit/>
        </w:trPr>
        <w:tc>
          <w:tcPr>
            <w:tcW w:w="3227" w:type="dxa"/>
          </w:tcPr>
          <w:p w14:paraId="31EDE2A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E1CA757" w14:textId="7175361D" w:rsidR="00AF483F" w:rsidRPr="00DD2F9B" w:rsidRDefault="00C41D93" w:rsidP="00DD2F9B">
            <w:pPr>
              <w:pStyle w:val="Tablefont"/>
            </w:pPr>
            <w:r w:rsidRPr="00C41D93">
              <w:t>Carc. Cat 3</w:t>
            </w:r>
            <w:r>
              <w:t xml:space="preserve">, </w:t>
            </w:r>
            <w:r w:rsidRPr="00F01FB3">
              <w:t>Skin</w:t>
            </w:r>
          </w:p>
        </w:tc>
      </w:tr>
      <w:tr w:rsidR="00687890" w:rsidRPr="004C23F4" w14:paraId="52A42D1E" w14:textId="77777777" w:rsidTr="00812887">
        <w:trPr>
          <w:cantSplit/>
        </w:trPr>
        <w:tc>
          <w:tcPr>
            <w:tcW w:w="3227" w:type="dxa"/>
          </w:tcPr>
          <w:p w14:paraId="1B36145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4B5EF26" w14:textId="42A09288" w:rsidR="00687890" w:rsidRPr="00DD2F9B" w:rsidRDefault="00C41D93" w:rsidP="00DD2F9B">
            <w:pPr>
              <w:pStyle w:val="Tablefont"/>
            </w:pPr>
            <w:r w:rsidRPr="00C41D93">
              <w:t>Carcinogenicity – category 2</w:t>
            </w:r>
          </w:p>
        </w:tc>
      </w:tr>
      <w:tr w:rsidR="00E41A26" w:rsidRPr="004C23F4" w14:paraId="1747E6CC" w14:textId="77777777" w:rsidTr="00812887">
        <w:trPr>
          <w:cantSplit/>
        </w:trPr>
        <w:tc>
          <w:tcPr>
            <w:tcW w:w="3227" w:type="dxa"/>
          </w:tcPr>
          <w:p w14:paraId="7F63A71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D0E43B3" w14:textId="183A0A84" w:rsidR="00E41A26" w:rsidRPr="00DD2F9B" w:rsidRDefault="00C41D93" w:rsidP="00DD2F9B">
            <w:pPr>
              <w:pStyle w:val="Tablefont"/>
            </w:pPr>
            <w:r w:rsidRPr="00C41D93">
              <w:t>Carc. 2</w:t>
            </w:r>
          </w:p>
        </w:tc>
      </w:tr>
      <w:tr w:rsidR="002E0D61" w:rsidRPr="004C23F4" w14:paraId="25EB3044" w14:textId="77777777" w:rsidTr="00812887">
        <w:trPr>
          <w:cantSplit/>
        </w:trPr>
        <w:tc>
          <w:tcPr>
            <w:tcW w:w="3227" w:type="dxa"/>
          </w:tcPr>
          <w:p w14:paraId="3C6DDF8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E23FE9A" w14:textId="45B41B91" w:rsidR="002E0D61" w:rsidRPr="00DD2F9B" w:rsidRDefault="00C41D93" w:rsidP="00DD2F9B">
            <w:pPr>
              <w:pStyle w:val="Tablefont"/>
            </w:pPr>
            <w:r w:rsidRPr="00C41D93">
              <w:t>Carcinogenicity – A3</w:t>
            </w:r>
            <w:r>
              <w:t xml:space="preserve">, </w:t>
            </w:r>
            <w:r w:rsidRPr="00C41D93">
              <w:t>Skin</w:t>
            </w:r>
          </w:p>
        </w:tc>
      </w:tr>
      <w:tr w:rsidR="002E0D61" w:rsidRPr="004C23F4" w14:paraId="53E28CFF" w14:textId="77777777" w:rsidTr="00812887">
        <w:trPr>
          <w:cantSplit/>
        </w:trPr>
        <w:tc>
          <w:tcPr>
            <w:tcW w:w="3227" w:type="dxa"/>
          </w:tcPr>
          <w:p w14:paraId="4AA75DC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1C529D5" w14:textId="6FA3EE36" w:rsidR="002E0D61" w:rsidRPr="00DD2F9B" w:rsidRDefault="00C41D93" w:rsidP="00DD2F9B">
            <w:pPr>
              <w:pStyle w:val="Tablefont"/>
            </w:pPr>
            <w:r w:rsidRPr="00C41D93">
              <w:t>H (skin)</w:t>
            </w:r>
          </w:p>
        </w:tc>
      </w:tr>
      <w:tr w:rsidR="002E0D61" w:rsidRPr="004C23F4" w14:paraId="747C1F9D" w14:textId="77777777" w:rsidTr="00812887">
        <w:trPr>
          <w:cantSplit/>
        </w:trPr>
        <w:tc>
          <w:tcPr>
            <w:tcW w:w="3227" w:type="dxa"/>
          </w:tcPr>
          <w:p w14:paraId="3547EA7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2FA397C" w14:textId="4B596596" w:rsidR="002E0D61" w:rsidRPr="00DD2F9B" w:rsidRDefault="0043167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4C14B5A" w14:textId="77777777" w:rsidTr="00812887">
        <w:trPr>
          <w:cantSplit/>
        </w:trPr>
        <w:tc>
          <w:tcPr>
            <w:tcW w:w="3227" w:type="dxa"/>
          </w:tcPr>
          <w:p w14:paraId="58D5B48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97ABD6A" w14:textId="3ADFF1B6" w:rsidR="002E0D61" w:rsidRPr="00DD2F9B" w:rsidRDefault="0043167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10C07FB" w14:textId="77777777" w:rsidTr="00812887">
        <w:trPr>
          <w:cantSplit/>
        </w:trPr>
        <w:tc>
          <w:tcPr>
            <w:tcW w:w="3227" w:type="dxa"/>
          </w:tcPr>
          <w:p w14:paraId="567465E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A754CB1" w14:textId="212EAC9A" w:rsidR="00386093" w:rsidRPr="00DD2F9B" w:rsidRDefault="00431672" w:rsidP="00DD2F9B">
            <w:pPr>
              <w:pStyle w:val="Tablefont"/>
            </w:pPr>
            <w:r w:rsidRPr="00431672">
              <w:t>Carcinogenicity – Group 3</w:t>
            </w:r>
          </w:p>
        </w:tc>
      </w:tr>
      <w:tr w:rsidR="00386093" w:rsidRPr="004C23F4" w14:paraId="132AC858" w14:textId="77777777" w:rsidTr="00812887">
        <w:trPr>
          <w:cantSplit/>
        </w:trPr>
        <w:tc>
          <w:tcPr>
            <w:tcW w:w="3227" w:type="dxa"/>
          </w:tcPr>
          <w:p w14:paraId="159AEE5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3B573DD" w14:textId="01D61312" w:rsidR="00386093" w:rsidRPr="00DD2F9B" w:rsidRDefault="006279A7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2"/>
    <w:p w14:paraId="6B54908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639DD4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306125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4EB541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C472B9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282"/>
              <w:gridCol w:w="1141"/>
              <w:gridCol w:w="640"/>
              <w:gridCol w:w="1412"/>
              <w:gridCol w:w="2335"/>
            </w:tblGrid>
            <w:tr w:rsidR="00B37EF1" w:rsidRPr="00FF1434" w14:paraId="30067F34" w14:textId="77777777" w:rsidTr="003E0DE0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848117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38591437" w14:textId="4FDE0516" w:rsidR="00B37EF1" w:rsidRPr="00E1241A" w:rsidRDefault="00641C0F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Insufficient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69590C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89FDC0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D860CD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EF1" w:rsidRPr="00FF1434" w14:paraId="33F44950" w14:textId="77777777" w:rsidTr="00C4062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4AADF5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BCB"/>
                  <w:noWrap/>
                  <w:vAlign w:val="center"/>
                </w:tcPr>
                <w:p w14:paraId="40004F18" w14:textId="6D47ADBA" w:rsidR="00B37EF1" w:rsidRPr="00E1241A" w:rsidRDefault="00641C0F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E7234F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427480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7C346F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EF1" w:rsidRPr="00FF1434" w14:paraId="16EB9D3E" w14:textId="77777777" w:rsidTr="003E0DE0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AD4460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3B24E733" w14:textId="77777777" w:rsidR="00B37EF1" w:rsidRPr="00E1241A" w:rsidRDefault="00B37EF1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Insufficient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C65E94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271F73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EE1D6D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EF1" w:rsidRPr="00FF1434" w14:paraId="4D18CF65" w14:textId="77777777" w:rsidTr="00C40627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FC184E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BCB"/>
                  <w:noWrap/>
                  <w:vAlign w:val="center"/>
                </w:tcPr>
                <w:p w14:paraId="4D3D5ECC" w14:textId="2697F3D8" w:rsidR="00B37EF1" w:rsidRPr="00E1241A" w:rsidRDefault="00641C0F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6A989E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6DBD71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095BF0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EF1" w:rsidRPr="00FF1434" w14:paraId="778D32FD" w14:textId="77777777" w:rsidTr="003E0DE0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D931EE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665D41F0" w14:textId="77777777" w:rsidR="00B37EF1" w:rsidRPr="00E1241A" w:rsidRDefault="00B37EF1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B78329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2F6FBE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DEC08A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EF1" w:rsidRPr="00FF1434" w14:paraId="539B7D04" w14:textId="77777777" w:rsidTr="003E0DE0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EA1156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</w:tcPr>
                <w:p w14:paraId="74A81324" w14:textId="77777777" w:rsidR="00B37EF1" w:rsidRPr="00E1241A" w:rsidRDefault="00B37EF1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F33281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E56465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492EF7" w14:textId="77777777" w:rsidR="00B37EF1" w:rsidRPr="00FF1434" w:rsidRDefault="00B37EF1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37EF1" w:rsidRPr="00FF1434" w14:paraId="36A4669D" w14:textId="77777777" w:rsidTr="003E0DE0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17F7A5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842BB7" w14:textId="77777777" w:rsidR="00B37EF1" w:rsidRPr="00FF1434" w:rsidRDefault="00B37EF1" w:rsidP="00B37EF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8DDCDA" w14:textId="77777777" w:rsidR="00B37EF1" w:rsidRPr="00FF1434" w:rsidRDefault="00B37EF1" w:rsidP="00B37EF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5E7B14" w14:textId="062A1C52" w:rsidR="00B37EF1" w:rsidRPr="00FF1434" w:rsidRDefault="00641C0F" w:rsidP="00B37EF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AFB0DA4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15FFF9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B19C58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ADE405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B5731AD" w14:textId="5EB54B26" w:rsidR="00EB3D1B" w:rsidRDefault="0043167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6BB229D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07125C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42B835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45AF4E1" w14:textId="12F580A8" w:rsidR="001B79E5" w:rsidRDefault="00B37EF1" w:rsidP="001B79E5">
                <w:pPr>
                  <w:pStyle w:val="Tablefont"/>
                </w:pPr>
                <w:r>
                  <w:t>96.09</w:t>
                </w:r>
              </w:p>
            </w:tc>
          </w:sdtContent>
        </w:sdt>
      </w:tr>
      <w:tr w:rsidR="00A31D99" w:rsidRPr="004C23F4" w14:paraId="3B54CCB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C2BBB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CA89B27" w14:textId="507CCC9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31672">
                  <w:t>3.93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431672">
                  <w:t>0.255</w:t>
                </w:r>
              </w:sdtContent>
            </w:sdt>
            <w:r w:rsidRPr="00431672">
              <w:t xml:space="preserve"> </w:t>
            </w:r>
            <w:r>
              <w:t>ppm</w:t>
            </w:r>
          </w:p>
        </w:tc>
      </w:tr>
      <w:tr w:rsidR="00687890" w:rsidRPr="004C23F4" w14:paraId="5633231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F3E15A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D219C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F67D5A3" w14:textId="77777777" w:rsidTr="00EA6243">
        <w:trPr>
          <w:cantSplit/>
        </w:trPr>
        <w:tc>
          <w:tcPr>
            <w:tcW w:w="4077" w:type="dxa"/>
            <w:vAlign w:val="center"/>
          </w:tcPr>
          <w:p w14:paraId="02D6B7C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54EF2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010429B" w14:textId="77777777" w:rsidTr="00EA6243">
        <w:trPr>
          <w:cantSplit/>
        </w:trPr>
        <w:tc>
          <w:tcPr>
            <w:tcW w:w="4077" w:type="dxa"/>
            <w:vAlign w:val="center"/>
          </w:tcPr>
          <w:p w14:paraId="1D7B7B3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33D21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BF51D24" w14:textId="77777777" w:rsidTr="00EA6243">
        <w:trPr>
          <w:cantSplit/>
        </w:trPr>
        <w:tc>
          <w:tcPr>
            <w:tcW w:w="4077" w:type="dxa"/>
            <w:vAlign w:val="center"/>
          </w:tcPr>
          <w:p w14:paraId="1AD8044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C282A8C" w14:textId="30B02793" w:rsidR="00E06F40" w:rsidRPr="00A006A0" w:rsidRDefault="0031681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40627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56BD7A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4C285D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53CF8E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24E06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1316ED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5959DEA" w14:textId="261500DB" w:rsidR="007F1005" w:rsidRPr="004C23F4" w:rsidRDefault="00CA5B82" w:rsidP="00EB3D1B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7D7E9CE" w14:textId="669544C0" w:rsidR="007F1005" w:rsidRPr="00CA5B82" w:rsidRDefault="00CA5B82" w:rsidP="00EB3D1B">
            <w:pPr>
              <w:pStyle w:val="Tablefont"/>
              <w:keepLines/>
            </w:pPr>
            <w:r>
              <w:t>TWA: 2 ppm (7.9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</w:tbl>
    <w:bookmarkEnd w:id="4"/>
    <w:p w14:paraId="2075C9E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1CF8BAA" w14:textId="04EAD7DA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0676A9C" w14:textId="2E90369B" w:rsidR="00431672" w:rsidRDefault="00431672" w:rsidP="00084859">
      <w:r w:rsidRPr="002022B6">
        <w:t>Deutsche Forschungsgemeinschaft (DFG)</w:t>
      </w:r>
      <w:r>
        <w:t xml:space="preserve"> (2002) </w:t>
      </w:r>
      <w:r w:rsidRPr="00431672">
        <w:t>Furfural</w:t>
      </w:r>
      <w:r>
        <w:t xml:space="preserve"> – MAK value documentation.</w:t>
      </w:r>
    </w:p>
    <w:p w14:paraId="68399D1A" w14:textId="58D7179A" w:rsidR="00F04597" w:rsidRPr="00C40627" w:rsidRDefault="00431672" w:rsidP="00C40627">
      <w:r>
        <w:t xml:space="preserve">European Chemicals Agency (ECHA) (2016) </w:t>
      </w:r>
      <w:r w:rsidRPr="00431672">
        <w:t>Furfural</w:t>
      </w:r>
      <w:r>
        <w:t xml:space="preserve"> – REACH assessment.</w:t>
      </w:r>
      <w:r w:rsidR="00F04597">
        <w:t xml:space="preserve"> </w:t>
      </w:r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9BE9C4D" w14:textId="7F2E2CFB" w:rsidR="00431672" w:rsidRDefault="00431672" w:rsidP="00084859">
      <w:r w:rsidRPr="002022B6">
        <w:t>International Agency for Research on Cancer</w:t>
      </w:r>
      <w:r>
        <w:t xml:space="preserve"> (IARC) (</w:t>
      </w:r>
      <w:r w:rsidRPr="00431672">
        <w:t>1995</w:t>
      </w:r>
      <w:r>
        <w:t xml:space="preserve">) </w:t>
      </w:r>
      <w:r w:rsidRPr="00431672">
        <w:t>Furfural</w:t>
      </w:r>
      <w:r>
        <w:t>. IARC Monographs on the evaluation of the carcinogenic risk to humans.</w:t>
      </w:r>
    </w:p>
    <w:p w14:paraId="41942141" w14:textId="77AB2E73" w:rsidR="00F04597" w:rsidRDefault="00F04597" w:rsidP="00084859">
      <w:r>
        <w:t xml:space="preserve">Organization for Economic Co-operation and Development (OECD) (2008) SIDS Initial Assessment Profile. SIAM 26, 16-18. </w:t>
      </w:r>
    </w:p>
    <w:p w14:paraId="5EE94E27" w14:textId="6A3EEA52" w:rsidR="00C40627" w:rsidRDefault="00C40627" w:rsidP="00C40627">
      <w:r w:rsidRPr="002022B6">
        <w:t>National Industrial Chemicals Notification and Assessment Scheme</w:t>
      </w:r>
      <w:r>
        <w:t xml:space="preserve"> </w:t>
      </w:r>
      <w:r w:rsidRPr="002022B6">
        <w:t>(NICNAS)</w:t>
      </w:r>
      <w:r>
        <w:t xml:space="preserve"> (</w:t>
      </w:r>
      <w:r w:rsidRPr="00431672">
        <w:t>2013</w:t>
      </w:r>
      <w:r>
        <w:t xml:space="preserve">) </w:t>
      </w:r>
      <w:r w:rsidRPr="00431672">
        <w:t>2-Furancarboxaldehyde</w:t>
      </w:r>
      <w:r w:rsidRPr="0071660C">
        <w:t xml:space="preserve">: Human health </w:t>
      </w:r>
      <w:r w:rsidRPr="00431672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0AB04686" w14:textId="148E9515" w:rsidR="00C40627" w:rsidRPr="00C40627" w:rsidRDefault="00C40627" w:rsidP="00C40627">
      <w:pPr>
        <w:rPr>
          <w:color w:val="000000"/>
        </w:rPr>
      </w:pPr>
      <w:r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7AB84173" w14:textId="40632E80" w:rsidR="00C40627" w:rsidRDefault="00C40627" w:rsidP="00C40627">
      <w:r>
        <w:t>US Environmental Protection Agency (US EPA) (1988) Integrated Risk Information System (IRIS), Furfural; CASRN 98-01-1.</w:t>
      </w:r>
    </w:p>
    <w:p w14:paraId="3A2211F9" w14:textId="3CF9682D" w:rsidR="00431672" w:rsidRDefault="00431672" w:rsidP="00084859">
      <w:r w:rsidRPr="00D86E03">
        <w:t>US National Institute for Occupational Safety and Health (NIOSH)</w:t>
      </w:r>
      <w:r>
        <w:t xml:space="preserve"> (</w:t>
      </w:r>
      <w:r w:rsidRPr="00431672">
        <w:t>1994</w:t>
      </w:r>
      <w:r>
        <w:t xml:space="preserve">) Immediately dangerous to life or health concentrations – </w:t>
      </w:r>
      <w:r w:rsidRPr="00431672">
        <w:t>Furfural</w:t>
      </w:r>
      <w:r>
        <w:t>.</w:t>
      </w:r>
    </w:p>
    <w:p w14:paraId="1DBFBFA6" w14:textId="77777777" w:rsidR="00F04597" w:rsidRPr="00351FE0" w:rsidRDefault="00F04597" w:rsidP="00084859"/>
    <w:sectPr w:rsidR="00F04597" w:rsidRPr="00351FE0" w:rsidSect="00B87D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E039" w14:textId="77777777" w:rsidR="001C7A69" w:rsidRDefault="001C7A69" w:rsidP="00F43AD5">
      <w:pPr>
        <w:spacing w:after="0" w:line="240" w:lineRule="auto"/>
      </w:pPr>
      <w:r>
        <w:separator/>
      </w:r>
    </w:p>
  </w:endnote>
  <w:endnote w:type="continuationSeparator" w:id="0">
    <w:p w14:paraId="21B006CC" w14:textId="77777777" w:rsidR="001C7A69" w:rsidRDefault="001C7A6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96AC" w14:textId="77777777" w:rsidR="00B0180D" w:rsidRDefault="00B01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7A9BC44" w14:textId="77777777" w:rsidR="00B0180D" w:rsidRPr="00273288" w:rsidRDefault="00B0180D" w:rsidP="00B0180D">
        <w:pPr>
          <w:pStyle w:val="Footer"/>
          <w:rPr>
            <w:b/>
            <w:sz w:val="18"/>
            <w:szCs w:val="18"/>
          </w:rPr>
        </w:pPr>
      </w:p>
      <w:p w14:paraId="45A884EC" w14:textId="357078FC" w:rsidR="00B0180D" w:rsidRDefault="00B0180D" w:rsidP="00B0180D">
        <w:pPr>
          <w:pStyle w:val="Footer"/>
          <w:rPr>
            <w:sz w:val="18"/>
            <w:szCs w:val="18"/>
          </w:rPr>
        </w:pPr>
        <w:r w:rsidRPr="00273288">
          <w:rPr>
            <w:b/>
            <w:sz w:val="18"/>
            <w:szCs w:val="18"/>
          </w:rPr>
          <w:t xml:space="preserve">Furfuryl </w:t>
        </w:r>
        <w:r>
          <w:rPr>
            <w:b/>
            <w:sz w:val="18"/>
            <w:szCs w:val="18"/>
          </w:rPr>
          <w:t>(</w:t>
        </w:r>
        <w:r w:rsidRPr="00273288">
          <w:rPr>
            <w:b/>
            <w:sz w:val="18"/>
            <w:szCs w:val="18"/>
          </w:rPr>
          <w:t>98-0</w:t>
        </w:r>
        <w:r w:rsidR="003835EF">
          <w:rPr>
            <w:b/>
            <w:sz w:val="18"/>
            <w:szCs w:val="18"/>
          </w:rPr>
          <w:t>1-1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6D003443" w14:textId="606CD908" w:rsidR="00B0180D" w:rsidRPr="00F43AD5" w:rsidRDefault="00B0180D" w:rsidP="00B0180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1681F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  <w:p w14:paraId="655160C8" w14:textId="77777777" w:rsidR="00B0180D" w:rsidRDefault="00B01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6AC5" w14:textId="77777777" w:rsidR="00B0180D" w:rsidRDefault="00B01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F81BB" w14:textId="77777777" w:rsidR="001C7A69" w:rsidRDefault="001C7A69" w:rsidP="00F43AD5">
      <w:pPr>
        <w:spacing w:after="0" w:line="240" w:lineRule="auto"/>
      </w:pPr>
      <w:r>
        <w:separator/>
      </w:r>
    </w:p>
  </w:footnote>
  <w:footnote w:type="continuationSeparator" w:id="0">
    <w:p w14:paraId="76E81DA1" w14:textId="77777777" w:rsidR="001C7A69" w:rsidRDefault="001C7A6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B1DE" w14:textId="77777777" w:rsidR="00B0180D" w:rsidRDefault="00B01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A0B3" w14:textId="19EB018A" w:rsidR="0031681F" w:rsidRDefault="0031681F" w:rsidP="0031681F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1DE49B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61D023C" wp14:editId="7EDA5B3C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30B6F" w14:textId="583900E8" w:rsidR="003E0DE0" w:rsidRPr="0031681F" w:rsidRDefault="003E0DE0" w:rsidP="0031681F">
    <w:pPr>
      <w:pStyle w:val="Header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3417" w14:textId="77777777" w:rsidR="00B0180D" w:rsidRDefault="00B01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528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E23A1"/>
    <w:multiLevelType w:val="hybridMultilevel"/>
    <w:tmpl w:val="2A080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E6D"/>
    <w:multiLevelType w:val="hybridMultilevel"/>
    <w:tmpl w:val="68981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0808"/>
    <w:multiLevelType w:val="hybridMultilevel"/>
    <w:tmpl w:val="A2589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7B03"/>
    <w:multiLevelType w:val="hybridMultilevel"/>
    <w:tmpl w:val="D0C80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E1C"/>
    <w:multiLevelType w:val="hybridMultilevel"/>
    <w:tmpl w:val="F1E0A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1EB9"/>
    <w:multiLevelType w:val="hybridMultilevel"/>
    <w:tmpl w:val="EC18D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7C97"/>
    <w:multiLevelType w:val="hybridMultilevel"/>
    <w:tmpl w:val="F502F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7E9"/>
    <w:rsid w:val="00060B48"/>
    <w:rsid w:val="00067F32"/>
    <w:rsid w:val="00071807"/>
    <w:rsid w:val="00075017"/>
    <w:rsid w:val="000803E1"/>
    <w:rsid w:val="00084513"/>
    <w:rsid w:val="00084859"/>
    <w:rsid w:val="00092D94"/>
    <w:rsid w:val="000B0868"/>
    <w:rsid w:val="000B3E12"/>
    <w:rsid w:val="000B3E78"/>
    <w:rsid w:val="000B468F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757C"/>
    <w:rsid w:val="001A009E"/>
    <w:rsid w:val="001A1287"/>
    <w:rsid w:val="001A3859"/>
    <w:rsid w:val="001A3C9D"/>
    <w:rsid w:val="001A43F8"/>
    <w:rsid w:val="001B79E5"/>
    <w:rsid w:val="001C7A69"/>
    <w:rsid w:val="001D20DB"/>
    <w:rsid w:val="001D4B84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6D6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7ABB"/>
    <w:rsid w:val="002B1A2C"/>
    <w:rsid w:val="002C1816"/>
    <w:rsid w:val="002C34F2"/>
    <w:rsid w:val="002C58FF"/>
    <w:rsid w:val="002C5ACE"/>
    <w:rsid w:val="002C7AFE"/>
    <w:rsid w:val="002D05D2"/>
    <w:rsid w:val="002E0D61"/>
    <w:rsid w:val="002E4C7B"/>
    <w:rsid w:val="0030740C"/>
    <w:rsid w:val="00310A9F"/>
    <w:rsid w:val="00315833"/>
    <w:rsid w:val="0031681F"/>
    <w:rsid w:val="003215EE"/>
    <w:rsid w:val="003224BF"/>
    <w:rsid w:val="003241A8"/>
    <w:rsid w:val="003253F0"/>
    <w:rsid w:val="00332B62"/>
    <w:rsid w:val="003337DA"/>
    <w:rsid w:val="00334EFB"/>
    <w:rsid w:val="00334F82"/>
    <w:rsid w:val="00335CDE"/>
    <w:rsid w:val="003365A5"/>
    <w:rsid w:val="00342389"/>
    <w:rsid w:val="00346449"/>
    <w:rsid w:val="00347192"/>
    <w:rsid w:val="0034744C"/>
    <w:rsid w:val="00351FE0"/>
    <w:rsid w:val="00352615"/>
    <w:rsid w:val="0035412B"/>
    <w:rsid w:val="003567A8"/>
    <w:rsid w:val="00362895"/>
    <w:rsid w:val="00370DBF"/>
    <w:rsid w:val="003835E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6165"/>
    <w:rsid w:val="003D4FA3"/>
    <w:rsid w:val="003E0807"/>
    <w:rsid w:val="003E0DE0"/>
    <w:rsid w:val="003E51FB"/>
    <w:rsid w:val="003E6B39"/>
    <w:rsid w:val="003E7C7A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1672"/>
    <w:rsid w:val="0043230B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1D19"/>
    <w:rsid w:val="004A36F0"/>
    <w:rsid w:val="004A5088"/>
    <w:rsid w:val="004C1BFB"/>
    <w:rsid w:val="004C1E3F"/>
    <w:rsid w:val="004C23F4"/>
    <w:rsid w:val="004C3475"/>
    <w:rsid w:val="004C58B6"/>
    <w:rsid w:val="004D16A3"/>
    <w:rsid w:val="004D4AA1"/>
    <w:rsid w:val="004D6D68"/>
    <w:rsid w:val="004E4239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0B03"/>
    <w:rsid w:val="00551BD8"/>
    <w:rsid w:val="00563EA9"/>
    <w:rsid w:val="00581055"/>
    <w:rsid w:val="00591E38"/>
    <w:rsid w:val="00591E7B"/>
    <w:rsid w:val="00593928"/>
    <w:rsid w:val="005A19C5"/>
    <w:rsid w:val="005A3034"/>
    <w:rsid w:val="005A462D"/>
    <w:rsid w:val="005B014B"/>
    <w:rsid w:val="005B253B"/>
    <w:rsid w:val="005B771D"/>
    <w:rsid w:val="005B7E63"/>
    <w:rsid w:val="005C206D"/>
    <w:rsid w:val="005C2B15"/>
    <w:rsid w:val="005C5D16"/>
    <w:rsid w:val="005D3193"/>
    <w:rsid w:val="005D4A6E"/>
    <w:rsid w:val="005D73A2"/>
    <w:rsid w:val="005E1879"/>
    <w:rsid w:val="005E6979"/>
    <w:rsid w:val="005E75CB"/>
    <w:rsid w:val="006013C1"/>
    <w:rsid w:val="0060669E"/>
    <w:rsid w:val="00610F2E"/>
    <w:rsid w:val="00611399"/>
    <w:rsid w:val="00624C4E"/>
    <w:rsid w:val="00625200"/>
    <w:rsid w:val="006279A7"/>
    <w:rsid w:val="006363A8"/>
    <w:rsid w:val="00636DB7"/>
    <w:rsid w:val="00641C0F"/>
    <w:rsid w:val="00650905"/>
    <w:rsid w:val="006532ED"/>
    <w:rsid w:val="006549F2"/>
    <w:rsid w:val="00655211"/>
    <w:rsid w:val="006567B7"/>
    <w:rsid w:val="00657BFB"/>
    <w:rsid w:val="0066333C"/>
    <w:rsid w:val="006639B4"/>
    <w:rsid w:val="006650FE"/>
    <w:rsid w:val="006675D0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1E24"/>
    <w:rsid w:val="007925F0"/>
    <w:rsid w:val="007939B3"/>
    <w:rsid w:val="007946EE"/>
    <w:rsid w:val="0079509C"/>
    <w:rsid w:val="00796708"/>
    <w:rsid w:val="007B1B42"/>
    <w:rsid w:val="007C30EB"/>
    <w:rsid w:val="007C5CE7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208"/>
    <w:rsid w:val="00810C6D"/>
    <w:rsid w:val="00812887"/>
    <w:rsid w:val="00826F21"/>
    <w:rsid w:val="00832A82"/>
    <w:rsid w:val="00834CC8"/>
    <w:rsid w:val="00835E00"/>
    <w:rsid w:val="00837113"/>
    <w:rsid w:val="008414E4"/>
    <w:rsid w:val="008423E2"/>
    <w:rsid w:val="00843E21"/>
    <w:rsid w:val="0084508E"/>
    <w:rsid w:val="00857A8A"/>
    <w:rsid w:val="008630EE"/>
    <w:rsid w:val="00864D13"/>
    <w:rsid w:val="00865ABB"/>
    <w:rsid w:val="00871CD5"/>
    <w:rsid w:val="008743B1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6F58"/>
    <w:rsid w:val="008E7B64"/>
    <w:rsid w:val="008F5DCD"/>
    <w:rsid w:val="00900951"/>
    <w:rsid w:val="009118A6"/>
    <w:rsid w:val="00916909"/>
    <w:rsid w:val="00916EC0"/>
    <w:rsid w:val="00920467"/>
    <w:rsid w:val="00921DE7"/>
    <w:rsid w:val="0092579A"/>
    <w:rsid w:val="0093041A"/>
    <w:rsid w:val="00930714"/>
    <w:rsid w:val="00931B03"/>
    <w:rsid w:val="009323B9"/>
    <w:rsid w:val="00932DCE"/>
    <w:rsid w:val="0093327E"/>
    <w:rsid w:val="00934028"/>
    <w:rsid w:val="0093760E"/>
    <w:rsid w:val="00940663"/>
    <w:rsid w:val="00941E18"/>
    <w:rsid w:val="0094500C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7457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10EC"/>
    <w:rsid w:val="009E2214"/>
    <w:rsid w:val="009E355A"/>
    <w:rsid w:val="009E63E2"/>
    <w:rsid w:val="009F04D2"/>
    <w:rsid w:val="009F05CF"/>
    <w:rsid w:val="009F0F3A"/>
    <w:rsid w:val="00A0115C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E1D"/>
    <w:rsid w:val="00A53681"/>
    <w:rsid w:val="00A633D4"/>
    <w:rsid w:val="00A6461A"/>
    <w:rsid w:val="00A820CF"/>
    <w:rsid w:val="00A82472"/>
    <w:rsid w:val="00A84504"/>
    <w:rsid w:val="00A8672F"/>
    <w:rsid w:val="00A90578"/>
    <w:rsid w:val="00A93057"/>
    <w:rsid w:val="00A968B0"/>
    <w:rsid w:val="00AA4E6E"/>
    <w:rsid w:val="00AB2672"/>
    <w:rsid w:val="00AB2817"/>
    <w:rsid w:val="00AB43C4"/>
    <w:rsid w:val="00AC2A96"/>
    <w:rsid w:val="00AC32E7"/>
    <w:rsid w:val="00AC3A9F"/>
    <w:rsid w:val="00AC6D2F"/>
    <w:rsid w:val="00AD741D"/>
    <w:rsid w:val="00AE2745"/>
    <w:rsid w:val="00AE2F64"/>
    <w:rsid w:val="00AE4B41"/>
    <w:rsid w:val="00AF42CB"/>
    <w:rsid w:val="00AF483F"/>
    <w:rsid w:val="00AF5E07"/>
    <w:rsid w:val="00AF5F06"/>
    <w:rsid w:val="00B00A25"/>
    <w:rsid w:val="00B0180D"/>
    <w:rsid w:val="00B1422A"/>
    <w:rsid w:val="00B1765C"/>
    <w:rsid w:val="00B213C4"/>
    <w:rsid w:val="00B22B2C"/>
    <w:rsid w:val="00B37EF1"/>
    <w:rsid w:val="00B40C60"/>
    <w:rsid w:val="00B479A9"/>
    <w:rsid w:val="00B52EDF"/>
    <w:rsid w:val="00B71188"/>
    <w:rsid w:val="00B76A41"/>
    <w:rsid w:val="00B87D4C"/>
    <w:rsid w:val="00B93646"/>
    <w:rsid w:val="00B96862"/>
    <w:rsid w:val="00BA0B38"/>
    <w:rsid w:val="00BA1DBB"/>
    <w:rsid w:val="00BA4510"/>
    <w:rsid w:val="00BA529A"/>
    <w:rsid w:val="00BB612A"/>
    <w:rsid w:val="00BD23E5"/>
    <w:rsid w:val="00BD499F"/>
    <w:rsid w:val="00BD56DE"/>
    <w:rsid w:val="00BF2406"/>
    <w:rsid w:val="00C044F0"/>
    <w:rsid w:val="00C06E43"/>
    <w:rsid w:val="00C16315"/>
    <w:rsid w:val="00C3091E"/>
    <w:rsid w:val="00C40627"/>
    <w:rsid w:val="00C40FF1"/>
    <w:rsid w:val="00C419E2"/>
    <w:rsid w:val="00C41D93"/>
    <w:rsid w:val="00C5020E"/>
    <w:rsid w:val="00C53740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5B82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2D6C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4165"/>
    <w:rsid w:val="00DF6F36"/>
    <w:rsid w:val="00E0084C"/>
    <w:rsid w:val="00E025AB"/>
    <w:rsid w:val="00E02B23"/>
    <w:rsid w:val="00E06F40"/>
    <w:rsid w:val="00E07CE8"/>
    <w:rsid w:val="00E26A07"/>
    <w:rsid w:val="00E26BB3"/>
    <w:rsid w:val="00E32595"/>
    <w:rsid w:val="00E3390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7A0"/>
    <w:rsid w:val="00ED1D89"/>
    <w:rsid w:val="00ED66BC"/>
    <w:rsid w:val="00EE372D"/>
    <w:rsid w:val="00EF233A"/>
    <w:rsid w:val="00EF303E"/>
    <w:rsid w:val="00EF3A40"/>
    <w:rsid w:val="00EF7F78"/>
    <w:rsid w:val="00F01B08"/>
    <w:rsid w:val="00F01C4D"/>
    <w:rsid w:val="00F01FB3"/>
    <w:rsid w:val="00F04597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5129"/>
    <w:rsid w:val="00F67BBB"/>
    <w:rsid w:val="00F87D92"/>
    <w:rsid w:val="00F90AA7"/>
    <w:rsid w:val="00F92498"/>
    <w:rsid w:val="00F9496B"/>
    <w:rsid w:val="00F970C9"/>
    <w:rsid w:val="00FA044A"/>
    <w:rsid w:val="00FA06A8"/>
    <w:rsid w:val="00FA3DF5"/>
    <w:rsid w:val="00FA741F"/>
    <w:rsid w:val="00FB4E07"/>
    <w:rsid w:val="00FB5751"/>
    <w:rsid w:val="00FB755A"/>
    <w:rsid w:val="00FC60A2"/>
    <w:rsid w:val="00FD1871"/>
    <w:rsid w:val="00FD3110"/>
    <w:rsid w:val="00FE184C"/>
    <w:rsid w:val="00FF36A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FF36A5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3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6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6A5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5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59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7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75275B7D4FA49F68DA333C122CD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7EB8-EC64-4A54-A709-6DE6D476C446}"/>
      </w:docPartPr>
      <w:docPartBody>
        <w:p w:rsidR="005B25CA" w:rsidRDefault="00827D84" w:rsidP="00827D84">
          <w:pPr>
            <w:pStyle w:val="575275B7D4FA49F68DA333C122CD02EE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24DD39A8C6F46EBBF1658D7EB40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4E79-C945-4DA9-9EC7-F56592288DEE}"/>
      </w:docPartPr>
      <w:docPartBody>
        <w:p w:rsidR="005B25CA" w:rsidRDefault="00827D84" w:rsidP="00827D84">
          <w:pPr>
            <w:pStyle w:val="E24DD39A8C6F46EBBF1658D7EB407812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63339FA50904F1DA5BCA382D946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7175-618A-4207-A16F-2440E3FCBA6E}"/>
      </w:docPartPr>
      <w:docPartBody>
        <w:p w:rsidR="005B25CA" w:rsidRDefault="00827D84" w:rsidP="00827D84">
          <w:pPr>
            <w:pStyle w:val="A63339FA50904F1DA5BCA382D94625CF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D9DA98DACF5944C4ABE16C992A5E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033E-1710-42FD-BF79-E3EC80797543}"/>
      </w:docPartPr>
      <w:docPartBody>
        <w:p w:rsidR="005B25CA" w:rsidRDefault="00827D84" w:rsidP="00827D84">
          <w:pPr>
            <w:pStyle w:val="D9DA98DACF5944C4ABE16C992A5ECE37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6FF4C6085F74624864162F9419A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5F81-3A7D-4197-984D-0828C5DB2D86}"/>
      </w:docPartPr>
      <w:docPartBody>
        <w:p w:rsidR="005B25CA" w:rsidRDefault="00827D84" w:rsidP="00827D84">
          <w:pPr>
            <w:pStyle w:val="F6FF4C6085F74624864162F9419A817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B8EA35A0655E492083AFB04D2369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F0D5-3BAC-4B2D-8AE3-40B2431AF0B9}"/>
      </w:docPartPr>
      <w:docPartBody>
        <w:p w:rsidR="00AD6E9D" w:rsidRDefault="00907D60" w:rsidP="00907D60">
          <w:pPr>
            <w:pStyle w:val="B8EA35A0655E492083AFB04D2369C4E8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04B3F"/>
    <w:rsid w:val="002B68E9"/>
    <w:rsid w:val="005123F7"/>
    <w:rsid w:val="005B25CA"/>
    <w:rsid w:val="00827D84"/>
    <w:rsid w:val="00907D60"/>
    <w:rsid w:val="009A3F71"/>
    <w:rsid w:val="00AD6E9D"/>
    <w:rsid w:val="00C82E07"/>
    <w:rsid w:val="00D21A9F"/>
    <w:rsid w:val="00DB26FF"/>
    <w:rsid w:val="00E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D60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64449C794A64ADF8E73B54AA6AA3720">
    <w:name w:val="764449C794A64ADF8E73B54AA6AA3720"/>
    <w:rsid w:val="00C82E07"/>
  </w:style>
  <w:style w:type="paragraph" w:customStyle="1" w:styleId="6E1127E45762496D999B82D38A23AE84">
    <w:name w:val="6E1127E45762496D999B82D38A23AE84"/>
    <w:rsid w:val="00C82E07"/>
  </w:style>
  <w:style w:type="paragraph" w:customStyle="1" w:styleId="87BF9C5ABC1D4083AC6CCB9FBF7C5E1B">
    <w:name w:val="87BF9C5ABC1D4083AC6CCB9FBF7C5E1B"/>
    <w:rsid w:val="00C82E07"/>
  </w:style>
  <w:style w:type="paragraph" w:customStyle="1" w:styleId="348B54B373BD4E38AC0F53F024958331">
    <w:name w:val="348B54B373BD4E38AC0F53F024958331"/>
    <w:rsid w:val="00C82E07"/>
  </w:style>
  <w:style w:type="paragraph" w:customStyle="1" w:styleId="1AC993FD3A614ACFAD638052DC41EDA8">
    <w:name w:val="1AC993FD3A614ACFAD638052DC41EDA8"/>
    <w:rsid w:val="00C82E07"/>
  </w:style>
  <w:style w:type="paragraph" w:customStyle="1" w:styleId="21FAB1CAB94F401082394F00E61F1311">
    <w:name w:val="21FAB1CAB94F401082394F00E61F1311"/>
    <w:rsid w:val="00C82E07"/>
  </w:style>
  <w:style w:type="paragraph" w:customStyle="1" w:styleId="6C0E5B96385942FC8EEBB39D83EB7DAB">
    <w:name w:val="6C0E5B96385942FC8EEBB39D83EB7DAB"/>
    <w:rsid w:val="00C82E07"/>
  </w:style>
  <w:style w:type="paragraph" w:customStyle="1" w:styleId="77753A984F4F452DB67DF8520B365835">
    <w:name w:val="77753A984F4F452DB67DF8520B365835"/>
    <w:rsid w:val="00C82E07"/>
  </w:style>
  <w:style w:type="paragraph" w:customStyle="1" w:styleId="C61528A9AA5343EFA92B2007A314A67D">
    <w:name w:val="C61528A9AA5343EFA92B2007A314A67D"/>
    <w:rsid w:val="00C82E07"/>
  </w:style>
  <w:style w:type="paragraph" w:customStyle="1" w:styleId="27B7695E3162418B8A8CDF8DF11AF692">
    <w:name w:val="27B7695E3162418B8A8CDF8DF11AF692"/>
    <w:rsid w:val="00C82E07"/>
  </w:style>
  <w:style w:type="paragraph" w:customStyle="1" w:styleId="910BDDF7CC784F75846C88A4411AD265">
    <w:name w:val="910BDDF7CC784F75846C88A4411AD265"/>
    <w:rsid w:val="00C82E07"/>
  </w:style>
  <w:style w:type="paragraph" w:customStyle="1" w:styleId="5E107A25F3174ADF8E468F90DBCCE002">
    <w:name w:val="5E107A25F3174ADF8E468F90DBCCE002"/>
    <w:rsid w:val="00827D84"/>
    <w:rPr>
      <w:lang w:val="en-CA" w:eastAsia="en-CA"/>
    </w:rPr>
  </w:style>
  <w:style w:type="paragraph" w:customStyle="1" w:styleId="0B735794B8584362B9C92F93733737BC">
    <w:name w:val="0B735794B8584362B9C92F93733737BC"/>
    <w:rsid w:val="00827D84"/>
    <w:rPr>
      <w:lang w:val="en-CA" w:eastAsia="en-CA"/>
    </w:rPr>
  </w:style>
  <w:style w:type="paragraph" w:customStyle="1" w:styleId="38D78B0C2278459DA8C8353EFB554702">
    <w:name w:val="38D78B0C2278459DA8C8353EFB554702"/>
    <w:rsid w:val="00827D84"/>
    <w:rPr>
      <w:lang w:val="en-CA" w:eastAsia="en-CA"/>
    </w:rPr>
  </w:style>
  <w:style w:type="paragraph" w:customStyle="1" w:styleId="72A717BAE5774843A7A1AF1349282F87">
    <w:name w:val="72A717BAE5774843A7A1AF1349282F87"/>
    <w:rsid w:val="00827D84"/>
    <w:rPr>
      <w:lang w:val="en-CA" w:eastAsia="en-CA"/>
    </w:rPr>
  </w:style>
  <w:style w:type="paragraph" w:customStyle="1" w:styleId="E334289456A24B5B8048DDA7A0C7A338">
    <w:name w:val="E334289456A24B5B8048DDA7A0C7A338"/>
    <w:rsid w:val="00827D84"/>
    <w:rPr>
      <w:lang w:val="en-CA" w:eastAsia="en-CA"/>
    </w:rPr>
  </w:style>
  <w:style w:type="paragraph" w:customStyle="1" w:styleId="92ECA391C22E4744BB5051623173F9E4">
    <w:name w:val="92ECA391C22E4744BB5051623173F9E4"/>
    <w:rsid w:val="00827D84"/>
    <w:rPr>
      <w:lang w:val="en-CA" w:eastAsia="en-CA"/>
    </w:rPr>
  </w:style>
  <w:style w:type="paragraph" w:customStyle="1" w:styleId="DECC9D3ED6174F598866AAC6B97D59D8">
    <w:name w:val="DECC9D3ED6174F598866AAC6B97D59D8"/>
    <w:rsid w:val="00827D84"/>
    <w:rPr>
      <w:lang w:val="en-CA" w:eastAsia="en-CA"/>
    </w:rPr>
  </w:style>
  <w:style w:type="paragraph" w:customStyle="1" w:styleId="A714CA990B0146EA837548405013F88F">
    <w:name w:val="A714CA990B0146EA837548405013F88F"/>
    <w:rsid w:val="00827D84"/>
    <w:rPr>
      <w:lang w:val="en-CA" w:eastAsia="en-CA"/>
    </w:rPr>
  </w:style>
  <w:style w:type="paragraph" w:customStyle="1" w:styleId="DF6B14AA43FE4C54B4C3E3046A7F3010">
    <w:name w:val="DF6B14AA43FE4C54B4C3E3046A7F3010"/>
    <w:rsid w:val="00827D84"/>
    <w:rPr>
      <w:lang w:val="en-CA" w:eastAsia="en-CA"/>
    </w:rPr>
  </w:style>
  <w:style w:type="paragraph" w:customStyle="1" w:styleId="FAF9AA8174D14086AE7E8F5E9B40ABAF">
    <w:name w:val="FAF9AA8174D14086AE7E8F5E9B40ABAF"/>
    <w:rsid w:val="00827D84"/>
    <w:rPr>
      <w:lang w:val="en-CA" w:eastAsia="en-CA"/>
    </w:rPr>
  </w:style>
  <w:style w:type="paragraph" w:customStyle="1" w:styleId="9FBEF607CF3F419DB05FF2007A795074">
    <w:name w:val="9FBEF607CF3F419DB05FF2007A795074"/>
    <w:rsid w:val="00827D84"/>
    <w:rPr>
      <w:lang w:val="en-CA" w:eastAsia="en-CA"/>
    </w:rPr>
  </w:style>
  <w:style w:type="paragraph" w:customStyle="1" w:styleId="2AF840D38352410190141C7AC6D9E8E2">
    <w:name w:val="2AF840D38352410190141C7AC6D9E8E2"/>
    <w:rsid w:val="00827D84"/>
    <w:rPr>
      <w:lang w:val="en-CA" w:eastAsia="en-CA"/>
    </w:rPr>
  </w:style>
  <w:style w:type="paragraph" w:customStyle="1" w:styleId="1D5DE221CA834FD5ADD44E332A06DA56">
    <w:name w:val="1D5DE221CA834FD5ADD44E332A06DA56"/>
    <w:rsid w:val="00827D84"/>
    <w:rPr>
      <w:lang w:val="en-CA" w:eastAsia="en-CA"/>
    </w:rPr>
  </w:style>
  <w:style w:type="paragraph" w:customStyle="1" w:styleId="575275B7D4FA49F68DA333C122CD02EE">
    <w:name w:val="575275B7D4FA49F68DA333C122CD02EE"/>
    <w:rsid w:val="00827D84"/>
    <w:rPr>
      <w:lang w:val="en-CA" w:eastAsia="en-CA"/>
    </w:rPr>
  </w:style>
  <w:style w:type="paragraph" w:customStyle="1" w:styleId="ABE9D4070D934479B54AF95EF77C2D79">
    <w:name w:val="ABE9D4070D934479B54AF95EF77C2D79"/>
    <w:rsid w:val="00827D84"/>
    <w:rPr>
      <w:lang w:val="en-CA" w:eastAsia="en-CA"/>
    </w:rPr>
  </w:style>
  <w:style w:type="paragraph" w:customStyle="1" w:styleId="E24DD39A8C6F46EBBF1658D7EB407812">
    <w:name w:val="E24DD39A8C6F46EBBF1658D7EB407812"/>
    <w:rsid w:val="00827D84"/>
    <w:rPr>
      <w:lang w:val="en-CA" w:eastAsia="en-CA"/>
    </w:rPr>
  </w:style>
  <w:style w:type="paragraph" w:customStyle="1" w:styleId="E1660B1F6BAC4BA3BE1F7D8D0AFC8766">
    <w:name w:val="E1660B1F6BAC4BA3BE1F7D8D0AFC8766"/>
    <w:rsid w:val="00827D84"/>
    <w:rPr>
      <w:lang w:val="en-CA" w:eastAsia="en-CA"/>
    </w:rPr>
  </w:style>
  <w:style w:type="paragraph" w:customStyle="1" w:styleId="24E36EBBE8B4457788C60C69EC0E25DF">
    <w:name w:val="24E36EBBE8B4457788C60C69EC0E25DF"/>
    <w:rsid w:val="00827D84"/>
    <w:rPr>
      <w:lang w:val="en-CA" w:eastAsia="en-CA"/>
    </w:rPr>
  </w:style>
  <w:style w:type="paragraph" w:customStyle="1" w:styleId="A63339FA50904F1DA5BCA382D94625CF">
    <w:name w:val="A63339FA50904F1DA5BCA382D94625CF"/>
    <w:rsid w:val="00827D84"/>
    <w:rPr>
      <w:lang w:val="en-CA" w:eastAsia="en-CA"/>
    </w:rPr>
  </w:style>
  <w:style w:type="paragraph" w:customStyle="1" w:styleId="99C2280176D048C9A4B60732A7C0C155">
    <w:name w:val="99C2280176D048C9A4B60732A7C0C155"/>
    <w:rsid w:val="00827D84"/>
    <w:rPr>
      <w:lang w:val="en-CA" w:eastAsia="en-CA"/>
    </w:rPr>
  </w:style>
  <w:style w:type="paragraph" w:customStyle="1" w:styleId="D9DA98DACF5944C4ABE16C992A5ECE37">
    <w:name w:val="D9DA98DACF5944C4ABE16C992A5ECE37"/>
    <w:rsid w:val="00827D84"/>
    <w:rPr>
      <w:lang w:val="en-CA" w:eastAsia="en-CA"/>
    </w:rPr>
  </w:style>
  <w:style w:type="paragraph" w:customStyle="1" w:styleId="F6FF4C6085F74624864162F9419A8179">
    <w:name w:val="F6FF4C6085F74624864162F9419A8179"/>
    <w:rsid w:val="00827D84"/>
    <w:rPr>
      <w:lang w:val="en-CA" w:eastAsia="en-CA"/>
    </w:rPr>
  </w:style>
  <w:style w:type="paragraph" w:customStyle="1" w:styleId="6CBFE52244F64A4784FD5A601FD86CB1">
    <w:name w:val="6CBFE52244F64A4784FD5A601FD86CB1"/>
    <w:rsid w:val="00827D84"/>
    <w:rPr>
      <w:lang w:val="en-CA" w:eastAsia="en-CA"/>
    </w:rPr>
  </w:style>
  <w:style w:type="paragraph" w:customStyle="1" w:styleId="14875A1A061D40EDB1DC86FA99214CA7">
    <w:name w:val="14875A1A061D40EDB1DC86FA99214CA7"/>
    <w:rsid w:val="00827D84"/>
    <w:rPr>
      <w:lang w:val="en-CA" w:eastAsia="en-CA"/>
    </w:rPr>
  </w:style>
  <w:style w:type="paragraph" w:customStyle="1" w:styleId="6A48894AC0D64A229FC8698AF45B90F1">
    <w:name w:val="6A48894AC0D64A229FC8698AF45B90F1"/>
    <w:rsid w:val="00827D84"/>
    <w:rPr>
      <w:lang w:val="en-CA" w:eastAsia="en-CA"/>
    </w:rPr>
  </w:style>
  <w:style w:type="paragraph" w:customStyle="1" w:styleId="93B4F4C41C39463BA256E645C45F7FE5">
    <w:name w:val="93B4F4C41C39463BA256E645C45F7FE5"/>
    <w:rsid w:val="00827D84"/>
    <w:rPr>
      <w:lang w:val="en-CA" w:eastAsia="en-CA"/>
    </w:rPr>
  </w:style>
  <w:style w:type="paragraph" w:customStyle="1" w:styleId="FB29569FF6DD4D2ABB68165FF1EAC32B">
    <w:name w:val="FB29569FF6DD4D2ABB68165FF1EAC32B"/>
    <w:rsid w:val="00827D84"/>
    <w:rPr>
      <w:lang w:val="en-CA" w:eastAsia="en-CA"/>
    </w:rPr>
  </w:style>
  <w:style w:type="paragraph" w:customStyle="1" w:styleId="6959FA0F361740C0A3C2FFB103E84EFE">
    <w:name w:val="6959FA0F361740C0A3C2FFB103E84EFE"/>
    <w:rsid w:val="00827D84"/>
    <w:rPr>
      <w:lang w:val="en-CA" w:eastAsia="en-CA"/>
    </w:rPr>
  </w:style>
  <w:style w:type="paragraph" w:customStyle="1" w:styleId="37540B8568DE44B29AB58A41529745BA">
    <w:name w:val="37540B8568DE44B29AB58A41529745BA"/>
    <w:rsid w:val="00827D84"/>
    <w:rPr>
      <w:lang w:val="en-CA" w:eastAsia="en-CA"/>
    </w:rPr>
  </w:style>
  <w:style w:type="paragraph" w:customStyle="1" w:styleId="1F6A71FB01CD445FB1AD5753A5782B1F">
    <w:name w:val="1F6A71FB01CD445FB1AD5753A5782B1F"/>
    <w:rsid w:val="00827D84"/>
    <w:rPr>
      <w:lang w:val="en-CA" w:eastAsia="en-CA"/>
    </w:rPr>
  </w:style>
  <w:style w:type="paragraph" w:customStyle="1" w:styleId="3B6C645E33CC4BBF8EBF0E357C06A5A9">
    <w:name w:val="3B6C645E33CC4BBF8EBF0E357C06A5A9"/>
    <w:rsid w:val="00827D84"/>
    <w:rPr>
      <w:lang w:val="en-CA" w:eastAsia="en-CA"/>
    </w:rPr>
  </w:style>
  <w:style w:type="paragraph" w:customStyle="1" w:styleId="BD02AD5B3DC84632B85425164E559653">
    <w:name w:val="BD02AD5B3DC84632B85425164E559653"/>
    <w:rsid w:val="00827D84"/>
    <w:rPr>
      <w:lang w:val="en-CA" w:eastAsia="en-CA"/>
    </w:rPr>
  </w:style>
  <w:style w:type="paragraph" w:customStyle="1" w:styleId="0E31186D41C0430DA21EE370C48EE356">
    <w:name w:val="0E31186D41C0430DA21EE370C48EE356"/>
    <w:rsid w:val="00827D84"/>
    <w:rPr>
      <w:lang w:val="en-CA" w:eastAsia="en-CA"/>
    </w:rPr>
  </w:style>
  <w:style w:type="paragraph" w:customStyle="1" w:styleId="3F490EA4971E400585380DD0286DBD12">
    <w:name w:val="3F490EA4971E400585380DD0286DBD12"/>
    <w:rsid w:val="00827D84"/>
    <w:rPr>
      <w:lang w:val="en-CA" w:eastAsia="en-CA"/>
    </w:rPr>
  </w:style>
  <w:style w:type="paragraph" w:customStyle="1" w:styleId="84E5D466699F4C7AA7FB10C136AFF1E3">
    <w:name w:val="84E5D466699F4C7AA7FB10C136AFF1E3"/>
    <w:rsid w:val="00827D84"/>
    <w:rPr>
      <w:lang w:val="en-CA" w:eastAsia="en-CA"/>
    </w:rPr>
  </w:style>
  <w:style w:type="paragraph" w:customStyle="1" w:styleId="04CC5F170EC8464E94B56C22C3B19219">
    <w:name w:val="04CC5F170EC8464E94B56C22C3B19219"/>
    <w:rsid w:val="00827D84"/>
    <w:rPr>
      <w:lang w:val="en-CA" w:eastAsia="en-CA"/>
    </w:rPr>
  </w:style>
  <w:style w:type="paragraph" w:customStyle="1" w:styleId="6B1CD1EA225D4109B1DD3C76B73B7F59">
    <w:name w:val="6B1CD1EA225D4109B1DD3C76B73B7F59"/>
    <w:rsid w:val="00827D84"/>
    <w:rPr>
      <w:lang w:val="en-CA" w:eastAsia="en-CA"/>
    </w:rPr>
  </w:style>
  <w:style w:type="paragraph" w:customStyle="1" w:styleId="61FDF712155F437F9FDB178640F95D3B">
    <w:name w:val="61FDF712155F437F9FDB178640F95D3B"/>
    <w:rsid w:val="00827D84"/>
    <w:rPr>
      <w:lang w:val="en-CA" w:eastAsia="en-CA"/>
    </w:rPr>
  </w:style>
  <w:style w:type="paragraph" w:customStyle="1" w:styleId="5FA99BFFB05F4897893BAAE16C880BB0">
    <w:name w:val="5FA99BFFB05F4897893BAAE16C880BB0"/>
    <w:rsid w:val="00827D84"/>
    <w:rPr>
      <w:lang w:val="en-CA" w:eastAsia="en-CA"/>
    </w:rPr>
  </w:style>
  <w:style w:type="paragraph" w:customStyle="1" w:styleId="1DFFCED9C4104774973C6FB28A55B586">
    <w:name w:val="1DFFCED9C4104774973C6FB28A55B586"/>
    <w:rsid w:val="00827D84"/>
    <w:rPr>
      <w:lang w:val="en-CA" w:eastAsia="en-CA"/>
    </w:rPr>
  </w:style>
  <w:style w:type="paragraph" w:customStyle="1" w:styleId="3C54C58FCFFF4E5E8F7CC4A3044C0580">
    <w:name w:val="3C54C58FCFFF4E5E8F7CC4A3044C0580"/>
    <w:rsid w:val="00827D84"/>
    <w:rPr>
      <w:lang w:val="en-CA" w:eastAsia="en-CA"/>
    </w:rPr>
  </w:style>
  <w:style w:type="paragraph" w:customStyle="1" w:styleId="21A1BDE49FBE4B57BD91562AB6DD3ED3">
    <w:name w:val="21A1BDE49FBE4B57BD91562AB6DD3ED3"/>
    <w:rsid w:val="00827D84"/>
    <w:rPr>
      <w:lang w:val="en-CA" w:eastAsia="en-CA"/>
    </w:rPr>
  </w:style>
  <w:style w:type="paragraph" w:customStyle="1" w:styleId="417F42BEC76341B291ED5F7F761934A2">
    <w:name w:val="417F42BEC76341B291ED5F7F761934A2"/>
    <w:rsid w:val="00827D84"/>
    <w:rPr>
      <w:lang w:val="en-CA" w:eastAsia="en-CA"/>
    </w:rPr>
  </w:style>
  <w:style w:type="paragraph" w:customStyle="1" w:styleId="FAFEDDD8B1604723917000A3FB2D2C53">
    <w:name w:val="FAFEDDD8B1604723917000A3FB2D2C53"/>
    <w:rsid w:val="00827D84"/>
    <w:rPr>
      <w:lang w:val="en-CA" w:eastAsia="en-CA"/>
    </w:rPr>
  </w:style>
  <w:style w:type="paragraph" w:customStyle="1" w:styleId="86B4BE85D9D045079762AFAECE660D26">
    <w:name w:val="86B4BE85D9D045079762AFAECE660D26"/>
    <w:rsid w:val="00827D84"/>
    <w:rPr>
      <w:lang w:val="en-CA" w:eastAsia="en-CA"/>
    </w:rPr>
  </w:style>
  <w:style w:type="paragraph" w:customStyle="1" w:styleId="D178E77F3A0C44B68493D23E0A60AB0E">
    <w:name w:val="D178E77F3A0C44B68493D23E0A60AB0E"/>
    <w:rsid w:val="00827D84"/>
    <w:rPr>
      <w:lang w:val="en-CA" w:eastAsia="en-CA"/>
    </w:rPr>
  </w:style>
  <w:style w:type="paragraph" w:customStyle="1" w:styleId="CD6D5724706B414383C7D5FDBC3A3230">
    <w:name w:val="CD6D5724706B414383C7D5FDBC3A3230"/>
    <w:rsid w:val="00827D84"/>
    <w:rPr>
      <w:lang w:val="en-CA" w:eastAsia="en-CA"/>
    </w:rPr>
  </w:style>
  <w:style w:type="paragraph" w:customStyle="1" w:styleId="09F0232AEE3143F0B01DD462CA4EB471">
    <w:name w:val="09F0232AEE3143F0B01DD462CA4EB471"/>
    <w:rsid w:val="00827D84"/>
    <w:rPr>
      <w:lang w:val="en-CA" w:eastAsia="en-CA"/>
    </w:rPr>
  </w:style>
  <w:style w:type="paragraph" w:customStyle="1" w:styleId="AA36FF398B654D3B8C91D543C21A02D1">
    <w:name w:val="AA36FF398B654D3B8C91D543C21A02D1"/>
    <w:rsid w:val="00827D84"/>
    <w:rPr>
      <w:lang w:val="en-CA" w:eastAsia="en-CA"/>
    </w:rPr>
  </w:style>
  <w:style w:type="paragraph" w:customStyle="1" w:styleId="3F2D11D137F74DD9AABDC42BD2CDE9D3">
    <w:name w:val="3F2D11D137F74DD9AABDC42BD2CDE9D3"/>
    <w:rsid w:val="00827D84"/>
    <w:rPr>
      <w:lang w:val="en-CA" w:eastAsia="en-CA"/>
    </w:rPr>
  </w:style>
  <w:style w:type="paragraph" w:customStyle="1" w:styleId="32BF8C1148C342BA8BFFA2A17FFE9F50">
    <w:name w:val="32BF8C1148C342BA8BFFA2A17FFE9F50"/>
    <w:rsid w:val="00907D60"/>
  </w:style>
  <w:style w:type="paragraph" w:customStyle="1" w:styleId="B8EA35A0655E492083AFB04D2369C4E8">
    <w:name w:val="B8EA35A0655E492083AFB04D2369C4E8"/>
    <w:rsid w:val="00907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30978-D870-4FA7-94EF-CA864303F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EE932E-1C04-4C46-B02E-C6319BA7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FCC61903.dotm</Template>
  <TotalTime>216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20</cp:revision>
  <cp:lastPrinted>2018-10-22T22:41:00Z</cp:lastPrinted>
  <dcterms:created xsi:type="dcterms:W3CDTF">2019-10-02T22:26:00Z</dcterms:created>
  <dcterms:modified xsi:type="dcterms:W3CDTF">2020-01-15T03:21:00Z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