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64A6074" w14:textId="389674E2" w:rsidR="00BD499F" w:rsidRPr="004C23F4" w:rsidRDefault="006F07BA" w:rsidP="006F07BA">
          <w:pPr>
            <w:pStyle w:val="Heading1"/>
            <w:jc w:val="center"/>
            <w:rPr>
              <w:rFonts w:ascii="Arial" w:hAnsi="Arial" w:cs="Arial"/>
            </w:rPr>
          </w:pPr>
          <w:r w:rsidRPr="006F07BA">
            <w:rPr>
              <w:rFonts w:ascii="Arial" w:hAnsi="Arial" w:cs="Arial"/>
            </w:rPr>
            <w:t>Germanium tetrahydride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0CD56B2D" w14:textId="77777777" w:rsidTr="00B76A41">
        <w:trPr>
          <w:cantSplit/>
          <w:tblHeader/>
        </w:trPr>
        <w:tc>
          <w:tcPr>
            <w:tcW w:w="4077" w:type="dxa"/>
          </w:tcPr>
          <w:p w14:paraId="2E632A3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D576549" w14:textId="2920BA34" w:rsidR="00F43AD5" w:rsidRPr="00717D45" w:rsidRDefault="004F1226" w:rsidP="00B76A41">
            <w:pPr>
              <w:pStyle w:val="Tablefont"/>
            </w:pPr>
            <w:r w:rsidRPr="004F1226">
              <w:t>7782-65-2</w:t>
            </w:r>
          </w:p>
        </w:tc>
      </w:tr>
      <w:tr w:rsidR="00F43AD5" w:rsidRPr="004C23F4" w14:paraId="1328D8AD" w14:textId="77777777" w:rsidTr="00B76A41">
        <w:trPr>
          <w:cantSplit/>
        </w:trPr>
        <w:tc>
          <w:tcPr>
            <w:tcW w:w="4077" w:type="dxa"/>
          </w:tcPr>
          <w:p w14:paraId="727D660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FBFFBB9" w14:textId="229E3BF7" w:rsidR="00F43AD5" w:rsidRPr="00717D45" w:rsidRDefault="004F1226" w:rsidP="00B76A41">
            <w:pPr>
              <w:pStyle w:val="Tablefont"/>
            </w:pPr>
            <w:r>
              <w:t>Germane, germanium hydride</w:t>
            </w:r>
          </w:p>
        </w:tc>
      </w:tr>
      <w:tr w:rsidR="00F43AD5" w:rsidRPr="004C23F4" w14:paraId="717D0311" w14:textId="77777777" w:rsidTr="00B76A41">
        <w:trPr>
          <w:cantSplit/>
        </w:trPr>
        <w:tc>
          <w:tcPr>
            <w:tcW w:w="4077" w:type="dxa"/>
          </w:tcPr>
          <w:p w14:paraId="210D30F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21CAF47" w14:textId="212390FB" w:rsidR="00F43AD5" w:rsidRPr="00717D45" w:rsidRDefault="004F1226" w:rsidP="00B76A41">
            <w:pPr>
              <w:pStyle w:val="Tablefont"/>
            </w:pPr>
            <w:r>
              <w:t>GeH</w:t>
            </w:r>
            <w:r w:rsidRPr="004F1226">
              <w:rPr>
                <w:vertAlign w:val="subscript"/>
              </w:rPr>
              <w:t>4</w:t>
            </w:r>
          </w:p>
        </w:tc>
      </w:tr>
      <w:tr w:rsidR="00F43AD5" w:rsidRPr="004C23F4" w14:paraId="3B3149EF" w14:textId="77777777" w:rsidTr="00B76A41">
        <w:trPr>
          <w:cantSplit/>
        </w:trPr>
        <w:tc>
          <w:tcPr>
            <w:tcW w:w="4077" w:type="dxa"/>
          </w:tcPr>
          <w:p w14:paraId="63EB9FE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16357EF" w14:textId="4B93A61A" w:rsidR="00F43AD5" w:rsidRPr="00A77C95" w:rsidRDefault="004F1226" w:rsidP="00B76A41">
            <w:pPr>
              <w:pStyle w:val="Tablerowheading"/>
              <w:rPr>
                <w:b w:val="0"/>
              </w:rPr>
            </w:pPr>
            <w:r w:rsidRPr="005D04F9">
              <w:rPr>
                <w:b w:val="0"/>
              </w:rPr>
              <w:t>—</w:t>
            </w:r>
          </w:p>
        </w:tc>
      </w:tr>
    </w:tbl>
    <w:p w14:paraId="6CEE350E" w14:textId="78EE2E0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01D55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AAB4843" w14:textId="77777777" w:rsidTr="005637B7">
        <w:trPr>
          <w:cantSplit/>
          <w:tblHeader/>
        </w:trPr>
        <w:tc>
          <w:tcPr>
            <w:tcW w:w="4005" w:type="dxa"/>
            <w:vAlign w:val="center"/>
          </w:tcPr>
          <w:p w14:paraId="0976551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BAC43A1" w14:textId="61DAB0D9" w:rsidR="002C7AFE" w:rsidRPr="002452AE" w:rsidRDefault="002452A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 ppm (63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C3989B5" w14:textId="77777777" w:rsidTr="005637B7">
        <w:trPr>
          <w:cantSplit/>
        </w:trPr>
        <w:tc>
          <w:tcPr>
            <w:tcW w:w="4005" w:type="dxa"/>
            <w:vAlign w:val="center"/>
          </w:tcPr>
          <w:p w14:paraId="580004D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3C65F0F" w14:textId="53D451AD" w:rsidR="002C7AFE" w:rsidRPr="00EB3D1B" w:rsidRDefault="002452A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C7766C3" w14:textId="77777777" w:rsidTr="005637B7">
        <w:trPr>
          <w:cantSplit/>
        </w:trPr>
        <w:tc>
          <w:tcPr>
            <w:tcW w:w="4005" w:type="dxa"/>
            <w:vAlign w:val="center"/>
          </w:tcPr>
          <w:p w14:paraId="0664B4A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0725017" w14:textId="7817F710" w:rsidR="002C7AFE" w:rsidRPr="00EB3D1B" w:rsidRDefault="002452A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AC7452B" w14:textId="77777777" w:rsidTr="005637B7">
        <w:trPr>
          <w:cantSplit/>
        </w:trPr>
        <w:tc>
          <w:tcPr>
            <w:tcW w:w="4005" w:type="dxa"/>
          </w:tcPr>
          <w:p w14:paraId="2BAE099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EB32CB7" w14:textId="3452ACC2" w:rsidR="002C7AFE" w:rsidRPr="00EB3D1B" w:rsidRDefault="002452A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6CB7EE7" w14:textId="77777777" w:rsidTr="005637B7">
        <w:trPr>
          <w:cantSplit/>
        </w:trPr>
        <w:tc>
          <w:tcPr>
            <w:tcW w:w="4005" w:type="dxa"/>
            <w:vAlign w:val="center"/>
          </w:tcPr>
          <w:p w14:paraId="59B5508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BDFE11B" w14:textId="226E041B" w:rsidR="002C7AFE" w:rsidRPr="002452AE" w:rsidRDefault="002452AE" w:rsidP="00017C82">
            <w:pPr>
              <w:pStyle w:val="Tablefont"/>
              <w:rPr>
                <w:b/>
              </w:rPr>
            </w:pPr>
            <w:r w:rsidRPr="002452AE">
              <w:rPr>
                <w:b/>
              </w:rPr>
              <w:t>—</w:t>
            </w:r>
          </w:p>
        </w:tc>
      </w:tr>
      <w:tr w:rsidR="005637B7" w:rsidRPr="004C23F4" w14:paraId="70DC8811" w14:textId="77777777" w:rsidTr="00D33C79">
        <w:trPr>
          <w:cantSplit/>
        </w:trPr>
        <w:tc>
          <w:tcPr>
            <w:tcW w:w="9026" w:type="dxa"/>
            <w:gridSpan w:val="2"/>
            <w:vAlign w:val="center"/>
          </w:tcPr>
          <w:p w14:paraId="11728171" w14:textId="38DFB376" w:rsidR="005637B7" w:rsidRPr="00EB3D1B" w:rsidRDefault="005637B7" w:rsidP="00017C82">
            <w:pPr>
              <w:pStyle w:val="Tablefont"/>
              <w:rPr>
                <w:b/>
              </w:rPr>
            </w:pPr>
            <w:r w:rsidRPr="000E06C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C9ED9889D9B54141980F5A772AE07BEB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0E06C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75CE0F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12F8068" w14:textId="6F4945F9" w:rsidR="006639B4" w:rsidRDefault="00B54D9C" w:rsidP="000C139A">
      <w:pPr>
        <w:rPr>
          <w:rFonts w:cs="Arial"/>
        </w:rPr>
      </w:pPr>
      <w:r>
        <w:rPr>
          <w:rFonts w:cs="Arial"/>
        </w:rPr>
        <w:t>An interim</w:t>
      </w:r>
      <w:r w:rsidR="002452AE" w:rsidRPr="002452AE">
        <w:rPr>
          <w:rFonts w:cs="Arial"/>
        </w:rPr>
        <w:t xml:space="preserve"> TWA of </w:t>
      </w:r>
      <w:r w:rsidR="002452AE">
        <w:rPr>
          <w:rFonts w:cs="Arial"/>
        </w:rPr>
        <w:t>0.2</w:t>
      </w:r>
      <w:r w:rsidR="002452AE" w:rsidRPr="002452AE">
        <w:rPr>
          <w:rFonts w:cs="Arial"/>
        </w:rPr>
        <w:t xml:space="preserve"> ppm (</w:t>
      </w:r>
      <w:r w:rsidR="002452AE">
        <w:rPr>
          <w:rFonts w:cs="Arial"/>
        </w:rPr>
        <w:t>63</w:t>
      </w:r>
      <w:r w:rsidR="002452AE" w:rsidRPr="002452AE">
        <w:rPr>
          <w:rFonts w:cs="Arial"/>
        </w:rPr>
        <w:t xml:space="preserve"> mg/m</w:t>
      </w:r>
      <w:r w:rsidR="002452AE" w:rsidRPr="002452AE">
        <w:rPr>
          <w:rFonts w:cs="Arial"/>
          <w:vertAlign w:val="superscript"/>
        </w:rPr>
        <w:t>3</w:t>
      </w:r>
      <w:r w:rsidR="002452AE">
        <w:rPr>
          <w:rFonts w:cs="Arial"/>
        </w:rPr>
        <w:t xml:space="preserve">) is recommended </w:t>
      </w:r>
      <w:r w:rsidR="002452AE" w:rsidRPr="002452AE">
        <w:rPr>
          <w:rFonts w:cs="Arial"/>
        </w:rPr>
        <w:t xml:space="preserve">to protect for </w:t>
      </w:r>
      <w:r w:rsidR="002452AE">
        <w:rPr>
          <w:rFonts w:cs="Arial"/>
        </w:rPr>
        <w:t xml:space="preserve">potential haemolytic and irritant </w:t>
      </w:r>
      <w:r w:rsidR="000E06CE">
        <w:rPr>
          <w:rFonts w:cs="Arial"/>
        </w:rPr>
        <w:t xml:space="preserve">effects </w:t>
      </w:r>
      <w:r w:rsidR="00A93A38">
        <w:rPr>
          <w:rFonts w:cs="Arial"/>
        </w:rPr>
        <w:t xml:space="preserve">in </w:t>
      </w:r>
      <w:r w:rsidR="000E06CE">
        <w:rPr>
          <w:rFonts w:cs="Arial"/>
        </w:rPr>
        <w:t>exposed workers.</w:t>
      </w:r>
    </w:p>
    <w:p w14:paraId="59003C36" w14:textId="77777777" w:rsidR="000E06CE" w:rsidRDefault="000E06CE" w:rsidP="000E06CE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65DE85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C46F37C" w14:textId="77777777" w:rsidR="007F6B52" w:rsidRDefault="001F5488" w:rsidP="006639B4">
      <w:pPr>
        <w:rPr>
          <w:rFonts w:cs="Arial"/>
        </w:rPr>
      </w:pPr>
      <w:r>
        <w:rPr>
          <w:rFonts w:cs="Arial"/>
        </w:rPr>
        <w:t xml:space="preserve">Germanium </w:t>
      </w:r>
      <w:proofErr w:type="spellStart"/>
      <w:r>
        <w:rPr>
          <w:rFonts w:cs="Arial"/>
        </w:rPr>
        <w:t>tetrahydride</w:t>
      </w:r>
      <w:proofErr w:type="spellEnd"/>
      <w:r>
        <w:rPr>
          <w:rFonts w:cs="Arial"/>
        </w:rPr>
        <w:t xml:space="preserve"> is used in the production of solid-state electronic circuits. </w:t>
      </w:r>
    </w:p>
    <w:p w14:paraId="4BA7A4FA" w14:textId="76000661" w:rsidR="006639B4" w:rsidRDefault="001F5488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902495">
        <w:rPr>
          <w:rFonts w:cs="Arial"/>
        </w:rPr>
        <w:t xml:space="preserve">of acute exposure </w:t>
      </w:r>
      <w:r>
        <w:rPr>
          <w:rFonts w:cs="Arial"/>
        </w:rPr>
        <w:t>are haemolysis, damage to kidneys and liver</w:t>
      </w:r>
      <w:r w:rsidR="00902495">
        <w:rPr>
          <w:rFonts w:cs="Arial"/>
        </w:rPr>
        <w:t xml:space="preserve"> (ACGIH, 2018)</w:t>
      </w:r>
      <w:r>
        <w:rPr>
          <w:rFonts w:cs="Arial"/>
        </w:rPr>
        <w:t xml:space="preserve"> and irritation to eyes, skin and respiratory tract</w:t>
      </w:r>
      <w:r w:rsidR="007F6B52">
        <w:rPr>
          <w:rFonts w:cs="Arial"/>
        </w:rPr>
        <w:t>.</w:t>
      </w:r>
      <w:r>
        <w:rPr>
          <w:rFonts w:cs="Arial"/>
        </w:rPr>
        <w:t xml:space="preserve"> </w:t>
      </w:r>
      <w:r w:rsidR="00F03838">
        <w:rPr>
          <w:rFonts w:cs="Arial"/>
        </w:rPr>
        <w:t>There are no suitable chronic exposure data available</w:t>
      </w:r>
      <w:r w:rsidR="00CB3BDE">
        <w:rPr>
          <w:rFonts w:cs="Arial"/>
        </w:rPr>
        <w:t xml:space="preserve"> </w:t>
      </w:r>
      <w:r w:rsidR="007550DC">
        <w:rPr>
          <w:rFonts w:cs="Arial"/>
        </w:rPr>
        <w:t>in human</w:t>
      </w:r>
      <w:r w:rsidR="00F03838">
        <w:rPr>
          <w:rFonts w:cs="Arial"/>
        </w:rPr>
        <w:t>s</w:t>
      </w:r>
      <w:r w:rsidR="007550DC">
        <w:rPr>
          <w:rFonts w:cs="Arial"/>
        </w:rPr>
        <w:t xml:space="preserve"> or animal</w:t>
      </w:r>
      <w:r w:rsidR="00F03838">
        <w:rPr>
          <w:rFonts w:cs="Arial"/>
        </w:rPr>
        <w:t>s</w:t>
      </w:r>
      <w:r w:rsidR="007550DC">
        <w:rPr>
          <w:rFonts w:cs="Arial"/>
        </w:rPr>
        <w:t xml:space="preserve"> </w:t>
      </w:r>
      <w:r>
        <w:rPr>
          <w:rFonts w:cs="Arial"/>
        </w:rPr>
        <w:t xml:space="preserve">(DFG, 2008). The available toxicological dataset is limited </w:t>
      </w:r>
      <w:r w:rsidR="00902495">
        <w:rPr>
          <w:rFonts w:cs="Arial"/>
        </w:rPr>
        <w:t>to</w:t>
      </w:r>
      <w:r>
        <w:rPr>
          <w:rFonts w:cs="Arial"/>
        </w:rPr>
        <w:t xml:space="preserve"> acute</w:t>
      </w:r>
      <w:r w:rsidR="007550DC">
        <w:rPr>
          <w:rFonts w:cs="Arial"/>
        </w:rPr>
        <w:t>-</w:t>
      </w:r>
      <w:r>
        <w:rPr>
          <w:rFonts w:cs="Arial"/>
        </w:rPr>
        <w:t xml:space="preserve"> </w:t>
      </w:r>
      <w:r w:rsidR="00902495">
        <w:rPr>
          <w:rFonts w:cs="Arial"/>
        </w:rPr>
        <w:t>and poorly documented sub-chronic</w:t>
      </w:r>
      <w:r w:rsidR="007550DC">
        <w:rPr>
          <w:rFonts w:cs="Arial"/>
        </w:rPr>
        <w:t xml:space="preserve"> animal </w:t>
      </w:r>
      <w:r>
        <w:rPr>
          <w:rFonts w:cs="Arial"/>
        </w:rPr>
        <w:t xml:space="preserve">exposure studies, which have shown </w:t>
      </w:r>
      <w:r w:rsidR="00902495">
        <w:rPr>
          <w:rFonts w:cs="Arial"/>
        </w:rPr>
        <w:t xml:space="preserve">haemolytic </w:t>
      </w:r>
      <w:r w:rsidR="007550DC">
        <w:rPr>
          <w:rFonts w:cs="Arial"/>
        </w:rPr>
        <w:t>action as a critical effect</w:t>
      </w:r>
      <w:r w:rsidR="00902495">
        <w:rPr>
          <w:rFonts w:cs="Arial"/>
        </w:rPr>
        <w:t xml:space="preserve"> (</w:t>
      </w:r>
      <w:r w:rsidR="007550DC">
        <w:rPr>
          <w:rFonts w:cs="Arial"/>
        </w:rPr>
        <w:t>ACGIH</w:t>
      </w:r>
      <w:r w:rsidR="00902495">
        <w:rPr>
          <w:rFonts w:cs="Arial"/>
        </w:rPr>
        <w:t>,</w:t>
      </w:r>
      <w:r w:rsidR="00FE538A">
        <w:rPr>
          <w:rFonts w:cs="Arial"/>
        </w:rPr>
        <w:t> </w:t>
      </w:r>
      <w:r w:rsidR="00902495">
        <w:rPr>
          <w:rFonts w:cs="Arial"/>
        </w:rPr>
        <w:t>2</w:t>
      </w:r>
      <w:r w:rsidR="007550DC">
        <w:rPr>
          <w:rFonts w:cs="Arial"/>
        </w:rPr>
        <w:t>018</w:t>
      </w:r>
      <w:r w:rsidR="00AC5B28">
        <w:rPr>
          <w:rFonts w:cs="Arial"/>
        </w:rPr>
        <w:t>; HCOTN, 2000</w:t>
      </w:r>
      <w:r w:rsidR="00902495">
        <w:rPr>
          <w:rFonts w:cs="Arial"/>
        </w:rPr>
        <w:t>)</w:t>
      </w:r>
      <w:r w:rsidR="00AC5B28">
        <w:rPr>
          <w:rFonts w:cs="Arial"/>
        </w:rPr>
        <w:t>.</w:t>
      </w:r>
      <w:r w:rsidR="00902495">
        <w:rPr>
          <w:rFonts w:cs="Arial"/>
        </w:rPr>
        <w:t xml:space="preserve"> </w:t>
      </w:r>
      <w:r>
        <w:rPr>
          <w:rFonts w:cs="Arial"/>
        </w:rPr>
        <w:t xml:space="preserve">The available </w:t>
      </w:r>
      <w:r w:rsidR="00902495">
        <w:rPr>
          <w:rFonts w:cs="Arial"/>
        </w:rPr>
        <w:t>data suggest the substance is approximately half as ac</w:t>
      </w:r>
      <w:r w:rsidR="007550DC">
        <w:rPr>
          <w:rFonts w:cs="Arial"/>
        </w:rPr>
        <w:t xml:space="preserve">utely toxic as antimony hydride, which is also primarily a haemolytic agent </w:t>
      </w:r>
      <w:r w:rsidR="00902495">
        <w:rPr>
          <w:rFonts w:cs="Arial"/>
        </w:rPr>
        <w:t>(ACGIH, 2018).</w:t>
      </w:r>
    </w:p>
    <w:p w14:paraId="063C08FB" w14:textId="7C7417D0" w:rsidR="007550DC" w:rsidRPr="004C23F4" w:rsidRDefault="00AC5B28" w:rsidP="006639B4">
      <w:pPr>
        <w:rPr>
          <w:rFonts w:cs="Arial"/>
        </w:rPr>
      </w:pPr>
      <w:r>
        <w:rPr>
          <w:rFonts w:cs="Arial"/>
        </w:rPr>
        <w:t xml:space="preserve">In the absence of reliable chronic exposure data, </w:t>
      </w:r>
      <w:r w:rsidR="00B54D9C">
        <w:rPr>
          <w:rFonts w:cs="Arial"/>
        </w:rPr>
        <w:t>an interim</w:t>
      </w:r>
      <w:r>
        <w:rPr>
          <w:rFonts w:cs="Arial"/>
        </w:rPr>
        <w:t xml:space="preserve"> TWA </w:t>
      </w:r>
      <w:r w:rsidR="002452AE">
        <w:rPr>
          <w:rFonts w:cs="Arial"/>
        </w:rPr>
        <w:t xml:space="preserve">0.2 ppm </w:t>
      </w:r>
      <w:r>
        <w:rPr>
          <w:rFonts w:cs="Arial"/>
        </w:rPr>
        <w:t xml:space="preserve">is </w:t>
      </w:r>
      <w:r w:rsidR="007F6B52">
        <w:rPr>
          <w:rFonts w:cs="Arial"/>
        </w:rPr>
        <w:t xml:space="preserve">recommended </w:t>
      </w:r>
      <w:r>
        <w:rPr>
          <w:rFonts w:cs="Arial"/>
        </w:rPr>
        <w:t>based</w:t>
      </w:r>
      <w:r w:rsidR="002452AE">
        <w:rPr>
          <w:rFonts w:cs="Arial"/>
        </w:rPr>
        <w:t xml:space="preserve"> on</w:t>
      </w:r>
      <w:r>
        <w:rPr>
          <w:rFonts w:cs="Arial"/>
        </w:rPr>
        <w:t xml:space="preserve"> substance-specific acute exposure information and </w:t>
      </w:r>
      <w:r w:rsidR="00B54D9C">
        <w:rPr>
          <w:rFonts w:cs="Arial"/>
        </w:rPr>
        <w:t>by analogy to</w:t>
      </w:r>
      <w:r>
        <w:rPr>
          <w:rFonts w:cs="Arial"/>
        </w:rPr>
        <w:t xml:space="preserve"> </w:t>
      </w:r>
      <w:r w:rsidR="002452AE">
        <w:rPr>
          <w:rFonts w:cs="Arial"/>
        </w:rPr>
        <w:t>antimony</w:t>
      </w:r>
      <w:r>
        <w:rPr>
          <w:rFonts w:cs="Arial"/>
        </w:rPr>
        <w:t xml:space="preserve"> hydride, </w:t>
      </w:r>
      <w:r w:rsidR="002452AE">
        <w:rPr>
          <w:rFonts w:cs="Arial"/>
        </w:rPr>
        <w:t>which is approximately twice as acutely toxic</w:t>
      </w:r>
      <w:r w:rsidR="00B54D9C">
        <w:rPr>
          <w:rFonts w:cs="Arial"/>
        </w:rPr>
        <w:t>.</w:t>
      </w:r>
      <w:r w:rsidR="002452AE">
        <w:rPr>
          <w:rFonts w:cs="Arial"/>
        </w:rPr>
        <w:t xml:space="preserve"> A detailed examination of the available dataset should be prioritised </w:t>
      </w:r>
      <w:r w:rsidR="00763615">
        <w:rPr>
          <w:rFonts w:cs="Arial"/>
        </w:rPr>
        <w:t xml:space="preserve">for </w:t>
      </w:r>
      <w:r w:rsidR="002452AE">
        <w:rPr>
          <w:rFonts w:cs="Arial"/>
        </w:rPr>
        <w:t xml:space="preserve">subsequent reviews since no reliable long-term exposure or carcinogenicity data </w:t>
      </w:r>
      <w:r w:rsidR="00763615">
        <w:rPr>
          <w:rFonts w:cs="Arial"/>
        </w:rPr>
        <w:t xml:space="preserve">were </w:t>
      </w:r>
      <w:r w:rsidR="002452AE">
        <w:rPr>
          <w:rFonts w:cs="Arial"/>
        </w:rPr>
        <w:t xml:space="preserve">available for this evaluation. </w:t>
      </w:r>
    </w:p>
    <w:p w14:paraId="7970F45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5FE8AA9" w14:textId="536A69AF" w:rsidR="004F1226" w:rsidRPr="004F1226" w:rsidRDefault="004F1226" w:rsidP="004F1226">
      <w:pPr>
        <w:rPr>
          <w:rFonts w:cs="Arial"/>
        </w:rPr>
      </w:pPr>
      <w:r w:rsidRPr="004F1226">
        <w:rPr>
          <w:rFonts w:cs="Arial"/>
        </w:rPr>
        <w:t>Not classified as a carcinogen according to the Globally Harmonized System of Classification an</w:t>
      </w:r>
      <w:r w:rsidR="002452AE">
        <w:rPr>
          <w:rFonts w:cs="Arial"/>
        </w:rPr>
        <w:t>d Labelling o</w:t>
      </w:r>
      <w:r w:rsidR="005D04F9">
        <w:rPr>
          <w:rFonts w:cs="Arial"/>
        </w:rPr>
        <w:t>f</w:t>
      </w:r>
      <w:r w:rsidR="002452AE">
        <w:rPr>
          <w:rFonts w:cs="Arial"/>
        </w:rPr>
        <w:t xml:space="preserve"> Chemicals (GHS). This evaluation found data gaps in the carcinogenicity database for this substance</w:t>
      </w:r>
      <w:r w:rsidR="007F6B52">
        <w:rPr>
          <w:rFonts w:cs="Arial"/>
        </w:rPr>
        <w:t xml:space="preserve"> and a review of the classification is recommended</w:t>
      </w:r>
      <w:r w:rsidR="002452AE">
        <w:rPr>
          <w:rFonts w:cs="Arial"/>
        </w:rPr>
        <w:t>.</w:t>
      </w:r>
    </w:p>
    <w:p w14:paraId="211A5B4D" w14:textId="1CA0C7D3" w:rsidR="004F1226" w:rsidRPr="004F1226" w:rsidRDefault="004F1226" w:rsidP="004F1226">
      <w:pPr>
        <w:rPr>
          <w:rFonts w:cs="Arial"/>
        </w:rPr>
      </w:pPr>
      <w:r w:rsidRPr="004F1226">
        <w:rPr>
          <w:rFonts w:cs="Arial"/>
        </w:rPr>
        <w:lastRenderedPageBreak/>
        <w:t xml:space="preserve">Not classified as a skin </w:t>
      </w:r>
      <w:r w:rsidR="005D04F9" w:rsidRPr="004F1226">
        <w:rPr>
          <w:rFonts w:cs="Arial"/>
        </w:rPr>
        <w:t xml:space="preserve">sensitiser </w:t>
      </w:r>
      <w:r w:rsidRPr="004F1226">
        <w:rPr>
          <w:rFonts w:cs="Arial"/>
        </w:rPr>
        <w:t>or respiratory sensitiser according to the GHS.</w:t>
      </w:r>
    </w:p>
    <w:p w14:paraId="35F9F117" w14:textId="20000671" w:rsidR="005E6979" w:rsidRPr="004C23F4" w:rsidRDefault="00DE126A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insufficient data to recommend a skin notation</w:t>
      </w:r>
      <w:r w:rsidR="004F1226" w:rsidRPr="004F1226">
        <w:rPr>
          <w:rFonts w:cs="Arial"/>
        </w:rPr>
        <w:t>.</w:t>
      </w:r>
    </w:p>
    <w:p w14:paraId="50A2C9E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028BF39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E70A03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63C9D7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C1E6F6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1BF1F3F" w14:textId="1433639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F122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F1226">
                  <w:t>TWA: 0.2 ppm (0.63 mg/m</w:t>
                </w:r>
                <w:r w:rsidR="004F1226" w:rsidRPr="004F1226">
                  <w:rPr>
                    <w:vertAlign w:val="superscript"/>
                  </w:rPr>
                  <w:t>3</w:t>
                </w:r>
                <w:r w:rsidR="004F1226">
                  <w:t>)</w:t>
                </w:r>
              </w:sdtContent>
            </w:sdt>
          </w:p>
        </w:tc>
      </w:tr>
      <w:tr w:rsidR="00C978F0" w:rsidRPr="00DA352E" w14:paraId="02D4A03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A3BE9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817211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2126E1D" w14:textId="227F562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F122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F1226">
                  <w:t>TLV-TWA: 0.2 ppm (0.6 mg/m</w:t>
                </w:r>
                <w:r w:rsidR="004F1226" w:rsidRPr="004F1226">
                  <w:rPr>
                    <w:vertAlign w:val="superscript"/>
                  </w:rPr>
                  <w:t>3</w:t>
                </w:r>
                <w:r w:rsidR="004F1226">
                  <w:t>)</w:t>
                </w:r>
              </w:sdtContent>
            </w:sdt>
          </w:p>
        </w:tc>
      </w:tr>
      <w:tr w:rsidR="00C978F0" w:rsidRPr="00DA352E" w14:paraId="033679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9ABDC6" w14:textId="5F8311A6" w:rsidR="00C978F0" w:rsidRDefault="00D73350" w:rsidP="003365A5">
            <w:pPr>
              <w:pStyle w:val="Tabletextprimarysource"/>
            </w:pPr>
            <w:r>
              <w:t>TLV-TWA intended to minimise potential for haemolytic effects observed in animals. Insufficient data to recommend a TLV-STEL or notations for carcinogenicity, skin absorption or sensitisation.</w:t>
            </w:r>
          </w:p>
          <w:p w14:paraId="6E14EA0F" w14:textId="77777777" w:rsidR="00D73350" w:rsidRDefault="00D73350" w:rsidP="003365A5">
            <w:pPr>
              <w:pStyle w:val="Tabletextprimarysource"/>
            </w:pPr>
            <w:r>
              <w:t>Summary of data:</w:t>
            </w:r>
          </w:p>
          <w:p w14:paraId="13617AC1" w14:textId="77777777" w:rsidR="00D73350" w:rsidRDefault="00D73350" w:rsidP="003365A5">
            <w:pPr>
              <w:pStyle w:val="Tabletextprimarysource"/>
            </w:pPr>
            <w:r>
              <w:t xml:space="preserve">TLV-TWA is based on current TLV-TWA of </w:t>
            </w:r>
            <w:proofErr w:type="spellStart"/>
            <w:r>
              <w:t>stibine</w:t>
            </w:r>
            <w:proofErr w:type="spellEnd"/>
            <w:r>
              <w:t xml:space="preserve"> (antimony hydride), 0.1 ppm, which is considered a similarly acting haemolytic agent. Chronic and sub-chronic animal or human exposure data are not available. Acute animal toxicity data indicate the substance is half as toxic as </w:t>
            </w:r>
            <w:proofErr w:type="spellStart"/>
            <w:r>
              <w:t>stibine</w:t>
            </w:r>
            <w:proofErr w:type="spellEnd"/>
            <w:r>
              <w:t>, the TLV-TWA of which is doubled to arrive at 0.2 ppm.</w:t>
            </w:r>
          </w:p>
          <w:p w14:paraId="4F319881" w14:textId="77777777" w:rsidR="00D73350" w:rsidRDefault="00D73350" w:rsidP="003365A5">
            <w:pPr>
              <w:pStyle w:val="Tabletextprimarysource"/>
            </w:pPr>
            <w:r>
              <w:t>Human data:</w:t>
            </w:r>
          </w:p>
          <w:p w14:paraId="281EEB55" w14:textId="652A3913" w:rsidR="00D73350" w:rsidRDefault="00D73350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None presented</w:t>
            </w:r>
            <w:r w:rsidR="000E06CE">
              <w:t>.</w:t>
            </w:r>
          </w:p>
          <w:p w14:paraId="2940475C" w14:textId="77777777" w:rsidR="00D73350" w:rsidRDefault="00D73350" w:rsidP="00D73350">
            <w:pPr>
              <w:pStyle w:val="Tabletextprimarysource"/>
            </w:pPr>
            <w:r>
              <w:t>Animal data:</w:t>
            </w:r>
          </w:p>
          <w:p w14:paraId="6DBC86E4" w14:textId="02D59DFF" w:rsidR="005C624C" w:rsidRDefault="005C624C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Only acute toxicity data is presented</w:t>
            </w:r>
          </w:p>
          <w:p w14:paraId="4442C6BE" w14:textId="03299818" w:rsidR="00D73350" w:rsidRDefault="008822B8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Limited toxicity data indicate a “moderate” toxicity of germanium </w:t>
            </w:r>
            <w:proofErr w:type="spellStart"/>
            <w:r>
              <w:t>tetrahydride</w:t>
            </w:r>
            <w:proofErr w:type="spellEnd"/>
            <w:r>
              <w:t>, between those of tin hydride and arsine</w:t>
            </w:r>
          </w:p>
          <w:p w14:paraId="734D595E" w14:textId="77777777" w:rsidR="008822B8" w:rsidRDefault="008822B8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Non-fatal at 100 ppm (rabbit, n=1, 1 h)</w:t>
            </w:r>
          </w:p>
          <w:p w14:paraId="22431F50" w14:textId="730FE1C0" w:rsidR="008822B8" w:rsidRDefault="008822B8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Fa</w:t>
            </w:r>
            <w:r w:rsidR="005C624C">
              <w:t>tal at 150</w:t>
            </w:r>
            <w:r w:rsidR="00A77C95">
              <w:t>–</w:t>
            </w:r>
            <w:r w:rsidR="005C624C">
              <w:t>185 ppm (mice, 1 h) or 195 ppm (mice, 4 h)</w:t>
            </w:r>
          </w:p>
          <w:p w14:paraId="428EC2D4" w14:textId="435477CA" w:rsidR="005C624C" w:rsidRDefault="005C624C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Degenerative changes in liver and kidneys at 445</w:t>
            </w:r>
            <w:r w:rsidR="00A77C95">
              <w:t>–</w:t>
            </w:r>
            <w:r>
              <w:t>825 ppm (rodents, unspecified duration)</w:t>
            </w:r>
          </w:p>
          <w:p w14:paraId="5BFC59DE" w14:textId="23CCC47F" w:rsidR="005C624C" w:rsidRDefault="005C624C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Neurotoxicity prior to death reported at 635 ppm (mice, unspecified duration)</w:t>
            </w:r>
          </w:p>
          <w:p w14:paraId="422B84B8" w14:textId="77777777" w:rsidR="005C624C" w:rsidRDefault="008822B8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Unspecified signs of intoxication at 150 ppm (guinea pig, n=1, 1 h); fatal at 185 ppm</w:t>
            </w:r>
            <w:r w:rsidR="005C624C">
              <w:t xml:space="preserve"> (1 h)</w:t>
            </w:r>
            <w:r>
              <w:t xml:space="preserve">, haemoglobinuria noted in </w:t>
            </w:r>
            <w:r w:rsidR="005C624C">
              <w:t>exposed guinea pigs.</w:t>
            </w:r>
          </w:p>
          <w:p w14:paraId="7A5E0017" w14:textId="000E5DA7" w:rsidR="00DE126A" w:rsidRPr="00D73350" w:rsidRDefault="00DE126A" w:rsidP="007F6B52">
            <w:pPr>
              <w:pStyle w:val="Tabletextprimarysource"/>
              <w:ind w:left="717"/>
            </w:pPr>
          </w:p>
        </w:tc>
      </w:tr>
      <w:tr w:rsidR="00C978F0" w:rsidRPr="00DA352E" w14:paraId="3A10586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D29E50" w14:textId="2E0AE29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F1226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F1226">
                  <w:t>Not assigned</w:t>
                </w:r>
              </w:sdtContent>
            </w:sdt>
          </w:p>
        </w:tc>
      </w:tr>
      <w:tr w:rsidR="00C978F0" w:rsidRPr="00DA352E" w14:paraId="77482F6A" w14:textId="77777777" w:rsidTr="005D04F9">
        <w:trPr>
          <w:gridAfter w:val="1"/>
          <w:wAfter w:w="8" w:type="pct"/>
        </w:trPr>
        <w:tc>
          <w:tcPr>
            <w:tcW w:w="0" w:type="pct"/>
          </w:tcPr>
          <w:p w14:paraId="39D7BAB6" w14:textId="77777777" w:rsidR="00C978F0" w:rsidRDefault="005C624C" w:rsidP="003365A5">
            <w:pPr>
              <w:pStyle w:val="Tabletextprimarysource"/>
            </w:pPr>
            <w:r>
              <w:t>Summary of additional data:</w:t>
            </w:r>
          </w:p>
          <w:p w14:paraId="29C431A5" w14:textId="01A4E7BB" w:rsidR="005C624C" w:rsidRDefault="00BC1CFD" w:rsidP="003365A5">
            <w:pPr>
              <w:pStyle w:val="Tabletextprimarysource"/>
            </w:pPr>
            <w:r>
              <w:rPr>
                <w:rFonts w:cs="Arial"/>
              </w:rPr>
              <w:t xml:space="preserve">Toxic effects of germanium </w:t>
            </w:r>
            <w:proofErr w:type="spellStart"/>
            <w:r>
              <w:rPr>
                <w:rFonts w:cs="Arial"/>
              </w:rPr>
              <w:t>tetrahydride</w:t>
            </w:r>
            <w:proofErr w:type="spellEnd"/>
            <w:r>
              <w:rPr>
                <w:rFonts w:cs="Arial"/>
              </w:rPr>
              <w:t xml:space="preserve"> include </w:t>
            </w:r>
            <w:r>
              <w:t>i</w:t>
            </w:r>
            <w:r w:rsidR="005C624C">
              <w:t>rritati</w:t>
            </w:r>
            <w:r>
              <w:t>o</w:t>
            </w:r>
            <w:r w:rsidR="005C624C">
              <w:t xml:space="preserve">n </w:t>
            </w:r>
            <w:r>
              <w:t>(</w:t>
            </w:r>
            <w:r w:rsidR="005C624C">
              <w:t>skin, eyes and respiratory tract</w:t>
            </w:r>
            <w:r>
              <w:t xml:space="preserve">) and </w:t>
            </w:r>
            <w:r w:rsidR="005C624C">
              <w:t xml:space="preserve">systemic </w:t>
            </w:r>
            <w:r>
              <w:t>effects on</w:t>
            </w:r>
            <w:r w:rsidR="008620DA">
              <w:t xml:space="preserve"> liver, kidney and blood. No data on carcinogenicity, genotoxicity, reproductive toxicity</w:t>
            </w:r>
            <w:r w:rsidR="004A7DBA">
              <w:t xml:space="preserve">, </w:t>
            </w:r>
            <w:r w:rsidR="0024246F">
              <w:t xml:space="preserve">sensitiser potential </w:t>
            </w:r>
            <w:r w:rsidR="004A7DBA">
              <w:t xml:space="preserve">or skin absorption </w:t>
            </w:r>
            <w:r w:rsidR="008620DA">
              <w:t>are available.</w:t>
            </w:r>
            <w:r w:rsidR="004A7DBA">
              <w:t xml:space="preserve"> Irritation is considered </w:t>
            </w:r>
            <w:r>
              <w:t xml:space="preserve">to be the </w:t>
            </w:r>
            <w:r w:rsidR="004A7DBA">
              <w:t xml:space="preserve">critical effect based on the safety data sheet for the compound, but no data </w:t>
            </w:r>
            <w:r>
              <w:t xml:space="preserve">are </w:t>
            </w:r>
            <w:r w:rsidR="004A7DBA">
              <w:t xml:space="preserve">available to support a threshold concentration. </w:t>
            </w:r>
          </w:p>
          <w:p w14:paraId="12BE35C8" w14:textId="77777777" w:rsidR="008620DA" w:rsidRDefault="008620DA" w:rsidP="003365A5">
            <w:pPr>
              <w:pStyle w:val="Tabletextprimarysource"/>
            </w:pPr>
            <w:r>
              <w:t>Human data:</w:t>
            </w:r>
          </w:p>
          <w:p w14:paraId="4520483C" w14:textId="36DE05F0" w:rsidR="008620DA" w:rsidRDefault="008620DA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Cited </w:t>
            </w:r>
            <w:r w:rsidR="007F6B52">
              <w:t>SDS</w:t>
            </w:r>
            <w:r>
              <w:t xml:space="preserve"> suggests irritation to the upper respiratory tract is a critical effect that leads to coughing, chest tightness and suffocation</w:t>
            </w:r>
            <w:r w:rsidR="00FE538A">
              <w:t>:</w:t>
            </w:r>
          </w:p>
          <w:p w14:paraId="0280063C" w14:textId="2C5D0F3B" w:rsidR="008620DA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l</w:t>
            </w:r>
            <w:r w:rsidR="008620DA">
              <w:t>onger exposure may cause damage to liver and spleen</w:t>
            </w:r>
          </w:p>
          <w:p w14:paraId="065DD8F3" w14:textId="60D899AA" w:rsidR="008620DA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i</w:t>
            </w:r>
            <w:r w:rsidR="008620DA">
              <w:t>rritating to skin and eyes, causing lachrymation and increased blinking</w:t>
            </w:r>
          </w:p>
          <w:p w14:paraId="5ECD9ACF" w14:textId="7EA1E1D2" w:rsidR="008620DA" w:rsidRDefault="008620DA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Cited publication reports possible lung damage following inhalation (no further information provided)</w:t>
            </w:r>
            <w:r w:rsidR="00DE126A">
              <w:t>.</w:t>
            </w:r>
          </w:p>
          <w:p w14:paraId="42CFF2FD" w14:textId="77777777" w:rsidR="008620DA" w:rsidRDefault="008620DA" w:rsidP="008620DA">
            <w:pPr>
              <w:pStyle w:val="Tabletextprimarysource"/>
            </w:pPr>
            <w:r>
              <w:t>Animal data:</w:t>
            </w:r>
          </w:p>
          <w:p w14:paraId="5815D9EA" w14:textId="7E96A1CC" w:rsidR="008620DA" w:rsidRDefault="008620DA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substance-specific absorption data is available, other volatile germanium compounds are generally absorbed completely in the lungs and distributed evenly; no accumulation has been observed for such compounds, which are excreted in urine</w:t>
            </w:r>
          </w:p>
          <w:p w14:paraId="5D1F9627" w14:textId="77777777" w:rsidR="008620DA" w:rsidRDefault="008620DA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lastRenderedPageBreak/>
              <w:t xml:space="preserve">No acute animal studies report </w:t>
            </w:r>
            <w:r w:rsidR="00483346">
              <w:t>respiratory tract irritation</w:t>
            </w:r>
          </w:p>
          <w:p w14:paraId="483A1F4C" w14:textId="73CA189A" w:rsidR="00483346" w:rsidRDefault="001E5C7B" w:rsidP="007F6B52">
            <w:pPr>
              <w:pStyle w:val="Tabletextprimarysource"/>
              <w:keepNext/>
              <w:numPr>
                <w:ilvl w:val="0"/>
                <w:numId w:val="1"/>
              </w:numPr>
              <w:ind w:left="717"/>
            </w:pPr>
            <w:r>
              <w:t xml:space="preserve">Slight motor delays at </w:t>
            </w:r>
            <w:r>
              <w:rPr>
                <w:rFonts w:cs="Arial"/>
              </w:rPr>
              <w:t>≈</w:t>
            </w:r>
            <w:r>
              <w:t>22 ppm in repeat inhalation study (rats, duration not specified, 30</w:t>
            </w:r>
            <w:r w:rsidR="00FE538A">
              <w:t> </w:t>
            </w:r>
            <w:r>
              <w:t>d)</w:t>
            </w:r>
            <w:r w:rsidR="00FE538A">
              <w:t>:</w:t>
            </w:r>
          </w:p>
          <w:p w14:paraId="702EDC2C" w14:textId="51BE4A13" w:rsidR="001E5C7B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n</w:t>
            </w:r>
            <w:r w:rsidR="001E5C7B">
              <w:t>o exposure-related clinical effects observed</w:t>
            </w:r>
          </w:p>
          <w:p w14:paraId="6B8C6AAD" w14:textId="330D2C23" w:rsidR="001E5C7B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h</w:t>
            </w:r>
            <w:r w:rsidR="001E5C7B">
              <w:t xml:space="preserve">istological changes to brain and </w:t>
            </w:r>
            <w:proofErr w:type="spellStart"/>
            <w:r w:rsidR="001E5C7B">
              <w:t>haemosiderosis</w:t>
            </w:r>
            <w:proofErr w:type="spellEnd"/>
            <w:r w:rsidR="001E5C7B">
              <w:t xml:space="preserve"> observed (no further details)</w:t>
            </w:r>
          </w:p>
          <w:p w14:paraId="0BC5F083" w14:textId="627F6EE7" w:rsidR="001E5C7B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r>
              <w:t>s</w:t>
            </w:r>
            <w:r w:rsidR="001E5C7B">
              <w:t>tudy not used in assessment due to inadequate documentation</w:t>
            </w:r>
          </w:p>
          <w:p w14:paraId="0C342B39" w14:textId="5396CD13" w:rsidR="001E5C7B" w:rsidRDefault="001E5C7B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Increase in haemoglobi</w:t>
            </w:r>
            <w:r w:rsidR="004A7DBA">
              <w:t>n</w:t>
            </w:r>
            <w:r w:rsidR="007F6B52">
              <w:t>, RBC and WBC</w:t>
            </w:r>
            <w:r w:rsidR="004A7DBA">
              <w:t xml:space="preserve"> counts</w:t>
            </w:r>
            <w:r>
              <w:t xml:space="preserve"> (no further information)</w:t>
            </w:r>
            <w:r w:rsidR="004A7DBA">
              <w:t xml:space="preserve"> in repeat inhalation study at 16</w:t>
            </w:r>
            <w:r w:rsidR="00A77C95">
              <w:t>–</w:t>
            </w:r>
            <w:r w:rsidR="004A7DBA">
              <w:t xml:space="preserve">80 ppm (rats, duration not specified, 4 </w:t>
            </w:r>
            <w:proofErr w:type="spellStart"/>
            <w:r w:rsidR="004A7DBA">
              <w:t>mo</w:t>
            </w:r>
            <w:proofErr w:type="spellEnd"/>
            <w:r w:rsidR="004A7DBA">
              <w:t>)</w:t>
            </w:r>
            <w:r w:rsidR="00FE538A">
              <w:t>:</w:t>
            </w:r>
          </w:p>
          <w:p w14:paraId="1F69A693" w14:textId="77777777" w:rsidR="004A7DBA" w:rsidRDefault="000E06CE" w:rsidP="007F6B52">
            <w:pPr>
              <w:pStyle w:val="Tabletextprimarysource"/>
              <w:numPr>
                <w:ilvl w:val="1"/>
                <w:numId w:val="1"/>
              </w:numPr>
              <w:ind w:left="1097"/>
            </w:pPr>
            <w:proofErr w:type="gramStart"/>
            <w:r>
              <w:t>s</w:t>
            </w:r>
            <w:r w:rsidR="004A7DBA">
              <w:t>tudy</w:t>
            </w:r>
            <w:proofErr w:type="gramEnd"/>
            <w:r w:rsidR="004A7DBA">
              <w:t xml:space="preserve"> not used in assessment due to inadequate documentation</w:t>
            </w:r>
            <w:r w:rsidR="006273F3">
              <w:t>.</w:t>
            </w:r>
          </w:p>
          <w:p w14:paraId="201C4322" w14:textId="754CD3E3" w:rsidR="00DE126A" w:rsidRPr="00DA352E" w:rsidRDefault="00DE126A" w:rsidP="007F6B52">
            <w:pPr>
              <w:pStyle w:val="Tabletextprimarysource"/>
              <w:ind w:left="1097"/>
            </w:pPr>
          </w:p>
        </w:tc>
      </w:tr>
      <w:tr w:rsidR="00C978F0" w:rsidRPr="00DA352E" w14:paraId="3D8FE71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4FDAF6" w14:textId="4FC45DB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F122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F1226">
                  <w:t>NA</w:t>
                </w:r>
                <w:proofErr w:type="spellEnd"/>
              </w:sdtContent>
            </w:sdt>
          </w:p>
        </w:tc>
      </w:tr>
      <w:tr w:rsidR="00C978F0" w:rsidRPr="00DA352E" w14:paraId="62D633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4A1EB8C" w14:textId="601079E6" w:rsidR="00C978F0" w:rsidRPr="00DA352E" w:rsidRDefault="00912C00" w:rsidP="003365A5">
            <w:pPr>
              <w:pStyle w:val="Tabletextprimarysource"/>
            </w:pPr>
            <w:r>
              <w:t>No report</w:t>
            </w:r>
            <w:r w:rsidR="005D04F9">
              <w:t>.</w:t>
            </w:r>
          </w:p>
        </w:tc>
      </w:tr>
      <w:tr w:rsidR="00DA352E" w:rsidRPr="00DA352E" w14:paraId="492E77A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846BF5" w14:textId="29D95EE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12C0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12C00">
                  <w:t>NA</w:t>
                </w:r>
                <w:proofErr w:type="spellEnd"/>
              </w:sdtContent>
            </w:sdt>
          </w:p>
        </w:tc>
      </w:tr>
      <w:tr w:rsidR="00DA352E" w:rsidRPr="00DA352E" w14:paraId="0A9FDA1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B075B2" w14:textId="647FE494" w:rsidR="00DA352E" w:rsidRPr="00DA352E" w:rsidRDefault="00912C00" w:rsidP="003365A5">
            <w:pPr>
              <w:pStyle w:val="Tabletextprimarysource"/>
            </w:pPr>
            <w:r>
              <w:t>No report</w:t>
            </w:r>
            <w:r w:rsidR="005D04F9">
              <w:t>.</w:t>
            </w:r>
          </w:p>
        </w:tc>
      </w:tr>
      <w:tr w:rsidR="00DA352E" w:rsidRPr="00DA352E" w14:paraId="6695046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7EBFE8" w14:textId="7E14963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12C00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12C00" w:rsidRPr="00912C00">
                  <w:t>TWA</w:t>
                </w:r>
                <w:r w:rsidR="00912C00">
                  <w:t>: 0.2 ppm (0.6 mg/m</w:t>
                </w:r>
                <w:r w:rsidR="00912C00" w:rsidRPr="00912C00">
                  <w:rPr>
                    <w:vertAlign w:val="superscript"/>
                  </w:rPr>
                  <w:t>3</w:t>
                </w:r>
                <w:r w:rsidR="00912C00">
                  <w:t>)</w:t>
                </w:r>
              </w:sdtContent>
            </w:sdt>
          </w:p>
        </w:tc>
      </w:tr>
      <w:tr w:rsidR="00DA352E" w:rsidRPr="00DA352E" w14:paraId="47E184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4ABEAB" w14:textId="47F8F33D" w:rsidR="005C624C" w:rsidRDefault="005C624C" w:rsidP="003365A5">
            <w:pPr>
              <w:pStyle w:val="Tabletextprimarysource"/>
            </w:pPr>
            <w:r>
              <w:t>Summary of additional data:</w:t>
            </w:r>
          </w:p>
          <w:p w14:paraId="2261654B" w14:textId="4E982731" w:rsidR="00DA352E" w:rsidRDefault="005C624C" w:rsidP="003365A5">
            <w:pPr>
              <w:pStyle w:val="Tabletextprimarysource"/>
            </w:pPr>
            <w:r>
              <w:t xml:space="preserve">No recommendation on current administrative </w:t>
            </w:r>
            <w:r w:rsidR="005D04F9">
              <w:t>OEL</w:t>
            </w:r>
            <w:r>
              <w:t xml:space="preserve"> c</w:t>
            </w:r>
            <w:r w:rsidR="00455609">
              <w:t>an be made with current dataset due to its lack of chronic exposure studies and inadequate documentation.</w:t>
            </w:r>
          </w:p>
          <w:p w14:paraId="58094349" w14:textId="77777777" w:rsidR="005C624C" w:rsidRDefault="005C624C" w:rsidP="003365A5">
            <w:pPr>
              <w:pStyle w:val="Tabletextprimarysource"/>
            </w:pPr>
            <w:r>
              <w:t>Human data:</w:t>
            </w:r>
          </w:p>
          <w:p w14:paraId="61EDC704" w14:textId="0FB5E8FA" w:rsidR="005C624C" w:rsidRDefault="005C624C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None presented</w:t>
            </w:r>
            <w:r w:rsidR="000E06CE">
              <w:t>.</w:t>
            </w:r>
          </w:p>
          <w:p w14:paraId="4D8C576F" w14:textId="77777777" w:rsidR="005C624C" w:rsidRDefault="005C624C" w:rsidP="003365A5">
            <w:pPr>
              <w:pStyle w:val="Tabletextprimarysource"/>
            </w:pPr>
            <w:r>
              <w:t>Animal data:</w:t>
            </w:r>
          </w:p>
          <w:p w14:paraId="6C714F24" w14:textId="5A0AE376" w:rsidR="00FC75C1" w:rsidRDefault="006273F3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440 ppm (mice, 2 h); 80</w:t>
            </w:r>
            <w:r w:rsidR="005E04FF">
              <w:t>–</w:t>
            </w:r>
            <w:r>
              <w:t>480 ppm (guinea pigs, 4 h)</w:t>
            </w:r>
            <w:r w:rsidR="00FC75C1">
              <w:t>; congested organs, haemorrhages, nerve cell vacuolisation, degeneration of some organs (no further details) and breathing difficulties observed</w:t>
            </w:r>
          </w:p>
          <w:p w14:paraId="5AA1A39B" w14:textId="52886A93" w:rsidR="00FC75C1" w:rsidRDefault="00FC75C1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1,280 mg/kg (mice</w:t>
            </w:r>
            <w:r w:rsidR="005D04F9">
              <w:t>, oral</w:t>
            </w:r>
            <w:r>
              <w:t>)</w:t>
            </w:r>
          </w:p>
          <w:p w14:paraId="2D299E29" w14:textId="4D0DC580" w:rsidR="00FC75C1" w:rsidRDefault="00FC75C1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Some haemorrhaging </w:t>
            </w:r>
            <w:r w:rsidR="00455609">
              <w:t>at 4</w:t>
            </w:r>
            <w:r w:rsidR="005E04FF">
              <w:t>–</w:t>
            </w:r>
            <w:r w:rsidR="00455609">
              <w:t>53 ppm in repeat inhalation study (rats, 4 h/d, 30 d)</w:t>
            </w:r>
          </w:p>
          <w:p w14:paraId="4780C065" w14:textId="2DFEE602" w:rsidR="00701D55" w:rsidRDefault="00701D55" w:rsidP="007F6B52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 irritation </w:t>
            </w:r>
            <w:r w:rsidR="0024246F">
              <w:t xml:space="preserve">effect </w:t>
            </w:r>
            <w:r>
              <w:t>data presented.</w:t>
            </w:r>
          </w:p>
          <w:p w14:paraId="7DD74E3D" w14:textId="281BA474" w:rsidR="00DE126A" w:rsidRPr="00DA352E" w:rsidRDefault="00DE126A" w:rsidP="007F6B52">
            <w:pPr>
              <w:pStyle w:val="Tabletextprimarysource"/>
              <w:ind w:left="717"/>
            </w:pPr>
          </w:p>
        </w:tc>
      </w:tr>
    </w:tbl>
    <w:p w14:paraId="31A1423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263255" w14:paraId="47D762EE" w14:textId="77777777" w:rsidTr="005D04F9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275961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440CAC7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541AB4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335465E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D58034F" w14:textId="77777777" w:rsidTr="005D04F9">
        <w:trPr>
          <w:cantSplit/>
        </w:trPr>
        <w:tc>
          <w:tcPr>
            <w:tcW w:w="1498" w:type="dxa"/>
          </w:tcPr>
          <w:p w14:paraId="2CFB2DE3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3B1C26BF" w14:textId="53EB7729" w:rsidR="004966BF" w:rsidRPr="00CE617F" w:rsidRDefault="002C24B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334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2073997" w14:textId="5F22A783" w:rsidR="004966BF" w:rsidRPr="004C23F4" w:rsidRDefault="00483346" w:rsidP="00717D45">
            <w:pPr>
              <w:pStyle w:val="Tablefont"/>
            </w:pPr>
            <w:r>
              <w:t>2002</w:t>
            </w:r>
          </w:p>
        </w:tc>
        <w:tc>
          <w:tcPr>
            <w:tcW w:w="6445" w:type="dxa"/>
          </w:tcPr>
          <w:p w14:paraId="42472B51" w14:textId="77777777" w:rsidR="00FE538A" w:rsidRDefault="00483346" w:rsidP="007F6B52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</w:pPr>
            <w:r>
              <w:t xml:space="preserve">TWA: </w:t>
            </w:r>
            <w:r w:rsidRPr="00483346">
              <w:t>0.2</w:t>
            </w:r>
            <w:r>
              <w:t xml:space="preserve"> ppm (0</w:t>
            </w:r>
            <w:r w:rsidRPr="00483346">
              <w:t>.64</w:t>
            </w:r>
            <w:r>
              <w:t xml:space="preserve">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2A392548" w14:textId="19B84A47" w:rsidR="004966BF" w:rsidRPr="00483346" w:rsidRDefault="00483346" w:rsidP="007F6B52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</w:pPr>
            <w:r>
              <w:t>STEL:</w:t>
            </w:r>
            <w:r w:rsidRPr="00483346">
              <w:t xml:space="preserve"> 0.6</w:t>
            </w:r>
            <w:r>
              <w:t xml:space="preserve"> ppm</w:t>
            </w:r>
            <w:r w:rsidRPr="00483346">
              <w:t xml:space="preserve"> </w:t>
            </w:r>
            <w:r>
              <w:t>(</w:t>
            </w:r>
            <w:r w:rsidRPr="00483346">
              <w:t>1.9</w:t>
            </w:r>
            <w:r>
              <w:t xml:space="preserve">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FE538A">
              <w:t>.</w:t>
            </w:r>
          </w:p>
        </w:tc>
      </w:tr>
    </w:tbl>
    <w:bookmarkEnd w:id="0"/>
    <w:p w14:paraId="1A696C3D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9D924DF" w14:textId="77777777" w:rsidTr="00483346">
        <w:trPr>
          <w:trHeight w:val="454"/>
          <w:tblHeader/>
        </w:trPr>
        <w:tc>
          <w:tcPr>
            <w:tcW w:w="6597" w:type="dxa"/>
            <w:vAlign w:val="center"/>
          </w:tcPr>
          <w:p w14:paraId="596A306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9CFF439" w14:textId="29B9E865" w:rsidR="002E0D61" w:rsidRDefault="0048334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02A32FB" w14:textId="77777777" w:rsidTr="00483346">
        <w:trPr>
          <w:trHeight w:val="454"/>
        </w:trPr>
        <w:tc>
          <w:tcPr>
            <w:tcW w:w="6597" w:type="dxa"/>
            <w:vAlign w:val="center"/>
          </w:tcPr>
          <w:p w14:paraId="3A6843A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CF7F977" w14:textId="0823917B" w:rsidR="008A36CF" w:rsidRDefault="0048334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7F6B52" w14:paraId="4656584D" w14:textId="77777777" w:rsidTr="00C34DCA">
        <w:trPr>
          <w:trHeight w:val="454"/>
        </w:trPr>
        <w:sdt>
          <w:sdtPr>
            <w:rPr>
              <w:b/>
            </w:rPr>
            <w:id w:val="1830936485"/>
            <w:placeholder>
              <w:docPart w:val="E75CCC7C32A048ADB6D8FBAD98A9FDD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FB6793F" w14:textId="77A93E69" w:rsidR="007F6B52" w:rsidRDefault="007F6B5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3F68E9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619F4B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C8A45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055C95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D213714" w14:textId="77777777" w:rsidTr="00812887">
        <w:trPr>
          <w:cantSplit/>
        </w:trPr>
        <w:tc>
          <w:tcPr>
            <w:tcW w:w="3227" w:type="dxa"/>
          </w:tcPr>
          <w:p w14:paraId="3CCE99E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CF20E73" w14:textId="04CDD742" w:rsidR="00687890" w:rsidRPr="00DD2F9B" w:rsidRDefault="00912C00" w:rsidP="00DD2F9B">
            <w:pPr>
              <w:pStyle w:val="Tablefont"/>
            </w:pPr>
            <w:r w:rsidRPr="00912C00">
              <w:t>—</w:t>
            </w:r>
          </w:p>
        </w:tc>
      </w:tr>
      <w:tr w:rsidR="007925F0" w:rsidRPr="004C23F4" w14:paraId="15BC74B6" w14:textId="77777777" w:rsidTr="00812887">
        <w:trPr>
          <w:cantSplit/>
        </w:trPr>
        <w:tc>
          <w:tcPr>
            <w:tcW w:w="3227" w:type="dxa"/>
          </w:tcPr>
          <w:p w14:paraId="0E4AEA4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B0ABB33" w14:textId="7E1AA396" w:rsidR="007925F0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643EC33" w14:textId="77777777" w:rsidTr="00812887">
        <w:trPr>
          <w:cantSplit/>
        </w:trPr>
        <w:tc>
          <w:tcPr>
            <w:tcW w:w="3227" w:type="dxa"/>
          </w:tcPr>
          <w:p w14:paraId="79D6343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99E3AD6" w14:textId="41FC52A2" w:rsidR="00AF483F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443E879" w14:textId="77777777" w:rsidTr="00812887">
        <w:trPr>
          <w:cantSplit/>
        </w:trPr>
        <w:tc>
          <w:tcPr>
            <w:tcW w:w="3227" w:type="dxa"/>
          </w:tcPr>
          <w:p w14:paraId="66C92CC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EC8B13A" w14:textId="0EDA52DD" w:rsidR="00687890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61AB7F7" w14:textId="77777777" w:rsidTr="00812887">
        <w:trPr>
          <w:cantSplit/>
        </w:trPr>
        <w:tc>
          <w:tcPr>
            <w:tcW w:w="3227" w:type="dxa"/>
          </w:tcPr>
          <w:p w14:paraId="3C3A1AB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C2081A8" w14:textId="36694685" w:rsidR="00E41A26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ED75022" w14:textId="77777777" w:rsidTr="00812887">
        <w:trPr>
          <w:cantSplit/>
        </w:trPr>
        <w:tc>
          <w:tcPr>
            <w:tcW w:w="3227" w:type="dxa"/>
          </w:tcPr>
          <w:p w14:paraId="6A103F7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C5FB60A" w14:textId="2215D936" w:rsidR="002E0D61" w:rsidRPr="00DD2F9B" w:rsidRDefault="00912C00" w:rsidP="00DD2F9B">
            <w:pPr>
              <w:pStyle w:val="Tablefont"/>
            </w:pPr>
            <w:r w:rsidRPr="00912C00">
              <w:t>—</w:t>
            </w:r>
          </w:p>
        </w:tc>
      </w:tr>
      <w:tr w:rsidR="002E0D61" w:rsidRPr="004C23F4" w14:paraId="16F39E84" w14:textId="77777777" w:rsidTr="00812887">
        <w:trPr>
          <w:cantSplit/>
        </w:trPr>
        <w:tc>
          <w:tcPr>
            <w:tcW w:w="3227" w:type="dxa"/>
          </w:tcPr>
          <w:p w14:paraId="352A128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A158748" w14:textId="6FA248ED" w:rsidR="002E0D61" w:rsidRPr="00DD2F9B" w:rsidRDefault="00912C00" w:rsidP="00DD2F9B">
            <w:pPr>
              <w:pStyle w:val="Tablefont"/>
            </w:pPr>
            <w:r w:rsidRPr="00912C00">
              <w:t>—</w:t>
            </w:r>
          </w:p>
        </w:tc>
      </w:tr>
      <w:tr w:rsidR="002E0D61" w:rsidRPr="004C23F4" w14:paraId="043EF1FA" w14:textId="77777777" w:rsidTr="00812887">
        <w:trPr>
          <w:cantSplit/>
        </w:trPr>
        <w:tc>
          <w:tcPr>
            <w:tcW w:w="3227" w:type="dxa"/>
          </w:tcPr>
          <w:p w14:paraId="1B14DAC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A193625" w14:textId="3EAC6E56" w:rsidR="002E0D61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742D51" w14:textId="77777777" w:rsidTr="00812887">
        <w:trPr>
          <w:cantSplit/>
        </w:trPr>
        <w:tc>
          <w:tcPr>
            <w:tcW w:w="3227" w:type="dxa"/>
          </w:tcPr>
          <w:p w14:paraId="7DD5B0B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9E8BBAA" w14:textId="1D29E2EF" w:rsidR="002E0D61" w:rsidRPr="00DD2F9B" w:rsidRDefault="00912C00" w:rsidP="00DD2F9B">
            <w:pPr>
              <w:pStyle w:val="Tablefont"/>
            </w:pPr>
            <w:r w:rsidRPr="00912C00">
              <w:t>—</w:t>
            </w:r>
          </w:p>
        </w:tc>
      </w:tr>
      <w:tr w:rsidR="00386093" w:rsidRPr="004C23F4" w14:paraId="53EC1700" w14:textId="77777777" w:rsidTr="00812887">
        <w:trPr>
          <w:cantSplit/>
        </w:trPr>
        <w:tc>
          <w:tcPr>
            <w:tcW w:w="3227" w:type="dxa"/>
          </w:tcPr>
          <w:p w14:paraId="43FB5DF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D51530F" w14:textId="23A0AC45" w:rsidR="00386093" w:rsidRPr="00DD2F9B" w:rsidRDefault="00912C0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7C1AD52" w14:textId="77777777" w:rsidTr="00812887">
        <w:trPr>
          <w:cantSplit/>
        </w:trPr>
        <w:tc>
          <w:tcPr>
            <w:tcW w:w="3227" w:type="dxa"/>
          </w:tcPr>
          <w:p w14:paraId="233B4FD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571BF39" w14:textId="160C112E" w:rsidR="00386093" w:rsidRPr="00DD2F9B" w:rsidRDefault="00912C0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C2304C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67BD01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46B18D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6E9DA5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53E8ED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BA5085B" w14:textId="2B36F3ED" w:rsidR="00932DCE" w:rsidRPr="004C23F4" w:rsidRDefault="00483346" w:rsidP="00F9496B">
            <w:pPr>
              <w:pStyle w:val="Tablefont"/>
            </w:pPr>
            <w:r>
              <w:t>Insufficient data to assign a skin notation</w:t>
            </w:r>
            <w:r w:rsidR="007F6B52">
              <w:t>.</w:t>
            </w:r>
          </w:p>
        </w:tc>
      </w:tr>
    </w:tbl>
    <w:bookmarkEnd w:id="3"/>
    <w:p w14:paraId="3BFB54E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5C0A75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3F4161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600BF88" w14:textId="51127496" w:rsidR="00EB3D1B" w:rsidRDefault="00912C0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ADF78E9" w14:textId="77777777" w:rsidR="00687890" w:rsidRPr="004C23F4" w:rsidRDefault="00B479A9" w:rsidP="005E04FF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3A6A4C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A2E5C1C" w14:textId="77777777" w:rsidR="001B79E5" w:rsidRDefault="001B79E5" w:rsidP="005D04F9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F90735D" w14:textId="481830DC" w:rsidR="001B79E5" w:rsidRDefault="00912C00" w:rsidP="005D04F9">
                <w:pPr>
                  <w:pStyle w:val="Tablefont"/>
                  <w:keepNext/>
                </w:pPr>
                <w:r w:rsidRPr="00912C00">
                  <w:t>76.62</w:t>
                </w:r>
              </w:p>
            </w:tc>
          </w:sdtContent>
        </w:sdt>
      </w:tr>
      <w:tr w:rsidR="00A31D99" w:rsidRPr="004C23F4" w14:paraId="047B556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0C5901" w14:textId="77777777" w:rsidR="00A31D99" w:rsidRPr="00263255" w:rsidRDefault="00A31D99" w:rsidP="005D04F9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3BF7F17" w14:textId="7690FB19" w:rsidR="00A31D99" w:rsidRDefault="00A0643F" w:rsidP="005D04F9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912C00">
                  <w:t>3.15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912C00">
                  <w:t>0.318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B1FB1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A88CF54" w14:textId="77777777" w:rsidR="00687890" w:rsidRPr="00263255" w:rsidRDefault="00687890" w:rsidP="005D04F9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867ABE" w14:textId="77777777" w:rsidR="00687890" w:rsidRPr="004C23F4" w:rsidRDefault="00E46BCB" w:rsidP="005D04F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F542EDE" w14:textId="77777777" w:rsidTr="00EA6243">
        <w:trPr>
          <w:cantSplit/>
        </w:trPr>
        <w:tc>
          <w:tcPr>
            <w:tcW w:w="4077" w:type="dxa"/>
            <w:vAlign w:val="center"/>
          </w:tcPr>
          <w:p w14:paraId="39F5CD96" w14:textId="77777777" w:rsidR="00687890" w:rsidRPr="00263255" w:rsidRDefault="00687890" w:rsidP="005D04F9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DCB68E" w14:textId="77777777" w:rsidR="00687890" w:rsidRPr="004C23F4" w:rsidRDefault="00A20751" w:rsidP="005D04F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5563EB" w14:textId="77777777" w:rsidTr="00EA6243">
        <w:trPr>
          <w:cantSplit/>
        </w:trPr>
        <w:tc>
          <w:tcPr>
            <w:tcW w:w="4077" w:type="dxa"/>
            <w:vAlign w:val="center"/>
          </w:tcPr>
          <w:p w14:paraId="7B96C6D9" w14:textId="77777777" w:rsidR="00687890" w:rsidRPr="00263255" w:rsidRDefault="00687890" w:rsidP="005D04F9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57689E" w14:textId="77777777" w:rsidR="00687890" w:rsidRPr="004C23F4" w:rsidRDefault="00687890" w:rsidP="005D04F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4CE7C1" w14:textId="77777777" w:rsidTr="00EA6243">
        <w:trPr>
          <w:cantSplit/>
        </w:trPr>
        <w:tc>
          <w:tcPr>
            <w:tcW w:w="4077" w:type="dxa"/>
            <w:vAlign w:val="center"/>
          </w:tcPr>
          <w:p w14:paraId="3CE70523" w14:textId="77777777" w:rsidR="00E06F40" w:rsidRPr="00263255" w:rsidRDefault="00E06F40" w:rsidP="005D04F9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5BCF698" w14:textId="77777777" w:rsidR="00E06F40" w:rsidRPr="00A006A0" w:rsidRDefault="002C24B6" w:rsidP="005D04F9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A63BC5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AC9EF4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F3D3EA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B997FD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5B7F7C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FECB1D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6701A9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DA8811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46DA20E" w14:textId="2F50893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FAD48A4" w14:textId="658FCA85" w:rsidR="00912C00" w:rsidRDefault="00912C00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(2008) </w:t>
      </w:r>
      <w:proofErr w:type="spellStart"/>
      <w:r w:rsidRPr="00912C00">
        <w:t>Germaniumtetrahydrid</w:t>
      </w:r>
      <w:proofErr w:type="spellEnd"/>
      <w:r>
        <w:t xml:space="preserve"> – MAK value documentation</w:t>
      </w:r>
      <w:r w:rsidR="00483346">
        <w:t>, German language edition</w:t>
      </w:r>
      <w:r>
        <w:t>.</w:t>
      </w:r>
    </w:p>
    <w:p w14:paraId="4CCB6B95" w14:textId="2D597162" w:rsidR="00912C00" w:rsidRDefault="00912C00" w:rsidP="00084859">
      <w:r w:rsidRPr="002022B6">
        <w:t>Health Council of the Netherlands</w:t>
      </w:r>
      <w:r>
        <w:t xml:space="preserve"> (HCOTN) (2000) </w:t>
      </w:r>
      <w:r w:rsidRPr="00912C00">
        <w:t xml:space="preserve">Germanium </w:t>
      </w:r>
      <w:proofErr w:type="spellStart"/>
      <w:r w:rsidRPr="00912C00">
        <w:t>tetrahydride</w:t>
      </w:r>
      <w:proofErr w:type="spellEnd"/>
      <w:r w:rsidRPr="005F7416">
        <w:t xml:space="preserve">. Health-based calculated occupational cancer risk values. The Hague: Health Council of the Netherlands; publication no. </w:t>
      </w:r>
      <w:r w:rsidRPr="00912C00">
        <w:t>2000/15OSH/006</w:t>
      </w:r>
      <w:r>
        <w:t>.</w:t>
      </w:r>
    </w:p>
    <w:p w14:paraId="31D601D0" w14:textId="77777777" w:rsidR="00701D55" w:rsidRDefault="00701D55" w:rsidP="00701D55">
      <w:r w:rsidRPr="00B9245C">
        <w:t>UK Health and Safety Executive (HSE) (2002) EH40/2005 Workplace exposure limits.</w:t>
      </w:r>
    </w:p>
    <w:p w14:paraId="7D5D8D62" w14:textId="77777777" w:rsidR="00912C00" w:rsidRPr="00351FE0" w:rsidRDefault="00912C00" w:rsidP="00084859"/>
    <w:sectPr w:rsidR="00912C0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F92849" w16cid:durableId="21893D8D"/>
  <w16cid:commentId w16cid:paraId="46190050" w16cid:durableId="21893B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5850" w14:textId="77777777" w:rsidR="007822C5" w:rsidRDefault="007822C5" w:rsidP="00F43AD5">
      <w:pPr>
        <w:spacing w:after="0" w:line="240" w:lineRule="auto"/>
      </w:pPr>
      <w:r>
        <w:separator/>
      </w:r>
    </w:p>
  </w:endnote>
  <w:endnote w:type="continuationSeparator" w:id="0">
    <w:p w14:paraId="677C6FF3" w14:textId="77777777" w:rsidR="007822C5" w:rsidRDefault="007822C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6301" w14:textId="77777777" w:rsidR="002C24B6" w:rsidRDefault="002C2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D96FE5E" w14:textId="261FF309" w:rsidR="008A36CF" w:rsidRDefault="004F1226" w:rsidP="0034744C">
        <w:pPr>
          <w:pStyle w:val="Footer"/>
          <w:rPr>
            <w:sz w:val="18"/>
            <w:szCs w:val="18"/>
          </w:rPr>
        </w:pPr>
        <w:r w:rsidRPr="004F1226">
          <w:rPr>
            <w:b/>
            <w:sz w:val="18"/>
            <w:szCs w:val="18"/>
          </w:rPr>
          <w:t xml:space="preserve">Germanium </w:t>
        </w:r>
        <w:proofErr w:type="spellStart"/>
        <w:r w:rsidRPr="004F1226">
          <w:rPr>
            <w:b/>
            <w:sz w:val="18"/>
            <w:szCs w:val="18"/>
          </w:rPr>
          <w:t>tetrahydride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4F1226">
          <w:rPr>
            <w:b/>
            <w:sz w:val="18"/>
            <w:szCs w:val="18"/>
          </w:rPr>
          <w:t>7782-65-2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4A91792" w14:textId="3768E08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C24B6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F141" w14:textId="77777777" w:rsidR="002C24B6" w:rsidRDefault="002C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FD35" w14:textId="77777777" w:rsidR="007822C5" w:rsidRDefault="007822C5" w:rsidP="00F43AD5">
      <w:pPr>
        <w:spacing w:after="0" w:line="240" w:lineRule="auto"/>
      </w:pPr>
      <w:r>
        <w:separator/>
      </w:r>
    </w:p>
  </w:footnote>
  <w:footnote w:type="continuationSeparator" w:id="0">
    <w:p w14:paraId="641551F4" w14:textId="77777777" w:rsidR="007822C5" w:rsidRDefault="007822C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5B5D" w14:textId="77777777" w:rsidR="002C24B6" w:rsidRDefault="002C2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3693" w14:textId="748C94EC" w:rsidR="002C24B6" w:rsidRDefault="002C24B6" w:rsidP="002C24B6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71906F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D01BEA2" wp14:editId="73C5564C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819A0" w14:textId="1FE00E47" w:rsidR="008A36CF" w:rsidRPr="002C24B6" w:rsidRDefault="008A36CF" w:rsidP="002C2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6C50" w14:textId="77777777" w:rsidR="002C24B6" w:rsidRDefault="002C24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2F39" w14:textId="0CE0C0B3" w:rsidR="002C24B6" w:rsidRDefault="002C24B6" w:rsidP="002C24B6">
    <w:pPr>
      <w:pStyle w:val="Header"/>
      <w:jc w:val="right"/>
    </w:pPr>
    <w:sdt>
      <w:sdtPr>
        <w:id w:val="1606304369"/>
        <w:docPartObj>
          <w:docPartGallery w:val="Watermarks"/>
          <w:docPartUnique/>
        </w:docPartObj>
      </w:sdtPr>
      <w:sdtContent>
        <w:r>
          <w:pict w14:anchorId="36D8EE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B410E97" wp14:editId="5D40754C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B00C6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5A76"/>
    <w:multiLevelType w:val="hybridMultilevel"/>
    <w:tmpl w:val="71820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3819"/>
    <w:multiLevelType w:val="hybridMultilevel"/>
    <w:tmpl w:val="8A369F7E"/>
    <w:lvl w:ilvl="0" w:tplc="19AE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5BB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6CE"/>
    <w:rsid w:val="000E5A54"/>
    <w:rsid w:val="000E63D3"/>
    <w:rsid w:val="000E67CF"/>
    <w:rsid w:val="0010461E"/>
    <w:rsid w:val="00106FAA"/>
    <w:rsid w:val="00113443"/>
    <w:rsid w:val="001269A7"/>
    <w:rsid w:val="00131092"/>
    <w:rsid w:val="00131CD0"/>
    <w:rsid w:val="00140E6A"/>
    <w:rsid w:val="00146545"/>
    <w:rsid w:val="00146B75"/>
    <w:rsid w:val="0015266D"/>
    <w:rsid w:val="0015288A"/>
    <w:rsid w:val="00160F47"/>
    <w:rsid w:val="001642FF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5C7B"/>
    <w:rsid w:val="001E7D80"/>
    <w:rsid w:val="001F4B6C"/>
    <w:rsid w:val="001F5488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38D"/>
    <w:rsid w:val="00224EE2"/>
    <w:rsid w:val="00227EC7"/>
    <w:rsid w:val="0024246F"/>
    <w:rsid w:val="00244AD1"/>
    <w:rsid w:val="002452AE"/>
    <w:rsid w:val="002463BC"/>
    <w:rsid w:val="002465CE"/>
    <w:rsid w:val="0025734A"/>
    <w:rsid w:val="00263255"/>
    <w:rsid w:val="00276494"/>
    <w:rsid w:val="00277B0C"/>
    <w:rsid w:val="00286807"/>
    <w:rsid w:val="002B1A2C"/>
    <w:rsid w:val="002C24B6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5609"/>
    <w:rsid w:val="00460A03"/>
    <w:rsid w:val="00472A11"/>
    <w:rsid w:val="00472AAD"/>
    <w:rsid w:val="00474E33"/>
    <w:rsid w:val="00476803"/>
    <w:rsid w:val="00483346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7DBA"/>
    <w:rsid w:val="004C1E3F"/>
    <w:rsid w:val="004C23F4"/>
    <w:rsid w:val="004C3475"/>
    <w:rsid w:val="004C58B6"/>
    <w:rsid w:val="004D16A3"/>
    <w:rsid w:val="004D4AA1"/>
    <w:rsid w:val="004D6D68"/>
    <w:rsid w:val="004E5EDD"/>
    <w:rsid w:val="004F1226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37B7"/>
    <w:rsid w:val="00581055"/>
    <w:rsid w:val="00591E38"/>
    <w:rsid w:val="005A19C5"/>
    <w:rsid w:val="005A3034"/>
    <w:rsid w:val="005A462D"/>
    <w:rsid w:val="005B253B"/>
    <w:rsid w:val="005B771D"/>
    <w:rsid w:val="005C5D16"/>
    <w:rsid w:val="005C624C"/>
    <w:rsid w:val="005D04F9"/>
    <w:rsid w:val="005D3193"/>
    <w:rsid w:val="005D4A6E"/>
    <w:rsid w:val="005E04FF"/>
    <w:rsid w:val="005E6979"/>
    <w:rsid w:val="005E75CB"/>
    <w:rsid w:val="006013C1"/>
    <w:rsid w:val="0060669E"/>
    <w:rsid w:val="00610F2E"/>
    <w:rsid w:val="00611399"/>
    <w:rsid w:val="00624C4E"/>
    <w:rsid w:val="00625200"/>
    <w:rsid w:val="006273F3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07BA"/>
    <w:rsid w:val="00701053"/>
    <w:rsid w:val="00701507"/>
    <w:rsid w:val="00701D55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50DC"/>
    <w:rsid w:val="0075716D"/>
    <w:rsid w:val="00763615"/>
    <w:rsid w:val="00765F14"/>
    <w:rsid w:val="00770E31"/>
    <w:rsid w:val="007770F1"/>
    <w:rsid w:val="007822C5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6B52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0DA"/>
    <w:rsid w:val="008630EE"/>
    <w:rsid w:val="00864D13"/>
    <w:rsid w:val="0087177A"/>
    <w:rsid w:val="00871CD5"/>
    <w:rsid w:val="008745A2"/>
    <w:rsid w:val="008768A8"/>
    <w:rsid w:val="0087797B"/>
    <w:rsid w:val="008822B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2495"/>
    <w:rsid w:val="009118A6"/>
    <w:rsid w:val="00912C00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362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3B42"/>
    <w:rsid w:val="00A6461A"/>
    <w:rsid w:val="00A77C95"/>
    <w:rsid w:val="00A84504"/>
    <w:rsid w:val="00A8672F"/>
    <w:rsid w:val="00A91EB4"/>
    <w:rsid w:val="00A93057"/>
    <w:rsid w:val="00A93A38"/>
    <w:rsid w:val="00A968B0"/>
    <w:rsid w:val="00AB2672"/>
    <w:rsid w:val="00AB2817"/>
    <w:rsid w:val="00AB43C4"/>
    <w:rsid w:val="00AC32E7"/>
    <w:rsid w:val="00AC3A9F"/>
    <w:rsid w:val="00AC5B28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4D9C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1CFD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3BDE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335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126A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F26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3838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1890"/>
    <w:rsid w:val="00FA3DF5"/>
    <w:rsid w:val="00FA741F"/>
    <w:rsid w:val="00FB4E07"/>
    <w:rsid w:val="00FB755A"/>
    <w:rsid w:val="00FC60A2"/>
    <w:rsid w:val="00FC75C1"/>
    <w:rsid w:val="00FD1871"/>
    <w:rsid w:val="00FD3110"/>
    <w:rsid w:val="00FE538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BC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C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C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F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9ED9889D9B54141980F5A772AE0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2829-00D3-4C64-BC5E-052250D28968}"/>
      </w:docPartPr>
      <w:docPartBody>
        <w:p w:rsidR="00CC1103" w:rsidRDefault="00994F13" w:rsidP="00994F13">
          <w:pPr>
            <w:pStyle w:val="C9ED9889D9B54141980F5A772AE07BEB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E75CCC7C32A048ADB6D8FBAD98A9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B35D-9B77-4447-8913-DE4BD5417960}"/>
      </w:docPartPr>
      <w:docPartBody>
        <w:p w:rsidR="00DF094E" w:rsidRDefault="007D6BCB" w:rsidP="007D6BCB">
          <w:pPr>
            <w:pStyle w:val="E75CCC7C32A048ADB6D8FBAD98A9FDD6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D64C6"/>
    <w:rsid w:val="003772B8"/>
    <w:rsid w:val="007D6BCB"/>
    <w:rsid w:val="00994F13"/>
    <w:rsid w:val="00A64AFF"/>
    <w:rsid w:val="00CC1103"/>
    <w:rsid w:val="00D21A9F"/>
    <w:rsid w:val="00D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BC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247A54D17314E5D934B1D78A71A3313">
    <w:name w:val="E247A54D17314E5D934B1D78A71A3313"/>
    <w:rsid w:val="003772B8"/>
  </w:style>
  <w:style w:type="paragraph" w:customStyle="1" w:styleId="84275118A0984F19851366D7C2746ED6">
    <w:name w:val="84275118A0984F19851366D7C2746ED6"/>
    <w:rsid w:val="003772B8"/>
  </w:style>
  <w:style w:type="paragraph" w:customStyle="1" w:styleId="10C3975BEA004D15868A80E8E6B3F016">
    <w:name w:val="10C3975BEA004D15868A80E8E6B3F016"/>
    <w:rsid w:val="003772B8"/>
  </w:style>
  <w:style w:type="paragraph" w:customStyle="1" w:styleId="588A3CAAE1104DDFA8F8D430125A8372">
    <w:name w:val="588A3CAAE1104DDFA8F8D430125A8372"/>
    <w:rsid w:val="003772B8"/>
  </w:style>
  <w:style w:type="paragraph" w:customStyle="1" w:styleId="172EF0D4E2EE4BB690ABAAADFB789815">
    <w:name w:val="172EF0D4E2EE4BB690ABAAADFB789815"/>
    <w:rsid w:val="003772B8"/>
  </w:style>
  <w:style w:type="paragraph" w:customStyle="1" w:styleId="C9ED9889D9B54141980F5A772AE07BEB">
    <w:name w:val="C9ED9889D9B54141980F5A772AE07BEB"/>
    <w:rsid w:val="00994F13"/>
  </w:style>
  <w:style w:type="paragraph" w:customStyle="1" w:styleId="E75CCC7C32A048ADB6D8FBAD98A9FDD6">
    <w:name w:val="E75CCC7C32A048ADB6D8FBAD98A9FDD6"/>
    <w:rsid w:val="007D6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6D687-AB66-4D35-8379-063D504C1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D04C6-F10A-4C40-BDD6-8AB8661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DE96B30A.dotm</Template>
  <TotalTime>448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24</cp:revision>
  <cp:lastPrinted>2018-10-22T22:41:00Z</cp:lastPrinted>
  <dcterms:created xsi:type="dcterms:W3CDTF">2019-08-30T03:48:00Z</dcterms:created>
  <dcterms:modified xsi:type="dcterms:W3CDTF">2020-01-15T03:22:00Z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