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0FDD715" w14:textId="77777777" w:rsidR="00BD499F" w:rsidRPr="004C23F4" w:rsidRDefault="00374E47" w:rsidP="00B40C60">
          <w:pPr>
            <w:pStyle w:val="Heading1"/>
            <w:jc w:val="center"/>
            <w:rPr>
              <w:rFonts w:ascii="Arial" w:hAnsi="Arial" w:cs="Arial"/>
            </w:rPr>
          </w:pPr>
          <w:r w:rsidRPr="00374E47">
            <w:rPr>
              <w:rFonts w:ascii="Arial" w:hAnsi="Arial" w:cs="Arial"/>
            </w:rPr>
            <w:t>Hafnium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4"/>
        <w:gridCol w:w="5032"/>
      </w:tblGrid>
      <w:tr w:rsidR="00F43AD5" w:rsidRPr="004C23F4" w14:paraId="796DF920" w14:textId="77777777" w:rsidTr="00B76A41">
        <w:trPr>
          <w:cantSplit/>
          <w:tblHeader/>
        </w:trPr>
        <w:tc>
          <w:tcPr>
            <w:tcW w:w="4077" w:type="dxa"/>
          </w:tcPr>
          <w:p w14:paraId="55312AC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5A43E325" w14:textId="77777777" w:rsidR="00F43AD5" w:rsidRPr="00717D45" w:rsidRDefault="004D3DAE" w:rsidP="00B76A41">
            <w:pPr>
              <w:pStyle w:val="Tablefont"/>
            </w:pPr>
            <w:r w:rsidRPr="004D3DAE">
              <w:t>7440-58-6</w:t>
            </w:r>
          </w:p>
        </w:tc>
      </w:tr>
      <w:tr w:rsidR="00F43AD5" w:rsidRPr="004C23F4" w14:paraId="6E8A46F1" w14:textId="77777777" w:rsidTr="00B76A41">
        <w:trPr>
          <w:cantSplit/>
        </w:trPr>
        <w:tc>
          <w:tcPr>
            <w:tcW w:w="4077" w:type="dxa"/>
          </w:tcPr>
          <w:p w14:paraId="0AFB360B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254E962" w14:textId="77777777" w:rsidR="00F43AD5" w:rsidRPr="00717D45" w:rsidRDefault="004D3DAE" w:rsidP="00B76A41">
            <w:pPr>
              <w:pStyle w:val="Tablefont"/>
            </w:pPr>
            <w:r w:rsidRPr="004D3DAE">
              <w:t>—</w:t>
            </w:r>
          </w:p>
        </w:tc>
      </w:tr>
      <w:tr w:rsidR="00F43AD5" w:rsidRPr="004C23F4" w14:paraId="3CC8BDFC" w14:textId="77777777" w:rsidTr="00B76A41">
        <w:trPr>
          <w:cantSplit/>
        </w:trPr>
        <w:tc>
          <w:tcPr>
            <w:tcW w:w="4077" w:type="dxa"/>
          </w:tcPr>
          <w:p w14:paraId="49D06C6F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BDCB2EB" w14:textId="77777777" w:rsidR="00F43AD5" w:rsidRPr="00717D45" w:rsidRDefault="004D3DAE" w:rsidP="00B76A41">
            <w:pPr>
              <w:pStyle w:val="Tablefont"/>
            </w:pPr>
            <w:r>
              <w:t>Hf</w:t>
            </w:r>
          </w:p>
        </w:tc>
      </w:tr>
      <w:tr w:rsidR="00F43AD5" w:rsidRPr="004C23F4" w14:paraId="27E4AB4F" w14:textId="77777777" w:rsidTr="00B76A41">
        <w:trPr>
          <w:cantSplit/>
        </w:trPr>
        <w:tc>
          <w:tcPr>
            <w:tcW w:w="4077" w:type="dxa"/>
          </w:tcPr>
          <w:p w14:paraId="7C2D338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6D1DB639" w14:textId="77777777" w:rsidR="00F43AD5" w:rsidRPr="004D3DAE" w:rsidRDefault="004D3DAE" w:rsidP="00B76A41">
            <w:pPr>
              <w:pStyle w:val="Tablerowheading"/>
              <w:rPr>
                <w:b w:val="0"/>
              </w:rPr>
            </w:pPr>
            <w:r w:rsidRPr="004D3DAE">
              <w:rPr>
                <w:b w:val="0"/>
              </w:rPr>
              <w:t>—</w:t>
            </w:r>
          </w:p>
        </w:tc>
      </w:tr>
    </w:tbl>
    <w:p w14:paraId="0A8CC042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607E46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72FF2FEE" w14:textId="77777777" w:rsidTr="0011697B">
        <w:trPr>
          <w:cantSplit/>
          <w:tblHeader/>
        </w:trPr>
        <w:tc>
          <w:tcPr>
            <w:tcW w:w="4005" w:type="dxa"/>
            <w:vAlign w:val="center"/>
          </w:tcPr>
          <w:p w14:paraId="54B84D30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3D760088" w14:textId="77777777" w:rsidR="002C7AFE" w:rsidRPr="00607E46" w:rsidRDefault="00607E46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525F2D15" w14:textId="77777777" w:rsidTr="0011697B">
        <w:trPr>
          <w:cantSplit/>
        </w:trPr>
        <w:tc>
          <w:tcPr>
            <w:tcW w:w="4005" w:type="dxa"/>
            <w:vAlign w:val="center"/>
          </w:tcPr>
          <w:p w14:paraId="42DEA516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72701EEC" w14:textId="77777777" w:rsidR="002C7AFE" w:rsidRPr="00EB3D1B" w:rsidRDefault="00607E46" w:rsidP="00017C82">
            <w:pPr>
              <w:pStyle w:val="Tablefont"/>
              <w:rPr>
                <w:b/>
              </w:rPr>
            </w:pPr>
            <w:r w:rsidRPr="004D3DAE">
              <w:t>—</w:t>
            </w:r>
          </w:p>
        </w:tc>
      </w:tr>
      <w:tr w:rsidR="002C7AFE" w:rsidRPr="004C23F4" w14:paraId="0C8E553B" w14:textId="77777777" w:rsidTr="0011697B">
        <w:trPr>
          <w:cantSplit/>
        </w:trPr>
        <w:tc>
          <w:tcPr>
            <w:tcW w:w="4005" w:type="dxa"/>
            <w:vAlign w:val="center"/>
          </w:tcPr>
          <w:p w14:paraId="28516775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5FAAB66" w14:textId="77777777" w:rsidR="002C7AFE" w:rsidRPr="00EB3D1B" w:rsidRDefault="00607E46" w:rsidP="00017C82">
            <w:pPr>
              <w:pStyle w:val="Tablefont"/>
              <w:rPr>
                <w:b/>
              </w:rPr>
            </w:pPr>
            <w:r w:rsidRPr="004D3DAE">
              <w:t>—</w:t>
            </w:r>
          </w:p>
        </w:tc>
      </w:tr>
      <w:tr w:rsidR="002C7AFE" w:rsidRPr="004C23F4" w14:paraId="17174164" w14:textId="77777777" w:rsidTr="0011697B">
        <w:trPr>
          <w:cantSplit/>
        </w:trPr>
        <w:tc>
          <w:tcPr>
            <w:tcW w:w="4005" w:type="dxa"/>
          </w:tcPr>
          <w:p w14:paraId="4B685E7F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7DFE1276" w14:textId="77777777" w:rsidR="002C7AFE" w:rsidRPr="00EB3D1B" w:rsidRDefault="00607E46" w:rsidP="008A36CF">
            <w:pPr>
              <w:pStyle w:val="Tablefont"/>
              <w:rPr>
                <w:b/>
              </w:rPr>
            </w:pPr>
            <w:r w:rsidRPr="004D3DAE">
              <w:t>—</w:t>
            </w:r>
          </w:p>
        </w:tc>
      </w:tr>
      <w:tr w:rsidR="002C7AFE" w:rsidRPr="004C23F4" w14:paraId="1AB10364" w14:textId="77777777" w:rsidTr="0011697B">
        <w:trPr>
          <w:cantSplit/>
        </w:trPr>
        <w:tc>
          <w:tcPr>
            <w:tcW w:w="4005" w:type="dxa"/>
            <w:vAlign w:val="center"/>
          </w:tcPr>
          <w:p w14:paraId="72344B01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5B2E4F9C" w14:textId="77777777" w:rsidR="002C7AFE" w:rsidRPr="00EB3D1B" w:rsidRDefault="004D3DAE" w:rsidP="00017C82">
            <w:pPr>
              <w:pStyle w:val="Tablefont"/>
              <w:rPr>
                <w:b/>
              </w:rPr>
            </w:pPr>
            <w:r w:rsidRPr="004D3DAE">
              <w:rPr>
                <w:b/>
              </w:rPr>
              <w:t>50 mg Hf/m</w:t>
            </w:r>
            <w:r w:rsidRPr="00AF352B">
              <w:rPr>
                <w:b/>
                <w:vertAlign w:val="superscript"/>
              </w:rPr>
              <w:t>3</w:t>
            </w:r>
          </w:p>
        </w:tc>
      </w:tr>
      <w:tr w:rsidR="0011697B" w:rsidRPr="004C23F4" w14:paraId="762687CD" w14:textId="77777777" w:rsidTr="0015104E">
        <w:trPr>
          <w:cantSplit/>
        </w:trPr>
        <w:tc>
          <w:tcPr>
            <w:tcW w:w="9026" w:type="dxa"/>
            <w:gridSpan w:val="2"/>
            <w:vAlign w:val="center"/>
          </w:tcPr>
          <w:p w14:paraId="13DBE680" w14:textId="77777777" w:rsidR="0011697B" w:rsidRPr="00EB3D1B" w:rsidRDefault="0011697B" w:rsidP="00017C82">
            <w:pPr>
              <w:pStyle w:val="Tablefont"/>
              <w:rPr>
                <w:b/>
              </w:rPr>
            </w:pPr>
            <w:r w:rsidRPr="0028314F">
              <w:rPr>
                <w:b/>
              </w:rPr>
              <w:t>Sampling and analysis:</w:t>
            </w:r>
            <w:r w:rsidRPr="0028314F">
              <w:rPr>
                <w:rStyle w:val="WESstatus"/>
                <w:b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8585505EC0C64DA1A0A262F4AE61CE0E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28314F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F34B25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3AB9364" w14:textId="5C050C69" w:rsidR="006639B4" w:rsidRPr="00607E46" w:rsidRDefault="00607E46" w:rsidP="000C139A">
      <w:pPr>
        <w:rPr>
          <w:rFonts w:cs="Arial"/>
        </w:rPr>
      </w:pPr>
      <w:r>
        <w:rPr>
          <w:rFonts w:cs="Arial"/>
        </w:rPr>
        <w:t>A TWA of 0.5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is recommended to protect for</w:t>
      </w:r>
      <w:r w:rsidR="0045542D">
        <w:rPr>
          <w:rFonts w:cs="Arial"/>
        </w:rPr>
        <w:t xml:space="preserve"> respiratory and eye irritation and liver</w:t>
      </w:r>
      <w:r>
        <w:rPr>
          <w:rFonts w:cs="Arial"/>
        </w:rPr>
        <w:t xml:space="preserve"> effects in exposed workers.</w:t>
      </w:r>
    </w:p>
    <w:p w14:paraId="48425BF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0D2872D" w14:textId="77777777" w:rsidR="00EC7061" w:rsidRDefault="00607E46" w:rsidP="002B4941">
      <w:r>
        <w:t xml:space="preserve">Hafnium </w:t>
      </w:r>
      <w:r w:rsidR="00E129EE">
        <w:t>is used in</w:t>
      </w:r>
      <w:r>
        <w:t xml:space="preserve"> control rods in nuclear reactors and the manufacture of light bulb filaments, el</w:t>
      </w:r>
      <w:r w:rsidR="0028314F">
        <w:t xml:space="preserve">ectrodes and special glasses. </w:t>
      </w:r>
    </w:p>
    <w:p w14:paraId="7E2053B2" w14:textId="2D65C638" w:rsidR="0028314F" w:rsidRDefault="00EC7061" w:rsidP="00EC7061">
      <w:r>
        <w:t>No human data are available. C</w:t>
      </w:r>
      <w:r w:rsidR="00AA5740">
        <w:t>ritical effect</w:t>
      </w:r>
      <w:r w:rsidR="0045542D">
        <w:t>s</w:t>
      </w:r>
      <w:r w:rsidR="00AA5740">
        <w:t xml:space="preserve"> of exposure </w:t>
      </w:r>
      <w:r w:rsidR="00721EB3">
        <w:t xml:space="preserve">in animal studies </w:t>
      </w:r>
      <w:r w:rsidR="006F1279">
        <w:t>a</w:t>
      </w:r>
      <w:r w:rsidR="0045542D">
        <w:t>re</w:t>
      </w:r>
      <w:r w:rsidR="00607E46">
        <w:t xml:space="preserve"> </w:t>
      </w:r>
      <w:r w:rsidR="0045542D">
        <w:t xml:space="preserve">respiratory and eye irritation and </w:t>
      </w:r>
      <w:r w:rsidR="00607E46">
        <w:t>liver damage</w:t>
      </w:r>
      <w:r w:rsidR="0028314F">
        <w:t xml:space="preserve">. </w:t>
      </w:r>
      <w:r w:rsidR="0045542D">
        <w:t>Irritation of the eye</w:t>
      </w:r>
      <w:r>
        <w:t>s</w:t>
      </w:r>
      <w:r w:rsidR="0045542D">
        <w:t xml:space="preserve"> </w:t>
      </w:r>
      <w:r>
        <w:t>i</w:t>
      </w:r>
      <w:r w:rsidR="0045542D">
        <w:t xml:space="preserve">s reported after </w:t>
      </w:r>
      <w:r w:rsidR="00721EB3">
        <w:t xml:space="preserve">ocular </w:t>
      </w:r>
      <w:r w:rsidR="0045542D">
        <w:t xml:space="preserve">application of hafnium tetrachloride </w:t>
      </w:r>
      <w:r w:rsidR="00721EB3">
        <w:t>in</w:t>
      </w:r>
      <w:r w:rsidR="0045542D">
        <w:t xml:space="preserve"> rabbits.</w:t>
      </w:r>
      <w:r w:rsidR="00D2244F">
        <w:t xml:space="preserve"> In a 90 day feeding study in rats, b</w:t>
      </w:r>
      <w:r w:rsidR="002B4941">
        <w:t>orderline response</w:t>
      </w:r>
      <w:r>
        <w:t>s</w:t>
      </w:r>
      <w:r w:rsidR="002B4941">
        <w:t xml:space="preserve"> in the liver </w:t>
      </w:r>
      <w:r w:rsidR="0022594F">
        <w:t>are reported in</w:t>
      </w:r>
      <w:r w:rsidR="002B4941">
        <w:t xml:space="preserve"> most exposed animals at </w:t>
      </w:r>
      <w:r w:rsidR="00D2244F">
        <w:t>1%</w:t>
      </w:r>
      <w:r>
        <w:t xml:space="preserve"> in the diet</w:t>
      </w:r>
      <w:r w:rsidR="002B4941">
        <w:t xml:space="preserve"> and occasionally in animals at 0.1</w:t>
      </w:r>
      <w:r>
        <w:t xml:space="preserve"> </w:t>
      </w:r>
      <w:r w:rsidR="00721EB3">
        <w:t>%</w:t>
      </w:r>
      <w:r w:rsidR="002B4941">
        <w:t>.</w:t>
      </w:r>
      <w:r w:rsidR="0045542D">
        <w:t xml:space="preserve"> </w:t>
      </w:r>
      <w:r w:rsidR="0049458B">
        <w:t xml:space="preserve">A calculated air </w:t>
      </w:r>
      <w:r w:rsidR="00480E91">
        <w:t>concentration</w:t>
      </w:r>
      <w:r w:rsidR="0049458B">
        <w:t xml:space="preserve"> of</w:t>
      </w:r>
      <w:r w:rsidR="0045542D">
        <w:t xml:space="preserve"> 0.7 mg/m</w:t>
      </w:r>
      <w:r w:rsidR="0045542D">
        <w:rPr>
          <w:vertAlign w:val="superscript"/>
        </w:rPr>
        <w:t>3</w:t>
      </w:r>
      <w:r w:rsidR="0049458B">
        <w:t xml:space="preserve"> equates to the dietary</w:t>
      </w:r>
      <w:r w:rsidR="00480E91">
        <w:t xml:space="preserve"> </w:t>
      </w:r>
      <w:r w:rsidR="0049458B">
        <w:t xml:space="preserve">response level of </w:t>
      </w:r>
      <w:r w:rsidR="0049458B" w:rsidRPr="00EC7061">
        <w:t>0.01</w:t>
      </w:r>
      <w:r w:rsidRPr="00EC7061">
        <w:t>% (</w:t>
      </w:r>
      <w:r w:rsidR="0045542D" w:rsidRPr="00EC7061">
        <w:t>ACGIH, 2018).</w:t>
      </w:r>
    </w:p>
    <w:p w14:paraId="1E042327" w14:textId="7435C565" w:rsidR="0045542D" w:rsidRDefault="00D2244F" w:rsidP="002B4941">
      <w:r>
        <w:t xml:space="preserve">A </w:t>
      </w:r>
      <w:r w:rsidR="0045542D">
        <w:t>TWA of 0.5</w:t>
      </w:r>
      <w:r w:rsidR="0045542D" w:rsidRPr="0045542D">
        <w:t xml:space="preserve"> mg/m</w:t>
      </w:r>
      <w:r w:rsidR="0045542D" w:rsidRPr="00E129EE">
        <w:rPr>
          <w:vertAlign w:val="superscript"/>
        </w:rPr>
        <w:t>3</w:t>
      </w:r>
      <w:r>
        <w:t xml:space="preserve">, </w:t>
      </w:r>
      <w:r w:rsidR="0045542D" w:rsidRPr="0045542D">
        <w:t>as derived by ACGIH (2018)</w:t>
      </w:r>
      <w:r>
        <w:t>,</w:t>
      </w:r>
      <w:r w:rsidR="0045542D" w:rsidRPr="0045542D">
        <w:t xml:space="preserve"> </w:t>
      </w:r>
      <w:r w:rsidR="00721EB3" w:rsidRPr="0045542D">
        <w:t xml:space="preserve">is recommended </w:t>
      </w:r>
      <w:r>
        <w:t>to be retained and is considered</w:t>
      </w:r>
      <w:r w:rsidR="0045542D" w:rsidRPr="0045542D">
        <w:t xml:space="preserve"> protective of </w:t>
      </w:r>
      <w:r w:rsidR="0045542D">
        <w:t xml:space="preserve">respiratory and eye irritation </w:t>
      </w:r>
      <w:r w:rsidR="009F6CDC">
        <w:t xml:space="preserve">and </w:t>
      </w:r>
      <w:r w:rsidR="0045542D" w:rsidRPr="0045542D">
        <w:t>liver damage</w:t>
      </w:r>
      <w:r w:rsidR="009F6CDC">
        <w:t xml:space="preserve"> as</w:t>
      </w:r>
      <w:r w:rsidR="0045542D" w:rsidRPr="0045542D">
        <w:t xml:space="preserve"> reported in animals.</w:t>
      </w:r>
    </w:p>
    <w:p w14:paraId="2C1E5089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204743C" w14:textId="77777777" w:rsidR="004D3DAE" w:rsidRPr="004D3DAE" w:rsidRDefault="004D3DAE" w:rsidP="004D3DAE">
      <w:pPr>
        <w:rPr>
          <w:rFonts w:cs="Arial"/>
        </w:rPr>
      </w:pPr>
      <w:r w:rsidRPr="004D3DAE">
        <w:rPr>
          <w:rFonts w:cs="Arial"/>
        </w:rPr>
        <w:t>Not classified as a carcinogen according to the Globally Harmonized System of Classification and Labelling o</w:t>
      </w:r>
      <w:r w:rsidR="0011697B">
        <w:rPr>
          <w:rFonts w:cs="Arial"/>
        </w:rPr>
        <w:t>f</w:t>
      </w:r>
      <w:r w:rsidRPr="004D3DAE">
        <w:rPr>
          <w:rFonts w:cs="Arial"/>
        </w:rPr>
        <w:t xml:space="preserve"> Chemicals (GHS). </w:t>
      </w:r>
    </w:p>
    <w:p w14:paraId="1FEBDAD2" w14:textId="77777777" w:rsidR="004D3DAE" w:rsidRPr="004D3DAE" w:rsidRDefault="004D3DAE" w:rsidP="004D3DAE">
      <w:pPr>
        <w:rPr>
          <w:rFonts w:cs="Arial"/>
        </w:rPr>
      </w:pPr>
      <w:r w:rsidRPr="004D3DAE">
        <w:rPr>
          <w:rFonts w:cs="Arial"/>
        </w:rPr>
        <w:t>Not classified as a skin</w:t>
      </w:r>
      <w:r w:rsidR="0011697B">
        <w:rPr>
          <w:rFonts w:cs="Arial"/>
        </w:rPr>
        <w:t xml:space="preserve"> </w:t>
      </w:r>
      <w:r w:rsidR="0011697B" w:rsidRPr="004D3DAE">
        <w:rPr>
          <w:rFonts w:cs="Arial"/>
        </w:rPr>
        <w:t>sensitiser</w:t>
      </w:r>
      <w:r w:rsidRPr="004D3DAE">
        <w:rPr>
          <w:rFonts w:cs="Arial"/>
        </w:rPr>
        <w:t xml:space="preserve"> or respiratory sensitiser according to the GHS.</w:t>
      </w:r>
    </w:p>
    <w:p w14:paraId="36366688" w14:textId="0272D0F4" w:rsidR="0025734A" w:rsidRPr="004C23F4" w:rsidRDefault="00E2682F" w:rsidP="004D3DAE">
      <w:pPr>
        <w:rPr>
          <w:rFonts w:cs="Arial"/>
        </w:rPr>
      </w:pPr>
      <w:r>
        <w:rPr>
          <w:rFonts w:cs="Arial"/>
        </w:rPr>
        <w:t>There are insufficient data to recommend a skin notation.</w:t>
      </w:r>
    </w:p>
    <w:p w14:paraId="60084ABE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92844F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8EAD82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0814784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47325E3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77F627D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AA14275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F352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F352B">
                  <w:t>TWA: 0.5 mg/m</w:t>
                </w:r>
                <w:r w:rsidR="00AF352B" w:rsidRPr="00AF352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5036F10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CF22309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3FB16C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6C879F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F352B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AF352B">
                  <w:t>TLV-TWA: 0.5 mg/m</w:t>
                </w:r>
                <w:r w:rsidR="00AF352B" w:rsidRPr="00AF352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5B61E3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2A680CD" w14:textId="77777777" w:rsidR="00C978F0" w:rsidRDefault="004409BF" w:rsidP="003365A5">
            <w:pPr>
              <w:pStyle w:val="Tabletextprimarysource"/>
            </w:pPr>
            <w:r>
              <w:t>TLV-TWA recommended to minimise the potential for respiratory and eye irritation and for liver toxicity.</w:t>
            </w:r>
          </w:p>
          <w:p w14:paraId="08A81982" w14:textId="77777777" w:rsidR="004409BF" w:rsidRDefault="004409BF" w:rsidP="003365A5">
            <w:pPr>
              <w:pStyle w:val="Tabletextprimarysource"/>
            </w:pPr>
            <w:r>
              <w:t>Summary of data:</w:t>
            </w:r>
          </w:p>
          <w:p w14:paraId="33E74C52" w14:textId="01E4D52D" w:rsidR="004409BF" w:rsidRDefault="004409BF" w:rsidP="003365A5">
            <w:pPr>
              <w:pStyle w:val="Tabletextprimarysource"/>
            </w:pPr>
            <w:r>
              <w:t>No human data available</w:t>
            </w:r>
            <w:r w:rsidR="0011697B">
              <w:t>.</w:t>
            </w:r>
          </w:p>
          <w:p w14:paraId="4B67B331" w14:textId="77777777" w:rsidR="004409BF" w:rsidRDefault="004409BF" w:rsidP="003365A5">
            <w:pPr>
              <w:pStyle w:val="Tabletextprimarysource"/>
            </w:pPr>
            <w:r>
              <w:t>Animal data:</w:t>
            </w:r>
          </w:p>
          <w:p w14:paraId="64522AA0" w14:textId="649FE4F1" w:rsidR="004409BF" w:rsidRPr="00BB6430" w:rsidRDefault="004409BF" w:rsidP="00AA5740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  <w:color w:val="1C1D1E"/>
                <w:shd w:val="clear" w:color="auto" w:fill="FFFFFF"/>
              </w:rPr>
            </w:pPr>
            <w:r w:rsidRPr="00BB6430">
              <w:rPr>
                <w:rFonts w:cs="Arial"/>
                <w:color w:val="1C1D1E"/>
                <w:shd w:val="clear" w:color="auto" w:fill="FFFFFF"/>
              </w:rPr>
              <w:t xml:space="preserve">No published studies on the toxicity of metallic </w:t>
            </w:r>
            <w:r w:rsidR="0011697B" w:rsidRPr="00BB6430">
              <w:rPr>
                <w:rFonts w:cs="Arial"/>
                <w:color w:val="1C1D1E"/>
                <w:shd w:val="clear" w:color="auto" w:fill="FFFFFF"/>
              </w:rPr>
              <w:t>form</w:t>
            </w:r>
          </w:p>
          <w:p w14:paraId="15D56716" w14:textId="730A376D" w:rsidR="00480E91" w:rsidRPr="00BB6430" w:rsidRDefault="00EC7061" w:rsidP="00480E91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  <w:color w:val="1C1D1E"/>
                <w:shd w:val="clear" w:color="auto" w:fill="FFFFFF"/>
              </w:rPr>
            </w:pPr>
            <w:r w:rsidRPr="00BB6430">
              <w:rPr>
                <w:rFonts w:cs="Arial"/>
                <w:color w:val="1C1D1E"/>
                <w:shd w:val="clear" w:color="auto" w:fill="FFFFFF"/>
              </w:rPr>
              <w:t>H</w:t>
            </w:r>
            <w:r>
              <w:rPr>
                <w:rFonts w:cs="Arial"/>
                <w:color w:val="1C1D1E"/>
                <w:shd w:val="clear" w:color="auto" w:fill="FFFFFF"/>
              </w:rPr>
              <w:t>f</w:t>
            </w:r>
            <w:r w:rsidRPr="00BB6430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480E91" w:rsidRPr="00BB6430">
              <w:rPr>
                <w:rFonts w:cs="Arial"/>
                <w:color w:val="1C1D1E"/>
                <w:shd w:val="clear" w:color="auto" w:fill="FFFFFF"/>
              </w:rPr>
              <w:t>compounds cause liver damage</w:t>
            </w:r>
          </w:p>
          <w:p w14:paraId="651EE743" w14:textId="5CA6750A" w:rsidR="002B4941" w:rsidRPr="00BB6430" w:rsidRDefault="002B4941" w:rsidP="00E129EE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  <w:color w:val="1C1D1E"/>
                <w:shd w:val="clear" w:color="auto" w:fill="FFFFFF"/>
              </w:rPr>
            </w:pPr>
            <w:r w:rsidRPr="00BB6430">
              <w:rPr>
                <w:rFonts w:cs="Arial"/>
                <w:color w:val="1C1D1E"/>
                <w:shd w:val="clear" w:color="auto" w:fill="FFFFFF"/>
              </w:rPr>
              <w:t xml:space="preserve">1 mg </w:t>
            </w:r>
            <w:r w:rsidR="0054124E" w:rsidRPr="00BB6430">
              <w:rPr>
                <w:rFonts w:cs="Arial"/>
                <w:color w:val="1C1D1E"/>
                <w:shd w:val="clear" w:color="auto" w:fill="FFFFFF"/>
              </w:rPr>
              <w:t>HfCl</w:t>
            </w:r>
            <w:r w:rsidR="0054124E" w:rsidRPr="00BB6430">
              <w:rPr>
                <w:rFonts w:cs="Arial"/>
                <w:color w:val="1C1D1E"/>
                <w:shd w:val="clear" w:color="auto" w:fill="FFFFFF"/>
                <w:vertAlign w:val="subscript"/>
              </w:rPr>
              <w:t>4</w:t>
            </w:r>
            <w:r w:rsidRPr="00BB6430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D2244F">
              <w:rPr>
                <w:rFonts w:cs="Arial"/>
                <w:color w:val="1C1D1E"/>
                <w:shd w:val="clear" w:color="auto" w:fill="FFFFFF"/>
              </w:rPr>
              <w:t xml:space="preserve">applied </w:t>
            </w:r>
            <w:r w:rsidRPr="00BB6430">
              <w:rPr>
                <w:rFonts w:cs="Arial"/>
                <w:color w:val="1C1D1E"/>
                <w:shd w:val="clear" w:color="auto" w:fill="FFFFFF"/>
              </w:rPr>
              <w:t>to eyes of rabbits produced transient irritation</w:t>
            </w:r>
          </w:p>
          <w:p w14:paraId="3C53D61D" w14:textId="7BF0DC32" w:rsidR="002B4941" w:rsidRPr="00BB6430" w:rsidRDefault="002B4941" w:rsidP="00E129EE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  <w:color w:val="1C1D1E"/>
                <w:shd w:val="clear" w:color="auto" w:fill="FFFFFF"/>
              </w:rPr>
            </w:pPr>
            <w:r w:rsidRPr="00BB6430">
              <w:rPr>
                <w:rFonts w:cs="Arial"/>
                <w:color w:val="1C1D1E"/>
                <w:shd w:val="clear" w:color="auto" w:fill="FFFFFF"/>
              </w:rPr>
              <w:t>Single intratracheal injections of 50 mg HfO</w:t>
            </w:r>
            <w:r w:rsidRPr="00BB6430">
              <w:rPr>
                <w:rFonts w:cs="Arial"/>
                <w:color w:val="1C1D1E"/>
                <w:shd w:val="clear" w:color="auto" w:fill="FFFFFF"/>
                <w:vertAlign w:val="subscript"/>
              </w:rPr>
              <w:t>2</w:t>
            </w:r>
            <w:r w:rsidRPr="00BB6430">
              <w:rPr>
                <w:rFonts w:cs="Arial"/>
                <w:color w:val="1C1D1E"/>
                <w:shd w:val="clear" w:color="auto" w:fill="FFFFFF"/>
              </w:rPr>
              <w:t xml:space="preserve"> or </w:t>
            </w:r>
            <w:proofErr w:type="spellStart"/>
            <w:r w:rsidRPr="00BB6430">
              <w:rPr>
                <w:rFonts w:cs="Arial"/>
                <w:color w:val="1C1D1E"/>
                <w:shd w:val="clear" w:color="auto" w:fill="FFFFFF"/>
              </w:rPr>
              <w:t>Hf</w:t>
            </w:r>
            <w:r w:rsidR="0054124E" w:rsidRPr="00BB6430">
              <w:rPr>
                <w:rFonts w:cs="Arial"/>
                <w:color w:val="1C1D1E"/>
                <w:shd w:val="clear" w:color="auto" w:fill="FFFFFF"/>
              </w:rPr>
              <w:t>C</w:t>
            </w:r>
            <w:proofErr w:type="spellEnd"/>
            <w:r w:rsidR="0054124E" w:rsidRPr="00BB6430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Pr="00BB6430">
              <w:rPr>
                <w:rFonts w:cs="Arial"/>
                <w:color w:val="1C1D1E"/>
                <w:shd w:val="clear" w:color="auto" w:fill="FFFFFF"/>
              </w:rPr>
              <w:t>in rats</w:t>
            </w:r>
            <w:r w:rsidR="00D2244F">
              <w:rPr>
                <w:rFonts w:cs="Arial"/>
                <w:color w:val="1C1D1E"/>
                <w:shd w:val="clear" w:color="auto" w:fill="FFFFFF"/>
              </w:rPr>
              <w:t xml:space="preserve"> resulted in</w:t>
            </w:r>
            <w:r w:rsidR="00D2244F" w:rsidRPr="00BB6430">
              <w:rPr>
                <w:rFonts w:cs="Arial"/>
                <w:color w:val="1C1D1E"/>
                <w:shd w:val="clear" w:color="auto" w:fill="FFFFFF"/>
              </w:rPr>
              <w:t xml:space="preserve"> pronounced cell reactio</w:t>
            </w:r>
            <w:r w:rsidR="00D2244F">
              <w:rPr>
                <w:rFonts w:cs="Arial"/>
                <w:color w:val="1C1D1E"/>
                <w:shd w:val="clear" w:color="auto" w:fill="FFFFFF"/>
              </w:rPr>
              <w:t xml:space="preserve">n in the lungs around the dust and </w:t>
            </w:r>
            <w:r w:rsidR="00D2244F" w:rsidRPr="00BB6430">
              <w:rPr>
                <w:rFonts w:cs="Arial"/>
                <w:color w:val="1C1D1E"/>
                <w:shd w:val="clear" w:color="auto" w:fill="FFFFFF"/>
              </w:rPr>
              <w:t>moderate production of collagen fibres in the alveolar walls</w:t>
            </w:r>
            <w:r w:rsidR="00D2244F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Pr="00BB6430">
              <w:rPr>
                <w:rFonts w:cs="Arial"/>
                <w:color w:val="1C1D1E"/>
                <w:shd w:val="clear" w:color="auto" w:fill="FFFFFF"/>
              </w:rPr>
              <w:t>9 mo</w:t>
            </w:r>
            <w:r w:rsidR="00D2244F">
              <w:rPr>
                <w:rFonts w:cs="Arial"/>
                <w:color w:val="1C1D1E"/>
                <w:shd w:val="clear" w:color="auto" w:fill="FFFFFF"/>
              </w:rPr>
              <w:t>nths after exposure</w:t>
            </w:r>
          </w:p>
          <w:p w14:paraId="33926E9F" w14:textId="393CB2F3" w:rsidR="00EC7061" w:rsidRDefault="00721EB3" w:rsidP="00AA5740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  <w:color w:val="1C1D1E"/>
                <w:shd w:val="clear" w:color="auto" w:fill="FFFFFF"/>
              </w:rPr>
            </w:pPr>
            <w:r>
              <w:rPr>
                <w:rFonts w:cs="Arial"/>
                <w:color w:val="1C1D1E"/>
                <w:shd w:val="clear" w:color="auto" w:fill="FFFFFF"/>
              </w:rPr>
              <w:t>-</w:t>
            </w:r>
            <w:r w:rsidR="003E482B" w:rsidRPr="00BB6430">
              <w:rPr>
                <w:rFonts w:cs="Arial"/>
                <w:color w:val="1C1D1E"/>
                <w:shd w:val="clear" w:color="auto" w:fill="FFFFFF"/>
              </w:rPr>
              <w:t xml:space="preserve">1% dietary level produced borderline response in the liver in a </w:t>
            </w:r>
            <w:r w:rsidR="0011697B" w:rsidRPr="00BB6430">
              <w:rPr>
                <w:rFonts w:cs="Arial"/>
                <w:color w:val="1C1D1E"/>
                <w:shd w:val="clear" w:color="auto" w:fill="FFFFFF"/>
              </w:rPr>
              <w:t>90</w:t>
            </w:r>
            <w:r>
              <w:rPr>
                <w:rFonts w:cs="Arial"/>
                <w:color w:val="1C1D1E"/>
                <w:shd w:val="clear" w:color="auto" w:fill="FFFFFF"/>
              </w:rPr>
              <w:t>-</w:t>
            </w:r>
            <w:r w:rsidR="0011697B" w:rsidRPr="00BB6430">
              <w:rPr>
                <w:rFonts w:cs="Arial"/>
                <w:color w:val="1C1D1E"/>
                <w:shd w:val="clear" w:color="auto" w:fill="FFFFFF"/>
              </w:rPr>
              <w:t>d</w:t>
            </w:r>
            <w:r w:rsidR="004409BF" w:rsidRPr="00BB6430">
              <w:rPr>
                <w:rFonts w:cs="Arial"/>
                <w:color w:val="1C1D1E"/>
                <w:shd w:val="clear" w:color="auto" w:fill="FFFFFF"/>
              </w:rPr>
              <w:t xml:space="preserve"> feeding study o</w:t>
            </w:r>
            <w:r w:rsidR="003E482B" w:rsidRPr="00BB6430">
              <w:rPr>
                <w:rFonts w:cs="Arial"/>
                <w:color w:val="1C1D1E"/>
                <w:shd w:val="clear" w:color="auto" w:fill="FFFFFF"/>
              </w:rPr>
              <w:t xml:space="preserve">f </w:t>
            </w:r>
            <w:r w:rsidR="0054124E" w:rsidRPr="00BB6430">
              <w:rPr>
                <w:rFonts w:cs="Arial"/>
                <w:color w:val="1C1D1E"/>
                <w:shd w:val="clear" w:color="auto" w:fill="FFFFFF"/>
              </w:rPr>
              <w:t>HfCl</w:t>
            </w:r>
            <w:r w:rsidR="0054124E" w:rsidRPr="00BB6430">
              <w:rPr>
                <w:rFonts w:cs="Arial"/>
                <w:color w:val="1C1D1E"/>
                <w:shd w:val="clear" w:color="auto" w:fill="FFFFFF"/>
                <w:vertAlign w:val="subscript"/>
              </w:rPr>
              <w:t>4</w:t>
            </w:r>
            <w:r w:rsidR="0054124E" w:rsidRPr="00BB6430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3E482B" w:rsidRPr="00BB6430">
              <w:rPr>
                <w:rFonts w:cs="Arial"/>
                <w:color w:val="1C1D1E"/>
                <w:shd w:val="clear" w:color="auto" w:fill="FFFFFF"/>
              </w:rPr>
              <w:t>in rats</w:t>
            </w:r>
          </w:p>
          <w:p w14:paraId="3720C016" w14:textId="43CBE202" w:rsidR="00FD0E0D" w:rsidRPr="00BB6430" w:rsidRDefault="00FD0E0D" w:rsidP="00EC7061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  <w:rPr>
                <w:rFonts w:cs="Arial"/>
                <w:color w:val="1C1D1E"/>
                <w:shd w:val="clear" w:color="auto" w:fill="FFFFFF"/>
              </w:rPr>
            </w:pPr>
            <w:r w:rsidRPr="00BB6430">
              <w:rPr>
                <w:rFonts w:cs="Arial"/>
                <w:color w:val="1C1D1E"/>
                <w:shd w:val="clear" w:color="auto" w:fill="FFFFFF"/>
              </w:rPr>
              <w:t>occasional response at 0.1%</w:t>
            </w:r>
            <w:r w:rsidR="00721EB3">
              <w:rPr>
                <w:rFonts w:cs="Arial"/>
                <w:color w:val="1C1D1E"/>
                <w:shd w:val="clear" w:color="auto" w:fill="FFFFFF"/>
              </w:rPr>
              <w:t xml:space="preserve"> (considered a LOAEL)</w:t>
            </w:r>
          </w:p>
          <w:p w14:paraId="7E75E0E2" w14:textId="33F57D03" w:rsidR="00FD0E0D" w:rsidRPr="00BB6430" w:rsidRDefault="0045542D" w:rsidP="00AA5740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  <w:color w:val="1C1D1E"/>
                <w:shd w:val="clear" w:color="auto" w:fill="FFFFFF"/>
              </w:rPr>
            </w:pPr>
            <w:r w:rsidRPr="00BB6430">
              <w:rPr>
                <w:rFonts w:cs="Arial"/>
                <w:color w:val="1C1D1E"/>
                <w:shd w:val="clear" w:color="auto" w:fill="FFFFFF"/>
              </w:rPr>
              <w:t xml:space="preserve">Basis for TWA: </w:t>
            </w:r>
            <w:r w:rsidR="00FD0E0D" w:rsidRPr="00BB6430">
              <w:rPr>
                <w:rFonts w:cs="Arial"/>
                <w:color w:val="1C1D1E"/>
                <w:shd w:val="clear" w:color="auto" w:fill="FFFFFF"/>
              </w:rPr>
              <w:t xml:space="preserve">A dietary level </w:t>
            </w:r>
            <w:r w:rsidR="00721EB3">
              <w:rPr>
                <w:rFonts w:cs="Arial"/>
                <w:color w:val="1C1D1E"/>
                <w:shd w:val="clear" w:color="auto" w:fill="FFFFFF"/>
              </w:rPr>
              <w:t xml:space="preserve">NOAEL </w:t>
            </w:r>
            <w:r w:rsidR="00FD0E0D" w:rsidRPr="00BB6430">
              <w:rPr>
                <w:rFonts w:cs="Arial"/>
                <w:color w:val="1C1D1E"/>
                <w:shd w:val="clear" w:color="auto" w:fill="FFFFFF"/>
              </w:rPr>
              <w:t xml:space="preserve">of 0.01% </w:t>
            </w:r>
            <w:r w:rsidR="00721EB3">
              <w:rPr>
                <w:rFonts w:cs="Arial"/>
                <w:color w:val="1C1D1E"/>
                <w:shd w:val="clear" w:color="auto" w:fill="FFFFFF"/>
              </w:rPr>
              <w:t xml:space="preserve">was presumably derived by dividing the LOAEL by a factor of 10; this </w:t>
            </w:r>
            <w:r w:rsidR="00FD0E0D" w:rsidRPr="00BB6430">
              <w:rPr>
                <w:rFonts w:cs="Arial"/>
                <w:color w:val="1C1D1E"/>
                <w:shd w:val="clear" w:color="auto" w:fill="FFFFFF"/>
              </w:rPr>
              <w:t xml:space="preserve">corresponds </w:t>
            </w:r>
            <w:r w:rsidR="005E543B" w:rsidRPr="00BB6430">
              <w:rPr>
                <w:rFonts w:cs="Arial"/>
                <w:color w:val="1C1D1E"/>
                <w:shd w:val="clear" w:color="auto" w:fill="FFFFFF"/>
              </w:rPr>
              <w:t>≈</w:t>
            </w:r>
            <w:r w:rsidR="00FD0E0D" w:rsidRPr="00BB6430">
              <w:rPr>
                <w:rFonts w:cs="Arial"/>
                <w:color w:val="1C1D1E"/>
                <w:shd w:val="clear" w:color="auto" w:fill="FFFFFF"/>
              </w:rPr>
              <w:t>0.7 mg/m</w:t>
            </w:r>
            <w:r w:rsidR="00FD0E0D" w:rsidRPr="00BB6430">
              <w:rPr>
                <w:rFonts w:cs="Arial"/>
                <w:color w:val="1C1D1E"/>
                <w:shd w:val="clear" w:color="auto" w:fill="FFFFFF"/>
                <w:vertAlign w:val="superscript"/>
              </w:rPr>
              <w:t>3</w:t>
            </w:r>
            <w:r w:rsidR="00FD0E0D" w:rsidRPr="00BB6430">
              <w:rPr>
                <w:rFonts w:cs="Arial"/>
                <w:color w:val="1C1D1E"/>
                <w:shd w:val="clear" w:color="auto" w:fill="FFFFFF"/>
              </w:rPr>
              <w:t xml:space="preserve"> assuming</w:t>
            </w:r>
            <w:r w:rsidR="005E543B" w:rsidRPr="00BB6430">
              <w:rPr>
                <w:rFonts w:cs="Arial"/>
                <w:color w:val="1C1D1E"/>
                <w:shd w:val="clear" w:color="auto" w:fill="FFFFFF"/>
              </w:rPr>
              <w:t xml:space="preserve"> 100%</w:t>
            </w:r>
            <w:r w:rsidR="00FD0E0D" w:rsidRPr="00BB6430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49458B" w:rsidRPr="00BB6430">
              <w:rPr>
                <w:rFonts w:cs="Arial"/>
                <w:color w:val="1C1D1E"/>
                <w:shd w:val="clear" w:color="auto" w:fill="FFFFFF"/>
              </w:rPr>
              <w:t xml:space="preserve">absorption </w:t>
            </w:r>
            <w:r w:rsidR="0049458B" w:rsidRPr="00EC7061">
              <w:rPr>
                <w:rFonts w:cs="Arial"/>
                <w:i/>
                <w:color w:val="1C1D1E"/>
                <w:shd w:val="clear" w:color="auto" w:fill="FFFFFF"/>
              </w:rPr>
              <w:t>via</w:t>
            </w:r>
            <w:r w:rsidR="0049458B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FD0E0D" w:rsidRPr="00BB6430">
              <w:rPr>
                <w:rFonts w:cs="Arial"/>
                <w:color w:val="1C1D1E"/>
                <w:shd w:val="clear" w:color="auto" w:fill="FFFFFF"/>
              </w:rPr>
              <w:t xml:space="preserve">ingestion and 10% </w:t>
            </w:r>
            <w:r w:rsidR="0049458B">
              <w:rPr>
                <w:rFonts w:cs="Arial"/>
                <w:color w:val="1C1D1E"/>
                <w:shd w:val="clear" w:color="auto" w:fill="FFFFFF"/>
              </w:rPr>
              <w:t xml:space="preserve">absorption </w:t>
            </w:r>
            <w:r w:rsidR="0049458B" w:rsidRPr="00EC7061">
              <w:rPr>
                <w:rFonts w:cs="Arial"/>
                <w:i/>
                <w:color w:val="1C1D1E"/>
                <w:shd w:val="clear" w:color="auto" w:fill="FFFFFF"/>
              </w:rPr>
              <w:t>via</w:t>
            </w:r>
            <w:r w:rsidR="0049458B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 w:rsidR="00FD0E0D" w:rsidRPr="00BB6430">
              <w:rPr>
                <w:rFonts w:cs="Arial"/>
                <w:color w:val="1C1D1E"/>
                <w:shd w:val="clear" w:color="auto" w:fill="FFFFFF"/>
              </w:rPr>
              <w:t>inhalation in rats; no further explanation provided</w:t>
            </w:r>
            <w:r w:rsidR="00F03039" w:rsidRPr="00BB6430">
              <w:rPr>
                <w:rFonts w:cs="Arial"/>
                <w:color w:val="1C1D1E"/>
                <w:shd w:val="clear" w:color="auto" w:fill="FFFFFF"/>
              </w:rPr>
              <w:t>.</w:t>
            </w:r>
          </w:p>
          <w:p w14:paraId="0B413697" w14:textId="77777777" w:rsidR="00351D24" w:rsidRDefault="00351D24" w:rsidP="00FD0E0D">
            <w:pPr>
              <w:pStyle w:val="Tabletextprimarysource"/>
            </w:pPr>
          </w:p>
          <w:p w14:paraId="5FD7F554" w14:textId="77777777" w:rsidR="00FD0E0D" w:rsidRDefault="00FD0E0D" w:rsidP="00FD0E0D">
            <w:pPr>
              <w:pStyle w:val="Tabletextprimarysource"/>
            </w:pPr>
            <w:r>
              <w:t xml:space="preserve">Insufficient data to recommend a sensitiser, skin </w:t>
            </w:r>
            <w:r w:rsidR="0011697B">
              <w:t>or carcinogen notation or STEL.</w:t>
            </w:r>
          </w:p>
          <w:p w14:paraId="7AEB7360" w14:textId="77777777" w:rsidR="005E543B" w:rsidRPr="00DA352E" w:rsidRDefault="005E543B" w:rsidP="00FD0E0D">
            <w:pPr>
              <w:pStyle w:val="Tabletextprimarysource"/>
            </w:pPr>
          </w:p>
        </w:tc>
      </w:tr>
      <w:tr w:rsidR="00C978F0" w:rsidRPr="00DA352E" w14:paraId="3865DFB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6B2E77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F352B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F352B">
                  <w:t>Not assigned</w:t>
                </w:r>
              </w:sdtContent>
            </w:sdt>
          </w:p>
        </w:tc>
      </w:tr>
      <w:tr w:rsidR="00C978F0" w:rsidRPr="00DA352E" w14:paraId="5E45D35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74497D8" w14:textId="77777777" w:rsidR="00607E46" w:rsidRDefault="00607E46" w:rsidP="003365A5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>
              <w:rPr>
                <w:rFonts w:cs="Arial"/>
                <w:color w:val="1C1D1E"/>
                <w:shd w:val="clear" w:color="auto" w:fill="FFFFFF"/>
              </w:rPr>
              <w:t>Summary of additional data:</w:t>
            </w:r>
          </w:p>
          <w:p w14:paraId="5D8218ED" w14:textId="77777777" w:rsidR="00607E46" w:rsidRPr="00607E46" w:rsidRDefault="00607E46" w:rsidP="00AA5740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Previous MAK of 0.5 mg/m</w:t>
            </w:r>
            <w:r>
              <w:rPr>
                <w:rFonts w:cs="Arial"/>
                <w:color w:val="1C1D1E"/>
                <w:shd w:val="clear" w:color="auto" w:fill="FFFFFF"/>
                <w:vertAlign w:val="superscript"/>
              </w:rPr>
              <w:t>3</w:t>
            </w:r>
          </w:p>
          <w:p w14:paraId="630325AB" w14:textId="77777777" w:rsidR="00C978F0" w:rsidRPr="00BB6430" w:rsidRDefault="00607E46" w:rsidP="00AA5740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shd w:val="clear" w:color="auto" w:fill="FFFFFF"/>
              </w:rPr>
              <w:t>Existing data not suitable for deriving a scientifically based MAK</w:t>
            </w:r>
            <w:r w:rsidR="00F03039">
              <w:rPr>
                <w:shd w:val="clear" w:color="auto" w:fill="FFFFFF"/>
              </w:rPr>
              <w:t>.</w:t>
            </w:r>
          </w:p>
          <w:p w14:paraId="0AC90EB4" w14:textId="77777777" w:rsidR="005E543B" w:rsidRPr="00DA352E" w:rsidRDefault="005E543B" w:rsidP="00BB6430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599D732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7C9F3D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F352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AF352B">
                  <w:t>NA</w:t>
                </w:r>
                <w:proofErr w:type="spellEnd"/>
              </w:sdtContent>
            </w:sdt>
          </w:p>
        </w:tc>
      </w:tr>
      <w:tr w:rsidR="00C978F0" w:rsidRPr="00DA352E" w14:paraId="75A8CD1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856668C" w14:textId="77777777" w:rsidR="00C978F0" w:rsidRPr="00DA352E" w:rsidRDefault="00AF352B" w:rsidP="003365A5">
            <w:pPr>
              <w:pStyle w:val="Tabletextprimarysource"/>
            </w:pPr>
            <w:r>
              <w:t>No report</w:t>
            </w:r>
            <w:r w:rsidR="0011697B">
              <w:t>.</w:t>
            </w:r>
          </w:p>
        </w:tc>
      </w:tr>
      <w:tr w:rsidR="00DA352E" w:rsidRPr="00DA352E" w14:paraId="7A22920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7D1E3F1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F352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F352B">
                  <w:t>NA</w:t>
                </w:r>
                <w:proofErr w:type="spellEnd"/>
              </w:sdtContent>
            </w:sdt>
          </w:p>
        </w:tc>
      </w:tr>
      <w:tr w:rsidR="00DA352E" w:rsidRPr="00DA352E" w14:paraId="01E5F18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B4A0672" w14:textId="77777777" w:rsidR="00DA352E" w:rsidRPr="00DA352E" w:rsidRDefault="00AF352B" w:rsidP="003365A5">
            <w:pPr>
              <w:pStyle w:val="Tabletextprimarysource"/>
            </w:pPr>
            <w:r>
              <w:t>No report</w:t>
            </w:r>
            <w:r w:rsidR="0011697B">
              <w:t>.</w:t>
            </w:r>
          </w:p>
        </w:tc>
      </w:tr>
      <w:tr w:rsidR="00DA352E" w:rsidRPr="00DA352E" w14:paraId="3EF7F1C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D6E63CF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F352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AF352B">
                  <w:t>NA</w:t>
                </w:r>
                <w:proofErr w:type="spellEnd"/>
              </w:sdtContent>
            </w:sdt>
          </w:p>
        </w:tc>
      </w:tr>
      <w:tr w:rsidR="00DA352E" w:rsidRPr="00DA352E" w14:paraId="081E809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902B675" w14:textId="77777777" w:rsidR="00DA352E" w:rsidRPr="00DA352E" w:rsidRDefault="00AF352B" w:rsidP="003365A5">
            <w:pPr>
              <w:pStyle w:val="Tabletextprimarysource"/>
            </w:pPr>
            <w:r>
              <w:t>No report</w:t>
            </w:r>
            <w:r w:rsidR="0011697B">
              <w:t>.</w:t>
            </w:r>
          </w:p>
        </w:tc>
      </w:tr>
    </w:tbl>
    <w:p w14:paraId="15372141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7F0387A3" w14:textId="77777777" w:rsidR="007E2A4B" w:rsidRDefault="0011697B">
      <w:r>
        <w:t>NIL</w:t>
      </w:r>
      <w:r w:rsidR="00D962A4">
        <w:t>.</w:t>
      </w:r>
    </w:p>
    <w:bookmarkEnd w:id="1"/>
    <w:p w14:paraId="45776DED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C51BB31" w14:textId="77777777" w:rsidTr="00607E46">
        <w:trPr>
          <w:trHeight w:val="454"/>
          <w:tblHeader/>
        </w:trPr>
        <w:tc>
          <w:tcPr>
            <w:tcW w:w="6597" w:type="dxa"/>
            <w:vAlign w:val="center"/>
          </w:tcPr>
          <w:p w14:paraId="11C104B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4DF0F10" w14:textId="77777777" w:rsidR="002E0D61" w:rsidRDefault="00607E46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52F8E7FA" w14:textId="77777777" w:rsidTr="00607E46">
        <w:trPr>
          <w:trHeight w:val="454"/>
        </w:trPr>
        <w:tc>
          <w:tcPr>
            <w:tcW w:w="6597" w:type="dxa"/>
            <w:vAlign w:val="center"/>
          </w:tcPr>
          <w:p w14:paraId="1687339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BD34487" w14:textId="77777777" w:rsidR="008A36CF" w:rsidRDefault="00607E4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EC7061" w14:paraId="54F5BC29" w14:textId="77777777" w:rsidTr="00F76717">
        <w:trPr>
          <w:trHeight w:val="454"/>
        </w:trPr>
        <w:sdt>
          <w:sdtPr>
            <w:rPr>
              <w:b/>
            </w:rPr>
            <w:id w:val="1830936485"/>
            <w:placeholder>
              <w:docPart w:val="348B85E32B814F979CAA4E6FDCCEAF8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363CC8F2" w14:textId="70B7C20F" w:rsidR="00EC7061" w:rsidRDefault="00EC706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72405F5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FC298E7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A965C68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563C67D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26A5672" w14:textId="77777777" w:rsidTr="00812887">
        <w:trPr>
          <w:cantSplit/>
        </w:trPr>
        <w:tc>
          <w:tcPr>
            <w:tcW w:w="3227" w:type="dxa"/>
          </w:tcPr>
          <w:p w14:paraId="2770BA8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AB16487" w14:textId="77777777" w:rsidR="00687890" w:rsidRPr="00DD2F9B" w:rsidRDefault="00AF352B" w:rsidP="00DD2F9B">
            <w:pPr>
              <w:pStyle w:val="Tablefont"/>
            </w:pPr>
            <w:r w:rsidRPr="00AF352B">
              <w:t>—</w:t>
            </w:r>
          </w:p>
        </w:tc>
      </w:tr>
      <w:tr w:rsidR="007925F0" w:rsidRPr="004C23F4" w14:paraId="1322C636" w14:textId="77777777" w:rsidTr="00812887">
        <w:trPr>
          <w:cantSplit/>
        </w:trPr>
        <w:tc>
          <w:tcPr>
            <w:tcW w:w="3227" w:type="dxa"/>
          </w:tcPr>
          <w:p w14:paraId="7483579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DC3FF37" w14:textId="77777777" w:rsidR="007925F0" w:rsidRPr="00DD2F9B" w:rsidRDefault="00AF352B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E7AFA6B" w14:textId="77777777" w:rsidTr="00812887">
        <w:trPr>
          <w:cantSplit/>
        </w:trPr>
        <w:tc>
          <w:tcPr>
            <w:tcW w:w="3227" w:type="dxa"/>
          </w:tcPr>
          <w:p w14:paraId="381AC86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6860501" w14:textId="77777777" w:rsidR="00AF483F" w:rsidRPr="00DD2F9B" w:rsidRDefault="00AF352B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41AAB06" w14:textId="77777777" w:rsidTr="00812887">
        <w:trPr>
          <w:cantSplit/>
        </w:trPr>
        <w:tc>
          <w:tcPr>
            <w:tcW w:w="3227" w:type="dxa"/>
          </w:tcPr>
          <w:p w14:paraId="1EE58283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5CC926F" w14:textId="77777777" w:rsidR="00687890" w:rsidRPr="00DD2F9B" w:rsidRDefault="00AF352B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6D08DEC" w14:textId="77777777" w:rsidTr="00812887">
        <w:trPr>
          <w:cantSplit/>
        </w:trPr>
        <w:tc>
          <w:tcPr>
            <w:tcW w:w="3227" w:type="dxa"/>
          </w:tcPr>
          <w:p w14:paraId="3E200B4D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E5E6834" w14:textId="77777777" w:rsidR="00E41A26" w:rsidRPr="00DD2F9B" w:rsidRDefault="00AF352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0EE1103" w14:textId="77777777" w:rsidTr="00812887">
        <w:trPr>
          <w:cantSplit/>
        </w:trPr>
        <w:tc>
          <w:tcPr>
            <w:tcW w:w="3227" w:type="dxa"/>
          </w:tcPr>
          <w:p w14:paraId="79E17A7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A23F800" w14:textId="77777777" w:rsidR="002E0D61" w:rsidRPr="00DD2F9B" w:rsidRDefault="00AF352B" w:rsidP="00DD2F9B">
            <w:pPr>
              <w:pStyle w:val="Tablefont"/>
            </w:pPr>
            <w:r w:rsidRPr="00AF352B">
              <w:t>—</w:t>
            </w:r>
          </w:p>
        </w:tc>
      </w:tr>
      <w:tr w:rsidR="002E0D61" w:rsidRPr="004C23F4" w14:paraId="73FA4126" w14:textId="77777777" w:rsidTr="00812887">
        <w:trPr>
          <w:cantSplit/>
        </w:trPr>
        <w:tc>
          <w:tcPr>
            <w:tcW w:w="3227" w:type="dxa"/>
          </w:tcPr>
          <w:p w14:paraId="380F60F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1083C33" w14:textId="77777777" w:rsidR="002E0D61" w:rsidRPr="00DD2F9B" w:rsidRDefault="00AF352B" w:rsidP="00DD2F9B">
            <w:pPr>
              <w:pStyle w:val="Tablefont"/>
            </w:pPr>
            <w:r w:rsidRPr="00AF352B">
              <w:t>—</w:t>
            </w:r>
          </w:p>
        </w:tc>
      </w:tr>
      <w:tr w:rsidR="002E0D61" w:rsidRPr="004C23F4" w14:paraId="41FC765E" w14:textId="77777777" w:rsidTr="00812887">
        <w:trPr>
          <w:cantSplit/>
        </w:trPr>
        <w:tc>
          <w:tcPr>
            <w:tcW w:w="3227" w:type="dxa"/>
          </w:tcPr>
          <w:p w14:paraId="62A239B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48D7635" w14:textId="77777777" w:rsidR="002E0D61" w:rsidRPr="00DD2F9B" w:rsidRDefault="00AF352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A2F2FCC" w14:textId="77777777" w:rsidTr="00812887">
        <w:trPr>
          <w:cantSplit/>
        </w:trPr>
        <w:tc>
          <w:tcPr>
            <w:tcW w:w="3227" w:type="dxa"/>
          </w:tcPr>
          <w:p w14:paraId="0D55C6F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EBE00BD" w14:textId="77777777" w:rsidR="002E0D61" w:rsidRPr="00DD2F9B" w:rsidRDefault="00AF352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27AE305" w14:textId="77777777" w:rsidTr="00812887">
        <w:trPr>
          <w:cantSplit/>
        </w:trPr>
        <w:tc>
          <w:tcPr>
            <w:tcW w:w="3227" w:type="dxa"/>
          </w:tcPr>
          <w:p w14:paraId="0F49767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0533091" w14:textId="77777777" w:rsidR="00386093" w:rsidRPr="00DD2F9B" w:rsidRDefault="00A4107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4A7678C" w14:textId="77777777" w:rsidTr="00812887">
        <w:trPr>
          <w:cantSplit/>
        </w:trPr>
        <w:tc>
          <w:tcPr>
            <w:tcW w:w="3227" w:type="dxa"/>
          </w:tcPr>
          <w:p w14:paraId="1F642770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049A763" w14:textId="77777777" w:rsidR="00386093" w:rsidRPr="00DD2F9B" w:rsidRDefault="00A41079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253C0C8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BB94008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A0D579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CDA3418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ABFE09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CE6BBD0" w14:textId="77777777" w:rsidR="00932DCE" w:rsidRPr="004C23F4" w:rsidRDefault="0011697B" w:rsidP="00F9496B">
            <w:pPr>
              <w:pStyle w:val="Tablefont"/>
            </w:pPr>
            <w:r w:rsidRPr="0011697B">
              <w:t>Insufficient data to assign a skin notation</w:t>
            </w:r>
            <w:r w:rsidR="00D962A4">
              <w:t>.</w:t>
            </w:r>
          </w:p>
        </w:tc>
      </w:tr>
    </w:tbl>
    <w:bookmarkEnd w:id="4"/>
    <w:p w14:paraId="1E19073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4E22E5F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137499C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10FC416" w14:textId="77777777" w:rsidR="00EB3D1B" w:rsidRDefault="00A41079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419DD1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0011AFED" w14:textId="77777777" w:rsidTr="00CA2865">
        <w:trPr>
          <w:cantSplit/>
          <w:tblHeader/>
        </w:trPr>
        <w:tc>
          <w:tcPr>
            <w:tcW w:w="4077" w:type="dxa"/>
            <w:vAlign w:val="center"/>
          </w:tcPr>
          <w:p w14:paraId="6F4278F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4287B5E" w14:textId="77777777" w:rsidR="001B79E5" w:rsidRDefault="00A41079" w:rsidP="001B79E5">
                <w:pPr>
                  <w:pStyle w:val="Tablefont"/>
                </w:pPr>
                <w:r w:rsidRPr="00A41079">
                  <w:t>178.49</w:t>
                </w:r>
              </w:p>
            </w:tc>
          </w:sdtContent>
        </w:sdt>
      </w:tr>
      <w:tr w:rsidR="00A31D99" w:rsidRPr="004C23F4" w14:paraId="6AA0DA00" w14:textId="77777777" w:rsidTr="00EC7061">
        <w:trPr>
          <w:cantSplit/>
        </w:trPr>
        <w:tc>
          <w:tcPr>
            <w:tcW w:w="4077" w:type="dxa"/>
            <w:vAlign w:val="center"/>
          </w:tcPr>
          <w:p w14:paraId="4196C45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F7A5C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4BCC6C4" w14:textId="77777777" w:rsidTr="00EC7061">
        <w:trPr>
          <w:cantSplit/>
        </w:trPr>
        <w:tc>
          <w:tcPr>
            <w:tcW w:w="4077" w:type="dxa"/>
            <w:vAlign w:val="center"/>
          </w:tcPr>
          <w:p w14:paraId="37D8301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BBA4A2E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BCFB7A8" w14:textId="77777777" w:rsidTr="00EC7061">
        <w:trPr>
          <w:cantSplit/>
        </w:trPr>
        <w:tc>
          <w:tcPr>
            <w:tcW w:w="4077" w:type="dxa"/>
            <w:vAlign w:val="center"/>
          </w:tcPr>
          <w:p w14:paraId="49221103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AF388B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5AF57B2" w14:textId="77777777" w:rsidTr="00EC7061">
        <w:trPr>
          <w:cantSplit/>
        </w:trPr>
        <w:tc>
          <w:tcPr>
            <w:tcW w:w="4077" w:type="dxa"/>
            <w:vAlign w:val="center"/>
          </w:tcPr>
          <w:p w14:paraId="5AC57B33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514453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A99B1C8" w14:textId="77777777" w:rsidTr="00EC7061">
        <w:trPr>
          <w:cantSplit/>
        </w:trPr>
        <w:tc>
          <w:tcPr>
            <w:tcW w:w="4077" w:type="dxa"/>
            <w:vAlign w:val="center"/>
          </w:tcPr>
          <w:p w14:paraId="42C41AE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8492EEA" w14:textId="77777777" w:rsidR="00E06F40" w:rsidRPr="00A006A0" w:rsidRDefault="00CA286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546195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462607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D47676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7571F8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D9B9EE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D1B221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4F8F35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62CD9E4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1AFD9F8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249C647" w14:textId="77777777" w:rsidR="00A41079" w:rsidRDefault="00A41079" w:rsidP="00084859">
      <w:r w:rsidRPr="002022B6">
        <w:t>Deutsche Forschungsgemeinschaft (DFG)</w:t>
      </w:r>
      <w:r>
        <w:t xml:space="preserve"> (1999) </w:t>
      </w:r>
      <w:r w:rsidRPr="00A41079">
        <w:t>Hafnium</w:t>
      </w:r>
      <w:r>
        <w:t xml:space="preserve"> – MAK value documentation.</w:t>
      </w:r>
    </w:p>
    <w:p w14:paraId="33485AB3" w14:textId="77777777" w:rsidR="00A41079" w:rsidRPr="00351FE0" w:rsidRDefault="00A41079" w:rsidP="00084859">
      <w:r w:rsidRPr="00D86E03">
        <w:t>US National Institute for Occupational Safety and Health (NIOSH)</w:t>
      </w:r>
      <w:r>
        <w:t xml:space="preserve"> (1994)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A41079">
        <w:t>Hafnium compounds (as Hf)</w:t>
      </w:r>
      <w:r>
        <w:t>.</w:t>
      </w:r>
    </w:p>
    <w:sectPr w:rsidR="00A41079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2F6C9" w14:textId="77777777" w:rsidR="006939C7" w:rsidRDefault="006939C7" w:rsidP="00F43AD5">
      <w:pPr>
        <w:spacing w:after="0" w:line="240" w:lineRule="auto"/>
      </w:pPr>
      <w:r>
        <w:separator/>
      </w:r>
    </w:p>
  </w:endnote>
  <w:endnote w:type="continuationSeparator" w:id="0">
    <w:p w14:paraId="7AA1F601" w14:textId="77777777" w:rsidR="006939C7" w:rsidRDefault="006939C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8D10D" w14:textId="77777777" w:rsidR="005B6250" w:rsidRDefault="005B6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4BF864C" w14:textId="77777777" w:rsidR="008A36CF" w:rsidRDefault="00374E47" w:rsidP="0034744C">
        <w:pPr>
          <w:pStyle w:val="Footer"/>
          <w:rPr>
            <w:sz w:val="18"/>
            <w:szCs w:val="18"/>
          </w:rPr>
        </w:pPr>
        <w:r w:rsidRPr="00374E47">
          <w:rPr>
            <w:b/>
            <w:sz w:val="18"/>
            <w:szCs w:val="18"/>
          </w:rPr>
          <w:t>Hafnium</w:t>
        </w:r>
        <w:r w:rsidR="008A36CF">
          <w:rPr>
            <w:b/>
            <w:sz w:val="18"/>
            <w:szCs w:val="18"/>
          </w:rPr>
          <w:t xml:space="preserve"> (</w:t>
        </w:r>
        <w:r w:rsidR="004D3DAE" w:rsidRPr="004D3DAE">
          <w:rPr>
            <w:b/>
            <w:sz w:val="18"/>
            <w:szCs w:val="18"/>
          </w:rPr>
          <w:t>7440-58-6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28FBD72" w14:textId="67F6429B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A2865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A4006" w14:textId="77777777" w:rsidR="005B6250" w:rsidRDefault="005B6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1B69D" w14:textId="77777777" w:rsidR="006939C7" w:rsidRDefault="006939C7" w:rsidP="00F43AD5">
      <w:pPr>
        <w:spacing w:after="0" w:line="240" w:lineRule="auto"/>
      </w:pPr>
      <w:r>
        <w:separator/>
      </w:r>
    </w:p>
  </w:footnote>
  <w:footnote w:type="continuationSeparator" w:id="0">
    <w:p w14:paraId="40F6A888" w14:textId="77777777" w:rsidR="006939C7" w:rsidRDefault="006939C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2970" w14:textId="77777777" w:rsidR="005B6250" w:rsidRDefault="005B6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8DCC1" w14:textId="4C38CEDA" w:rsidR="0020135A" w:rsidRDefault="0020135A" w:rsidP="0020135A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7699DE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8074543" wp14:editId="1B2A98E8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8EC5C2" w14:textId="481F5F5A" w:rsidR="008A36CF" w:rsidRPr="0020135A" w:rsidRDefault="008A36CF" w:rsidP="00201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584D" w14:textId="77777777" w:rsidR="005B6250" w:rsidRDefault="005B62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5EE3" w14:textId="6732D735" w:rsidR="0020135A" w:rsidRDefault="0020135A" w:rsidP="0020135A">
    <w:pPr>
      <w:pStyle w:val="Header"/>
      <w:jc w:val="right"/>
    </w:pPr>
    <w:sdt>
      <w:sdtPr>
        <w:id w:val="1862776325"/>
        <w:docPartObj>
          <w:docPartGallery w:val="Watermarks"/>
          <w:docPartUnique/>
        </w:docPartObj>
      </w:sdtPr>
      <w:sdtContent>
        <w:r>
          <w:pict w14:anchorId="407DC04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346AD6D" wp14:editId="3510F925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2897A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08B9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C20DA4"/>
    <w:multiLevelType w:val="hybridMultilevel"/>
    <w:tmpl w:val="FA261562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3FBD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1D4F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5A1A"/>
    <w:rsid w:val="0010461E"/>
    <w:rsid w:val="00106FAA"/>
    <w:rsid w:val="00113443"/>
    <w:rsid w:val="0011697B"/>
    <w:rsid w:val="001269A7"/>
    <w:rsid w:val="00131092"/>
    <w:rsid w:val="00140E6A"/>
    <w:rsid w:val="00146545"/>
    <w:rsid w:val="00146B75"/>
    <w:rsid w:val="0015266D"/>
    <w:rsid w:val="0015288A"/>
    <w:rsid w:val="00160F47"/>
    <w:rsid w:val="00171540"/>
    <w:rsid w:val="00177CA1"/>
    <w:rsid w:val="00183823"/>
    <w:rsid w:val="00183942"/>
    <w:rsid w:val="00197ACA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135A"/>
    <w:rsid w:val="002046A6"/>
    <w:rsid w:val="00204956"/>
    <w:rsid w:val="00213640"/>
    <w:rsid w:val="00221547"/>
    <w:rsid w:val="002216FC"/>
    <w:rsid w:val="00222533"/>
    <w:rsid w:val="00222F30"/>
    <w:rsid w:val="00224EE2"/>
    <w:rsid w:val="0022594F"/>
    <w:rsid w:val="00227EC7"/>
    <w:rsid w:val="00244AD1"/>
    <w:rsid w:val="002463BC"/>
    <w:rsid w:val="002465CE"/>
    <w:rsid w:val="0025734A"/>
    <w:rsid w:val="00263255"/>
    <w:rsid w:val="00276494"/>
    <w:rsid w:val="00277B0C"/>
    <w:rsid w:val="0028314F"/>
    <w:rsid w:val="002B1A2C"/>
    <w:rsid w:val="002B4941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D24"/>
    <w:rsid w:val="00351FE0"/>
    <w:rsid w:val="00352615"/>
    <w:rsid w:val="0035412B"/>
    <w:rsid w:val="003567A8"/>
    <w:rsid w:val="00362895"/>
    <w:rsid w:val="00370DBF"/>
    <w:rsid w:val="00374E47"/>
    <w:rsid w:val="00386093"/>
    <w:rsid w:val="003904A4"/>
    <w:rsid w:val="00391841"/>
    <w:rsid w:val="00391B6D"/>
    <w:rsid w:val="00394922"/>
    <w:rsid w:val="003A0E32"/>
    <w:rsid w:val="003A2B94"/>
    <w:rsid w:val="003B387D"/>
    <w:rsid w:val="003B7A6E"/>
    <w:rsid w:val="003C0D58"/>
    <w:rsid w:val="003D4FA3"/>
    <w:rsid w:val="003E0807"/>
    <w:rsid w:val="003E482B"/>
    <w:rsid w:val="003E51FB"/>
    <w:rsid w:val="003E6B39"/>
    <w:rsid w:val="003F07E1"/>
    <w:rsid w:val="004030BC"/>
    <w:rsid w:val="00403F7D"/>
    <w:rsid w:val="00406785"/>
    <w:rsid w:val="004079B4"/>
    <w:rsid w:val="004125D1"/>
    <w:rsid w:val="00417A56"/>
    <w:rsid w:val="00420957"/>
    <w:rsid w:val="00422A10"/>
    <w:rsid w:val="00430179"/>
    <w:rsid w:val="004409BF"/>
    <w:rsid w:val="004414B5"/>
    <w:rsid w:val="00444482"/>
    <w:rsid w:val="00444B42"/>
    <w:rsid w:val="00445E44"/>
    <w:rsid w:val="004509E2"/>
    <w:rsid w:val="004515EE"/>
    <w:rsid w:val="004529F0"/>
    <w:rsid w:val="0045542D"/>
    <w:rsid w:val="004600E1"/>
    <w:rsid w:val="00460A03"/>
    <w:rsid w:val="00472A11"/>
    <w:rsid w:val="00472AAD"/>
    <w:rsid w:val="00474E33"/>
    <w:rsid w:val="00476803"/>
    <w:rsid w:val="00480E91"/>
    <w:rsid w:val="00484E5E"/>
    <w:rsid w:val="00485BFD"/>
    <w:rsid w:val="004867A2"/>
    <w:rsid w:val="004873F2"/>
    <w:rsid w:val="00490D4C"/>
    <w:rsid w:val="00493A35"/>
    <w:rsid w:val="0049458B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3DAE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124E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6250"/>
    <w:rsid w:val="005B771D"/>
    <w:rsid w:val="005C5D16"/>
    <w:rsid w:val="005D3193"/>
    <w:rsid w:val="005D4A6E"/>
    <w:rsid w:val="005E543B"/>
    <w:rsid w:val="005E6979"/>
    <w:rsid w:val="005E75CB"/>
    <w:rsid w:val="006013C1"/>
    <w:rsid w:val="0060669E"/>
    <w:rsid w:val="00607E46"/>
    <w:rsid w:val="00610F2E"/>
    <w:rsid w:val="00611399"/>
    <w:rsid w:val="00624C4E"/>
    <w:rsid w:val="00625200"/>
    <w:rsid w:val="006334AB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39C7"/>
    <w:rsid w:val="00695B72"/>
    <w:rsid w:val="006B160A"/>
    <w:rsid w:val="006B4E6C"/>
    <w:rsid w:val="006B50B6"/>
    <w:rsid w:val="006D79EA"/>
    <w:rsid w:val="006E5D05"/>
    <w:rsid w:val="006F1279"/>
    <w:rsid w:val="00701053"/>
    <w:rsid w:val="00701507"/>
    <w:rsid w:val="00714021"/>
    <w:rsid w:val="00716A0F"/>
    <w:rsid w:val="00717D45"/>
    <w:rsid w:val="007208F7"/>
    <w:rsid w:val="007218AF"/>
    <w:rsid w:val="00721EB3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1D34"/>
    <w:rsid w:val="00826F21"/>
    <w:rsid w:val="00834CC8"/>
    <w:rsid w:val="00835E00"/>
    <w:rsid w:val="00837113"/>
    <w:rsid w:val="008414E4"/>
    <w:rsid w:val="00843E21"/>
    <w:rsid w:val="0084508E"/>
    <w:rsid w:val="00845183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6CDC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1079"/>
    <w:rsid w:val="00A53681"/>
    <w:rsid w:val="00A633D4"/>
    <w:rsid w:val="00A6461A"/>
    <w:rsid w:val="00A8273D"/>
    <w:rsid w:val="00A84504"/>
    <w:rsid w:val="00A8672F"/>
    <w:rsid w:val="00A93057"/>
    <w:rsid w:val="00A968B0"/>
    <w:rsid w:val="00AA5740"/>
    <w:rsid w:val="00AB2672"/>
    <w:rsid w:val="00AB2817"/>
    <w:rsid w:val="00AB43C4"/>
    <w:rsid w:val="00AC32E7"/>
    <w:rsid w:val="00AC3A9F"/>
    <w:rsid w:val="00AC6D2F"/>
    <w:rsid w:val="00AE2745"/>
    <w:rsid w:val="00AE2F64"/>
    <w:rsid w:val="00AF352B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320F"/>
    <w:rsid w:val="00B76A41"/>
    <w:rsid w:val="00B87D4C"/>
    <w:rsid w:val="00B93646"/>
    <w:rsid w:val="00BA0B38"/>
    <w:rsid w:val="00BA1DBB"/>
    <w:rsid w:val="00BA4510"/>
    <w:rsid w:val="00BA529A"/>
    <w:rsid w:val="00BB612A"/>
    <w:rsid w:val="00BB6430"/>
    <w:rsid w:val="00BD499F"/>
    <w:rsid w:val="00BD56DE"/>
    <w:rsid w:val="00BF2406"/>
    <w:rsid w:val="00C06E43"/>
    <w:rsid w:val="00C16315"/>
    <w:rsid w:val="00C17E6E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76EC"/>
    <w:rsid w:val="00C850A0"/>
    <w:rsid w:val="00C85A86"/>
    <w:rsid w:val="00C978F0"/>
    <w:rsid w:val="00CA2865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1DFC"/>
    <w:rsid w:val="00D048F7"/>
    <w:rsid w:val="00D0517E"/>
    <w:rsid w:val="00D07C55"/>
    <w:rsid w:val="00D140FC"/>
    <w:rsid w:val="00D21D8C"/>
    <w:rsid w:val="00D2244F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62A4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29EE"/>
    <w:rsid w:val="00E2682F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7061"/>
    <w:rsid w:val="00ED1D89"/>
    <w:rsid w:val="00ED66BC"/>
    <w:rsid w:val="00EF233A"/>
    <w:rsid w:val="00EF303E"/>
    <w:rsid w:val="00EF3A40"/>
    <w:rsid w:val="00EF7F78"/>
    <w:rsid w:val="00F01B08"/>
    <w:rsid w:val="00F01C4D"/>
    <w:rsid w:val="00F03039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B76FD"/>
    <w:rsid w:val="00FC60A2"/>
    <w:rsid w:val="00FD0E0D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4AD48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409BF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74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74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74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8585505EC0C64DA1A0A262F4AE61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C0EF1-CA84-4C4F-BF9F-E1817E0C156A}"/>
      </w:docPartPr>
      <w:docPartBody>
        <w:p w:rsidR="00B86759" w:rsidRDefault="005B05DC" w:rsidP="005B05DC">
          <w:pPr>
            <w:pStyle w:val="8585505EC0C64DA1A0A262F4AE61CE0E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348B85E32B814F979CAA4E6FDCCE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B55B-C8CE-4019-A0AF-3AB350937E4A}"/>
      </w:docPartPr>
      <w:docPartBody>
        <w:p w:rsidR="006375CE" w:rsidRDefault="00941F8A" w:rsidP="00941F8A">
          <w:pPr>
            <w:pStyle w:val="348B85E32B814F979CAA4E6FDCCEAF8E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B05DC"/>
    <w:rsid w:val="006375CE"/>
    <w:rsid w:val="006744C2"/>
    <w:rsid w:val="00941F8A"/>
    <w:rsid w:val="00A84981"/>
    <w:rsid w:val="00B86759"/>
    <w:rsid w:val="00BF6B48"/>
    <w:rsid w:val="00D13BD1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F8A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0FFF125848BA49ECBFEBC6F549DAC97F">
    <w:name w:val="0FFF125848BA49ECBFEBC6F549DAC97F"/>
    <w:rsid w:val="00D13BD1"/>
  </w:style>
  <w:style w:type="paragraph" w:customStyle="1" w:styleId="D7B3E93ED9A04E7292AAACD4A87B5B43">
    <w:name w:val="D7B3E93ED9A04E7292AAACD4A87B5B43"/>
    <w:rsid w:val="00D13BD1"/>
  </w:style>
  <w:style w:type="paragraph" w:customStyle="1" w:styleId="0166477316164C80B70DE644FA902AD4">
    <w:name w:val="0166477316164C80B70DE644FA902AD4"/>
    <w:rsid w:val="00D13BD1"/>
  </w:style>
  <w:style w:type="paragraph" w:customStyle="1" w:styleId="4EFC5233A4BE45E7BDD6DE01034BE399">
    <w:name w:val="4EFC5233A4BE45E7BDD6DE01034BE399"/>
    <w:rsid w:val="00D13BD1"/>
  </w:style>
  <w:style w:type="paragraph" w:customStyle="1" w:styleId="8585505EC0C64DA1A0A262F4AE61CE0E">
    <w:name w:val="8585505EC0C64DA1A0A262F4AE61CE0E"/>
    <w:rsid w:val="005B05DC"/>
  </w:style>
  <w:style w:type="paragraph" w:customStyle="1" w:styleId="348B85E32B814F979CAA4E6FDCCEAF8E">
    <w:name w:val="348B85E32B814F979CAA4E6FDCCEAF8E"/>
    <w:rsid w:val="00941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7AFB-F026-4086-9D55-9116B038B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87F1B-248B-40B0-AFE5-36F5DCD7A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991ED-38F9-437E-883D-65CB33B650EE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AB63DF-A98A-46D6-BB54-406DAC4D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D2EA089C.dotm</Template>
  <TotalTime>0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2019-12-16T00:48:00Z</dcterms:created>
  <dcterms:modified xsi:type="dcterms:W3CDTF">2020-01-15T03:23:00Z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