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9C7879E" w14:textId="77777777" w:rsidR="00BD499F" w:rsidRPr="004C23F4" w:rsidRDefault="00373B52" w:rsidP="00B40C60">
          <w:pPr>
            <w:pStyle w:val="Heading1"/>
            <w:jc w:val="center"/>
            <w:rPr>
              <w:rFonts w:ascii="Arial" w:hAnsi="Arial" w:cs="Arial"/>
            </w:rPr>
          </w:pPr>
          <w:r w:rsidRPr="00373B52">
            <w:rPr>
              <w:rFonts w:ascii="Arial" w:hAnsi="Arial" w:cs="Arial"/>
            </w:rPr>
            <w:t>Halothane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3"/>
        <w:gridCol w:w="5043"/>
      </w:tblGrid>
      <w:tr w:rsidR="00F43AD5" w:rsidRPr="004C23F4" w14:paraId="70B5ADB0" w14:textId="77777777" w:rsidTr="00B76A41">
        <w:trPr>
          <w:cantSplit/>
          <w:tblHeader/>
        </w:trPr>
        <w:tc>
          <w:tcPr>
            <w:tcW w:w="4077" w:type="dxa"/>
          </w:tcPr>
          <w:p w14:paraId="16AA72C5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2401B627" w14:textId="77777777" w:rsidR="00F43AD5" w:rsidRPr="00717D45" w:rsidRDefault="00373B52" w:rsidP="00B76A41">
            <w:pPr>
              <w:pStyle w:val="Tablefont"/>
            </w:pPr>
            <w:r w:rsidRPr="00373B52">
              <w:t>151-67-7</w:t>
            </w:r>
          </w:p>
        </w:tc>
      </w:tr>
      <w:tr w:rsidR="00F43AD5" w:rsidRPr="004C23F4" w14:paraId="375A5EC6" w14:textId="77777777" w:rsidTr="00B76A41">
        <w:trPr>
          <w:cantSplit/>
        </w:trPr>
        <w:tc>
          <w:tcPr>
            <w:tcW w:w="4077" w:type="dxa"/>
          </w:tcPr>
          <w:p w14:paraId="04D529A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00AAE686" w14:textId="77777777" w:rsidR="00F43AD5" w:rsidRPr="00717D45" w:rsidRDefault="00A13190" w:rsidP="00B76A41">
            <w:pPr>
              <w:pStyle w:val="Tablefont"/>
            </w:pPr>
            <w:r>
              <w:t xml:space="preserve">2-Bromo-2-chloro-1,1,1-trifluoroethane, </w:t>
            </w:r>
            <w:r w:rsidR="00896D72">
              <w:br/>
            </w:r>
            <w:proofErr w:type="spellStart"/>
            <w:r>
              <w:t>Bromochloro-trifluoroethane</w:t>
            </w:r>
            <w:proofErr w:type="spellEnd"/>
            <w:r>
              <w:t xml:space="preserve">, </w:t>
            </w:r>
            <w:proofErr w:type="spellStart"/>
            <w:r>
              <w:t>Fluoroethane</w:t>
            </w:r>
            <w:proofErr w:type="spellEnd"/>
            <w:r>
              <w:t xml:space="preserve">, </w:t>
            </w:r>
            <w:r w:rsidR="00896D72">
              <w:br/>
            </w:r>
            <w:r w:rsidRPr="00A13190">
              <w:t>1,1,1-Trifluoro-2-chloro-2-bromoethane</w:t>
            </w:r>
          </w:p>
        </w:tc>
      </w:tr>
      <w:tr w:rsidR="00F43AD5" w:rsidRPr="004C23F4" w14:paraId="5E37FDE9" w14:textId="77777777" w:rsidTr="00B76A41">
        <w:trPr>
          <w:cantSplit/>
        </w:trPr>
        <w:tc>
          <w:tcPr>
            <w:tcW w:w="4077" w:type="dxa"/>
          </w:tcPr>
          <w:p w14:paraId="20F29F56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16D7572C" w14:textId="77777777" w:rsidR="00F43AD5" w:rsidRPr="00717D45" w:rsidRDefault="00A13190" w:rsidP="00B76A41">
            <w:pPr>
              <w:pStyle w:val="Tablefont"/>
            </w:pPr>
            <w:r>
              <w:t>C</w:t>
            </w:r>
            <w:r w:rsidRPr="00A13190">
              <w:rPr>
                <w:vertAlign w:val="subscript"/>
              </w:rPr>
              <w:t>2</w:t>
            </w:r>
            <w:r>
              <w:t>HBrClF</w:t>
            </w:r>
            <w:r w:rsidRPr="00A13190">
              <w:rPr>
                <w:vertAlign w:val="subscript"/>
              </w:rPr>
              <w:t>3</w:t>
            </w:r>
          </w:p>
        </w:tc>
      </w:tr>
      <w:tr w:rsidR="00F43AD5" w:rsidRPr="004C23F4" w14:paraId="5CE0FB5F" w14:textId="77777777" w:rsidTr="00B76A41">
        <w:trPr>
          <w:cantSplit/>
        </w:trPr>
        <w:tc>
          <w:tcPr>
            <w:tcW w:w="4077" w:type="dxa"/>
          </w:tcPr>
          <w:p w14:paraId="2514C610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28FF154D" w14:textId="77777777" w:rsidR="00F43AD5" w:rsidRPr="00B40C60" w:rsidRDefault="00A13190" w:rsidP="00B76A41">
            <w:pPr>
              <w:pStyle w:val="Tablerowheading"/>
              <w:rPr>
                <w:b w:val="0"/>
              </w:rPr>
            </w:pPr>
            <w:r w:rsidRPr="00A13190">
              <w:rPr>
                <w:b w:val="0"/>
              </w:rPr>
              <w:t>—</w:t>
            </w:r>
          </w:p>
        </w:tc>
      </w:tr>
    </w:tbl>
    <w:p w14:paraId="3E184188" w14:textId="26E25404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53754D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3BCEEC04" w14:textId="77777777" w:rsidTr="005F7DA8">
        <w:trPr>
          <w:cantSplit/>
          <w:tblHeader/>
        </w:trPr>
        <w:tc>
          <w:tcPr>
            <w:tcW w:w="4005" w:type="dxa"/>
            <w:vAlign w:val="center"/>
          </w:tcPr>
          <w:p w14:paraId="4396C5F6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0A355A1E" w14:textId="3535BE6D" w:rsidR="002C7AFE" w:rsidRPr="00C91970" w:rsidRDefault="00C91970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</w:t>
            </w:r>
            <w:r w:rsidR="0053754D">
              <w:rPr>
                <w:b/>
              </w:rPr>
              <w:t>5</w:t>
            </w:r>
            <w:r>
              <w:rPr>
                <w:b/>
              </w:rPr>
              <w:t xml:space="preserve"> ppm (</w:t>
            </w:r>
            <w:r w:rsidR="0053754D">
              <w:rPr>
                <w:b/>
              </w:rPr>
              <w:t>4.1</w:t>
            </w:r>
            <w:r>
              <w:rPr>
                <w:b/>
              </w:rPr>
              <w:t xml:space="preserve">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2F2AA629" w14:textId="77777777" w:rsidTr="005F7DA8">
        <w:trPr>
          <w:cantSplit/>
        </w:trPr>
        <w:tc>
          <w:tcPr>
            <w:tcW w:w="4005" w:type="dxa"/>
            <w:vAlign w:val="center"/>
          </w:tcPr>
          <w:p w14:paraId="0C413B5C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3D8EED19" w14:textId="77777777" w:rsidR="002C7AFE" w:rsidRPr="00EB3D1B" w:rsidRDefault="00C91970" w:rsidP="00017C82">
            <w:pPr>
              <w:pStyle w:val="Tablefont"/>
              <w:rPr>
                <w:b/>
              </w:rPr>
            </w:pPr>
            <w:r w:rsidRPr="00A13190">
              <w:t>—</w:t>
            </w:r>
          </w:p>
        </w:tc>
      </w:tr>
      <w:tr w:rsidR="002C7AFE" w:rsidRPr="004C23F4" w14:paraId="4CB9E560" w14:textId="77777777" w:rsidTr="005F7DA8">
        <w:trPr>
          <w:cantSplit/>
        </w:trPr>
        <w:tc>
          <w:tcPr>
            <w:tcW w:w="4005" w:type="dxa"/>
            <w:vAlign w:val="center"/>
          </w:tcPr>
          <w:p w14:paraId="123530B7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1D9A8A57" w14:textId="77777777" w:rsidR="002C7AFE" w:rsidRPr="00EB3D1B" w:rsidRDefault="00C91970" w:rsidP="00017C82">
            <w:pPr>
              <w:pStyle w:val="Tablefont"/>
              <w:rPr>
                <w:b/>
              </w:rPr>
            </w:pPr>
            <w:r w:rsidRPr="00A13190">
              <w:t>—</w:t>
            </w:r>
          </w:p>
        </w:tc>
      </w:tr>
      <w:tr w:rsidR="002C7AFE" w:rsidRPr="004C23F4" w14:paraId="7B70500A" w14:textId="77777777" w:rsidTr="005F7DA8">
        <w:trPr>
          <w:cantSplit/>
        </w:trPr>
        <w:tc>
          <w:tcPr>
            <w:tcW w:w="4005" w:type="dxa"/>
          </w:tcPr>
          <w:p w14:paraId="12A16F71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563CF42D" w14:textId="77777777" w:rsidR="002C7AFE" w:rsidRPr="00EB3D1B" w:rsidRDefault="00C91970" w:rsidP="008A36CF">
            <w:pPr>
              <w:pStyle w:val="Tablefont"/>
              <w:rPr>
                <w:b/>
              </w:rPr>
            </w:pPr>
            <w:r w:rsidRPr="00A13190">
              <w:t>—</w:t>
            </w:r>
          </w:p>
        </w:tc>
      </w:tr>
      <w:tr w:rsidR="002C7AFE" w:rsidRPr="004C23F4" w14:paraId="33F5CE24" w14:textId="77777777" w:rsidTr="005F7DA8">
        <w:trPr>
          <w:cantSplit/>
        </w:trPr>
        <w:tc>
          <w:tcPr>
            <w:tcW w:w="4005" w:type="dxa"/>
            <w:vAlign w:val="center"/>
          </w:tcPr>
          <w:p w14:paraId="1EBB8CD7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1C16DBAA" w14:textId="77777777" w:rsidR="002C7AFE" w:rsidRPr="00EB3D1B" w:rsidRDefault="00A13190" w:rsidP="00017C82">
            <w:pPr>
              <w:pStyle w:val="Tablefont"/>
              <w:rPr>
                <w:b/>
              </w:rPr>
            </w:pPr>
            <w:r w:rsidRPr="00A13190">
              <w:t>—</w:t>
            </w:r>
          </w:p>
        </w:tc>
      </w:tr>
      <w:tr w:rsidR="005F7DA8" w:rsidRPr="004C23F4" w14:paraId="1E3E7FDB" w14:textId="77777777" w:rsidTr="00C806AA">
        <w:trPr>
          <w:cantSplit/>
        </w:trPr>
        <w:tc>
          <w:tcPr>
            <w:tcW w:w="9026" w:type="dxa"/>
            <w:gridSpan w:val="2"/>
            <w:vAlign w:val="center"/>
          </w:tcPr>
          <w:p w14:paraId="77F21C8F" w14:textId="77777777" w:rsidR="005F7DA8" w:rsidRPr="00EB3D1B" w:rsidRDefault="005F7DA8" w:rsidP="00017C82">
            <w:pPr>
              <w:pStyle w:val="Tablefont"/>
              <w:rPr>
                <w:b/>
              </w:rPr>
            </w:pPr>
            <w:r w:rsidRPr="00445ED9">
              <w:rPr>
                <w:b/>
              </w:rPr>
              <w:t>Sampling and analysis:</w:t>
            </w:r>
            <w:r>
              <w:rPr>
                <w:rStyle w:val="WESstatus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B791F35946C64D69A9B619B54B0FD2D9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445ED9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5EBBA93B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2E4A057" w14:textId="517E5DBA" w:rsidR="00D53887" w:rsidRDefault="00DF1172" w:rsidP="000C139A">
      <w:pPr>
        <w:rPr>
          <w:rFonts w:cs="Arial"/>
        </w:rPr>
      </w:pPr>
      <w:r>
        <w:rPr>
          <w:rFonts w:cs="Arial"/>
        </w:rPr>
        <w:t xml:space="preserve">A </w:t>
      </w:r>
      <w:r w:rsidR="00C91970">
        <w:rPr>
          <w:rFonts w:cs="Arial"/>
        </w:rPr>
        <w:t>TWA of 0.</w:t>
      </w:r>
      <w:r w:rsidR="0053754D">
        <w:rPr>
          <w:rFonts w:cs="Arial"/>
        </w:rPr>
        <w:t>5</w:t>
      </w:r>
      <w:r w:rsidR="00C91970">
        <w:rPr>
          <w:rFonts w:cs="Arial"/>
        </w:rPr>
        <w:t xml:space="preserve"> ppm (</w:t>
      </w:r>
      <w:r w:rsidR="0053754D">
        <w:rPr>
          <w:rFonts w:cs="Arial"/>
        </w:rPr>
        <w:t>4.1</w:t>
      </w:r>
      <w:r w:rsidR="00C91970">
        <w:rPr>
          <w:rFonts w:cs="Arial"/>
        </w:rPr>
        <w:t xml:space="preserve"> mg/m</w:t>
      </w:r>
      <w:r w:rsidR="00C91970">
        <w:rPr>
          <w:rFonts w:cs="Arial"/>
          <w:vertAlign w:val="superscript"/>
        </w:rPr>
        <w:t>3</w:t>
      </w:r>
      <w:r w:rsidR="00C91970">
        <w:rPr>
          <w:rFonts w:cs="Arial"/>
        </w:rPr>
        <w:t>) is recommended to protect for reproductive effects and effects on the liver and</w:t>
      </w:r>
      <w:r w:rsidR="00896D72">
        <w:rPr>
          <w:rFonts w:cs="Arial"/>
        </w:rPr>
        <w:t xml:space="preserve"> central nervous system</w:t>
      </w:r>
      <w:r w:rsidR="00C91970">
        <w:rPr>
          <w:rFonts w:cs="Arial"/>
        </w:rPr>
        <w:t xml:space="preserve"> </w:t>
      </w:r>
      <w:r w:rsidR="00896D72">
        <w:rPr>
          <w:rFonts w:cs="Arial"/>
        </w:rPr>
        <w:t>(</w:t>
      </w:r>
      <w:r w:rsidR="00C91970">
        <w:rPr>
          <w:rFonts w:cs="Arial"/>
        </w:rPr>
        <w:t>CNS</w:t>
      </w:r>
      <w:r w:rsidR="00896D72">
        <w:rPr>
          <w:rFonts w:cs="Arial"/>
        </w:rPr>
        <w:t>)</w:t>
      </w:r>
      <w:r w:rsidR="00C91970">
        <w:rPr>
          <w:rFonts w:cs="Arial"/>
        </w:rPr>
        <w:t xml:space="preserve"> in exposed workers</w:t>
      </w:r>
      <w:r w:rsidR="005F7DA8">
        <w:rPr>
          <w:rFonts w:cs="Arial"/>
        </w:rPr>
        <w:t>.</w:t>
      </w:r>
    </w:p>
    <w:p w14:paraId="51C9A219" w14:textId="6A195F98" w:rsidR="003D38A9" w:rsidRPr="00C91970" w:rsidRDefault="009505AA" w:rsidP="000C139A">
      <w:pPr>
        <w:rPr>
          <w:rFonts w:cs="Arial"/>
        </w:rPr>
      </w:pPr>
      <w:r>
        <w:t>It is recommended a</w:t>
      </w:r>
      <w:r w:rsidR="003D38A9">
        <w:t xml:space="preserve">n investigation of additional data sources </w:t>
      </w:r>
      <w:r>
        <w:t>be</w:t>
      </w:r>
      <w:r w:rsidR="003D38A9">
        <w:t xml:space="preserve"> undertaken </w:t>
      </w:r>
      <w:r w:rsidR="00B73F47">
        <w:t>at the next scheduled review</w:t>
      </w:r>
      <w:r w:rsidR="003D38A9">
        <w:t>.</w:t>
      </w:r>
    </w:p>
    <w:p w14:paraId="3257BF3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B4E8F05" w14:textId="77777777" w:rsidR="00896D72" w:rsidRPr="004B3410" w:rsidRDefault="008C40AC" w:rsidP="00A613F6">
      <w:r w:rsidRPr="004B3410">
        <w:t>Halothane has been used as a clinical anaesthetic for over 40 years.</w:t>
      </w:r>
      <w:r w:rsidR="00EA39DE" w:rsidRPr="004B3410">
        <w:t xml:space="preserve"> </w:t>
      </w:r>
    </w:p>
    <w:p w14:paraId="5EF11CE3" w14:textId="03D3335F" w:rsidR="00D21277" w:rsidRPr="004B3410" w:rsidRDefault="00445ED9" w:rsidP="00216034">
      <w:r w:rsidRPr="004B3410">
        <w:t>Critical effects</w:t>
      </w:r>
      <w:r w:rsidR="009873AF" w:rsidRPr="004B3410">
        <w:t xml:space="preserve"> of exposure</w:t>
      </w:r>
      <w:r w:rsidR="00EA39DE" w:rsidRPr="004B3410">
        <w:t xml:space="preserve"> include adverse reproductive</w:t>
      </w:r>
      <w:r w:rsidR="00896D72" w:rsidRPr="004B3410">
        <w:t xml:space="preserve"> effects</w:t>
      </w:r>
      <w:r w:rsidR="00EA39DE" w:rsidRPr="004B3410">
        <w:t>, liver toxicity and neurotoxicity.</w:t>
      </w:r>
      <w:r w:rsidR="00A613F6" w:rsidRPr="004B3410">
        <w:t xml:space="preserve"> Limited dose-response data exists in humans. In volunteers, exposure </w:t>
      </w:r>
      <w:r w:rsidR="00896D72" w:rsidRPr="004B3410">
        <w:t>at</w:t>
      </w:r>
      <w:r w:rsidR="00A613F6" w:rsidRPr="004B3410">
        <w:t xml:space="preserve"> 1,000 ppm for </w:t>
      </w:r>
      <w:r w:rsidR="00E931F3">
        <w:t>30 minutes</w:t>
      </w:r>
      <w:r w:rsidR="00A613F6" w:rsidRPr="004B3410">
        <w:t xml:space="preserve"> did not influence performance</w:t>
      </w:r>
      <w:r w:rsidR="00896D72" w:rsidRPr="004B3410">
        <w:t xml:space="preserve">. </w:t>
      </w:r>
    </w:p>
    <w:p w14:paraId="0D60AF4C" w14:textId="5825EB44" w:rsidR="00D21277" w:rsidRPr="004B3410" w:rsidRDefault="00216034" w:rsidP="00216034">
      <w:r w:rsidRPr="004B3410">
        <w:t xml:space="preserve">A national survey of operating room personnel in the </w:t>
      </w:r>
      <w:r w:rsidR="00E931F3">
        <w:t>United States of America</w:t>
      </w:r>
      <w:r w:rsidRPr="004B3410">
        <w:t xml:space="preserve"> reported</w:t>
      </w:r>
      <w:r w:rsidR="00C603F7" w:rsidRPr="004B3410">
        <w:t xml:space="preserve"> </w:t>
      </w:r>
      <w:r w:rsidRPr="004B3410">
        <w:t>increased incidence of spontaneous abortions among female employees and an increased risk of congenital abnormalities in their offspring</w:t>
      </w:r>
      <w:r w:rsidR="00F15243" w:rsidRPr="004B3410">
        <w:t>. I</w:t>
      </w:r>
      <w:r w:rsidRPr="004B3410">
        <w:t xml:space="preserve">ncreased incidence of spontaneous abortions in </w:t>
      </w:r>
      <w:r w:rsidR="00F15243" w:rsidRPr="004B3410">
        <w:t xml:space="preserve">the </w:t>
      </w:r>
      <w:r w:rsidRPr="004B3410">
        <w:t xml:space="preserve">wives of male </w:t>
      </w:r>
      <w:r w:rsidR="00172F27" w:rsidRPr="004B3410">
        <w:t>anaesthetists</w:t>
      </w:r>
      <w:r w:rsidR="00F15243" w:rsidRPr="004B3410">
        <w:t xml:space="preserve"> and increased frequency of congenital abnormality in their children were also reported</w:t>
      </w:r>
      <w:r w:rsidR="00D21277" w:rsidRPr="004B3410">
        <w:t xml:space="preserve"> along with an </w:t>
      </w:r>
      <w:r w:rsidRPr="004B3410">
        <w:t>increased incidence of hepatic disease</w:t>
      </w:r>
      <w:r w:rsidR="00AE6AF3" w:rsidRPr="004B3410">
        <w:t xml:space="preserve">. </w:t>
      </w:r>
      <w:r w:rsidR="00D21277" w:rsidRPr="004B3410">
        <w:t>The average concentration in o</w:t>
      </w:r>
      <w:r w:rsidR="00172F27" w:rsidRPr="004B3410">
        <w:t>perating</w:t>
      </w:r>
      <w:r w:rsidR="00AE6AF3" w:rsidRPr="004B3410">
        <w:t xml:space="preserve"> room</w:t>
      </w:r>
      <w:r w:rsidR="00D21277" w:rsidRPr="004B3410">
        <w:t>s</w:t>
      </w:r>
      <w:r w:rsidR="00AE6AF3" w:rsidRPr="004B3410">
        <w:t xml:space="preserve"> ranged </w:t>
      </w:r>
      <w:r w:rsidR="00ED6C0D" w:rsidRPr="004B3410">
        <w:t xml:space="preserve">between </w:t>
      </w:r>
      <w:r w:rsidR="00AE6AF3" w:rsidRPr="004B3410">
        <w:t>1</w:t>
      </w:r>
      <w:r w:rsidR="00ED6C0D" w:rsidRPr="004B3410">
        <w:t xml:space="preserve"> </w:t>
      </w:r>
      <w:r w:rsidR="00E931F3">
        <w:t>and</w:t>
      </w:r>
      <w:r w:rsidR="00ED6C0D" w:rsidRPr="004B3410">
        <w:t xml:space="preserve"> </w:t>
      </w:r>
      <w:r w:rsidR="00AE6AF3" w:rsidRPr="004B3410">
        <w:t>4.6 ppm</w:t>
      </w:r>
      <w:r w:rsidR="00ED6C0D" w:rsidRPr="004B3410">
        <w:t xml:space="preserve"> (ACGIH, 2018)</w:t>
      </w:r>
      <w:r w:rsidRPr="004B3410">
        <w:t xml:space="preserve">. </w:t>
      </w:r>
    </w:p>
    <w:p w14:paraId="65FF4FEA" w14:textId="460117A5" w:rsidR="00A613F6" w:rsidRPr="004B3410" w:rsidRDefault="00A613F6" w:rsidP="00216034">
      <w:r w:rsidRPr="004B3410">
        <w:t xml:space="preserve">Rats exposed </w:t>
      </w:r>
      <w:r w:rsidR="00896D72" w:rsidRPr="004B3410">
        <w:t>at</w:t>
      </w:r>
      <w:r w:rsidRPr="004B3410">
        <w:t xml:space="preserve"> 10</w:t>
      </w:r>
      <w:r w:rsidR="009873AF" w:rsidRPr="004B3410">
        <w:t> </w:t>
      </w:r>
      <w:r w:rsidRPr="004B3410">
        <w:t>ppm for 10 week</w:t>
      </w:r>
      <w:r w:rsidR="00172F27" w:rsidRPr="004B3410">
        <w:t>s</w:t>
      </w:r>
      <w:r w:rsidRPr="004B3410">
        <w:t xml:space="preserve"> developed ultrastructural changes in the liver and kidney</w:t>
      </w:r>
      <w:r w:rsidR="00172F27" w:rsidRPr="004B3410">
        <w:t xml:space="preserve">. Pups of </w:t>
      </w:r>
      <w:r w:rsidR="00E931F3">
        <w:t>eight</w:t>
      </w:r>
      <w:r w:rsidR="00172F27" w:rsidRPr="004B3410">
        <w:t xml:space="preserve"> rats exposed daily during gestation at 10 ppm showed cellular damage in liver and diminished learning ability</w:t>
      </w:r>
      <w:r w:rsidRPr="004B3410">
        <w:t xml:space="preserve"> (ACGIH, 2018). Reproduction and developmental studies </w:t>
      </w:r>
      <w:r w:rsidR="00896D72" w:rsidRPr="004B3410">
        <w:t>in</w:t>
      </w:r>
      <w:r w:rsidRPr="004B3410">
        <w:t xml:space="preserve"> rats and mice identified a </w:t>
      </w:r>
      <w:r w:rsidR="00DF1D59" w:rsidRPr="004B3410">
        <w:t xml:space="preserve">LOAEC </w:t>
      </w:r>
      <w:r w:rsidRPr="004B3410">
        <w:t>of 10</w:t>
      </w:r>
      <w:r w:rsidR="00D01645" w:rsidRPr="004B3410">
        <w:t> </w:t>
      </w:r>
      <w:r w:rsidRPr="004B3410">
        <w:t>ppm for liver eff</w:t>
      </w:r>
      <w:r w:rsidR="005F7DA8" w:rsidRPr="004B3410">
        <w:t>ects in neonates (HCOTN, 2002).</w:t>
      </w:r>
      <w:r w:rsidR="009B5F21" w:rsidRPr="004B3410">
        <w:t xml:space="preserve"> </w:t>
      </w:r>
      <w:r w:rsidR="00AC6940" w:rsidRPr="004B3410">
        <w:t>I</w:t>
      </w:r>
      <w:r w:rsidR="009B5F21" w:rsidRPr="004B3410">
        <w:t xml:space="preserve">nconsistencies </w:t>
      </w:r>
      <w:r w:rsidR="00AC6940" w:rsidRPr="004B3410">
        <w:t xml:space="preserve">were noted </w:t>
      </w:r>
      <w:r w:rsidR="009B5F21" w:rsidRPr="004B3410">
        <w:t xml:space="preserve">in </w:t>
      </w:r>
      <w:r w:rsidR="00AC6940" w:rsidRPr="004B3410">
        <w:t xml:space="preserve">the recommended occupational exposure limits by </w:t>
      </w:r>
      <w:r w:rsidR="00E92EAF" w:rsidRPr="004B3410">
        <w:t xml:space="preserve">primary sources. </w:t>
      </w:r>
    </w:p>
    <w:p w14:paraId="4F0505A1" w14:textId="27E9F6AB" w:rsidR="0053754D" w:rsidRPr="004B3410" w:rsidRDefault="009B5F21" w:rsidP="00216034">
      <w:r w:rsidRPr="004B3410">
        <w:lastRenderedPageBreak/>
        <w:t xml:space="preserve">The current </w:t>
      </w:r>
      <w:r w:rsidR="003D38A9" w:rsidRPr="004B3410">
        <w:t>TWA of 0.5 ppm (4.1 mg/m</w:t>
      </w:r>
      <w:r w:rsidR="003D38A9" w:rsidRPr="004B3410">
        <w:rPr>
          <w:vertAlign w:val="superscript"/>
        </w:rPr>
        <w:t>3</w:t>
      </w:r>
      <w:r w:rsidR="003D38A9" w:rsidRPr="004B3410">
        <w:t xml:space="preserve">) is recommended to be retained in the interim. Noting there are inconsistent TWA </w:t>
      </w:r>
      <w:r w:rsidR="00E931F3">
        <w:t>recommendations</w:t>
      </w:r>
      <w:r w:rsidR="003D38A9" w:rsidRPr="004B3410">
        <w:t xml:space="preserve"> by primary sources and decisions about the critical effects, it is recommended that an investigation of additional data sources is undertaken </w:t>
      </w:r>
      <w:r w:rsidR="00B73F47" w:rsidRPr="004B3410">
        <w:t>at the next scheduled review</w:t>
      </w:r>
      <w:r w:rsidR="003D38A9" w:rsidRPr="004B3410">
        <w:t>.</w:t>
      </w:r>
    </w:p>
    <w:p w14:paraId="1CF0F5CF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6312B70D" w14:textId="77777777" w:rsidR="00373B52" w:rsidRPr="004B3410" w:rsidRDefault="00373B52" w:rsidP="00373B52">
      <w:pPr>
        <w:rPr>
          <w:rFonts w:cs="Arial"/>
        </w:rPr>
      </w:pPr>
      <w:r w:rsidRPr="004B3410">
        <w:rPr>
          <w:rFonts w:cs="Arial"/>
        </w:rPr>
        <w:t>Not classified as a carcinogen according to the Globally Harmonized System of Classification and Labelling o</w:t>
      </w:r>
      <w:r w:rsidR="005F7DA8" w:rsidRPr="004B3410">
        <w:rPr>
          <w:rFonts w:cs="Arial"/>
        </w:rPr>
        <w:t>f</w:t>
      </w:r>
      <w:r w:rsidRPr="004B3410">
        <w:rPr>
          <w:rFonts w:cs="Arial"/>
        </w:rPr>
        <w:t xml:space="preserve"> Chemicals (GHS). </w:t>
      </w:r>
    </w:p>
    <w:p w14:paraId="6005580B" w14:textId="77777777" w:rsidR="00373B52" w:rsidRPr="004B3410" w:rsidRDefault="00373B52" w:rsidP="00373B52">
      <w:pPr>
        <w:rPr>
          <w:rFonts w:cs="Arial"/>
        </w:rPr>
      </w:pPr>
      <w:r w:rsidRPr="004B3410">
        <w:rPr>
          <w:rFonts w:cs="Arial"/>
        </w:rPr>
        <w:t xml:space="preserve">Not classified as a skin </w:t>
      </w:r>
      <w:r w:rsidR="005F7DA8" w:rsidRPr="004B3410">
        <w:rPr>
          <w:rFonts w:cs="Arial"/>
        </w:rPr>
        <w:t xml:space="preserve">sensitiser </w:t>
      </w:r>
      <w:r w:rsidRPr="004B3410">
        <w:rPr>
          <w:rFonts w:cs="Arial"/>
        </w:rPr>
        <w:t>or respiratory sensitiser according to the GHS.</w:t>
      </w:r>
    </w:p>
    <w:p w14:paraId="480F9488" w14:textId="183F143D" w:rsidR="00373B52" w:rsidRPr="004B3410" w:rsidRDefault="005F7DA8" w:rsidP="00373B52">
      <w:pPr>
        <w:rPr>
          <w:rFonts w:cs="Arial"/>
        </w:rPr>
      </w:pPr>
      <w:r w:rsidRPr="004B3410">
        <w:rPr>
          <w:rFonts w:cs="Arial"/>
        </w:rPr>
        <w:t xml:space="preserve">There </w:t>
      </w:r>
      <w:r w:rsidR="007663EA" w:rsidRPr="004B3410">
        <w:rPr>
          <w:rFonts w:cs="Arial"/>
        </w:rPr>
        <w:t xml:space="preserve">are </w:t>
      </w:r>
      <w:r w:rsidRPr="004B3410">
        <w:rPr>
          <w:rFonts w:cs="Arial"/>
        </w:rPr>
        <w:t>i</w:t>
      </w:r>
      <w:r w:rsidR="00373B52" w:rsidRPr="004B3410">
        <w:rPr>
          <w:rFonts w:cs="Arial"/>
        </w:rPr>
        <w:t xml:space="preserve">nsufficient </w:t>
      </w:r>
      <w:r w:rsidR="00445ED9" w:rsidRPr="004B3410">
        <w:rPr>
          <w:rFonts w:cs="Arial"/>
        </w:rPr>
        <w:t>data</w:t>
      </w:r>
      <w:r w:rsidR="00373B52" w:rsidRPr="004B3410">
        <w:rPr>
          <w:rFonts w:cs="Arial"/>
        </w:rPr>
        <w:t xml:space="preserve"> to recommend a skin notation.</w:t>
      </w:r>
    </w:p>
    <w:p w14:paraId="18C20CE3" w14:textId="77777777" w:rsidR="0025734A" w:rsidRPr="004C23F4" w:rsidRDefault="0025734A">
      <w:pPr>
        <w:rPr>
          <w:rFonts w:cs="Arial"/>
        </w:rPr>
      </w:pPr>
    </w:p>
    <w:p w14:paraId="67750E05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10A7C07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E8E74BD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41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20"/>
        <w:gridCol w:w="60"/>
      </w:tblGrid>
      <w:tr w:rsidR="00C978F0" w:rsidRPr="00DA352E" w14:paraId="34ED174D" w14:textId="77777777" w:rsidTr="00DF1172">
        <w:trPr>
          <w:trHeight w:val="393"/>
          <w:tblHeader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0A21274B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3437E94" w14:textId="77777777" w:rsidTr="00DF1172">
        <w:trPr>
          <w:gridAfter w:val="1"/>
          <w:wAfter w:w="33" w:type="pct"/>
        </w:trPr>
        <w:tc>
          <w:tcPr>
            <w:tcW w:w="4967" w:type="pct"/>
            <w:shd w:val="clear" w:color="auto" w:fill="F2F2F2" w:themeFill="background1" w:themeFillShade="F2"/>
          </w:tcPr>
          <w:p w14:paraId="06A3C183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A13190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A40198">
                  <w:t>TWA: 0.5 ppm (4.1 mg/m</w:t>
                </w:r>
                <w:r w:rsidR="00A40198" w:rsidRPr="00A40198">
                  <w:rPr>
                    <w:vertAlign w:val="superscript"/>
                  </w:rPr>
                  <w:t>3</w:t>
                </w:r>
                <w:r w:rsidR="00A40198">
                  <w:t>)</w:t>
                </w:r>
              </w:sdtContent>
            </w:sdt>
          </w:p>
        </w:tc>
      </w:tr>
      <w:tr w:rsidR="00C978F0" w:rsidRPr="00DA352E" w14:paraId="609DBCF6" w14:textId="77777777" w:rsidTr="00DF1172">
        <w:tc>
          <w:tcPr>
            <w:tcW w:w="5000" w:type="pct"/>
            <w:gridSpan w:val="2"/>
          </w:tcPr>
          <w:p w14:paraId="5F5BD240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2D5C432" w14:textId="77777777" w:rsidTr="00DF1172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E670FCC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A40198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A40198">
                  <w:t>TLV-TWA: 50 ppm (404 mg/m</w:t>
                </w:r>
                <w:r w:rsidR="00A40198" w:rsidRPr="00A40198">
                  <w:rPr>
                    <w:vertAlign w:val="superscript"/>
                  </w:rPr>
                  <w:t>3</w:t>
                </w:r>
                <w:r w:rsidR="00A40198">
                  <w:t>)</w:t>
                </w:r>
              </w:sdtContent>
            </w:sdt>
          </w:p>
        </w:tc>
      </w:tr>
      <w:tr w:rsidR="00C978F0" w:rsidRPr="00DA352E" w14:paraId="02CDCA08" w14:textId="77777777" w:rsidTr="00DF1172">
        <w:tc>
          <w:tcPr>
            <w:tcW w:w="5000" w:type="pct"/>
            <w:gridSpan w:val="2"/>
          </w:tcPr>
          <w:p w14:paraId="0DD4B01F" w14:textId="77777777" w:rsidR="00C978F0" w:rsidRPr="008C6B4C" w:rsidRDefault="008C40AC" w:rsidP="003365A5">
            <w:pPr>
              <w:pStyle w:val="Tabletextprimarysource"/>
            </w:pPr>
            <w:r w:rsidRPr="008C6B4C">
              <w:t>TLV-TWA is recommended to minimise the potential for liver toxicity; adverse reproductive effects; neurotoxicity.</w:t>
            </w:r>
          </w:p>
          <w:p w14:paraId="337555C7" w14:textId="77777777" w:rsidR="008C40AC" w:rsidRPr="008C6B4C" w:rsidRDefault="008C40AC" w:rsidP="003365A5">
            <w:pPr>
              <w:pStyle w:val="Tabletextprimarysource"/>
            </w:pPr>
            <w:r w:rsidRPr="008C6B4C">
              <w:t>Summary of data:</w:t>
            </w:r>
          </w:p>
          <w:p w14:paraId="376875D5" w14:textId="77777777" w:rsidR="00445ED9" w:rsidRPr="008C6B4C" w:rsidRDefault="00445ED9" w:rsidP="003365A5">
            <w:pPr>
              <w:pStyle w:val="Tabletextprimarysource"/>
            </w:pPr>
            <w:r w:rsidRPr="008C6B4C">
              <w:t>TLV-TWA based on comparison with the toxicity and the TLVs for trichloroethylene (50 ppm) and chloroform (10 ppm); hepatotoxicity and adverse effect on reproduction of chloroform is more severe than for trichloroethylene or halothane.</w:t>
            </w:r>
          </w:p>
          <w:p w14:paraId="3D7D2B3F" w14:textId="77777777" w:rsidR="008C40AC" w:rsidRPr="008C6B4C" w:rsidRDefault="008C40AC" w:rsidP="003365A5">
            <w:pPr>
              <w:pStyle w:val="Tabletextprimarysource"/>
            </w:pPr>
            <w:r w:rsidRPr="008C6B4C">
              <w:t>Human data:</w:t>
            </w:r>
          </w:p>
          <w:p w14:paraId="05F0D294" w14:textId="1741D658" w:rsidR="008C40AC" w:rsidRPr="008C6B4C" w:rsidRDefault="008C40AC" w:rsidP="00DF1172">
            <w:pPr>
              <w:pStyle w:val="ListBullet"/>
              <w:spacing w:before="60" w:after="60"/>
              <w:ind w:left="714" w:hanging="357"/>
              <w:contextualSpacing w:val="0"/>
            </w:pPr>
            <w:r w:rsidRPr="008C6B4C">
              <w:t>Anaesthesia induced by 5,000</w:t>
            </w:r>
            <w:r w:rsidR="001E06AE" w:rsidRPr="008C6B4C">
              <w:t>–</w:t>
            </w:r>
            <w:r w:rsidRPr="008C6B4C">
              <w:t>30,000 ppm; maintained by 5,000</w:t>
            </w:r>
            <w:r w:rsidR="001E06AE" w:rsidRPr="008C6B4C">
              <w:t>–</w:t>
            </w:r>
            <w:r w:rsidRPr="008C6B4C">
              <w:t>15,000 ppm</w:t>
            </w:r>
          </w:p>
          <w:p w14:paraId="02CB1E35" w14:textId="77777777" w:rsidR="008C40AC" w:rsidRPr="008C6B4C" w:rsidRDefault="008C40AC" w:rsidP="00DF1172">
            <w:pPr>
              <w:pStyle w:val="ListBullet"/>
              <w:spacing w:before="60" w:after="60"/>
              <w:ind w:left="714" w:hanging="357"/>
              <w:contextualSpacing w:val="0"/>
            </w:pPr>
            <w:r w:rsidRPr="008C6B4C">
              <w:t>Exhibits biological activity in the CNS, cardiovascular system and liver</w:t>
            </w:r>
          </w:p>
          <w:p w14:paraId="455291B3" w14:textId="77777777" w:rsidR="008C40AC" w:rsidRPr="008C6B4C" w:rsidRDefault="008C40AC" w:rsidP="00DF1172">
            <w:pPr>
              <w:pStyle w:val="ListBullet"/>
              <w:spacing w:before="60" w:after="60"/>
              <w:ind w:left="714" w:hanging="357"/>
              <w:contextualSpacing w:val="0"/>
            </w:pPr>
            <w:r w:rsidRPr="008C6B4C">
              <w:t>I</w:t>
            </w:r>
            <w:r w:rsidR="005F7DA8" w:rsidRPr="008C6B4C">
              <w:t>n volunteers 0.5 h</w:t>
            </w:r>
            <w:r w:rsidRPr="008C6B4C">
              <w:t xml:space="preserve"> at 1,000 ppm did not influence performance; 4,000 ppm caused amnesia for word pairs and impairment of manual dexterity</w:t>
            </w:r>
          </w:p>
          <w:p w14:paraId="0BAC4D96" w14:textId="77777777" w:rsidR="008C40AC" w:rsidRPr="008C6B4C" w:rsidRDefault="00F876B4" w:rsidP="00DF1172">
            <w:pPr>
              <w:pStyle w:val="ListBullet"/>
              <w:spacing w:before="60" w:after="60"/>
              <w:ind w:left="714" w:hanging="357"/>
              <w:contextualSpacing w:val="0"/>
            </w:pPr>
            <w:r w:rsidRPr="008C6B4C">
              <w:t>Epidemiological studies not suit</w:t>
            </w:r>
            <w:r w:rsidR="005F7DA8" w:rsidRPr="008C6B4C">
              <w:t>able to identify dose-response</w:t>
            </w:r>
          </w:p>
          <w:p w14:paraId="6C291788" w14:textId="77777777" w:rsidR="00F876B4" w:rsidRPr="008C6B4C" w:rsidRDefault="00F876B4" w:rsidP="00DF1172">
            <w:pPr>
              <w:pStyle w:val="ListBullet"/>
              <w:spacing w:before="60" w:after="60"/>
              <w:ind w:left="714" w:hanging="357"/>
              <w:contextualSpacing w:val="0"/>
            </w:pPr>
            <w:r w:rsidRPr="008C6B4C">
              <w:t xml:space="preserve">A national survey study in the </w:t>
            </w:r>
            <w:r w:rsidR="00445ED9" w:rsidRPr="008C6B4C">
              <w:t>US</w:t>
            </w:r>
            <w:r w:rsidRPr="008C6B4C">
              <w:t xml:space="preserve"> reports the following additional health hazards to operating room personnel:</w:t>
            </w:r>
          </w:p>
          <w:p w14:paraId="7F78A467" w14:textId="77777777" w:rsidR="00F876B4" w:rsidRPr="008C6B4C" w:rsidRDefault="00F876B4" w:rsidP="00DF1172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 w:rsidRPr="008C6B4C">
              <w:t>increased incidence of spontaneous abortions among female employees and an increased risk of congenital ab</w:t>
            </w:r>
            <w:r w:rsidR="005F7DA8" w:rsidRPr="008C6B4C">
              <w:t>normalities in their offspring;</w:t>
            </w:r>
          </w:p>
          <w:p w14:paraId="5248081D" w14:textId="0B2044B1" w:rsidR="00F876B4" w:rsidRPr="008C6B4C" w:rsidRDefault="00F876B4" w:rsidP="00DF1172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 w:rsidRPr="008C6B4C">
              <w:t>increased incidence of spontaneous abortions in wives and increased frequency of congenital abnormality in children of male anaesthetists</w:t>
            </w:r>
          </w:p>
          <w:p w14:paraId="306C34C0" w14:textId="4B1785B9" w:rsidR="00F876B4" w:rsidRPr="008C6B4C" w:rsidRDefault="00F876B4" w:rsidP="00DF1172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 w:rsidRPr="008C6B4C">
              <w:t>increased incidence of hepatic disease</w:t>
            </w:r>
          </w:p>
          <w:p w14:paraId="6071F042" w14:textId="5C549FE7" w:rsidR="00AE6AF3" w:rsidRPr="008C6B4C" w:rsidRDefault="00A877CF" w:rsidP="00DF1172">
            <w:pPr>
              <w:pStyle w:val="ListBullet"/>
              <w:numPr>
                <w:ilvl w:val="0"/>
                <w:numId w:val="2"/>
              </w:numPr>
              <w:spacing w:before="60" w:after="60"/>
              <w:ind w:left="1140"/>
              <w:contextualSpacing w:val="0"/>
            </w:pPr>
            <w:r w:rsidRPr="008C6B4C">
              <w:t xml:space="preserve">average concentrations measured in </w:t>
            </w:r>
            <w:proofErr w:type="spellStart"/>
            <w:r w:rsidRPr="008C6B4C">
              <w:t>unscavenged</w:t>
            </w:r>
            <w:proofErr w:type="spellEnd"/>
            <w:r w:rsidRPr="008C6B4C">
              <w:t xml:space="preserve"> rooms: 4.6 ppm halothane 216</w:t>
            </w:r>
            <w:r w:rsidR="00707D7A" w:rsidRPr="008C6B4C">
              <w:t> </w:t>
            </w:r>
            <w:r w:rsidRPr="008C6B4C">
              <w:t>ppm nitrous oxide</w:t>
            </w:r>
          </w:p>
          <w:p w14:paraId="5BDB53C9" w14:textId="490138B6" w:rsidR="00A877CF" w:rsidRPr="008C6B4C" w:rsidRDefault="00A877CF" w:rsidP="00A877CF">
            <w:pPr>
              <w:pStyle w:val="ListBullet"/>
              <w:numPr>
                <w:ilvl w:val="0"/>
                <w:numId w:val="2"/>
              </w:numPr>
              <w:spacing w:before="60" w:after="60"/>
              <w:ind w:left="1140"/>
              <w:contextualSpacing w:val="0"/>
            </w:pPr>
            <w:r w:rsidRPr="008C6B4C">
              <w:t>average concentrations measured in scavenged rooms: 1 ppm halothane 77 ppm nitrous oxide</w:t>
            </w:r>
          </w:p>
          <w:p w14:paraId="42307906" w14:textId="77777777" w:rsidR="00F876B4" w:rsidRPr="008C6B4C" w:rsidRDefault="00F876B4" w:rsidP="00DF1172">
            <w:pPr>
              <w:pStyle w:val="ListBullet"/>
              <w:spacing w:before="60" w:after="60"/>
              <w:ind w:left="714" w:hanging="357"/>
              <w:contextualSpacing w:val="0"/>
            </w:pPr>
            <w:r w:rsidRPr="008C6B4C">
              <w:t xml:space="preserve">Similar study performed in the UK; increased reproductive risk to female anaesthetists; no effect on congenital abnormalities in the offspring of male anaesthetists and the effect on their </w:t>
            </w:r>
            <w:r w:rsidR="005F7DA8" w:rsidRPr="008C6B4C">
              <w:t>female partner’s</w:t>
            </w:r>
            <w:r w:rsidRPr="008C6B4C">
              <w:t xml:space="preserve"> pregnancy</w:t>
            </w:r>
          </w:p>
          <w:p w14:paraId="589FBBC3" w14:textId="0F787249" w:rsidR="00F876B4" w:rsidRPr="008C6B4C" w:rsidRDefault="00F876B4" w:rsidP="00DF1172">
            <w:pPr>
              <w:pStyle w:val="ListBullet"/>
              <w:spacing w:before="60" w:after="60"/>
              <w:ind w:left="714" w:hanging="357"/>
              <w:contextualSpacing w:val="0"/>
            </w:pPr>
            <w:r w:rsidRPr="008C6B4C">
              <w:t>Concentrations in operating rooms of 2</w:t>
            </w:r>
            <w:r w:rsidR="001E06AE" w:rsidRPr="008C6B4C">
              <w:t>–</w:t>
            </w:r>
            <w:r w:rsidRPr="008C6B4C">
              <w:t>4 ppm and 5</w:t>
            </w:r>
            <w:r w:rsidR="001E06AE" w:rsidRPr="008C6B4C">
              <w:t>–</w:t>
            </w:r>
            <w:r w:rsidRPr="008C6B4C">
              <w:t xml:space="preserve">50 ppm; </w:t>
            </w:r>
            <w:r w:rsidR="00BD299D" w:rsidRPr="008C6B4C">
              <w:t>163 anaesthetists</w:t>
            </w:r>
            <w:r w:rsidR="008D6FB9" w:rsidRPr="008C6B4C">
              <w:t>;</w:t>
            </w:r>
            <w:r w:rsidR="00BD299D" w:rsidRPr="008C6B4C">
              <w:t xml:space="preserve"> reports of</w:t>
            </w:r>
            <w:r w:rsidRPr="008C6B4C">
              <w:t xml:space="preserve"> irregularities in menstrual periods and an increased number of subjective complaints (such as headache and fatigu</w:t>
            </w:r>
            <w:r w:rsidR="00BD299D" w:rsidRPr="008C6B4C">
              <w:t>e)</w:t>
            </w:r>
            <w:r w:rsidR="001756AB" w:rsidRPr="008C6B4C">
              <w:t>.</w:t>
            </w:r>
          </w:p>
          <w:p w14:paraId="02F306DA" w14:textId="77777777" w:rsidR="00BD299D" w:rsidRPr="008C6B4C" w:rsidRDefault="00BD299D" w:rsidP="00BD299D">
            <w:pPr>
              <w:pStyle w:val="Tabletextprimarysource"/>
            </w:pPr>
            <w:r w:rsidRPr="008C6B4C">
              <w:t>Animal data:</w:t>
            </w:r>
          </w:p>
          <w:p w14:paraId="405A98F6" w14:textId="77777777" w:rsidR="00BD299D" w:rsidRPr="008C6B4C" w:rsidRDefault="00BD299D" w:rsidP="00DF1172">
            <w:pPr>
              <w:pStyle w:val="ListBullet"/>
              <w:spacing w:before="60" w:after="60"/>
              <w:ind w:left="714" w:hanging="357"/>
              <w:contextualSpacing w:val="0"/>
            </w:pPr>
            <w:r w:rsidRPr="008C6B4C">
              <w:t>LC</w:t>
            </w:r>
            <w:r w:rsidRPr="008C6B4C">
              <w:rPr>
                <w:vertAlign w:val="subscript"/>
              </w:rPr>
              <w:t>50</w:t>
            </w:r>
            <w:r w:rsidR="005F7DA8" w:rsidRPr="008C6B4C">
              <w:t xml:space="preserve">: </w:t>
            </w:r>
            <w:r w:rsidRPr="008C6B4C">
              <w:t>100</w:t>
            </w:r>
            <w:r w:rsidR="005F7DA8" w:rsidRPr="008C6B4C">
              <w:t xml:space="preserve"> ppm (</w:t>
            </w:r>
            <w:r w:rsidRPr="008C6B4C">
              <w:t>rat</w:t>
            </w:r>
            <w:r w:rsidR="005F7DA8" w:rsidRPr="008C6B4C">
              <w:t>s); 150 ppm (guinea pigs); 5-wk</w:t>
            </w:r>
            <w:r w:rsidRPr="008C6B4C">
              <w:t xml:space="preserve"> continuous exposure</w:t>
            </w:r>
          </w:p>
          <w:p w14:paraId="6EAADEF2" w14:textId="77777777" w:rsidR="00D73120" w:rsidRPr="008C6B4C" w:rsidRDefault="005F7DA8" w:rsidP="00DF1172">
            <w:pPr>
              <w:pStyle w:val="ListBullet"/>
              <w:spacing w:before="60" w:after="60"/>
              <w:ind w:left="714" w:hanging="357"/>
              <w:contextualSpacing w:val="0"/>
            </w:pPr>
            <w:r w:rsidRPr="008C6B4C">
              <w:t>Rats and rabbits:</w:t>
            </w:r>
            <w:r w:rsidR="00D73120" w:rsidRPr="008C6B4C">
              <w:t xml:space="preserve"> 500 ppm 7 h/d, 5 d/wk for 7 </w:t>
            </w:r>
            <w:proofErr w:type="spellStart"/>
            <w:r w:rsidR="00D73120" w:rsidRPr="008C6B4C">
              <w:t>wk</w:t>
            </w:r>
            <w:proofErr w:type="spellEnd"/>
            <w:r w:rsidR="00D73120" w:rsidRPr="008C6B4C">
              <w:t xml:space="preserve">; developed </w:t>
            </w:r>
            <w:proofErr w:type="spellStart"/>
            <w:r w:rsidR="00D73120" w:rsidRPr="008C6B4C">
              <w:t>centrilobular</w:t>
            </w:r>
            <w:proofErr w:type="spellEnd"/>
            <w:r w:rsidR="00D73120" w:rsidRPr="008C6B4C">
              <w:t xml:space="preserve"> fatty infiltration of the liver; no significant changes in serum glutamic </w:t>
            </w:r>
            <w:proofErr w:type="spellStart"/>
            <w:r w:rsidR="00D73120" w:rsidRPr="008C6B4C">
              <w:t>oxaloacetic</w:t>
            </w:r>
            <w:proofErr w:type="spellEnd"/>
            <w:r w:rsidR="00D73120" w:rsidRPr="008C6B4C">
              <w:t xml:space="preserve"> transaminase (SGOT) and serum glutamic pyruvic transaminase (SGPT)</w:t>
            </w:r>
          </w:p>
          <w:p w14:paraId="2C37E8FE" w14:textId="77777777" w:rsidR="00D73120" w:rsidRPr="008C6B4C" w:rsidRDefault="00D73120" w:rsidP="00DF1172">
            <w:pPr>
              <w:pStyle w:val="ListBullet"/>
              <w:spacing w:before="60" w:after="60"/>
              <w:ind w:left="714" w:hanging="357"/>
              <w:contextualSpacing w:val="0"/>
            </w:pPr>
            <w:r w:rsidRPr="008C6B4C">
              <w:t>Rats</w:t>
            </w:r>
            <w:r w:rsidR="005F7DA8" w:rsidRPr="008C6B4C">
              <w:t xml:space="preserve">: </w:t>
            </w:r>
            <w:r w:rsidRPr="008C6B4C">
              <w:t>10 ppm 7 h/d, 5 d/wk for 8 wk; some ultrastructural changes in the neural rough endoplasmic reticulum and in liver and kidney</w:t>
            </w:r>
          </w:p>
          <w:p w14:paraId="77F23482" w14:textId="77777777" w:rsidR="00D73120" w:rsidRPr="008C6B4C" w:rsidRDefault="00D73120" w:rsidP="00DF1172">
            <w:pPr>
              <w:pStyle w:val="ListBullet"/>
              <w:spacing w:before="60" w:after="60"/>
              <w:ind w:left="714" w:hanging="357"/>
              <w:contextualSpacing w:val="0"/>
            </w:pPr>
            <w:r w:rsidRPr="008C6B4C">
              <w:t>Rats</w:t>
            </w:r>
            <w:r w:rsidR="005F7DA8" w:rsidRPr="008C6B4C">
              <w:t>:</w:t>
            </w:r>
            <w:r w:rsidRPr="008C6B4C">
              <w:t xml:space="preserve"> 500 ppm 7 h/d, 5 d/wk for 4 wk; extensive ultrastructural changes in the neural rough endoplasmic reticulum and in liver and kidney </w:t>
            </w:r>
          </w:p>
          <w:p w14:paraId="21D55012" w14:textId="3A6CDC25" w:rsidR="00D73120" w:rsidRDefault="003D02B6" w:rsidP="00DF1172">
            <w:pPr>
              <w:pStyle w:val="ListBullet"/>
              <w:spacing w:before="60" w:after="60"/>
              <w:ind w:left="714" w:hanging="357"/>
              <w:contextualSpacing w:val="0"/>
            </w:pPr>
            <w:r w:rsidRPr="008C6B4C">
              <w:lastRenderedPageBreak/>
              <w:t>No carcinogenic effect in rats exposed for 7 h/d, 5 d/wk for 2 yr to a mixture of halothane (10</w:t>
            </w:r>
            <w:r w:rsidR="00854297" w:rsidRPr="008C6B4C">
              <w:t> </w:t>
            </w:r>
            <w:r w:rsidRPr="008C6B4C">
              <w:t>ppm) and nitrous oxide (500 ppm)</w:t>
            </w:r>
          </w:p>
          <w:p w14:paraId="0F6D8B4C" w14:textId="77777777" w:rsidR="00044C7D" w:rsidRPr="008C6B4C" w:rsidRDefault="00044C7D" w:rsidP="00DF1172">
            <w:pPr>
              <w:pStyle w:val="ListBullet"/>
              <w:spacing w:before="60" w:after="60"/>
              <w:ind w:left="714" w:hanging="357"/>
              <w:contextualSpacing w:val="0"/>
            </w:pPr>
            <w:r w:rsidRPr="008C6B4C">
              <w:t>Pups of 8 rats exposed daily during gestation at 10 ppm showed cellular damage in liver and diminished learning ability</w:t>
            </w:r>
          </w:p>
          <w:p w14:paraId="7885A465" w14:textId="77777777" w:rsidR="00044C7D" w:rsidRPr="008C6B4C" w:rsidRDefault="00044C7D" w:rsidP="00DF1172">
            <w:pPr>
              <w:pStyle w:val="ListBullet"/>
              <w:spacing w:before="60" w:after="60"/>
              <w:ind w:left="714" w:hanging="357"/>
              <w:contextualSpacing w:val="0"/>
            </w:pPr>
            <w:r w:rsidRPr="008C6B4C">
              <w:t>Other studies failed to observe adverse effects on reproduction in rats exposed at much higher concentrations</w:t>
            </w:r>
            <w:r w:rsidR="001756AB" w:rsidRPr="008C6B4C">
              <w:t>.</w:t>
            </w:r>
          </w:p>
          <w:p w14:paraId="3A00A2F7" w14:textId="77777777" w:rsidR="00D01645" w:rsidRPr="008C6B4C" w:rsidRDefault="00D01645" w:rsidP="003365A5">
            <w:pPr>
              <w:pStyle w:val="Tabletextprimarysource"/>
            </w:pPr>
          </w:p>
          <w:p w14:paraId="4578A357" w14:textId="77777777" w:rsidR="001E06AE" w:rsidRPr="008C6B4C" w:rsidRDefault="00EE2524" w:rsidP="003365A5">
            <w:pPr>
              <w:pStyle w:val="Tabletextprimarysource"/>
            </w:pPr>
            <w:r w:rsidRPr="008C6B4C">
              <w:t>Insufficient data to recommend a skin or sensitiser notation or STEL.</w:t>
            </w:r>
          </w:p>
          <w:p w14:paraId="401F10A1" w14:textId="77777777" w:rsidR="001E06AE" w:rsidRPr="00DA352E" w:rsidRDefault="001E06AE" w:rsidP="003365A5">
            <w:pPr>
              <w:pStyle w:val="Tabletextprimarysource"/>
            </w:pPr>
          </w:p>
        </w:tc>
      </w:tr>
      <w:tr w:rsidR="00C978F0" w:rsidRPr="00DA352E" w14:paraId="575AC544" w14:textId="77777777" w:rsidTr="00DF1172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BCC4AB5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BC6F48">
                  <w:t>1979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BC6F48">
                  <w:t>MAK: 5 ppm (41 mg/m</w:t>
                </w:r>
                <w:r w:rsidR="00BC6F48" w:rsidRPr="00BC6F48">
                  <w:rPr>
                    <w:vertAlign w:val="superscript"/>
                  </w:rPr>
                  <w:t>3</w:t>
                </w:r>
                <w:r w:rsidR="00BC6F48">
                  <w:t>)</w:t>
                </w:r>
              </w:sdtContent>
            </w:sdt>
          </w:p>
        </w:tc>
      </w:tr>
      <w:tr w:rsidR="00C978F0" w:rsidRPr="00DA352E" w14:paraId="3C253828" w14:textId="77777777" w:rsidTr="00DF1172">
        <w:tc>
          <w:tcPr>
            <w:tcW w:w="5000" w:type="pct"/>
            <w:gridSpan w:val="2"/>
          </w:tcPr>
          <w:p w14:paraId="504EA56F" w14:textId="77777777" w:rsidR="00C978F0" w:rsidRPr="008C6B4C" w:rsidRDefault="00EE2524" w:rsidP="003365A5">
            <w:pPr>
              <w:pStyle w:val="Tabletextprimarysource"/>
            </w:pPr>
            <w:r w:rsidRPr="008C6B4C">
              <w:t>Summary of additional data:</w:t>
            </w:r>
          </w:p>
          <w:p w14:paraId="742D6418" w14:textId="77777777" w:rsidR="00DF0E39" w:rsidRPr="008C6B4C" w:rsidRDefault="00DF0E39" w:rsidP="00DF1172">
            <w:pPr>
              <w:pStyle w:val="ListBullet"/>
              <w:spacing w:before="60" w:after="60"/>
              <w:ind w:left="714" w:hanging="357"/>
              <w:contextualSpacing w:val="0"/>
            </w:pPr>
            <w:r w:rsidRPr="008C6B4C">
              <w:rPr>
                <w:rFonts w:cs="Arial"/>
                <w:shd w:val="clear" w:color="auto" w:fill="FFFFFF"/>
              </w:rPr>
              <w:t>Accumulation of</w:t>
            </w:r>
            <w:r w:rsidR="00EE2524" w:rsidRPr="008C6B4C">
              <w:rPr>
                <w:rFonts w:cs="Arial"/>
                <w:shd w:val="clear" w:color="auto" w:fill="FFFFFF"/>
              </w:rPr>
              <w:t xml:space="preserve"> metabolite </w:t>
            </w:r>
            <w:proofErr w:type="spellStart"/>
            <w:r w:rsidRPr="008C6B4C">
              <w:rPr>
                <w:rFonts w:cs="Arial"/>
                <w:shd w:val="clear" w:color="auto" w:fill="FFFFFF"/>
              </w:rPr>
              <w:t>trifluoroacetic</w:t>
            </w:r>
            <w:proofErr w:type="spellEnd"/>
            <w:r w:rsidRPr="008C6B4C">
              <w:rPr>
                <w:rFonts w:cs="Arial"/>
                <w:shd w:val="clear" w:color="auto" w:fill="FFFFFF"/>
              </w:rPr>
              <w:t xml:space="preserve"> acid should limit the concent</w:t>
            </w:r>
            <w:r w:rsidR="00445ED9" w:rsidRPr="008C6B4C">
              <w:rPr>
                <w:rFonts w:cs="Arial"/>
                <w:shd w:val="clear" w:color="auto" w:fill="FFFFFF"/>
              </w:rPr>
              <w:t xml:space="preserve">ration to a maximum of 2.5 </w:t>
            </w:r>
            <w:proofErr w:type="spellStart"/>
            <w:r w:rsidR="00445ED9" w:rsidRPr="008C6B4C">
              <w:rPr>
                <w:rFonts w:cs="Arial"/>
                <w:shd w:val="clear" w:color="auto" w:fill="FFFFFF"/>
              </w:rPr>
              <w:t>μg</w:t>
            </w:r>
            <w:proofErr w:type="spellEnd"/>
            <w:r w:rsidR="00445ED9" w:rsidRPr="008C6B4C">
              <w:rPr>
                <w:rFonts w:cs="Arial"/>
                <w:shd w:val="clear" w:color="auto" w:fill="FFFFFF"/>
              </w:rPr>
              <w:t>/mL</w:t>
            </w:r>
            <w:r w:rsidRPr="008C6B4C">
              <w:rPr>
                <w:rFonts w:cs="Arial"/>
                <w:shd w:val="clear" w:color="auto" w:fill="FFFFFF"/>
              </w:rPr>
              <w:t xml:space="preserve"> (whole blood); corresponds to an average 5 ppm over the course of one working week (no further information)</w:t>
            </w:r>
            <w:r w:rsidR="001756AB" w:rsidRPr="008C6B4C">
              <w:rPr>
                <w:rFonts w:cs="Arial"/>
                <w:shd w:val="clear" w:color="auto" w:fill="FFFFFF"/>
              </w:rPr>
              <w:t>.</w:t>
            </w:r>
          </w:p>
          <w:p w14:paraId="0C65E595" w14:textId="77777777" w:rsidR="001E06AE" w:rsidRPr="00DA352E" w:rsidRDefault="001E06AE" w:rsidP="00DF1172">
            <w:pPr>
              <w:pStyle w:val="ListBullet"/>
              <w:numPr>
                <w:ilvl w:val="0"/>
                <w:numId w:val="0"/>
              </w:numPr>
              <w:ind w:left="1080"/>
            </w:pPr>
          </w:p>
        </w:tc>
      </w:tr>
      <w:tr w:rsidR="00C978F0" w:rsidRPr="00DA352E" w14:paraId="36D6F23B" w14:textId="77777777" w:rsidTr="00DF1172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AE824C1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C6F4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5227B7">
                  <w:t>NA</w:t>
                </w:r>
                <w:proofErr w:type="spellEnd"/>
              </w:sdtContent>
            </w:sdt>
          </w:p>
        </w:tc>
      </w:tr>
      <w:tr w:rsidR="00C978F0" w:rsidRPr="00DA352E" w14:paraId="759BB5E5" w14:textId="77777777" w:rsidTr="00DF1172">
        <w:tc>
          <w:tcPr>
            <w:tcW w:w="5000" w:type="pct"/>
            <w:gridSpan w:val="2"/>
          </w:tcPr>
          <w:p w14:paraId="6F178D7C" w14:textId="77777777" w:rsidR="00C978F0" w:rsidRPr="00DA352E" w:rsidRDefault="005227B7" w:rsidP="003365A5">
            <w:pPr>
              <w:pStyle w:val="Tabletextprimarysource"/>
            </w:pPr>
            <w:r>
              <w:t>No report</w:t>
            </w:r>
            <w:r w:rsidR="00EB711F">
              <w:t>.</w:t>
            </w:r>
          </w:p>
        </w:tc>
      </w:tr>
      <w:tr w:rsidR="00DA352E" w:rsidRPr="00DA352E" w14:paraId="56D00E79" w14:textId="77777777" w:rsidTr="00DF1172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19E091A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5227B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5227B7">
                  <w:t>NA</w:t>
                </w:r>
                <w:proofErr w:type="spellEnd"/>
              </w:sdtContent>
            </w:sdt>
          </w:p>
        </w:tc>
      </w:tr>
      <w:tr w:rsidR="00DA352E" w:rsidRPr="00DA352E" w14:paraId="4733F031" w14:textId="77777777" w:rsidTr="00DF1172">
        <w:tc>
          <w:tcPr>
            <w:tcW w:w="5000" w:type="pct"/>
            <w:gridSpan w:val="2"/>
          </w:tcPr>
          <w:p w14:paraId="06C824AF" w14:textId="77777777" w:rsidR="00DA352E" w:rsidRPr="00DA352E" w:rsidRDefault="005227B7" w:rsidP="003365A5">
            <w:pPr>
              <w:pStyle w:val="Tabletextprimarysource"/>
            </w:pPr>
            <w:r>
              <w:t>No report</w:t>
            </w:r>
            <w:r w:rsidR="00EB711F">
              <w:t>.</w:t>
            </w:r>
          </w:p>
        </w:tc>
      </w:tr>
      <w:tr w:rsidR="00DA352E" w:rsidRPr="00DA352E" w14:paraId="403FE7AF" w14:textId="77777777" w:rsidTr="00DF1172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E925E7F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5227B7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5227B7">
                  <w:t xml:space="preserve">TWA: </w:t>
                </w:r>
                <w:r w:rsidR="007A44EB">
                  <w:t>0.05 ppm (0.41</w:t>
                </w:r>
                <w:r w:rsidR="005227B7">
                  <w:t xml:space="preserve"> mg/m</w:t>
                </w:r>
                <w:r w:rsidR="005227B7" w:rsidRPr="005227B7">
                  <w:rPr>
                    <w:vertAlign w:val="superscript"/>
                  </w:rPr>
                  <w:t>3</w:t>
                </w:r>
                <w:r w:rsidR="005227B7">
                  <w:t>)</w:t>
                </w:r>
              </w:sdtContent>
            </w:sdt>
          </w:p>
        </w:tc>
      </w:tr>
      <w:tr w:rsidR="00DA352E" w:rsidRPr="00DA352E" w14:paraId="241A0D7F" w14:textId="77777777" w:rsidTr="00DF1172">
        <w:tc>
          <w:tcPr>
            <w:tcW w:w="5000" w:type="pct"/>
            <w:gridSpan w:val="2"/>
          </w:tcPr>
          <w:p w14:paraId="6EA7EB3B" w14:textId="77777777" w:rsidR="00DA352E" w:rsidRPr="008C6B4C" w:rsidRDefault="00DF0E39" w:rsidP="003365A5">
            <w:pPr>
              <w:pStyle w:val="Tabletextprimarysource"/>
            </w:pPr>
            <w:r w:rsidRPr="008C6B4C">
              <w:t>Summary of additional data:</w:t>
            </w:r>
          </w:p>
          <w:p w14:paraId="3AF81B4A" w14:textId="25BC9A2F" w:rsidR="00DF0E39" w:rsidRPr="008C6B4C" w:rsidRDefault="00002509" w:rsidP="00DF1172">
            <w:pPr>
              <w:pStyle w:val="ListBullet"/>
              <w:spacing w:before="60" w:after="60"/>
              <w:ind w:left="714" w:hanging="357"/>
              <w:contextualSpacing w:val="0"/>
            </w:pPr>
            <w:r w:rsidRPr="008C6B4C">
              <w:t>S</w:t>
            </w:r>
            <w:r w:rsidR="00DF0E39" w:rsidRPr="008C6B4C">
              <w:t xml:space="preserve">hort-term exposure </w:t>
            </w:r>
            <w:r w:rsidR="00D01D3F" w:rsidRPr="008C6B4C">
              <w:t xml:space="preserve">at </w:t>
            </w:r>
            <w:r w:rsidR="00DF0E39" w:rsidRPr="008C6B4C">
              <w:t>123</w:t>
            </w:r>
            <w:r w:rsidR="001E06AE" w:rsidRPr="008C6B4C">
              <w:t>–</w:t>
            </w:r>
            <w:r w:rsidR="00DF0E39" w:rsidRPr="008C6B4C">
              <w:t>410</w:t>
            </w:r>
            <w:r w:rsidRPr="008C6B4C">
              <w:t xml:space="preserve"> </w:t>
            </w:r>
            <w:r w:rsidR="00DF0E39" w:rsidRPr="008C6B4C">
              <w:t>mg/m</w:t>
            </w:r>
            <w:r w:rsidR="00DF0E39" w:rsidRPr="008C6B4C">
              <w:rPr>
                <w:vertAlign w:val="superscript"/>
              </w:rPr>
              <w:t>3</w:t>
            </w:r>
            <w:r w:rsidR="00DF0E39" w:rsidRPr="008C6B4C">
              <w:t xml:space="preserve"> </w:t>
            </w:r>
            <w:r w:rsidRPr="008C6B4C">
              <w:t>(15</w:t>
            </w:r>
            <w:r w:rsidR="001E06AE" w:rsidRPr="008C6B4C">
              <w:t>–</w:t>
            </w:r>
            <w:r w:rsidRPr="008C6B4C">
              <w:t xml:space="preserve">50 ppm) </w:t>
            </w:r>
            <w:r w:rsidR="00DF0E39" w:rsidRPr="008C6B4C">
              <w:t>caused liver injury in mice and rats</w:t>
            </w:r>
            <w:r w:rsidRPr="008C6B4C">
              <w:t>; no further information</w:t>
            </w:r>
          </w:p>
          <w:p w14:paraId="5B3BAC3D" w14:textId="09D46308" w:rsidR="007A44EB" w:rsidRPr="008C6B4C" w:rsidRDefault="007A44EB" w:rsidP="00DF1172">
            <w:pPr>
              <w:pStyle w:val="ListBullet"/>
              <w:spacing w:before="60" w:after="60"/>
              <w:ind w:left="714" w:hanging="357"/>
              <w:contextualSpacing w:val="0"/>
            </w:pPr>
            <w:r w:rsidRPr="008C6B4C">
              <w:t xml:space="preserve">Reproduction and developmental studies of rats and mice observed fatty changes in neonatal livers, ultrastructural changes in kidneys and brain and </w:t>
            </w:r>
            <w:proofErr w:type="spellStart"/>
            <w:r w:rsidRPr="008C6B4C">
              <w:t>neurobehavioural</w:t>
            </w:r>
            <w:proofErr w:type="spellEnd"/>
            <w:r w:rsidRPr="008C6B4C">
              <w:t xml:space="preserve"> changes at </w:t>
            </w:r>
            <w:r w:rsidRPr="008C6B4C">
              <w:rPr>
                <w:rFonts w:cs="Arial"/>
              </w:rPr>
              <w:t>≥</w:t>
            </w:r>
            <w:r w:rsidRPr="008C6B4C">
              <w:t>82 mg/m</w:t>
            </w:r>
            <w:r w:rsidRPr="008C6B4C">
              <w:rPr>
                <w:vertAlign w:val="superscript"/>
              </w:rPr>
              <w:t>3</w:t>
            </w:r>
            <w:r w:rsidRPr="008C6B4C">
              <w:t xml:space="preserve"> (10 ppm); considered a LOAEL</w:t>
            </w:r>
          </w:p>
          <w:p w14:paraId="1B4B8F82" w14:textId="77777777" w:rsidR="007A44EB" w:rsidRPr="008C6B4C" w:rsidRDefault="008F6B9C" w:rsidP="00DF1172">
            <w:pPr>
              <w:pStyle w:val="ListBullet"/>
              <w:spacing w:before="60" w:after="60"/>
              <w:ind w:left="714" w:hanging="357"/>
              <w:contextualSpacing w:val="0"/>
            </w:pPr>
            <w:r w:rsidRPr="008C6B4C">
              <w:t xml:space="preserve">TWA derived </w:t>
            </w:r>
            <w:r w:rsidR="00E25535" w:rsidRPr="008C6B4C">
              <w:t>using LOAEL and applying uncertainty factors of 20 for lack of NOAEL and 10 for intra- and inter- species variations.</w:t>
            </w:r>
          </w:p>
          <w:p w14:paraId="3CCD1E8E" w14:textId="77777777" w:rsidR="00D01645" w:rsidRPr="00DA352E" w:rsidRDefault="00D01645" w:rsidP="00DF1172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168487CC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6"/>
        <w:gridCol w:w="423"/>
        <w:gridCol w:w="661"/>
        <w:gridCol w:w="6446"/>
      </w:tblGrid>
      <w:tr w:rsidR="004966BF" w:rsidRPr="00263255" w14:paraId="6FDE884A" w14:textId="77777777" w:rsidTr="00C91970">
        <w:trPr>
          <w:cantSplit/>
          <w:trHeight w:val="393"/>
          <w:tblHeader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14:paraId="755A5B99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678E928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7955EA7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6" w:type="dxa"/>
            <w:shd w:val="clear" w:color="auto" w:fill="BFBFBF" w:themeFill="background1" w:themeFillShade="BF"/>
            <w:vAlign w:val="center"/>
          </w:tcPr>
          <w:p w14:paraId="085CEC36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74576ACC" w14:textId="77777777" w:rsidTr="00C91970">
        <w:trPr>
          <w:cantSplit/>
        </w:trPr>
        <w:tc>
          <w:tcPr>
            <w:tcW w:w="1496" w:type="dxa"/>
          </w:tcPr>
          <w:p w14:paraId="471F7352" w14:textId="77777777" w:rsidR="004966BF" w:rsidRPr="008C6B4C" w:rsidRDefault="004966BF" w:rsidP="00224EE2">
            <w:pPr>
              <w:pStyle w:val="Tablefont"/>
            </w:pPr>
            <w:r w:rsidRPr="008C6B4C">
              <w:t>US NIOSH</w:t>
            </w:r>
          </w:p>
        </w:tc>
        <w:tc>
          <w:tcPr>
            <w:tcW w:w="423" w:type="dxa"/>
          </w:tcPr>
          <w:p w14:paraId="1C97F51F" w14:textId="77777777" w:rsidR="004966BF" w:rsidRPr="008C6B4C" w:rsidRDefault="00CF031E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25535" w:rsidRPr="008C6B4C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CA3620F" w14:textId="77777777" w:rsidR="004966BF" w:rsidRPr="008C6B4C" w:rsidRDefault="00E2553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8C6B4C">
              <w:rPr>
                <w:rStyle w:val="checkbox"/>
                <w:rFonts w:ascii="Arial" w:hAnsi="Arial" w:cs="Arial"/>
              </w:rPr>
              <w:t>1976</w:t>
            </w:r>
          </w:p>
        </w:tc>
        <w:tc>
          <w:tcPr>
            <w:tcW w:w="6446" w:type="dxa"/>
          </w:tcPr>
          <w:p w14:paraId="72F58AF9" w14:textId="32F916AB" w:rsidR="004966BF" w:rsidRPr="008C6B4C" w:rsidRDefault="00EB711F" w:rsidP="00DF1172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8C6B4C">
              <w:rPr>
                <w:rStyle w:val="checkbox"/>
                <w:rFonts w:ascii="Arial" w:hAnsi="Arial" w:cs="Arial"/>
              </w:rPr>
              <w:t>4-h</w:t>
            </w:r>
            <w:r w:rsidR="00C91970" w:rsidRPr="008C6B4C">
              <w:rPr>
                <w:rStyle w:val="checkbox"/>
                <w:rFonts w:ascii="Arial" w:hAnsi="Arial" w:cs="Arial"/>
              </w:rPr>
              <w:t xml:space="preserve"> exposure 50 ppm nitrous-oxide plus 0.5, 1.0 or 10 ppm significantly impaired performance on the visual acuity and digit span tests and a divided attention task</w:t>
            </w:r>
          </w:p>
          <w:p w14:paraId="50E17522" w14:textId="683DA0F1" w:rsidR="00C91970" w:rsidRPr="008C6B4C" w:rsidRDefault="00C91970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8C6B4C">
              <w:rPr>
                <w:rStyle w:val="checkbox"/>
                <w:rFonts w:ascii="Arial" w:hAnsi="Arial" w:cs="Arial"/>
              </w:rPr>
              <w:t xml:space="preserve">Exposure </w:t>
            </w:r>
            <w:r w:rsidR="00D01D3F" w:rsidRPr="008C6B4C">
              <w:rPr>
                <w:rStyle w:val="checkbox"/>
                <w:rFonts w:ascii="Arial" w:hAnsi="Arial" w:cs="Arial"/>
              </w:rPr>
              <w:t xml:space="preserve">at </w:t>
            </w:r>
            <w:r w:rsidRPr="008C6B4C">
              <w:rPr>
                <w:rStyle w:val="checkbox"/>
                <w:rFonts w:ascii="Arial" w:hAnsi="Arial" w:cs="Arial"/>
              </w:rPr>
              <w:t>25 ppm nitrous-oxide plus 0.5 ppm halothane did not cause any si</w:t>
            </w:r>
            <w:r w:rsidR="00445ED9" w:rsidRPr="008C6B4C">
              <w:rPr>
                <w:rStyle w:val="checkbox"/>
                <w:rFonts w:ascii="Arial" w:hAnsi="Arial" w:cs="Arial"/>
              </w:rPr>
              <w:t>gnificant performance decrement</w:t>
            </w:r>
            <w:r w:rsidR="009873AF" w:rsidRPr="008C6B4C">
              <w:rPr>
                <w:rStyle w:val="checkbox"/>
                <w:rFonts w:ascii="Arial" w:hAnsi="Arial" w:cs="Arial"/>
              </w:rPr>
              <w:t>.</w:t>
            </w:r>
            <w:r w:rsidR="00445ED9" w:rsidRPr="008C6B4C">
              <w:rPr>
                <w:rStyle w:val="checkbox"/>
                <w:rFonts w:ascii="Arial" w:hAnsi="Arial" w:cs="Arial"/>
              </w:rPr>
              <w:t xml:space="preserve"> </w:t>
            </w:r>
          </w:p>
        </w:tc>
      </w:tr>
    </w:tbl>
    <w:p w14:paraId="58A8FEF5" w14:textId="77777777" w:rsidR="007E2A4B" w:rsidRDefault="007E2A4B"/>
    <w:bookmarkEnd w:id="0"/>
    <w:p w14:paraId="6649D7BD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112F040" w14:textId="77777777" w:rsidTr="00C91970">
        <w:trPr>
          <w:trHeight w:val="454"/>
          <w:tblHeader/>
        </w:trPr>
        <w:tc>
          <w:tcPr>
            <w:tcW w:w="6603" w:type="dxa"/>
            <w:vAlign w:val="center"/>
          </w:tcPr>
          <w:p w14:paraId="39E66C97" w14:textId="77777777" w:rsidR="002E0D61" w:rsidRPr="008C6B4C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 w:rsidRPr="008C6B4C">
              <w:t>Is the chemical mutagenic</w:t>
            </w:r>
            <w:r w:rsidR="002E0D61" w:rsidRPr="008C6B4C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57E0AB28" w14:textId="77777777" w:rsidR="002E0D61" w:rsidRPr="008C6B4C" w:rsidRDefault="00C91970" w:rsidP="00C3091E">
                <w:pPr>
                  <w:pStyle w:val="Tablefont"/>
                  <w:keepNext/>
                  <w:keepLines/>
                  <w:spacing w:before="40" w:after="40"/>
                </w:pPr>
                <w:r w:rsidRPr="008C6B4C">
                  <w:t>No</w:t>
                </w:r>
              </w:p>
            </w:tc>
          </w:sdtContent>
        </w:sdt>
      </w:tr>
      <w:tr w:rsidR="008A36CF" w14:paraId="2AC98532" w14:textId="77777777" w:rsidTr="00C91970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2E97B579" w14:textId="77777777" w:rsidR="008A36CF" w:rsidRPr="006901A2" w:rsidRDefault="00C91970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D199DDB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1007903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6839D81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D33E7D8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B5211D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B93E64A" w14:textId="77777777" w:rsidTr="00812887">
        <w:trPr>
          <w:cantSplit/>
        </w:trPr>
        <w:tc>
          <w:tcPr>
            <w:tcW w:w="3227" w:type="dxa"/>
          </w:tcPr>
          <w:p w14:paraId="723E3860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5805A4E6" w14:textId="77777777" w:rsidR="00687890" w:rsidRPr="00DD2F9B" w:rsidRDefault="000E08D0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712020BF" w14:textId="77777777" w:rsidTr="00812887">
        <w:trPr>
          <w:cantSplit/>
        </w:trPr>
        <w:tc>
          <w:tcPr>
            <w:tcW w:w="3227" w:type="dxa"/>
          </w:tcPr>
          <w:p w14:paraId="23F6A3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7F73103" w14:textId="77777777" w:rsidR="007925F0" w:rsidRPr="00DD2F9B" w:rsidRDefault="000E08D0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535D0FA5" w14:textId="77777777" w:rsidTr="00812887">
        <w:trPr>
          <w:cantSplit/>
        </w:trPr>
        <w:tc>
          <w:tcPr>
            <w:tcW w:w="3227" w:type="dxa"/>
          </w:tcPr>
          <w:p w14:paraId="7895255C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CC742DF" w14:textId="77777777" w:rsidR="00AF483F" w:rsidRPr="00DD2F9B" w:rsidRDefault="000E08D0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37FA661E" w14:textId="77777777" w:rsidTr="00812887">
        <w:trPr>
          <w:cantSplit/>
        </w:trPr>
        <w:tc>
          <w:tcPr>
            <w:tcW w:w="3227" w:type="dxa"/>
          </w:tcPr>
          <w:p w14:paraId="342E1458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66CF40EB" w14:textId="77777777" w:rsidR="00687890" w:rsidRPr="00DD2F9B" w:rsidRDefault="000E08D0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0D306A3B" w14:textId="77777777" w:rsidTr="00812887">
        <w:trPr>
          <w:cantSplit/>
        </w:trPr>
        <w:tc>
          <w:tcPr>
            <w:tcW w:w="3227" w:type="dxa"/>
          </w:tcPr>
          <w:p w14:paraId="1C2C5236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B5A95C4" w14:textId="77777777" w:rsidR="00E41A26" w:rsidRPr="00DD2F9B" w:rsidRDefault="000E08D0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032AB81" w14:textId="77777777" w:rsidTr="00812887">
        <w:trPr>
          <w:cantSplit/>
        </w:trPr>
        <w:tc>
          <w:tcPr>
            <w:tcW w:w="3227" w:type="dxa"/>
          </w:tcPr>
          <w:p w14:paraId="15680DD0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53E696C3" w14:textId="77777777" w:rsidR="002E0D61" w:rsidRPr="00DD2F9B" w:rsidRDefault="00331538" w:rsidP="00DD2F9B">
            <w:pPr>
              <w:pStyle w:val="Tablefont"/>
            </w:pPr>
            <w:r w:rsidRPr="00331538">
              <w:t>Carcinogenicity – A4</w:t>
            </w:r>
          </w:p>
        </w:tc>
      </w:tr>
      <w:tr w:rsidR="002E0D61" w:rsidRPr="004C23F4" w14:paraId="6C542796" w14:textId="77777777" w:rsidTr="00812887">
        <w:trPr>
          <w:cantSplit/>
        </w:trPr>
        <w:tc>
          <w:tcPr>
            <w:tcW w:w="3227" w:type="dxa"/>
          </w:tcPr>
          <w:p w14:paraId="42EA4696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0A2B05A" w14:textId="77777777" w:rsidR="002E0D61" w:rsidRPr="00DD2F9B" w:rsidRDefault="00331538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07BE207C" w14:textId="77777777" w:rsidTr="00812887">
        <w:trPr>
          <w:cantSplit/>
        </w:trPr>
        <w:tc>
          <w:tcPr>
            <w:tcW w:w="3227" w:type="dxa"/>
          </w:tcPr>
          <w:p w14:paraId="737F9CDA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01B13EAD" w14:textId="77777777" w:rsidR="002E0D61" w:rsidRPr="00DD2F9B" w:rsidRDefault="0033153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76F7FBB" w14:textId="77777777" w:rsidTr="00812887">
        <w:trPr>
          <w:cantSplit/>
        </w:trPr>
        <w:tc>
          <w:tcPr>
            <w:tcW w:w="3227" w:type="dxa"/>
          </w:tcPr>
          <w:p w14:paraId="23F0D9EA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9E4BE90" w14:textId="77777777" w:rsidR="002E0D61" w:rsidRPr="00DD2F9B" w:rsidRDefault="00331538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24A92ABF" w14:textId="77777777" w:rsidTr="00812887">
        <w:trPr>
          <w:cantSplit/>
        </w:trPr>
        <w:tc>
          <w:tcPr>
            <w:tcW w:w="3227" w:type="dxa"/>
          </w:tcPr>
          <w:p w14:paraId="5B83E9D2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EAE02AA" w14:textId="77777777" w:rsidR="00386093" w:rsidRPr="00DD2F9B" w:rsidRDefault="0033153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42AE678" w14:textId="77777777" w:rsidTr="00812887">
        <w:trPr>
          <w:cantSplit/>
        </w:trPr>
        <w:tc>
          <w:tcPr>
            <w:tcW w:w="3227" w:type="dxa"/>
          </w:tcPr>
          <w:p w14:paraId="08D9A5F3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20C01679" w14:textId="77777777" w:rsidR="00386093" w:rsidRPr="00DD2F9B" w:rsidRDefault="00331538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7CD83A25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0E3B9242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35524E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E66A859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E59D585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547602E4" w14:textId="77777777" w:rsidR="00932DCE" w:rsidRPr="004C23F4" w:rsidRDefault="00EB711F" w:rsidP="00F9496B">
            <w:pPr>
              <w:pStyle w:val="Tablefont"/>
            </w:pPr>
            <w:r>
              <w:t>Insufficient data to assign a skin notation</w:t>
            </w:r>
          </w:p>
        </w:tc>
      </w:tr>
    </w:tbl>
    <w:bookmarkEnd w:id="3"/>
    <w:p w14:paraId="67613059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4BD05CD9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688A8CA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3C01AC9" w14:textId="77777777" w:rsidR="00EB3D1B" w:rsidRDefault="00331538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1386C3C8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727CBE4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411860E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F509BFB" w14:textId="77777777" w:rsidR="001B79E5" w:rsidRDefault="00331538" w:rsidP="001B79E5">
                <w:pPr>
                  <w:pStyle w:val="Tablefont"/>
                </w:pPr>
                <w:r w:rsidRPr="00331538">
                  <w:t>197.38</w:t>
                </w:r>
              </w:p>
            </w:tc>
          </w:sdtContent>
        </w:sdt>
      </w:tr>
      <w:tr w:rsidR="00A31D99" w:rsidRPr="004C23F4" w14:paraId="389264B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69D932C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623DAEC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331538">
                  <w:t>8.06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331538">
                  <w:t>0.124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54CC64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2E267B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C871565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3476773" w14:textId="77777777" w:rsidTr="00EA6243">
        <w:trPr>
          <w:cantSplit/>
        </w:trPr>
        <w:tc>
          <w:tcPr>
            <w:tcW w:w="4077" w:type="dxa"/>
            <w:vAlign w:val="center"/>
          </w:tcPr>
          <w:p w14:paraId="4D5FF5CD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565890B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B9EB59" w14:textId="77777777" w:rsidTr="00EA6243">
        <w:trPr>
          <w:cantSplit/>
        </w:trPr>
        <w:tc>
          <w:tcPr>
            <w:tcW w:w="4077" w:type="dxa"/>
            <w:vAlign w:val="center"/>
          </w:tcPr>
          <w:p w14:paraId="75589BBD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35B9041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8BDAB68" w14:textId="77777777" w:rsidTr="00EA6243">
        <w:trPr>
          <w:cantSplit/>
        </w:trPr>
        <w:tc>
          <w:tcPr>
            <w:tcW w:w="4077" w:type="dxa"/>
            <w:vAlign w:val="center"/>
          </w:tcPr>
          <w:p w14:paraId="59869816" w14:textId="77777777" w:rsidR="00E06F40" w:rsidRPr="00263255" w:rsidRDefault="00E06F40" w:rsidP="00084513">
            <w:pPr>
              <w:pStyle w:val="Tablefont"/>
            </w:pPr>
            <w:r w:rsidRPr="00263255">
              <w:lastRenderedPageBreak/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B856D45" w14:textId="77777777" w:rsidR="00E06F40" w:rsidRPr="00A006A0" w:rsidRDefault="00CF031E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5768C"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4F65AF97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6CC15EC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B0E0289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383EA9B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8E469BC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E71E1DD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31F2C10A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7DB9279C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43319577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03FD191" w14:textId="77777777" w:rsidR="0075768C" w:rsidRDefault="0075768C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(2001) </w:t>
      </w:r>
      <w:proofErr w:type="spellStart"/>
      <w:r>
        <w:t>Halothan</w:t>
      </w:r>
      <w:proofErr w:type="spellEnd"/>
      <w:r>
        <w:t xml:space="preserve"> – MAK value documentation.</w:t>
      </w:r>
    </w:p>
    <w:p w14:paraId="0B5791A1" w14:textId="77777777" w:rsidR="0075768C" w:rsidRDefault="0075768C" w:rsidP="00084859">
      <w:r w:rsidRPr="002022B6">
        <w:t>Health Council of the Netherlands</w:t>
      </w:r>
      <w:r>
        <w:t xml:space="preserve"> (HCOTN) (2002) </w:t>
      </w:r>
      <w:r w:rsidRPr="0075768C">
        <w:t>Halothane</w:t>
      </w:r>
      <w:r w:rsidRPr="005F7416">
        <w:t xml:space="preserve">. Health-based calculated occupational cancer risk values. The Hague: Health Council of the Netherlands; publication no. </w:t>
      </w:r>
      <w:r w:rsidRPr="0075768C">
        <w:t>2002/14OSH</w:t>
      </w:r>
      <w:r>
        <w:t>.</w:t>
      </w:r>
    </w:p>
    <w:p w14:paraId="397A7AD2" w14:textId="77777777" w:rsidR="00E25535" w:rsidRPr="00351FE0" w:rsidRDefault="00E25535" w:rsidP="00084859">
      <w:r>
        <w:t>N</w:t>
      </w:r>
      <w:r w:rsidR="00D14B95">
        <w:t xml:space="preserve">ational </w:t>
      </w:r>
      <w:r>
        <w:t>I</w:t>
      </w:r>
      <w:r w:rsidR="00D14B95">
        <w:t>nstitute for Occupational Safety and Health (NI</w:t>
      </w:r>
      <w:r>
        <w:t>OSH</w:t>
      </w:r>
      <w:r w:rsidR="00D14B95">
        <w:t>)</w:t>
      </w:r>
      <w:r>
        <w:t xml:space="preserve"> </w:t>
      </w:r>
      <w:r w:rsidR="00D14B95">
        <w:t>(</w:t>
      </w:r>
      <w:r>
        <w:t>1976</w:t>
      </w:r>
      <w:r w:rsidR="00D14B95">
        <w:t>)</w:t>
      </w:r>
      <w:r>
        <w:t xml:space="preserve"> </w:t>
      </w:r>
      <w:r w:rsidRPr="00E25535">
        <w:t xml:space="preserve">Effects of Trace Concentrations of </w:t>
      </w:r>
      <w:proofErr w:type="spellStart"/>
      <w:r w:rsidRPr="00E25535">
        <w:t>Anesthetic</w:t>
      </w:r>
      <w:proofErr w:type="spellEnd"/>
      <w:r w:rsidRPr="00E25535">
        <w:t xml:space="preserve"> Gases on </w:t>
      </w:r>
      <w:proofErr w:type="spellStart"/>
      <w:r w:rsidRPr="00E25535">
        <w:t>Behavioral</w:t>
      </w:r>
      <w:proofErr w:type="spellEnd"/>
      <w:r w:rsidRPr="00E25535">
        <w:t xml:space="preserve"> Performance of Operating Room Personnel</w:t>
      </w:r>
      <w:r w:rsidR="00D14B95">
        <w:t>.</w:t>
      </w:r>
    </w:p>
    <w:p w14:paraId="2AC6A002" w14:textId="77777777" w:rsidR="00445ED9" w:rsidRPr="00351FE0" w:rsidRDefault="00445ED9"/>
    <w:sectPr w:rsidR="00445ED9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68AE7E" w16cid:durableId="219B7E0A"/>
  <w16cid:commentId w16cid:paraId="0EA6CBCB" w16cid:durableId="219B7D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E8D8A" w14:textId="77777777" w:rsidR="003A565B" w:rsidRDefault="003A565B" w:rsidP="00F43AD5">
      <w:pPr>
        <w:spacing w:after="0" w:line="240" w:lineRule="auto"/>
      </w:pPr>
      <w:r>
        <w:separator/>
      </w:r>
    </w:p>
  </w:endnote>
  <w:endnote w:type="continuationSeparator" w:id="0">
    <w:p w14:paraId="2BB649C3" w14:textId="77777777" w:rsidR="003A565B" w:rsidRDefault="003A565B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C804E" w14:textId="77777777" w:rsidR="00EF4308" w:rsidRDefault="00EF43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FB5F404" w14:textId="77777777" w:rsidR="008A36CF" w:rsidRDefault="00373B52" w:rsidP="0034744C">
        <w:pPr>
          <w:pStyle w:val="Footer"/>
          <w:rPr>
            <w:sz w:val="18"/>
            <w:szCs w:val="18"/>
          </w:rPr>
        </w:pPr>
        <w:r w:rsidRPr="00373B52">
          <w:rPr>
            <w:b/>
            <w:sz w:val="18"/>
            <w:szCs w:val="18"/>
          </w:rPr>
          <w:t xml:space="preserve">Halothane </w:t>
        </w:r>
        <w:r w:rsidR="008A36CF">
          <w:rPr>
            <w:b/>
            <w:sz w:val="18"/>
            <w:szCs w:val="18"/>
          </w:rPr>
          <w:t>(</w:t>
        </w:r>
        <w:r w:rsidRPr="00373B52">
          <w:rPr>
            <w:b/>
            <w:sz w:val="18"/>
            <w:szCs w:val="18"/>
          </w:rPr>
          <w:t>151-67-7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725F12CB" w14:textId="76D3245E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CF031E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FD992" w14:textId="77777777" w:rsidR="00EF4308" w:rsidRDefault="00EF4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CDF22" w14:textId="77777777" w:rsidR="003A565B" w:rsidRDefault="003A565B" w:rsidP="00F43AD5">
      <w:pPr>
        <w:spacing w:after="0" w:line="240" w:lineRule="auto"/>
      </w:pPr>
      <w:r>
        <w:separator/>
      </w:r>
    </w:p>
  </w:footnote>
  <w:footnote w:type="continuationSeparator" w:id="0">
    <w:p w14:paraId="5F1014B0" w14:textId="77777777" w:rsidR="003A565B" w:rsidRDefault="003A565B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72F86" w14:textId="77777777" w:rsidR="00EF4308" w:rsidRDefault="00EF4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E1372" w14:textId="0C07C57B" w:rsidR="00CF031E" w:rsidRDefault="00CF031E" w:rsidP="00CF031E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4B219F9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7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63F4A5EB" wp14:editId="486955A7">
          <wp:extent cx="2943225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202553" w14:textId="0A17B905" w:rsidR="008A36CF" w:rsidRPr="00CF031E" w:rsidRDefault="008A36CF" w:rsidP="00CF0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46478" w14:textId="77777777" w:rsidR="00EF4308" w:rsidRDefault="00EF43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20C87" w14:textId="324A2380" w:rsidR="00CF031E" w:rsidRDefault="00CF031E" w:rsidP="00CF031E">
    <w:pPr>
      <w:pStyle w:val="Header"/>
      <w:jc w:val="right"/>
    </w:pPr>
    <w:sdt>
      <w:sdtPr>
        <w:id w:val="-2101707979"/>
        <w:docPartObj>
          <w:docPartGallery w:val="Watermarks"/>
          <w:docPartUnique/>
        </w:docPartObj>
      </w:sdtPr>
      <w:sdtContent>
        <w:r>
          <w:pict w14:anchorId="36CBE0B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4338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4678BAA0" wp14:editId="2A7053C3">
          <wp:extent cx="2943225" cy="590550"/>
          <wp:effectExtent l="0" t="0" r="0" b="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64E40B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4621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C53D7"/>
    <w:multiLevelType w:val="hybridMultilevel"/>
    <w:tmpl w:val="43F464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2509"/>
    <w:rsid w:val="00007B80"/>
    <w:rsid w:val="00013A22"/>
    <w:rsid w:val="00014C3F"/>
    <w:rsid w:val="00017C82"/>
    <w:rsid w:val="000312E8"/>
    <w:rsid w:val="00032B88"/>
    <w:rsid w:val="00044C7D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96522"/>
    <w:rsid w:val="000A6B8A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08D0"/>
    <w:rsid w:val="000E2724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2F27"/>
    <w:rsid w:val="001756AB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06AE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16034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95799"/>
    <w:rsid w:val="002B1A2C"/>
    <w:rsid w:val="002C204C"/>
    <w:rsid w:val="002C34F2"/>
    <w:rsid w:val="002C51C3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1538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73B52"/>
    <w:rsid w:val="00386093"/>
    <w:rsid w:val="003904A4"/>
    <w:rsid w:val="00391841"/>
    <w:rsid w:val="00391B6D"/>
    <w:rsid w:val="00394922"/>
    <w:rsid w:val="003A0E32"/>
    <w:rsid w:val="003A2B94"/>
    <w:rsid w:val="003A565B"/>
    <w:rsid w:val="003B387D"/>
    <w:rsid w:val="003C0D58"/>
    <w:rsid w:val="003D02B6"/>
    <w:rsid w:val="003D38A9"/>
    <w:rsid w:val="003D4FA3"/>
    <w:rsid w:val="003E0807"/>
    <w:rsid w:val="003E51FB"/>
    <w:rsid w:val="003E6B39"/>
    <w:rsid w:val="003F07E1"/>
    <w:rsid w:val="003F417B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45ED9"/>
    <w:rsid w:val="004509E2"/>
    <w:rsid w:val="004515EE"/>
    <w:rsid w:val="004529F0"/>
    <w:rsid w:val="00460A03"/>
    <w:rsid w:val="0046326D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3410"/>
    <w:rsid w:val="004C1E3F"/>
    <w:rsid w:val="004C23F4"/>
    <w:rsid w:val="004C3475"/>
    <w:rsid w:val="004C58B6"/>
    <w:rsid w:val="004D16A3"/>
    <w:rsid w:val="004D4AA1"/>
    <w:rsid w:val="004D6D68"/>
    <w:rsid w:val="004E5EDD"/>
    <w:rsid w:val="004F1B84"/>
    <w:rsid w:val="004F448A"/>
    <w:rsid w:val="004F493D"/>
    <w:rsid w:val="004F65E8"/>
    <w:rsid w:val="0050005E"/>
    <w:rsid w:val="00502B88"/>
    <w:rsid w:val="00502CC4"/>
    <w:rsid w:val="005142C4"/>
    <w:rsid w:val="0051509C"/>
    <w:rsid w:val="005227B7"/>
    <w:rsid w:val="005272E2"/>
    <w:rsid w:val="0053108F"/>
    <w:rsid w:val="00532B56"/>
    <w:rsid w:val="00534B10"/>
    <w:rsid w:val="0053754D"/>
    <w:rsid w:val="005446A2"/>
    <w:rsid w:val="00544D2F"/>
    <w:rsid w:val="00551BD8"/>
    <w:rsid w:val="00581055"/>
    <w:rsid w:val="00591E38"/>
    <w:rsid w:val="005A16B1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5F7DA8"/>
    <w:rsid w:val="006013C1"/>
    <w:rsid w:val="0060669E"/>
    <w:rsid w:val="0060753F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07D7A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5768C"/>
    <w:rsid w:val="00765F14"/>
    <w:rsid w:val="007663EA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44EB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4297"/>
    <w:rsid w:val="00857A8A"/>
    <w:rsid w:val="008630EE"/>
    <w:rsid w:val="00864D13"/>
    <w:rsid w:val="00871CD5"/>
    <w:rsid w:val="008745A2"/>
    <w:rsid w:val="008768A8"/>
    <w:rsid w:val="00885BDF"/>
    <w:rsid w:val="0088798F"/>
    <w:rsid w:val="00887E4B"/>
    <w:rsid w:val="008915C8"/>
    <w:rsid w:val="00896D72"/>
    <w:rsid w:val="008A36CF"/>
    <w:rsid w:val="008A3BC4"/>
    <w:rsid w:val="008B403C"/>
    <w:rsid w:val="008B7983"/>
    <w:rsid w:val="008B7CE8"/>
    <w:rsid w:val="008C2511"/>
    <w:rsid w:val="008C40AC"/>
    <w:rsid w:val="008C6B4C"/>
    <w:rsid w:val="008D026D"/>
    <w:rsid w:val="008D23AB"/>
    <w:rsid w:val="008D4B8B"/>
    <w:rsid w:val="008D5A78"/>
    <w:rsid w:val="008D6FB9"/>
    <w:rsid w:val="008E7B64"/>
    <w:rsid w:val="008F5DCD"/>
    <w:rsid w:val="008F6B9C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6E9C"/>
    <w:rsid w:val="0093760E"/>
    <w:rsid w:val="00946044"/>
    <w:rsid w:val="0094660B"/>
    <w:rsid w:val="00946A33"/>
    <w:rsid w:val="009505AA"/>
    <w:rsid w:val="0095260E"/>
    <w:rsid w:val="009578DD"/>
    <w:rsid w:val="00961124"/>
    <w:rsid w:val="009621B6"/>
    <w:rsid w:val="00974F2D"/>
    <w:rsid w:val="00977524"/>
    <w:rsid w:val="00977E88"/>
    <w:rsid w:val="00984920"/>
    <w:rsid w:val="009873AF"/>
    <w:rsid w:val="0099303A"/>
    <w:rsid w:val="009971C2"/>
    <w:rsid w:val="009A1254"/>
    <w:rsid w:val="009B2FF2"/>
    <w:rsid w:val="009B380C"/>
    <w:rsid w:val="009B4843"/>
    <w:rsid w:val="009B5F21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3190"/>
    <w:rsid w:val="00A16D91"/>
    <w:rsid w:val="00A174CC"/>
    <w:rsid w:val="00A2073D"/>
    <w:rsid w:val="00A20751"/>
    <w:rsid w:val="00A27E2D"/>
    <w:rsid w:val="00A31D99"/>
    <w:rsid w:val="00A357BA"/>
    <w:rsid w:val="00A35ADC"/>
    <w:rsid w:val="00A40198"/>
    <w:rsid w:val="00A402A3"/>
    <w:rsid w:val="00A53681"/>
    <w:rsid w:val="00A613F6"/>
    <w:rsid w:val="00A633D4"/>
    <w:rsid w:val="00A6461A"/>
    <w:rsid w:val="00A84504"/>
    <w:rsid w:val="00A8672F"/>
    <w:rsid w:val="00A877CF"/>
    <w:rsid w:val="00A93057"/>
    <w:rsid w:val="00A968B0"/>
    <w:rsid w:val="00AB2672"/>
    <w:rsid w:val="00AB2817"/>
    <w:rsid w:val="00AB43C4"/>
    <w:rsid w:val="00AC32E7"/>
    <w:rsid w:val="00AC3962"/>
    <w:rsid w:val="00AC3A9F"/>
    <w:rsid w:val="00AC6940"/>
    <w:rsid w:val="00AC6D2F"/>
    <w:rsid w:val="00AE2745"/>
    <w:rsid w:val="00AE2F64"/>
    <w:rsid w:val="00AE6AF3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3F47"/>
    <w:rsid w:val="00B76A41"/>
    <w:rsid w:val="00B87D4C"/>
    <w:rsid w:val="00B93646"/>
    <w:rsid w:val="00BA0B38"/>
    <w:rsid w:val="00BA1DBB"/>
    <w:rsid w:val="00BA4510"/>
    <w:rsid w:val="00BA529A"/>
    <w:rsid w:val="00BB612A"/>
    <w:rsid w:val="00BC6F48"/>
    <w:rsid w:val="00BD299D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03F7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1970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031E"/>
    <w:rsid w:val="00D01645"/>
    <w:rsid w:val="00D01D3F"/>
    <w:rsid w:val="00D048F7"/>
    <w:rsid w:val="00D0517E"/>
    <w:rsid w:val="00D140FC"/>
    <w:rsid w:val="00D14B95"/>
    <w:rsid w:val="00D21277"/>
    <w:rsid w:val="00D21D8C"/>
    <w:rsid w:val="00D31357"/>
    <w:rsid w:val="00D33220"/>
    <w:rsid w:val="00D334D1"/>
    <w:rsid w:val="00D44C89"/>
    <w:rsid w:val="00D516CD"/>
    <w:rsid w:val="00D53887"/>
    <w:rsid w:val="00D668E6"/>
    <w:rsid w:val="00D70670"/>
    <w:rsid w:val="00D7312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0E39"/>
    <w:rsid w:val="00DF1172"/>
    <w:rsid w:val="00DF1D59"/>
    <w:rsid w:val="00DF6F36"/>
    <w:rsid w:val="00E0084C"/>
    <w:rsid w:val="00E025AB"/>
    <w:rsid w:val="00E02B23"/>
    <w:rsid w:val="00E06F40"/>
    <w:rsid w:val="00E07CE8"/>
    <w:rsid w:val="00E25535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2EAF"/>
    <w:rsid w:val="00E931F3"/>
    <w:rsid w:val="00E949AF"/>
    <w:rsid w:val="00E96077"/>
    <w:rsid w:val="00EA0A06"/>
    <w:rsid w:val="00EA39DE"/>
    <w:rsid w:val="00EA6243"/>
    <w:rsid w:val="00EA74AB"/>
    <w:rsid w:val="00EB3D1B"/>
    <w:rsid w:val="00EB711F"/>
    <w:rsid w:val="00ED1D89"/>
    <w:rsid w:val="00ED66BC"/>
    <w:rsid w:val="00ED6C0D"/>
    <w:rsid w:val="00EE2524"/>
    <w:rsid w:val="00EF233A"/>
    <w:rsid w:val="00EF303E"/>
    <w:rsid w:val="00EF3A40"/>
    <w:rsid w:val="00EF4308"/>
    <w:rsid w:val="00EF7F78"/>
    <w:rsid w:val="00F01B08"/>
    <w:rsid w:val="00F01C4D"/>
    <w:rsid w:val="00F053FA"/>
    <w:rsid w:val="00F10C97"/>
    <w:rsid w:val="00F11C71"/>
    <w:rsid w:val="00F15243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6A6E"/>
    <w:rsid w:val="00F876B4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  <w14:docId w14:val="6D49D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8C40AC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5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ED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E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ED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2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B791F35946C64D69A9B619B54B0FD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EE65-A77F-4B34-B752-247DD880984E}"/>
      </w:docPartPr>
      <w:docPartBody>
        <w:p w:rsidR="009449B3" w:rsidRDefault="00A91907" w:rsidP="00A91907">
          <w:pPr>
            <w:pStyle w:val="B791F35946C64D69A9B619B54B0FD2D9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F612B"/>
    <w:rsid w:val="009449B3"/>
    <w:rsid w:val="00A91907"/>
    <w:rsid w:val="00BB3BAA"/>
    <w:rsid w:val="00D21A9F"/>
    <w:rsid w:val="00F5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1907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18045DF9FB5A40D59FEDEB3F2EF80109">
    <w:name w:val="18045DF9FB5A40D59FEDEB3F2EF80109"/>
    <w:rsid w:val="00F5533F"/>
  </w:style>
  <w:style w:type="paragraph" w:customStyle="1" w:styleId="358DCF17E6A14C79A5444A7B3887C855">
    <w:name w:val="358DCF17E6A14C79A5444A7B3887C855"/>
    <w:rsid w:val="00F5533F"/>
  </w:style>
  <w:style w:type="paragraph" w:customStyle="1" w:styleId="08CDE35BC8E44B0DB888147CFB531C06">
    <w:name w:val="08CDE35BC8E44B0DB888147CFB531C06"/>
    <w:rsid w:val="00F5533F"/>
  </w:style>
  <w:style w:type="paragraph" w:customStyle="1" w:styleId="2FD765FC7FD742619EE06A39598307C2">
    <w:name w:val="2FD765FC7FD742619EE06A39598307C2"/>
    <w:rsid w:val="00F5533F"/>
  </w:style>
  <w:style w:type="paragraph" w:customStyle="1" w:styleId="D214928921AE4B559D1A2A37AF1D60FF">
    <w:name w:val="D214928921AE4B559D1A2A37AF1D60FF"/>
    <w:rsid w:val="00F5533F"/>
  </w:style>
  <w:style w:type="paragraph" w:customStyle="1" w:styleId="B791F35946C64D69A9B619B54B0FD2D9">
    <w:name w:val="B791F35946C64D69A9B619B54B0FD2D9"/>
    <w:rsid w:val="00A91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440B83D59604CAF872C6C0778D4EE" ma:contentTypeVersion="2" ma:contentTypeDescription="Create a new document." ma:contentTypeScope="" ma:versionID="a70f3771f07fe8c51d90fdaa327a0533">
  <xsd:schema xmlns:xsd="http://www.w3.org/2001/XMLSchema" xmlns:xs="http://www.w3.org/2001/XMLSchema" xmlns:p="http://schemas.microsoft.com/office/2006/metadata/properties" xmlns:ns2="4d89c9d3-cf9d-4152-ac9f-ad3059f15688" targetNamespace="http://schemas.microsoft.com/office/2006/metadata/properties" ma:root="true" ma:fieldsID="b264122f9caf19482d10bfd5520e8ea4" ns2:_="">
    <xsd:import namespace="4d89c9d3-cf9d-4152-ac9f-ad3059f15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9c9d3-cf9d-4152-ac9f-ad3059f15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23A11-7CAE-4A20-9677-24A7E512FD3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d89c9d3-cf9d-4152-ac9f-ad3059f1568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2C8D6A-2842-45EA-AFC1-38981B951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44992-72A4-4521-93F3-48A6B31AA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9c9d3-cf9d-4152-ac9f-ad3059f15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806385-CE04-4A73-8496-EB4D56B6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D91D3AB7.dotm</Template>
  <TotalTime>0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2019-12-01T21:44:00Z</dcterms:created>
  <dcterms:modified xsi:type="dcterms:W3CDTF">2020-01-15T03:23:00Z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0x010100ED8440B83D59604CAF872C6C0778D4EE</vt:lpwstr>
  </property>
</Properties>
</file>