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1036E0" w:rsidP="00B40C60">
          <w:pPr>
            <w:pStyle w:val="Heading1"/>
            <w:jc w:val="center"/>
            <w:rPr>
              <w:rFonts w:ascii="Arial" w:hAnsi="Arial" w:cs="Arial"/>
            </w:rPr>
          </w:pPr>
          <w:r w:rsidRPr="001036E0">
            <w:rPr>
              <w:rFonts w:ascii="Arial" w:hAnsi="Arial" w:cs="Arial"/>
            </w:rPr>
            <w:t>Heptachlor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4"/>
        <w:gridCol w:w="5042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E43DB6" w:rsidP="00B76A41">
            <w:pPr>
              <w:pStyle w:val="Tablefont"/>
            </w:pPr>
            <w:r w:rsidRPr="00E43DB6">
              <w:t>76-44-8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717D45" w:rsidRDefault="00E43DB6" w:rsidP="00B76A41">
            <w:pPr>
              <w:pStyle w:val="Tablefont"/>
            </w:pPr>
            <w:r>
              <w:t>1,4,5,6,7,8,8a-Heptachloro-3a,4,7,7a-tetrahydro-4,7-methano-indene, 3-chloro-chlordene, heptagran, drinox H-34, heptamul, rhodiachlor, velsicol 104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E43DB6" w:rsidP="00B76A41">
            <w:pPr>
              <w:pStyle w:val="Tablefont"/>
            </w:pPr>
            <w:r>
              <w:t>C</w:t>
            </w:r>
            <w:r w:rsidRPr="00E43DB6">
              <w:rPr>
                <w:vertAlign w:val="subscript"/>
              </w:rPr>
              <w:t>10</w:t>
            </w:r>
            <w:r>
              <w:t>H</w:t>
            </w:r>
            <w:r w:rsidRPr="00E43DB6">
              <w:rPr>
                <w:vertAlign w:val="subscript"/>
              </w:rPr>
              <w:t>5</w:t>
            </w:r>
            <w:r>
              <w:t>Cl</w:t>
            </w:r>
            <w:r w:rsidRPr="00E43DB6">
              <w:rPr>
                <w:vertAlign w:val="subscript"/>
              </w:rPr>
              <w:t>7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B40C60" w:rsidRDefault="00271140" w:rsidP="00B76A41">
            <w:pPr>
              <w:pStyle w:val="Tablerowheading"/>
              <w:rPr>
                <w:b w:val="0"/>
              </w:rPr>
            </w:pPr>
            <w:r w:rsidRPr="00271140">
              <w:rPr>
                <w:b w:val="0"/>
              </w:rPr>
              <w:t>—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E29B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:rsidTr="00191264">
        <w:trPr>
          <w:cantSplit/>
          <w:tblHeader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:rsidR="002C7AFE" w:rsidRPr="004E29B0" w:rsidRDefault="004E29B0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0.05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:rsidTr="00191264">
        <w:trPr>
          <w:cantSplit/>
        </w:trPr>
        <w:tc>
          <w:tcPr>
            <w:tcW w:w="4005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4E29B0" w:rsidP="00017C82">
            <w:pPr>
              <w:pStyle w:val="Tablefont"/>
              <w:rPr>
                <w:b/>
              </w:rPr>
            </w:pPr>
            <w:r w:rsidRPr="00271140">
              <w:t>—</w:t>
            </w:r>
          </w:p>
        </w:tc>
      </w:tr>
      <w:tr w:rsidR="002C7AFE" w:rsidRPr="004C23F4" w:rsidTr="00191264">
        <w:trPr>
          <w:cantSplit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:rsidR="002C7AFE" w:rsidRPr="00EB3D1B" w:rsidRDefault="004E29B0" w:rsidP="00017C82">
            <w:pPr>
              <w:pStyle w:val="Tablefont"/>
              <w:rPr>
                <w:b/>
              </w:rPr>
            </w:pPr>
            <w:r w:rsidRPr="00271140">
              <w:t>—</w:t>
            </w:r>
          </w:p>
        </w:tc>
      </w:tr>
      <w:tr w:rsidR="002C7AFE" w:rsidRPr="004C23F4" w:rsidTr="00191264">
        <w:trPr>
          <w:cantSplit/>
        </w:trPr>
        <w:tc>
          <w:tcPr>
            <w:tcW w:w="4005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D5031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Carc. </w:t>
            </w:r>
            <w:r w:rsidR="004E29B0">
              <w:rPr>
                <w:b/>
              </w:rPr>
              <w:t>2, Sk.</w:t>
            </w:r>
          </w:p>
        </w:tc>
      </w:tr>
      <w:tr w:rsidR="002C7AFE" w:rsidRPr="004C23F4" w:rsidTr="00191264">
        <w:trPr>
          <w:cantSplit/>
        </w:trPr>
        <w:tc>
          <w:tcPr>
            <w:tcW w:w="4005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:rsidR="002C7AFE" w:rsidRPr="00EB3D1B" w:rsidRDefault="0027114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35 mg/m</w:t>
            </w:r>
            <w:r w:rsidRPr="00271140">
              <w:rPr>
                <w:b/>
                <w:vertAlign w:val="superscript"/>
              </w:rPr>
              <w:t>3</w:t>
            </w:r>
          </w:p>
        </w:tc>
      </w:tr>
      <w:tr w:rsidR="00191264" w:rsidRPr="004C23F4" w:rsidTr="007504AD">
        <w:trPr>
          <w:cantSplit/>
        </w:trPr>
        <w:tc>
          <w:tcPr>
            <w:tcW w:w="9026" w:type="dxa"/>
            <w:gridSpan w:val="2"/>
            <w:vAlign w:val="center"/>
          </w:tcPr>
          <w:p w:rsidR="00191264" w:rsidRPr="00EB3D1B" w:rsidRDefault="00191264" w:rsidP="00191264">
            <w:pPr>
              <w:pStyle w:val="Tablefont"/>
              <w:rPr>
                <w:b/>
              </w:rPr>
            </w:pPr>
            <w:r w:rsidRPr="009B7D88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34E21F379E44808A5FED68C35306F8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D5031A" w:rsidRPr="009B7D8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Pr="004E29B0" w:rsidRDefault="004E29B0" w:rsidP="000C139A">
      <w:pPr>
        <w:rPr>
          <w:rFonts w:cs="Arial"/>
        </w:rPr>
      </w:pPr>
      <w:r>
        <w:rPr>
          <w:rFonts w:cs="Arial"/>
        </w:rPr>
        <w:t>A TWA of 0.05 mg/m</w:t>
      </w:r>
      <w:r w:rsidR="00D5031A" w:rsidRPr="00D5031A">
        <w:rPr>
          <w:rFonts w:cs="Arial"/>
          <w:vertAlign w:val="superscript"/>
        </w:rPr>
        <w:t>3</w:t>
      </w:r>
      <w:r w:rsidR="00D5031A" w:rsidRPr="009B7D88">
        <w:rPr>
          <w:rFonts w:cs="Arial"/>
        </w:rPr>
        <w:t xml:space="preserve"> </w:t>
      </w:r>
      <w:r>
        <w:rPr>
          <w:rFonts w:cs="Arial"/>
        </w:rPr>
        <w:t xml:space="preserve">is recommended to protect for effects on the liver and </w:t>
      </w:r>
      <w:r w:rsidR="009B7D88">
        <w:rPr>
          <w:rFonts w:cs="Arial"/>
        </w:rPr>
        <w:t>the risk of cancer</w:t>
      </w:r>
      <w:r>
        <w:rPr>
          <w:rFonts w:cs="Arial"/>
        </w:rPr>
        <w:t xml:space="preserve"> in exposed workers.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9B7D88" w:rsidRDefault="00F173BB" w:rsidP="003871E4">
      <w:pPr>
        <w:rPr>
          <w:shd w:val="clear" w:color="auto" w:fill="FFFFFF"/>
        </w:rPr>
      </w:pPr>
      <w:r>
        <w:t>Heptachlor is as an insecticide</w:t>
      </w:r>
      <w:r w:rsidR="003871E4">
        <w:t xml:space="preserve"> that is</w:t>
      </w:r>
      <w:r w:rsidR="003871E4">
        <w:rPr>
          <w:shd w:val="clear" w:color="auto" w:fill="FFFFFF"/>
        </w:rPr>
        <w:t xml:space="preserve"> </w:t>
      </w:r>
      <w:r w:rsidR="004F2DEA">
        <w:rPr>
          <w:shd w:val="clear" w:color="auto" w:fill="FFFFFF"/>
        </w:rPr>
        <w:t xml:space="preserve">well absorbed both </w:t>
      </w:r>
      <w:r w:rsidR="003871E4">
        <w:rPr>
          <w:shd w:val="clear" w:color="auto" w:fill="FFFFFF"/>
        </w:rPr>
        <w:t xml:space="preserve">orally and dermally and stored in the fatty tissue. </w:t>
      </w:r>
    </w:p>
    <w:p w:rsidR="003871E4" w:rsidRDefault="003871E4" w:rsidP="003871E4">
      <w:r>
        <w:rPr>
          <w:shd w:val="clear" w:color="auto" w:fill="FFFFFF"/>
        </w:rPr>
        <w:t>Critical eff</w:t>
      </w:r>
      <w:r w:rsidR="009B7D88">
        <w:rPr>
          <w:shd w:val="clear" w:color="auto" w:fill="FFFFFF"/>
        </w:rPr>
        <w:t>ects associated with exposure are</w:t>
      </w:r>
      <w:r>
        <w:rPr>
          <w:shd w:val="clear" w:color="auto" w:fill="FFFFFF"/>
        </w:rPr>
        <w:t xml:space="preserve"> adverse </w:t>
      </w:r>
      <w:r>
        <w:t>liver effects. Effects on the blood and</w:t>
      </w:r>
      <w:r w:rsidR="009B7D88">
        <w:t xml:space="preserve"> a</w:t>
      </w:r>
      <w:r>
        <w:t xml:space="preserve"> possible </w:t>
      </w:r>
      <w:r w:rsidR="009B7D88">
        <w:t xml:space="preserve">link to </w:t>
      </w:r>
      <w:r>
        <w:t xml:space="preserve">cancer </w:t>
      </w:r>
      <w:r w:rsidR="009B7D88">
        <w:t>are</w:t>
      </w:r>
      <w:r>
        <w:t xml:space="preserve"> observed. </w:t>
      </w:r>
      <w:r w:rsidR="009B7D88">
        <w:t>Heptachlor is not considered to be mutagenic (ACGIH, 2018).</w:t>
      </w:r>
      <w:r>
        <w:t xml:space="preserve">Several cases </w:t>
      </w:r>
      <w:r w:rsidR="009B7D88">
        <w:t>report</w:t>
      </w:r>
      <w:r>
        <w:t xml:space="preserve"> </w:t>
      </w:r>
      <w:r w:rsidR="004F2DEA">
        <w:t>an</w:t>
      </w:r>
      <w:r>
        <w:t xml:space="preserve"> association between blood dyscrasias including leukaemia in humans and exposure to heptachlor (and chlordane)</w:t>
      </w:r>
      <w:r w:rsidR="00191264">
        <w:t>,</w:t>
      </w:r>
      <w:r>
        <w:t xml:space="preserve"> but no information on exposure levels </w:t>
      </w:r>
      <w:r w:rsidR="004F2DEA">
        <w:t>are</w:t>
      </w:r>
      <w:r>
        <w:t xml:space="preserve"> presented. </w:t>
      </w:r>
      <w:r>
        <w:rPr>
          <w:rFonts w:cs="Arial"/>
          <w:color w:val="1C1D1E"/>
          <w:shd w:val="clear" w:color="auto" w:fill="FFFFFF"/>
        </w:rPr>
        <w:t>A benchmark dose of 0.05 mg/kg</w:t>
      </w:r>
      <w:r w:rsidR="00023EF1">
        <w:rPr>
          <w:rFonts w:cs="Arial"/>
          <w:color w:val="1C1D1E"/>
          <w:shd w:val="clear" w:color="auto" w:fill="FFFFFF"/>
        </w:rPr>
        <w:t>/day</w:t>
      </w:r>
      <w:r>
        <w:rPr>
          <w:rFonts w:cs="Arial"/>
          <w:color w:val="1C1D1E"/>
          <w:shd w:val="clear" w:color="auto" w:fill="FFFFFF"/>
        </w:rPr>
        <w:t xml:space="preserve"> was calculated from a </w:t>
      </w:r>
      <w:r w:rsidR="00023EF1">
        <w:rPr>
          <w:rFonts w:cs="Arial"/>
          <w:color w:val="1C1D1E"/>
          <w:shd w:val="clear" w:color="auto" w:fill="FFFFFF"/>
        </w:rPr>
        <w:t>two</w:t>
      </w:r>
      <w:r w:rsidR="00BF0B9A">
        <w:rPr>
          <w:rFonts w:cs="Arial"/>
          <w:color w:val="1C1D1E"/>
          <w:shd w:val="clear" w:color="auto" w:fill="FFFFFF"/>
        </w:rPr>
        <w:t xml:space="preserve"> </w:t>
      </w:r>
      <w:r w:rsidR="009B7D88">
        <w:rPr>
          <w:rFonts w:cs="Arial"/>
          <w:color w:val="1C1D1E"/>
          <w:shd w:val="clear" w:color="auto" w:fill="FFFFFF"/>
        </w:rPr>
        <w:t>week feeding study i</w:t>
      </w:r>
      <w:r w:rsidR="004F2DEA">
        <w:rPr>
          <w:rFonts w:cs="Arial"/>
          <w:color w:val="1C1D1E"/>
          <w:shd w:val="clear" w:color="auto" w:fill="FFFFFF"/>
        </w:rPr>
        <w:t>n rats which</w:t>
      </w:r>
      <w:r>
        <w:rPr>
          <w:rFonts w:cs="Arial"/>
          <w:color w:val="1C1D1E"/>
          <w:shd w:val="clear" w:color="auto" w:fill="FFFFFF"/>
        </w:rPr>
        <w:t xml:space="preserve"> corresponds to an airborne concentration of 0.1 mg/m</w:t>
      </w:r>
      <w:r>
        <w:rPr>
          <w:rFonts w:cs="Arial"/>
          <w:color w:val="1C1D1E"/>
          <w:shd w:val="clear" w:color="auto" w:fill="FFFFFF"/>
          <w:vertAlign w:val="superscript"/>
        </w:rPr>
        <w:t>3</w:t>
      </w:r>
      <w:r>
        <w:rPr>
          <w:rFonts w:cs="Arial"/>
          <w:color w:val="1C1D1E"/>
          <w:shd w:val="clear" w:color="auto" w:fill="FFFFFF"/>
        </w:rPr>
        <w:t xml:space="preserve"> (DFG, 2008). A NOAEL </w:t>
      </w:r>
      <w:r w:rsidR="009B7D88">
        <w:t>of 0.025 mg/kg</w:t>
      </w:r>
      <w:r w:rsidR="00023EF1">
        <w:t>/day</w:t>
      </w:r>
      <w:r w:rsidR="009B7D88">
        <w:t xml:space="preserve"> in dogs is reported</w:t>
      </w:r>
      <w:r>
        <w:t xml:space="preserve"> in a </w:t>
      </w:r>
      <w:r w:rsidR="00023EF1">
        <w:t>two</w:t>
      </w:r>
      <w:r w:rsidR="00BF0B9A">
        <w:t xml:space="preserve"> </w:t>
      </w:r>
      <w:r>
        <w:t xml:space="preserve">year feeding </w:t>
      </w:r>
      <w:r w:rsidR="004E29B0">
        <w:t>study</w:t>
      </w:r>
      <w:r w:rsidR="009B7D88">
        <w:t>, corresponding</w:t>
      </w:r>
      <w:r>
        <w:rPr>
          <w:rFonts w:cs="Arial"/>
          <w:color w:val="1C1D1E"/>
          <w:shd w:val="clear" w:color="auto" w:fill="FFFFFF"/>
        </w:rPr>
        <w:t xml:space="preserve"> to a</w:t>
      </w:r>
      <w:r w:rsidR="00023EF1">
        <w:rPr>
          <w:rFonts w:cs="Arial"/>
          <w:color w:val="1C1D1E"/>
          <w:shd w:val="clear" w:color="auto" w:fill="FFFFFF"/>
        </w:rPr>
        <w:t xml:space="preserve"> NOAEC</w:t>
      </w:r>
      <w:r>
        <w:rPr>
          <w:rFonts w:cs="Arial"/>
          <w:color w:val="1C1D1E"/>
          <w:shd w:val="clear" w:color="auto" w:fill="FFFFFF"/>
        </w:rPr>
        <w:t xml:space="preserve"> of 0.1</w:t>
      </w:r>
      <w:r w:rsidR="004E29B0">
        <w:rPr>
          <w:rFonts w:cs="Arial"/>
          <w:color w:val="1C1D1E"/>
          <w:shd w:val="clear" w:color="auto" w:fill="FFFFFF"/>
        </w:rPr>
        <w:t>5</w:t>
      </w:r>
      <w:r>
        <w:rPr>
          <w:rFonts w:cs="Arial"/>
          <w:color w:val="1C1D1E"/>
          <w:shd w:val="clear" w:color="auto" w:fill="FFFFFF"/>
        </w:rPr>
        <w:t xml:space="preserve"> mg/m</w:t>
      </w:r>
      <w:r>
        <w:rPr>
          <w:rFonts w:cs="Arial"/>
          <w:color w:val="1C1D1E"/>
          <w:shd w:val="clear" w:color="auto" w:fill="FFFFFF"/>
          <w:vertAlign w:val="superscript"/>
        </w:rPr>
        <w:t>3</w:t>
      </w:r>
      <w:r>
        <w:t xml:space="preserve"> </w:t>
      </w:r>
      <w:r w:rsidR="004E29B0">
        <w:rPr>
          <w:rFonts w:cs="Arial"/>
          <w:color w:val="1C1D1E"/>
          <w:shd w:val="clear" w:color="auto" w:fill="FFFFFF"/>
        </w:rPr>
        <w:t>(DFG, 2008).</w:t>
      </w:r>
      <w:r w:rsidR="004E29B0">
        <w:t xml:space="preserve"> </w:t>
      </w:r>
      <w:r>
        <w:t xml:space="preserve">Carcinomas of the liver </w:t>
      </w:r>
      <w:r w:rsidR="009B7D88">
        <w:t>are reported</w:t>
      </w:r>
      <w:r>
        <w:t xml:space="preserve"> in mice fed 10</w:t>
      </w:r>
      <w:r w:rsidR="009B7D88">
        <w:t> </w:t>
      </w:r>
      <w:r>
        <w:t>mg/kg/d</w:t>
      </w:r>
      <w:r w:rsidR="00023EF1">
        <w:t>ay</w:t>
      </w:r>
      <w:r>
        <w:t xml:space="preserve"> over </w:t>
      </w:r>
      <w:r w:rsidR="00191264">
        <w:t>two</w:t>
      </w:r>
      <w:r>
        <w:t xml:space="preserve"> y</w:t>
      </w:r>
      <w:r w:rsidR="004E29B0">
        <w:t>ea</w:t>
      </w:r>
      <w:r>
        <w:t>r</w:t>
      </w:r>
      <w:r w:rsidR="004E29B0">
        <w:t xml:space="preserve">s. </w:t>
      </w:r>
    </w:p>
    <w:p w:rsidR="006639B4" w:rsidRPr="004C23F4" w:rsidRDefault="00D05E73" w:rsidP="00D05E73">
      <w:pPr>
        <w:rPr>
          <w:rFonts w:cs="Arial"/>
        </w:rPr>
      </w:pPr>
      <w:r>
        <w:t>The</w:t>
      </w:r>
      <w:r w:rsidR="00023EF1">
        <w:t xml:space="preserve"> TWA of 0.05 mg/m</w:t>
      </w:r>
      <w:r w:rsidR="00023EF1">
        <w:rPr>
          <w:vertAlign w:val="superscript"/>
        </w:rPr>
        <w:t>3</w:t>
      </w:r>
      <w:r w:rsidR="00023EF1">
        <w:t xml:space="preserve"> </w:t>
      </w:r>
      <w:r>
        <w:t xml:space="preserve">published by </w:t>
      </w:r>
      <w:r w:rsidR="000F4E07">
        <w:t xml:space="preserve">ACGIH, </w:t>
      </w:r>
      <w:r>
        <w:t>(</w:t>
      </w:r>
      <w:r w:rsidR="000F4E07">
        <w:t>2018</w:t>
      </w:r>
      <w:r>
        <w:t xml:space="preserve">) and </w:t>
      </w:r>
      <w:r>
        <w:rPr>
          <w:rFonts w:cs="Arial"/>
          <w:color w:val="1C1D1E"/>
          <w:shd w:val="clear" w:color="auto" w:fill="FFFFFF"/>
        </w:rPr>
        <w:t>DFG, (2008</w:t>
      </w:r>
      <w:r>
        <w:t>) is recommended to be adopted</w:t>
      </w:r>
      <w:r w:rsidRPr="00D05E73">
        <w:t xml:space="preserve"> </w:t>
      </w:r>
      <w:r>
        <w:t xml:space="preserve">and it is considered sufficiently protective for the </w:t>
      </w:r>
      <w:r w:rsidR="00246511">
        <w:t xml:space="preserve">critical </w:t>
      </w:r>
      <w:r>
        <w:t xml:space="preserve">effects </w:t>
      </w:r>
      <w:r w:rsidR="00246511">
        <w:t xml:space="preserve">identified </w:t>
      </w:r>
      <w:r>
        <w:t xml:space="preserve">in humans. </w:t>
      </w:r>
      <w:r w:rsidR="00346723">
        <w:rPr>
          <w:rFonts w:cs="Arial"/>
          <w:color w:val="1C1D1E"/>
          <w:shd w:val="clear" w:color="auto" w:fill="FFFFFF"/>
        </w:rPr>
        <w:t xml:space="preserve">DFG, (2008) derived the MAK </w:t>
      </w:r>
      <w:r>
        <w:t xml:space="preserve">by </w:t>
      </w:r>
      <w:r w:rsidR="00023EF1">
        <w:t xml:space="preserve">dividing the NOAEC </w:t>
      </w:r>
      <w:r w:rsidR="000F4E07">
        <w:t>of 0.15 mg/m</w:t>
      </w:r>
      <w:r w:rsidR="000F4E07" w:rsidRPr="00BF0B9A">
        <w:rPr>
          <w:vertAlign w:val="superscript"/>
        </w:rPr>
        <w:t>3</w:t>
      </w:r>
      <w:r w:rsidR="000F4E07">
        <w:t xml:space="preserve"> </w:t>
      </w:r>
      <w:r w:rsidR="00023EF1">
        <w:t>by</w:t>
      </w:r>
      <w:r w:rsidR="009B7D88">
        <w:t xml:space="preserve"> </w:t>
      </w:r>
      <w:r w:rsidR="000F4E07">
        <w:t xml:space="preserve">a specific </w:t>
      </w:r>
      <w:r w:rsidR="009B7D88">
        <w:t>uncertainty factor</w:t>
      </w:r>
      <w:r w:rsidR="00346723">
        <w:t>.</w:t>
      </w:r>
      <w:r w:rsidR="00023EF1">
        <w:t xml:space="preserve"> 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E43DB6" w:rsidRPr="00504060" w:rsidRDefault="00314E3F" w:rsidP="00E43DB6">
      <w:pPr>
        <w:rPr>
          <w:rFonts w:cs="Arial"/>
        </w:rPr>
      </w:pPr>
      <w:r>
        <w:rPr>
          <w:rFonts w:cs="Arial"/>
        </w:rPr>
        <w:t>C</w:t>
      </w:r>
      <w:r w:rsidR="00E43DB6" w:rsidRPr="00504060">
        <w:rPr>
          <w:rFonts w:cs="Arial"/>
        </w:rPr>
        <w:t xml:space="preserve">lassified as a </w:t>
      </w:r>
      <w:r w:rsidR="00D5031A">
        <w:rPr>
          <w:rFonts w:cs="Arial"/>
        </w:rPr>
        <w:t xml:space="preserve">category 2 </w:t>
      </w:r>
      <w:r w:rsidR="00E43DB6" w:rsidRPr="00504060">
        <w:rPr>
          <w:rFonts w:cs="Arial"/>
        </w:rPr>
        <w:t>carcinogen according to the Globally Harmonized System of Classification and Labelling o</w:t>
      </w:r>
      <w:r w:rsidR="00191264">
        <w:rPr>
          <w:rFonts w:cs="Arial"/>
        </w:rPr>
        <w:t>f</w:t>
      </w:r>
      <w:r w:rsidR="00E43DB6" w:rsidRPr="00504060">
        <w:rPr>
          <w:rFonts w:cs="Arial"/>
        </w:rPr>
        <w:t xml:space="preserve"> Chemicals (GHS). </w:t>
      </w:r>
    </w:p>
    <w:p w:rsidR="00E43DB6" w:rsidRPr="00504060" w:rsidRDefault="00E43DB6" w:rsidP="00E43DB6">
      <w:pPr>
        <w:rPr>
          <w:rFonts w:cs="Arial"/>
        </w:rPr>
      </w:pPr>
      <w:r w:rsidRPr="00504060">
        <w:rPr>
          <w:rFonts w:cs="Arial"/>
        </w:rPr>
        <w:t xml:space="preserve">Not classified as a skin </w:t>
      </w:r>
      <w:r w:rsidR="00191264" w:rsidRPr="00504060">
        <w:rPr>
          <w:rFonts w:cs="Arial"/>
        </w:rPr>
        <w:t xml:space="preserve">sensitiser </w:t>
      </w:r>
      <w:r w:rsidRPr="00504060">
        <w:rPr>
          <w:rFonts w:cs="Arial"/>
        </w:rPr>
        <w:t>or respiratory sensitiser according to the GHS.</w:t>
      </w:r>
    </w:p>
    <w:p w:rsidR="005E6979" w:rsidRPr="004C23F4" w:rsidRDefault="00314E3F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lastRenderedPageBreak/>
        <w:t>A skin notation is recommended based on evidence in animals</w:t>
      </w:r>
      <w:r w:rsidR="00191264">
        <w:rPr>
          <w:rFonts w:cs="Arial"/>
        </w:rPr>
        <w:t xml:space="preserve">. </w:t>
      </w: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7114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71140">
                  <w:t>TWA: 0.5 mg/m</w:t>
                </w:r>
                <w:r w:rsidR="00271140" w:rsidRPr="0027114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7114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71140">
                  <w:t>TLV-TWA: 0.05 mg/m</w:t>
                </w:r>
                <w:r w:rsidR="00271140" w:rsidRPr="0027114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F173BB" w:rsidP="003365A5">
            <w:pPr>
              <w:pStyle w:val="Tabletextprimarysource"/>
            </w:pPr>
            <w:r>
              <w:t>TLV-TWA is recommended to protect for liver damage as reported in animals and to minimise the potential for blood dyscrasias and possible cancer.</w:t>
            </w:r>
          </w:p>
          <w:p w:rsidR="00F173BB" w:rsidRDefault="00F173BB" w:rsidP="003365A5">
            <w:pPr>
              <w:pStyle w:val="Tabletextprimarysource"/>
            </w:pPr>
            <w:r>
              <w:t>Summary of data:</w:t>
            </w:r>
          </w:p>
          <w:p w:rsidR="00F173BB" w:rsidRDefault="00F173BB" w:rsidP="00F173BB">
            <w:pPr>
              <w:pStyle w:val="Tabletextprimarysource"/>
            </w:pPr>
            <w:r>
              <w:t>Human data:</w:t>
            </w:r>
          </w:p>
          <w:p w:rsidR="00F173BB" w:rsidRDefault="003871E4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Several</w:t>
            </w:r>
            <w:r w:rsidR="00F173BB">
              <w:t xml:space="preserve"> case</w:t>
            </w:r>
            <w:r w:rsidR="0084367F">
              <w:t xml:space="preserve"> reports</w:t>
            </w:r>
            <w:r w:rsidR="00F173BB">
              <w:t xml:space="preserve"> describing the association between blood dyscrasias including leukaemia in humans and exposure to heptachlor (and chlordane); no information on exposure levels</w:t>
            </w:r>
          </w:p>
          <w:p w:rsidR="00F173BB" w:rsidRDefault="00F173BB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dose-dependent relationship between exposure and aplastic anaemia</w:t>
            </w:r>
            <w:r w:rsidR="00D5031A">
              <w:t>.</w:t>
            </w:r>
          </w:p>
          <w:p w:rsidR="00F173BB" w:rsidRDefault="00F173BB" w:rsidP="00F173BB">
            <w:pPr>
              <w:pStyle w:val="Tabletextprimarysource"/>
            </w:pPr>
            <w:r>
              <w:t>Animal data:</w:t>
            </w:r>
          </w:p>
          <w:p w:rsidR="00F173BB" w:rsidRDefault="0084367F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LD</w:t>
            </w:r>
            <w:r>
              <w:rPr>
                <w:vertAlign w:val="subscript"/>
              </w:rPr>
              <w:t>50</w:t>
            </w:r>
            <w:r>
              <w:t xml:space="preserve"> range</w:t>
            </w:r>
            <w:r w:rsidR="00D5031A">
              <w:t>:</w:t>
            </w:r>
            <w:r>
              <w:t xml:space="preserve"> 119</w:t>
            </w:r>
            <w:r w:rsidR="0065482C">
              <w:t>–</w:t>
            </w:r>
            <w:r>
              <w:t>2,000 mg/kg in rats, rabbits, and guinea pigs</w:t>
            </w:r>
          </w:p>
          <w:p w:rsidR="0084367F" w:rsidRDefault="0084367F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D5031A">
              <w:t>:</w:t>
            </w:r>
            <w:r>
              <w:t xml:space="preserve"> 150 mg/m</w:t>
            </w:r>
            <w:r>
              <w:rPr>
                <w:vertAlign w:val="superscript"/>
              </w:rPr>
              <w:t>3</w:t>
            </w:r>
            <w:r w:rsidR="00D5031A">
              <w:t xml:space="preserve"> (</w:t>
            </w:r>
            <w:r>
              <w:t>cats</w:t>
            </w:r>
            <w:r w:rsidR="00D5031A">
              <w:t>, 4 h)</w:t>
            </w:r>
          </w:p>
          <w:p w:rsidR="0084367F" w:rsidRDefault="0084367F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fe</w:t>
            </w:r>
            <w:r w:rsidR="0065482C">
              <w:t>d 7–</w:t>
            </w:r>
            <w:r>
              <w:t>12 mg/kg</w:t>
            </w:r>
            <w:r w:rsidR="002C6C16">
              <w:t>/d</w:t>
            </w:r>
            <w:r>
              <w:t xml:space="preserve"> for 14 d and 10 mg/kg</w:t>
            </w:r>
            <w:r w:rsidR="002C6C16">
              <w:t>/d</w:t>
            </w:r>
            <w:r>
              <w:t xml:space="preserve"> for 5</w:t>
            </w:r>
            <w:r w:rsidR="00191264">
              <w:t>–</w:t>
            </w:r>
            <w:r>
              <w:t>7 d showed significant liver damage and altered liver function</w:t>
            </w:r>
          </w:p>
          <w:p w:rsidR="0084367F" w:rsidRDefault="00F638EB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treated </w:t>
            </w:r>
            <w:r w:rsidR="00D5031A">
              <w:t>intramuscularly</w:t>
            </w:r>
            <w:r>
              <w:t xml:space="preserve"> with daily doses of 3 or 15 mg/kg</w:t>
            </w:r>
            <w:r w:rsidR="00023EF1">
              <w:t>/d</w:t>
            </w:r>
            <w:r>
              <w:t>; significant decrease in liver weight; significant decrease in testes weight at 15 mg/kg</w:t>
            </w:r>
            <w:r w:rsidR="00BF0B9A">
              <w:t>/d</w:t>
            </w:r>
          </w:p>
          <w:p w:rsidR="00F638EB" w:rsidRDefault="00F638EB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Pigs dosed daily with 2 or 5 mg/kg for 78 d; ultrastruc</w:t>
            </w:r>
            <w:r w:rsidR="00592747">
              <w:t>tural change</w:t>
            </w:r>
            <w:r>
              <w:t>s</w:t>
            </w:r>
            <w:r w:rsidR="00592747">
              <w:t xml:space="preserve"> </w:t>
            </w:r>
            <w:r>
              <w:t>in liver</w:t>
            </w:r>
          </w:p>
          <w:p w:rsidR="00592747" w:rsidRDefault="00592747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 of 5 mg/kg</w:t>
            </w:r>
            <w:r w:rsidR="000F4E07">
              <w:t>/d</w:t>
            </w:r>
            <w:r>
              <w:t xml:space="preserve"> in rats; regenerative liver changes</w:t>
            </w:r>
            <w:r w:rsidR="00C076D8">
              <w:t xml:space="preserve">; 2 </w:t>
            </w:r>
            <w:r w:rsidR="00191264">
              <w:t xml:space="preserve">yr </w:t>
            </w:r>
            <w:r w:rsidR="00C076D8">
              <w:t>feeding study</w:t>
            </w:r>
          </w:p>
          <w:p w:rsidR="00C076D8" w:rsidRDefault="00C076D8" w:rsidP="0065482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Carcinomas of the liver observed in mice fed 10 mg/kg/d over 2 yr</w:t>
            </w:r>
            <w:r w:rsidR="00191264">
              <w:t>.</w:t>
            </w:r>
          </w:p>
          <w:p w:rsidR="009B7D88" w:rsidRDefault="009B7D88" w:rsidP="000A690C">
            <w:pPr>
              <w:pStyle w:val="Tabletextprimarysource"/>
            </w:pPr>
          </w:p>
          <w:p w:rsidR="000A690C" w:rsidRDefault="00D05E73" w:rsidP="000A690C">
            <w:pPr>
              <w:pStyle w:val="Tabletextprimarysource"/>
            </w:pPr>
            <w:r>
              <w:t xml:space="preserve">Low </w:t>
            </w:r>
            <w:r w:rsidR="000A690C">
              <w:t>mutagenic activity</w:t>
            </w:r>
            <w:r w:rsidR="00191264">
              <w:t>.</w:t>
            </w:r>
          </w:p>
          <w:p w:rsidR="000A690C" w:rsidRDefault="000A690C" w:rsidP="000A690C">
            <w:pPr>
              <w:pStyle w:val="Tabletextprimarysource"/>
            </w:pPr>
            <w:r>
              <w:t>TLV-TWA justified by results of long-term studies; no derivation offered</w:t>
            </w:r>
            <w:r w:rsidR="00191264">
              <w:t>.</w:t>
            </w:r>
          </w:p>
          <w:p w:rsidR="000A690C" w:rsidRDefault="000A690C" w:rsidP="000A690C">
            <w:pPr>
              <w:pStyle w:val="Tabletextprimarysource"/>
            </w:pPr>
            <w:r>
              <w:t>Skin notation warranted</w:t>
            </w:r>
            <w:r w:rsidR="00191264">
              <w:t>.</w:t>
            </w:r>
          </w:p>
          <w:p w:rsidR="000A690C" w:rsidRDefault="000A690C" w:rsidP="000A690C">
            <w:pPr>
              <w:pStyle w:val="Tabletextprimarysource"/>
            </w:pPr>
            <w:r>
              <w:t>Insufficient data to recommend a sensitiser notation or STEL</w:t>
            </w:r>
            <w:r w:rsidR="00191264">
              <w:t>.</w:t>
            </w:r>
          </w:p>
          <w:p w:rsidR="000A690C" w:rsidRPr="00DA352E" w:rsidRDefault="000A6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71140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71140">
                  <w:t>MAK: 0.05 mg/m</w:t>
                </w:r>
                <w:r w:rsidR="00271140" w:rsidRPr="0027114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9B7D88">
        <w:trPr>
          <w:gridAfter w:val="1"/>
          <w:wAfter w:w="8" w:type="pct"/>
        </w:trPr>
        <w:tc>
          <w:tcPr>
            <w:tcW w:w="4992" w:type="pct"/>
          </w:tcPr>
          <w:p w:rsidR="00C978F0" w:rsidRDefault="002006D6" w:rsidP="003365A5">
            <w:pPr>
              <w:pStyle w:val="Tabletextprimarysource"/>
            </w:pPr>
            <w:r>
              <w:t>Summary of additional data:</w:t>
            </w:r>
          </w:p>
          <w:p w:rsidR="002006D6" w:rsidRPr="002006D6" w:rsidRDefault="002006D6" w:rsidP="0065482C">
            <w:pPr>
              <w:pStyle w:val="ListBullet"/>
              <w:spacing w:before="60" w:after="60"/>
              <w:ind w:left="720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Critical </w:t>
            </w:r>
            <w:r w:rsidRPr="00D5031A">
              <w:t>effect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is enzyme induction in the liver</w:t>
            </w:r>
          </w:p>
          <w:p w:rsidR="002006D6" w:rsidRPr="002006D6" w:rsidRDefault="002006D6" w:rsidP="0065482C">
            <w:pPr>
              <w:pStyle w:val="ListBullet"/>
              <w:spacing w:before="60" w:after="60"/>
              <w:ind w:left="720"/>
              <w:contextualSpacing w:val="0"/>
            </w:pPr>
            <w:r>
              <w:rPr>
                <w:shd w:val="clear" w:color="auto" w:fill="FFFFFF"/>
              </w:rPr>
              <w:t>BMDL of 0.</w:t>
            </w:r>
            <w:r w:rsidRPr="00D5031A">
              <w:t>05</w:t>
            </w:r>
            <w:r>
              <w:rPr>
                <w:shd w:val="clear" w:color="auto" w:fill="FFFFFF"/>
              </w:rPr>
              <w:t xml:space="preserve"> mg/kg</w:t>
            </w:r>
            <w:r w:rsidR="000F4E07">
              <w:rPr>
                <w:shd w:val="clear" w:color="auto" w:fill="FFFFFF"/>
              </w:rPr>
              <w:t>/d</w:t>
            </w:r>
            <w:r>
              <w:rPr>
                <w:shd w:val="clear" w:color="auto" w:fill="FFFFFF"/>
              </w:rPr>
              <w:t xml:space="preserve"> </w:t>
            </w:r>
            <w:r w:rsidR="003871E4" w:rsidRPr="003871E4">
              <w:rPr>
                <w:rFonts w:cs="Arial"/>
                <w:color w:val="1C1D1E"/>
                <w:shd w:val="clear" w:color="auto" w:fill="FFFFFF"/>
              </w:rPr>
              <w:t xml:space="preserve">for enzyme induction </w:t>
            </w:r>
            <w:r>
              <w:rPr>
                <w:shd w:val="clear" w:color="auto" w:fill="FFFFFF"/>
              </w:rPr>
              <w:t>calculated from a 2</w:t>
            </w:r>
            <w:r w:rsidR="0019126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wk feeding study on rats; toxicokinetic transmission to airborne concentration of 0.1 mg/m</w:t>
            </w:r>
            <w:r>
              <w:rPr>
                <w:shd w:val="clear" w:color="auto" w:fill="FFFFFF"/>
                <w:vertAlign w:val="superscript"/>
              </w:rPr>
              <w:t>3</w:t>
            </w:r>
            <w:r>
              <w:rPr>
                <w:shd w:val="clear" w:color="auto" w:fill="FFFFFF"/>
              </w:rPr>
              <w:t xml:space="preserve"> using following factors:</w:t>
            </w:r>
          </w:p>
          <w:p w:rsidR="002006D6" w:rsidRDefault="002006D6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7/5 conversion for daily animal exposure to workweek exposure</w:t>
            </w:r>
          </w:p>
          <w:p w:rsidR="002006D6" w:rsidRPr="002006D6" w:rsidRDefault="002006D6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1:4 rat-human s</w:t>
            </w:r>
            <w:r>
              <w:rPr>
                <w:rFonts w:cs="Arial"/>
                <w:color w:val="1C1D1E"/>
                <w:shd w:val="clear" w:color="auto" w:fill="FFFFFF"/>
              </w:rPr>
              <w:t>pecies-specific correction value; as per DFG methodology</w:t>
            </w:r>
          </w:p>
          <w:p w:rsidR="002006D6" w:rsidRDefault="0065482C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o</w:t>
            </w:r>
            <w:r w:rsidR="002006D6">
              <w:t>ral absorption of 84% in rats</w:t>
            </w:r>
          </w:p>
          <w:p w:rsidR="002006D6" w:rsidRDefault="002006D6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70 kg worker inhaling 10 m</w:t>
            </w:r>
            <w:r>
              <w:rPr>
                <w:vertAlign w:val="superscript"/>
              </w:rPr>
              <w:t>3</w:t>
            </w:r>
            <w:r>
              <w:t xml:space="preserve"> per 8</w:t>
            </w:r>
            <w:r w:rsidR="00191264">
              <w:t xml:space="preserve"> </w:t>
            </w:r>
            <w:r>
              <w:t>h shift</w:t>
            </w:r>
          </w:p>
          <w:p w:rsidR="002006D6" w:rsidRDefault="0065482C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i</w:t>
            </w:r>
            <w:r w:rsidR="002006D6">
              <w:t>nhaled concentration = (oral dose x oral absorption in animal x 70 kg bw)</w:t>
            </w:r>
            <w:r w:rsidR="00D4032D">
              <w:t>/ (s</w:t>
            </w:r>
            <w:r w:rsidR="00D4032D">
              <w:rPr>
                <w:rFonts w:cs="Arial"/>
                <w:color w:val="1C1D1E"/>
                <w:shd w:val="clear" w:color="auto" w:fill="FFFFFF"/>
              </w:rPr>
              <w:t>pecies-specific correction value x inhalation absorption in humans x 10</w:t>
            </w:r>
            <w:r w:rsidR="00D4032D"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="00D4032D">
              <w:rPr>
                <w:rFonts w:cs="Arial"/>
                <w:color w:val="1C1D1E"/>
                <w:shd w:val="clear" w:color="auto" w:fill="FFFFFF"/>
              </w:rPr>
              <w:t>/d)</w:t>
            </w:r>
          </w:p>
          <w:p w:rsidR="00D4032D" w:rsidRPr="002006D6" w:rsidRDefault="00D4032D" w:rsidP="0065482C">
            <w:pPr>
              <w:pStyle w:val="ListBullet"/>
              <w:spacing w:before="60" w:after="60"/>
              <w:ind w:left="720"/>
              <w:contextualSpacing w:val="0"/>
            </w:pPr>
            <w:r>
              <w:rPr>
                <w:shd w:val="clear" w:color="auto" w:fill="FFFFFF"/>
              </w:rPr>
              <w:lastRenderedPageBreak/>
              <w:t>NOAEL of 0.025 mg/kg</w:t>
            </w:r>
            <w:r w:rsidR="000F4E07">
              <w:rPr>
                <w:shd w:val="clear" w:color="auto" w:fill="FFFFFF"/>
              </w:rPr>
              <w:t>/d</w:t>
            </w:r>
            <w:r>
              <w:rPr>
                <w:shd w:val="clear" w:color="auto" w:fill="FFFFFF"/>
              </w:rPr>
              <w:t xml:space="preserve"> in dogs</w:t>
            </w:r>
            <w:r w:rsidR="003871E4">
              <w:rPr>
                <w:shd w:val="clear" w:color="auto" w:fill="FFFFFF"/>
              </w:rPr>
              <w:t xml:space="preserve"> for h</w:t>
            </w:r>
            <w:r w:rsidR="003871E4" w:rsidRPr="003871E4">
              <w:rPr>
                <w:rFonts w:cs="Arial"/>
                <w:color w:val="1C1D1E"/>
                <w:shd w:val="clear" w:color="auto" w:fill="FFFFFF"/>
              </w:rPr>
              <w:t>istopathological or biochemical changes</w:t>
            </w:r>
            <w:r>
              <w:rPr>
                <w:shd w:val="clear" w:color="auto" w:fill="FFFFFF"/>
              </w:rPr>
              <w:t>; 2 yr feeding study; toxicokinetic transmission to airborne concentration of 0.15 mg/m</w:t>
            </w:r>
            <w:r>
              <w:rPr>
                <w:shd w:val="clear" w:color="auto" w:fill="FFFFFF"/>
                <w:vertAlign w:val="superscript"/>
              </w:rPr>
              <w:t>3</w:t>
            </w:r>
            <w:r>
              <w:rPr>
                <w:shd w:val="clear" w:color="auto" w:fill="FFFFFF"/>
              </w:rPr>
              <w:t xml:space="preserve"> using following factors:</w:t>
            </w:r>
          </w:p>
          <w:p w:rsidR="00D4032D" w:rsidRDefault="00D4032D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7/5 conversion for daily animal exposure to workweek exposure</w:t>
            </w:r>
          </w:p>
          <w:p w:rsidR="00D4032D" w:rsidRPr="002006D6" w:rsidRDefault="00D4032D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1:1.4 dog-human s</w:t>
            </w:r>
            <w:r>
              <w:rPr>
                <w:rFonts w:cs="Arial"/>
                <w:color w:val="1C1D1E"/>
                <w:shd w:val="clear" w:color="auto" w:fill="FFFFFF"/>
              </w:rPr>
              <w:t>pecies-specific correction value; as per DFG methodology</w:t>
            </w:r>
          </w:p>
          <w:p w:rsidR="00D4032D" w:rsidRDefault="0065482C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o</w:t>
            </w:r>
            <w:r w:rsidR="00D4032D">
              <w:t>ral absorption of 84% in rats</w:t>
            </w:r>
          </w:p>
          <w:p w:rsidR="00D4032D" w:rsidRDefault="00D4032D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70 kg worker inhaling 10 m</w:t>
            </w:r>
            <w:r>
              <w:rPr>
                <w:vertAlign w:val="superscript"/>
              </w:rPr>
              <w:t>3</w:t>
            </w:r>
            <w:r>
              <w:t xml:space="preserve"> per 8</w:t>
            </w:r>
            <w:r w:rsidR="00191264">
              <w:t xml:space="preserve"> </w:t>
            </w:r>
            <w:r>
              <w:t>h shift</w:t>
            </w:r>
          </w:p>
          <w:p w:rsidR="00D4032D" w:rsidRDefault="0065482C" w:rsidP="0065482C">
            <w:pPr>
              <w:pStyle w:val="ListBullet"/>
              <w:numPr>
                <w:ilvl w:val="0"/>
                <w:numId w:val="2"/>
              </w:numPr>
              <w:spacing w:before="60" w:after="60"/>
              <w:ind w:left="1012" w:hanging="283"/>
              <w:contextualSpacing w:val="0"/>
            </w:pPr>
            <w:r>
              <w:t>i</w:t>
            </w:r>
            <w:r w:rsidR="00D4032D">
              <w:t>nhaled concentration = (oral dose x oral absorption in animal x 70 kg bw)/ (s</w:t>
            </w:r>
            <w:r w:rsidR="00D4032D">
              <w:rPr>
                <w:rFonts w:cs="Arial"/>
                <w:color w:val="1C1D1E"/>
                <w:shd w:val="clear" w:color="auto" w:fill="FFFFFF"/>
              </w:rPr>
              <w:t>pecies-specific correction value x inhalation absorption in humans x 10</w:t>
            </w:r>
            <w:r w:rsidR="00D4032D"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="00D4032D">
              <w:rPr>
                <w:rFonts w:cs="Arial"/>
                <w:color w:val="1C1D1E"/>
                <w:shd w:val="clear" w:color="auto" w:fill="FFFFFF"/>
              </w:rPr>
              <w:t>/d)</w:t>
            </w:r>
          </w:p>
          <w:p w:rsidR="002006D6" w:rsidRPr="0065482C" w:rsidRDefault="005A1C0B" w:rsidP="0065482C">
            <w:pPr>
              <w:pStyle w:val="ListBullet"/>
              <w:spacing w:before="60" w:after="60"/>
              <w:ind w:left="720"/>
              <w:contextualSpacing w:val="0"/>
            </w:pPr>
            <w:r w:rsidRPr="00D5031A">
              <w:t>Converted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PODs are in the same range for </w:t>
            </w:r>
            <w:r w:rsidR="00191264">
              <w:rPr>
                <w:rFonts w:cs="Arial"/>
                <w:color w:val="1C1D1E"/>
                <w:shd w:val="clear" w:color="auto" w:fill="FFFFFF"/>
              </w:rPr>
              <w:t>2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species justifies MAK of 0.05 mg/m</w:t>
            </w:r>
            <w:r>
              <w:rPr>
                <w:rFonts w:cs="Arial"/>
                <w:color w:val="1C1D1E"/>
                <w:shd w:val="clear" w:color="auto" w:fill="FFFFFF"/>
                <w:vertAlign w:val="superscript"/>
              </w:rPr>
              <w:t>3</w:t>
            </w:r>
            <w:r w:rsidR="00191264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:rsidR="0065482C" w:rsidRPr="00DA352E" w:rsidRDefault="0065482C" w:rsidP="0065482C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7114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71140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271140" w:rsidP="003365A5">
            <w:pPr>
              <w:pStyle w:val="Tabletextprimarysource"/>
            </w:pPr>
            <w:r>
              <w:t>No report</w:t>
            </w:r>
            <w:r w:rsidR="00191264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7114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71140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271140" w:rsidP="003365A5">
            <w:pPr>
              <w:pStyle w:val="Tabletextprimarysource"/>
            </w:pPr>
            <w:r>
              <w:t>No report</w:t>
            </w:r>
            <w:r w:rsidR="00191264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7114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71140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271140" w:rsidP="003365A5">
            <w:pPr>
              <w:pStyle w:val="Tabletextprimarysource"/>
            </w:pPr>
            <w:r>
              <w:t>No report</w:t>
            </w:r>
            <w:r w:rsidR="00191264">
              <w:t>.</w:t>
            </w:r>
          </w:p>
        </w:tc>
      </w:tr>
    </w:tbl>
    <w:p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61"/>
        <w:gridCol w:w="6445"/>
      </w:tblGrid>
      <w:tr w:rsidR="004966BF" w:rsidRPr="00263255" w:rsidTr="00314E3F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314E3F">
        <w:trPr>
          <w:cantSplit/>
        </w:trPr>
        <w:tc>
          <w:tcPr>
            <w:tcW w:w="1497" w:type="dxa"/>
          </w:tcPr>
          <w:p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:rsidR="004966BF" w:rsidRPr="00CE617F" w:rsidRDefault="007E547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14E3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314E3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5" w:type="dxa"/>
          </w:tcPr>
          <w:p w:rsidR="004966BF" w:rsidRPr="004C23F4" w:rsidRDefault="00314E3F" w:rsidP="0065482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NOEL of 0.15 mg/kg in rats; </w:t>
            </w:r>
            <w:r>
              <w:t>liver weight increases in males; 2</w:t>
            </w:r>
            <w:r w:rsidR="00191264">
              <w:t xml:space="preserve"> </w:t>
            </w:r>
            <w:r>
              <w:t>yr feeding study</w:t>
            </w:r>
            <w:r w:rsidR="00191264">
              <w:t>.</w:t>
            </w:r>
          </w:p>
        </w:tc>
      </w:tr>
    </w:tbl>
    <w:bookmarkEnd w:id="1"/>
    <w:p w:rsidR="007E2A4B" w:rsidRDefault="007E2A4B" w:rsidP="00D5031A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:rsidTr="00314E3F">
        <w:trPr>
          <w:trHeight w:val="454"/>
          <w:tblHeader/>
        </w:trPr>
        <w:tc>
          <w:tcPr>
            <w:tcW w:w="6603" w:type="dxa"/>
            <w:vAlign w:val="center"/>
          </w:tcPr>
          <w:p w:rsidR="002E0D61" w:rsidRDefault="00B1422A" w:rsidP="00D5031A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:rsidR="002E0D61" w:rsidRDefault="00314E3F" w:rsidP="00D5031A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:rsidTr="00314E3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:rsidR="008A36CF" w:rsidRPr="006901A2" w:rsidRDefault="00314E3F" w:rsidP="00D5031A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:rsidR="008A36CF" w:rsidRDefault="008A36CF" w:rsidP="00D5031A">
            <w:pPr>
              <w:pStyle w:val="Tablefont"/>
              <w:keepLines/>
              <w:spacing w:before="40" w:after="40"/>
            </w:pPr>
          </w:p>
        </w:tc>
      </w:tr>
    </w:tbl>
    <w:bookmarkEnd w:id="2"/>
    <w:p w:rsidR="00687890" w:rsidRPr="004C23F4" w:rsidRDefault="00B479A9" w:rsidP="00191264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D5031A">
            <w:pPr>
              <w:pStyle w:val="Tableheader"/>
              <w:keepNext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D5031A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D5031A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271140" w:rsidP="00D5031A">
            <w:pPr>
              <w:pStyle w:val="Tablefont"/>
              <w:keepNext/>
            </w:pPr>
            <w:r w:rsidRPr="00271140">
              <w:t>Carc. 2</w:t>
            </w:r>
            <w:r>
              <w:t xml:space="preserve">, </w:t>
            </w:r>
            <w:r w:rsidRPr="00271140">
              <w:t>Skin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D5031A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271140" w:rsidP="00D5031A">
            <w:pPr>
              <w:pStyle w:val="Tablefont"/>
              <w:keepNext/>
            </w:pPr>
            <w:r w:rsidRPr="00271140">
              <w:t>Carcinogenicity – category 2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D5031A">
            <w:pPr>
              <w:pStyle w:val="Tablefont"/>
              <w:keepNext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271140" w:rsidP="00D5031A">
            <w:pPr>
              <w:pStyle w:val="Tablefont"/>
              <w:keepNext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D5031A">
            <w:pPr>
              <w:pStyle w:val="Tablefont"/>
              <w:keepNext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631741" w:rsidP="00D5031A">
            <w:pPr>
              <w:pStyle w:val="Tablefont"/>
              <w:keepNext/>
            </w:pPr>
            <w:r w:rsidRPr="00631741">
              <w:t>Carcinogenicity – category 2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D5031A">
            <w:pPr>
              <w:pStyle w:val="Tablefont"/>
              <w:keepNext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631741" w:rsidP="00D5031A">
            <w:pPr>
              <w:pStyle w:val="Tablefont"/>
              <w:keepNext/>
            </w:pPr>
            <w:r w:rsidRPr="00631741">
              <w:t>Carc. 2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D5031A">
            <w:pPr>
              <w:pStyle w:val="Tablefont"/>
              <w:keepNext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631741" w:rsidP="00D5031A">
            <w:pPr>
              <w:pStyle w:val="Tablefont"/>
              <w:keepNext/>
            </w:pPr>
            <w:r w:rsidRPr="00631741">
              <w:t>Carcinogenicity – A3</w:t>
            </w:r>
            <w:r>
              <w:t xml:space="preserve">, </w:t>
            </w:r>
            <w:r w:rsidRPr="00631741">
              <w:t>Skin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D5031A">
            <w:pPr>
              <w:pStyle w:val="Tablefont"/>
              <w:keepNext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631741" w:rsidP="00D5031A">
            <w:pPr>
              <w:pStyle w:val="Tablefont"/>
              <w:keepNext/>
            </w:pPr>
            <w:r w:rsidRPr="00631741">
              <w:t>Carcinogenicity – 4</w:t>
            </w:r>
            <w:r>
              <w:t xml:space="preserve">, </w:t>
            </w:r>
            <w:r w:rsidRPr="00631741">
              <w:t>H (skin)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D5031A">
            <w:pPr>
              <w:pStyle w:val="Tablefont"/>
              <w:keepNext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631741" w:rsidP="00D5031A">
            <w:pPr>
              <w:pStyle w:val="Tablefont"/>
              <w:keepNext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631741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631741" w:rsidP="00DD2F9B">
            <w:pPr>
              <w:pStyle w:val="Tablefont"/>
            </w:pPr>
            <w:r w:rsidRPr="00631741">
              <w:t>Carcinogenicity – Group 2B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631741" w:rsidP="00D87570">
            <w:pPr>
              <w:pStyle w:val="Tablefont"/>
              <w:keepNext/>
            </w:pPr>
            <w:r w:rsidRPr="00631741">
              <w:t>SK:SYS</w:t>
            </w:r>
          </w:p>
        </w:tc>
      </w:tr>
    </w:tbl>
    <w:bookmarkEnd w:id="3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75" w:type="dxa"/>
              <w:tblLook w:val="04A0" w:firstRow="1" w:lastRow="0" w:firstColumn="1" w:lastColumn="0" w:noHBand="0" w:noVBand="1"/>
            </w:tblPr>
            <w:tblGrid>
              <w:gridCol w:w="3585"/>
              <w:gridCol w:w="1057"/>
              <w:gridCol w:w="1057"/>
              <w:gridCol w:w="3111"/>
            </w:tblGrid>
            <w:tr w:rsidR="00314E3F" w:rsidRPr="00314E3F" w:rsidTr="00314E3F">
              <w:trPr>
                <w:trHeight w:val="323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4E3F" w:rsidRPr="00314E3F" w:rsidTr="00314E3F">
              <w:trPr>
                <w:trHeight w:val="323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4E3F" w:rsidRPr="00314E3F" w:rsidTr="00314E3F">
              <w:trPr>
                <w:trHeight w:val="323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4E3F" w:rsidRPr="00314E3F" w:rsidTr="00314E3F">
              <w:trPr>
                <w:trHeight w:val="323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4E3F" w:rsidRPr="00314E3F" w:rsidTr="00314E3F">
              <w:trPr>
                <w:trHeight w:val="323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4E3F" w:rsidRPr="00314E3F" w:rsidTr="00314E3F">
              <w:trPr>
                <w:trHeight w:val="323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14E3F" w:rsidRPr="00314E3F" w:rsidTr="00314E3F">
              <w:trPr>
                <w:trHeight w:val="323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14E3F" w:rsidRPr="00314E3F" w:rsidRDefault="00314E3F" w:rsidP="00314E3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14E3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4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631741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631741" w:rsidP="001B79E5">
                <w:pPr>
                  <w:pStyle w:val="Tablefont"/>
                </w:pPr>
                <w:r w:rsidRPr="00631741">
                  <w:t>373.32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31741">
                  <w:t>15.93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31741">
                  <w:t>0.06</w:t>
                </w:r>
              </w:sdtContent>
            </w:sdt>
            <w:r w:rsidRPr="00631741">
              <w:t xml:space="preserve"> </w:t>
            </w:r>
            <w:r>
              <w:t>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D5031A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7E547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631741" w:rsidRDefault="00631741" w:rsidP="00084859">
      <w:r w:rsidRPr="002022B6">
        <w:t>Deutsche Forschungsgemeinschaft (DFG)</w:t>
      </w:r>
      <w:r>
        <w:t xml:space="preserve"> (</w:t>
      </w:r>
      <w:r w:rsidR="008D6CE6">
        <w:t>2012</w:t>
      </w:r>
      <w:r>
        <w:t xml:space="preserve">) </w:t>
      </w:r>
      <w:bookmarkStart w:id="6" w:name="_Hlk18402880"/>
      <w:r w:rsidR="008D6CE6" w:rsidRPr="008D6CE6">
        <w:t>Heptachlor</w:t>
      </w:r>
      <w:bookmarkEnd w:id="6"/>
      <w:r>
        <w:t xml:space="preserve"> – MAK value documentation.</w:t>
      </w:r>
    </w:p>
    <w:p w:rsidR="00D5031A" w:rsidRDefault="00D5031A" w:rsidP="00D5031A">
      <w:r>
        <w:t>European Chemicals Agency Regulation (ECHA) No 1907/2006 of the European Parliament and of the Council of 18 December 2006 concerning the Registration, Evaluation, Authorisation and Restriction of Chemicals (REACH).</w:t>
      </w:r>
    </w:p>
    <w:p w:rsidR="00631741" w:rsidRDefault="00631741" w:rsidP="00084859">
      <w:r w:rsidRPr="002022B6">
        <w:t>International Agency for Research on Cancer</w:t>
      </w:r>
      <w:r>
        <w:t xml:space="preserve"> (IARC) (</w:t>
      </w:r>
      <w:r w:rsidR="008D6CE6" w:rsidRPr="008D6CE6">
        <w:t>2001</w:t>
      </w:r>
      <w:r>
        <w:t xml:space="preserve">) </w:t>
      </w:r>
      <w:r w:rsidR="008D6CE6" w:rsidRPr="008D6CE6">
        <w:t>Heptachlor</w:t>
      </w:r>
      <w:r>
        <w:t>. IARC Monographs on the evaluation of the carcinogenic risk to humans.</w:t>
      </w:r>
    </w:p>
    <w:p w:rsidR="00EC74D5" w:rsidRDefault="00EC74D5" w:rsidP="00EC74D5">
      <w:r w:rsidRPr="0035432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:rsidR="00D5031A" w:rsidRDefault="00D5031A" w:rsidP="00EC74D5">
      <w:r>
        <w:t>US Environmental Protection Authority (US EPA) (1987) Integrated Risk Information System (IRIS) Chemical Assessment Summary – Heptachlor.</w:t>
      </w:r>
    </w:p>
    <w:p w:rsidR="00631741" w:rsidRDefault="00631741" w:rsidP="00084859">
      <w:r w:rsidRPr="00D86E03">
        <w:t>US National Institute for Occupational Safety and Health (NIOSH)</w:t>
      </w:r>
      <w:r>
        <w:t xml:space="preserve"> (</w:t>
      </w:r>
      <w:r w:rsidR="008D6CE6" w:rsidRPr="008D6CE6">
        <w:t>1994</w:t>
      </w:r>
      <w:r>
        <w:t xml:space="preserve">) Immediately dangerous to life or health concentrations – </w:t>
      </w:r>
      <w:r w:rsidR="008D6CE6" w:rsidRPr="008D6CE6">
        <w:t>Heptachlor</w:t>
      </w:r>
      <w:r>
        <w:t>.</w:t>
      </w:r>
    </w:p>
    <w:p w:rsidR="00631741" w:rsidRPr="00351FE0" w:rsidRDefault="008D6CE6" w:rsidP="00084859">
      <w:r w:rsidRPr="00D86E03">
        <w:t>US National Institute for Occupational Safety and Health (NIOSH)</w:t>
      </w:r>
      <w:r>
        <w:t xml:space="preserve"> (2017) </w:t>
      </w:r>
      <w:r w:rsidRPr="006B0272">
        <w:t xml:space="preserve">NIOSH Skin Notation Profiles: </w:t>
      </w:r>
      <w:r w:rsidRPr="008D6CE6">
        <w:t>Heptachlor</w:t>
      </w:r>
      <w:r>
        <w:t>.</w:t>
      </w:r>
    </w:p>
    <w:sectPr w:rsidR="0063174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C5794F" w16cid:durableId="216431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2C" w:rsidRDefault="00EB3B2C" w:rsidP="00F43AD5">
      <w:pPr>
        <w:spacing w:after="0" w:line="240" w:lineRule="auto"/>
      </w:pPr>
      <w:r>
        <w:separator/>
      </w:r>
    </w:p>
  </w:endnote>
  <w:endnote w:type="continuationSeparator" w:id="0">
    <w:p w:rsidR="00EB3B2C" w:rsidRDefault="00EB3B2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E1" w:rsidRDefault="00BF4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A36CF" w:rsidRDefault="00E43DB6" w:rsidP="0034744C">
        <w:pPr>
          <w:pStyle w:val="Footer"/>
          <w:rPr>
            <w:sz w:val="18"/>
            <w:szCs w:val="18"/>
          </w:rPr>
        </w:pPr>
        <w:r w:rsidRPr="00E43DB6">
          <w:rPr>
            <w:b/>
            <w:sz w:val="18"/>
            <w:szCs w:val="18"/>
          </w:rPr>
          <w:t>Heptachlor</w:t>
        </w:r>
        <w:r w:rsidR="008A36CF">
          <w:rPr>
            <w:b/>
            <w:sz w:val="18"/>
            <w:szCs w:val="18"/>
          </w:rPr>
          <w:t xml:space="preserve"> (</w:t>
        </w:r>
        <w:r w:rsidRPr="00E43DB6">
          <w:rPr>
            <w:b/>
            <w:sz w:val="18"/>
            <w:szCs w:val="18"/>
          </w:rPr>
          <w:t>76-44-8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E5470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E1" w:rsidRDefault="00BF4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2C" w:rsidRDefault="00EB3B2C" w:rsidP="00F43AD5">
      <w:pPr>
        <w:spacing w:after="0" w:line="240" w:lineRule="auto"/>
      </w:pPr>
      <w:r>
        <w:separator/>
      </w:r>
    </w:p>
  </w:footnote>
  <w:footnote w:type="continuationSeparator" w:id="0">
    <w:p w:rsidR="00EB3B2C" w:rsidRDefault="00EB3B2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E1" w:rsidRDefault="00BF4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70" w:rsidRDefault="007E5470" w:rsidP="007E5470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7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Pr="007E5470" w:rsidRDefault="008A36CF" w:rsidP="007E547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E1" w:rsidRDefault="00BF4B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E1" w:rsidRDefault="007E5470" w:rsidP="00BF4BE1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F4BE1">
      <w:rPr>
        <w:noProof/>
        <w:lang w:eastAsia="en-AU"/>
      </w:rPr>
      <w:drawing>
        <wp:inline distT="0" distB="0" distL="0" distR="0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AE2C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9509C8"/>
    <w:multiLevelType w:val="hybridMultilevel"/>
    <w:tmpl w:val="D9C01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EF1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690C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4E07"/>
    <w:rsid w:val="001036E0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1264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6D6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541C"/>
    <w:rsid w:val="00244AD1"/>
    <w:rsid w:val="002463BC"/>
    <w:rsid w:val="00246511"/>
    <w:rsid w:val="002465CE"/>
    <w:rsid w:val="0025734A"/>
    <w:rsid w:val="00263255"/>
    <w:rsid w:val="00271140"/>
    <w:rsid w:val="00276494"/>
    <w:rsid w:val="00277B0C"/>
    <w:rsid w:val="002B1A2C"/>
    <w:rsid w:val="002C34F2"/>
    <w:rsid w:val="002C58FF"/>
    <w:rsid w:val="002C6C16"/>
    <w:rsid w:val="002C7AFE"/>
    <w:rsid w:val="002D05D2"/>
    <w:rsid w:val="002E0D61"/>
    <w:rsid w:val="002E4C7B"/>
    <w:rsid w:val="0030740C"/>
    <w:rsid w:val="00314E3F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6723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871E4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29B0"/>
    <w:rsid w:val="004E5EDD"/>
    <w:rsid w:val="004F2DEA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2747"/>
    <w:rsid w:val="005A19C5"/>
    <w:rsid w:val="005A1C0B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1741"/>
    <w:rsid w:val="006363A8"/>
    <w:rsid w:val="00636DB7"/>
    <w:rsid w:val="00650905"/>
    <w:rsid w:val="006532ED"/>
    <w:rsid w:val="0065482C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5470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67F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6CE6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7D88"/>
    <w:rsid w:val="009C199D"/>
    <w:rsid w:val="009C278F"/>
    <w:rsid w:val="009C2B94"/>
    <w:rsid w:val="009C4811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2A1C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078D"/>
    <w:rsid w:val="00B93646"/>
    <w:rsid w:val="00BA0B38"/>
    <w:rsid w:val="00BA1DBB"/>
    <w:rsid w:val="00BA4510"/>
    <w:rsid w:val="00BA529A"/>
    <w:rsid w:val="00BB612A"/>
    <w:rsid w:val="00BD499F"/>
    <w:rsid w:val="00BD56DE"/>
    <w:rsid w:val="00BF0B9A"/>
    <w:rsid w:val="00BF2406"/>
    <w:rsid w:val="00BF4BE1"/>
    <w:rsid w:val="00C06E43"/>
    <w:rsid w:val="00C076D8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05E73"/>
    <w:rsid w:val="00D140FC"/>
    <w:rsid w:val="00D21D8C"/>
    <w:rsid w:val="00D31357"/>
    <w:rsid w:val="00D33220"/>
    <w:rsid w:val="00D334D1"/>
    <w:rsid w:val="00D4032D"/>
    <w:rsid w:val="00D44C89"/>
    <w:rsid w:val="00D5031A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3DB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B2C"/>
    <w:rsid w:val="00EB3D1B"/>
    <w:rsid w:val="00EC74D5"/>
    <w:rsid w:val="00ED1D89"/>
    <w:rsid w:val="00ED66BC"/>
    <w:rsid w:val="00EF233A"/>
    <w:rsid w:val="00EF303E"/>
    <w:rsid w:val="00EF3A40"/>
    <w:rsid w:val="00EF7F78"/>
    <w:rsid w:val="00F010C5"/>
    <w:rsid w:val="00F01B08"/>
    <w:rsid w:val="00F01C4D"/>
    <w:rsid w:val="00F053FA"/>
    <w:rsid w:val="00F10C97"/>
    <w:rsid w:val="00F11C71"/>
    <w:rsid w:val="00F16019"/>
    <w:rsid w:val="00F173BB"/>
    <w:rsid w:val="00F20E68"/>
    <w:rsid w:val="00F22093"/>
    <w:rsid w:val="00F236DF"/>
    <w:rsid w:val="00F43AD5"/>
    <w:rsid w:val="00F4402E"/>
    <w:rsid w:val="00F56DD0"/>
    <w:rsid w:val="00F638EB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F173B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E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EF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EF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34E21F379E44808A5FED68C3530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9AFE-3395-4859-A72B-2583DB77F5E2}"/>
      </w:docPartPr>
      <w:docPartBody>
        <w:p w:rsidR="00BB5F15" w:rsidRDefault="00A2699A" w:rsidP="00A2699A">
          <w:pPr>
            <w:pStyle w:val="734E21F379E44808A5FED68C35306F8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83ADF"/>
    <w:rsid w:val="004345A1"/>
    <w:rsid w:val="004B475C"/>
    <w:rsid w:val="004D5CB5"/>
    <w:rsid w:val="00A2699A"/>
    <w:rsid w:val="00BB5F15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99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6F833812B7849D09D441353E9A41B1A">
    <w:name w:val="66F833812B7849D09D441353E9A41B1A"/>
    <w:rsid w:val="004D5CB5"/>
  </w:style>
  <w:style w:type="paragraph" w:customStyle="1" w:styleId="A6C8081E34C347A08E709A4681D003F1">
    <w:name w:val="A6C8081E34C347A08E709A4681D003F1"/>
    <w:rsid w:val="004D5CB5"/>
  </w:style>
  <w:style w:type="paragraph" w:customStyle="1" w:styleId="BA50C133406548DA9D4E4602E1CD75CE">
    <w:name w:val="BA50C133406548DA9D4E4602E1CD75CE"/>
    <w:rsid w:val="004D5CB5"/>
  </w:style>
  <w:style w:type="paragraph" w:customStyle="1" w:styleId="757D943625FF4963A39D29B47F1A1CD1">
    <w:name w:val="757D943625FF4963A39D29B47F1A1CD1"/>
    <w:rsid w:val="004D5CB5"/>
  </w:style>
  <w:style w:type="paragraph" w:customStyle="1" w:styleId="2F13E48412E0458EABA140EBE50DA8F2">
    <w:name w:val="2F13E48412E0458EABA140EBE50DA8F2"/>
    <w:rsid w:val="004D5CB5"/>
  </w:style>
  <w:style w:type="paragraph" w:customStyle="1" w:styleId="7E3319EBAC224BEEACA8E490D4F917C8">
    <w:name w:val="7E3319EBAC224BEEACA8E490D4F917C8"/>
    <w:rsid w:val="004D5CB5"/>
  </w:style>
  <w:style w:type="paragraph" w:customStyle="1" w:styleId="2E1B94454BCF45049F5B7EED1B2C2E6B">
    <w:name w:val="2E1B94454BCF45049F5B7EED1B2C2E6B"/>
    <w:rsid w:val="004D5CB5"/>
  </w:style>
  <w:style w:type="paragraph" w:customStyle="1" w:styleId="C89D14FD6B4644F7A5EC5B6881C7835B">
    <w:name w:val="C89D14FD6B4644F7A5EC5B6881C7835B"/>
    <w:rsid w:val="004D5CB5"/>
  </w:style>
  <w:style w:type="paragraph" w:customStyle="1" w:styleId="FD98ABA1CE0440AB8D63BB8C485CCA24">
    <w:name w:val="FD98ABA1CE0440AB8D63BB8C485CCA24"/>
    <w:rsid w:val="004D5CB5"/>
  </w:style>
  <w:style w:type="paragraph" w:customStyle="1" w:styleId="8528101FD6924A0FAB509AB8DE22A280">
    <w:name w:val="8528101FD6924A0FAB509AB8DE22A280"/>
    <w:rsid w:val="004D5CB5"/>
  </w:style>
  <w:style w:type="paragraph" w:customStyle="1" w:styleId="734E21F379E44808A5FED68C35306F81">
    <w:name w:val="734E21F379E44808A5FED68C35306F81"/>
    <w:rsid w:val="00A26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26E8-94D0-4620-869A-9DF69CB0E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B3EF9-7BC9-439D-B849-97A51A6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C8AAB92F.dotm</Template>
  <TotalTime>7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</cp:revision>
  <cp:lastPrinted>2018-10-22T22:41:00Z</cp:lastPrinted>
  <dcterms:created xsi:type="dcterms:W3CDTF">2019-11-06T22:32:00Z</dcterms:created>
  <dcterms:modified xsi:type="dcterms:W3CDTF">2020-01-15T03:24:00Z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