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2ED58FD" w14:textId="77777777" w:rsidR="00BD499F" w:rsidRPr="004C23F4" w:rsidRDefault="00B17AD8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He</w:t>
          </w:r>
          <w:r w:rsidR="000547E8">
            <w:rPr>
              <w:rFonts w:ascii="Arial" w:hAnsi="Arial" w:cs="Arial"/>
            </w:rPr>
            <w:t>xachlorocyclopentadiene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6"/>
        <w:gridCol w:w="5060"/>
      </w:tblGrid>
      <w:tr w:rsidR="00F43AD5" w:rsidRPr="004C23F4" w14:paraId="07293011" w14:textId="77777777" w:rsidTr="00B76A41">
        <w:trPr>
          <w:cantSplit/>
          <w:tblHeader/>
        </w:trPr>
        <w:tc>
          <w:tcPr>
            <w:tcW w:w="4077" w:type="dxa"/>
          </w:tcPr>
          <w:p w14:paraId="167BC5A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559F56D" w14:textId="77777777" w:rsidR="00F43AD5" w:rsidRPr="00717D45" w:rsidRDefault="000547E8" w:rsidP="00B76A41">
            <w:pPr>
              <w:pStyle w:val="Tablefont"/>
            </w:pPr>
            <w:r>
              <w:t>77-47-4</w:t>
            </w:r>
          </w:p>
        </w:tc>
      </w:tr>
      <w:tr w:rsidR="00F43AD5" w:rsidRPr="004C23F4" w14:paraId="43A51CC6" w14:textId="77777777" w:rsidTr="00B76A41">
        <w:trPr>
          <w:cantSplit/>
        </w:trPr>
        <w:tc>
          <w:tcPr>
            <w:tcW w:w="4077" w:type="dxa"/>
          </w:tcPr>
          <w:p w14:paraId="5225AB0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A1E335D" w14:textId="77777777" w:rsidR="00F43AD5" w:rsidRPr="00717D45" w:rsidRDefault="00185448" w:rsidP="00185448">
            <w:pPr>
              <w:pStyle w:val="Tablefont"/>
            </w:pPr>
            <w:r>
              <w:t>1,2,3,4,5,5'-hexachloro-1,3-cyclopentadiene, perchlorocyclopentadiene,</w:t>
            </w:r>
            <w:r w:rsidR="00B17AD8">
              <w:t xml:space="preserve"> </w:t>
            </w:r>
            <w:r>
              <w:t>hexachloro-1,3-cyclopentadiene, 1,2,3,3,4,5-hexachloro-1,4-cyclopentadiene, HCCP</w:t>
            </w:r>
          </w:p>
        </w:tc>
      </w:tr>
      <w:tr w:rsidR="00F43AD5" w:rsidRPr="004C23F4" w14:paraId="58FC0269" w14:textId="77777777" w:rsidTr="00B76A41">
        <w:trPr>
          <w:cantSplit/>
        </w:trPr>
        <w:tc>
          <w:tcPr>
            <w:tcW w:w="4077" w:type="dxa"/>
          </w:tcPr>
          <w:p w14:paraId="304DB54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030BE29" w14:textId="77777777" w:rsidR="00F43AD5" w:rsidRPr="00717D45" w:rsidRDefault="000547E8" w:rsidP="00B76A41">
            <w:pPr>
              <w:pStyle w:val="Tablefont"/>
            </w:pPr>
            <w:r>
              <w:t>C</w:t>
            </w:r>
            <w:r w:rsidRPr="000547E8">
              <w:rPr>
                <w:vertAlign w:val="subscript"/>
              </w:rPr>
              <w:t>5</w:t>
            </w:r>
            <w:r>
              <w:t>Cl</w:t>
            </w:r>
            <w:r w:rsidRPr="000547E8">
              <w:rPr>
                <w:vertAlign w:val="subscript"/>
              </w:rPr>
              <w:t>6</w:t>
            </w:r>
          </w:p>
        </w:tc>
      </w:tr>
      <w:tr w:rsidR="00F43AD5" w:rsidRPr="004C23F4" w14:paraId="47827CFC" w14:textId="77777777" w:rsidTr="00B76A41">
        <w:trPr>
          <w:cantSplit/>
        </w:trPr>
        <w:tc>
          <w:tcPr>
            <w:tcW w:w="4077" w:type="dxa"/>
          </w:tcPr>
          <w:p w14:paraId="56F555FA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CF03DE0" w14:textId="77777777" w:rsidR="00F43AD5" w:rsidRPr="00B40C60" w:rsidRDefault="000547E8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401BBBE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D565B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4F2F8415" w14:textId="77777777" w:rsidTr="00B17AD8">
        <w:trPr>
          <w:cantSplit/>
          <w:tblHeader/>
        </w:trPr>
        <w:tc>
          <w:tcPr>
            <w:tcW w:w="4005" w:type="dxa"/>
            <w:vAlign w:val="center"/>
          </w:tcPr>
          <w:p w14:paraId="018C4CF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E70F9E3" w14:textId="77777777" w:rsidR="002C7AFE" w:rsidRPr="00632D26" w:rsidRDefault="00632D26" w:rsidP="000A3F47">
            <w:pPr>
              <w:pStyle w:val="Tablefont"/>
              <w:rPr>
                <w:b/>
              </w:rPr>
            </w:pPr>
            <w:r>
              <w:rPr>
                <w:b/>
              </w:rPr>
              <w:t>0.0</w:t>
            </w:r>
            <w:r w:rsidR="000A3F47">
              <w:rPr>
                <w:b/>
              </w:rPr>
              <w:t>1</w:t>
            </w:r>
            <w:r>
              <w:rPr>
                <w:b/>
              </w:rPr>
              <w:t xml:space="preserve"> ppm (0.</w:t>
            </w:r>
            <w:r w:rsidR="000A3F47">
              <w:rPr>
                <w:b/>
              </w:rPr>
              <w:t>11</w:t>
            </w:r>
            <w:r>
              <w:rPr>
                <w:b/>
              </w:rPr>
              <w:t xml:space="preserve">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65E4736F" w14:textId="77777777" w:rsidTr="00B17AD8">
        <w:trPr>
          <w:cantSplit/>
        </w:trPr>
        <w:tc>
          <w:tcPr>
            <w:tcW w:w="4005" w:type="dxa"/>
            <w:vAlign w:val="center"/>
          </w:tcPr>
          <w:p w14:paraId="6CEB005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0E797E06" w14:textId="77777777" w:rsidR="002C7AFE" w:rsidRPr="00EB3D1B" w:rsidRDefault="000547E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C890F69" w14:textId="77777777" w:rsidTr="00B17AD8">
        <w:trPr>
          <w:cantSplit/>
        </w:trPr>
        <w:tc>
          <w:tcPr>
            <w:tcW w:w="4005" w:type="dxa"/>
            <w:vAlign w:val="center"/>
          </w:tcPr>
          <w:p w14:paraId="082D5F91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FB7E2EA" w14:textId="77777777" w:rsidR="002C7AFE" w:rsidRPr="00EB3D1B" w:rsidRDefault="000547E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C87086E" w14:textId="77777777" w:rsidTr="00B17AD8">
        <w:trPr>
          <w:cantSplit/>
        </w:trPr>
        <w:tc>
          <w:tcPr>
            <w:tcW w:w="4005" w:type="dxa"/>
          </w:tcPr>
          <w:p w14:paraId="11211846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3DACE2D6" w14:textId="77777777" w:rsidR="002C7AFE" w:rsidRPr="00EB3D1B" w:rsidRDefault="000547E8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44FA737" w14:textId="77777777" w:rsidTr="00B17AD8">
        <w:trPr>
          <w:cantSplit/>
        </w:trPr>
        <w:tc>
          <w:tcPr>
            <w:tcW w:w="4005" w:type="dxa"/>
            <w:vAlign w:val="center"/>
          </w:tcPr>
          <w:p w14:paraId="535B31E3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C95A7B4" w14:textId="77777777" w:rsidR="002C7AFE" w:rsidRPr="00EB3D1B" w:rsidRDefault="000547E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B17AD8" w:rsidRPr="004C23F4" w14:paraId="1DEF3A22" w14:textId="77777777" w:rsidTr="00F160BD">
        <w:trPr>
          <w:cantSplit/>
        </w:trPr>
        <w:tc>
          <w:tcPr>
            <w:tcW w:w="9026" w:type="dxa"/>
            <w:gridSpan w:val="2"/>
            <w:vAlign w:val="center"/>
          </w:tcPr>
          <w:p w14:paraId="3ECEC884" w14:textId="77777777" w:rsidR="00B17AD8" w:rsidRPr="00EB3D1B" w:rsidRDefault="00B17AD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00549CA5A0044B1AB4E26323D453CDEE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8523A7">
                  <w:rPr>
                    <w:rStyle w:val="WESstatus"/>
                    <w:color w:val="auto"/>
                  </w:rPr>
                  <w:t>There is uncertainty regarding quantification of the recommended value with available sampling and/or analysis techniques.</w:t>
                </w:r>
              </w:sdtContent>
            </w:sdt>
          </w:p>
        </w:tc>
      </w:tr>
    </w:tbl>
    <w:p w14:paraId="7D95FD7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E28E91C" w14:textId="77777777" w:rsidR="006639B4" w:rsidRPr="00632D26" w:rsidRDefault="000A3F47" w:rsidP="000C139A">
      <w:pPr>
        <w:rPr>
          <w:rFonts w:cs="Arial"/>
        </w:rPr>
      </w:pPr>
      <w:r>
        <w:rPr>
          <w:rFonts w:cs="Arial"/>
        </w:rPr>
        <w:t>A TWA of 0.01 ppm (0.11</w:t>
      </w:r>
      <w:r w:rsidR="00632D26">
        <w:rPr>
          <w:rFonts w:cs="Arial"/>
        </w:rPr>
        <w:t xml:space="preserve"> mg/m</w:t>
      </w:r>
      <w:r w:rsidR="00632D26">
        <w:rPr>
          <w:rFonts w:cs="Arial"/>
          <w:vertAlign w:val="superscript"/>
        </w:rPr>
        <w:t>3</w:t>
      </w:r>
      <w:r w:rsidR="00632D26">
        <w:rPr>
          <w:rFonts w:cs="Arial"/>
        </w:rPr>
        <w:t xml:space="preserve">) is recommended to protect for </w:t>
      </w:r>
      <w:r w:rsidR="00C53108">
        <w:rPr>
          <w:rFonts w:cs="Arial"/>
        </w:rPr>
        <w:t xml:space="preserve">skin and respiratory tract </w:t>
      </w:r>
      <w:r w:rsidR="00632D26">
        <w:rPr>
          <w:rFonts w:cs="Arial"/>
        </w:rPr>
        <w:t>irrita</w:t>
      </w:r>
      <w:r w:rsidR="00C53108">
        <w:rPr>
          <w:rFonts w:cs="Arial"/>
        </w:rPr>
        <w:t>tion</w:t>
      </w:r>
      <w:r w:rsidR="00BF2912">
        <w:rPr>
          <w:rFonts w:cs="Arial"/>
        </w:rPr>
        <w:t xml:space="preserve"> and </w:t>
      </w:r>
      <w:r w:rsidR="00C53108">
        <w:rPr>
          <w:rFonts w:cs="Arial"/>
        </w:rPr>
        <w:t xml:space="preserve">possible </w:t>
      </w:r>
      <w:r w:rsidR="00BF2912">
        <w:rPr>
          <w:rFonts w:cs="Arial"/>
        </w:rPr>
        <w:t>systemic effects</w:t>
      </w:r>
      <w:r w:rsidR="00632D26">
        <w:rPr>
          <w:rFonts w:cs="Arial"/>
        </w:rPr>
        <w:t xml:space="preserve"> in exposed workers. </w:t>
      </w:r>
    </w:p>
    <w:p w14:paraId="0283CA3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4F06663" w14:textId="07DAEB13" w:rsidR="00C53108" w:rsidRDefault="006C7BE1" w:rsidP="006639B4">
      <w:r>
        <w:t xml:space="preserve">Hexachlorocyclopentadiene is used as an intermediate in the manufacture of chlorinated pesticides. </w:t>
      </w:r>
      <w:r w:rsidR="002D2FD6">
        <w:t>It is highly irritating and has pungent odour.</w:t>
      </w:r>
    </w:p>
    <w:p w14:paraId="65949A5D" w14:textId="31EEFA6A" w:rsidR="006639B4" w:rsidRDefault="006C7BE1" w:rsidP="006639B4">
      <w:r>
        <w:t xml:space="preserve">Limited </w:t>
      </w:r>
      <w:r w:rsidR="002D2FD6">
        <w:t xml:space="preserve">human </w:t>
      </w:r>
      <w:r>
        <w:t xml:space="preserve">data </w:t>
      </w:r>
      <w:r w:rsidR="00C53108">
        <w:t>are</w:t>
      </w:r>
      <w:r>
        <w:t xml:space="preserve"> available. </w:t>
      </w:r>
      <w:r w:rsidR="008523A7">
        <w:t>Critical effects</w:t>
      </w:r>
      <w:r w:rsidR="00647318">
        <w:t xml:space="preserve"> of exposure</w:t>
      </w:r>
      <w:r w:rsidR="008523A7">
        <w:t xml:space="preserve"> include skin and respiratory tract irritation and potential kidney damage.</w:t>
      </w:r>
      <w:r w:rsidR="00647318">
        <w:t xml:space="preserve"> </w:t>
      </w:r>
      <w:r>
        <w:t xml:space="preserve">A case report in workers </w:t>
      </w:r>
      <w:r w:rsidR="002D2FD6">
        <w:t>noted</w:t>
      </w:r>
      <w:r>
        <w:t xml:space="preserve"> irritant effects. A </w:t>
      </w:r>
      <w:r w:rsidR="00647318">
        <w:t xml:space="preserve">LOAEC </w:t>
      </w:r>
      <w:r>
        <w:t>of 0.11 mg/m</w:t>
      </w:r>
      <w:r>
        <w:rPr>
          <w:vertAlign w:val="superscript"/>
        </w:rPr>
        <w:t>3</w:t>
      </w:r>
      <w:r>
        <w:t xml:space="preserve"> (0.01 ppm) for </w:t>
      </w:r>
      <w:r w:rsidR="00632D26">
        <w:rPr>
          <w:rFonts w:cs="Arial"/>
          <w:color w:val="1C1D1E"/>
          <w:shd w:val="clear" w:color="auto" w:fill="FFFFFF"/>
        </w:rPr>
        <w:t xml:space="preserve">pigmentation of the respiratory epithelium of the nose, trachea and lungs and </w:t>
      </w:r>
      <w:r w:rsidR="00632D26">
        <w:t xml:space="preserve">laryngeal lesions </w:t>
      </w:r>
      <w:r w:rsidR="00C53108">
        <w:t>i</w:t>
      </w:r>
      <w:r>
        <w:t xml:space="preserve">s identified in rats and mice (HCOTN, 2003). </w:t>
      </w:r>
      <w:r w:rsidR="00632D26">
        <w:t xml:space="preserve">In reference to the observed effects in same study, DFG (2001) </w:t>
      </w:r>
      <w:r w:rsidR="002D2FD6">
        <w:t>stated</w:t>
      </w:r>
      <w:r w:rsidR="00632D26">
        <w:t xml:space="preserve"> that the ‘r</w:t>
      </w:r>
      <w:r w:rsidR="00632D26">
        <w:rPr>
          <w:rFonts w:cs="Arial"/>
          <w:color w:val="1C1D1E"/>
          <w:shd w:val="clear" w:color="auto" w:fill="FFFFFF"/>
        </w:rPr>
        <w:t>elevance</w:t>
      </w:r>
      <w:r w:rsidR="00C53108">
        <w:rPr>
          <w:rFonts w:cs="Arial"/>
          <w:color w:val="1C1D1E"/>
          <w:shd w:val="clear" w:color="auto" w:fill="FFFFFF"/>
        </w:rPr>
        <w:t xml:space="preserve"> [to humans]</w:t>
      </w:r>
      <w:r w:rsidR="00632D26">
        <w:rPr>
          <w:rFonts w:cs="Arial"/>
          <w:color w:val="1C1D1E"/>
          <w:shd w:val="clear" w:color="auto" w:fill="FFFFFF"/>
        </w:rPr>
        <w:t xml:space="preserve"> is still unclear’.</w:t>
      </w:r>
      <w:r w:rsidR="00632D26">
        <w:t xml:space="preserve"> </w:t>
      </w:r>
      <w:r>
        <w:t>The US</w:t>
      </w:r>
      <w:r w:rsidR="00042552">
        <w:t xml:space="preserve"> </w:t>
      </w:r>
      <w:r>
        <w:t xml:space="preserve">EPA (2001) reports a </w:t>
      </w:r>
      <w:r>
        <w:rPr>
          <w:rStyle w:val="checkbox"/>
          <w:rFonts w:ascii="Arial" w:hAnsi="Arial" w:cs="Arial"/>
        </w:rPr>
        <w:t xml:space="preserve">human equivalent concentration </w:t>
      </w:r>
      <w:r w:rsidR="00647318">
        <w:rPr>
          <w:rStyle w:val="checkbox"/>
          <w:rFonts w:ascii="Arial" w:hAnsi="Arial" w:cs="Arial"/>
        </w:rPr>
        <w:t xml:space="preserve">NOAEC </w:t>
      </w:r>
      <w:r>
        <w:rPr>
          <w:rStyle w:val="checkbox"/>
          <w:rFonts w:ascii="Arial" w:hAnsi="Arial" w:cs="Arial"/>
        </w:rPr>
        <w:t>of 0.024 mg/m</w:t>
      </w:r>
      <w:r>
        <w:rPr>
          <w:rStyle w:val="checkbox"/>
          <w:rFonts w:ascii="Arial" w:hAnsi="Arial" w:cs="Arial"/>
          <w:vertAlign w:val="superscript"/>
        </w:rPr>
        <w:t>3</w:t>
      </w:r>
      <w:r>
        <w:rPr>
          <w:rStyle w:val="checkbox"/>
          <w:rFonts w:ascii="Arial" w:hAnsi="Arial" w:cs="Arial"/>
        </w:rPr>
        <w:t xml:space="preserve"> based on </w:t>
      </w:r>
      <w:r>
        <w:t>inflammation of the nose</w:t>
      </w:r>
      <w:r>
        <w:rPr>
          <w:rStyle w:val="checkbox"/>
          <w:rFonts w:ascii="Arial" w:hAnsi="Arial" w:cs="Arial"/>
        </w:rPr>
        <w:t xml:space="preserve"> in mice </w:t>
      </w:r>
      <w:r w:rsidR="00C53108">
        <w:t>in a</w:t>
      </w:r>
      <w:r>
        <w:t xml:space="preserve"> chronic inhalation study.</w:t>
      </w:r>
      <w:r w:rsidR="00BF2912">
        <w:t xml:space="preserve"> </w:t>
      </w:r>
      <w:r w:rsidR="002D2FD6">
        <w:t xml:space="preserve">A study of animals </w:t>
      </w:r>
      <w:r w:rsidR="002D2FD6" w:rsidRPr="00BF2912">
        <w:t xml:space="preserve">exposed </w:t>
      </w:r>
      <w:r w:rsidR="002D2FD6">
        <w:t>at</w:t>
      </w:r>
      <w:r w:rsidR="002D2FD6" w:rsidRPr="00BF2912">
        <w:t xml:space="preserve"> 0.15 ppm for</w:t>
      </w:r>
      <w:r w:rsidR="002D2FD6">
        <w:t xml:space="preserve"> seven</w:t>
      </w:r>
      <w:r w:rsidR="002D2FD6" w:rsidRPr="00BF2912">
        <w:t xml:space="preserve"> h</w:t>
      </w:r>
      <w:r w:rsidR="002D2FD6">
        <w:t>ours per day</w:t>
      </w:r>
      <w:r w:rsidR="002D2FD6" w:rsidRPr="00BF2912">
        <w:t xml:space="preserve"> </w:t>
      </w:r>
      <w:r w:rsidR="002D2FD6">
        <w:t>over 150 days reported i</w:t>
      </w:r>
      <w:r w:rsidR="00CF6F25">
        <w:t>rritation of e</w:t>
      </w:r>
      <w:r w:rsidR="00BF2912" w:rsidRPr="00BF2912">
        <w:t>ye</w:t>
      </w:r>
      <w:r w:rsidR="00CF6F25">
        <w:t>s</w:t>
      </w:r>
      <w:r w:rsidR="00BF2912" w:rsidRPr="00BF2912">
        <w:t xml:space="preserve">, skin, </w:t>
      </w:r>
      <w:r w:rsidR="002D2FD6">
        <w:t xml:space="preserve">and </w:t>
      </w:r>
      <w:r w:rsidR="00BF2912" w:rsidRPr="00BF2912">
        <w:t>mucous membrane</w:t>
      </w:r>
      <w:r w:rsidR="002D2FD6">
        <w:t xml:space="preserve">, </w:t>
      </w:r>
      <w:r w:rsidR="00BF2912">
        <w:t>respiratory tract and</w:t>
      </w:r>
      <w:r w:rsidR="00BF2912" w:rsidRPr="00BF2912">
        <w:t xml:space="preserve"> pulmonary oedema and kidney and liver injury</w:t>
      </w:r>
      <w:r w:rsidR="00266CF8">
        <w:t xml:space="preserve"> </w:t>
      </w:r>
      <w:r w:rsidR="00BF2912">
        <w:t>(ACGIH, 2018).</w:t>
      </w:r>
    </w:p>
    <w:p w14:paraId="10F2CDAF" w14:textId="7A5DCD2D" w:rsidR="000A3F47" w:rsidRDefault="002D2FD6" w:rsidP="000A3F47">
      <w:pPr>
        <w:rPr>
          <w:szCs w:val="20"/>
        </w:rPr>
      </w:pPr>
      <w:r>
        <w:t>A</w:t>
      </w:r>
      <w:r w:rsidR="000A3F47">
        <w:t xml:space="preserve"> TWA of 0.01 ppm is consistent across primary sources and is recommended to be retained in the interim. Noting there are inconsistent data about</w:t>
      </w:r>
      <w:r w:rsidR="001349A5">
        <w:t xml:space="preserve"> the </w:t>
      </w:r>
      <w:r w:rsidR="000A3F47">
        <w:t xml:space="preserve">potential of </w:t>
      </w:r>
      <w:r w:rsidR="005F12A0">
        <w:t>h</w:t>
      </w:r>
      <w:r w:rsidR="00266CF8">
        <w:t>exachlorocyclopentadiene</w:t>
      </w:r>
      <w:r w:rsidR="000A3F47">
        <w:t xml:space="preserve"> to elicit irritation and systemic effects, it is recommended that an investigation of additional data sources is undertaken at the next scheduled review.</w:t>
      </w:r>
    </w:p>
    <w:p w14:paraId="4DC97BA1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4598AD26" w14:textId="77777777" w:rsidR="000547E8" w:rsidRPr="00632D26" w:rsidRDefault="000547E8" w:rsidP="000547E8">
      <w:pPr>
        <w:rPr>
          <w:rFonts w:cs="Arial"/>
        </w:rPr>
      </w:pPr>
      <w:r w:rsidRPr="00632D26">
        <w:rPr>
          <w:rFonts w:cs="Arial"/>
        </w:rPr>
        <w:t xml:space="preserve">Not classified as a carcinogen according to the Globally Harmonized System of Classification and Labelling </w:t>
      </w:r>
      <w:r w:rsidR="00E07A22" w:rsidRPr="00632D26">
        <w:rPr>
          <w:rFonts w:cs="Arial"/>
        </w:rPr>
        <w:t>o</w:t>
      </w:r>
      <w:r w:rsidR="00E07A22">
        <w:rPr>
          <w:rFonts w:cs="Arial"/>
        </w:rPr>
        <w:t>f</w:t>
      </w:r>
      <w:r w:rsidR="00E07A22" w:rsidRPr="00632D26">
        <w:rPr>
          <w:rFonts w:cs="Arial"/>
        </w:rPr>
        <w:t xml:space="preserve"> </w:t>
      </w:r>
      <w:r w:rsidRPr="00632D26">
        <w:rPr>
          <w:rFonts w:cs="Arial"/>
        </w:rPr>
        <w:t xml:space="preserve">Chemicals (GHS). </w:t>
      </w:r>
    </w:p>
    <w:p w14:paraId="0D376698" w14:textId="77777777" w:rsidR="000547E8" w:rsidRPr="00632D26" w:rsidRDefault="000547E8" w:rsidP="000547E8">
      <w:pPr>
        <w:rPr>
          <w:rFonts w:cs="Arial"/>
        </w:rPr>
      </w:pPr>
      <w:r w:rsidRPr="00632D26">
        <w:rPr>
          <w:rFonts w:cs="Arial"/>
        </w:rPr>
        <w:t xml:space="preserve">Not classified as a skin </w:t>
      </w:r>
      <w:r w:rsidR="00E07A22" w:rsidRPr="00632D26">
        <w:rPr>
          <w:rFonts w:cs="Arial"/>
        </w:rPr>
        <w:t xml:space="preserve">sensitiser </w:t>
      </w:r>
      <w:r w:rsidRPr="00632D26">
        <w:rPr>
          <w:rFonts w:cs="Arial"/>
        </w:rPr>
        <w:t>or respiratory sensitiser according to the GHS.</w:t>
      </w:r>
    </w:p>
    <w:p w14:paraId="21679C41" w14:textId="77777777" w:rsidR="004529F0" w:rsidRPr="004C23F4" w:rsidRDefault="008523A7" w:rsidP="000547E8">
      <w:pPr>
        <w:rPr>
          <w:rFonts w:cs="Arial"/>
        </w:rPr>
      </w:pPr>
      <w:r>
        <w:rPr>
          <w:rFonts w:cs="Arial"/>
        </w:rPr>
        <w:t xml:space="preserve">There </w:t>
      </w:r>
      <w:r w:rsidR="002307B7">
        <w:rPr>
          <w:rFonts w:cs="Arial"/>
        </w:rPr>
        <w:t xml:space="preserve">are </w:t>
      </w:r>
      <w:r>
        <w:rPr>
          <w:rFonts w:cs="Arial"/>
        </w:rPr>
        <w:t>i</w:t>
      </w:r>
      <w:r w:rsidR="000547E8" w:rsidRPr="00632D26">
        <w:rPr>
          <w:rFonts w:cs="Arial"/>
        </w:rPr>
        <w:t xml:space="preserve">nsufficient </w:t>
      </w:r>
      <w:r>
        <w:rPr>
          <w:rFonts w:cs="Arial"/>
        </w:rPr>
        <w:t>data</w:t>
      </w:r>
      <w:r w:rsidR="000547E8" w:rsidRPr="00632D26">
        <w:rPr>
          <w:rFonts w:cs="Arial"/>
        </w:rPr>
        <w:t xml:space="preserve"> to recommend a skin notation.</w:t>
      </w:r>
    </w:p>
    <w:p w14:paraId="1EE22496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4A2401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F81BC0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DD67060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F161953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C9B7ECE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6A1EA04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547E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547E8">
                  <w:t>TWA: 0.01 ppm (0.11 mg/m</w:t>
                </w:r>
                <w:r w:rsidR="000547E8" w:rsidRPr="000547E8">
                  <w:rPr>
                    <w:vertAlign w:val="superscript"/>
                  </w:rPr>
                  <w:t>3</w:t>
                </w:r>
                <w:r w:rsidR="000547E8">
                  <w:t>)</w:t>
                </w:r>
              </w:sdtContent>
            </w:sdt>
          </w:p>
        </w:tc>
      </w:tr>
      <w:tr w:rsidR="00C978F0" w:rsidRPr="00DA352E" w14:paraId="105F8BF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45C9F7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6617FA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C88C7B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547E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547E8">
                  <w:t>TLV-TWA: 0.01 ppm (0.11 mg/m</w:t>
                </w:r>
                <w:r w:rsidR="000547E8" w:rsidRPr="000547E8">
                  <w:rPr>
                    <w:vertAlign w:val="superscript"/>
                  </w:rPr>
                  <w:t>3</w:t>
                </w:r>
                <w:r w:rsidR="000547E8">
                  <w:t>)</w:t>
                </w:r>
              </w:sdtContent>
            </w:sdt>
          </w:p>
        </w:tc>
      </w:tr>
      <w:tr w:rsidR="00C978F0" w:rsidRPr="00DA352E" w14:paraId="6ED6FCC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56C20C2" w14:textId="77777777" w:rsidR="00C978F0" w:rsidRDefault="001B681C" w:rsidP="003365A5">
            <w:pPr>
              <w:pStyle w:val="Tabletextprimarysource"/>
            </w:pPr>
            <w:r>
              <w:t>TLV-TWA recommended to minimise the potential for eye, skin, mucous membrane and respiratory tract irritation. Additionally, reported responses of pulmonary oedema and kidney and liver injury in animals.</w:t>
            </w:r>
          </w:p>
          <w:p w14:paraId="6031978E" w14:textId="77777777" w:rsidR="001B681C" w:rsidRDefault="001B681C" w:rsidP="003365A5">
            <w:pPr>
              <w:pStyle w:val="Tabletextprimarysource"/>
            </w:pPr>
            <w:r>
              <w:t>Summary of data:</w:t>
            </w:r>
          </w:p>
          <w:p w14:paraId="698FFDB2" w14:textId="77777777" w:rsidR="001B681C" w:rsidRDefault="00322FEA" w:rsidP="003365A5">
            <w:pPr>
              <w:pStyle w:val="Tabletextprimarysource"/>
            </w:pPr>
            <w:r>
              <w:t>Human data:</w:t>
            </w:r>
          </w:p>
          <w:p w14:paraId="54049112" w14:textId="77777777" w:rsidR="00322FEA" w:rsidRDefault="00322FEA" w:rsidP="00C11B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Limited human data</w:t>
            </w:r>
          </w:p>
          <w:p w14:paraId="4E3E3F99" w14:textId="77777777" w:rsidR="00322FEA" w:rsidRDefault="00322FEA" w:rsidP="00C11B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Case study of 145 workers accidentally exposed:</w:t>
            </w:r>
          </w:p>
          <w:p w14:paraId="451AA52D" w14:textId="77777777" w:rsidR="00322FEA" w:rsidRDefault="00322FEA" w:rsidP="00C11B7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59% reported eye irritation; 27% throat irritation</w:t>
            </w:r>
          </w:p>
          <w:p w14:paraId="2A3F8BF6" w14:textId="6704E4A4" w:rsidR="00322FEA" w:rsidRDefault="00866EDC" w:rsidP="00C11B7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m</w:t>
            </w:r>
            <w:r w:rsidR="00322FEA">
              <w:t xml:space="preserve">edical examination of 41 workers 3 d after showed proteinuria and elevation of serum </w:t>
            </w:r>
            <w:r w:rsidR="00C53108">
              <w:t>LDH</w:t>
            </w:r>
            <w:r w:rsidR="00322FEA">
              <w:t xml:space="preserve"> levels</w:t>
            </w:r>
            <w:r w:rsidR="00C83BCA">
              <w:t>.</w:t>
            </w:r>
          </w:p>
          <w:p w14:paraId="24FD0185" w14:textId="77777777" w:rsidR="007A28A2" w:rsidRDefault="007A28A2" w:rsidP="004F02DC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Animal data:</w:t>
            </w:r>
          </w:p>
          <w:p w14:paraId="1930010B" w14:textId="77777777" w:rsidR="007A28A2" w:rsidRDefault="007A28A2" w:rsidP="00C11B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Mortality in rabbits following </w:t>
            </w:r>
            <w:r w:rsidR="00205609">
              <w:t xml:space="preserve">single </w:t>
            </w:r>
            <w:r>
              <w:t xml:space="preserve">exposure </w:t>
            </w:r>
            <w:r w:rsidR="00D71248">
              <w:t xml:space="preserve">at </w:t>
            </w:r>
            <w:r>
              <w:t>1.5 ppm</w:t>
            </w:r>
            <w:r w:rsidR="005B7ECF">
              <w:t xml:space="preserve"> (15.9 mg/m</w:t>
            </w:r>
            <w:r w:rsidR="005B7ECF">
              <w:rPr>
                <w:vertAlign w:val="superscript"/>
              </w:rPr>
              <w:t>3</w:t>
            </w:r>
            <w:r w:rsidR="005B7ECF">
              <w:t xml:space="preserve">) </w:t>
            </w:r>
            <w:r>
              <w:t>for 7 h</w:t>
            </w:r>
          </w:p>
          <w:p w14:paraId="61A4BF89" w14:textId="77777777" w:rsidR="007A28A2" w:rsidRDefault="007A28A2" w:rsidP="00C11B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Rabbits, rats, mice and guinea pigs exposed </w:t>
            </w:r>
            <w:r w:rsidR="00D71248">
              <w:t xml:space="preserve">at </w:t>
            </w:r>
            <w:r>
              <w:t>0.15 ppm</w:t>
            </w:r>
            <w:r w:rsidR="005B7ECF">
              <w:t xml:space="preserve"> (1.7 mg/m</w:t>
            </w:r>
            <w:r w:rsidR="005B7ECF">
              <w:rPr>
                <w:vertAlign w:val="superscript"/>
              </w:rPr>
              <w:t>3</w:t>
            </w:r>
            <w:r w:rsidR="005B7ECF">
              <w:t>)</w:t>
            </w:r>
            <w:r>
              <w:t xml:space="preserve"> for 7 h</w:t>
            </w:r>
            <w:r w:rsidR="00866EDC">
              <w:t xml:space="preserve"> on 150/</w:t>
            </w:r>
            <w:r>
              <w:t>216 d; eye, skin, mucous membrane and respiratory tract irritation; pulmonary oedema and kidney and liver injury; 4</w:t>
            </w:r>
            <w:r w:rsidR="00575CAA">
              <w:t>/</w:t>
            </w:r>
            <w:r>
              <w:t>5 mice died</w:t>
            </w:r>
            <w:r w:rsidR="00E62D28">
              <w:t>:</w:t>
            </w:r>
          </w:p>
          <w:p w14:paraId="0854E1FC" w14:textId="77777777" w:rsidR="007A28A2" w:rsidRDefault="00866EDC" w:rsidP="00C11B7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a</w:t>
            </w:r>
            <w:r w:rsidR="00980B95">
              <w:t xml:space="preserve">nimals exposed </w:t>
            </w:r>
            <w:r w:rsidR="00D71248">
              <w:t xml:space="preserve">at </w:t>
            </w:r>
            <w:r w:rsidR="007A28A2">
              <w:t>0.34 ppm for 7 h/d, 5 d/wk</w:t>
            </w:r>
            <w:r w:rsidR="00980B95">
              <w:t xml:space="preserve">; all mice and rats died after </w:t>
            </w:r>
            <w:r w:rsidR="00205609">
              <w:t>20 </w:t>
            </w:r>
            <w:r>
              <w:t>exposures; 4/</w:t>
            </w:r>
            <w:r w:rsidR="00980B95">
              <w:t>6 rabbits died after 25 exposures; guinea pigs survived 30 exposures</w:t>
            </w:r>
          </w:p>
          <w:p w14:paraId="3B6E33A6" w14:textId="14B87E48" w:rsidR="00980B95" w:rsidRDefault="00980B95" w:rsidP="00C11B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Mice exposed at 0.01, 0.05 or 0.2 ppm; no increases in neoplasm (no further details)</w:t>
            </w:r>
            <w:r w:rsidR="00E07A22">
              <w:t>.</w:t>
            </w:r>
          </w:p>
          <w:p w14:paraId="0DC03C80" w14:textId="77777777" w:rsidR="002307B7" w:rsidRDefault="002307B7" w:rsidP="00980B95">
            <w:pPr>
              <w:pStyle w:val="Tabletextprimarysource"/>
            </w:pPr>
          </w:p>
          <w:p w14:paraId="22DDC222" w14:textId="77777777" w:rsidR="00980B95" w:rsidRDefault="00980B95" w:rsidP="00980B95">
            <w:pPr>
              <w:pStyle w:val="Tabletextprimarysource"/>
            </w:pPr>
            <w:r>
              <w:t>Insufficient data to assign skin or sensitiser notation of TLV-STEL.</w:t>
            </w:r>
          </w:p>
          <w:p w14:paraId="306D5EB4" w14:textId="77777777" w:rsidR="002307B7" w:rsidRPr="00DA352E" w:rsidRDefault="002307B7" w:rsidP="00980B95">
            <w:pPr>
              <w:pStyle w:val="Tabletextprimarysource"/>
            </w:pPr>
          </w:p>
        </w:tc>
      </w:tr>
      <w:tr w:rsidR="00C978F0" w:rsidRPr="00DA352E" w14:paraId="6B913C2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8AB380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0583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05835">
                  <w:t>Not assigned</w:t>
                </w:r>
              </w:sdtContent>
            </w:sdt>
          </w:p>
        </w:tc>
      </w:tr>
      <w:tr w:rsidR="00C978F0" w:rsidRPr="00DA352E" w14:paraId="4960F5F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DBCCB27" w14:textId="77777777" w:rsidR="00C978F0" w:rsidRDefault="005B7ECF" w:rsidP="003365A5">
            <w:pPr>
              <w:pStyle w:val="Tabletextprimarysource"/>
            </w:pPr>
            <w:r>
              <w:t>Summary of additional data:</w:t>
            </w:r>
          </w:p>
          <w:p w14:paraId="763536E3" w14:textId="1A463EC5" w:rsidR="00CF6F25" w:rsidRDefault="005B7ECF" w:rsidP="002D2FD6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Insufficient data in humans to derive MAK</w:t>
            </w:r>
            <w:r w:rsidR="002D2FD6">
              <w:t>.</w:t>
            </w:r>
          </w:p>
          <w:p w14:paraId="08949D6F" w14:textId="59E9C9CA" w:rsidR="005B7ECF" w:rsidRPr="005B7ECF" w:rsidRDefault="00CF6F25" w:rsidP="00CF6F25">
            <w:pPr>
              <w:pStyle w:val="ListBullet"/>
              <w:spacing w:before="60" w:after="60"/>
              <w:ind w:left="714" w:hanging="357"/>
              <w:contextualSpacing w:val="0"/>
            </w:pPr>
            <w:r w:rsidRPr="00CF6F25">
              <w:rPr>
                <w:rFonts w:cs="Arial"/>
                <w:color w:val="1C1D1E"/>
                <w:shd w:val="clear" w:color="auto" w:fill="FFFFFF"/>
              </w:rPr>
              <w:t>Rats and mice; inflammation and necrosis of the respiratory tract following exposure; pigmentation of the respiratory epithelium of the nose, trachea and lungs and increased incidence of metaplastic changes in the larynx in female rats at 0.11 mg/m</w:t>
            </w:r>
            <w:r w:rsidRPr="00CF6F25"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  <w:r w:rsidRPr="00CF6F25">
              <w:rPr>
                <w:rFonts w:cs="Arial"/>
                <w:color w:val="1C1D1E"/>
                <w:shd w:val="clear" w:color="auto" w:fill="FFFFFF"/>
              </w:rPr>
              <w:t xml:space="preserve">; unknown human relevance (no further </w:t>
            </w:r>
            <w:r w:rsidRPr="008523A7">
              <w:t>information</w:t>
            </w:r>
            <w:r w:rsidRPr="00CF6F25">
              <w:rPr>
                <w:rFonts w:cs="Arial"/>
                <w:color w:val="1C1D1E"/>
                <w:shd w:val="clear" w:color="auto" w:fill="FFFFFF"/>
              </w:rPr>
              <w:t>)</w:t>
            </w:r>
          </w:p>
          <w:p w14:paraId="48686DA3" w14:textId="77777777" w:rsidR="005B7ECF" w:rsidRDefault="005B7ECF" w:rsidP="00C11B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</w:t>
            </w:r>
            <w:r w:rsidR="007549B8">
              <w:t>C</w:t>
            </w:r>
            <w:r>
              <w:t xml:space="preserve"> of 0.56 mg/m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 w:rsidR="00E231A3">
              <w:rPr>
                <w:rFonts w:cs="Arial"/>
              </w:rPr>
              <w:t>≈</w:t>
            </w:r>
            <w:r>
              <w:t>0.5 ppm) systemic effects in rats; 30 wk inhalation study</w:t>
            </w:r>
          </w:p>
          <w:p w14:paraId="6942D689" w14:textId="1B9D8591" w:rsidR="00225BBF" w:rsidRDefault="00B70EBD" w:rsidP="00C11B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</w:t>
            </w:r>
            <w:r w:rsidR="00225BBF">
              <w:t>kin notation based on estimated skin resorption based on models</w:t>
            </w:r>
            <w:r w:rsidR="002307B7">
              <w:t>:</w:t>
            </w:r>
            <w:r w:rsidR="00225BBF">
              <w:t xml:space="preserve"> </w:t>
            </w:r>
          </w:p>
          <w:p w14:paraId="442D3B2F" w14:textId="77777777" w:rsidR="005B7ECF" w:rsidRPr="00225BBF" w:rsidRDefault="00225BBF" w:rsidP="00C11B7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s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aturated </w:t>
            </w:r>
            <w:r w:rsidRPr="008523A7">
              <w:t>aqueous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solution concentration of 0.1%</w:t>
            </w:r>
          </w:p>
          <w:p w14:paraId="164445C1" w14:textId="77777777" w:rsidR="00225BBF" w:rsidRPr="00225BBF" w:rsidRDefault="00225BBF" w:rsidP="00C11B7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skin surface </w:t>
            </w:r>
            <w:r w:rsidRPr="008523A7">
              <w:t>area</w:t>
            </w:r>
            <w:r>
              <w:rPr>
                <w:rFonts w:cs="Arial"/>
                <w:color w:val="1C1D1E"/>
                <w:shd w:val="clear" w:color="auto" w:fill="FFFFFF"/>
              </w:rPr>
              <w:t>: 2</w:t>
            </w:r>
            <w:r w:rsidR="00E07A22">
              <w:rPr>
                <w:rFonts w:cs="Arial"/>
                <w:color w:val="1C1D1E"/>
                <w:shd w:val="clear" w:color="auto" w:fill="FFFFFF"/>
              </w:rPr>
              <w:t>,</w:t>
            </w:r>
            <w:r>
              <w:rPr>
                <w:rFonts w:cs="Arial"/>
                <w:color w:val="1C1D1E"/>
                <w:shd w:val="clear" w:color="auto" w:fill="FFFFFF"/>
              </w:rPr>
              <w:t>000 cm</w:t>
            </w:r>
            <w:r>
              <w:rPr>
                <w:rFonts w:cs="Arial"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cs="Arial"/>
                <w:color w:val="1C1D1E"/>
                <w:shd w:val="clear" w:color="auto" w:fill="FFFFFF"/>
              </w:rPr>
              <w:t>, 1 h</w:t>
            </w:r>
          </w:p>
          <w:p w14:paraId="5434C21F" w14:textId="77777777" w:rsidR="00225BBF" w:rsidRPr="00225BBF" w:rsidRDefault="00225BBF" w:rsidP="00C11B7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intake estimates of 31 and 0.3 mg; geometric mean of</w:t>
            </w:r>
            <w:r w:rsidR="00866EDC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E231A3">
              <w:rPr>
                <w:rFonts w:cs="Arial"/>
                <w:color w:val="1C1D1E"/>
                <w:shd w:val="clear" w:color="auto" w:fill="FFFFFF"/>
              </w:rPr>
              <w:t>≈</w:t>
            </w:r>
            <w:r>
              <w:rPr>
                <w:rFonts w:cs="Arial"/>
                <w:color w:val="1C1D1E"/>
                <w:shd w:val="clear" w:color="auto" w:fill="FFFFFF"/>
              </w:rPr>
              <w:t>3 mg</w:t>
            </w:r>
          </w:p>
          <w:p w14:paraId="07080445" w14:textId="77777777" w:rsidR="00225BBF" w:rsidRDefault="00225BBF" w:rsidP="00C11B7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expose </w:t>
            </w:r>
            <w:r w:rsidR="00D71248">
              <w:rPr>
                <w:rFonts w:cs="Arial"/>
                <w:color w:val="1C1D1E"/>
                <w:shd w:val="clear" w:color="auto" w:fill="FFFFFF"/>
              </w:rPr>
              <w:t xml:space="preserve">at </w:t>
            </w:r>
            <w:r w:rsidRPr="008523A7">
              <w:t>systemic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7549B8">
              <w:rPr>
                <w:rFonts w:cs="Arial"/>
                <w:color w:val="1C1D1E"/>
                <w:shd w:val="clear" w:color="auto" w:fill="FFFFFF"/>
              </w:rPr>
              <w:t xml:space="preserve">NOAEC </w:t>
            </w:r>
            <w:r>
              <w:rPr>
                <w:rFonts w:cs="Arial"/>
                <w:color w:val="1C1D1E"/>
                <w:shd w:val="clear" w:color="auto" w:fill="FFFFFF"/>
              </w:rPr>
              <w:t>for 8 h assuming 10 m</w:t>
            </w:r>
            <w:r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air inhaled; 5.6 mg intake</w:t>
            </w:r>
            <w:r w:rsidR="00866EDC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Pr="00866EDC">
              <w:rPr>
                <w:rFonts w:cs="Arial"/>
                <w:color w:val="1C1D1E"/>
                <w:shd w:val="clear" w:color="auto" w:fill="FFFFFF"/>
              </w:rPr>
              <w:t xml:space="preserve">contribution of skin resorption would be very high; 3 mg vs 5.6 </w:t>
            </w:r>
            <w:r w:rsidRPr="008523A7">
              <w:t>mg</w:t>
            </w:r>
            <w:r w:rsidR="00E07A22">
              <w:t>.</w:t>
            </w:r>
          </w:p>
          <w:p w14:paraId="599878D9" w14:textId="77777777" w:rsidR="002307B7" w:rsidRPr="00DA352E" w:rsidRDefault="002307B7" w:rsidP="00C11B71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  <w:tr w:rsidR="00C978F0" w:rsidRPr="00DA352E" w14:paraId="0EED7CE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CA175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8544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185448">
                  <w:t>NA</w:t>
                </w:r>
              </w:sdtContent>
            </w:sdt>
          </w:p>
        </w:tc>
      </w:tr>
      <w:tr w:rsidR="00C978F0" w:rsidRPr="00DA352E" w14:paraId="1B9552C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7DD9B22" w14:textId="77777777" w:rsidR="00C978F0" w:rsidRPr="00DA352E" w:rsidRDefault="00185448" w:rsidP="003365A5">
            <w:pPr>
              <w:pStyle w:val="Tabletextprimarysource"/>
            </w:pPr>
            <w:r>
              <w:t>No report</w:t>
            </w:r>
            <w:r w:rsidR="00E07A22">
              <w:t>.</w:t>
            </w:r>
          </w:p>
        </w:tc>
      </w:tr>
      <w:tr w:rsidR="00DA352E" w:rsidRPr="00DA352E" w14:paraId="02581DA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A964815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8544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185448">
                  <w:t>NA</w:t>
                </w:r>
              </w:sdtContent>
            </w:sdt>
          </w:p>
        </w:tc>
      </w:tr>
      <w:tr w:rsidR="00DA352E" w:rsidRPr="00DA352E" w14:paraId="1EAEF26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9766936" w14:textId="77777777" w:rsidR="00DA352E" w:rsidRPr="00DA352E" w:rsidRDefault="00185448" w:rsidP="003365A5">
            <w:pPr>
              <w:pStyle w:val="Tabletextprimarysource"/>
            </w:pPr>
            <w:r>
              <w:t>No report</w:t>
            </w:r>
            <w:r w:rsidR="00E07A22">
              <w:t>.</w:t>
            </w:r>
          </w:p>
        </w:tc>
      </w:tr>
      <w:tr w:rsidR="00DA352E" w:rsidRPr="00DA352E" w14:paraId="0C51B6A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896CD6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41289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41289">
                  <w:t>T</w:t>
                </w:r>
                <w:r w:rsidR="003E6E24">
                  <w:t>WA: 0.0</w:t>
                </w:r>
                <w:r w:rsidR="00D41289">
                  <w:t xml:space="preserve">1 </w:t>
                </w:r>
                <w:r w:rsidR="003E6E24">
                  <w:t>ppm</w:t>
                </w:r>
                <w:r w:rsidR="00D41289">
                  <w:t xml:space="preserve"> (0.</w:t>
                </w:r>
                <w:r w:rsidR="003E6E24">
                  <w:t>1</w:t>
                </w:r>
                <w:r w:rsidR="00D41289">
                  <w:t xml:space="preserve">1 </w:t>
                </w:r>
                <w:r w:rsidR="003E6E24">
                  <w:t>mg/m</w:t>
                </w:r>
                <w:r w:rsidR="003E6E24" w:rsidRPr="003E6E24">
                  <w:rPr>
                    <w:vertAlign w:val="superscript"/>
                  </w:rPr>
                  <w:t>3</w:t>
                </w:r>
                <w:r w:rsidR="00D41289">
                  <w:t>)</w:t>
                </w:r>
              </w:sdtContent>
            </w:sdt>
          </w:p>
        </w:tc>
      </w:tr>
      <w:tr w:rsidR="00DA352E" w:rsidRPr="00DA352E" w14:paraId="593789C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5D8ED80" w14:textId="77777777" w:rsidR="00DA352E" w:rsidRDefault="009613D5" w:rsidP="003365A5">
            <w:pPr>
              <w:pStyle w:val="Tabletextprimarysource"/>
            </w:pPr>
            <w:r>
              <w:t>Summary of additional data:</w:t>
            </w:r>
          </w:p>
          <w:p w14:paraId="75A7F81E" w14:textId="7B0D5D12" w:rsidR="0064464F" w:rsidRDefault="009613D5" w:rsidP="002D2FD6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Current TWA is administrative</w:t>
            </w:r>
            <w:r w:rsidR="002D2FD6">
              <w:t xml:space="preserve"> and not health-based.</w:t>
            </w:r>
          </w:p>
          <w:p w14:paraId="51D2008D" w14:textId="65608889" w:rsidR="004F02DC" w:rsidRDefault="004F02DC" w:rsidP="004F02D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exposed at 0, 0.11, 0.57, or 2.28 mg/m</w:t>
            </w:r>
            <w:r w:rsidRPr="004C6FFB">
              <w:rPr>
                <w:vertAlign w:val="superscript"/>
              </w:rPr>
              <w:t>3</w:t>
            </w:r>
            <w:r>
              <w:t xml:space="preserve">, 6 hours/day, 5 days/week for 2 yr (also cited by DFG, 2001): </w:t>
            </w:r>
          </w:p>
          <w:p w14:paraId="75A875C3" w14:textId="79AB9544" w:rsidR="009613D5" w:rsidRDefault="004F02DC" w:rsidP="004F02DC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 w:rsidRPr="004C6FFB">
              <w:rPr>
                <w:rFonts w:cs="Arial"/>
                <w:color w:val="1C1D1E"/>
                <w:shd w:val="clear" w:color="auto" w:fill="FFFFFF"/>
              </w:rPr>
              <w:t>LOA</w:t>
            </w:r>
            <w:r>
              <w:t>EC of 0.11 mg/m</w:t>
            </w:r>
            <w:r w:rsidRPr="004C6FFB">
              <w:rPr>
                <w:vertAlign w:val="superscript"/>
              </w:rPr>
              <w:t>3</w:t>
            </w:r>
            <w:r>
              <w:t xml:space="preserve"> (0.01 ppm) for laryngeal lesions as well as pigmentation of the respiratory epithelium of the nose, the bronchioles and the bronchi</w:t>
            </w:r>
          </w:p>
          <w:p w14:paraId="5ABAA61C" w14:textId="77777777" w:rsidR="009613D5" w:rsidRDefault="009613D5" w:rsidP="00C11B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Recommends a health-based OEL TWA 0.0009 ppm (0.01 mg/m</w:t>
            </w:r>
            <w:r w:rsidRPr="009613D5">
              <w:rPr>
                <w:vertAlign w:val="superscript"/>
              </w:rPr>
              <w:t>3</w:t>
            </w:r>
            <w:r>
              <w:t>); based on LOAE</w:t>
            </w:r>
            <w:r w:rsidR="0089076C">
              <w:t>C</w:t>
            </w:r>
            <w:r>
              <w:t xml:space="preserve"> with application of uncertainty factor of 12 for absence of NOAE</w:t>
            </w:r>
            <w:r w:rsidR="0089076C">
              <w:t>C</w:t>
            </w:r>
            <w:r>
              <w:t>, intra- and interspecies variation and the type of critical effect</w:t>
            </w:r>
          </w:p>
          <w:p w14:paraId="45836C25" w14:textId="77777777" w:rsidR="009613D5" w:rsidRDefault="009613D5" w:rsidP="00C11B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Critical effect local; skin notation not warranted</w:t>
            </w:r>
            <w:r w:rsidR="00E07A22">
              <w:t>.</w:t>
            </w:r>
          </w:p>
          <w:p w14:paraId="5DD89777" w14:textId="77777777" w:rsidR="002307B7" w:rsidRPr="00DA352E" w:rsidRDefault="002307B7" w:rsidP="00C11B7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42AD26BA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29752363" w14:textId="77777777" w:rsidTr="006C7BE1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07B3977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FC5BD25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FF5E7E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07CEF40C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42DB8AF" w14:textId="77777777" w:rsidTr="006C7BE1">
        <w:trPr>
          <w:cantSplit/>
        </w:trPr>
        <w:tc>
          <w:tcPr>
            <w:tcW w:w="1496" w:type="dxa"/>
          </w:tcPr>
          <w:p w14:paraId="0DDB5B32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3346328E" w14:textId="77777777" w:rsidR="004966BF" w:rsidRPr="00CE617F" w:rsidRDefault="003C248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613D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70E3D91" w14:textId="77777777" w:rsidR="004966BF" w:rsidRPr="004C23F4" w:rsidRDefault="006C7BE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2001</w:t>
            </w:r>
          </w:p>
        </w:tc>
        <w:tc>
          <w:tcPr>
            <w:tcW w:w="6446" w:type="dxa"/>
          </w:tcPr>
          <w:p w14:paraId="685C9E31" w14:textId="77777777" w:rsidR="004966BF" w:rsidRPr="004C23F4" w:rsidRDefault="009613D5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Human equivalent </w:t>
            </w:r>
            <w:r w:rsidR="007549B8">
              <w:rPr>
                <w:rStyle w:val="checkbox"/>
                <w:rFonts w:ascii="Arial" w:hAnsi="Arial" w:cs="Arial"/>
              </w:rPr>
              <w:t xml:space="preserve">NOAEC </w:t>
            </w:r>
            <w:r>
              <w:rPr>
                <w:rStyle w:val="checkbox"/>
                <w:rFonts w:ascii="Arial" w:hAnsi="Arial" w:cs="Arial"/>
              </w:rPr>
              <w:t>of 0.024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based on </w:t>
            </w:r>
            <w:r w:rsidR="007549B8">
              <w:rPr>
                <w:rStyle w:val="checkbox"/>
                <w:rFonts w:ascii="Arial" w:hAnsi="Arial" w:cs="Arial"/>
              </w:rPr>
              <w:t xml:space="preserve">NOAEC </w:t>
            </w:r>
            <w:r>
              <w:rPr>
                <w:rStyle w:val="checkbox"/>
                <w:rFonts w:ascii="Arial" w:hAnsi="Arial" w:cs="Arial"/>
              </w:rPr>
              <w:t>of 0.56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in mice </w:t>
            </w:r>
            <w:r>
              <w:t>suppurative inflammation of the nose; chronic inhalation study</w:t>
            </w:r>
            <w:r w:rsidR="00E07A22">
              <w:t>.</w:t>
            </w:r>
          </w:p>
        </w:tc>
      </w:tr>
    </w:tbl>
    <w:bookmarkEnd w:id="0"/>
    <w:p w14:paraId="2912E73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3231951" w14:textId="77777777" w:rsidTr="009613D5">
        <w:trPr>
          <w:trHeight w:val="454"/>
          <w:tblHeader/>
        </w:trPr>
        <w:tc>
          <w:tcPr>
            <w:tcW w:w="6603" w:type="dxa"/>
            <w:vAlign w:val="center"/>
          </w:tcPr>
          <w:p w14:paraId="553D1A6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42B7B3A" w14:textId="77777777" w:rsidR="002E0D61" w:rsidRDefault="009613D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77A1CF2" w14:textId="77777777" w:rsidTr="009613D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48F0992" w14:textId="77777777" w:rsidR="008A36CF" w:rsidRPr="006901A2" w:rsidRDefault="009613D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E6F1B6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52B55F68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48FFEF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319FD6A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71B7CC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B25F8BC" w14:textId="77777777" w:rsidTr="00812887">
        <w:trPr>
          <w:cantSplit/>
        </w:trPr>
        <w:tc>
          <w:tcPr>
            <w:tcW w:w="3227" w:type="dxa"/>
          </w:tcPr>
          <w:p w14:paraId="43354DE7" w14:textId="77777777" w:rsidR="004079B4" w:rsidRPr="00225BBF" w:rsidRDefault="00084513" w:rsidP="009613D5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EFA80A4" w14:textId="77777777" w:rsidR="00687890" w:rsidRPr="00DD2F9B" w:rsidRDefault="000547E8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01279918" w14:textId="77777777" w:rsidTr="00812887">
        <w:trPr>
          <w:cantSplit/>
        </w:trPr>
        <w:tc>
          <w:tcPr>
            <w:tcW w:w="3227" w:type="dxa"/>
          </w:tcPr>
          <w:p w14:paraId="1AC4002B" w14:textId="77777777" w:rsidR="004079B4" w:rsidRPr="00225BBF" w:rsidRDefault="007925F0" w:rsidP="009613D5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C472A1D" w14:textId="77777777" w:rsidR="007925F0" w:rsidRPr="00DD2F9B" w:rsidRDefault="000547E8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58557A2F" w14:textId="77777777" w:rsidTr="00812887">
        <w:trPr>
          <w:cantSplit/>
        </w:trPr>
        <w:tc>
          <w:tcPr>
            <w:tcW w:w="3227" w:type="dxa"/>
          </w:tcPr>
          <w:p w14:paraId="6728D940" w14:textId="77777777" w:rsidR="00AF483F" w:rsidRPr="00225BBF" w:rsidRDefault="00AF483F" w:rsidP="009613D5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5235A8C" w14:textId="77777777" w:rsidR="00AF483F" w:rsidRPr="00DD2F9B" w:rsidRDefault="003E6E2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3D5633C" w14:textId="77777777" w:rsidTr="00812887">
        <w:trPr>
          <w:cantSplit/>
        </w:trPr>
        <w:tc>
          <w:tcPr>
            <w:tcW w:w="3227" w:type="dxa"/>
          </w:tcPr>
          <w:p w14:paraId="623D484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40B62AD" w14:textId="77777777" w:rsidR="00687890" w:rsidRPr="00DD2F9B" w:rsidRDefault="003E6E2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E1445EF" w14:textId="77777777" w:rsidTr="00812887">
        <w:trPr>
          <w:cantSplit/>
        </w:trPr>
        <w:tc>
          <w:tcPr>
            <w:tcW w:w="3227" w:type="dxa"/>
          </w:tcPr>
          <w:p w14:paraId="4C4CCD3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9697758" w14:textId="77777777" w:rsidR="00E41A26" w:rsidRPr="00DD2F9B" w:rsidRDefault="003E6E2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E69FEAF" w14:textId="77777777" w:rsidTr="00812887">
        <w:trPr>
          <w:cantSplit/>
        </w:trPr>
        <w:tc>
          <w:tcPr>
            <w:tcW w:w="3227" w:type="dxa"/>
          </w:tcPr>
          <w:p w14:paraId="0ACBA8E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21C9AC3" w14:textId="77777777" w:rsidR="002E0D61" w:rsidRPr="00DD2F9B" w:rsidRDefault="003E6E2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D7832C6" w14:textId="77777777" w:rsidTr="00812887">
        <w:trPr>
          <w:cantSplit/>
        </w:trPr>
        <w:tc>
          <w:tcPr>
            <w:tcW w:w="3227" w:type="dxa"/>
          </w:tcPr>
          <w:p w14:paraId="235C633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A57983D" w14:textId="77777777" w:rsidR="002E0D61" w:rsidRPr="00DD2F9B" w:rsidRDefault="00405835" w:rsidP="00DD2F9B">
            <w:pPr>
              <w:pStyle w:val="Tablefont"/>
            </w:pPr>
            <w:r>
              <w:t>H</w:t>
            </w:r>
            <w:r w:rsidR="003E6E24">
              <w:t xml:space="preserve"> (skin)</w:t>
            </w:r>
          </w:p>
        </w:tc>
      </w:tr>
      <w:tr w:rsidR="002E0D61" w:rsidRPr="004C23F4" w14:paraId="27E7B0C1" w14:textId="77777777" w:rsidTr="00812887">
        <w:trPr>
          <w:cantSplit/>
        </w:trPr>
        <w:tc>
          <w:tcPr>
            <w:tcW w:w="3227" w:type="dxa"/>
          </w:tcPr>
          <w:p w14:paraId="0740D53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D4129A6" w14:textId="77777777" w:rsidR="002E0D61" w:rsidRPr="00DD2F9B" w:rsidRDefault="003E6E2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094DEFA" w14:textId="77777777" w:rsidTr="00812887">
        <w:trPr>
          <w:cantSplit/>
        </w:trPr>
        <w:tc>
          <w:tcPr>
            <w:tcW w:w="3227" w:type="dxa"/>
          </w:tcPr>
          <w:p w14:paraId="7E74A1B8" w14:textId="77777777" w:rsidR="004079B4" w:rsidRDefault="002E0D61" w:rsidP="00F4402E">
            <w:pPr>
              <w:pStyle w:val="Tablefont"/>
            </w:pPr>
            <w:r>
              <w:lastRenderedPageBreak/>
              <w:t>HCOTN</w:t>
            </w:r>
          </w:p>
        </w:tc>
        <w:tc>
          <w:tcPr>
            <w:tcW w:w="6015" w:type="dxa"/>
          </w:tcPr>
          <w:p w14:paraId="5B6D063B" w14:textId="77777777" w:rsidR="002E0D61" w:rsidRPr="00DD2F9B" w:rsidRDefault="003E6E2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905129E" w14:textId="77777777" w:rsidTr="00812887">
        <w:trPr>
          <w:cantSplit/>
        </w:trPr>
        <w:tc>
          <w:tcPr>
            <w:tcW w:w="3227" w:type="dxa"/>
          </w:tcPr>
          <w:p w14:paraId="6A3AD29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DAEE145" w14:textId="77777777" w:rsidR="00386093" w:rsidRPr="00DD2F9B" w:rsidRDefault="003E6E2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1B30E61" w14:textId="77777777" w:rsidTr="00812887">
        <w:trPr>
          <w:cantSplit/>
        </w:trPr>
        <w:tc>
          <w:tcPr>
            <w:tcW w:w="3227" w:type="dxa"/>
          </w:tcPr>
          <w:p w14:paraId="02A82FA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9392E54" w14:textId="77777777" w:rsidR="00386093" w:rsidRPr="00DD2F9B" w:rsidRDefault="003E6E2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7D3B831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F2198A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8E18C4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6EACDAE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C221A3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6FCED083" w14:textId="77777777" w:rsidR="00932DCE" w:rsidRPr="004C23F4" w:rsidRDefault="00E07A22" w:rsidP="00F9496B">
            <w:pPr>
              <w:pStyle w:val="Tablefont"/>
            </w:pPr>
            <w:r w:rsidRPr="00E07A22">
              <w:t>Insufficient data to assign a skin notation</w:t>
            </w:r>
            <w:r w:rsidR="00205609">
              <w:t>.</w:t>
            </w:r>
          </w:p>
        </w:tc>
      </w:tr>
    </w:tbl>
    <w:bookmarkEnd w:id="3"/>
    <w:p w14:paraId="73539327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787EAF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84138C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92BFCA4" w14:textId="77777777" w:rsidR="00EB3D1B" w:rsidRDefault="003E6E24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44D8880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74E9DD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D7A8BF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1593B8F" w14:textId="77777777" w:rsidR="001B79E5" w:rsidRDefault="00185448" w:rsidP="001B79E5">
                <w:pPr>
                  <w:pStyle w:val="Tablefont"/>
                </w:pPr>
                <w:r>
                  <w:t>272.77</w:t>
                </w:r>
              </w:p>
            </w:tc>
          </w:sdtContent>
        </w:sdt>
      </w:tr>
      <w:tr w:rsidR="00A31D99" w:rsidRPr="004C23F4" w14:paraId="7FC129E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E0A001F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00B375F7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45971D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07113A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D0AD9FB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1CC9E1D" w14:textId="77777777" w:rsidTr="00EA6243">
        <w:trPr>
          <w:cantSplit/>
        </w:trPr>
        <w:tc>
          <w:tcPr>
            <w:tcW w:w="4077" w:type="dxa"/>
            <w:vAlign w:val="center"/>
          </w:tcPr>
          <w:p w14:paraId="1671F28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C728E5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95D62D5" w14:textId="77777777" w:rsidTr="00EA6243">
        <w:trPr>
          <w:cantSplit/>
        </w:trPr>
        <w:tc>
          <w:tcPr>
            <w:tcW w:w="4077" w:type="dxa"/>
            <w:vAlign w:val="center"/>
          </w:tcPr>
          <w:p w14:paraId="61DAA2F0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BA9BA50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E345FB0" w14:textId="77777777" w:rsidTr="00EA6243">
        <w:trPr>
          <w:cantSplit/>
        </w:trPr>
        <w:tc>
          <w:tcPr>
            <w:tcW w:w="4077" w:type="dxa"/>
            <w:vAlign w:val="center"/>
          </w:tcPr>
          <w:p w14:paraId="6EA5621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9AFF41A" w14:textId="77777777" w:rsidR="00E06F40" w:rsidRPr="00A006A0" w:rsidRDefault="003C248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A47BF6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4835A9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D868B70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DA02A4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FB5D6F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E36F02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CA7E2D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E05073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1F3A7DF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B7BE164" w14:textId="77777777" w:rsidR="003E6E24" w:rsidRDefault="003E6E24" w:rsidP="003E6E24">
      <w:pPr>
        <w:rPr>
          <w:b/>
        </w:rPr>
      </w:pPr>
      <w:r w:rsidRPr="002022B6">
        <w:t>Deutsche Forschungsgemeinschaft (DFG)</w:t>
      </w:r>
      <w:r>
        <w:t xml:space="preserve"> (</w:t>
      </w:r>
      <w:r w:rsidR="00BF4A2E">
        <w:t>2001</w:t>
      </w:r>
      <w:r>
        <w:t xml:space="preserve">) </w:t>
      </w:r>
      <w:r w:rsidR="00BF4A2E" w:rsidRPr="00BF4A2E">
        <w:t>Hexachlorcyclopentadien</w:t>
      </w:r>
      <w:r>
        <w:t xml:space="preserve"> – MAK value documentation.</w:t>
      </w:r>
    </w:p>
    <w:p w14:paraId="1A8288D4" w14:textId="77777777" w:rsidR="003E6E24" w:rsidRDefault="003E6E24" w:rsidP="003E6E24">
      <w:pPr>
        <w:rPr>
          <w:b/>
        </w:rPr>
      </w:pPr>
      <w:r w:rsidRPr="002022B6">
        <w:t>Health Council of the Netherlands</w:t>
      </w:r>
      <w:r>
        <w:t xml:space="preserve"> (HCOTN) (</w:t>
      </w:r>
      <w:r w:rsidR="00BF4A2E">
        <w:t>2003</w:t>
      </w:r>
      <w:r>
        <w:t xml:space="preserve">) </w:t>
      </w:r>
      <w:r w:rsidR="00BF4A2E" w:rsidRPr="00BF4A2E">
        <w:t>Hexachlorocyclopentadiene</w:t>
      </w:r>
      <w:r w:rsidRPr="005F7416">
        <w:t xml:space="preserve">. </w:t>
      </w:r>
      <w:r w:rsidR="00BF4A2E" w:rsidRPr="00BF4A2E"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BF4A2E">
        <w:t>2000/15OSH/081</w:t>
      </w:r>
      <w:r>
        <w:t>.</w:t>
      </w:r>
    </w:p>
    <w:p w14:paraId="1CC7FC24" w14:textId="77777777" w:rsidR="003E6E24" w:rsidRPr="00351FE0" w:rsidRDefault="003E6E24" w:rsidP="00084859"/>
    <w:sectPr w:rsidR="003E6E24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7A62F" w16cid:durableId="219BB050"/>
  <w16cid:commentId w16cid:paraId="77EF7714" w16cid:durableId="219BB116"/>
  <w16cid:commentId w16cid:paraId="08D4BBA2" w16cid:durableId="219BB236"/>
  <w16cid:commentId w16cid:paraId="48FCCBC4" w16cid:durableId="219BB337"/>
  <w16cid:commentId w16cid:paraId="12705ACB" w16cid:durableId="219BB395"/>
  <w16cid:commentId w16cid:paraId="0CAC238A" w16cid:durableId="219BB4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DEA32" w14:textId="77777777" w:rsidR="00BC7A2E" w:rsidRDefault="00BC7A2E" w:rsidP="00F43AD5">
      <w:pPr>
        <w:spacing w:after="0" w:line="240" w:lineRule="auto"/>
      </w:pPr>
      <w:r>
        <w:separator/>
      </w:r>
    </w:p>
  </w:endnote>
  <w:endnote w:type="continuationSeparator" w:id="0">
    <w:p w14:paraId="3D88B59F" w14:textId="77777777" w:rsidR="00BC7A2E" w:rsidRDefault="00BC7A2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C796" w14:textId="77777777" w:rsidR="003C2486" w:rsidRDefault="003C2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A6CADEF" w14:textId="77777777" w:rsidR="008A36CF" w:rsidRDefault="000547E8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Hexachlorocyclopentadiene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77-47-4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659664B" w14:textId="558FF44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C2486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BACB8" w14:textId="77777777" w:rsidR="003C2486" w:rsidRDefault="003C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0BFA" w14:textId="77777777" w:rsidR="00BC7A2E" w:rsidRDefault="00BC7A2E" w:rsidP="00F43AD5">
      <w:pPr>
        <w:spacing w:after="0" w:line="240" w:lineRule="auto"/>
      </w:pPr>
      <w:r>
        <w:separator/>
      </w:r>
    </w:p>
  </w:footnote>
  <w:footnote w:type="continuationSeparator" w:id="0">
    <w:p w14:paraId="7FFA45D8" w14:textId="77777777" w:rsidR="00BC7A2E" w:rsidRDefault="00BC7A2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8453" w14:textId="77777777" w:rsidR="003C2486" w:rsidRDefault="003C2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F6531" w14:textId="2F153223" w:rsidR="003C2486" w:rsidRDefault="003C2486" w:rsidP="003C2486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3B9498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E9E6903" wp14:editId="09DAEF26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D7DA1" w14:textId="5112069D" w:rsidR="008A36CF" w:rsidRPr="003C2486" w:rsidRDefault="008A36CF" w:rsidP="003C2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06D6" w14:textId="77777777" w:rsidR="003C2486" w:rsidRDefault="003C24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D85D6" w14:textId="1B621511" w:rsidR="003C2486" w:rsidRDefault="003C2486" w:rsidP="003C2486">
    <w:pPr>
      <w:pStyle w:val="Header"/>
      <w:jc w:val="right"/>
    </w:pPr>
    <w:sdt>
      <w:sdtPr>
        <w:id w:val="-407301240"/>
        <w:docPartObj>
          <w:docPartGallery w:val="Watermarks"/>
          <w:docPartUnique/>
        </w:docPartObj>
      </w:sdtPr>
      <w:sdtContent>
        <w:r>
          <w:pict w14:anchorId="3C79B1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3AABBC5" wp14:editId="475ED018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54A36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8AC1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1A"/>
    <w:multiLevelType w:val="hybridMultilevel"/>
    <w:tmpl w:val="ECCCE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27457"/>
    <w:multiLevelType w:val="hybridMultilevel"/>
    <w:tmpl w:val="20629ABA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9DF266C"/>
    <w:multiLevelType w:val="hybridMultilevel"/>
    <w:tmpl w:val="658E965E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9794715"/>
    <w:multiLevelType w:val="hybridMultilevel"/>
    <w:tmpl w:val="AA32B33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FA5"/>
    <w:multiLevelType w:val="hybridMultilevel"/>
    <w:tmpl w:val="8C261C52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7E57192"/>
    <w:multiLevelType w:val="hybridMultilevel"/>
    <w:tmpl w:val="93CC99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04015"/>
    <w:multiLevelType w:val="hybridMultilevel"/>
    <w:tmpl w:val="314EE310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57563434"/>
    <w:multiLevelType w:val="hybridMultilevel"/>
    <w:tmpl w:val="F332883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33A51"/>
    <w:multiLevelType w:val="hybridMultilevel"/>
    <w:tmpl w:val="EB0A9588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7AD46649"/>
    <w:multiLevelType w:val="hybridMultilevel"/>
    <w:tmpl w:val="86D638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7"/>
  </w:num>
  <w:num w:numId="26">
    <w:abstractNumId w:val="5"/>
  </w:num>
  <w:num w:numId="27">
    <w:abstractNumId w:val="0"/>
  </w:num>
  <w:num w:numId="28">
    <w:abstractNumId w:val="8"/>
  </w:num>
  <w:num w:numId="29">
    <w:abstractNumId w:val="2"/>
  </w:num>
  <w:num w:numId="30">
    <w:abstractNumId w:val="9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2552"/>
    <w:rsid w:val="00046DF5"/>
    <w:rsid w:val="00052060"/>
    <w:rsid w:val="000547E8"/>
    <w:rsid w:val="0005574A"/>
    <w:rsid w:val="00055FE1"/>
    <w:rsid w:val="00056495"/>
    <w:rsid w:val="00056EC2"/>
    <w:rsid w:val="00060B48"/>
    <w:rsid w:val="00067F32"/>
    <w:rsid w:val="00071807"/>
    <w:rsid w:val="000803E1"/>
    <w:rsid w:val="00084513"/>
    <w:rsid w:val="00084859"/>
    <w:rsid w:val="00092D94"/>
    <w:rsid w:val="000A3F47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27AB5"/>
    <w:rsid w:val="00131092"/>
    <w:rsid w:val="001349A5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85448"/>
    <w:rsid w:val="001A009E"/>
    <w:rsid w:val="001A1287"/>
    <w:rsid w:val="001A3859"/>
    <w:rsid w:val="001A3C9D"/>
    <w:rsid w:val="001A43F8"/>
    <w:rsid w:val="001B681C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5609"/>
    <w:rsid w:val="00213640"/>
    <w:rsid w:val="00221547"/>
    <w:rsid w:val="002216FC"/>
    <w:rsid w:val="00222533"/>
    <w:rsid w:val="00222F30"/>
    <w:rsid w:val="00224EE2"/>
    <w:rsid w:val="00225BBF"/>
    <w:rsid w:val="00227EC7"/>
    <w:rsid w:val="002307B7"/>
    <w:rsid w:val="002363B9"/>
    <w:rsid w:val="00244AD1"/>
    <w:rsid w:val="002463BC"/>
    <w:rsid w:val="002465CE"/>
    <w:rsid w:val="0025734A"/>
    <w:rsid w:val="00263255"/>
    <w:rsid w:val="00266CF8"/>
    <w:rsid w:val="00276494"/>
    <w:rsid w:val="00277B0C"/>
    <w:rsid w:val="002B1A2C"/>
    <w:rsid w:val="002C34F2"/>
    <w:rsid w:val="002C58FF"/>
    <w:rsid w:val="002C7AFE"/>
    <w:rsid w:val="002D05D2"/>
    <w:rsid w:val="002D2FD6"/>
    <w:rsid w:val="002E0D61"/>
    <w:rsid w:val="002E4C7B"/>
    <w:rsid w:val="0030740C"/>
    <w:rsid w:val="00315833"/>
    <w:rsid w:val="003215EE"/>
    <w:rsid w:val="003224BF"/>
    <w:rsid w:val="00322FEA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2486"/>
    <w:rsid w:val="003C3C4B"/>
    <w:rsid w:val="003D4FA3"/>
    <w:rsid w:val="003E0807"/>
    <w:rsid w:val="003E51FB"/>
    <w:rsid w:val="003E6B39"/>
    <w:rsid w:val="003E6E24"/>
    <w:rsid w:val="003F07E1"/>
    <w:rsid w:val="003F2369"/>
    <w:rsid w:val="004030BC"/>
    <w:rsid w:val="00403F7D"/>
    <w:rsid w:val="00405835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3C4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02DC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71C57"/>
    <w:rsid w:val="00575CAA"/>
    <w:rsid w:val="00581055"/>
    <w:rsid w:val="00591E38"/>
    <w:rsid w:val="005A19C5"/>
    <w:rsid w:val="005A3034"/>
    <w:rsid w:val="005A462D"/>
    <w:rsid w:val="005B253B"/>
    <w:rsid w:val="005B771D"/>
    <w:rsid w:val="005B7ECF"/>
    <w:rsid w:val="005C5D16"/>
    <w:rsid w:val="005D3193"/>
    <w:rsid w:val="005D4A6E"/>
    <w:rsid w:val="005E6979"/>
    <w:rsid w:val="005E75CB"/>
    <w:rsid w:val="005F12A0"/>
    <w:rsid w:val="006013C1"/>
    <w:rsid w:val="0060669E"/>
    <w:rsid w:val="00610F2E"/>
    <w:rsid w:val="00611399"/>
    <w:rsid w:val="00624C4E"/>
    <w:rsid w:val="00625200"/>
    <w:rsid w:val="00632D26"/>
    <w:rsid w:val="006363A8"/>
    <w:rsid w:val="00636DB7"/>
    <w:rsid w:val="0064464F"/>
    <w:rsid w:val="00647318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1DA6"/>
    <w:rsid w:val="006B160A"/>
    <w:rsid w:val="006B4E6C"/>
    <w:rsid w:val="006B50B6"/>
    <w:rsid w:val="006C7BE1"/>
    <w:rsid w:val="006D79EA"/>
    <w:rsid w:val="006E0E65"/>
    <w:rsid w:val="006E5D05"/>
    <w:rsid w:val="00701053"/>
    <w:rsid w:val="00701507"/>
    <w:rsid w:val="00714021"/>
    <w:rsid w:val="00716A0F"/>
    <w:rsid w:val="00717D45"/>
    <w:rsid w:val="007208F7"/>
    <w:rsid w:val="007218AF"/>
    <w:rsid w:val="007225F7"/>
    <w:rsid w:val="007365D1"/>
    <w:rsid w:val="00740E0E"/>
    <w:rsid w:val="00750212"/>
    <w:rsid w:val="00754779"/>
    <w:rsid w:val="007549B8"/>
    <w:rsid w:val="0075716D"/>
    <w:rsid w:val="00760982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28A2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3CF"/>
    <w:rsid w:val="008414E4"/>
    <w:rsid w:val="00843E21"/>
    <w:rsid w:val="0084508E"/>
    <w:rsid w:val="008523A7"/>
    <w:rsid w:val="00857A8A"/>
    <w:rsid w:val="008630EE"/>
    <w:rsid w:val="00864D13"/>
    <w:rsid w:val="00866EDC"/>
    <w:rsid w:val="00871CD5"/>
    <w:rsid w:val="008745A2"/>
    <w:rsid w:val="008768A8"/>
    <w:rsid w:val="0088798F"/>
    <w:rsid w:val="00887E4B"/>
    <w:rsid w:val="0089076C"/>
    <w:rsid w:val="008915C8"/>
    <w:rsid w:val="008A36CF"/>
    <w:rsid w:val="008A3BC4"/>
    <w:rsid w:val="008B403C"/>
    <w:rsid w:val="008B4A28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4FAB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13D5"/>
    <w:rsid w:val="009621B6"/>
    <w:rsid w:val="00974F2D"/>
    <w:rsid w:val="00977524"/>
    <w:rsid w:val="00977E88"/>
    <w:rsid w:val="00980B95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0CA7"/>
    <w:rsid w:val="009D3B5A"/>
    <w:rsid w:val="009D565B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AF63A2"/>
    <w:rsid w:val="00B00A25"/>
    <w:rsid w:val="00B1422A"/>
    <w:rsid w:val="00B1765C"/>
    <w:rsid w:val="00B17AD8"/>
    <w:rsid w:val="00B213C4"/>
    <w:rsid w:val="00B40C60"/>
    <w:rsid w:val="00B479A9"/>
    <w:rsid w:val="00B52EDF"/>
    <w:rsid w:val="00B70EBD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7A2E"/>
    <w:rsid w:val="00BD499F"/>
    <w:rsid w:val="00BD56DE"/>
    <w:rsid w:val="00BF2406"/>
    <w:rsid w:val="00BF2912"/>
    <w:rsid w:val="00BF4A2E"/>
    <w:rsid w:val="00C06E43"/>
    <w:rsid w:val="00C11B71"/>
    <w:rsid w:val="00C16315"/>
    <w:rsid w:val="00C3091E"/>
    <w:rsid w:val="00C40FF1"/>
    <w:rsid w:val="00C419E2"/>
    <w:rsid w:val="00C5020E"/>
    <w:rsid w:val="00C53108"/>
    <w:rsid w:val="00C57452"/>
    <w:rsid w:val="00C61EDF"/>
    <w:rsid w:val="00C6239D"/>
    <w:rsid w:val="00C6594B"/>
    <w:rsid w:val="00C67FFB"/>
    <w:rsid w:val="00C7155E"/>
    <w:rsid w:val="00C71D1E"/>
    <w:rsid w:val="00C71D7D"/>
    <w:rsid w:val="00C74345"/>
    <w:rsid w:val="00C74833"/>
    <w:rsid w:val="00C83BCA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6F25"/>
    <w:rsid w:val="00D048F7"/>
    <w:rsid w:val="00D0517E"/>
    <w:rsid w:val="00D140FC"/>
    <w:rsid w:val="00D21D8C"/>
    <w:rsid w:val="00D31357"/>
    <w:rsid w:val="00D33220"/>
    <w:rsid w:val="00D334D1"/>
    <w:rsid w:val="00D41289"/>
    <w:rsid w:val="00D44C89"/>
    <w:rsid w:val="00D516CD"/>
    <w:rsid w:val="00D668E6"/>
    <w:rsid w:val="00D70670"/>
    <w:rsid w:val="00D71248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A22"/>
    <w:rsid w:val="00E07CE8"/>
    <w:rsid w:val="00E231A3"/>
    <w:rsid w:val="00E26A07"/>
    <w:rsid w:val="00E32595"/>
    <w:rsid w:val="00E37CFD"/>
    <w:rsid w:val="00E41A26"/>
    <w:rsid w:val="00E46BCB"/>
    <w:rsid w:val="00E51CAF"/>
    <w:rsid w:val="00E60F04"/>
    <w:rsid w:val="00E62AAC"/>
    <w:rsid w:val="00E62D28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4667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0E11"/>
    <w:rsid w:val="00F11C71"/>
    <w:rsid w:val="00F16019"/>
    <w:rsid w:val="00F20E68"/>
    <w:rsid w:val="00F22093"/>
    <w:rsid w:val="00F236DF"/>
    <w:rsid w:val="00F43AD5"/>
    <w:rsid w:val="00F4402E"/>
    <w:rsid w:val="00F46487"/>
    <w:rsid w:val="00F56DD0"/>
    <w:rsid w:val="00F6491C"/>
    <w:rsid w:val="00F67BBB"/>
    <w:rsid w:val="00F868BF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24947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3E6E24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322FE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1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3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3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3CF"/>
    <w:rPr>
      <w:b/>
      <w:bCs/>
      <w:szCs w:val="20"/>
    </w:rPr>
  </w:style>
  <w:style w:type="character" w:customStyle="1" w:styleId="e24kjd">
    <w:name w:val="e24kjd"/>
    <w:basedOn w:val="DefaultParagraphFont"/>
    <w:rsid w:val="00F1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00549CA5A0044B1AB4E26323D453C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E6424-524C-4ADA-B050-FB9731C3D3FB}"/>
      </w:docPartPr>
      <w:docPartBody>
        <w:p w:rsidR="00A40688" w:rsidRDefault="00C61F2C" w:rsidP="00C61F2C">
          <w:pPr>
            <w:pStyle w:val="00549CA5A0044B1AB4E26323D453CDEE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95E8C"/>
    <w:rsid w:val="00A40688"/>
    <w:rsid w:val="00AB53B7"/>
    <w:rsid w:val="00C61F2C"/>
    <w:rsid w:val="00CA5DAF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F2C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37E7FB340C84F84B0657A837545F36A">
    <w:name w:val="D37E7FB340C84F84B0657A837545F36A"/>
    <w:rsid w:val="00395E8C"/>
    <w:rPr>
      <w:lang w:val="en-US" w:eastAsia="en-US"/>
    </w:rPr>
  </w:style>
  <w:style w:type="paragraph" w:customStyle="1" w:styleId="2E8B1C2FD6984856A443B1AC33E94055">
    <w:name w:val="2E8B1C2FD6984856A443B1AC33E94055"/>
    <w:rsid w:val="00395E8C"/>
    <w:rPr>
      <w:lang w:val="en-US" w:eastAsia="en-US"/>
    </w:rPr>
  </w:style>
  <w:style w:type="paragraph" w:customStyle="1" w:styleId="F53EB29525B24BEC80CD4E9B6D1EEC08">
    <w:name w:val="F53EB29525B24BEC80CD4E9B6D1EEC08"/>
    <w:rsid w:val="00395E8C"/>
    <w:rPr>
      <w:lang w:val="en-US" w:eastAsia="en-US"/>
    </w:rPr>
  </w:style>
  <w:style w:type="paragraph" w:customStyle="1" w:styleId="0A427B3828284C5CB59D5382C225437F">
    <w:name w:val="0A427B3828284C5CB59D5382C225437F"/>
    <w:rsid w:val="00395E8C"/>
    <w:rPr>
      <w:lang w:val="en-US" w:eastAsia="en-US"/>
    </w:rPr>
  </w:style>
  <w:style w:type="paragraph" w:customStyle="1" w:styleId="21CCA2184FD748FDB78487B065158601">
    <w:name w:val="21CCA2184FD748FDB78487B065158601"/>
    <w:rsid w:val="00395E8C"/>
    <w:rPr>
      <w:lang w:val="en-US" w:eastAsia="en-US"/>
    </w:rPr>
  </w:style>
  <w:style w:type="paragraph" w:customStyle="1" w:styleId="2FD78EF6D3814187B64504A1C6D3D1F8">
    <w:name w:val="2FD78EF6D3814187B64504A1C6D3D1F8"/>
    <w:rsid w:val="00395E8C"/>
    <w:rPr>
      <w:lang w:val="en-US" w:eastAsia="en-US"/>
    </w:rPr>
  </w:style>
  <w:style w:type="paragraph" w:customStyle="1" w:styleId="327743D34EE544A1A5831CF5BD28BCEC">
    <w:name w:val="327743D34EE544A1A5831CF5BD28BCEC"/>
    <w:rsid w:val="00395E8C"/>
    <w:rPr>
      <w:lang w:val="en-US" w:eastAsia="en-US"/>
    </w:rPr>
  </w:style>
  <w:style w:type="paragraph" w:customStyle="1" w:styleId="CE5891E2C9054C4B865A87B07F3D8B57">
    <w:name w:val="CE5891E2C9054C4B865A87B07F3D8B57"/>
    <w:rsid w:val="00395E8C"/>
    <w:rPr>
      <w:lang w:val="en-US" w:eastAsia="en-US"/>
    </w:rPr>
  </w:style>
  <w:style w:type="paragraph" w:customStyle="1" w:styleId="0C689943EE2D49E2BD61A151D8556E4D">
    <w:name w:val="0C689943EE2D49E2BD61A151D8556E4D"/>
    <w:rsid w:val="00395E8C"/>
    <w:rPr>
      <w:lang w:val="en-US" w:eastAsia="en-US"/>
    </w:rPr>
  </w:style>
  <w:style w:type="paragraph" w:customStyle="1" w:styleId="55225C5CA78E4B21A1C7ECCB21B136D0">
    <w:name w:val="55225C5CA78E4B21A1C7ECCB21B136D0"/>
    <w:rsid w:val="00395E8C"/>
    <w:rPr>
      <w:lang w:val="en-US" w:eastAsia="en-US"/>
    </w:rPr>
  </w:style>
  <w:style w:type="paragraph" w:customStyle="1" w:styleId="00549CA5A0044B1AB4E26323D453CDEE">
    <w:name w:val="00549CA5A0044B1AB4E26323D453CDEE"/>
    <w:rsid w:val="00C61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6366-5BB1-45F0-A895-36CD5A791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FCE9E-A9E0-4F7E-81FB-20BE85122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AA304-14BE-441D-BCF4-7CF83CA40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6672C-B9A9-4F6E-B532-CF037F2B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114D2C75.dotm</Template>
  <TotalTime>0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2019-11-21T00:11:00Z</dcterms:created>
  <dcterms:modified xsi:type="dcterms:W3CDTF">2020-01-15T03:25:00Z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