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 w:val="0"/>
          <w:bCs w:val="0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A7C901D" w14:textId="65719505" w:rsidR="00BD499F" w:rsidRPr="00A9130E" w:rsidRDefault="005615BC" w:rsidP="00A9130E">
          <w:pPr>
            <w:pStyle w:val="Heading1"/>
            <w:jc w:val="center"/>
          </w:pPr>
          <w:r w:rsidRPr="00A9130E">
            <w:rPr>
              <w:rFonts w:ascii="Arial" w:hAnsi="Arial" w:cs="Arial"/>
            </w:rPr>
            <w:t>HEXACHLORONAPHTHALENE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1"/>
        <w:gridCol w:w="5035"/>
      </w:tblGrid>
      <w:tr w:rsidR="00F43AD5" w:rsidRPr="004C23F4" w14:paraId="213ED272" w14:textId="77777777" w:rsidTr="00A9130E">
        <w:trPr>
          <w:cantSplit/>
          <w:tblHeader/>
        </w:trPr>
        <w:tc>
          <w:tcPr>
            <w:tcW w:w="3991" w:type="dxa"/>
          </w:tcPr>
          <w:p w14:paraId="07B1732B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5" w:type="dxa"/>
          </w:tcPr>
          <w:p w14:paraId="3D9BE8CD" w14:textId="77777777" w:rsidR="00F43AD5" w:rsidRPr="00717D45" w:rsidRDefault="00A57915" w:rsidP="00B76A41">
            <w:pPr>
              <w:pStyle w:val="Tablefont"/>
            </w:pPr>
            <w:r>
              <w:t>1335-87-1</w:t>
            </w:r>
          </w:p>
        </w:tc>
      </w:tr>
      <w:tr w:rsidR="00F43AD5" w:rsidRPr="004C23F4" w14:paraId="6C9919DF" w14:textId="77777777" w:rsidTr="00A9130E">
        <w:trPr>
          <w:cantSplit/>
        </w:trPr>
        <w:tc>
          <w:tcPr>
            <w:tcW w:w="3991" w:type="dxa"/>
          </w:tcPr>
          <w:p w14:paraId="021C2E51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5" w:type="dxa"/>
          </w:tcPr>
          <w:p w14:paraId="0E29972C" w14:textId="77777777" w:rsidR="00F43AD5" w:rsidRPr="00717D45" w:rsidRDefault="00A57915" w:rsidP="00B76A41">
            <w:pPr>
              <w:pStyle w:val="Tablefont"/>
            </w:pPr>
            <w:proofErr w:type="spellStart"/>
            <w:r>
              <w:t>Halowax</w:t>
            </w:r>
            <w:proofErr w:type="spellEnd"/>
            <w:r>
              <w:t xml:space="preserve"> 1014</w:t>
            </w:r>
          </w:p>
        </w:tc>
      </w:tr>
      <w:tr w:rsidR="00F43AD5" w:rsidRPr="004C23F4" w14:paraId="6AD86624" w14:textId="77777777" w:rsidTr="00A9130E">
        <w:trPr>
          <w:cantSplit/>
        </w:trPr>
        <w:tc>
          <w:tcPr>
            <w:tcW w:w="3991" w:type="dxa"/>
          </w:tcPr>
          <w:p w14:paraId="48827B4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5" w:type="dxa"/>
          </w:tcPr>
          <w:p w14:paraId="50BFD843" w14:textId="77777777" w:rsidR="00F43AD5" w:rsidRPr="00717D45" w:rsidRDefault="00A57915" w:rsidP="00B76A41">
            <w:pPr>
              <w:pStyle w:val="Tablefont"/>
            </w:pPr>
            <w:r>
              <w:t>C</w:t>
            </w:r>
            <w:r w:rsidRPr="00A57915">
              <w:rPr>
                <w:vertAlign w:val="subscript"/>
              </w:rPr>
              <w:t>10</w:t>
            </w:r>
            <w:r>
              <w:t>H</w:t>
            </w:r>
            <w:r w:rsidRPr="00A57915">
              <w:rPr>
                <w:vertAlign w:val="subscript"/>
              </w:rPr>
              <w:t>2</w:t>
            </w:r>
            <w:r>
              <w:t>Cl</w:t>
            </w:r>
            <w:r w:rsidRPr="00A57915">
              <w:rPr>
                <w:vertAlign w:val="subscript"/>
              </w:rPr>
              <w:t>6</w:t>
            </w:r>
          </w:p>
        </w:tc>
      </w:tr>
    </w:tbl>
    <w:p w14:paraId="34A4605F" w14:textId="6F5832D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D244B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2545A944" w14:textId="77777777" w:rsidTr="00701180">
        <w:trPr>
          <w:cantSplit/>
          <w:tblHeader/>
        </w:trPr>
        <w:tc>
          <w:tcPr>
            <w:tcW w:w="4005" w:type="dxa"/>
            <w:vAlign w:val="center"/>
          </w:tcPr>
          <w:p w14:paraId="2111E618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46B4E86E" w14:textId="6D9DA968" w:rsidR="002C7AFE" w:rsidRPr="0036788C" w:rsidRDefault="00413A2C" w:rsidP="00017C82">
            <w:pPr>
              <w:pStyle w:val="Tablefont"/>
              <w:rPr>
                <w:b/>
              </w:rPr>
            </w:pPr>
            <w:r w:rsidRPr="00413A2C">
              <w:rPr>
                <w:b/>
              </w:rPr>
              <w:t>0.</w:t>
            </w:r>
            <w:r w:rsidR="00D873A0">
              <w:rPr>
                <w:b/>
              </w:rPr>
              <w:t>2</w:t>
            </w:r>
            <w:r w:rsidRPr="00413A2C">
              <w:rPr>
                <w:b/>
              </w:rPr>
              <w:t xml:space="preserve"> mg/m</w:t>
            </w:r>
            <w:r w:rsidRPr="00413A2C">
              <w:rPr>
                <w:b/>
                <w:vertAlign w:val="superscript"/>
              </w:rPr>
              <w:t>3</w:t>
            </w:r>
          </w:p>
        </w:tc>
      </w:tr>
      <w:tr w:rsidR="002C7AFE" w:rsidRPr="004C23F4" w14:paraId="186467C8" w14:textId="77777777" w:rsidTr="00701180">
        <w:trPr>
          <w:cantSplit/>
        </w:trPr>
        <w:tc>
          <w:tcPr>
            <w:tcW w:w="4005" w:type="dxa"/>
            <w:vAlign w:val="center"/>
          </w:tcPr>
          <w:p w14:paraId="7C7B5F5B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2406151B" w14:textId="77777777" w:rsidR="002C7AFE" w:rsidRPr="00EB3D1B" w:rsidRDefault="00A5791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D56794D" w14:textId="77777777" w:rsidTr="00701180">
        <w:trPr>
          <w:cantSplit/>
        </w:trPr>
        <w:tc>
          <w:tcPr>
            <w:tcW w:w="4005" w:type="dxa"/>
            <w:vAlign w:val="center"/>
          </w:tcPr>
          <w:p w14:paraId="5EEE154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6EB26841" w14:textId="77777777" w:rsidR="002C7AFE" w:rsidRPr="00EB3D1B" w:rsidRDefault="00A5791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1E3CED2" w14:textId="77777777" w:rsidTr="00701180">
        <w:trPr>
          <w:cantSplit/>
        </w:trPr>
        <w:tc>
          <w:tcPr>
            <w:tcW w:w="4005" w:type="dxa"/>
          </w:tcPr>
          <w:p w14:paraId="09786A33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6B8ED73A" w14:textId="77777777" w:rsidR="002C7AFE" w:rsidRPr="00EB3D1B" w:rsidRDefault="00FC31A2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3B51F9C1" w14:textId="77777777" w:rsidTr="00701180">
        <w:trPr>
          <w:cantSplit/>
        </w:trPr>
        <w:tc>
          <w:tcPr>
            <w:tcW w:w="4005" w:type="dxa"/>
            <w:vAlign w:val="center"/>
          </w:tcPr>
          <w:p w14:paraId="7B8226C7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4B168DFD" w14:textId="77777777" w:rsidR="002C7AFE" w:rsidRPr="00EB3D1B" w:rsidRDefault="00F134D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 mg/m</w:t>
            </w:r>
            <w:r w:rsidRPr="00F134DD">
              <w:rPr>
                <w:b/>
                <w:vertAlign w:val="superscript"/>
              </w:rPr>
              <w:t>3</w:t>
            </w:r>
          </w:p>
        </w:tc>
      </w:tr>
      <w:tr w:rsidR="00701180" w:rsidRPr="004C23F4" w14:paraId="090D3400" w14:textId="77777777" w:rsidTr="00582534">
        <w:trPr>
          <w:cantSplit/>
        </w:trPr>
        <w:tc>
          <w:tcPr>
            <w:tcW w:w="9026" w:type="dxa"/>
            <w:gridSpan w:val="2"/>
            <w:vAlign w:val="center"/>
          </w:tcPr>
          <w:p w14:paraId="52E72898" w14:textId="77777777" w:rsidR="00701180" w:rsidRPr="00EB3D1B" w:rsidRDefault="0070118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Sampling and analysis:</w:t>
            </w:r>
            <w:r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E4C640251E2E4D6187B37129FA90C64D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FC31A2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A90A33D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9D340AF" w14:textId="0F3E6435" w:rsidR="00413A2C" w:rsidRDefault="00413A2C" w:rsidP="00E50382">
      <w:r w:rsidRPr="00413A2C">
        <w:t xml:space="preserve">A TWA of </w:t>
      </w:r>
      <w:r w:rsidR="0036788C" w:rsidRPr="0036788C">
        <w:t>0.</w:t>
      </w:r>
      <w:r w:rsidR="00D873A0">
        <w:t>2</w:t>
      </w:r>
      <w:r w:rsidR="0036788C" w:rsidRPr="0036788C">
        <w:t xml:space="preserve"> mg/m</w:t>
      </w:r>
      <w:r w:rsidR="0036788C" w:rsidRPr="0036788C">
        <w:rPr>
          <w:vertAlign w:val="superscript"/>
        </w:rPr>
        <w:t>3</w:t>
      </w:r>
      <w:r w:rsidR="0036788C">
        <w:t xml:space="preserve"> </w:t>
      </w:r>
      <w:r w:rsidRPr="00413A2C">
        <w:t xml:space="preserve">is </w:t>
      </w:r>
      <w:r w:rsidR="00FF0529">
        <w:t>recommended</w:t>
      </w:r>
      <w:r w:rsidRPr="00413A2C">
        <w:t xml:space="preserve"> to protect for </w:t>
      </w:r>
      <w:r w:rsidR="0036788C">
        <w:t xml:space="preserve">liver damage </w:t>
      </w:r>
      <w:r w:rsidR="00FC31A2">
        <w:t>in exposed workers.</w:t>
      </w:r>
    </w:p>
    <w:p w14:paraId="644C13AE" w14:textId="77777777" w:rsidR="008218B7" w:rsidRDefault="008218B7" w:rsidP="008218B7">
      <w:pPr>
        <w:rPr>
          <w:rFonts w:cs="Arial"/>
        </w:rPr>
      </w:pPr>
      <w:r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38657E7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8B2B0F8" w14:textId="2EDFD02B" w:rsidR="00434B54" w:rsidRDefault="0036788C" w:rsidP="006639B4">
      <w:pPr>
        <w:rPr>
          <w:rFonts w:cs="Arial"/>
        </w:rPr>
      </w:pPr>
      <w:r w:rsidRPr="0036788C">
        <w:rPr>
          <w:rFonts w:cs="Arial"/>
        </w:rPr>
        <w:t>Hexachloronaphthalene</w:t>
      </w:r>
      <w:r w:rsidR="00FC31A2">
        <w:rPr>
          <w:rFonts w:cs="Arial"/>
        </w:rPr>
        <w:t xml:space="preserve"> i</w:t>
      </w:r>
      <w:r w:rsidRPr="005C1A3F">
        <w:rPr>
          <w:rFonts w:cs="Arial"/>
        </w:rPr>
        <w:t xml:space="preserve">s commonly used </w:t>
      </w:r>
      <w:r w:rsidR="00310991">
        <w:rPr>
          <w:rFonts w:cs="Arial"/>
        </w:rPr>
        <w:t>in</w:t>
      </w:r>
      <w:r w:rsidRPr="005C1A3F">
        <w:rPr>
          <w:rFonts w:cs="Arial"/>
        </w:rPr>
        <w:t xml:space="preserve"> </w:t>
      </w:r>
      <w:r>
        <w:rPr>
          <w:rFonts w:cs="Arial"/>
        </w:rPr>
        <w:t>electric wire insulation and lubricants.</w:t>
      </w:r>
      <w:r w:rsidRPr="0036788C">
        <w:rPr>
          <w:rFonts w:cs="Arial"/>
        </w:rPr>
        <w:t xml:space="preserve"> </w:t>
      </w:r>
    </w:p>
    <w:p w14:paraId="6A3BE3F9" w14:textId="32C88409" w:rsidR="0036788C" w:rsidRDefault="0036788C" w:rsidP="0036788C">
      <w:r>
        <w:rPr>
          <w:rFonts w:cs="Arial"/>
        </w:rPr>
        <w:t>Limited data indicate</w:t>
      </w:r>
      <w:r w:rsidR="00107809">
        <w:rPr>
          <w:rFonts w:cs="Arial"/>
        </w:rPr>
        <w:t xml:space="preserve"> the</w:t>
      </w:r>
      <w:r w:rsidR="00FF0529">
        <w:rPr>
          <w:rFonts w:cs="Arial"/>
        </w:rPr>
        <w:t xml:space="preserve"> critical effects of</w:t>
      </w:r>
      <w:r>
        <w:rPr>
          <w:rFonts w:cs="Arial"/>
        </w:rPr>
        <w:t xml:space="preserve"> </w:t>
      </w:r>
      <w:r w:rsidR="00A9130E">
        <w:rPr>
          <w:rFonts w:cs="Arial"/>
        </w:rPr>
        <w:t xml:space="preserve">exposure as </w:t>
      </w:r>
      <w:proofErr w:type="spellStart"/>
      <w:r w:rsidR="00B47114">
        <w:t>hepatoxicity</w:t>
      </w:r>
      <w:proofErr w:type="spellEnd"/>
      <w:r w:rsidR="00FF0529">
        <w:t xml:space="preserve"> and </w:t>
      </w:r>
      <w:proofErr w:type="spellStart"/>
      <w:r w:rsidR="00FF0529">
        <w:t>chloracne</w:t>
      </w:r>
      <w:proofErr w:type="spellEnd"/>
      <w:r>
        <w:rPr>
          <w:rFonts w:cs="Arial"/>
        </w:rPr>
        <w:t>.</w:t>
      </w:r>
      <w:r w:rsidR="00434B54">
        <w:rPr>
          <w:rFonts w:cs="Arial"/>
        </w:rPr>
        <w:t xml:space="preserve"> </w:t>
      </w:r>
      <w:r w:rsidRPr="00BA78F2">
        <w:rPr>
          <w:rFonts w:cs="Arial"/>
        </w:rPr>
        <w:t>Limited toxicological evidence exists in humans and animals.</w:t>
      </w:r>
      <w:r>
        <w:rPr>
          <w:rFonts w:cs="Arial"/>
        </w:rPr>
        <w:t xml:space="preserve"> </w:t>
      </w:r>
      <w:r w:rsidR="008218B7">
        <w:rPr>
          <w:rFonts w:cs="Arial"/>
        </w:rPr>
        <w:t>Y</w:t>
      </w:r>
      <w:r w:rsidR="00844C87">
        <w:rPr>
          <w:rFonts w:cs="Arial"/>
        </w:rPr>
        <w:t xml:space="preserve">ellow liver atrophy </w:t>
      </w:r>
      <w:r w:rsidR="00A9130E">
        <w:rPr>
          <w:rFonts w:cs="Arial"/>
        </w:rPr>
        <w:t>is</w:t>
      </w:r>
      <w:r w:rsidR="008218B7">
        <w:rPr>
          <w:rFonts w:cs="Arial"/>
        </w:rPr>
        <w:t xml:space="preserve"> reported in industrial settings following exposure to </w:t>
      </w:r>
      <w:r w:rsidR="008218B7">
        <w:t>a mixture of penta</w:t>
      </w:r>
      <w:r w:rsidR="00A9130E">
        <w:t>-</w:t>
      </w:r>
      <w:r w:rsidR="008218B7">
        <w:t xml:space="preserve"> and h</w:t>
      </w:r>
      <w:r w:rsidR="008218B7" w:rsidRPr="004025A9">
        <w:t>exachloronaphthalene</w:t>
      </w:r>
      <w:r w:rsidR="008218B7">
        <w:rPr>
          <w:rFonts w:cs="Arial"/>
        </w:rPr>
        <w:t xml:space="preserve"> at</w:t>
      </w:r>
      <w:r w:rsidR="008218B7">
        <w:t xml:space="preserve"> 1 to 2 mg/m</w:t>
      </w:r>
      <w:r w:rsidR="008218B7">
        <w:rPr>
          <w:vertAlign w:val="superscript"/>
        </w:rPr>
        <w:t>3</w:t>
      </w:r>
      <w:r w:rsidR="008218B7">
        <w:t xml:space="preserve">. </w:t>
      </w:r>
      <w:r w:rsidR="00844C87">
        <w:t xml:space="preserve">Minor liver damage </w:t>
      </w:r>
      <w:r w:rsidR="00434B54">
        <w:t xml:space="preserve">is </w:t>
      </w:r>
      <w:r w:rsidR="008218B7">
        <w:t>reported in rats exposed</w:t>
      </w:r>
      <w:r w:rsidR="00844C87">
        <w:t xml:space="preserve"> </w:t>
      </w:r>
      <w:r w:rsidR="008218B7">
        <w:t>to a mixture of penta</w:t>
      </w:r>
      <w:r w:rsidR="00A9130E">
        <w:t>-</w:t>
      </w:r>
      <w:r w:rsidR="008218B7">
        <w:t xml:space="preserve"> and </w:t>
      </w:r>
      <w:proofErr w:type="spellStart"/>
      <w:r w:rsidR="008218B7">
        <w:t>h</w:t>
      </w:r>
      <w:r w:rsidR="008218B7" w:rsidRPr="004025A9">
        <w:t>exachloronaphthalene</w:t>
      </w:r>
      <w:proofErr w:type="spellEnd"/>
      <w:r w:rsidR="008218B7">
        <w:t xml:space="preserve"> at </w:t>
      </w:r>
      <w:r w:rsidR="00107809">
        <w:t>1.16 </w:t>
      </w:r>
      <w:r w:rsidR="00844C87">
        <w:t>mg/m</w:t>
      </w:r>
      <w:r w:rsidR="00844C87">
        <w:rPr>
          <w:vertAlign w:val="superscript"/>
        </w:rPr>
        <w:t>3</w:t>
      </w:r>
      <w:r w:rsidR="00844C87">
        <w:t xml:space="preserve"> in </w:t>
      </w:r>
      <w:r w:rsidR="00E50382">
        <w:t xml:space="preserve">a </w:t>
      </w:r>
      <w:r w:rsidR="00107809">
        <w:t>repeat</w:t>
      </w:r>
      <w:r w:rsidR="00844C87">
        <w:t xml:space="preserve"> exposure study (ACGIH,</w:t>
      </w:r>
      <w:r w:rsidR="002D56D8">
        <w:t> </w:t>
      </w:r>
      <w:r w:rsidR="00844C87">
        <w:t>2018).</w:t>
      </w:r>
      <w:r w:rsidR="00844C87" w:rsidRPr="00844C87">
        <w:rPr>
          <w:rFonts w:cs="Arial"/>
        </w:rPr>
        <w:t xml:space="preserve"> </w:t>
      </w:r>
      <w:r w:rsidR="00B45352">
        <w:rPr>
          <w:rFonts w:cs="Arial"/>
        </w:rPr>
        <w:t>Based on a six-</w:t>
      </w:r>
      <w:r w:rsidR="00107809">
        <w:rPr>
          <w:rFonts w:cs="Arial"/>
        </w:rPr>
        <w:t xml:space="preserve">week </w:t>
      </w:r>
      <w:r w:rsidR="00B45352">
        <w:rPr>
          <w:rFonts w:cs="Arial"/>
        </w:rPr>
        <w:t xml:space="preserve">inhalational study in rats that reported liver effects at </w:t>
      </w:r>
      <w:r w:rsidR="00575A1A" w:rsidRPr="000E4681">
        <w:t>1 mg/</w:t>
      </w:r>
      <w:r w:rsidR="00575A1A">
        <w:t>m</w:t>
      </w:r>
      <w:r w:rsidR="00575A1A" w:rsidRPr="00FF0529">
        <w:rPr>
          <w:vertAlign w:val="superscript"/>
        </w:rPr>
        <w:t>3</w:t>
      </w:r>
      <w:r w:rsidR="00B45352">
        <w:t xml:space="preserve">, </w:t>
      </w:r>
      <w:r w:rsidR="00B45352">
        <w:rPr>
          <w:rFonts w:cs="Arial"/>
        </w:rPr>
        <w:t>HCOTN (</w:t>
      </w:r>
      <w:r w:rsidR="00844C87">
        <w:rPr>
          <w:rFonts w:cs="Arial"/>
        </w:rPr>
        <w:t xml:space="preserve">2000) </w:t>
      </w:r>
      <w:r w:rsidR="00844C87" w:rsidRPr="000E4681">
        <w:rPr>
          <w:rFonts w:cs="Arial"/>
        </w:rPr>
        <w:t>conclude</w:t>
      </w:r>
      <w:r w:rsidR="00844C87">
        <w:rPr>
          <w:rFonts w:cs="Arial"/>
        </w:rPr>
        <w:t xml:space="preserve">d that </w:t>
      </w:r>
      <w:r w:rsidR="00107809">
        <w:rPr>
          <w:rFonts w:cs="Arial"/>
        </w:rPr>
        <w:t>an administrative</w:t>
      </w:r>
      <w:r w:rsidR="00844C87">
        <w:rPr>
          <w:rFonts w:cs="Arial"/>
        </w:rPr>
        <w:t xml:space="preserve"> TWA</w:t>
      </w:r>
      <w:r w:rsidR="00B45352">
        <w:rPr>
          <w:rFonts w:cs="Arial"/>
        </w:rPr>
        <w:t xml:space="preserve"> of 0.2 </w:t>
      </w:r>
      <w:r w:rsidR="00575A1A" w:rsidRPr="000E4681">
        <w:t>mg/</w:t>
      </w:r>
      <w:r w:rsidR="00575A1A">
        <w:t>m</w:t>
      </w:r>
      <w:r w:rsidR="00575A1A" w:rsidRPr="00FF0529">
        <w:rPr>
          <w:vertAlign w:val="superscript"/>
        </w:rPr>
        <w:t>3</w:t>
      </w:r>
      <w:r w:rsidR="00844C87" w:rsidRPr="000E4681">
        <w:rPr>
          <w:rFonts w:cs="Arial"/>
        </w:rPr>
        <w:t xml:space="preserve"> </w:t>
      </w:r>
      <w:r w:rsidR="00844C87">
        <w:rPr>
          <w:rFonts w:cs="Arial"/>
        </w:rPr>
        <w:t xml:space="preserve">was </w:t>
      </w:r>
      <w:r w:rsidR="00575A1A">
        <w:rPr>
          <w:rFonts w:cs="Arial"/>
        </w:rPr>
        <w:t>to</w:t>
      </w:r>
      <w:r w:rsidR="00EF4B30">
        <w:rPr>
          <w:rFonts w:cs="Arial"/>
        </w:rPr>
        <w:t>o</w:t>
      </w:r>
      <w:r w:rsidR="00575A1A">
        <w:rPr>
          <w:rFonts w:cs="Arial"/>
        </w:rPr>
        <w:t xml:space="preserve"> high</w:t>
      </w:r>
      <w:r w:rsidR="00844C87">
        <w:t>.</w:t>
      </w:r>
      <w:r w:rsidR="00844C87">
        <w:rPr>
          <w:rFonts w:cs="Arial"/>
        </w:rPr>
        <w:t xml:space="preserve"> </w:t>
      </w:r>
      <w:r w:rsidRPr="00BA78F2">
        <w:rPr>
          <w:rFonts w:cs="Arial"/>
        </w:rPr>
        <w:t xml:space="preserve">ACGIH </w:t>
      </w:r>
      <w:r w:rsidR="00E05C22">
        <w:rPr>
          <w:rFonts w:cs="Arial"/>
        </w:rPr>
        <w:t xml:space="preserve">(2001) </w:t>
      </w:r>
      <w:r w:rsidRPr="00BA78F2">
        <w:rPr>
          <w:rFonts w:cs="Arial"/>
        </w:rPr>
        <w:t xml:space="preserve">based </w:t>
      </w:r>
      <w:r w:rsidR="00107809">
        <w:rPr>
          <w:rFonts w:cs="Arial"/>
        </w:rPr>
        <w:t>a</w:t>
      </w:r>
      <w:r w:rsidRPr="00BA78F2">
        <w:rPr>
          <w:rFonts w:cs="Arial"/>
        </w:rPr>
        <w:t xml:space="preserve"> </w:t>
      </w:r>
      <w:r w:rsidR="00E50382">
        <w:rPr>
          <w:rFonts w:cs="Arial"/>
        </w:rPr>
        <w:t>TLV-TWA</w:t>
      </w:r>
      <w:r w:rsidR="005615BC">
        <w:rPr>
          <w:rFonts w:cs="Arial"/>
        </w:rPr>
        <w:t xml:space="preserve"> of 0.2 </w:t>
      </w:r>
      <w:r w:rsidR="005615BC" w:rsidRPr="000E4681">
        <w:t>mg/</w:t>
      </w:r>
      <w:r w:rsidR="005615BC">
        <w:t>m</w:t>
      </w:r>
      <w:r w:rsidR="005615BC" w:rsidRPr="00FF0529">
        <w:rPr>
          <w:vertAlign w:val="superscript"/>
        </w:rPr>
        <w:t>3</w:t>
      </w:r>
      <w:r w:rsidR="00E50382" w:rsidRPr="00BA78F2">
        <w:rPr>
          <w:rFonts w:cs="Arial"/>
        </w:rPr>
        <w:t xml:space="preserve"> </w:t>
      </w:r>
      <w:r w:rsidRPr="00BA78F2">
        <w:rPr>
          <w:rFonts w:cs="Arial"/>
        </w:rPr>
        <w:t xml:space="preserve">by analogy to </w:t>
      </w:r>
      <w:r w:rsidR="008218B7">
        <w:rPr>
          <w:rFonts w:cs="Arial"/>
        </w:rPr>
        <w:t xml:space="preserve">the </w:t>
      </w:r>
      <w:r>
        <w:rPr>
          <w:rFonts w:cs="Arial"/>
        </w:rPr>
        <w:t xml:space="preserve">less toxic </w:t>
      </w:r>
      <w:proofErr w:type="spellStart"/>
      <w:r w:rsidR="005615BC">
        <w:t>pentachloronaphthalene</w:t>
      </w:r>
      <w:proofErr w:type="spellEnd"/>
      <w:r w:rsidR="00107809">
        <w:t xml:space="preserve"> (</w:t>
      </w:r>
      <w:r w:rsidR="00E50382">
        <w:t>TLV-</w:t>
      </w:r>
      <w:r>
        <w:t xml:space="preserve">TWA of </w:t>
      </w:r>
      <w:r w:rsidRPr="0036788C">
        <w:t>0.</w:t>
      </w:r>
      <w:r w:rsidR="00E50382">
        <w:t>5 </w:t>
      </w:r>
      <w:r w:rsidRPr="0036788C">
        <w:t>mg/m</w:t>
      </w:r>
      <w:r w:rsidRPr="0036788C">
        <w:rPr>
          <w:vertAlign w:val="superscript"/>
        </w:rPr>
        <w:t>3</w:t>
      </w:r>
      <w:r w:rsidR="00107809">
        <w:t>)</w:t>
      </w:r>
      <w:r w:rsidR="00E05C22">
        <w:rPr>
          <w:rFonts w:cs="Arial"/>
        </w:rPr>
        <w:t>.</w:t>
      </w:r>
      <w:r>
        <w:rPr>
          <w:rFonts w:cs="Arial"/>
        </w:rPr>
        <w:t xml:space="preserve"> </w:t>
      </w:r>
      <w:r w:rsidR="00707482">
        <w:rPr>
          <w:rFonts w:cs="Arial"/>
        </w:rPr>
        <w:t>DFG (1999)</w:t>
      </w:r>
      <w:r w:rsidR="005D244B">
        <w:rPr>
          <w:rFonts w:cs="Arial"/>
        </w:rPr>
        <w:t xml:space="preserve"> states that</w:t>
      </w:r>
      <w:r w:rsidR="00707482">
        <w:rPr>
          <w:rFonts w:cs="Arial"/>
        </w:rPr>
        <w:t xml:space="preserve"> b</w:t>
      </w:r>
      <w:r w:rsidR="00707482" w:rsidRPr="00707482">
        <w:rPr>
          <w:rFonts w:cs="Arial"/>
        </w:rPr>
        <w:t xml:space="preserve">ecause of </w:t>
      </w:r>
      <w:r w:rsidR="005D244B">
        <w:rPr>
          <w:rFonts w:cs="Arial"/>
        </w:rPr>
        <w:t xml:space="preserve">the </w:t>
      </w:r>
      <w:r w:rsidR="00707482" w:rsidRPr="00707482">
        <w:rPr>
          <w:rFonts w:cs="Arial"/>
        </w:rPr>
        <w:t>lack of data</w:t>
      </w:r>
      <w:r w:rsidR="005D244B">
        <w:rPr>
          <w:rFonts w:cs="Arial"/>
        </w:rPr>
        <w:t>,</w:t>
      </w:r>
      <w:r w:rsidR="00707482" w:rsidRPr="00707482">
        <w:rPr>
          <w:rFonts w:cs="Arial"/>
        </w:rPr>
        <w:t xml:space="preserve"> liver damage in humans cannot be excluded at 0.1 mg/m</w:t>
      </w:r>
      <w:r w:rsidR="00707482" w:rsidRPr="005D244B">
        <w:rPr>
          <w:rFonts w:cs="Arial"/>
          <w:vertAlign w:val="superscript"/>
        </w:rPr>
        <w:t>3</w:t>
      </w:r>
      <w:r w:rsidR="00707482">
        <w:rPr>
          <w:rFonts w:cs="Arial"/>
        </w:rPr>
        <w:t>.</w:t>
      </w:r>
    </w:p>
    <w:p w14:paraId="635B60A9" w14:textId="7D4C16D4" w:rsidR="00707482" w:rsidRPr="005D244B" w:rsidRDefault="00107809" w:rsidP="0036788C">
      <w:pPr>
        <w:rPr>
          <w:szCs w:val="20"/>
        </w:rPr>
      </w:pPr>
      <w:r>
        <w:t>A</w:t>
      </w:r>
      <w:r w:rsidR="00707482">
        <w:t xml:space="preserve"> TWA of 0.2 mg/m</w:t>
      </w:r>
      <w:r w:rsidR="00707482">
        <w:rPr>
          <w:vertAlign w:val="superscript"/>
        </w:rPr>
        <w:t>3</w:t>
      </w:r>
      <w:r w:rsidR="00707482">
        <w:t xml:space="preserve"> is consistent across primary sources and is recommended to be retained in the interim. </w:t>
      </w:r>
      <w:r w:rsidR="005D244B">
        <w:t>Th</w:t>
      </w:r>
      <w:r w:rsidR="00707482">
        <w:t xml:space="preserve">ere are inconsistent data and </w:t>
      </w:r>
      <w:r w:rsidR="005D244B">
        <w:t>findings</w:t>
      </w:r>
      <w:r w:rsidR="00707482">
        <w:t xml:space="preserve"> about </w:t>
      </w:r>
      <w:r w:rsidR="005D244B">
        <w:t xml:space="preserve">the </w:t>
      </w:r>
      <w:r w:rsidR="00707482">
        <w:t xml:space="preserve">potential of </w:t>
      </w:r>
      <w:r w:rsidR="005D244B">
        <w:rPr>
          <w:rFonts w:cs="Arial"/>
        </w:rPr>
        <w:t>h</w:t>
      </w:r>
      <w:r w:rsidR="00707482" w:rsidRPr="0036788C">
        <w:rPr>
          <w:rFonts w:cs="Arial"/>
        </w:rPr>
        <w:t>exachloronaphthalene</w:t>
      </w:r>
      <w:r w:rsidR="00707482">
        <w:t xml:space="preserve"> to elicit </w:t>
      </w:r>
      <w:r w:rsidR="00707482" w:rsidRPr="005D244B">
        <w:t>liver effects</w:t>
      </w:r>
      <w:r w:rsidR="008218B7">
        <w:t xml:space="preserve"> in humans. A</w:t>
      </w:r>
      <w:r w:rsidR="005D244B">
        <w:t>s such</w:t>
      </w:r>
      <w:r w:rsidR="00707482">
        <w:t xml:space="preserve"> it is recommended that a </w:t>
      </w:r>
      <w:r w:rsidR="005D244B">
        <w:t>review</w:t>
      </w:r>
      <w:r w:rsidR="00707482">
        <w:t xml:space="preserve"> of additional data sources is undertaken at the next scheduled review.</w:t>
      </w:r>
    </w:p>
    <w:p w14:paraId="6BB96BD0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4369FC14" w14:textId="77777777" w:rsidR="00A57915" w:rsidRPr="00413A2C" w:rsidRDefault="00A57915" w:rsidP="00A57915">
      <w:pPr>
        <w:rPr>
          <w:rFonts w:cs="Arial"/>
        </w:rPr>
      </w:pPr>
      <w:r w:rsidRPr="00413A2C">
        <w:rPr>
          <w:rFonts w:cs="Arial"/>
        </w:rPr>
        <w:t xml:space="preserve">Not classified as a carcinogen according to the Globally Harmonized System of Classification and Labelling </w:t>
      </w:r>
      <w:r w:rsidR="007C2424" w:rsidRPr="00413A2C">
        <w:rPr>
          <w:rFonts w:cs="Arial"/>
        </w:rPr>
        <w:t>o</w:t>
      </w:r>
      <w:r w:rsidR="007C2424">
        <w:rPr>
          <w:rFonts w:cs="Arial"/>
        </w:rPr>
        <w:t>f</w:t>
      </w:r>
      <w:r w:rsidR="007C2424" w:rsidRPr="00413A2C">
        <w:rPr>
          <w:rFonts w:cs="Arial"/>
        </w:rPr>
        <w:t xml:space="preserve"> </w:t>
      </w:r>
      <w:r w:rsidRPr="00413A2C">
        <w:rPr>
          <w:rFonts w:cs="Arial"/>
        </w:rPr>
        <w:t xml:space="preserve">Chemicals (GHS). </w:t>
      </w:r>
    </w:p>
    <w:p w14:paraId="53F86C4C" w14:textId="77777777" w:rsidR="00A57915" w:rsidRPr="00D100AC" w:rsidRDefault="00A57915" w:rsidP="00A57915">
      <w:pPr>
        <w:rPr>
          <w:rFonts w:cs="Arial"/>
        </w:rPr>
      </w:pPr>
      <w:r w:rsidRPr="00D100AC">
        <w:rPr>
          <w:rFonts w:cs="Arial"/>
        </w:rPr>
        <w:t xml:space="preserve">Not classified as a skin </w:t>
      </w:r>
      <w:r w:rsidR="007C2424" w:rsidRPr="00D100AC">
        <w:rPr>
          <w:rFonts w:cs="Arial"/>
        </w:rPr>
        <w:t xml:space="preserve">sensitiser </w:t>
      </w:r>
      <w:r w:rsidRPr="00D100AC">
        <w:rPr>
          <w:rFonts w:cs="Arial"/>
        </w:rPr>
        <w:t>or respiratory sensitiser according to the GHS.</w:t>
      </w:r>
    </w:p>
    <w:p w14:paraId="770D9393" w14:textId="7A195FA4" w:rsidR="005E6979" w:rsidRPr="004C23F4" w:rsidRDefault="00D100AC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D100AC">
        <w:rPr>
          <w:rFonts w:cs="Arial"/>
        </w:rPr>
        <w:lastRenderedPageBreak/>
        <w:t xml:space="preserve">A skin notation </w:t>
      </w:r>
      <w:r>
        <w:rPr>
          <w:rFonts w:cs="Arial"/>
        </w:rPr>
        <w:t xml:space="preserve">is </w:t>
      </w:r>
      <w:r w:rsidRPr="00D100AC">
        <w:rPr>
          <w:rFonts w:cs="Arial"/>
        </w:rPr>
        <w:t xml:space="preserve">recommended based on evidence suggesting potential dermal absorption and adverse systemic effects in </w:t>
      </w:r>
      <w:r>
        <w:rPr>
          <w:rFonts w:cs="Arial"/>
        </w:rPr>
        <w:t>humans</w:t>
      </w:r>
      <w:r w:rsidRPr="00D100AC">
        <w:rPr>
          <w:rFonts w:cs="Arial"/>
        </w:rPr>
        <w:t>.</w:t>
      </w:r>
    </w:p>
    <w:p w14:paraId="5EE360AB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4005A1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59CA0CD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C8DC3C8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FD16946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4D1CDCF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57915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A57915">
                  <w:t>TWA: 0.2 mg/m</w:t>
                </w:r>
                <w:r w:rsidR="00A57915" w:rsidRPr="00A57915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3EE117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FC06BA3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2B703E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F203C53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0029FE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0029FE">
                  <w:t>TLV-TWA: 0.2 mg/m</w:t>
                </w:r>
                <w:r w:rsidR="000029FE" w:rsidRPr="000029F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D15939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21EC21D" w14:textId="77777777" w:rsidR="004025A9" w:rsidRDefault="004025A9" w:rsidP="007C2424">
            <w:pPr>
              <w:pStyle w:val="Tabletextprimarysource"/>
            </w:pPr>
            <w:r>
              <w:t>TLV-TWA recommended to minimise the risk of liver damage and chloracne in exposed workers.</w:t>
            </w:r>
          </w:p>
          <w:p w14:paraId="0109A7A8" w14:textId="77777777" w:rsidR="00A34B11" w:rsidRDefault="00A34B11" w:rsidP="007C2424">
            <w:pPr>
              <w:pStyle w:val="Tabletextprimarysource"/>
            </w:pPr>
            <w:r>
              <w:t>The recommendation was in part by analogy to penta</w:t>
            </w:r>
            <w:r w:rsidRPr="004025A9">
              <w:t>chloronaphthalene</w:t>
            </w:r>
            <w:r w:rsidR="00844C87">
              <w:t>; no explanation of derivation (‘somewhat lower value is indicated’)</w:t>
            </w:r>
            <w:r w:rsidR="00301BD6">
              <w:t>.</w:t>
            </w:r>
          </w:p>
          <w:p w14:paraId="22FBB524" w14:textId="3300BC0D" w:rsidR="004025A9" w:rsidRPr="008F50A2" w:rsidRDefault="004025A9">
            <w:pPr>
              <w:pStyle w:val="Tabletextprimarysource"/>
            </w:pPr>
            <w:r>
              <w:t>Summary of data:</w:t>
            </w:r>
          </w:p>
          <w:p w14:paraId="2D60E82B" w14:textId="77777777" w:rsidR="004025A9" w:rsidRDefault="004025A9" w:rsidP="00FF0529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79B77509" w14:textId="2F0AACF8" w:rsidR="00E50382" w:rsidRDefault="00DB2418" w:rsidP="00FF0529">
            <w:pPr>
              <w:pStyle w:val="ListBullet"/>
              <w:spacing w:before="60" w:after="60"/>
              <w:ind w:left="720"/>
              <w:contextualSpacing w:val="0"/>
            </w:pPr>
            <w:r>
              <w:t>Concentrations</w:t>
            </w:r>
            <w:r w:rsidR="004025A9">
              <w:t xml:space="preserve"> of</w:t>
            </w:r>
            <w:r w:rsidR="00844C87">
              <w:t xml:space="preserve"> a mixture of</w:t>
            </w:r>
            <w:r w:rsidR="004025A9">
              <w:t xml:space="preserve"> penta</w:t>
            </w:r>
            <w:r w:rsidR="00A9130E">
              <w:t>-</w:t>
            </w:r>
            <w:r w:rsidR="004025A9">
              <w:t xml:space="preserve"> and h</w:t>
            </w:r>
            <w:r w:rsidR="004025A9" w:rsidRPr="004025A9">
              <w:t>exachloronaphthalene</w:t>
            </w:r>
            <w:r w:rsidR="004025A9">
              <w:t xml:space="preserve"> reported at 1</w:t>
            </w:r>
            <w:r w:rsidR="007C2424">
              <w:t>–</w:t>
            </w:r>
            <w:r w:rsidR="004025A9">
              <w:t>2 mg/m</w:t>
            </w:r>
            <w:r w:rsidR="004025A9" w:rsidRPr="004025A9">
              <w:rPr>
                <w:vertAlign w:val="superscript"/>
              </w:rPr>
              <w:t>3</w:t>
            </w:r>
            <w:r w:rsidR="004025A9">
              <w:t xml:space="preserve"> </w:t>
            </w:r>
            <w:r>
              <w:t>in industrial settings</w:t>
            </w:r>
            <w:r w:rsidR="00E05C22">
              <w:t>:</w:t>
            </w:r>
          </w:p>
          <w:p w14:paraId="0E11DC0C" w14:textId="472923ED" w:rsidR="004025A9" w:rsidRDefault="00DB2418" w:rsidP="008218B7">
            <w:pPr>
              <w:pStyle w:val="ListBullet"/>
              <w:numPr>
                <w:ilvl w:val="0"/>
                <w:numId w:val="7"/>
              </w:numPr>
              <w:spacing w:before="60" w:after="60"/>
              <w:ind w:left="1094" w:hanging="357"/>
              <w:contextualSpacing w:val="0"/>
            </w:pPr>
            <w:r>
              <w:t xml:space="preserve">reported case of </w:t>
            </w:r>
            <w:r w:rsidR="004025A9" w:rsidRPr="004025A9">
              <w:t>yellow atrophy of the liver</w:t>
            </w:r>
            <w:r>
              <w:t>; no further information</w:t>
            </w:r>
          </w:p>
          <w:p w14:paraId="5E3382E9" w14:textId="1E3F7A26" w:rsidR="004025A9" w:rsidRDefault="004025A9" w:rsidP="00FF0529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Contact with insulation comprising a </w:t>
            </w:r>
            <w:r w:rsidRPr="004025A9">
              <w:t>mixture of penta</w:t>
            </w:r>
            <w:r w:rsidR="00A9130E">
              <w:t>-</w:t>
            </w:r>
            <w:r w:rsidRPr="004025A9">
              <w:t xml:space="preserve"> and hexachloronaphthalene</w:t>
            </w:r>
            <w:r>
              <w:t xml:space="preserve"> reported </w:t>
            </w:r>
            <w:r w:rsidR="004D59EE">
              <w:t>outbreaks of chloracne</w:t>
            </w:r>
            <w:r w:rsidR="00FF0529">
              <w:t>.</w:t>
            </w:r>
          </w:p>
          <w:p w14:paraId="79321A94" w14:textId="77777777" w:rsidR="004025A9" w:rsidRDefault="004025A9" w:rsidP="00FF0529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12329C3A" w14:textId="085FE2EB" w:rsidR="004025A9" w:rsidRDefault="004D59EE" w:rsidP="00FF0529">
            <w:pPr>
              <w:pStyle w:val="ListBullet"/>
              <w:spacing w:before="60" w:after="60"/>
              <w:ind w:left="720"/>
              <w:contextualSpacing w:val="0"/>
            </w:pPr>
            <w:r>
              <w:t>Ingestion</w:t>
            </w:r>
            <w:r w:rsidR="00E50382">
              <w:t>,</w:t>
            </w:r>
            <w:r>
              <w:t xml:space="preserve"> inhalation and feeding studies suggested </w:t>
            </w:r>
            <w:r w:rsidRPr="004025A9">
              <w:t>hexachloronaphthalene</w:t>
            </w:r>
            <w:r>
              <w:t xml:space="preserve"> is more toxic than penta</w:t>
            </w:r>
            <w:r w:rsidRPr="004025A9">
              <w:t>chloronaphthalene</w:t>
            </w:r>
          </w:p>
          <w:p w14:paraId="3AA0054F" w14:textId="16EE0C34" w:rsidR="00E50382" w:rsidRDefault="00FA2248" w:rsidP="00FF0529">
            <w:pPr>
              <w:pStyle w:val="ListBullet"/>
              <w:spacing w:before="60" w:after="60"/>
              <w:ind w:left="720"/>
              <w:contextualSpacing w:val="0"/>
            </w:pPr>
            <w:r>
              <w:t>Repeated exposure to a mixture of penta</w:t>
            </w:r>
            <w:r w:rsidR="00A9130E">
              <w:t>-</w:t>
            </w:r>
            <w:r>
              <w:t xml:space="preserve"> and h</w:t>
            </w:r>
            <w:r w:rsidRPr="004025A9">
              <w:t>exachloronaphthalene</w:t>
            </w:r>
            <w:r>
              <w:t xml:space="preserve"> at 8.9 mg/m</w:t>
            </w:r>
            <w:r w:rsidRPr="00A34B11">
              <w:rPr>
                <w:vertAlign w:val="superscript"/>
              </w:rPr>
              <w:t>3</w:t>
            </w:r>
            <w:r>
              <w:t xml:space="preserve"> (rats, 4.5 mo, inhalation) was fatal</w:t>
            </w:r>
            <w:r w:rsidR="00E05C22">
              <w:t>:</w:t>
            </w:r>
          </w:p>
          <w:p w14:paraId="27F86FEF" w14:textId="36D8B0C3" w:rsidR="00E50382" w:rsidRDefault="00FA2248" w:rsidP="008218B7">
            <w:pPr>
              <w:pStyle w:val="ListBullet"/>
              <w:numPr>
                <w:ilvl w:val="0"/>
                <w:numId w:val="7"/>
              </w:numPr>
              <w:spacing w:before="60" w:after="60"/>
              <w:ind w:left="1094" w:hanging="357"/>
              <w:contextualSpacing w:val="0"/>
            </w:pPr>
            <w:r>
              <w:t>symptoms included jaundice, fatty degeneration and centrilobular necrosis of the liver</w:t>
            </w:r>
            <w:r w:rsidR="00A34B11">
              <w:t xml:space="preserve"> </w:t>
            </w:r>
          </w:p>
          <w:p w14:paraId="00EADB33" w14:textId="77777777" w:rsidR="004025A9" w:rsidRDefault="00A34B11" w:rsidP="008218B7">
            <w:pPr>
              <w:pStyle w:val="ListBullet"/>
              <w:numPr>
                <w:ilvl w:val="0"/>
                <w:numId w:val="7"/>
              </w:numPr>
              <w:spacing w:before="60" w:after="60"/>
              <w:ind w:left="1094" w:hanging="357"/>
              <w:contextualSpacing w:val="0"/>
            </w:pPr>
            <w:r>
              <w:t>minor liver injury occurred at 1.16 mg/m</w:t>
            </w:r>
            <w:r w:rsidRPr="00A34B11">
              <w:rPr>
                <w:vertAlign w:val="superscript"/>
              </w:rPr>
              <w:t>3</w:t>
            </w:r>
            <w:r w:rsidR="007C2424">
              <w:t>.</w:t>
            </w:r>
          </w:p>
          <w:p w14:paraId="4CE7EFEB" w14:textId="77777777" w:rsidR="00EF33A6" w:rsidRDefault="00EF33A6" w:rsidP="00FF0529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</w:p>
          <w:p w14:paraId="78EBF3A5" w14:textId="77777777" w:rsidR="00A34B11" w:rsidRDefault="00A34B11" w:rsidP="00FF0529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>A skin notation is recommended as c</w:t>
            </w:r>
            <w:r w:rsidR="00FF0529">
              <w:t>hlorinated naphthalene</w:t>
            </w:r>
            <w:r w:rsidRPr="00A34B11">
              <w:t>s may be absorbed through the skin</w:t>
            </w:r>
            <w:r>
              <w:t>.</w:t>
            </w:r>
          </w:p>
          <w:p w14:paraId="0EEEEE1E" w14:textId="77777777" w:rsidR="00A34B11" w:rsidRDefault="00A34B11" w:rsidP="00FF0529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 w:rsidRPr="00DA4C2D">
              <w:t>Insufficient data to recommend a sensiti</w:t>
            </w:r>
            <w:r>
              <w:t>s</w:t>
            </w:r>
            <w:r w:rsidRPr="00DA4C2D">
              <w:t>er</w:t>
            </w:r>
            <w:r>
              <w:t xml:space="preserve"> or carcinogen</w:t>
            </w:r>
            <w:r w:rsidRPr="00DA4C2D">
              <w:t xml:space="preserve"> notation</w:t>
            </w:r>
            <w:r>
              <w:t>.</w:t>
            </w:r>
          </w:p>
          <w:p w14:paraId="7F319B09" w14:textId="77777777" w:rsidR="00EF33A6" w:rsidRPr="00DA352E" w:rsidRDefault="00EF33A6" w:rsidP="00FF0529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</w:p>
        </w:tc>
      </w:tr>
      <w:tr w:rsidR="00C978F0" w:rsidRPr="00DA352E" w14:paraId="19C0C16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FCAFFB6" w14:textId="3046828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07482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r w:rsidR="00C20294">
              <w:t>N</w:t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C20294">
                  <w:t>ot Established</w:t>
                </w:r>
              </w:sdtContent>
            </w:sdt>
          </w:p>
        </w:tc>
      </w:tr>
      <w:tr w:rsidR="00C978F0" w:rsidRPr="00DA352E" w14:paraId="54A5AF4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2C7A565" w14:textId="24F2A756" w:rsidR="00C978F0" w:rsidRDefault="00FA78A8" w:rsidP="003365A5">
            <w:pPr>
              <w:pStyle w:val="Tabletextprimarysource"/>
            </w:pPr>
            <w:r w:rsidRPr="00B47114">
              <w:t xml:space="preserve">Hexachloronaphthalene assessed as </w:t>
            </w:r>
            <w:r w:rsidR="00C20294" w:rsidRPr="00B47114">
              <w:t xml:space="preserve">larger </w:t>
            </w:r>
            <w:r w:rsidRPr="00B47114">
              <w:t xml:space="preserve">chlorinated naphthalenes </w:t>
            </w:r>
            <w:r w:rsidR="00832353" w:rsidRPr="00B47114">
              <w:t>group</w:t>
            </w:r>
            <w:r w:rsidR="00832353">
              <w:t>.</w:t>
            </w:r>
            <w:r w:rsidR="00832353" w:rsidRPr="00B47114">
              <w:t xml:space="preserve"> </w:t>
            </w:r>
            <w:r w:rsidR="00832353">
              <w:t>Because of lack of data</w:t>
            </w:r>
            <w:r w:rsidR="005615BC">
              <w:t>,</w:t>
            </w:r>
            <w:r w:rsidRPr="00B47114">
              <w:t xml:space="preserve"> </w:t>
            </w:r>
            <w:r w:rsidR="00832353">
              <w:t>l</w:t>
            </w:r>
            <w:r w:rsidR="00B47114" w:rsidRPr="00B47114">
              <w:t>iver damage in humans cannot be excluded at levels of 0.1 mg/m</w:t>
            </w:r>
            <w:r w:rsidR="00B47114" w:rsidRPr="00B47114">
              <w:rPr>
                <w:vertAlign w:val="superscript"/>
              </w:rPr>
              <w:t>3</w:t>
            </w:r>
            <w:r w:rsidR="00B47114" w:rsidRPr="00B47114">
              <w:t>.</w:t>
            </w:r>
          </w:p>
          <w:p w14:paraId="1020D089" w14:textId="77777777" w:rsidR="00C20294" w:rsidRDefault="00C20294" w:rsidP="00C20294">
            <w:pPr>
              <w:pStyle w:val="Tabletextprimarysource"/>
            </w:pPr>
            <w:r>
              <w:t>Summary of additional data:</w:t>
            </w:r>
          </w:p>
          <w:p w14:paraId="55ECDE20" w14:textId="77777777" w:rsidR="00C20294" w:rsidRDefault="00C20294" w:rsidP="00C20294">
            <w:pPr>
              <w:pStyle w:val="ListBullet"/>
              <w:numPr>
                <w:ilvl w:val="0"/>
                <w:numId w:val="0"/>
              </w:numPr>
              <w:spacing w:before="60" w:after="60"/>
              <w:ind w:left="22" w:hanging="22"/>
              <w:contextualSpacing w:val="0"/>
            </w:pPr>
            <w:r w:rsidRPr="00C20294">
              <w:t xml:space="preserve">Used </w:t>
            </w:r>
            <w:r w:rsidR="00B47114">
              <w:t>in</w:t>
            </w:r>
            <w:r w:rsidRPr="00C20294">
              <w:t xml:space="preserve"> WWII in paint on ships</w:t>
            </w:r>
            <w:r w:rsidR="00B47114">
              <w:t xml:space="preserve"> hulls with</w:t>
            </w:r>
            <w:r w:rsidRPr="00C20294">
              <w:t xml:space="preserve"> </w:t>
            </w:r>
            <w:r>
              <w:t xml:space="preserve">dermal </w:t>
            </w:r>
            <w:r w:rsidRPr="00C20294">
              <w:t>exposure still possible when handling material.</w:t>
            </w:r>
          </w:p>
          <w:p w14:paraId="7B1260F7" w14:textId="77777777" w:rsidR="00FA78A8" w:rsidRDefault="00FA78A8" w:rsidP="00FA78A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0B1EE0CA" w14:textId="77777777" w:rsidR="00FA78A8" w:rsidRDefault="00C20294" w:rsidP="00FA78A8">
            <w:pPr>
              <w:pStyle w:val="ListBullet"/>
              <w:spacing w:before="60" w:after="60"/>
              <w:ind w:left="720"/>
              <w:contextualSpacing w:val="0"/>
            </w:pPr>
            <w:r>
              <w:t>A</w:t>
            </w:r>
            <w:r w:rsidR="00FA78A8">
              <w:t>pplication to ears</w:t>
            </w:r>
            <w:r>
              <w:t xml:space="preserve"> (50% in oil, 30 d)</w:t>
            </w:r>
            <w:r w:rsidR="00FA78A8">
              <w:t xml:space="preserve"> and dorsal skin (30 mg</w:t>
            </w:r>
            <w:r>
              <w:t xml:space="preserve">/g in acetone, 6 wk) led to chloracne (no further information). </w:t>
            </w:r>
          </w:p>
          <w:p w14:paraId="3AA25F01" w14:textId="77777777" w:rsidR="00FA78A8" w:rsidRDefault="00FA78A8" w:rsidP="00FA78A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022376FE" w14:textId="77777777" w:rsidR="00FA78A8" w:rsidRDefault="00FA78A8" w:rsidP="00A1756F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>Slight dermatitis and reduction of hair follicles in rabbits</w:t>
            </w:r>
          </w:p>
          <w:p w14:paraId="2598A8A5" w14:textId="77777777" w:rsidR="00FA78A8" w:rsidRDefault="00FA78A8" w:rsidP="00A1756F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 xml:space="preserve">Hyperkeratosis in pigs and cows </w:t>
            </w:r>
          </w:p>
          <w:p w14:paraId="6C8A8886" w14:textId="77777777" w:rsidR="00111C32" w:rsidRDefault="00C20294" w:rsidP="00A1756F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 w:rsidRPr="00C20294">
              <w:t xml:space="preserve">30 mg/g </w:t>
            </w:r>
            <w:r>
              <w:t xml:space="preserve">in </w:t>
            </w:r>
            <w:r w:rsidRPr="00C20294">
              <w:t>acetone</w:t>
            </w:r>
            <w:r>
              <w:t>, 5 d</w:t>
            </w:r>
            <w:r w:rsidRPr="00C20294">
              <w:t xml:space="preserve"> to rabbit ear caused reduction of sebaceous glands</w:t>
            </w:r>
            <w:r>
              <w:t>.</w:t>
            </w:r>
          </w:p>
          <w:p w14:paraId="19A47192" w14:textId="77777777" w:rsidR="00301BD6" w:rsidRPr="00DA352E" w:rsidRDefault="00301BD6" w:rsidP="00A1756F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6C36ED6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42FED4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0029F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0029FE">
                  <w:t>NA</w:t>
                </w:r>
              </w:sdtContent>
            </w:sdt>
          </w:p>
        </w:tc>
      </w:tr>
      <w:tr w:rsidR="00C978F0" w:rsidRPr="00DA352E" w14:paraId="75A6F34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23E2891" w14:textId="77777777" w:rsidR="00C978F0" w:rsidRPr="00DA352E" w:rsidRDefault="000029FE" w:rsidP="003365A5">
            <w:pPr>
              <w:pStyle w:val="Tabletextprimarysource"/>
            </w:pPr>
            <w:r>
              <w:t>No report</w:t>
            </w:r>
            <w:r w:rsidR="007C2424">
              <w:t>.</w:t>
            </w:r>
          </w:p>
        </w:tc>
      </w:tr>
      <w:tr w:rsidR="00DA352E" w:rsidRPr="00DA352E" w14:paraId="054BE4A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0D0CCC2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0029F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0029FE">
                  <w:t>NA</w:t>
                </w:r>
              </w:sdtContent>
            </w:sdt>
          </w:p>
        </w:tc>
      </w:tr>
      <w:tr w:rsidR="00DA352E" w:rsidRPr="00DA352E" w14:paraId="5F2CFD8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B8F9AA8" w14:textId="77777777" w:rsidR="00DA352E" w:rsidRPr="00DA352E" w:rsidRDefault="000029FE" w:rsidP="003365A5">
            <w:pPr>
              <w:pStyle w:val="Tabletextprimarysource"/>
            </w:pPr>
            <w:r>
              <w:t>No report</w:t>
            </w:r>
            <w:r w:rsidR="007C2424">
              <w:t>.</w:t>
            </w:r>
          </w:p>
        </w:tc>
      </w:tr>
      <w:tr w:rsidR="00DA352E" w:rsidRPr="00DA352E" w14:paraId="024F3C3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C068CAA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0029FE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47617D">
                  <w:t xml:space="preserve">TWA: </w:t>
                </w:r>
                <w:r w:rsidR="000029FE">
                  <w:t>0.2 mg/m</w:t>
                </w:r>
                <w:r w:rsidR="000029FE" w:rsidRPr="000029F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0CE54C9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4C4BC87" w14:textId="06D73248" w:rsidR="00DA352E" w:rsidRDefault="00B45352" w:rsidP="007C2424">
            <w:pPr>
              <w:pStyle w:val="Tabletextprimarysource"/>
            </w:pPr>
            <w:r>
              <w:t>C</w:t>
            </w:r>
            <w:r w:rsidR="00413A2C" w:rsidRPr="00413A2C">
              <w:t xml:space="preserve">oncludes </w:t>
            </w:r>
            <w:r w:rsidR="00FF0529">
              <w:t>the present TWA</w:t>
            </w:r>
            <w:r w:rsidR="00413A2C">
              <w:t xml:space="preserve"> </w:t>
            </w:r>
            <w:r w:rsidR="00413A2C" w:rsidRPr="00413A2C">
              <w:t>is too high</w:t>
            </w:r>
            <w:r>
              <w:t xml:space="preserve"> c</w:t>
            </w:r>
            <w:r w:rsidRPr="00413A2C">
              <w:t xml:space="preserve">onsidering the effects found in </w:t>
            </w:r>
            <w:r>
              <w:t>inhalation studies in rats.</w:t>
            </w:r>
          </w:p>
          <w:p w14:paraId="7A815EA2" w14:textId="77777777" w:rsidR="00A34B11" w:rsidRPr="00193D9F" w:rsidRDefault="00A34B11" w:rsidP="007C2424">
            <w:pPr>
              <w:pStyle w:val="Tabletextprimarysource"/>
            </w:pPr>
            <w:r>
              <w:t>Summary of additional data:</w:t>
            </w:r>
          </w:p>
          <w:p w14:paraId="50186AA8" w14:textId="77777777" w:rsidR="000F6207" w:rsidRDefault="000F6207" w:rsidP="00FF0529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53C087F8" w14:textId="77777777" w:rsidR="000F6207" w:rsidRDefault="00FF0529" w:rsidP="00FF0529">
            <w:pPr>
              <w:pStyle w:val="ListBullet"/>
              <w:spacing w:before="60" w:after="60"/>
              <w:ind w:left="720"/>
              <w:contextualSpacing w:val="0"/>
            </w:pPr>
            <w:r>
              <w:t>Exposure to 2 mL</w:t>
            </w:r>
            <w:r w:rsidR="000F6207">
              <w:t xml:space="preserve"> at 3% (daily, 6</w:t>
            </w:r>
            <w:r w:rsidR="007C2424">
              <w:t>–</w:t>
            </w:r>
            <w:r w:rsidR="000F6207">
              <w:t xml:space="preserve">12 wk, dermal) </w:t>
            </w:r>
            <w:r w:rsidR="000F6207" w:rsidRPr="000F6207">
              <w:t>increase in number of epidermal cells</w:t>
            </w:r>
            <w:r w:rsidR="000F6207">
              <w:t xml:space="preserve">, </w:t>
            </w:r>
            <w:r w:rsidR="000F6207" w:rsidRPr="000F6207">
              <w:t>follicular involvement without erythema</w:t>
            </w:r>
            <w:r w:rsidR="000F6207">
              <w:t xml:space="preserve">, </w:t>
            </w:r>
            <w:r w:rsidR="000F6207" w:rsidRPr="000F6207">
              <w:t>follicular accentuation</w:t>
            </w:r>
            <w:r w:rsidR="000F6207">
              <w:t xml:space="preserve"> and </w:t>
            </w:r>
            <w:r w:rsidR="000F6207" w:rsidRPr="000F6207">
              <w:t>comedones</w:t>
            </w:r>
          </w:p>
          <w:p w14:paraId="1C2D263D" w14:textId="77777777" w:rsidR="000F6207" w:rsidRDefault="00057EAB" w:rsidP="00FF0529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Multiple occupational exposure studies link liver damage to long term exposure to various polychlorinated naphthalenes, the weight of these studies is limited given the </w:t>
            </w:r>
            <w:r w:rsidRPr="00057EAB">
              <w:t xml:space="preserve">mixture of compounds and </w:t>
            </w:r>
            <w:r>
              <w:t>lack of detailed concentration information</w:t>
            </w:r>
            <w:r w:rsidR="00FF0529">
              <w:t>.</w:t>
            </w:r>
          </w:p>
          <w:p w14:paraId="0B20B047" w14:textId="77777777" w:rsidR="000F6207" w:rsidRDefault="000F6207" w:rsidP="00FF0529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00175D87" w14:textId="49115CD8" w:rsidR="00A34B11" w:rsidRDefault="00413A2C" w:rsidP="00FF0529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Exposure </w:t>
            </w:r>
            <w:r w:rsidR="00E50382">
              <w:t>at</w:t>
            </w:r>
            <w:r>
              <w:t xml:space="preserve"> </w:t>
            </w:r>
            <w:r w:rsidRPr="00413A2C">
              <w:t>1 mg/m</w:t>
            </w:r>
            <w:r w:rsidRPr="00413A2C">
              <w:rPr>
                <w:vertAlign w:val="superscript"/>
              </w:rPr>
              <w:t>3</w:t>
            </w:r>
            <w:r w:rsidRPr="00413A2C">
              <w:t xml:space="preserve">, </w:t>
            </w:r>
            <w:r>
              <w:t xml:space="preserve">(rats, </w:t>
            </w:r>
            <w:r w:rsidRPr="00413A2C">
              <w:t>6 wk</w:t>
            </w:r>
            <w:r>
              <w:t>, inhalation</w:t>
            </w:r>
            <w:r w:rsidRPr="00413A2C">
              <w:t>) resulted in effects in the liver</w:t>
            </w:r>
            <w:r w:rsidR="007C2424">
              <w:t>.</w:t>
            </w:r>
          </w:p>
          <w:p w14:paraId="1B6BAD55" w14:textId="77777777" w:rsidR="00301BD6" w:rsidRPr="00DA352E" w:rsidRDefault="00301BD6" w:rsidP="00A1756F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53B7A1CE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46C74616" w14:textId="77777777" w:rsidR="007E2A4B" w:rsidRDefault="00B47114">
      <w:r>
        <w:t>NIL</w:t>
      </w:r>
      <w:r w:rsidR="00434B54">
        <w:t>.</w:t>
      </w:r>
    </w:p>
    <w:bookmarkEnd w:id="0"/>
    <w:p w14:paraId="65D88332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7F47F9BE" w14:textId="77777777" w:rsidTr="00413A2C">
        <w:trPr>
          <w:trHeight w:val="454"/>
          <w:tblHeader/>
        </w:trPr>
        <w:tc>
          <w:tcPr>
            <w:tcW w:w="6597" w:type="dxa"/>
            <w:vAlign w:val="center"/>
          </w:tcPr>
          <w:p w14:paraId="3E2E00C3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5E00C64" w14:textId="77777777" w:rsidR="002E0D61" w:rsidRDefault="00413A2C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63C3C5A0" w14:textId="77777777" w:rsidTr="00413A2C">
        <w:trPr>
          <w:trHeight w:val="454"/>
        </w:trPr>
        <w:tc>
          <w:tcPr>
            <w:tcW w:w="6597" w:type="dxa"/>
            <w:vAlign w:val="center"/>
          </w:tcPr>
          <w:p w14:paraId="0744EEAE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A85380A" w14:textId="77777777" w:rsidR="008A36CF" w:rsidRDefault="00413A2C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434B54" w14:paraId="4AC57E77" w14:textId="77777777" w:rsidTr="00974C2A">
        <w:trPr>
          <w:trHeight w:val="454"/>
        </w:trPr>
        <w:sdt>
          <w:sdtPr>
            <w:rPr>
              <w:b/>
            </w:rPr>
            <w:id w:val="1830936485"/>
            <w:placeholder>
              <w:docPart w:val="6BD1D2E3D7CE4E59869049D092735E5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68817DD7" w14:textId="77777777" w:rsidR="00434B54" w:rsidRDefault="00434B54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15918183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ECC969C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A222FBF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C8E6BDB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FF4B0A4" w14:textId="77777777" w:rsidTr="00812887">
        <w:trPr>
          <w:cantSplit/>
        </w:trPr>
        <w:tc>
          <w:tcPr>
            <w:tcW w:w="3227" w:type="dxa"/>
          </w:tcPr>
          <w:p w14:paraId="69BAC7A5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D89F123" w14:textId="77777777" w:rsidR="00687890" w:rsidRPr="00DD2F9B" w:rsidRDefault="000029FE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2B798520" w14:textId="77777777" w:rsidTr="00812887">
        <w:trPr>
          <w:cantSplit/>
        </w:trPr>
        <w:tc>
          <w:tcPr>
            <w:tcW w:w="3227" w:type="dxa"/>
          </w:tcPr>
          <w:p w14:paraId="1929771F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6CB9755" w14:textId="77777777" w:rsidR="007925F0" w:rsidRPr="00DD2F9B" w:rsidRDefault="000029FE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14158B6" w14:textId="77777777" w:rsidTr="00812887">
        <w:trPr>
          <w:cantSplit/>
        </w:trPr>
        <w:tc>
          <w:tcPr>
            <w:tcW w:w="3227" w:type="dxa"/>
          </w:tcPr>
          <w:p w14:paraId="6FF4F005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2A8D007" w14:textId="77777777" w:rsidR="00AF483F" w:rsidRPr="00DD2F9B" w:rsidRDefault="00F134DD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51AB0B38" w14:textId="77777777" w:rsidTr="00812887">
        <w:trPr>
          <w:cantSplit/>
        </w:trPr>
        <w:tc>
          <w:tcPr>
            <w:tcW w:w="3227" w:type="dxa"/>
          </w:tcPr>
          <w:p w14:paraId="02F5127E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ED30D1F" w14:textId="77777777" w:rsidR="00687890" w:rsidRPr="00DD2F9B" w:rsidRDefault="00F134D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2EA8F716" w14:textId="77777777" w:rsidTr="00812887">
        <w:trPr>
          <w:cantSplit/>
        </w:trPr>
        <w:tc>
          <w:tcPr>
            <w:tcW w:w="3227" w:type="dxa"/>
          </w:tcPr>
          <w:p w14:paraId="29DA5397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7C57F14" w14:textId="77777777" w:rsidR="00E41A26" w:rsidRPr="00DD2F9B" w:rsidRDefault="00F134D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5B7428A" w14:textId="77777777" w:rsidTr="00812887">
        <w:trPr>
          <w:cantSplit/>
        </w:trPr>
        <w:tc>
          <w:tcPr>
            <w:tcW w:w="3227" w:type="dxa"/>
          </w:tcPr>
          <w:p w14:paraId="231BD226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D59B665" w14:textId="77777777" w:rsidR="002E0D61" w:rsidRPr="00DD2F9B" w:rsidRDefault="00F134DD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3D0B964C" w14:textId="77777777" w:rsidTr="00812887">
        <w:trPr>
          <w:cantSplit/>
        </w:trPr>
        <w:tc>
          <w:tcPr>
            <w:tcW w:w="3227" w:type="dxa"/>
          </w:tcPr>
          <w:p w14:paraId="1280A019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B8A8B36" w14:textId="77777777" w:rsidR="002E0D61" w:rsidRPr="00DD2F9B" w:rsidRDefault="00F134D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53B0C49" w14:textId="77777777" w:rsidTr="00812887">
        <w:trPr>
          <w:cantSplit/>
        </w:trPr>
        <w:tc>
          <w:tcPr>
            <w:tcW w:w="3227" w:type="dxa"/>
          </w:tcPr>
          <w:p w14:paraId="0091A8D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F081C85" w14:textId="77777777" w:rsidR="002E0D61" w:rsidRPr="00DD2F9B" w:rsidRDefault="00F134D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6AA3EBA" w14:textId="77777777" w:rsidTr="00812887">
        <w:trPr>
          <w:cantSplit/>
        </w:trPr>
        <w:tc>
          <w:tcPr>
            <w:tcW w:w="3227" w:type="dxa"/>
          </w:tcPr>
          <w:p w14:paraId="6553162C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F868507" w14:textId="77777777" w:rsidR="002E0D61" w:rsidRPr="00DD2F9B" w:rsidRDefault="00F134DD" w:rsidP="00DD2F9B">
            <w:pPr>
              <w:pStyle w:val="Tablefont"/>
            </w:pPr>
            <w:r>
              <w:t>S</w:t>
            </w:r>
            <w:r w:rsidR="00BD25E7">
              <w:t>kin</w:t>
            </w:r>
          </w:p>
        </w:tc>
      </w:tr>
      <w:tr w:rsidR="00386093" w:rsidRPr="004C23F4" w14:paraId="13C19477" w14:textId="77777777" w:rsidTr="00812887">
        <w:trPr>
          <w:cantSplit/>
        </w:trPr>
        <w:tc>
          <w:tcPr>
            <w:tcW w:w="3227" w:type="dxa"/>
          </w:tcPr>
          <w:p w14:paraId="6C352F99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F6FEC1B" w14:textId="77777777" w:rsidR="00386093" w:rsidRPr="00DD2F9B" w:rsidRDefault="00F134D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E99F028" w14:textId="77777777" w:rsidTr="00812887">
        <w:trPr>
          <w:cantSplit/>
        </w:trPr>
        <w:tc>
          <w:tcPr>
            <w:tcW w:w="3227" w:type="dxa"/>
          </w:tcPr>
          <w:p w14:paraId="046945BE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55A53974" w14:textId="77777777" w:rsidR="00386093" w:rsidRPr="00DD2F9B" w:rsidRDefault="00F134DD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329F0047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8DA8427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D100AC" w:rsidRPr="004C23F4" w14:paraId="07EDC790" w14:textId="77777777" w:rsidTr="00C52C1C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20C9646" w14:textId="77777777" w:rsidR="00D100AC" w:rsidRPr="004C23F4" w:rsidRDefault="00D100AC" w:rsidP="00C52C1C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>
              <w:tab/>
            </w:r>
          </w:p>
        </w:tc>
      </w:tr>
      <w:tr w:rsidR="00D100AC" w:rsidRPr="004C23F4" w14:paraId="536CC9D6" w14:textId="77777777" w:rsidTr="00C52C1C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1246"/>
              <w:gridCol w:w="865"/>
              <w:gridCol w:w="2899"/>
              <w:gridCol w:w="865"/>
              <w:gridCol w:w="865"/>
              <w:gridCol w:w="2070"/>
            </w:tblGrid>
            <w:tr w:rsidR="00D100AC" w:rsidRPr="00D100AC" w14:paraId="6C8E5A23" w14:textId="77777777" w:rsidTr="00D100AC">
              <w:trPr>
                <w:trHeight w:val="197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0D8168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Conclusion: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2A3F0F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C1F8D7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743A81" w14:textId="77777777" w:rsidR="00D100AC" w:rsidRPr="00D100AC" w:rsidRDefault="00D100AC" w:rsidP="00D100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F53E02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588FB7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00AC" w:rsidRPr="00D100AC" w14:paraId="20980E97" w14:textId="77777777" w:rsidTr="00D100AC">
              <w:trPr>
                <w:trHeight w:val="281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24D7E5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7B2451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2CECC6" w14:textId="77777777" w:rsidR="00D100AC" w:rsidRPr="00D100AC" w:rsidRDefault="00D100AC" w:rsidP="00D100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5844E5B" w14:textId="77777777" w:rsidR="00D100AC" w:rsidRPr="00D100AC" w:rsidRDefault="00D100AC" w:rsidP="00D100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BEDE82" w14:textId="77777777" w:rsidR="00D100AC" w:rsidRPr="00D100AC" w:rsidRDefault="00D100AC" w:rsidP="00D100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6B1F2E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00AC" w:rsidRPr="00D100AC" w14:paraId="4F0A5997" w14:textId="77777777" w:rsidTr="00D100AC">
              <w:trPr>
                <w:trHeight w:val="281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747965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61D68F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70EEA2" w14:textId="77777777" w:rsidR="00D100AC" w:rsidRPr="00D100AC" w:rsidRDefault="00D100AC" w:rsidP="00D100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7FB005" w14:textId="77777777" w:rsidR="00D100AC" w:rsidRPr="00D100AC" w:rsidRDefault="00D100AC" w:rsidP="00D100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906A43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4959E4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00AC" w:rsidRPr="00D100AC" w14:paraId="74E5A082" w14:textId="77777777" w:rsidTr="00D100AC">
              <w:trPr>
                <w:trHeight w:val="281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1BE6EC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76C93E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1343BC" w14:textId="77777777" w:rsidR="00D100AC" w:rsidRPr="00D100AC" w:rsidRDefault="00D100AC" w:rsidP="00D100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1A78EF" w14:textId="77777777" w:rsidR="00D100AC" w:rsidRPr="00D100AC" w:rsidRDefault="00D100AC" w:rsidP="00D100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9E4968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72F9CB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00AC" w:rsidRPr="00D100AC" w14:paraId="22B94495" w14:textId="77777777" w:rsidTr="00D100AC">
              <w:trPr>
                <w:trHeight w:val="281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4B8B2C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26D8D8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59C9B5" w14:textId="77777777" w:rsidR="00D100AC" w:rsidRPr="00D100AC" w:rsidRDefault="00D100AC" w:rsidP="00D100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9C0CAF" w14:textId="77777777" w:rsidR="00D100AC" w:rsidRPr="00D100AC" w:rsidRDefault="00D100AC" w:rsidP="00D100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9F46A7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664D88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00AC" w:rsidRPr="00D100AC" w14:paraId="02B2C938" w14:textId="77777777" w:rsidTr="00D100AC">
              <w:trPr>
                <w:trHeight w:val="281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88CA5E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C84180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85C50A" w14:textId="77777777" w:rsidR="00D100AC" w:rsidRPr="00D100AC" w:rsidRDefault="00D100AC" w:rsidP="00D100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E4B5B9" w14:textId="77777777" w:rsidR="00D100AC" w:rsidRPr="00D100AC" w:rsidRDefault="00D100AC" w:rsidP="00D100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1C50AD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4FC7DB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00AC" w:rsidRPr="00D100AC" w14:paraId="7A9DD36C" w14:textId="77777777" w:rsidTr="00D100AC">
              <w:trPr>
                <w:trHeight w:val="281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DE26B6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7FE4E5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7CE854" w14:textId="77777777" w:rsidR="00D100AC" w:rsidRPr="00D100AC" w:rsidRDefault="00D100AC" w:rsidP="00D100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E9AEC3" w14:textId="77777777" w:rsidR="00D100AC" w:rsidRPr="00D100AC" w:rsidRDefault="00D100AC" w:rsidP="00D100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E25D48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218952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00AC" w:rsidRPr="00D100AC" w14:paraId="11D8ABB1" w14:textId="77777777" w:rsidTr="00D100AC">
              <w:trPr>
                <w:trHeight w:val="281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C4BEC3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D7014C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59C53C" w14:textId="77777777" w:rsidR="00D100AC" w:rsidRPr="00D100AC" w:rsidRDefault="00D100AC" w:rsidP="00D100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F055C1" w14:textId="77777777" w:rsidR="00D100AC" w:rsidRPr="00D100AC" w:rsidRDefault="00D100AC" w:rsidP="00D100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16A77A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  <w:p w14:paraId="6D23CF68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  <w:tr w:rsidR="00D100AC" w:rsidRPr="00D100AC" w14:paraId="6BCD5124" w14:textId="77777777" w:rsidTr="00D100AC">
              <w:trPr>
                <w:trHeight w:val="197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3F4FC9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E4AB7C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93893D" w14:textId="77777777" w:rsidR="00D100AC" w:rsidRPr="00D100AC" w:rsidRDefault="00D100AC" w:rsidP="00D100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04D729" w14:textId="77777777" w:rsidR="00D100AC" w:rsidRPr="00D100AC" w:rsidRDefault="00D100AC" w:rsidP="00D100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BEE5E3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85EC76" w14:textId="77777777" w:rsidR="00D100AC" w:rsidRPr="00D100AC" w:rsidRDefault="00D100AC" w:rsidP="00D100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100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</w:tbl>
          <w:p w14:paraId="3EAECFF5" w14:textId="77777777" w:rsidR="00D100AC" w:rsidRPr="004C23F4" w:rsidRDefault="00D100AC" w:rsidP="00C52C1C">
            <w:pPr>
              <w:pStyle w:val="Tablefont"/>
            </w:pPr>
          </w:p>
        </w:tc>
      </w:tr>
    </w:tbl>
    <w:bookmarkEnd w:id="3"/>
    <w:p w14:paraId="0F87FCCC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382F6790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EF9E0B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32EDF0B" w14:textId="77777777" w:rsidR="00EB3D1B" w:rsidRDefault="00F134DD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DA4CC7F" w14:textId="77777777" w:rsidR="00687890" w:rsidRPr="004C23F4" w:rsidRDefault="00B479A9" w:rsidP="007C2424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4440FB8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645CBB4" w14:textId="77777777" w:rsidR="001B79E5" w:rsidRDefault="001B79E5" w:rsidP="00FF0529">
            <w:pPr>
              <w:pStyle w:val="Tablefont"/>
              <w:keepNext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EA46845" w14:textId="77777777" w:rsidR="001B79E5" w:rsidRDefault="000029FE" w:rsidP="00FF0529">
                <w:pPr>
                  <w:pStyle w:val="Tablefont"/>
                  <w:keepNext/>
                </w:pPr>
                <w:r>
                  <w:t>334.8</w:t>
                </w:r>
              </w:p>
            </w:tc>
          </w:sdtContent>
        </w:sdt>
      </w:tr>
      <w:tr w:rsidR="00A31D99" w:rsidRPr="004C23F4" w14:paraId="688E4F3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BFE496E" w14:textId="77777777" w:rsidR="00A31D99" w:rsidRPr="00263255" w:rsidRDefault="00A31D99" w:rsidP="00FF0529">
            <w:pPr>
              <w:pStyle w:val="Tablefont"/>
              <w:keepNext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553BD34" w14:textId="77777777" w:rsidR="00A31D99" w:rsidRDefault="00A0643F" w:rsidP="00FF0529">
            <w:pPr>
              <w:pStyle w:val="Tablefont"/>
              <w:keepNext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4C61C4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6824E05" w14:textId="77777777" w:rsidR="00687890" w:rsidRPr="00263255" w:rsidRDefault="00687890" w:rsidP="00FF0529">
            <w:pPr>
              <w:pStyle w:val="Tablefont"/>
              <w:keepNext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FF7E983" w14:textId="77777777" w:rsidR="00687890" w:rsidRPr="004C23F4" w:rsidRDefault="00E46BCB" w:rsidP="00FF0529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4A6929A" w14:textId="77777777" w:rsidTr="00EA6243">
        <w:trPr>
          <w:cantSplit/>
        </w:trPr>
        <w:tc>
          <w:tcPr>
            <w:tcW w:w="4077" w:type="dxa"/>
            <w:vAlign w:val="center"/>
          </w:tcPr>
          <w:p w14:paraId="5F38D4BE" w14:textId="77777777" w:rsidR="00687890" w:rsidRPr="00263255" w:rsidRDefault="00687890" w:rsidP="00FF0529">
            <w:pPr>
              <w:pStyle w:val="Tablefont"/>
              <w:keepNext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2467942" w14:textId="77777777" w:rsidR="00687890" w:rsidRPr="004C23F4" w:rsidRDefault="00A20751" w:rsidP="00FF0529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D364A7E" w14:textId="77777777" w:rsidTr="00EA6243">
        <w:trPr>
          <w:cantSplit/>
        </w:trPr>
        <w:tc>
          <w:tcPr>
            <w:tcW w:w="4077" w:type="dxa"/>
            <w:vAlign w:val="center"/>
          </w:tcPr>
          <w:p w14:paraId="0552C536" w14:textId="77777777" w:rsidR="00687890" w:rsidRPr="00263255" w:rsidRDefault="00687890" w:rsidP="00FF0529">
            <w:pPr>
              <w:pStyle w:val="Tablefont"/>
              <w:keepNext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36462FC" w14:textId="77777777" w:rsidR="00687890" w:rsidRPr="004C23F4" w:rsidRDefault="00687890" w:rsidP="00FF0529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71E8C3D" w14:textId="77777777" w:rsidTr="00EA6243">
        <w:trPr>
          <w:cantSplit/>
        </w:trPr>
        <w:tc>
          <w:tcPr>
            <w:tcW w:w="4077" w:type="dxa"/>
            <w:vAlign w:val="center"/>
          </w:tcPr>
          <w:p w14:paraId="36D4A1A9" w14:textId="77777777" w:rsidR="00E06F40" w:rsidRPr="00263255" w:rsidRDefault="00E06F40" w:rsidP="00FF0529">
            <w:pPr>
              <w:pStyle w:val="Tablefont"/>
              <w:keepNext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64A9ABA" w14:textId="77777777" w:rsidR="00E06F40" w:rsidRPr="00A006A0" w:rsidRDefault="00CA52A4" w:rsidP="00FF0529">
            <w:pPr>
              <w:pStyle w:val="Tablefont"/>
              <w:keepNext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9F6E29D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B9A64C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F6094CD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7394861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9017B61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D197206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44382573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08E70079" w14:textId="77777777" w:rsidR="00F87D92" w:rsidRDefault="00F87D92" w:rsidP="00EF7F78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14:paraId="2109D95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1E34E46" w14:textId="77777777" w:rsidR="00C20294" w:rsidRPr="00E461B8" w:rsidRDefault="00C20294" w:rsidP="00C20294">
      <w:r w:rsidRPr="00E461B8">
        <w:t>Deutsche Forschungsgemeinschaft (DFG) (</w:t>
      </w:r>
      <w:r w:rsidR="008449A7">
        <w:t>1999</w:t>
      </w:r>
      <w:r w:rsidRPr="00E461B8">
        <w:t xml:space="preserve">) </w:t>
      </w:r>
      <w:r w:rsidR="008449A7" w:rsidRPr="008449A7">
        <w:t>Chlorinated naphthalenes</w:t>
      </w:r>
      <w:r w:rsidRPr="00E461B8">
        <w:t>– MAK value documentation.</w:t>
      </w:r>
    </w:p>
    <w:p w14:paraId="583E9657" w14:textId="77777777" w:rsidR="008C035F" w:rsidRPr="00351FE0" w:rsidRDefault="008C035F" w:rsidP="00084859">
      <w:r w:rsidRPr="002022B6">
        <w:t>Health Council of the Netherlands</w:t>
      </w:r>
      <w:r>
        <w:t xml:space="preserve"> (HCOTN) (2000) </w:t>
      </w:r>
      <w:r w:rsidRPr="008C035F">
        <w:t>Hexachloronaphthalene</w:t>
      </w:r>
      <w:r w:rsidRPr="005F7416">
        <w:t xml:space="preserve">. </w:t>
      </w:r>
      <w:r>
        <w:t>Health-based Reassessment of Administrative Occupational Exposure Limits</w:t>
      </w:r>
      <w:r w:rsidRPr="005F7416">
        <w:t xml:space="preserve">. The Hague: Health Council of the Netherlands; publication no. </w:t>
      </w:r>
      <w:r>
        <w:t>2000/15OSH/007.</w:t>
      </w:r>
    </w:p>
    <w:sectPr w:rsidR="008C035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77B7D" w14:textId="77777777" w:rsidR="003C1C82" w:rsidRDefault="003C1C82" w:rsidP="00F43AD5">
      <w:pPr>
        <w:spacing w:after="0" w:line="240" w:lineRule="auto"/>
      </w:pPr>
      <w:r>
        <w:separator/>
      </w:r>
    </w:p>
  </w:endnote>
  <w:endnote w:type="continuationSeparator" w:id="0">
    <w:p w14:paraId="777538E9" w14:textId="77777777" w:rsidR="003C1C82" w:rsidRDefault="003C1C82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82514" w14:textId="77777777" w:rsidR="00D63F8C" w:rsidRDefault="00D63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A74838C" w14:textId="77777777" w:rsidR="008A36CF" w:rsidRDefault="00A57915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Hexachloronaphthalene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1335-87-1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42E77849" w14:textId="276439D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A52A4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596D3" w14:textId="77777777" w:rsidR="00D63F8C" w:rsidRDefault="00D63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DEA72" w14:textId="77777777" w:rsidR="003C1C82" w:rsidRDefault="003C1C82" w:rsidP="00F43AD5">
      <w:pPr>
        <w:spacing w:after="0" w:line="240" w:lineRule="auto"/>
      </w:pPr>
      <w:r>
        <w:separator/>
      </w:r>
    </w:p>
  </w:footnote>
  <w:footnote w:type="continuationSeparator" w:id="0">
    <w:p w14:paraId="4A124C1D" w14:textId="77777777" w:rsidR="003C1C82" w:rsidRDefault="003C1C82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6AAA" w14:textId="77777777" w:rsidR="00D63F8C" w:rsidRDefault="00D63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FE0D5" w14:textId="58BBF3EF" w:rsidR="00CA52A4" w:rsidRDefault="00CA52A4" w:rsidP="00CA52A4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6AA447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B681664" wp14:editId="1BD1BFE8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6AD28C" w14:textId="2D748879" w:rsidR="008A36CF" w:rsidRPr="00CA52A4" w:rsidRDefault="008A36CF" w:rsidP="00CA5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DC10C" w14:textId="77777777" w:rsidR="00D63F8C" w:rsidRDefault="00D63F8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_GoBack"/>
  <w:p w14:paraId="5AC49741" w14:textId="2675C646" w:rsidR="00CA52A4" w:rsidRDefault="00CA52A4" w:rsidP="00CA52A4">
    <w:pPr>
      <w:pStyle w:val="Header"/>
      <w:jc w:val="right"/>
    </w:pPr>
    <w:sdt>
      <w:sdtPr>
        <w:id w:val="389001092"/>
        <w:docPartObj>
          <w:docPartGallery w:val="Watermarks"/>
          <w:docPartUnique/>
        </w:docPartObj>
      </w:sdtPr>
      <w:sdtContent>
        <w:r>
          <w:pict w14:anchorId="679412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6A17D2A" wp14:editId="368EFC67">
          <wp:extent cx="2941320" cy="586740"/>
          <wp:effectExtent l="0" t="0" r="0" b="381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5"/>
  <w:p w14:paraId="198B16AD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26044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E24829"/>
    <w:multiLevelType w:val="hybridMultilevel"/>
    <w:tmpl w:val="6E6A3E6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61D5B"/>
    <w:multiLevelType w:val="hybridMultilevel"/>
    <w:tmpl w:val="60FAF61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29FE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57EAB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4681"/>
    <w:rsid w:val="000E5A54"/>
    <w:rsid w:val="000E63D3"/>
    <w:rsid w:val="000E67CF"/>
    <w:rsid w:val="000F6207"/>
    <w:rsid w:val="0010461E"/>
    <w:rsid w:val="00106FAA"/>
    <w:rsid w:val="00107809"/>
    <w:rsid w:val="00111C32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D56D8"/>
    <w:rsid w:val="002E0D61"/>
    <w:rsid w:val="002E4C7B"/>
    <w:rsid w:val="00301BD6"/>
    <w:rsid w:val="0030740C"/>
    <w:rsid w:val="00310991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0247"/>
    <w:rsid w:val="00347192"/>
    <w:rsid w:val="0034744C"/>
    <w:rsid w:val="00351FE0"/>
    <w:rsid w:val="00352615"/>
    <w:rsid w:val="0035412B"/>
    <w:rsid w:val="003567A8"/>
    <w:rsid w:val="00362895"/>
    <w:rsid w:val="0036788C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1C82"/>
    <w:rsid w:val="003D4FA3"/>
    <w:rsid w:val="003E0807"/>
    <w:rsid w:val="003E51FB"/>
    <w:rsid w:val="003E6B39"/>
    <w:rsid w:val="003F07E1"/>
    <w:rsid w:val="004025A9"/>
    <w:rsid w:val="004030BC"/>
    <w:rsid w:val="00403F7D"/>
    <w:rsid w:val="00406785"/>
    <w:rsid w:val="004079B4"/>
    <w:rsid w:val="00412938"/>
    <w:rsid w:val="00413A2C"/>
    <w:rsid w:val="00417A56"/>
    <w:rsid w:val="00420957"/>
    <w:rsid w:val="00422A10"/>
    <w:rsid w:val="00430179"/>
    <w:rsid w:val="00434B54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17D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6551"/>
    <w:rsid w:val="004B6961"/>
    <w:rsid w:val="004C1E3F"/>
    <w:rsid w:val="004C23F4"/>
    <w:rsid w:val="004C3475"/>
    <w:rsid w:val="004C58B6"/>
    <w:rsid w:val="004D16A3"/>
    <w:rsid w:val="004D4AA1"/>
    <w:rsid w:val="004D59EE"/>
    <w:rsid w:val="004D6D68"/>
    <w:rsid w:val="004E5EDD"/>
    <w:rsid w:val="004F448A"/>
    <w:rsid w:val="004F493D"/>
    <w:rsid w:val="004F65E8"/>
    <w:rsid w:val="0050005E"/>
    <w:rsid w:val="00502B88"/>
    <w:rsid w:val="005050E7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615BC"/>
    <w:rsid w:val="00575A1A"/>
    <w:rsid w:val="00581055"/>
    <w:rsid w:val="00591E38"/>
    <w:rsid w:val="005A19C5"/>
    <w:rsid w:val="005A3034"/>
    <w:rsid w:val="005A462D"/>
    <w:rsid w:val="005B253B"/>
    <w:rsid w:val="005B771D"/>
    <w:rsid w:val="005C5D16"/>
    <w:rsid w:val="005D1663"/>
    <w:rsid w:val="005D244B"/>
    <w:rsid w:val="005D3193"/>
    <w:rsid w:val="005D4A6E"/>
    <w:rsid w:val="005E6979"/>
    <w:rsid w:val="005E75CB"/>
    <w:rsid w:val="005F6DE6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0CFA"/>
    <w:rsid w:val="006B160A"/>
    <w:rsid w:val="006B4E6C"/>
    <w:rsid w:val="006B50B6"/>
    <w:rsid w:val="006D79EA"/>
    <w:rsid w:val="006E404C"/>
    <w:rsid w:val="006E5D05"/>
    <w:rsid w:val="006F2288"/>
    <w:rsid w:val="00701053"/>
    <w:rsid w:val="00701180"/>
    <w:rsid w:val="00701507"/>
    <w:rsid w:val="00707482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2424"/>
    <w:rsid w:val="007C30EB"/>
    <w:rsid w:val="007E063C"/>
    <w:rsid w:val="007E2A4B"/>
    <w:rsid w:val="007E307D"/>
    <w:rsid w:val="007E6A4E"/>
    <w:rsid w:val="007E6C94"/>
    <w:rsid w:val="007F1005"/>
    <w:rsid w:val="007F25E0"/>
    <w:rsid w:val="007F2A66"/>
    <w:rsid w:val="007F5328"/>
    <w:rsid w:val="00804F5A"/>
    <w:rsid w:val="00810C6D"/>
    <w:rsid w:val="00812887"/>
    <w:rsid w:val="008218B7"/>
    <w:rsid w:val="00825B84"/>
    <w:rsid w:val="00826F21"/>
    <w:rsid w:val="00832353"/>
    <w:rsid w:val="00834CC8"/>
    <w:rsid w:val="00835E00"/>
    <w:rsid w:val="00837113"/>
    <w:rsid w:val="008414E4"/>
    <w:rsid w:val="00843E21"/>
    <w:rsid w:val="008449A7"/>
    <w:rsid w:val="00844C87"/>
    <w:rsid w:val="0084508E"/>
    <w:rsid w:val="00857A8A"/>
    <w:rsid w:val="008608A7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035F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1756F"/>
    <w:rsid w:val="00A2073D"/>
    <w:rsid w:val="00A20751"/>
    <w:rsid w:val="00A27E2D"/>
    <w:rsid w:val="00A31D99"/>
    <w:rsid w:val="00A34B11"/>
    <w:rsid w:val="00A357BA"/>
    <w:rsid w:val="00A35ADC"/>
    <w:rsid w:val="00A402A3"/>
    <w:rsid w:val="00A53681"/>
    <w:rsid w:val="00A57915"/>
    <w:rsid w:val="00A633D4"/>
    <w:rsid w:val="00A6461A"/>
    <w:rsid w:val="00A84504"/>
    <w:rsid w:val="00A8672F"/>
    <w:rsid w:val="00A9130E"/>
    <w:rsid w:val="00A93057"/>
    <w:rsid w:val="00A931A2"/>
    <w:rsid w:val="00A968B0"/>
    <w:rsid w:val="00AB2672"/>
    <w:rsid w:val="00AB2817"/>
    <w:rsid w:val="00AB43C4"/>
    <w:rsid w:val="00AC32E7"/>
    <w:rsid w:val="00AC3A9F"/>
    <w:rsid w:val="00AC50B7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5352"/>
    <w:rsid w:val="00B47114"/>
    <w:rsid w:val="00B479A9"/>
    <w:rsid w:val="00B52EDF"/>
    <w:rsid w:val="00B61042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25E7"/>
    <w:rsid w:val="00BD3B17"/>
    <w:rsid w:val="00BD499F"/>
    <w:rsid w:val="00BD56DE"/>
    <w:rsid w:val="00BF2406"/>
    <w:rsid w:val="00C06E43"/>
    <w:rsid w:val="00C16315"/>
    <w:rsid w:val="00C20294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2A4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00AC"/>
    <w:rsid w:val="00D140FC"/>
    <w:rsid w:val="00D21D8C"/>
    <w:rsid w:val="00D31357"/>
    <w:rsid w:val="00D33220"/>
    <w:rsid w:val="00D334D1"/>
    <w:rsid w:val="00D44C89"/>
    <w:rsid w:val="00D50B79"/>
    <w:rsid w:val="00D516CD"/>
    <w:rsid w:val="00D63F8C"/>
    <w:rsid w:val="00D668E6"/>
    <w:rsid w:val="00D70670"/>
    <w:rsid w:val="00D74D80"/>
    <w:rsid w:val="00D76624"/>
    <w:rsid w:val="00D873A0"/>
    <w:rsid w:val="00D87570"/>
    <w:rsid w:val="00D91CB9"/>
    <w:rsid w:val="00D97989"/>
    <w:rsid w:val="00D97D8D"/>
    <w:rsid w:val="00DA352E"/>
    <w:rsid w:val="00DB2418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5C22"/>
    <w:rsid w:val="00E06F40"/>
    <w:rsid w:val="00E07CE8"/>
    <w:rsid w:val="00E26A07"/>
    <w:rsid w:val="00E32595"/>
    <w:rsid w:val="00E37CFD"/>
    <w:rsid w:val="00E41A26"/>
    <w:rsid w:val="00E46BCB"/>
    <w:rsid w:val="00E50382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E1AC9"/>
    <w:rsid w:val="00EF233A"/>
    <w:rsid w:val="00EF303E"/>
    <w:rsid w:val="00EF33A6"/>
    <w:rsid w:val="00EF3A40"/>
    <w:rsid w:val="00EF4B30"/>
    <w:rsid w:val="00EF7F78"/>
    <w:rsid w:val="00F01B08"/>
    <w:rsid w:val="00F01C4D"/>
    <w:rsid w:val="00F053FA"/>
    <w:rsid w:val="00F10C97"/>
    <w:rsid w:val="00F11C71"/>
    <w:rsid w:val="00F134DD"/>
    <w:rsid w:val="00F16019"/>
    <w:rsid w:val="00F20E68"/>
    <w:rsid w:val="00F2147B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2248"/>
    <w:rsid w:val="00FA3DF5"/>
    <w:rsid w:val="00FA741F"/>
    <w:rsid w:val="00FA78A8"/>
    <w:rsid w:val="00FB3551"/>
    <w:rsid w:val="00FB4E07"/>
    <w:rsid w:val="00FB755A"/>
    <w:rsid w:val="00FC31A2"/>
    <w:rsid w:val="00FC60A2"/>
    <w:rsid w:val="00FD1871"/>
    <w:rsid w:val="00FD3110"/>
    <w:rsid w:val="00FF0529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39851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C035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4025A9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4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B1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B1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B1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E4C640251E2E4D6187B37129FA90C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43C03-8D38-4BEC-B76A-244F4FB82667}"/>
      </w:docPartPr>
      <w:docPartBody>
        <w:p w:rsidR="00A801F7" w:rsidRDefault="00D86E65" w:rsidP="00D86E65">
          <w:pPr>
            <w:pStyle w:val="E4C640251E2E4D6187B37129FA90C64D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6BD1D2E3D7CE4E59869049D092735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25AC1-69F0-4028-B999-2AD4E550B192}"/>
      </w:docPartPr>
      <w:docPartBody>
        <w:p w:rsidR="002E4206" w:rsidRDefault="00E6201E" w:rsidP="00E6201E">
          <w:pPr>
            <w:pStyle w:val="6BD1D2E3D7CE4E59869049D092735E5E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433BA"/>
    <w:rsid w:val="002E4206"/>
    <w:rsid w:val="007A3ABC"/>
    <w:rsid w:val="00A801F7"/>
    <w:rsid w:val="00D21A9F"/>
    <w:rsid w:val="00D86E65"/>
    <w:rsid w:val="00E6201E"/>
    <w:rsid w:val="00E9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01E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000A92C98D942BA990F6B28590BED1D">
    <w:name w:val="6000A92C98D942BA990F6B28590BED1D"/>
    <w:rsid w:val="00E94FCA"/>
    <w:rPr>
      <w:lang w:val="en-US" w:eastAsia="en-US"/>
    </w:rPr>
  </w:style>
  <w:style w:type="paragraph" w:customStyle="1" w:styleId="CFCAC0EFA24E451E9AAACBE830A8C309">
    <w:name w:val="CFCAC0EFA24E451E9AAACBE830A8C309"/>
    <w:rsid w:val="00E94FCA"/>
    <w:rPr>
      <w:lang w:val="en-US" w:eastAsia="en-US"/>
    </w:rPr>
  </w:style>
  <w:style w:type="paragraph" w:customStyle="1" w:styleId="3D70621CF2C747E8B116B617E9A1D63F">
    <w:name w:val="3D70621CF2C747E8B116B617E9A1D63F"/>
    <w:rsid w:val="00E94FCA"/>
    <w:rPr>
      <w:lang w:val="en-US" w:eastAsia="en-US"/>
    </w:rPr>
  </w:style>
  <w:style w:type="paragraph" w:customStyle="1" w:styleId="3E09CDE3E4AF4551927B46BC08DE7AA6">
    <w:name w:val="3E09CDE3E4AF4551927B46BC08DE7AA6"/>
    <w:rsid w:val="00E94FCA"/>
    <w:rPr>
      <w:lang w:val="en-US" w:eastAsia="en-US"/>
    </w:rPr>
  </w:style>
  <w:style w:type="paragraph" w:customStyle="1" w:styleId="ACF17664C58349F3AD99049B5E445C08">
    <w:name w:val="ACF17664C58349F3AD99049B5E445C08"/>
    <w:rsid w:val="00E94FCA"/>
    <w:rPr>
      <w:lang w:val="en-US" w:eastAsia="en-US"/>
    </w:rPr>
  </w:style>
  <w:style w:type="paragraph" w:customStyle="1" w:styleId="535CAB1F0EC1413B8E7B33092AB68ADA">
    <w:name w:val="535CAB1F0EC1413B8E7B33092AB68ADA"/>
    <w:rsid w:val="00E94FCA"/>
    <w:rPr>
      <w:lang w:val="en-US" w:eastAsia="en-US"/>
    </w:rPr>
  </w:style>
  <w:style w:type="paragraph" w:customStyle="1" w:styleId="E4C640251E2E4D6187B37129FA90C64D">
    <w:name w:val="E4C640251E2E4D6187B37129FA90C64D"/>
    <w:rsid w:val="00D86E65"/>
  </w:style>
  <w:style w:type="paragraph" w:customStyle="1" w:styleId="6BD1D2E3D7CE4E59869049D092735E5E">
    <w:name w:val="6BD1D2E3D7CE4E59869049D092735E5E"/>
    <w:rsid w:val="00E620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894E-EACD-4FA7-B56F-60974366000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bf54d604-3e62-4e70-ba33-9e9084b96a66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1CDD00-1528-4F37-8218-91156D76B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8FF6CC-452C-43A1-8A59-C33D2E145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BC51C-25A6-4948-92A5-39D67F05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3DB52225.dotm</Template>
  <TotalTime>0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2019-12-05T04:26:00Z</dcterms:created>
  <dcterms:modified xsi:type="dcterms:W3CDTF">2020-01-15T03:26:00Z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