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EE6FD" w14:textId="77777777" w:rsidR="00BD499F" w:rsidRPr="004C23F4" w:rsidRDefault="00502030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7923DD">
            <w:rPr>
              <w:rFonts w:cs="Arial"/>
            </w:rPr>
            <w:t>H</w:t>
          </w:r>
          <w:r w:rsidR="007773CE" w:rsidRPr="007773CE">
            <w:rPr>
              <w:rFonts w:cs="Arial"/>
            </w:rPr>
            <w:t>exafluoroacetone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3"/>
        <w:gridCol w:w="5033"/>
      </w:tblGrid>
      <w:tr w:rsidR="00F43AD5" w:rsidRPr="004C23F4" w14:paraId="28E9CAA2" w14:textId="77777777" w:rsidTr="00B76A41">
        <w:trPr>
          <w:cantSplit/>
          <w:tblHeader/>
        </w:trPr>
        <w:tc>
          <w:tcPr>
            <w:tcW w:w="4077" w:type="dxa"/>
          </w:tcPr>
          <w:p w14:paraId="5010440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B0EFC17" w14:textId="77777777" w:rsidR="00F43AD5" w:rsidRPr="00717D45" w:rsidRDefault="007773CE" w:rsidP="00B76A41">
            <w:pPr>
              <w:pStyle w:val="Tablefont"/>
            </w:pPr>
            <w:r>
              <w:t>684-16-2</w:t>
            </w:r>
          </w:p>
        </w:tc>
      </w:tr>
      <w:tr w:rsidR="00F43AD5" w:rsidRPr="004C23F4" w14:paraId="07E6CFE1" w14:textId="77777777" w:rsidTr="00B76A41">
        <w:trPr>
          <w:cantSplit/>
        </w:trPr>
        <w:tc>
          <w:tcPr>
            <w:tcW w:w="4077" w:type="dxa"/>
          </w:tcPr>
          <w:p w14:paraId="2C0F7F3F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99157EB" w14:textId="77777777" w:rsidR="00F43AD5" w:rsidRPr="00717D45" w:rsidRDefault="007773CE" w:rsidP="00B76A41">
            <w:pPr>
              <w:pStyle w:val="Tablefont"/>
            </w:pPr>
            <w:r>
              <w:t>HFA</w:t>
            </w:r>
          </w:p>
        </w:tc>
      </w:tr>
      <w:tr w:rsidR="00F43AD5" w:rsidRPr="004C23F4" w14:paraId="4E9FE92C" w14:textId="77777777" w:rsidTr="00B76A41">
        <w:trPr>
          <w:cantSplit/>
        </w:trPr>
        <w:tc>
          <w:tcPr>
            <w:tcW w:w="4077" w:type="dxa"/>
          </w:tcPr>
          <w:p w14:paraId="3CC1A7B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C4C853A" w14:textId="77777777" w:rsidR="00F43AD5" w:rsidRPr="00717D45" w:rsidRDefault="007773CE" w:rsidP="00B76A41">
            <w:pPr>
              <w:pStyle w:val="Tablefont"/>
            </w:pPr>
            <w:r>
              <w:t>C</w:t>
            </w:r>
            <w:r w:rsidRPr="007773CE">
              <w:rPr>
                <w:vertAlign w:val="subscript"/>
              </w:rPr>
              <w:t>3</w:t>
            </w:r>
            <w:r>
              <w:t>F</w:t>
            </w:r>
            <w:r w:rsidRPr="007773CE">
              <w:rPr>
                <w:vertAlign w:val="subscript"/>
              </w:rPr>
              <w:t>6</w:t>
            </w:r>
            <w:r>
              <w:t>O</w:t>
            </w:r>
          </w:p>
        </w:tc>
      </w:tr>
      <w:tr w:rsidR="00F43AD5" w:rsidRPr="004C23F4" w14:paraId="37E9030B" w14:textId="77777777" w:rsidTr="00B76A41">
        <w:trPr>
          <w:cantSplit/>
        </w:trPr>
        <w:tc>
          <w:tcPr>
            <w:tcW w:w="4077" w:type="dxa"/>
          </w:tcPr>
          <w:p w14:paraId="67C1146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5397276" w14:textId="77777777" w:rsidR="00F43AD5" w:rsidRPr="00B40C60" w:rsidRDefault="007773CE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01267F50" w14:textId="3252435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80C8D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08D0993" w14:textId="77777777" w:rsidTr="007923DD">
        <w:trPr>
          <w:cantSplit/>
          <w:tblHeader/>
        </w:trPr>
        <w:tc>
          <w:tcPr>
            <w:tcW w:w="4005" w:type="dxa"/>
            <w:vAlign w:val="center"/>
          </w:tcPr>
          <w:p w14:paraId="3CEECA06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2FC9173B" w14:textId="34CA68E4" w:rsidR="002C7AFE" w:rsidRPr="00951D55" w:rsidRDefault="00951D55" w:rsidP="00017C82">
            <w:pPr>
              <w:pStyle w:val="Tablefont"/>
              <w:rPr>
                <w:b/>
              </w:rPr>
            </w:pPr>
            <w:r w:rsidRPr="00951D55">
              <w:rPr>
                <w:b/>
              </w:rPr>
              <w:t>0.</w:t>
            </w:r>
            <w:r w:rsidR="00B80C8D">
              <w:rPr>
                <w:b/>
              </w:rPr>
              <w:t>1</w:t>
            </w:r>
            <w:r w:rsidRPr="00951D55">
              <w:rPr>
                <w:b/>
              </w:rPr>
              <w:t xml:space="preserve"> ppm (0.</w:t>
            </w:r>
            <w:r w:rsidR="00B80C8D">
              <w:rPr>
                <w:b/>
              </w:rPr>
              <w:t>68</w:t>
            </w:r>
            <w:r w:rsidR="00B80C8D" w:rsidRPr="00951D55">
              <w:rPr>
                <w:b/>
              </w:rPr>
              <w:t xml:space="preserve"> </w:t>
            </w:r>
            <w:r w:rsidRPr="00951D55">
              <w:rPr>
                <w:b/>
              </w:rPr>
              <w:t>mg/m</w:t>
            </w:r>
            <w:r w:rsidRPr="00951D55">
              <w:rPr>
                <w:b/>
                <w:vertAlign w:val="superscript"/>
              </w:rPr>
              <w:t>3</w:t>
            </w:r>
            <w:r w:rsidRPr="00951D55">
              <w:rPr>
                <w:b/>
              </w:rPr>
              <w:t>)</w:t>
            </w:r>
          </w:p>
        </w:tc>
      </w:tr>
      <w:tr w:rsidR="002C7AFE" w:rsidRPr="004C23F4" w14:paraId="097BE1AC" w14:textId="77777777" w:rsidTr="007923DD">
        <w:trPr>
          <w:cantSplit/>
        </w:trPr>
        <w:tc>
          <w:tcPr>
            <w:tcW w:w="4005" w:type="dxa"/>
            <w:vAlign w:val="center"/>
          </w:tcPr>
          <w:p w14:paraId="4DB52FC2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3AF5F9C6" w14:textId="77777777" w:rsidR="002C7AFE" w:rsidRPr="00EB3D1B" w:rsidRDefault="007773C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D0515AB" w14:textId="77777777" w:rsidTr="007923DD">
        <w:trPr>
          <w:cantSplit/>
        </w:trPr>
        <w:tc>
          <w:tcPr>
            <w:tcW w:w="4005" w:type="dxa"/>
            <w:vAlign w:val="center"/>
          </w:tcPr>
          <w:p w14:paraId="708D348F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7426512D" w14:textId="77777777" w:rsidR="002C7AFE" w:rsidRPr="00EB3D1B" w:rsidRDefault="007773C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DC20BE7" w14:textId="77777777" w:rsidTr="007923DD">
        <w:trPr>
          <w:cantSplit/>
        </w:trPr>
        <w:tc>
          <w:tcPr>
            <w:tcW w:w="4005" w:type="dxa"/>
          </w:tcPr>
          <w:p w14:paraId="471D37B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46EFEF74" w14:textId="77777777" w:rsidR="002C7AFE" w:rsidRPr="00EB3D1B" w:rsidRDefault="005E16AA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7C56A60E" w14:textId="77777777" w:rsidTr="007923DD">
        <w:trPr>
          <w:cantSplit/>
        </w:trPr>
        <w:tc>
          <w:tcPr>
            <w:tcW w:w="4005" w:type="dxa"/>
            <w:vAlign w:val="center"/>
          </w:tcPr>
          <w:p w14:paraId="184FAA29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433FA982" w14:textId="77777777" w:rsidR="002C7AFE" w:rsidRPr="00EB3D1B" w:rsidRDefault="006B258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9 ppm (61 mg/m</w:t>
            </w:r>
            <w:r w:rsidRPr="006B2582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7923DD" w:rsidRPr="004C23F4" w14:paraId="2189C07E" w14:textId="77777777" w:rsidTr="00483AC8">
        <w:trPr>
          <w:cantSplit/>
        </w:trPr>
        <w:tc>
          <w:tcPr>
            <w:tcW w:w="9026" w:type="dxa"/>
            <w:gridSpan w:val="2"/>
            <w:vAlign w:val="center"/>
          </w:tcPr>
          <w:p w14:paraId="232D7261" w14:textId="77777777" w:rsidR="007923DD" w:rsidRPr="00EB3D1B" w:rsidRDefault="007923D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F5B5410C6E4941DE82462BD595167B66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5E16AA" w:rsidRPr="005E16AA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CAA5FAA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F24D7F1" w14:textId="69FD4958" w:rsidR="00951D55" w:rsidRDefault="00951D55" w:rsidP="00951D55">
      <w:r>
        <w:rPr>
          <w:rFonts w:cs="Arial"/>
        </w:rPr>
        <w:t>A</w:t>
      </w:r>
      <w:r w:rsidR="002B407B">
        <w:rPr>
          <w:rFonts w:cs="Arial"/>
        </w:rPr>
        <w:t>n interim</w:t>
      </w:r>
      <w:r>
        <w:rPr>
          <w:rFonts w:cs="Arial"/>
        </w:rPr>
        <w:t xml:space="preserve"> TWA </w:t>
      </w:r>
      <w:r w:rsidRPr="00951D55">
        <w:rPr>
          <w:rFonts w:cs="Arial"/>
        </w:rPr>
        <w:t xml:space="preserve">of </w:t>
      </w:r>
      <w:r w:rsidRPr="00951D55">
        <w:t>0.</w:t>
      </w:r>
      <w:r w:rsidR="00B80C8D">
        <w:t>1</w:t>
      </w:r>
      <w:r w:rsidRPr="00951D55">
        <w:t xml:space="preserve"> ppm (0.</w:t>
      </w:r>
      <w:r w:rsidR="00B80C8D">
        <w:t>68</w:t>
      </w:r>
      <w:r w:rsidR="00C53D66">
        <w:t xml:space="preserve"> </w:t>
      </w:r>
      <w:r w:rsidRPr="00951D55">
        <w:t>mg/m</w:t>
      </w:r>
      <w:r w:rsidRPr="00951D55">
        <w:rPr>
          <w:vertAlign w:val="superscript"/>
        </w:rPr>
        <w:t>3</w:t>
      </w:r>
      <w:r w:rsidRPr="00951D55">
        <w:t>)</w:t>
      </w:r>
      <w:r w:rsidRPr="00951D55">
        <w:rPr>
          <w:rFonts w:cs="Arial"/>
        </w:rPr>
        <w:t xml:space="preserve"> </w:t>
      </w:r>
      <w:r w:rsidRPr="00951D55">
        <w:t xml:space="preserve">is </w:t>
      </w:r>
      <w:r w:rsidR="005E16AA">
        <w:t xml:space="preserve">recommended </w:t>
      </w:r>
      <w:r>
        <w:t xml:space="preserve">to protect for </w:t>
      </w:r>
      <w:r w:rsidR="005E16AA">
        <w:t xml:space="preserve">kidney </w:t>
      </w:r>
      <w:r w:rsidR="002B407B">
        <w:t>and</w:t>
      </w:r>
      <w:r w:rsidR="00B80C8D">
        <w:t xml:space="preserve"> testicular</w:t>
      </w:r>
      <w:r>
        <w:t xml:space="preserve"> damage </w:t>
      </w:r>
      <w:r w:rsidR="002B407B">
        <w:t xml:space="preserve">in exposed workers </w:t>
      </w:r>
      <w:r w:rsidR="00B80C8D">
        <w:t xml:space="preserve">and </w:t>
      </w:r>
      <w:r w:rsidR="002B407B">
        <w:t xml:space="preserve">developmental effects on the </w:t>
      </w:r>
      <w:r w:rsidR="00B80C8D">
        <w:t>foet</w:t>
      </w:r>
      <w:r w:rsidR="002B407B">
        <w:t>us</w:t>
      </w:r>
      <w:r>
        <w:t>.</w:t>
      </w:r>
    </w:p>
    <w:p w14:paraId="737D3AEC" w14:textId="26A0F7B8" w:rsidR="00B80C8D" w:rsidRDefault="002B407B" w:rsidP="00951D55">
      <w:r w:rsidRPr="002B407B">
        <w:t>Given the limited data available from the primary sources</w:t>
      </w:r>
      <w:r>
        <w:t xml:space="preserve"> and the severity of the potential effects on the foetus</w:t>
      </w:r>
      <w:r w:rsidRPr="002B407B">
        <w:t xml:space="preserve">, it is recommended that a review of additional sources be conducted </w:t>
      </w:r>
      <w:r w:rsidR="008B721C">
        <w:t xml:space="preserve">as a priority </w:t>
      </w:r>
      <w:r w:rsidRPr="002B407B">
        <w:t>at the next scheduled review.</w:t>
      </w:r>
    </w:p>
    <w:p w14:paraId="264A7209" w14:textId="77777777" w:rsidR="00C7155E" w:rsidRPr="00FC2260" w:rsidRDefault="00F10C97" w:rsidP="003365A5">
      <w:pPr>
        <w:pStyle w:val="Heading2"/>
      </w:pPr>
      <w:r w:rsidRPr="00FC2260">
        <w:t>Discussion and conclusions</w:t>
      </w:r>
    </w:p>
    <w:p w14:paraId="11059851" w14:textId="77777777" w:rsidR="002B407B" w:rsidRDefault="00951D55" w:rsidP="00951D55">
      <w:proofErr w:type="spellStart"/>
      <w:r w:rsidRPr="00FC2260">
        <w:rPr>
          <w:rFonts w:cs="Arial"/>
        </w:rPr>
        <w:t>Hexafluoroacetone</w:t>
      </w:r>
      <w:proofErr w:type="spellEnd"/>
      <w:r w:rsidRPr="00FC2260">
        <w:rPr>
          <w:rFonts w:cs="Arial"/>
        </w:rPr>
        <w:t xml:space="preserve"> is used </w:t>
      </w:r>
      <w:r w:rsidRPr="00FC2260">
        <w:t xml:space="preserve">as a </w:t>
      </w:r>
      <w:r w:rsidRPr="00FC2260">
        <w:rPr>
          <w:rFonts w:cs="Arial"/>
        </w:rPr>
        <w:t>chemical intermediate, solvent and polymer adhesive</w:t>
      </w:r>
      <w:r w:rsidRPr="00FC2260">
        <w:t xml:space="preserve">. </w:t>
      </w:r>
    </w:p>
    <w:p w14:paraId="1EB1151F" w14:textId="4C600FAA" w:rsidR="00951D55" w:rsidRPr="00FC2260" w:rsidRDefault="005E16AA" w:rsidP="00951D55">
      <w:r w:rsidRPr="00FC2260">
        <w:t>Critical effects</w:t>
      </w:r>
      <w:r w:rsidR="002B407B">
        <w:t xml:space="preserve"> of exposure</w:t>
      </w:r>
      <w:r w:rsidRPr="00FC2260">
        <w:t xml:space="preserve"> include renal dysfunction and testicular damage</w:t>
      </w:r>
      <w:r w:rsidR="00FC2260" w:rsidRPr="00FC2260">
        <w:t xml:space="preserve"> as well as potential e</w:t>
      </w:r>
      <w:r w:rsidR="006B064C" w:rsidRPr="00FC2260">
        <w:t xml:space="preserve">ffects on the foetus. </w:t>
      </w:r>
      <w:r w:rsidR="007274A2">
        <w:t>Limited data in humans exist in the primary sources</w:t>
      </w:r>
      <w:r w:rsidR="00B80C8D" w:rsidRPr="00FC2260">
        <w:rPr>
          <w:rFonts w:cs="Arial"/>
        </w:rPr>
        <w:t>.</w:t>
      </w:r>
      <w:r w:rsidR="002B407B">
        <w:t xml:space="preserve"> </w:t>
      </w:r>
      <w:r w:rsidR="00951D55" w:rsidRPr="00FC2260">
        <w:t xml:space="preserve">Available animal data </w:t>
      </w:r>
      <w:r w:rsidR="00542754" w:rsidRPr="00FC2260">
        <w:t>indicates a</w:t>
      </w:r>
      <w:r w:rsidR="00951D55" w:rsidRPr="00FC2260">
        <w:t xml:space="preserve"> </w:t>
      </w:r>
      <w:r w:rsidR="002B407B">
        <w:t>NOAEC</w:t>
      </w:r>
      <w:r w:rsidR="00542754" w:rsidRPr="00FC2260">
        <w:t xml:space="preserve"> of 0.</w:t>
      </w:r>
      <w:r w:rsidR="002B407B" w:rsidRPr="00FC2260">
        <w:t>1</w:t>
      </w:r>
      <w:r w:rsidR="002B407B">
        <w:t> </w:t>
      </w:r>
      <w:r w:rsidR="00542754" w:rsidRPr="00FC2260">
        <w:t xml:space="preserve">ppm </w:t>
      </w:r>
      <w:r w:rsidR="00951D55" w:rsidRPr="00FC2260">
        <w:t xml:space="preserve">in rats </w:t>
      </w:r>
      <w:r w:rsidR="005F3E03" w:rsidRPr="00FC2260">
        <w:t xml:space="preserve">based on gross biochemical, haematological or histopathological changes </w:t>
      </w:r>
      <w:r w:rsidR="00951D55" w:rsidRPr="00FC2260">
        <w:t>(ACGIH, 20</w:t>
      </w:r>
      <w:r w:rsidR="00542754" w:rsidRPr="00FC2260">
        <w:t>18</w:t>
      </w:r>
      <w:r w:rsidR="00951D55" w:rsidRPr="00FC2260">
        <w:t xml:space="preserve">). </w:t>
      </w:r>
      <w:r w:rsidR="00B80C8D" w:rsidRPr="00FC2260">
        <w:rPr>
          <w:rFonts w:cs="Arial"/>
        </w:rPr>
        <w:t>A LOAE</w:t>
      </w:r>
      <w:r w:rsidR="002B407B">
        <w:rPr>
          <w:rFonts w:cs="Arial"/>
        </w:rPr>
        <w:t>C</w:t>
      </w:r>
      <w:r w:rsidR="00B80C8D" w:rsidRPr="00FC2260">
        <w:rPr>
          <w:rFonts w:cs="Arial"/>
        </w:rPr>
        <w:t xml:space="preserve"> of </w:t>
      </w:r>
      <w:r w:rsidR="00B80C8D" w:rsidRPr="00FC2260">
        <w:t>0.11 ppm (0.76 mg/m</w:t>
      </w:r>
      <w:r w:rsidR="00B80C8D" w:rsidRPr="00FC2260">
        <w:rPr>
          <w:vertAlign w:val="superscript"/>
        </w:rPr>
        <w:t>3</w:t>
      </w:r>
      <w:r w:rsidR="00B80C8D" w:rsidRPr="00FC2260">
        <w:t xml:space="preserve">) </w:t>
      </w:r>
      <w:r w:rsidR="002B407B">
        <w:t>i</w:t>
      </w:r>
      <w:r w:rsidR="00B80C8D" w:rsidRPr="00FC2260">
        <w:t>s</w:t>
      </w:r>
      <w:r w:rsidR="002B407B">
        <w:t xml:space="preserve"> reported</w:t>
      </w:r>
      <w:r w:rsidR="00B80C8D" w:rsidRPr="00FC2260">
        <w:t xml:space="preserve"> in rats based on </w:t>
      </w:r>
      <w:proofErr w:type="spellStart"/>
      <w:r w:rsidR="00B80C8D" w:rsidRPr="00FC2260">
        <w:t>fetotoxic</w:t>
      </w:r>
      <w:proofErr w:type="spellEnd"/>
      <w:r w:rsidR="00B80C8D" w:rsidRPr="00FC2260">
        <w:t xml:space="preserve"> effects (HCOTN, 2000).</w:t>
      </w:r>
      <w:r w:rsidR="00D87128">
        <w:t xml:space="preserve"> </w:t>
      </w:r>
      <w:r w:rsidR="009558EC">
        <w:t xml:space="preserve">There is inconsistency in the primary sources regarding </w:t>
      </w:r>
      <w:r w:rsidR="005F00D1">
        <w:t xml:space="preserve">end-point for </w:t>
      </w:r>
      <w:proofErr w:type="spellStart"/>
      <w:r w:rsidR="009558EC">
        <w:t>fetotoxicity</w:t>
      </w:r>
      <w:proofErr w:type="spellEnd"/>
      <w:r w:rsidR="009558EC">
        <w:t xml:space="preserve"> </w:t>
      </w:r>
      <w:r w:rsidR="00CC29BB">
        <w:t>(ACGIH, 2018; HCOTN, 2000)</w:t>
      </w:r>
      <w:r w:rsidR="009558EC">
        <w:t xml:space="preserve">. </w:t>
      </w:r>
    </w:p>
    <w:p w14:paraId="0A841ADC" w14:textId="48F0CC94" w:rsidR="002B407B" w:rsidRDefault="00D07098" w:rsidP="00951D55">
      <w:r>
        <w:t xml:space="preserve">The </w:t>
      </w:r>
      <w:r w:rsidR="00FD230E">
        <w:t xml:space="preserve">current </w:t>
      </w:r>
      <w:r>
        <w:t>TWA of 0.1 ppm (0.68 mg/m</w:t>
      </w:r>
      <w:r>
        <w:rPr>
          <w:vertAlign w:val="superscript"/>
        </w:rPr>
        <w:t>3</w:t>
      </w:r>
      <w:r>
        <w:t>) is recommended to be retained in the interim</w:t>
      </w:r>
      <w:r w:rsidR="00CC29BB">
        <w:t xml:space="preserve"> until sufficient data is made available to resolve uncertainties</w:t>
      </w:r>
      <w:r>
        <w:t xml:space="preserve">. </w:t>
      </w:r>
      <w:r w:rsidR="002B407B">
        <w:t>This TWA is expected</w:t>
      </w:r>
      <w:r w:rsidR="0010568F">
        <w:t xml:space="preserve"> </w:t>
      </w:r>
      <w:r w:rsidR="0010568F" w:rsidRPr="00FC2260">
        <w:t xml:space="preserve">to </w:t>
      </w:r>
      <w:r w:rsidR="0010568F">
        <w:t>protect for p</w:t>
      </w:r>
      <w:r w:rsidR="00491876">
        <w:t>otential</w:t>
      </w:r>
      <w:r w:rsidR="0010568F">
        <w:t xml:space="preserve"> </w:t>
      </w:r>
      <w:r w:rsidR="002B407B">
        <w:t xml:space="preserve">effects in the </w:t>
      </w:r>
      <w:r w:rsidR="0010568F">
        <w:t>foet</w:t>
      </w:r>
      <w:r w:rsidR="002B407B">
        <w:t>us</w:t>
      </w:r>
      <w:r w:rsidR="0010568F">
        <w:t xml:space="preserve"> in exposed workers</w:t>
      </w:r>
      <w:r w:rsidR="006B064C" w:rsidRPr="00FC2260">
        <w:t xml:space="preserve">. </w:t>
      </w:r>
    </w:p>
    <w:p w14:paraId="0907202C" w14:textId="6908BA29" w:rsidR="00B80C8D" w:rsidRDefault="006B064C" w:rsidP="00951D55">
      <w:pPr>
        <w:rPr>
          <w:rFonts w:cs="Arial"/>
        </w:rPr>
      </w:pPr>
      <w:r w:rsidRPr="00FC2260">
        <w:t xml:space="preserve">Given the severity of </w:t>
      </w:r>
      <w:r w:rsidR="008B721C">
        <w:t xml:space="preserve">the potential </w:t>
      </w:r>
      <w:r w:rsidRPr="00FC2260">
        <w:t>outcomes</w:t>
      </w:r>
      <w:r w:rsidR="008B721C">
        <w:t xml:space="preserve"> of exposure to </w:t>
      </w:r>
      <w:proofErr w:type="spellStart"/>
      <w:r w:rsidR="008B721C">
        <w:t>hexafluoroacetone</w:t>
      </w:r>
      <w:proofErr w:type="spellEnd"/>
      <w:r w:rsidR="00160F1B">
        <w:t>,</w:t>
      </w:r>
      <w:r w:rsidRPr="00FC2260">
        <w:t xml:space="preserve"> a priority evaluation of</w:t>
      </w:r>
      <w:r>
        <w:t xml:space="preserve"> </w:t>
      </w:r>
      <w:r w:rsidR="008B721C">
        <w:t>additional</w:t>
      </w:r>
      <w:r>
        <w:t xml:space="preserve"> data </w:t>
      </w:r>
      <w:r w:rsidR="008B721C">
        <w:t xml:space="preserve">sources </w:t>
      </w:r>
      <w:r>
        <w:t>is recommended at the next scheduled review.</w:t>
      </w:r>
    </w:p>
    <w:p w14:paraId="7169FEF0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A663DEB" w14:textId="77777777" w:rsidR="007773CE" w:rsidRPr="000B39C2" w:rsidRDefault="007773CE" w:rsidP="007773CE">
      <w:pPr>
        <w:rPr>
          <w:rFonts w:cs="Arial"/>
        </w:rPr>
      </w:pPr>
      <w:r w:rsidRPr="000B39C2">
        <w:rPr>
          <w:rFonts w:cs="Arial"/>
        </w:rPr>
        <w:t xml:space="preserve">Not classified as a carcinogen according to the Globally Harmonized System of Classification and Labelling </w:t>
      </w:r>
      <w:r w:rsidR="000829F2" w:rsidRPr="000B39C2">
        <w:rPr>
          <w:rFonts w:cs="Arial"/>
        </w:rPr>
        <w:t>o</w:t>
      </w:r>
      <w:r w:rsidR="000829F2">
        <w:rPr>
          <w:rFonts w:cs="Arial"/>
        </w:rPr>
        <w:t>f</w:t>
      </w:r>
      <w:r w:rsidR="000829F2" w:rsidRPr="000B39C2">
        <w:rPr>
          <w:rFonts w:cs="Arial"/>
        </w:rPr>
        <w:t xml:space="preserve"> </w:t>
      </w:r>
      <w:r w:rsidRPr="000B39C2">
        <w:rPr>
          <w:rFonts w:cs="Arial"/>
        </w:rPr>
        <w:t xml:space="preserve">Chemicals (GHS). </w:t>
      </w:r>
    </w:p>
    <w:p w14:paraId="0F62163F" w14:textId="77777777" w:rsidR="007773CE" w:rsidRPr="000B39C2" w:rsidRDefault="007773CE" w:rsidP="007773CE">
      <w:pPr>
        <w:rPr>
          <w:rFonts w:cs="Arial"/>
        </w:rPr>
      </w:pPr>
      <w:r w:rsidRPr="000B39C2">
        <w:rPr>
          <w:rFonts w:cs="Arial"/>
        </w:rPr>
        <w:lastRenderedPageBreak/>
        <w:t xml:space="preserve">Not classified as a skin </w:t>
      </w:r>
      <w:r w:rsidR="000829F2" w:rsidRPr="000B39C2">
        <w:rPr>
          <w:rFonts w:cs="Arial"/>
        </w:rPr>
        <w:t xml:space="preserve">sensitiser </w:t>
      </w:r>
      <w:r w:rsidRPr="000B39C2">
        <w:rPr>
          <w:rFonts w:cs="Arial"/>
        </w:rPr>
        <w:t>or respiratory sensitiser according to the GHS.</w:t>
      </w:r>
    </w:p>
    <w:p w14:paraId="40FC395E" w14:textId="77777777" w:rsidR="0025734A" w:rsidRPr="004C23F4" w:rsidRDefault="000B39C2">
      <w:pPr>
        <w:rPr>
          <w:rFonts w:cs="Arial"/>
        </w:rPr>
      </w:pPr>
      <w:r w:rsidRPr="000B39C2">
        <w:rPr>
          <w:rFonts w:cs="Arial"/>
        </w:rPr>
        <w:t xml:space="preserve">A skin notation </w:t>
      </w:r>
      <w:r w:rsidR="002B407B">
        <w:rPr>
          <w:rFonts w:cs="Arial"/>
        </w:rPr>
        <w:t xml:space="preserve">is </w:t>
      </w:r>
      <w:r w:rsidRPr="000B39C2">
        <w:rPr>
          <w:rFonts w:cs="Arial"/>
        </w:rPr>
        <w:t>recommended based on evidence suggesting potential dermal absorption and adverse systemic effects in animals.</w:t>
      </w:r>
    </w:p>
    <w:p w14:paraId="273193C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3FE2D5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91DBDA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ADC4D60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5020DE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486116E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09162BE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1161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11618">
                  <w:t>TWA: 0.1 ppm (0.68 mg/m</w:t>
                </w:r>
                <w:r w:rsidR="00F11618" w:rsidRPr="00F11618">
                  <w:rPr>
                    <w:vertAlign w:val="superscript"/>
                  </w:rPr>
                  <w:t>3</w:t>
                </w:r>
                <w:r w:rsidR="00F11618">
                  <w:t>)</w:t>
                </w:r>
              </w:sdtContent>
            </w:sdt>
          </w:p>
        </w:tc>
      </w:tr>
      <w:tr w:rsidR="00C978F0" w:rsidRPr="00DA352E" w14:paraId="12FA69E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6576CE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C04362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BBDD0E9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773F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773F6">
                  <w:t>TLV-TWA: 0.1 ppm (0.68 mg/m</w:t>
                </w:r>
                <w:r w:rsidR="006773F6" w:rsidRPr="006773F6">
                  <w:rPr>
                    <w:vertAlign w:val="superscript"/>
                  </w:rPr>
                  <w:t>3</w:t>
                </w:r>
                <w:r w:rsidR="006773F6">
                  <w:t>)</w:t>
                </w:r>
              </w:sdtContent>
            </w:sdt>
          </w:p>
        </w:tc>
      </w:tr>
      <w:tr w:rsidR="00C978F0" w:rsidRPr="00DA352E" w14:paraId="30FAE0A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89DBF19" w14:textId="77777777" w:rsidR="003941AD" w:rsidRDefault="003941AD" w:rsidP="003941AD">
            <w:pPr>
              <w:pStyle w:val="Tabletextprimarysource"/>
            </w:pPr>
            <w:r>
              <w:t>TLV-TWA recommended to minimise the risk of renal dysfunction and testicular damage in exposed workers.</w:t>
            </w:r>
          </w:p>
          <w:p w14:paraId="16B8E884" w14:textId="77777777" w:rsidR="003941AD" w:rsidRDefault="003941AD" w:rsidP="003941AD">
            <w:pPr>
              <w:pStyle w:val="Tabletextprimarysource"/>
            </w:pPr>
            <w:r>
              <w:t>Summary of data:</w:t>
            </w:r>
          </w:p>
          <w:p w14:paraId="4EBCDFE7" w14:textId="77777777" w:rsidR="003941AD" w:rsidRDefault="003941AD" w:rsidP="005E16AA">
            <w:pPr>
              <w:pStyle w:val="Tabletextprimarysource"/>
            </w:pPr>
            <w:r>
              <w:t>Animal data:</w:t>
            </w:r>
          </w:p>
          <w:p w14:paraId="3EE6737D" w14:textId="77777777" w:rsidR="00A12A95" w:rsidRDefault="00A12A95" w:rsidP="005E16AA">
            <w:pPr>
              <w:pStyle w:val="ListBullet"/>
              <w:spacing w:before="60" w:after="60"/>
              <w:ind w:left="720" w:hanging="357"/>
              <w:contextualSpacing w:val="0"/>
            </w:pPr>
            <w:r>
              <w:t>Exposure to 60, 100, 200, 300 ppm (rats, inhalation</w:t>
            </w:r>
            <w:r w:rsidR="002B407B">
              <w:t>; 4 h</w:t>
            </w:r>
            <w:r>
              <w:t>)</w:t>
            </w:r>
            <w:r w:rsidR="003804EA">
              <w:t>:</w:t>
            </w:r>
          </w:p>
          <w:p w14:paraId="29E962B2" w14:textId="77777777" w:rsidR="00A12A95" w:rsidRDefault="00A12A95" w:rsidP="008B721C">
            <w:pPr>
              <w:pStyle w:val="ListBullet"/>
              <w:numPr>
                <w:ilvl w:val="0"/>
                <w:numId w:val="2"/>
              </w:numPr>
              <w:spacing w:before="60" w:after="60"/>
              <w:ind w:left="1021" w:hanging="284"/>
              <w:contextualSpacing w:val="0"/>
            </w:pPr>
            <w:r>
              <w:t>300 ppm:</w:t>
            </w:r>
            <w:r w:rsidR="00F63AD4">
              <w:t xml:space="preserve"> l</w:t>
            </w:r>
            <w:r>
              <w:t xml:space="preserve">ethal </w:t>
            </w:r>
          </w:p>
          <w:p w14:paraId="797C09CC" w14:textId="77777777" w:rsidR="00A12A95" w:rsidRDefault="00A12A95" w:rsidP="008B721C">
            <w:pPr>
              <w:pStyle w:val="ListBullet"/>
              <w:numPr>
                <w:ilvl w:val="0"/>
                <w:numId w:val="2"/>
              </w:numPr>
              <w:spacing w:before="60" w:after="60"/>
              <w:ind w:left="1021" w:hanging="284"/>
              <w:contextualSpacing w:val="0"/>
            </w:pPr>
            <w:r>
              <w:t>200 ppm:</w:t>
            </w:r>
            <w:r w:rsidR="00F63AD4">
              <w:t xml:space="preserve"> i</w:t>
            </w:r>
            <w:r>
              <w:t>njury to liver, kidney, testes and thymus</w:t>
            </w:r>
          </w:p>
          <w:p w14:paraId="2690CDB9" w14:textId="77777777" w:rsidR="00A12A95" w:rsidRDefault="00A12A95" w:rsidP="008B721C">
            <w:pPr>
              <w:pStyle w:val="ListBullet"/>
              <w:numPr>
                <w:ilvl w:val="0"/>
                <w:numId w:val="2"/>
              </w:numPr>
              <w:spacing w:before="60" w:after="60"/>
              <w:ind w:left="1021" w:hanging="284"/>
              <w:contextualSpacing w:val="0"/>
            </w:pPr>
            <w:r>
              <w:t xml:space="preserve">100 ppm: </w:t>
            </w:r>
            <w:r w:rsidR="00F63AD4">
              <w:t>d</w:t>
            </w:r>
            <w:r w:rsidR="00CB0937">
              <w:t>amage to testes</w:t>
            </w:r>
          </w:p>
          <w:p w14:paraId="1C30FA5E" w14:textId="77777777" w:rsidR="00A12A95" w:rsidRDefault="00CB0937" w:rsidP="008B721C">
            <w:pPr>
              <w:pStyle w:val="ListBullet"/>
              <w:numPr>
                <w:ilvl w:val="0"/>
                <w:numId w:val="2"/>
              </w:numPr>
              <w:spacing w:before="60" w:after="60"/>
              <w:ind w:left="1021" w:hanging="284"/>
              <w:contextualSpacing w:val="0"/>
            </w:pPr>
            <w:r>
              <w:t>60 ppm: (6 h</w:t>
            </w:r>
            <w:r w:rsidR="00F63AD4">
              <w:t>/d) d</w:t>
            </w:r>
            <w:r>
              <w:t>ecreased spermatogenesis, bone marrow erythropoiesis at 10 d</w:t>
            </w:r>
          </w:p>
          <w:p w14:paraId="1E01988E" w14:textId="77777777" w:rsidR="00A12A95" w:rsidRDefault="004806B5" w:rsidP="006E3128">
            <w:pPr>
              <w:pStyle w:val="ListBullet"/>
              <w:spacing w:before="60" w:after="60"/>
              <w:ind w:left="720" w:hanging="357"/>
              <w:contextualSpacing w:val="0"/>
            </w:pPr>
            <w:r>
              <w:t>NOAE</w:t>
            </w:r>
            <w:r w:rsidR="002B407B">
              <w:t>C</w:t>
            </w:r>
            <w:r>
              <w:t xml:space="preserve">: 0.1 ppm (rats and dogs, </w:t>
            </w:r>
            <w:r w:rsidR="00B6469C">
              <w:t>6 h/d, 5 d/wk, 90</w:t>
            </w:r>
            <w:r w:rsidR="003804EA">
              <w:t xml:space="preserve"> </w:t>
            </w:r>
            <w:r w:rsidR="00B6469C">
              <w:t>d</w:t>
            </w:r>
            <w:r>
              <w:t>)</w:t>
            </w:r>
            <w:r w:rsidR="00B6469C">
              <w:t xml:space="preserve"> for gross biochemical, h</w:t>
            </w:r>
            <w:r w:rsidR="005E16AA">
              <w:t>a</w:t>
            </w:r>
            <w:r w:rsidR="00B6469C">
              <w:t>ematologic or histopathological changes</w:t>
            </w:r>
            <w:r w:rsidR="006E3128">
              <w:t>. TLV based mainly on this study</w:t>
            </w:r>
            <w:r w:rsidR="003804EA">
              <w:t>:</w:t>
            </w:r>
            <w:r w:rsidR="006E3128">
              <w:t xml:space="preserve"> </w:t>
            </w:r>
          </w:p>
          <w:p w14:paraId="3E46401A" w14:textId="77777777" w:rsidR="006E3128" w:rsidRDefault="003804EA" w:rsidP="008B721C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</w:pPr>
            <w:r>
              <w:t>s</w:t>
            </w:r>
            <w:r w:rsidR="006E3128">
              <w:t>evere acute injury at 12</w:t>
            </w:r>
            <w:r w:rsidR="002B407B">
              <w:t xml:space="preserve"> </w:t>
            </w:r>
            <w:r w:rsidR="006E3128">
              <w:t>ppm (rats and dogs) including renal dysfunction</w:t>
            </w:r>
          </w:p>
          <w:p w14:paraId="2815E7FC" w14:textId="77777777" w:rsidR="00A12A95" w:rsidRDefault="00B6469C" w:rsidP="008B72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NOAEL: 13 mg/kg/d (rats, 14 d, dermal) for testicular degeneration and atrophy</w:t>
            </w:r>
          </w:p>
          <w:p w14:paraId="6B716D69" w14:textId="601FD61A" w:rsidR="00B6469C" w:rsidRDefault="00B6469C" w:rsidP="008B72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NOAEL: 1 mg/kg/d (rats, </w:t>
            </w:r>
            <w:r w:rsidR="002B407B">
              <w:t>GD</w:t>
            </w:r>
            <w:r>
              <w:t xml:space="preserve"> 6</w:t>
            </w:r>
            <w:r w:rsidR="000829F2">
              <w:t>–</w:t>
            </w:r>
            <w:r>
              <w:t>16, dermal) for litter size, weight</w:t>
            </w:r>
            <w:r w:rsidR="00090380">
              <w:t>,</w:t>
            </w:r>
            <w:r>
              <w:t xml:space="preserve"> foetal resorptions</w:t>
            </w:r>
            <w:r w:rsidR="00090380">
              <w:t xml:space="preserve"> and </w:t>
            </w:r>
            <w:r w:rsidR="00D07098">
              <w:t xml:space="preserve">increase in </w:t>
            </w:r>
            <w:r w:rsidR="00EC00D6">
              <w:t>soft</w:t>
            </w:r>
            <w:r w:rsidR="00D07098">
              <w:t xml:space="preserve"> tissue and external </w:t>
            </w:r>
            <w:r w:rsidR="00EC00D6">
              <w:t>abnormalities</w:t>
            </w:r>
            <w:r w:rsidR="00104AA3">
              <w:t>; but a definite teratogenic response not concluded</w:t>
            </w:r>
            <w:r w:rsidR="000829F2">
              <w:t>.</w:t>
            </w:r>
          </w:p>
          <w:p w14:paraId="797F3E31" w14:textId="77777777" w:rsidR="003804EA" w:rsidRDefault="003804EA" w:rsidP="005E16AA">
            <w:pPr>
              <w:pStyle w:val="Tabletextprimarysource"/>
            </w:pPr>
          </w:p>
          <w:p w14:paraId="2181D11E" w14:textId="77777777" w:rsidR="00090380" w:rsidRDefault="00090380" w:rsidP="005E16AA">
            <w:pPr>
              <w:pStyle w:val="Tabletextprimarysource"/>
            </w:pPr>
            <w:r>
              <w:t>A skin notation is warranted</w:t>
            </w:r>
            <w:r w:rsidR="005E16AA">
              <w:t xml:space="preserve"> as dermal </w:t>
            </w:r>
            <w:r w:rsidR="006E3128">
              <w:t>application</w:t>
            </w:r>
            <w:r w:rsidR="005E16AA">
              <w:t xml:space="preserve"> to rats indicated systemic effects (testicular degeneration and possible developmental toxicity</w:t>
            </w:r>
            <w:r w:rsidR="006E3128">
              <w:t>)</w:t>
            </w:r>
            <w:r w:rsidR="005E16AA">
              <w:t xml:space="preserve">. </w:t>
            </w:r>
          </w:p>
          <w:p w14:paraId="0C40345C" w14:textId="77777777" w:rsidR="00C978F0" w:rsidRDefault="00090380" w:rsidP="005E16AA">
            <w:pPr>
              <w:pStyle w:val="Tabletextprimarysource"/>
            </w:pPr>
            <w:r w:rsidRPr="00DA4C2D">
              <w:t>Insufficient data to recommend a sensiti</w:t>
            </w:r>
            <w:r>
              <w:t>s</w:t>
            </w:r>
            <w:r w:rsidRPr="00DA4C2D">
              <w:t>er</w:t>
            </w:r>
            <w:r>
              <w:t xml:space="preserve"> or carcinogen</w:t>
            </w:r>
            <w:r w:rsidRPr="00DA4C2D">
              <w:t xml:space="preserve"> notation</w:t>
            </w:r>
            <w:r>
              <w:t>.</w:t>
            </w:r>
          </w:p>
          <w:p w14:paraId="16255357" w14:textId="77777777" w:rsidR="003804EA" w:rsidRPr="00DA352E" w:rsidRDefault="003804EA" w:rsidP="005E16AA">
            <w:pPr>
              <w:pStyle w:val="Tabletextprimarysource"/>
            </w:pPr>
          </w:p>
        </w:tc>
      </w:tr>
      <w:tr w:rsidR="00C978F0" w:rsidRPr="00DA352E" w14:paraId="49391B6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388914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8781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A8781F">
                  <w:t>NA</w:t>
                </w:r>
                <w:proofErr w:type="spellEnd"/>
              </w:sdtContent>
            </w:sdt>
          </w:p>
        </w:tc>
      </w:tr>
      <w:tr w:rsidR="00C978F0" w:rsidRPr="00DA352E" w14:paraId="632643D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EDCAEAF" w14:textId="77777777" w:rsidR="00C978F0" w:rsidRPr="00DA352E" w:rsidRDefault="00A8781F" w:rsidP="003365A5">
            <w:pPr>
              <w:pStyle w:val="Tabletextprimarysource"/>
            </w:pPr>
            <w:r>
              <w:t>No report</w:t>
            </w:r>
            <w:r w:rsidR="000829F2">
              <w:t>.</w:t>
            </w:r>
          </w:p>
        </w:tc>
      </w:tr>
      <w:tr w:rsidR="00C978F0" w:rsidRPr="00DA352E" w14:paraId="6AD2D73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0682C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8781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A8781F">
                  <w:t>NA</w:t>
                </w:r>
                <w:proofErr w:type="spellEnd"/>
              </w:sdtContent>
            </w:sdt>
          </w:p>
        </w:tc>
      </w:tr>
      <w:tr w:rsidR="00C978F0" w:rsidRPr="00DA352E" w14:paraId="61E1A31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5964BAB" w14:textId="77777777" w:rsidR="00C978F0" w:rsidRPr="00DA352E" w:rsidRDefault="00A8781F" w:rsidP="003365A5">
            <w:pPr>
              <w:pStyle w:val="Tabletextprimarysource"/>
            </w:pPr>
            <w:r>
              <w:t>No report</w:t>
            </w:r>
            <w:r w:rsidR="000829F2">
              <w:t>.</w:t>
            </w:r>
          </w:p>
        </w:tc>
      </w:tr>
      <w:tr w:rsidR="00DA352E" w:rsidRPr="00DA352E" w14:paraId="5AD59BF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83A2CC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8781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8781F">
                  <w:t>NA</w:t>
                </w:r>
                <w:proofErr w:type="spellEnd"/>
              </w:sdtContent>
            </w:sdt>
          </w:p>
        </w:tc>
      </w:tr>
      <w:tr w:rsidR="00DA352E" w:rsidRPr="00DA352E" w14:paraId="7551A1C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FCC8D32" w14:textId="77777777" w:rsidR="00DA352E" w:rsidRPr="00DA352E" w:rsidRDefault="00A8781F" w:rsidP="003365A5">
            <w:pPr>
              <w:pStyle w:val="Tabletextprimarysource"/>
            </w:pPr>
            <w:r>
              <w:t>No report</w:t>
            </w:r>
            <w:r w:rsidR="000829F2">
              <w:t>.</w:t>
            </w:r>
          </w:p>
        </w:tc>
      </w:tr>
      <w:tr w:rsidR="00DA352E" w:rsidRPr="00DA352E" w14:paraId="5D48CB5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7B88811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8781F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8781F" w:rsidRPr="00090380">
                  <w:t>TWA: 0.1 ppm (0</w:t>
                </w:r>
                <w:r w:rsidR="00A8781F">
                  <w:t>.7 mg/m</w:t>
                </w:r>
                <w:r w:rsidR="00A8781F" w:rsidRPr="00A8781F">
                  <w:rPr>
                    <w:vertAlign w:val="superscript"/>
                  </w:rPr>
                  <w:t>3</w:t>
                </w:r>
              </w:sdtContent>
            </w:sdt>
            <w:r w:rsidR="00A8781F">
              <w:t>)</w:t>
            </w:r>
          </w:p>
        </w:tc>
      </w:tr>
      <w:tr w:rsidR="00DA352E" w:rsidRPr="00DA352E" w14:paraId="1047FE8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CACC5C8" w14:textId="77777777" w:rsidR="00870723" w:rsidRDefault="006E3128" w:rsidP="00870723">
            <w:pPr>
              <w:pStyle w:val="Tabletextprimarysource"/>
            </w:pPr>
            <w:r>
              <w:t>R</w:t>
            </w:r>
            <w:r w:rsidR="00870723" w:rsidRPr="00870723">
              <w:t xml:space="preserve">ecommends a health-based </w:t>
            </w:r>
            <w:r w:rsidR="005E16AA">
              <w:t>OEL</w:t>
            </w:r>
            <w:r w:rsidR="00870723" w:rsidRPr="00870723">
              <w:t xml:space="preserve"> </w:t>
            </w:r>
            <w:r w:rsidR="00870723">
              <w:t>of 0.05 mg/m</w:t>
            </w:r>
            <w:r w:rsidR="00870723" w:rsidRPr="00870723">
              <w:rPr>
                <w:vertAlign w:val="superscript"/>
              </w:rPr>
              <w:t>3</w:t>
            </w:r>
            <w:r>
              <w:t>.</w:t>
            </w:r>
          </w:p>
          <w:p w14:paraId="1B2C5DF4" w14:textId="77777777" w:rsidR="00870723" w:rsidRPr="00193D9F" w:rsidRDefault="00870723" w:rsidP="00870723">
            <w:pPr>
              <w:pStyle w:val="Tabletextprimarysource"/>
            </w:pPr>
            <w:r>
              <w:t>Summary of additional data:</w:t>
            </w:r>
          </w:p>
          <w:p w14:paraId="101D1A62" w14:textId="77777777" w:rsidR="00870723" w:rsidRDefault="00870723" w:rsidP="0087072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4789D2AE" w14:textId="77777777" w:rsidR="00870723" w:rsidRDefault="00870723" w:rsidP="008B72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870723">
              <w:rPr>
                <w:vertAlign w:val="subscript"/>
              </w:rPr>
              <w:t>50</w:t>
            </w:r>
            <w:r>
              <w:t>: 1</w:t>
            </w:r>
            <w:r w:rsidR="00B80C8D">
              <w:t>,</w:t>
            </w:r>
            <w:r>
              <w:t>898 mg/m</w:t>
            </w:r>
            <w:r w:rsidRPr="00870723">
              <w:rPr>
                <w:vertAlign w:val="superscript"/>
              </w:rPr>
              <w:t>3</w:t>
            </w:r>
            <w:r>
              <w:t xml:space="preserve"> (rats, 3 h)</w:t>
            </w:r>
          </w:p>
          <w:p w14:paraId="0D643614" w14:textId="3728B37D" w:rsidR="00DA352E" w:rsidRDefault="00870723" w:rsidP="008B72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LOAE</w:t>
            </w:r>
            <w:r w:rsidR="002B407B">
              <w:t>C</w:t>
            </w:r>
            <w:r>
              <w:t>: 0.11 ppm (0.76 mg/m</w:t>
            </w:r>
            <w:r w:rsidRPr="00870723">
              <w:rPr>
                <w:vertAlign w:val="superscript"/>
              </w:rPr>
              <w:t>3</w:t>
            </w:r>
            <w:r>
              <w:t xml:space="preserve">) (rats, 6 h/d, </w:t>
            </w:r>
            <w:r w:rsidR="002B407B">
              <w:t>GD</w:t>
            </w:r>
            <w:r>
              <w:t xml:space="preserve"> 7</w:t>
            </w:r>
            <w:r w:rsidR="000829F2">
              <w:t>–</w:t>
            </w:r>
            <w:r>
              <w:t xml:space="preserve">16) for </w:t>
            </w:r>
            <w:proofErr w:type="spellStart"/>
            <w:r w:rsidR="00B80C8D">
              <w:t>fetotoxic</w:t>
            </w:r>
            <w:proofErr w:type="spellEnd"/>
            <w:r w:rsidR="00B80C8D">
              <w:t xml:space="preserve"> effects; applies a safety factor of 18 to account for absence of NOAEL and inter- and </w:t>
            </w:r>
            <w:proofErr w:type="spellStart"/>
            <w:r w:rsidR="00B80C8D">
              <w:t>intraspecies</w:t>
            </w:r>
            <w:proofErr w:type="spellEnd"/>
            <w:r w:rsidR="00B80C8D">
              <w:t xml:space="preserve"> difference </w:t>
            </w:r>
            <w:r w:rsidR="008218D8">
              <w:t>and rounding according to HCOTN methodology to</w:t>
            </w:r>
            <w:r w:rsidR="00B80C8D">
              <w:t xml:space="preserve"> arrive at recommendation of 0.05 mg/m</w:t>
            </w:r>
            <w:r w:rsidR="00B80C8D">
              <w:rPr>
                <w:vertAlign w:val="superscript"/>
              </w:rPr>
              <w:t>3</w:t>
            </w:r>
          </w:p>
          <w:p w14:paraId="587B6113" w14:textId="77777777" w:rsidR="00870723" w:rsidRPr="00DA352E" w:rsidRDefault="00870723" w:rsidP="008B72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in mutagenicity assays</w:t>
            </w:r>
            <w:r w:rsidR="000829F2">
              <w:t>.</w:t>
            </w:r>
          </w:p>
        </w:tc>
      </w:tr>
    </w:tbl>
    <w:p w14:paraId="34FB6438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2B408B84" w14:textId="77777777" w:rsidR="007E2A4B" w:rsidRDefault="00BE5BA1">
      <w:r>
        <w:t>NIL</w:t>
      </w:r>
      <w:r w:rsidR="002B407B">
        <w:t>.</w:t>
      </w:r>
    </w:p>
    <w:bookmarkEnd w:id="0"/>
    <w:p w14:paraId="6635124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251B03A" w14:textId="77777777" w:rsidTr="00BE5BA1">
        <w:trPr>
          <w:trHeight w:val="454"/>
          <w:tblHeader/>
        </w:trPr>
        <w:tc>
          <w:tcPr>
            <w:tcW w:w="6603" w:type="dxa"/>
            <w:vAlign w:val="center"/>
          </w:tcPr>
          <w:p w14:paraId="1D0A368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D9EC79" w14:textId="77777777" w:rsidR="002E0D61" w:rsidRDefault="00BE5BA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9658E1B" w14:textId="77777777" w:rsidTr="00BE5BA1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2E28BD7" w14:textId="77777777" w:rsidR="008A36CF" w:rsidRPr="006901A2" w:rsidRDefault="00BE5BA1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81BB11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2809780E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A794C1D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E4F6730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7365576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A90F40B" w14:textId="77777777" w:rsidTr="00812887">
        <w:trPr>
          <w:cantSplit/>
        </w:trPr>
        <w:tc>
          <w:tcPr>
            <w:tcW w:w="3227" w:type="dxa"/>
          </w:tcPr>
          <w:p w14:paraId="3A69A98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298CA2E" w14:textId="77777777" w:rsidR="00687890" w:rsidRPr="00DD2F9B" w:rsidRDefault="006773F6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9086636" w14:textId="77777777" w:rsidTr="00812887">
        <w:trPr>
          <w:cantSplit/>
        </w:trPr>
        <w:tc>
          <w:tcPr>
            <w:tcW w:w="3227" w:type="dxa"/>
          </w:tcPr>
          <w:p w14:paraId="65EF1FB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1A09888" w14:textId="77777777" w:rsidR="007925F0" w:rsidRPr="00DD2F9B" w:rsidRDefault="00A8781F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06F308C" w14:textId="77777777" w:rsidTr="00812887">
        <w:trPr>
          <w:cantSplit/>
        </w:trPr>
        <w:tc>
          <w:tcPr>
            <w:tcW w:w="3227" w:type="dxa"/>
          </w:tcPr>
          <w:p w14:paraId="4245E01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DB1935E" w14:textId="77777777" w:rsidR="00AF483F" w:rsidRPr="00DD2F9B" w:rsidRDefault="006B2582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6ECBE77" w14:textId="77777777" w:rsidTr="00812887">
        <w:trPr>
          <w:cantSplit/>
        </w:trPr>
        <w:tc>
          <w:tcPr>
            <w:tcW w:w="3227" w:type="dxa"/>
          </w:tcPr>
          <w:p w14:paraId="74A65BE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D2170AF" w14:textId="77777777" w:rsidR="00687890" w:rsidRPr="00DD2F9B" w:rsidRDefault="006B2582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0292F5D" w14:textId="77777777" w:rsidTr="00812887">
        <w:trPr>
          <w:cantSplit/>
        </w:trPr>
        <w:tc>
          <w:tcPr>
            <w:tcW w:w="3227" w:type="dxa"/>
          </w:tcPr>
          <w:p w14:paraId="7353D3B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1EDF050" w14:textId="77777777" w:rsidR="00E41A26" w:rsidRPr="00DD2F9B" w:rsidRDefault="006B258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C036D7F" w14:textId="77777777" w:rsidTr="00812887">
        <w:trPr>
          <w:cantSplit/>
        </w:trPr>
        <w:tc>
          <w:tcPr>
            <w:tcW w:w="3227" w:type="dxa"/>
          </w:tcPr>
          <w:p w14:paraId="570AD7D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606C013" w14:textId="77777777" w:rsidR="002E0D61" w:rsidRPr="00DD2F9B" w:rsidRDefault="00A8781F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679EFB1E" w14:textId="77777777" w:rsidTr="00812887">
        <w:trPr>
          <w:cantSplit/>
        </w:trPr>
        <w:tc>
          <w:tcPr>
            <w:tcW w:w="3227" w:type="dxa"/>
          </w:tcPr>
          <w:p w14:paraId="0A8C7DC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AC0F5B5" w14:textId="77777777" w:rsidR="002E0D61" w:rsidRPr="00DD2F9B" w:rsidRDefault="00A8781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26D11FD" w14:textId="77777777" w:rsidTr="00812887">
        <w:trPr>
          <w:cantSplit/>
        </w:trPr>
        <w:tc>
          <w:tcPr>
            <w:tcW w:w="3227" w:type="dxa"/>
          </w:tcPr>
          <w:p w14:paraId="591489F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3FE6B75" w14:textId="77777777" w:rsidR="002E0D61" w:rsidRPr="00DD2F9B" w:rsidRDefault="00A8781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47E422C" w14:textId="77777777" w:rsidTr="00812887">
        <w:trPr>
          <w:cantSplit/>
        </w:trPr>
        <w:tc>
          <w:tcPr>
            <w:tcW w:w="3227" w:type="dxa"/>
          </w:tcPr>
          <w:p w14:paraId="3D57F06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1AD6811" w14:textId="77777777" w:rsidR="002E0D61" w:rsidRPr="00DD2F9B" w:rsidRDefault="00C05F2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5138839" w14:textId="77777777" w:rsidTr="00812887">
        <w:trPr>
          <w:cantSplit/>
        </w:trPr>
        <w:tc>
          <w:tcPr>
            <w:tcW w:w="3227" w:type="dxa"/>
          </w:tcPr>
          <w:p w14:paraId="1ABD5E57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DD8E69A" w14:textId="77777777" w:rsidR="00386093" w:rsidRPr="00DD2F9B" w:rsidRDefault="006B258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CB11A14" w14:textId="77777777" w:rsidTr="00812887">
        <w:trPr>
          <w:cantSplit/>
        </w:trPr>
        <w:tc>
          <w:tcPr>
            <w:tcW w:w="3227" w:type="dxa"/>
          </w:tcPr>
          <w:p w14:paraId="495DCA4C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E26AC6A" w14:textId="77777777" w:rsidR="00386093" w:rsidRPr="00DD2F9B" w:rsidRDefault="006B2582" w:rsidP="00D87570">
            <w:pPr>
              <w:pStyle w:val="Tablefont"/>
              <w:keepNext/>
            </w:pPr>
            <w:r>
              <w:t>Skin</w:t>
            </w:r>
          </w:p>
        </w:tc>
      </w:tr>
    </w:tbl>
    <w:bookmarkEnd w:id="2"/>
    <w:p w14:paraId="5142344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3DB63EC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47B3D4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2954B6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EC8B81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585"/>
              <w:gridCol w:w="990"/>
              <w:gridCol w:w="990"/>
              <w:gridCol w:w="3245"/>
            </w:tblGrid>
            <w:tr w:rsidR="000B39C2" w:rsidRPr="000B39C2" w14:paraId="596E6036" w14:textId="77777777" w:rsidTr="000B39C2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EAE533" w14:textId="77777777" w:rsidR="000B39C2" w:rsidRPr="000B39C2" w:rsidRDefault="000B39C2" w:rsidP="000B39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679AAF" w14:textId="77777777" w:rsidR="000B39C2" w:rsidRPr="000B39C2" w:rsidRDefault="000B39C2" w:rsidP="000B39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A61E83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ED7A01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0B39C2" w:rsidRPr="000B39C2" w14:paraId="22E71EA7" w14:textId="77777777" w:rsidTr="000B39C2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6DEE60" w14:textId="77777777" w:rsidR="000B39C2" w:rsidRPr="000B39C2" w:rsidRDefault="000B39C2" w:rsidP="000B39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5ED541" w14:textId="77777777" w:rsidR="000B39C2" w:rsidRPr="000B39C2" w:rsidRDefault="000B39C2" w:rsidP="000B39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280C88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75A928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0B39C2" w:rsidRPr="000B39C2" w14:paraId="60522221" w14:textId="77777777" w:rsidTr="000B39C2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8FAC36" w14:textId="77777777" w:rsidR="000B39C2" w:rsidRPr="000B39C2" w:rsidRDefault="000B39C2" w:rsidP="000B39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DCE484A" w14:textId="77777777" w:rsidR="000B39C2" w:rsidRPr="000B39C2" w:rsidRDefault="000B39C2" w:rsidP="000B39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B83352" w14:textId="77777777" w:rsidR="000B39C2" w:rsidRPr="000B39C2" w:rsidRDefault="000B39C2" w:rsidP="000B39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3.00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95B51E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0B39C2" w:rsidRPr="000B39C2" w14:paraId="7C77DA7F" w14:textId="77777777" w:rsidTr="000B39C2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F42AD9" w14:textId="77777777" w:rsidR="000B39C2" w:rsidRPr="000B39C2" w:rsidRDefault="000B39C2" w:rsidP="000B39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1C9F06" w14:textId="77777777" w:rsidR="000B39C2" w:rsidRPr="000B39C2" w:rsidRDefault="000B39C2" w:rsidP="000B39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0D7B00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349655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0B39C2" w:rsidRPr="000B39C2" w14:paraId="52F5A82D" w14:textId="77777777" w:rsidTr="000B39C2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062D01" w14:textId="77777777" w:rsidR="000B39C2" w:rsidRPr="000B39C2" w:rsidRDefault="000B39C2" w:rsidP="000B39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F952C3" w14:textId="77777777" w:rsidR="000B39C2" w:rsidRPr="000B39C2" w:rsidRDefault="000B39C2" w:rsidP="000B39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E8BCAF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9B681B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0B39C2" w:rsidRPr="000B39C2" w14:paraId="1DFE8B84" w14:textId="77777777" w:rsidTr="000B39C2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41B46B" w14:textId="77777777" w:rsidR="000B39C2" w:rsidRPr="000B39C2" w:rsidRDefault="000B39C2" w:rsidP="000B39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B34031" w14:textId="77777777" w:rsidR="000B39C2" w:rsidRPr="000B39C2" w:rsidRDefault="000B39C2" w:rsidP="000B39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B2710A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A77348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0B39C2" w:rsidRPr="000B39C2" w14:paraId="2E2D744B" w14:textId="77777777" w:rsidTr="000B39C2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3B122E" w14:textId="77777777" w:rsidR="000B39C2" w:rsidRPr="000B39C2" w:rsidRDefault="000B39C2" w:rsidP="000B39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3556A2" w14:textId="77777777" w:rsidR="000B39C2" w:rsidRPr="000B39C2" w:rsidRDefault="000B39C2" w:rsidP="000B39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498294" w14:textId="77777777" w:rsidR="000B39C2" w:rsidRPr="000B39C2" w:rsidRDefault="000B39C2" w:rsidP="000B39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23602C" w14:textId="77777777" w:rsidR="000B39C2" w:rsidRPr="000B39C2" w:rsidRDefault="000B39C2" w:rsidP="000B39C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0B39C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consider assigning a skin notation</w:t>
                  </w:r>
                </w:p>
              </w:tc>
            </w:tr>
          </w:tbl>
          <w:p w14:paraId="20D321E9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554C33E2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1909FFCF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76F4EE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432B9AD" w14:textId="77777777" w:rsidR="00EB3D1B" w:rsidRDefault="006B2582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FA7797F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04CDEA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6ECDA0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775E132" w14:textId="77777777" w:rsidR="001B79E5" w:rsidRDefault="00A8781F" w:rsidP="001B79E5">
                <w:pPr>
                  <w:pStyle w:val="Tablefont"/>
                </w:pPr>
                <w:r>
                  <w:t>166.02</w:t>
                </w:r>
              </w:p>
            </w:tc>
          </w:sdtContent>
        </w:sdt>
      </w:tr>
      <w:tr w:rsidR="00A31D99" w:rsidRPr="004C23F4" w14:paraId="24CB499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00796C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E30E4E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82BB55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5D3ECF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E37A7C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B8B197D" w14:textId="77777777" w:rsidTr="00EA6243">
        <w:trPr>
          <w:cantSplit/>
        </w:trPr>
        <w:tc>
          <w:tcPr>
            <w:tcW w:w="4077" w:type="dxa"/>
            <w:vAlign w:val="center"/>
          </w:tcPr>
          <w:p w14:paraId="4FD97C3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58006A0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79C9D19" w14:textId="77777777" w:rsidTr="00EA6243">
        <w:trPr>
          <w:cantSplit/>
        </w:trPr>
        <w:tc>
          <w:tcPr>
            <w:tcW w:w="4077" w:type="dxa"/>
            <w:vAlign w:val="center"/>
          </w:tcPr>
          <w:p w14:paraId="225DC9C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313547B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238123E" w14:textId="77777777" w:rsidTr="00EA6243">
        <w:trPr>
          <w:cantSplit/>
        </w:trPr>
        <w:tc>
          <w:tcPr>
            <w:tcW w:w="4077" w:type="dxa"/>
            <w:vAlign w:val="center"/>
          </w:tcPr>
          <w:p w14:paraId="6E43743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CCE524D" w14:textId="77777777" w:rsidR="00E06F40" w:rsidRPr="00A006A0" w:rsidRDefault="0050203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C2085D4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8DD460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6BADD6D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9CD6D0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308D20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BD3ED6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C4876F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46EFAEA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09CB3B4" w14:textId="77777777" w:rsidR="007C173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6A6F249" w14:textId="77777777" w:rsidR="006B2582" w:rsidRPr="006B2582" w:rsidRDefault="006B2582" w:rsidP="006B2582">
      <w:r w:rsidRPr="002022B6">
        <w:t>Health Council of the Netherlands</w:t>
      </w:r>
      <w:r>
        <w:t xml:space="preserve"> (HCOTN) (2001) </w:t>
      </w:r>
      <w:proofErr w:type="spellStart"/>
      <w:r>
        <w:t>Hexafluoroacetone</w:t>
      </w:r>
      <w:proofErr w:type="spellEnd"/>
      <w:r w:rsidRPr="005F7416">
        <w:t xml:space="preserve">. </w:t>
      </w:r>
      <w:r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F0487C">
        <w:t>2000/15OSH/023</w:t>
      </w:r>
      <w:r>
        <w:t>.</w:t>
      </w:r>
    </w:p>
    <w:p w14:paraId="6DA99197" w14:textId="77777777" w:rsidR="006B2582" w:rsidRDefault="006B2582" w:rsidP="006B2582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r w:rsidR="00F0487C">
        <w:t>2016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</w:t>
      </w:r>
      <w:r w:rsidR="00F0487C">
        <w:t>value profile</w:t>
      </w:r>
      <w:r>
        <w:t xml:space="preserve"> – </w:t>
      </w:r>
      <w:proofErr w:type="spellStart"/>
      <w:r w:rsidR="00F0487C">
        <w:t>Hexafluoroacetone</w:t>
      </w:r>
      <w:proofErr w:type="spellEnd"/>
      <w:r>
        <w:t>.</w:t>
      </w:r>
    </w:p>
    <w:p w14:paraId="1D433B1A" w14:textId="77777777" w:rsidR="006B2582" w:rsidRPr="00351FE0" w:rsidRDefault="006B2582" w:rsidP="00084859"/>
    <w:sectPr w:rsidR="006B2582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FBAD16" w16cid:durableId="21920CA2"/>
  <w16cid:commentId w16cid:paraId="610B8AA8" w16cid:durableId="21920E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80A1B" w14:textId="77777777" w:rsidR="009F3D31" w:rsidRDefault="009F3D31" w:rsidP="00F43AD5">
      <w:pPr>
        <w:spacing w:after="0" w:line="240" w:lineRule="auto"/>
      </w:pPr>
      <w:r>
        <w:separator/>
      </w:r>
    </w:p>
  </w:endnote>
  <w:endnote w:type="continuationSeparator" w:id="0">
    <w:p w14:paraId="6B6D9043" w14:textId="77777777" w:rsidR="009F3D31" w:rsidRDefault="009F3D3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9CDD5" w14:textId="77777777" w:rsidR="00415A62" w:rsidRDefault="00415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BFB5D69" w14:textId="77777777" w:rsidR="008A36CF" w:rsidRDefault="007773CE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Hexafluoroacetone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684-16-2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53B6FFF" w14:textId="01CEE5B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02030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847C" w14:textId="77777777" w:rsidR="00415A62" w:rsidRDefault="00415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24D9E" w14:textId="77777777" w:rsidR="009F3D31" w:rsidRDefault="009F3D31" w:rsidP="00F43AD5">
      <w:pPr>
        <w:spacing w:after="0" w:line="240" w:lineRule="auto"/>
      </w:pPr>
      <w:r>
        <w:separator/>
      </w:r>
    </w:p>
  </w:footnote>
  <w:footnote w:type="continuationSeparator" w:id="0">
    <w:p w14:paraId="0E4D5E0A" w14:textId="77777777" w:rsidR="009F3D31" w:rsidRDefault="009F3D3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4E091" w14:textId="77777777" w:rsidR="00415A62" w:rsidRDefault="00415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968B9" w14:textId="30168939" w:rsidR="00502030" w:rsidRDefault="00502030" w:rsidP="00502030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3418CC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8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666640F" wp14:editId="7AFBFC9A">
          <wp:extent cx="2941320" cy="586740"/>
          <wp:effectExtent l="0" t="0" r="0" b="3810"/>
          <wp:docPr id="4" name="Picture 4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A1151" w14:textId="313065AC" w:rsidR="008A36CF" w:rsidRPr="00502030" w:rsidRDefault="008A36CF" w:rsidP="00502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6F49" w14:textId="77777777" w:rsidR="00415A62" w:rsidRDefault="00415A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BB8D" w14:textId="0616D943" w:rsidR="00502030" w:rsidRDefault="00502030" w:rsidP="00502030">
    <w:pPr>
      <w:pStyle w:val="Header"/>
      <w:jc w:val="right"/>
    </w:pPr>
    <w:sdt>
      <w:sdtPr>
        <w:id w:val="-1256123146"/>
        <w:docPartObj>
          <w:docPartGallery w:val="Watermarks"/>
          <w:docPartUnique/>
        </w:docPartObj>
      </w:sdtPr>
      <w:sdtContent>
        <w:r>
          <w:pict w14:anchorId="06B612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484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1E0079F" wp14:editId="6EA9E082">
          <wp:extent cx="2941320" cy="586740"/>
          <wp:effectExtent l="0" t="0" r="0" b="3810"/>
          <wp:docPr id="5" name="Picture 5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611EA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26E3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F82BFB"/>
    <w:multiLevelType w:val="hybridMultilevel"/>
    <w:tmpl w:val="C95082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A773C"/>
    <w:multiLevelType w:val="hybridMultilevel"/>
    <w:tmpl w:val="FA6CB7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F14756"/>
    <w:multiLevelType w:val="hybridMultilevel"/>
    <w:tmpl w:val="230C05BC"/>
    <w:lvl w:ilvl="0" w:tplc="2B20B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093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29F2"/>
    <w:rsid w:val="00084513"/>
    <w:rsid w:val="00084859"/>
    <w:rsid w:val="00090380"/>
    <w:rsid w:val="00092D94"/>
    <w:rsid w:val="000B0868"/>
    <w:rsid w:val="000B39C2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4AA3"/>
    <w:rsid w:val="0010568F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1B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0D5F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B407B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04EA"/>
    <w:rsid w:val="00386093"/>
    <w:rsid w:val="003904A4"/>
    <w:rsid w:val="00391841"/>
    <w:rsid w:val="00391B6D"/>
    <w:rsid w:val="003941AD"/>
    <w:rsid w:val="00394922"/>
    <w:rsid w:val="003A048B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4DDB"/>
    <w:rsid w:val="004030BC"/>
    <w:rsid w:val="00403F7D"/>
    <w:rsid w:val="00406785"/>
    <w:rsid w:val="004079B4"/>
    <w:rsid w:val="00415A62"/>
    <w:rsid w:val="00417A56"/>
    <w:rsid w:val="00420957"/>
    <w:rsid w:val="00422A10"/>
    <w:rsid w:val="004263F5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06B5"/>
    <w:rsid w:val="00485BFD"/>
    <w:rsid w:val="004867A2"/>
    <w:rsid w:val="004873F2"/>
    <w:rsid w:val="00490D4C"/>
    <w:rsid w:val="00491876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030"/>
    <w:rsid w:val="00502B88"/>
    <w:rsid w:val="005142C4"/>
    <w:rsid w:val="0051509C"/>
    <w:rsid w:val="005272E2"/>
    <w:rsid w:val="0053108F"/>
    <w:rsid w:val="00532B56"/>
    <w:rsid w:val="00534B10"/>
    <w:rsid w:val="00542754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D62D9"/>
    <w:rsid w:val="005E16AA"/>
    <w:rsid w:val="005E6979"/>
    <w:rsid w:val="005E75CB"/>
    <w:rsid w:val="005F00D1"/>
    <w:rsid w:val="005F3E03"/>
    <w:rsid w:val="006013C1"/>
    <w:rsid w:val="0060669E"/>
    <w:rsid w:val="00610F2E"/>
    <w:rsid w:val="00611399"/>
    <w:rsid w:val="00624C4E"/>
    <w:rsid w:val="00625200"/>
    <w:rsid w:val="006363A8"/>
    <w:rsid w:val="00636DB7"/>
    <w:rsid w:val="00644DA9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3F6"/>
    <w:rsid w:val="00677D9B"/>
    <w:rsid w:val="00683F2E"/>
    <w:rsid w:val="006867F3"/>
    <w:rsid w:val="00687890"/>
    <w:rsid w:val="006901A2"/>
    <w:rsid w:val="00690368"/>
    <w:rsid w:val="0069079C"/>
    <w:rsid w:val="00690B53"/>
    <w:rsid w:val="00695B72"/>
    <w:rsid w:val="006B064C"/>
    <w:rsid w:val="006B160A"/>
    <w:rsid w:val="006B2582"/>
    <w:rsid w:val="006B4E6C"/>
    <w:rsid w:val="006B50B6"/>
    <w:rsid w:val="006D79EA"/>
    <w:rsid w:val="006E3128"/>
    <w:rsid w:val="006E5D05"/>
    <w:rsid w:val="00701053"/>
    <w:rsid w:val="00701507"/>
    <w:rsid w:val="00714021"/>
    <w:rsid w:val="00716A0F"/>
    <w:rsid w:val="00717D45"/>
    <w:rsid w:val="007208F7"/>
    <w:rsid w:val="007218AF"/>
    <w:rsid w:val="007274A2"/>
    <w:rsid w:val="007365D1"/>
    <w:rsid w:val="00740E0E"/>
    <w:rsid w:val="00750212"/>
    <w:rsid w:val="00754779"/>
    <w:rsid w:val="0075716D"/>
    <w:rsid w:val="00765F14"/>
    <w:rsid w:val="00770E31"/>
    <w:rsid w:val="007770F1"/>
    <w:rsid w:val="007773CE"/>
    <w:rsid w:val="00783FB1"/>
    <w:rsid w:val="00785CDD"/>
    <w:rsid w:val="00791847"/>
    <w:rsid w:val="007923DD"/>
    <w:rsid w:val="007925F0"/>
    <w:rsid w:val="007939B3"/>
    <w:rsid w:val="0079509C"/>
    <w:rsid w:val="00796708"/>
    <w:rsid w:val="007B1B42"/>
    <w:rsid w:val="007C1735"/>
    <w:rsid w:val="007C30EB"/>
    <w:rsid w:val="007E063C"/>
    <w:rsid w:val="007E2A4B"/>
    <w:rsid w:val="007E307D"/>
    <w:rsid w:val="007E6A4E"/>
    <w:rsid w:val="007E6C94"/>
    <w:rsid w:val="007F1005"/>
    <w:rsid w:val="007F25E0"/>
    <w:rsid w:val="007F3B6A"/>
    <w:rsid w:val="007F5328"/>
    <w:rsid w:val="00804F5A"/>
    <w:rsid w:val="00810C6D"/>
    <w:rsid w:val="00812887"/>
    <w:rsid w:val="008218D8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072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21C"/>
    <w:rsid w:val="008B7983"/>
    <w:rsid w:val="008C2511"/>
    <w:rsid w:val="008D026D"/>
    <w:rsid w:val="008D23AB"/>
    <w:rsid w:val="008D4B8B"/>
    <w:rsid w:val="008D5A78"/>
    <w:rsid w:val="008D7ACC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1D55"/>
    <w:rsid w:val="0095260E"/>
    <w:rsid w:val="009558EC"/>
    <w:rsid w:val="009578DD"/>
    <w:rsid w:val="00961124"/>
    <w:rsid w:val="009621B6"/>
    <w:rsid w:val="009657C1"/>
    <w:rsid w:val="009705BB"/>
    <w:rsid w:val="00974F2D"/>
    <w:rsid w:val="00977524"/>
    <w:rsid w:val="00977E88"/>
    <w:rsid w:val="00984920"/>
    <w:rsid w:val="00984C4B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3D31"/>
    <w:rsid w:val="00A01D0C"/>
    <w:rsid w:val="00A0643F"/>
    <w:rsid w:val="00A067EE"/>
    <w:rsid w:val="00A10FCE"/>
    <w:rsid w:val="00A12A95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8781F"/>
    <w:rsid w:val="00A911DF"/>
    <w:rsid w:val="00A93057"/>
    <w:rsid w:val="00A968B0"/>
    <w:rsid w:val="00AB2672"/>
    <w:rsid w:val="00AB2817"/>
    <w:rsid w:val="00AB43C4"/>
    <w:rsid w:val="00AC32E7"/>
    <w:rsid w:val="00AC3A9F"/>
    <w:rsid w:val="00AC6D2F"/>
    <w:rsid w:val="00AE18EA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6581"/>
    <w:rsid w:val="00B40C60"/>
    <w:rsid w:val="00B479A9"/>
    <w:rsid w:val="00B52EDF"/>
    <w:rsid w:val="00B6469C"/>
    <w:rsid w:val="00B71188"/>
    <w:rsid w:val="00B76A41"/>
    <w:rsid w:val="00B80C8D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5BA1"/>
    <w:rsid w:val="00BF2406"/>
    <w:rsid w:val="00C05F21"/>
    <w:rsid w:val="00C06A2B"/>
    <w:rsid w:val="00C06E43"/>
    <w:rsid w:val="00C16315"/>
    <w:rsid w:val="00C3091E"/>
    <w:rsid w:val="00C40FF1"/>
    <w:rsid w:val="00C419E2"/>
    <w:rsid w:val="00C5020E"/>
    <w:rsid w:val="00C53D66"/>
    <w:rsid w:val="00C57452"/>
    <w:rsid w:val="00C61A9A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0937"/>
    <w:rsid w:val="00CB1CB1"/>
    <w:rsid w:val="00CB6BC1"/>
    <w:rsid w:val="00CB6CB8"/>
    <w:rsid w:val="00CC1A68"/>
    <w:rsid w:val="00CC2123"/>
    <w:rsid w:val="00CC29BB"/>
    <w:rsid w:val="00CD2BFD"/>
    <w:rsid w:val="00CE5AD6"/>
    <w:rsid w:val="00CE617F"/>
    <w:rsid w:val="00CE6A07"/>
    <w:rsid w:val="00CE78EF"/>
    <w:rsid w:val="00D048F7"/>
    <w:rsid w:val="00D0517E"/>
    <w:rsid w:val="00D07098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128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E48CF"/>
    <w:rsid w:val="00DF6F36"/>
    <w:rsid w:val="00E0084C"/>
    <w:rsid w:val="00E025AB"/>
    <w:rsid w:val="00E02B23"/>
    <w:rsid w:val="00E04686"/>
    <w:rsid w:val="00E06F40"/>
    <w:rsid w:val="00E07CE8"/>
    <w:rsid w:val="00E16A34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00D6"/>
    <w:rsid w:val="00ED1D89"/>
    <w:rsid w:val="00ED66BC"/>
    <w:rsid w:val="00EE1194"/>
    <w:rsid w:val="00EF233A"/>
    <w:rsid w:val="00EF303E"/>
    <w:rsid w:val="00EF3A40"/>
    <w:rsid w:val="00EF7F78"/>
    <w:rsid w:val="00F01B08"/>
    <w:rsid w:val="00F01C4D"/>
    <w:rsid w:val="00F0487C"/>
    <w:rsid w:val="00F053FA"/>
    <w:rsid w:val="00F10C97"/>
    <w:rsid w:val="00F11618"/>
    <w:rsid w:val="00F11C71"/>
    <w:rsid w:val="00F16019"/>
    <w:rsid w:val="00F20E68"/>
    <w:rsid w:val="00F22093"/>
    <w:rsid w:val="00F236DF"/>
    <w:rsid w:val="00F25D30"/>
    <w:rsid w:val="00F35D20"/>
    <w:rsid w:val="00F43AD5"/>
    <w:rsid w:val="00F4402E"/>
    <w:rsid w:val="00F56DD0"/>
    <w:rsid w:val="00F63AD4"/>
    <w:rsid w:val="00F6491C"/>
    <w:rsid w:val="00F67BBB"/>
    <w:rsid w:val="00F83551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2260"/>
    <w:rsid w:val="00FC60A2"/>
    <w:rsid w:val="00FD1871"/>
    <w:rsid w:val="00FD230E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."/>
  <w:listSeparator w:val=","/>
  <w14:docId w14:val="7481E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87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81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81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81F"/>
    <w:rPr>
      <w:b/>
      <w:bCs/>
      <w:szCs w:val="20"/>
    </w:rPr>
  </w:style>
  <w:style w:type="table" w:styleId="LightShading-Accent2">
    <w:name w:val="Light Shading Accent 2"/>
    <w:aliases w:val="SWA Table Style"/>
    <w:basedOn w:val="TableNormal"/>
    <w:uiPriority w:val="60"/>
    <w:rsid w:val="006B2582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3941A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5B5410C6E4941DE82462BD59516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BF9F-3C72-4D25-B8FD-D22BFFDF5A8D}"/>
      </w:docPartPr>
      <w:docPartBody>
        <w:p w:rsidR="004155B3" w:rsidRDefault="006F5158" w:rsidP="006F5158">
          <w:pPr>
            <w:pStyle w:val="F5B5410C6E4941DE82462BD595167B66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665B0"/>
    <w:rsid w:val="004155B3"/>
    <w:rsid w:val="006F5158"/>
    <w:rsid w:val="008912E3"/>
    <w:rsid w:val="00D21A9F"/>
    <w:rsid w:val="00F5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158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90DEFD3409C54D4DA1A58A7D7BF0B933">
    <w:name w:val="90DEFD3409C54D4DA1A58A7D7BF0B933"/>
    <w:rsid w:val="00F53E23"/>
    <w:rPr>
      <w:lang w:val="en-US" w:eastAsia="en-US"/>
    </w:rPr>
  </w:style>
  <w:style w:type="paragraph" w:customStyle="1" w:styleId="75CE4DDE47584C8AA0C45DDBC944DF19">
    <w:name w:val="75CE4DDE47584C8AA0C45DDBC944DF19"/>
    <w:rsid w:val="00F53E23"/>
    <w:rPr>
      <w:lang w:val="en-US" w:eastAsia="en-US"/>
    </w:rPr>
  </w:style>
  <w:style w:type="paragraph" w:customStyle="1" w:styleId="4E08787CEA04464DAE98175E1599961B">
    <w:name w:val="4E08787CEA04464DAE98175E1599961B"/>
    <w:rsid w:val="00F53E23"/>
    <w:rPr>
      <w:lang w:val="en-US" w:eastAsia="en-US"/>
    </w:rPr>
  </w:style>
  <w:style w:type="paragraph" w:customStyle="1" w:styleId="4FBE274DA26342638989FC5336D29080">
    <w:name w:val="4FBE274DA26342638989FC5336D29080"/>
    <w:rsid w:val="00F53E23"/>
    <w:rPr>
      <w:lang w:val="en-US" w:eastAsia="en-US"/>
    </w:rPr>
  </w:style>
  <w:style w:type="paragraph" w:customStyle="1" w:styleId="F5353D9244164A9EA4F0AC8EDEC3751F">
    <w:name w:val="F5353D9244164A9EA4F0AC8EDEC3751F"/>
    <w:rsid w:val="00F53E23"/>
    <w:rPr>
      <w:lang w:val="en-US" w:eastAsia="en-US"/>
    </w:rPr>
  </w:style>
  <w:style w:type="paragraph" w:customStyle="1" w:styleId="1750482493E24EA0877F7956DB30FD4B">
    <w:name w:val="1750482493E24EA0877F7956DB30FD4B"/>
    <w:rsid w:val="00F53E23"/>
    <w:rPr>
      <w:lang w:val="en-US" w:eastAsia="en-US"/>
    </w:rPr>
  </w:style>
  <w:style w:type="paragraph" w:customStyle="1" w:styleId="28B24A657FB042DDB7CCD3E4DCF0B76D">
    <w:name w:val="28B24A657FB042DDB7CCD3E4DCF0B76D"/>
    <w:rsid w:val="00F53E23"/>
    <w:rPr>
      <w:lang w:val="en-US" w:eastAsia="en-US"/>
    </w:rPr>
  </w:style>
  <w:style w:type="paragraph" w:customStyle="1" w:styleId="7FC3A9FD2D81494880E4E8799281D8CD">
    <w:name w:val="7FC3A9FD2D81494880E4E8799281D8CD"/>
    <w:rsid w:val="00F53E23"/>
    <w:rPr>
      <w:lang w:val="en-US" w:eastAsia="en-US"/>
    </w:rPr>
  </w:style>
  <w:style w:type="paragraph" w:customStyle="1" w:styleId="20A37F6E6C48423DB4E74DEC7A50E0E3">
    <w:name w:val="20A37F6E6C48423DB4E74DEC7A50E0E3"/>
    <w:rsid w:val="00F53E23"/>
    <w:rPr>
      <w:lang w:val="en-US" w:eastAsia="en-US"/>
    </w:rPr>
  </w:style>
  <w:style w:type="paragraph" w:customStyle="1" w:styleId="6B175410041F455DAD52460DD7B338E5">
    <w:name w:val="6B175410041F455DAD52460DD7B338E5"/>
    <w:rsid w:val="00F53E23"/>
    <w:rPr>
      <w:lang w:val="en-US" w:eastAsia="en-US"/>
    </w:rPr>
  </w:style>
  <w:style w:type="paragraph" w:customStyle="1" w:styleId="BE6839D507084FED9BE435CE9608FEBC">
    <w:name w:val="BE6839D507084FED9BE435CE9608FEBC"/>
    <w:rsid w:val="00F53E23"/>
    <w:rPr>
      <w:lang w:val="en-US" w:eastAsia="en-US"/>
    </w:rPr>
  </w:style>
  <w:style w:type="paragraph" w:customStyle="1" w:styleId="C48BD6BFBCF748FDB5D5C9A4434027F4">
    <w:name w:val="C48BD6BFBCF748FDB5D5C9A4434027F4"/>
    <w:rsid w:val="00F53E23"/>
    <w:rPr>
      <w:lang w:val="en-US" w:eastAsia="en-US"/>
    </w:rPr>
  </w:style>
  <w:style w:type="paragraph" w:customStyle="1" w:styleId="D4D4C54027CA4127A1FBB81B6FFDBE03">
    <w:name w:val="D4D4C54027CA4127A1FBB81B6FFDBE03"/>
    <w:rsid w:val="00F53E23"/>
    <w:rPr>
      <w:lang w:val="en-US" w:eastAsia="en-US"/>
    </w:rPr>
  </w:style>
  <w:style w:type="paragraph" w:customStyle="1" w:styleId="26BE7D362790436982D71AD13DADA5DC">
    <w:name w:val="26BE7D362790436982D71AD13DADA5DC"/>
    <w:rsid w:val="00F53E23"/>
    <w:rPr>
      <w:lang w:val="en-US" w:eastAsia="en-US"/>
    </w:rPr>
  </w:style>
  <w:style w:type="paragraph" w:customStyle="1" w:styleId="F5B5410C6E4941DE82462BD595167B66">
    <w:name w:val="F5B5410C6E4941DE82462BD595167B66"/>
    <w:rsid w:val="006F5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40B83D59604CAF872C6C0778D4EE" ma:contentTypeVersion="2" ma:contentTypeDescription="Create a new document." ma:contentTypeScope="" ma:versionID="a70f3771f07fe8c51d90fdaa327a0533">
  <xsd:schema xmlns:xsd="http://www.w3.org/2001/XMLSchema" xmlns:xs="http://www.w3.org/2001/XMLSchema" xmlns:p="http://schemas.microsoft.com/office/2006/metadata/properties" xmlns:ns2="4d89c9d3-cf9d-4152-ac9f-ad3059f15688" targetNamespace="http://schemas.microsoft.com/office/2006/metadata/properties" ma:root="true" ma:fieldsID="b264122f9caf19482d10bfd5520e8ea4" ns2:_="">
    <xsd:import namespace="4d89c9d3-cf9d-4152-ac9f-ad3059f15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c9d3-cf9d-4152-ac9f-ad3059f1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A448-B2AA-49B3-8CAF-61D265D6A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65F10-25FA-4C2E-B379-E8EBA0B7C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3D0896-8950-45FD-9916-2943BC56F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C5C36-CEAF-4381-AA11-4B210F56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894A6F2E.dotm</Template>
  <TotalTime>0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2019-12-17T02:38:00Z</dcterms:created>
  <dcterms:modified xsi:type="dcterms:W3CDTF">2020-01-15T03:27:00Z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0x010100ED8440B83D59604CAF872C6C0778D4EE</vt:lpwstr>
  </property>
</Properties>
</file>