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41A7A732" w14:textId="77777777" w:rsidR="00BD499F" w:rsidRPr="004C23F4" w:rsidRDefault="00E325BB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Hexylene glycol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2"/>
        <w:gridCol w:w="5044"/>
      </w:tblGrid>
      <w:tr w:rsidR="00F43AD5" w:rsidRPr="004C23F4" w14:paraId="70C6A6E2" w14:textId="77777777" w:rsidTr="00351CB7">
        <w:trPr>
          <w:cantSplit/>
          <w:tblHeader/>
        </w:trPr>
        <w:tc>
          <w:tcPr>
            <w:tcW w:w="3982" w:type="dxa"/>
          </w:tcPr>
          <w:p w14:paraId="57C5F058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44" w:type="dxa"/>
          </w:tcPr>
          <w:p w14:paraId="5FA24F3C" w14:textId="77777777" w:rsidR="00F43AD5" w:rsidRPr="00717D45" w:rsidRDefault="00E325BB" w:rsidP="00B76A41">
            <w:pPr>
              <w:pStyle w:val="Tablefont"/>
            </w:pPr>
            <w:r>
              <w:t>107-41-5</w:t>
            </w:r>
          </w:p>
        </w:tc>
      </w:tr>
      <w:tr w:rsidR="00F43AD5" w:rsidRPr="00E724BA" w14:paraId="6A1B4518" w14:textId="77777777" w:rsidTr="00351CB7">
        <w:trPr>
          <w:cantSplit/>
        </w:trPr>
        <w:tc>
          <w:tcPr>
            <w:tcW w:w="3982" w:type="dxa"/>
          </w:tcPr>
          <w:p w14:paraId="0FFD1022" w14:textId="77777777" w:rsidR="00F43AD5" w:rsidRPr="00E724BA" w:rsidRDefault="00CB1CB1" w:rsidP="00B76A41">
            <w:pPr>
              <w:pStyle w:val="Tablerowright"/>
            </w:pPr>
            <w:r w:rsidRPr="00E724BA">
              <w:t>Synonyms:</w:t>
            </w:r>
          </w:p>
        </w:tc>
        <w:tc>
          <w:tcPr>
            <w:tcW w:w="5044" w:type="dxa"/>
          </w:tcPr>
          <w:p w14:paraId="7A60AEB5" w14:textId="2683E31C" w:rsidR="00F43AD5" w:rsidRPr="00E724BA" w:rsidRDefault="00E325BB" w:rsidP="00B76A41">
            <w:pPr>
              <w:pStyle w:val="Tablefont"/>
            </w:pPr>
            <w:r w:rsidRPr="00E724BA">
              <w:t>2-Methyl-2,4-pentanediol, 2-methylpentane-2,4-diol</w:t>
            </w:r>
            <w:r w:rsidR="005D2357" w:rsidRPr="00E724BA">
              <w:t xml:space="preserve">, </w:t>
            </w:r>
            <w:r w:rsidR="00FB0646" w:rsidRPr="00E724BA">
              <w:br/>
            </w:r>
            <w:r w:rsidR="005D2357" w:rsidRPr="00E724BA">
              <w:t>2-bu</w:t>
            </w:r>
            <w:r w:rsidR="00595BE4" w:rsidRPr="00E724BA">
              <w:t>tyne-2,4-diol, 2,4-dihydroxy-2-</w:t>
            </w:r>
            <w:r w:rsidR="005D2357" w:rsidRPr="00E724BA">
              <w:t xml:space="preserve">methylpentane, </w:t>
            </w:r>
            <w:proofErr w:type="spellStart"/>
            <w:r w:rsidR="005D2357" w:rsidRPr="00E724BA">
              <w:t>diolane</w:t>
            </w:r>
            <w:proofErr w:type="spellEnd"/>
            <w:r w:rsidR="005D2357" w:rsidRPr="00E724BA">
              <w:t xml:space="preserve">, </w:t>
            </w:r>
            <w:proofErr w:type="spellStart"/>
            <w:r w:rsidR="005D2357" w:rsidRPr="00E724BA">
              <w:t>isol</w:t>
            </w:r>
            <w:proofErr w:type="spellEnd"/>
          </w:p>
        </w:tc>
      </w:tr>
      <w:tr w:rsidR="00F43AD5" w:rsidRPr="004C23F4" w14:paraId="0F46A78C" w14:textId="77777777" w:rsidTr="00351CB7">
        <w:trPr>
          <w:cantSplit/>
        </w:trPr>
        <w:tc>
          <w:tcPr>
            <w:tcW w:w="3982" w:type="dxa"/>
          </w:tcPr>
          <w:p w14:paraId="3336A6ED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44" w:type="dxa"/>
          </w:tcPr>
          <w:p w14:paraId="52AE9994" w14:textId="77777777" w:rsidR="00F43AD5" w:rsidRPr="00717D45" w:rsidRDefault="00E325BB" w:rsidP="00B76A41">
            <w:pPr>
              <w:pStyle w:val="Tablefont"/>
            </w:pPr>
            <w:r>
              <w:t>C</w:t>
            </w:r>
            <w:r w:rsidRPr="00E325BB">
              <w:rPr>
                <w:vertAlign w:val="subscript"/>
              </w:rPr>
              <w:t>6</w:t>
            </w:r>
            <w:r>
              <w:t>H</w:t>
            </w:r>
            <w:r w:rsidRPr="00E325BB">
              <w:rPr>
                <w:vertAlign w:val="subscript"/>
              </w:rPr>
              <w:t>14</w:t>
            </w:r>
            <w:r>
              <w:t>O</w:t>
            </w:r>
            <w:r w:rsidRPr="00E325BB">
              <w:rPr>
                <w:vertAlign w:val="subscript"/>
              </w:rPr>
              <w:t>2</w:t>
            </w:r>
          </w:p>
        </w:tc>
      </w:tr>
    </w:tbl>
    <w:p w14:paraId="32975A1E" w14:textId="0A7B7EA1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8C5BC9">
            <w:rPr>
              <w:rStyle w:val="WESstatus"/>
            </w:rPr>
            <w:t>(interim)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1"/>
        <w:gridCol w:w="5015"/>
      </w:tblGrid>
      <w:tr w:rsidR="00E325BB" w:rsidRPr="004C23F4" w14:paraId="547F79F8" w14:textId="77777777" w:rsidTr="00E325BB">
        <w:trPr>
          <w:cantSplit/>
          <w:tblHeader/>
        </w:trPr>
        <w:tc>
          <w:tcPr>
            <w:tcW w:w="4011" w:type="dxa"/>
            <w:vAlign w:val="center"/>
          </w:tcPr>
          <w:p w14:paraId="7368ECD7" w14:textId="77777777" w:rsidR="00E325BB" w:rsidRPr="002C58FF" w:rsidRDefault="00E325BB" w:rsidP="00E325BB">
            <w:pPr>
              <w:pStyle w:val="Tablerowright"/>
            </w:pPr>
            <w:r>
              <w:t>TWA:</w:t>
            </w:r>
          </w:p>
        </w:tc>
        <w:tc>
          <w:tcPr>
            <w:tcW w:w="5015" w:type="dxa"/>
          </w:tcPr>
          <w:p w14:paraId="1B52D9F0" w14:textId="36711CF2" w:rsidR="00E325BB" w:rsidRPr="00E325BB" w:rsidRDefault="00995412" w:rsidP="00E325BB">
            <w:pPr>
              <w:pStyle w:val="Tablerowheading"/>
            </w:pPr>
            <w:r w:rsidRPr="00E325BB">
              <w:t>—</w:t>
            </w:r>
          </w:p>
        </w:tc>
      </w:tr>
      <w:tr w:rsidR="00E325BB" w:rsidRPr="004C23F4" w14:paraId="4EDDBA82" w14:textId="77777777" w:rsidTr="00E325BB">
        <w:trPr>
          <w:cantSplit/>
        </w:trPr>
        <w:tc>
          <w:tcPr>
            <w:tcW w:w="4011" w:type="dxa"/>
            <w:vAlign w:val="center"/>
          </w:tcPr>
          <w:p w14:paraId="3976F842" w14:textId="77777777" w:rsidR="00E325BB" w:rsidRPr="002C58FF" w:rsidRDefault="00E325BB" w:rsidP="00E325BB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5" w:type="dxa"/>
          </w:tcPr>
          <w:p w14:paraId="241EDBA9" w14:textId="49B8D877" w:rsidR="00E325BB" w:rsidRPr="00995412" w:rsidRDefault="008D6F27" w:rsidP="00E325BB">
            <w:pPr>
              <w:pStyle w:val="Tablerowheading"/>
            </w:pPr>
            <w:r w:rsidRPr="00995412">
              <w:t>—</w:t>
            </w:r>
          </w:p>
        </w:tc>
      </w:tr>
      <w:tr w:rsidR="00E325BB" w:rsidRPr="004C23F4" w14:paraId="4529941C" w14:textId="77777777" w:rsidTr="00E325BB">
        <w:trPr>
          <w:cantSplit/>
        </w:trPr>
        <w:tc>
          <w:tcPr>
            <w:tcW w:w="4011" w:type="dxa"/>
            <w:vAlign w:val="center"/>
          </w:tcPr>
          <w:p w14:paraId="2B48FE72" w14:textId="77777777" w:rsidR="00E325BB" w:rsidRPr="002C58FF" w:rsidRDefault="00E325BB" w:rsidP="00E325BB">
            <w:pPr>
              <w:pStyle w:val="Tablerowright"/>
            </w:pPr>
            <w:r>
              <w:t>Peak limitation:</w:t>
            </w:r>
          </w:p>
        </w:tc>
        <w:tc>
          <w:tcPr>
            <w:tcW w:w="5015" w:type="dxa"/>
          </w:tcPr>
          <w:p w14:paraId="2A562080" w14:textId="7CEF2B43" w:rsidR="00E325BB" w:rsidRPr="00995412" w:rsidRDefault="00995412" w:rsidP="00E325BB">
            <w:pPr>
              <w:pStyle w:val="Tablerowheading"/>
            </w:pPr>
            <w:r w:rsidRPr="00995412">
              <w:t>25</w:t>
            </w:r>
            <w:r w:rsidR="008D6F27" w:rsidRPr="00995412">
              <w:t xml:space="preserve"> ppm (</w:t>
            </w:r>
            <w:r w:rsidRPr="00995412">
              <w:t>121</w:t>
            </w:r>
            <w:r w:rsidR="008D6F27" w:rsidRPr="00995412">
              <w:t xml:space="preserve"> mg/m</w:t>
            </w:r>
            <w:r w:rsidR="008D6F27" w:rsidRPr="00995412">
              <w:rPr>
                <w:vertAlign w:val="superscript"/>
              </w:rPr>
              <w:t>3</w:t>
            </w:r>
            <w:r w:rsidR="008D6F27" w:rsidRPr="00995412">
              <w:t>)</w:t>
            </w:r>
          </w:p>
        </w:tc>
      </w:tr>
      <w:tr w:rsidR="00E325BB" w:rsidRPr="004C23F4" w14:paraId="14B9E68E" w14:textId="77777777" w:rsidTr="00E325BB">
        <w:trPr>
          <w:cantSplit/>
        </w:trPr>
        <w:tc>
          <w:tcPr>
            <w:tcW w:w="4011" w:type="dxa"/>
          </w:tcPr>
          <w:p w14:paraId="6723C631" w14:textId="77777777" w:rsidR="00E325BB" w:rsidRPr="002C58FF" w:rsidRDefault="00E325BB" w:rsidP="00E325BB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5" w:type="dxa"/>
          </w:tcPr>
          <w:p w14:paraId="627745B4" w14:textId="77777777" w:rsidR="00E325BB" w:rsidRPr="00E325BB" w:rsidRDefault="00E325BB" w:rsidP="00E325BB">
            <w:pPr>
              <w:pStyle w:val="Tablerowheading"/>
            </w:pPr>
            <w:r w:rsidRPr="00E325BB">
              <w:t>—</w:t>
            </w:r>
          </w:p>
        </w:tc>
      </w:tr>
      <w:tr w:rsidR="00E325BB" w:rsidRPr="004C23F4" w14:paraId="3EFB7F0A" w14:textId="77777777" w:rsidTr="00E325BB">
        <w:trPr>
          <w:cantSplit/>
        </w:trPr>
        <w:tc>
          <w:tcPr>
            <w:tcW w:w="4011" w:type="dxa"/>
            <w:vAlign w:val="center"/>
          </w:tcPr>
          <w:p w14:paraId="3ACE9919" w14:textId="77777777" w:rsidR="00E325BB" w:rsidRPr="002C58FF" w:rsidRDefault="00E325BB" w:rsidP="00E325BB">
            <w:pPr>
              <w:pStyle w:val="Tablerowright"/>
            </w:pPr>
            <w:r>
              <w:t>IDLH:</w:t>
            </w:r>
          </w:p>
        </w:tc>
        <w:tc>
          <w:tcPr>
            <w:tcW w:w="5015" w:type="dxa"/>
          </w:tcPr>
          <w:p w14:paraId="22D420D0" w14:textId="77777777" w:rsidR="00E325BB" w:rsidRPr="00E325BB" w:rsidRDefault="00E325BB" w:rsidP="00E325BB">
            <w:pPr>
              <w:pStyle w:val="Tablerowheading"/>
            </w:pPr>
            <w:r w:rsidRPr="00E325BB">
              <w:t>—</w:t>
            </w:r>
          </w:p>
        </w:tc>
      </w:tr>
      <w:tr w:rsidR="00DD1E70" w:rsidRPr="004C23F4" w14:paraId="708BADB9" w14:textId="77777777" w:rsidTr="00281BA1">
        <w:trPr>
          <w:cantSplit/>
        </w:trPr>
        <w:tc>
          <w:tcPr>
            <w:tcW w:w="9026" w:type="dxa"/>
            <w:gridSpan w:val="2"/>
            <w:vAlign w:val="center"/>
          </w:tcPr>
          <w:p w14:paraId="5145744E" w14:textId="77777777" w:rsidR="00DD1E70" w:rsidRPr="00E325BB" w:rsidRDefault="00DD1E70" w:rsidP="00E325BB">
            <w:pPr>
              <w:pStyle w:val="Tablerowheading"/>
            </w:pPr>
            <w:r w:rsidRPr="00C9508E"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b w:val="0"/>
                  <w:color w:val="auto"/>
                </w:rPr>
                <w:id w:val="-2105258949"/>
                <w:placeholder>
                  <w:docPart w:val="0A2188183AA341FB8294C08E5986ABC0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DD1E70">
                  <w:rPr>
                    <w:rStyle w:val="WESstatus"/>
                    <w:b w:val="0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399486CC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4047E943" w14:textId="35CC3C63" w:rsidR="00521F71" w:rsidRDefault="00521F71" w:rsidP="00521F71">
      <w:r>
        <w:rPr>
          <w:rFonts w:cs="Arial"/>
        </w:rPr>
        <w:t xml:space="preserve">A </w:t>
      </w:r>
      <w:r w:rsidR="00271A9D">
        <w:rPr>
          <w:rFonts w:cs="Arial"/>
        </w:rPr>
        <w:t>p</w:t>
      </w:r>
      <w:r w:rsidR="008D6F27">
        <w:rPr>
          <w:rFonts w:cs="Arial"/>
        </w:rPr>
        <w:t xml:space="preserve">eak limitation </w:t>
      </w:r>
      <w:r>
        <w:rPr>
          <w:rFonts w:cs="Arial"/>
        </w:rPr>
        <w:t xml:space="preserve">of </w:t>
      </w:r>
      <w:r w:rsidR="00F549EC">
        <w:rPr>
          <w:rFonts w:cs="Arial"/>
        </w:rPr>
        <w:t xml:space="preserve">25 </w:t>
      </w:r>
      <w:r>
        <w:rPr>
          <w:rFonts w:cs="Arial"/>
        </w:rPr>
        <w:t>ppm</w:t>
      </w:r>
      <w:r w:rsidR="00834049">
        <w:rPr>
          <w:rFonts w:cs="Arial"/>
        </w:rPr>
        <w:t xml:space="preserve"> (</w:t>
      </w:r>
      <w:r w:rsidR="00F549EC">
        <w:rPr>
          <w:rFonts w:cs="Arial"/>
        </w:rPr>
        <w:t>121</w:t>
      </w:r>
      <w:r w:rsidR="00834049">
        <w:rPr>
          <w:rFonts w:cs="Arial"/>
        </w:rPr>
        <w:t>mg/m</w:t>
      </w:r>
      <w:r w:rsidR="00834049" w:rsidRPr="009A0402">
        <w:rPr>
          <w:rFonts w:cs="Arial"/>
          <w:vertAlign w:val="superscript"/>
        </w:rPr>
        <w:t>3</w:t>
      </w:r>
      <w:r w:rsidR="00834049">
        <w:rPr>
          <w:rFonts w:cs="Arial"/>
        </w:rPr>
        <w:t>)</w:t>
      </w:r>
      <w:r>
        <w:rPr>
          <w:rFonts w:cs="Arial"/>
        </w:rPr>
        <w:t xml:space="preserve"> is recommended to protect for </w:t>
      </w:r>
      <w:r w:rsidR="00FB0646">
        <w:rPr>
          <w:rFonts w:cs="Arial"/>
        </w:rPr>
        <w:t xml:space="preserve">acute </w:t>
      </w:r>
      <w:r w:rsidR="008D6F27">
        <w:rPr>
          <w:rFonts w:cs="Arial"/>
        </w:rPr>
        <w:t xml:space="preserve">pulmonary and </w:t>
      </w:r>
      <w:r>
        <w:t xml:space="preserve">respiratory </w:t>
      </w:r>
      <w:r w:rsidR="00F37F36">
        <w:t xml:space="preserve">irritation </w:t>
      </w:r>
      <w:r>
        <w:t>and eye irritation in exposed workers.</w:t>
      </w:r>
    </w:p>
    <w:p w14:paraId="7771CC5B" w14:textId="77777777" w:rsidR="00F37F36" w:rsidRDefault="00F37F36" w:rsidP="00F37F36">
      <w:pPr>
        <w:rPr>
          <w:rFonts w:cs="Arial"/>
        </w:rPr>
      </w:pPr>
      <w:r>
        <w:rPr>
          <w:rFonts w:cs="Arial"/>
        </w:rPr>
        <w:t>Given the limited data available from the primary sources, it is recommended that a review of additional sources be conducted at the next scheduled review.</w:t>
      </w:r>
    </w:p>
    <w:p w14:paraId="21CC9039" w14:textId="77777777" w:rsidR="00C7155E" w:rsidRPr="004C23F4" w:rsidRDefault="00F10C97" w:rsidP="003365A5">
      <w:pPr>
        <w:pStyle w:val="Heading2"/>
      </w:pPr>
      <w:r>
        <w:t>Discussion and conclusions</w:t>
      </w:r>
    </w:p>
    <w:p w14:paraId="3FC5AF3A" w14:textId="530DD677" w:rsidR="00FB0646" w:rsidRDefault="00020B41" w:rsidP="00521F71">
      <w:proofErr w:type="spellStart"/>
      <w:r>
        <w:t>Hexylene</w:t>
      </w:r>
      <w:proofErr w:type="spellEnd"/>
      <w:r>
        <w:t xml:space="preserve"> glycol is used in oil and water-based paints, lacquers and varnishes </w:t>
      </w:r>
      <w:r w:rsidR="008C5BC9">
        <w:t xml:space="preserve">and </w:t>
      </w:r>
      <w:r>
        <w:t xml:space="preserve">as a solvent plasticiser. </w:t>
      </w:r>
    </w:p>
    <w:p w14:paraId="1DE019B7" w14:textId="6B6B75EB" w:rsidR="00521F71" w:rsidRDefault="00521F71" w:rsidP="00521F71">
      <w:r>
        <w:t xml:space="preserve">The critical effects </w:t>
      </w:r>
      <w:r w:rsidR="00FB0646">
        <w:t xml:space="preserve">of exposure </w:t>
      </w:r>
      <w:r>
        <w:t>are</w:t>
      </w:r>
      <w:r w:rsidR="00F549EC">
        <w:t xml:space="preserve"> pulmonary irritation and</w:t>
      </w:r>
      <w:r>
        <w:t xml:space="preserve"> irritation of the eyes and upper respiratory tract. Volunteers exposed </w:t>
      </w:r>
      <w:r w:rsidR="00FB0646">
        <w:t>at</w:t>
      </w:r>
      <w:r>
        <w:t xml:space="preserve"> 50 ppm </w:t>
      </w:r>
      <w:r w:rsidR="00F549EC">
        <w:t xml:space="preserve">for 15 min </w:t>
      </w:r>
      <w:r>
        <w:t>reported slight eye irritation</w:t>
      </w:r>
      <w:r w:rsidR="008C5BC9">
        <w:t>. At higher unspecified concentrations, volunteers reported nose and throat irritation</w:t>
      </w:r>
      <w:r>
        <w:t xml:space="preserve">. Volunteers </w:t>
      </w:r>
      <w:r w:rsidR="008C5BC9">
        <w:t xml:space="preserve">exposed at </w:t>
      </w:r>
      <w:r>
        <w:t xml:space="preserve">100 ppm for </w:t>
      </w:r>
      <w:r w:rsidR="00B747B2">
        <w:t>five</w:t>
      </w:r>
      <w:r>
        <w:t xml:space="preserve"> min</w:t>
      </w:r>
      <w:r w:rsidR="00B747B2">
        <w:t>utes</w:t>
      </w:r>
      <w:r>
        <w:t xml:space="preserve"> reported slight nasal irritation</w:t>
      </w:r>
      <w:r w:rsidR="00F37F36">
        <w:t xml:space="preserve"> with </w:t>
      </w:r>
      <w:r w:rsidR="00B747B2">
        <w:t>one</w:t>
      </w:r>
      <w:r>
        <w:t xml:space="preserve"> volunteer report</w:t>
      </w:r>
      <w:r w:rsidR="00F37F36">
        <w:t>ing</w:t>
      </w:r>
      <w:r>
        <w:t xml:space="preserve"> slight pulmonary discomfort. A 90</w:t>
      </w:r>
      <w:r w:rsidR="00B747B2">
        <w:t xml:space="preserve"> </w:t>
      </w:r>
      <w:r>
        <w:t xml:space="preserve">day </w:t>
      </w:r>
      <w:r w:rsidR="00835758">
        <w:t xml:space="preserve">oral gavage </w:t>
      </w:r>
      <w:r>
        <w:t>study</w:t>
      </w:r>
      <w:r w:rsidR="00FB0646">
        <w:t xml:space="preserve"> in rats</w:t>
      </w:r>
      <w:r>
        <w:t xml:space="preserve"> identified a </w:t>
      </w:r>
      <w:r w:rsidR="00974C89">
        <w:t>L</w:t>
      </w:r>
      <w:r>
        <w:t xml:space="preserve">OAEL of </w:t>
      </w:r>
      <w:r w:rsidR="00974C89">
        <w:t>1</w:t>
      </w:r>
      <w:r>
        <w:t>50 mg/kg</w:t>
      </w:r>
      <w:r w:rsidR="00FB0646">
        <w:t>/day</w:t>
      </w:r>
      <w:r>
        <w:t xml:space="preserve"> based on local effects on the stomach</w:t>
      </w:r>
      <w:r w:rsidR="00581B20">
        <w:t xml:space="preserve">. This </w:t>
      </w:r>
      <w:r w:rsidR="00F549EC">
        <w:t>LOAEL was</w:t>
      </w:r>
      <w:r w:rsidR="00581B20">
        <w:t xml:space="preserve"> used to justify the TWA recommended by ACGIH but no specific derivation was provided</w:t>
      </w:r>
      <w:r w:rsidR="00F549EC">
        <w:t>. Further, ACGIH recommend a STEL for inhalable particulate matter based on the incremental increase in air concentration that corresponds to the observation of increased irritation above the saturated vapor concentration of 66 ppm</w:t>
      </w:r>
      <w:r>
        <w:t xml:space="preserve"> (ACGIH, 2018).</w:t>
      </w:r>
    </w:p>
    <w:p w14:paraId="538DC2C4" w14:textId="6E78DB65" w:rsidR="00995412" w:rsidRDefault="00995412" w:rsidP="006639B4">
      <w:r w:rsidRPr="00995412">
        <w:t>Due to a lack of sufficient long-term data and evidence of short-te</w:t>
      </w:r>
      <w:r>
        <w:t>rm immediate and severe effects</w:t>
      </w:r>
      <w:r w:rsidRPr="00995412">
        <w:t>, a peak limitation of 25 ppm (121 mg/m</w:t>
      </w:r>
      <w:r w:rsidRPr="00995412">
        <w:rPr>
          <w:vertAlign w:val="superscript"/>
        </w:rPr>
        <w:t>3</w:t>
      </w:r>
      <w:r w:rsidRPr="00995412">
        <w:t>) is recommended to be retained and is considered protective of acute pulmonary irritation effects from short-term exposure peaks.</w:t>
      </w:r>
    </w:p>
    <w:p w14:paraId="39474C8F" w14:textId="6E78F459" w:rsidR="006639B4" w:rsidRDefault="00F549EC" w:rsidP="006639B4">
      <w:r>
        <w:t>Given the uncertainties and decisions regarding long-term effects, it is recommended that an investigation of additional data sources is undertaken at the next scheduled review.</w:t>
      </w:r>
    </w:p>
    <w:p w14:paraId="7F50E3EF" w14:textId="77777777" w:rsidR="004529F0" w:rsidRPr="004C23F4" w:rsidRDefault="004529F0" w:rsidP="004529F0">
      <w:pPr>
        <w:pStyle w:val="Heading2"/>
      </w:pPr>
      <w:r>
        <w:lastRenderedPageBreak/>
        <w:t>Recommendation for notations</w:t>
      </w:r>
    </w:p>
    <w:p w14:paraId="5D454DCB" w14:textId="77777777" w:rsidR="00E325BB" w:rsidRPr="004D43DD" w:rsidRDefault="00E325BB" w:rsidP="00E325BB">
      <w:pPr>
        <w:rPr>
          <w:rFonts w:cs="Arial"/>
        </w:rPr>
      </w:pPr>
      <w:r w:rsidRPr="004D43DD">
        <w:rPr>
          <w:rFonts w:cs="Arial"/>
        </w:rPr>
        <w:t>Not classified as a carcinogen according to the Globally Harmonized System of Classification and Labelling o</w:t>
      </w:r>
      <w:r w:rsidR="00B747B2">
        <w:rPr>
          <w:rFonts w:cs="Arial"/>
        </w:rPr>
        <w:t>f</w:t>
      </w:r>
      <w:r w:rsidRPr="004D43DD">
        <w:rPr>
          <w:rFonts w:cs="Arial"/>
        </w:rPr>
        <w:t xml:space="preserve"> Chemicals (GHS). </w:t>
      </w:r>
    </w:p>
    <w:p w14:paraId="46C65C42" w14:textId="77777777" w:rsidR="00E325BB" w:rsidRPr="004D43DD" w:rsidRDefault="00E325BB" w:rsidP="00E325BB">
      <w:pPr>
        <w:rPr>
          <w:rFonts w:cs="Arial"/>
        </w:rPr>
      </w:pPr>
      <w:r w:rsidRPr="004D43DD">
        <w:rPr>
          <w:rFonts w:cs="Arial"/>
        </w:rPr>
        <w:t>Not classified as a skin</w:t>
      </w:r>
      <w:r w:rsidR="00521F71">
        <w:rPr>
          <w:rFonts w:cs="Arial"/>
        </w:rPr>
        <w:t xml:space="preserve"> sensitiser</w:t>
      </w:r>
      <w:r w:rsidRPr="004D43DD">
        <w:rPr>
          <w:rFonts w:cs="Arial"/>
        </w:rPr>
        <w:t xml:space="preserve"> or respiratory sensitiser according to the GHS.</w:t>
      </w:r>
    </w:p>
    <w:p w14:paraId="78863B59" w14:textId="728C813F" w:rsidR="0025734A" w:rsidRPr="004C23F4" w:rsidRDefault="00FB0646">
      <w:pPr>
        <w:rPr>
          <w:rFonts w:cs="Arial"/>
        </w:rPr>
      </w:pPr>
      <w:r>
        <w:rPr>
          <w:rFonts w:cs="Arial"/>
        </w:rPr>
        <w:t>A skin notation is not recommended b</w:t>
      </w:r>
      <w:r w:rsidR="004D43DD" w:rsidRPr="004D43DD">
        <w:rPr>
          <w:rFonts w:cs="Arial"/>
        </w:rPr>
        <w:t>ased on the available data</w:t>
      </w:r>
      <w:r w:rsidR="00E325BB" w:rsidRPr="004D43DD">
        <w:rPr>
          <w:rFonts w:cs="Arial"/>
        </w:rPr>
        <w:t>.</w:t>
      </w:r>
    </w:p>
    <w:p w14:paraId="509FB4D3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19E8E749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6FD8CD3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42C31742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8104210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7106402E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516028B3" w14:textId="6DF0B74C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E325BB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E325BB">
                  <w:t>Peak limitation</w:t>
                </w:r>
                <w:r w:rsidR="00BB3414">
                  <w:t>:</w:t>
                </w:r>
                <w:r w:rsidR="00DD1E70">
                  <w:t xml:space="preserve"> 25</w:t>
                </w:r>
                <w:r w:rsidR="00834049">
                  <w:t xml:space="preserve"> </w:t>
                </w:r>
                <w:r w:rsidR="00DD1E70">
                  <w:t>ppm</w:t>
                </w:r>
                <w:r w:rsidR="00E325BB">
                  <w:t xml:space="preserve"> (121 mg/m</w:t>
                </w:r>
                <w:r w:rsidR="00E325BB" w:rsidRPr="00E325BB">
                  <w:rPr>
                    <w:vertAlign w:val="superscript"/>
                  </w:rPr>
                  <w:t>3</w:t>
                </w:r>
                <w:r w:rsidR="00DD1E70">
                  <w:t>)</w:t>
                </w:r>
              </w:sdtContent>
            </w:sdt>
          </w:p>
        </w:tc>
      </w:tr>
      <w:tr w:rsidR="00C978F0" w:rsidRPr="00DA352E" w14:paraId="7BE66AB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7D906CB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17903C8D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199E26C" w14:textId="41CF8768" w:rsidR="00C978F0" w:rsidRPr="00DA352E" w:rsidRDefault="00DA352E" w:rsidP="005D2357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ind w:left="2854" w:hanging="2854"/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E325BB">
                  <w:t>2017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E325BB">
                  <w:t>TLV-TWA: 25 ppm (vapo</w:t>
                </w:r>
                <w:r w:rsidR="00FB0646">
                  <w:t>u</w:t>
                </w:r>
                <w:r w:rsidR="00E325BB">
                  <w:t>r fraction); TLV-STEL: 50 ppm (vapo</w:t>
                </w:r>
                <w:r w:rsidR="00FB0646">
                  <w:t>u</w:t>
                </w:r>
                <w:r w:rsidR="00E325BB">
                  <w:t>r fraction); TLV-STEL: 10 mg/m</w:t>
                </w:r>
                <w:r w:rsidR="00E325BB" w:rsidRPr="005D2357">
                  <w:rPr>
                    <w:vertAlign w:val="superscript"/>
                  </w:rPr>
                  <w:t>3</w:t>
                </w:r>
                <w:r w:rsidR="00E325BB">
                  <w:t xml:space="preserve"> (inhalable particulate matter, </w:t>
                </w:r>
                <w:r w:rsidR="00FB0646">
                  <w:t>a</w:t>
                </w:r>
                <w:r w:rsidR="00E325BB">
                  <w:t>erosol only)</w:t>
                </w:r>
              </w:sdtContent>
            </w:sdt>
          </w:p>
        </w:tc>
      </w:tr>
      <w:tr w:rsidR="00C978F0" w:rsidRPr="00DA352E" w14:paraId="733885F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36FB59B" w14:textId="27017D48" w:rsidR="00C978F0" w:rsidRDefault="00094CAF" w:rsidP="00B747B2">
            <w:pPr>
              <w:pStyle w:val="Tabletextprimarysource"/>
            </w:pPr>
            <w:r>
              <w:t>TLV-TWA and TLV-STEL recommended to minimise the potential for respiratory and eye irritation in exposed workers.</w:t>
            </w:r>
          </w:p>
          <w:p w14:paraId="3F96C09E" w14:textId="77777777" w:rsidR="00723919" w:rsidRDefault="00723919" w:rsidP="00B747B2">
            <w:pPr>
              <w:pStyle w:val="Tabletextprimarysource"/>
            </w:pPr>
            <w:r>
              <w:t>Additional STEL recommended for inhalable particulate matter (aerosol only) to prevent irritation from particulate concentrations known to be irritating in the presence of vapours</w:t>
            </w:r>
            <w:r w:rsidR="00B747B2">
              <w:t>.</w:t>
            </w:r>
          </w:p>
          <w:p w14:paraId="156847EA" w14:textId="77777777" w:rsidR="00094CAF" w:rsidRDefault="00094CAF" w:rsidP="00B747B2">
            <w:pPr>
              <w:pStyle w:val="Tabletextprimarysource"/>
            </w:pPr>
            <w:r>
              <w:t>Summary of data:</w:t>
            </w:r>
          </w:p>
          <w:p w14:paraId="5C9B9FAB" w14:textId="77777777" w:rsidR="00094CAF" w:rsidRDefault="00094CAF" w:rsidP="00B747B2">
            <w:pPr>
              <w:pStyle w:val="Tabletextprimarysource"/>
            </w:pPr>
            <w:r>
              <w:t>Human data:</w:t>
            </w:r>
          </w:p>
          <w:p w14:paraId="59493DC8" w14:textId="77777777" w:rsidR="00FB0646" w:rsidRDefault="00094CAF" w:rsidP="00FB0646">
            <w:pPr>
              <w:pStyle w:val="ListBullet"/>
              <w:spacing w:before="60" w:after="60"/>
              <w:ind w:left="714" w:hanging="357"/>
              <w:contextualSpacing w:val="0"/>
            </w:pPr>
            <w:r>
              <w:t>15</w:t>
            </w:r>
            <w:r w:rsidR="00B747B2">
              <w:t xml:space="preserve"> </w:t>
            </w:r>
            <w:r>
              <w:t xml:space="preserve">min exposure at 50 ppm produced slight eye irritation in some volunteer subjects; </w:t>
            </w:r>
          </w:p>
          <w:p w14:paraId="69D4199D" w14:textId="77777777" w:rsidR="00094CAF" w:rsidRDefault="00094CAF" w:rsidP="00FB0646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unspecified higher concentrations produced nose and throat irritation</w:t>
            </w:r>
          </w:p>
          <w:p w14:paraId="08E794D3" w14:textId="77777777" w:rsidR="00FB0646" w:rsidRDefault="00094CAF" w:rsidP="00FB0646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Volunteers subjected to 100 ppm for 5 min reported slight nasal irritation; </w:t>
            </w:r>
          </w:p>
          <w:p w14:paraId="37450EA3" w14:textId="77777777" w:rsidR="00094CAF" w:rsidRDefault="00094CAF" w:rsidP="00FB0646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1 volunteer reported slight pulmonary discomfort</w:t>
            </w:r>
          </w:p>
          <w:p w14:paraId="6F4F4E97" w14:textId="481797F1" w:rsidR="00094CAF" w:rsidRDefault="00094CAF" w:rsidP="00FB0646">
            <w:pPr>
              <w:pStyle w:val="ListBullet"/>
              <w:spacing w:before="60" w:after="60"/>
              <w:ind w:left="714" w:hanging="357"/>
              <w:contextualSpacing w:val="0"/>
            </w:pPr>
            <w:r>
              <w:t>Ethylene glycol, a similar compound, produced irritation of the upper respiratory tract at 55</w:t>
            </w:r>
            <w:r w:rsidR="00CA2F29">
              <w:t> </w:t>
            </w:r>
            <w:r>
              <w:t>ppm</w:t>
            </w:r>
            <w:r w:rsidR="00B747B2">
              <w:t>.</w:t>
            </w:r>
          </w:p>
          <w:p w14:paraId="5086ECB8" w14:textId="77777777" w:rsidR="00A510DF" w:rsidRDefault="00A510DF" w:rsidP="00B747B2">
            <w:pPr>
              <w:pStyle w:val="Tabletextprimarysource"/>
            </w:pPr>
            <w:r>
              <w:t>Animal data:</w:t>
            </w:r>
          </w:p>
          <w:p w14:paraId="63341E0B" w14:textId="77777777" w:rsidR="00A510DF" w:rsidRDefault="00A510DF" w:rsidP="00FB0646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>
              <w:rPr>
                <w:vertAlign w:val="subscript"/>
              </w:rPr>
              <w:t>50</w:t>
            </w:r>
            <w:r w:rsidR="004D615B">
              <w:t>:</w:t>
            </w:r>
            <w:r>
              <w:rPr>
                <w:vertAlign w:val="subscript"/>
              </w:rPr>
              <w:t xml:space="preserve"> </w:t>
            </w:r>
            <w:r>
              <w:t>&gt;2,000 mg/kg (dermal, rabbits)</w:t>
            </w:r>
          </w:p>
          <w:p w14:paraId="6171659C" w14:textId="615FDD29" w:rsidR="00A510DF" w:rsidRDefault="00B12D52" w:rsidP="00FB0646">
            <w:pPr>
              <w:pStyle w:val="ListBullet"/>
              <w:spacing w:before="60" w:after="60"/>
              <w:ind w:left="714" w:hanging="357"/>
              <w:contextualSpacing w:val="0"/>
            </w:pPr>
            <w:r>
              <w:t>Undiluted material</w:t>
            </w:r>
            <w:r w:rsidRPr="00B12D52">
              <w:t xml:space="preserve"> </w:t>
            </w:r>
            <w:r>
              <w:t>s</w:t>
            </w:r>
            <w:r w:rsidR="00A510DF" w:rsidRPr="00B12D52">
              <w:t>lightly</w:t>
            </w:r>
            <w:r w:rsidR="00A510DF">
              <w:rPr>
                <w:vertAlign w:val="subscript"/>
              </w:rPr>
              <w:t xml:space="preserve"> </w:t>
            </w:r>
            <w:r w:rsidR="00A510DF">
              <w:t>irritating to eye of rabbit</w:t>
            </w:r>
            <w:r w:rsidR="002302E6">
              <w:t>; as such; assumes mist is expected to be irritating to mucous membranes at the site of deposition where the concentration in the local microenvironment is high</w:t>
            </w:r>
          </w:p>
          <w:p w14:paraId="5653F4CD" w14:textId="615A38AE" w:rsidR="00B12D52" w:rsidRDefault="00B12D52" w:rsidP="00FB0646">
            <w:pPr>
              <w:pStyle w:val="ListBullet"/>
              <w:spacing w:before="60" w:after="60"/>
              <w:ind w:left="714" w:hanging="357"/>
              <w:contextualSpacing w:val="0"/>
            </w:pPr>
            <w:r>
              <w:t>90</w:t>
            </w:r>
            <w:r w:rsidR="00B747B2">
              <w:t xml:space="preserve"> </w:t>
            </w:r>
            <w:r>
              <w:t>d oral</w:t>
            </w:r>
            <w:r w:rsidR="00835758">
              <w:t xml:space="preserve"> gavage</w:t>
            </w:r>
            <w:r>
              <w:t xml:space="preserve"> study in rats</w:t>
            </w:r>
            <w:r w:rsidR="00835758">
              <w:t xml:space="preserve"> (7 d/wk)</w:t>
            </w:r>
            <w:r>
              <w:t>, hepatocellular hypertrophy, species and gender-specific renal changes and inflammation-induced hyperplastic changes in the forestomach and stomach were observed</w:t>
            </w:r>
            <w:r w:rsidR="00CA2F29">
              <w:t>:</w:t>
            </w:r>
          </w:p>
          <w:p w14:paraId="0EEFA073" w14:textId="61455D0A" w:rsidR="00835758" w:rsidRDefault="00B12D52" w:rsidP="00835758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NOAEL 50 mg/kg local irritant effects on the forestomach and stomach</w:t>
            </w:r>
            <w:r w:rsidR="00835758">
              <w:t>; LOAEL of 150</w:t>
            </w:r>
            <w:r w:rsidR="00271A9D">
              <w:t> </w:t>
            </w:r>
            <w:r w:rsidR="00835758">
              <w:t>mg/kg/d</w:t>
            </w:r>
          </w:p>
          <w:p w14:paraId="4270782C" w14:textId="77777777" w:rsidR="00B12D52" w:rsidRDefault="00B12D52" w:rsidP="00FB0646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NOAEL 450 mg/kg for systemic effects</w:t>
            </w:r>
          </w:p>
          <w:p w14:paraId="6FBF0660" w14:textId="0899ABB0" w:rsidR="00723919" w:rsidRDefault="00723919" w:rsidP="00FB0646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10 rats and 1 rabbit exposed 7 h/d for 9 d to 0.7 mg/L </w:t>
            </w:r>
            <w:r w:rsidR="002302E6">
              <w:t>(700 mg/m</w:t>
            </w:r>
            <w:r w:rsidR="002302E6">
              <w:rPr>
                <w:vertAlign w:val="superscript"/>
              </w:rPr>
              <w:t>3</w:t>
            </w:r>
            <w:r w:rsidR="002302E6">
              <w:t xml:space="preserve">) </w:t>
            </w:r>
            <w:r>
              <w:t xml:space="preserve">of an aerosol of </w:t>
            </w:r>
            <w:proofErr w:type="spellStart"/>
            <w:r>
              <w:t>hexylene</w:t>
            </w:r>
            <w:proofErr w:type="spellEnd"/>
            <w:r>
              <w:t xml:space="preserve"> glycol demonstrated microscopic evidence of mild respiratory irritation (e.g. congestion, hyperplasia) in the tracheas; some vapo</w:t>
            </w:r>
            <w:r w:rsidR="004D615B">
              <w:t>u</w:t>
            </w:r>
            <w:r>
              <w:t>r likely to be present</w:t>
            </w:r>
            <w:r w:rsidR="002302E6">
              <w:t>; no control animals</w:t>
            </w:r>
          </w:p>
          <w:p w14:paraId="427ADFE5" w14:textId="77777777" w:rsidR="008C39FE" w:rsidRDefault="008C39FE" w:rsidP="00B747B2">
            <w:pPr>
              <w:pStyle w:val="Tabletextprimarysource"/>
            </w:pPr>
          </w:p>
          <w:p w14:paraId="0E647B47" w14:textId="616E7591" w:rsidR="00CA2F29" w:rsidRDefault="00091AA9" w:rsidP="00B747B2">
            <w:pPr>
              <w:pStyle w:val="Tabletextprimarysource"/>
            </w:pPr>
            <w:r>
              <w:t>TWA</w:t>
            </w:r>
            <w:r w:rsidR="002302E6">
              <w:t xml:space="preserve"> of 25 ppm is</w:t>
            </w:r>
            <w:r>
              <w:t xml:space="preserve"> justified by stating that, based on the</w:t>
            </w:r>
            <w:r w:rsidR="00581B20">
              <w:t xml:space="preserve"> reported</w:t>
            </w:r>
            <w:r>
              <w:t xml:space="preserve"> LOAEL</w:t>
            </w:r>
            <w:r w:rsidR="00581B20">
              <w:t xml:space="preserve"> in rats</w:t>
            </w:r>
            <w:r>
              <w:t>, the equivalent human dose is 17-fold higher than the recommended TLV-TWA; no derivation provided</w:t>
            </w:r>
            <w:r w:rsidR="00271A9D">
              <w:t>.</w:t>
            </w:r>
          </w:p>
          <w:p w14:paraId="39CCB10A" w14:textId="216C79C4" w:rsidR="00091AA9" w:rsidRDefault="00091AA9" w:rsidP="00B747B2">
            <w:pPr>
              <w:pStyle w:val="Tabletextprimarysource"/>
            </w:pPr>
            <w:r>
              <w:t xml:space="preserve">STEL-TLV </w:t>
            </w:r>
            <w:r w:rsidR="002302E6">
              <w:t>of 50</w:t>
            </w:r>
            <w:r w:rsidR="00271A9D">
              <w:t> </w:t>
            </w:r>
            <w:r w:rsidR="002302E6">
              <w:t xml:space="preserve">ppm </w:t>
            </w:r>
            <w:r>
              <w:t>for vapour is based on the reported acute data in humans; no derivation</w:t>
            </w:r>
            <w:r w:rsidR="00271A9D">
              <w:t>.</w:t>
            </w:r>
          </w:p>
          <w:p w14:paraId="335A28BC" w14:textId="24920EB1" w:rsidR="00091AA9" w:rsidRDefault="00091AA9" w:rsidP="00B747B2">
            <w:pPr>
              <w:pStyle w:val="Tabletextprimarysource"/>
            </w:pPr>
            <w:r>
              <w:t xml:space="preserve">STEL-TLV </w:t>
            </w:r>
            <w:r w:rsidR="002302E6">
              <w:t>of 10</w:t>
            </w:r>
            <w:r w:rsidR="00271A9D">
              <w:t> </w:t>
            </w:r>
            <w:r w:rsidR="002302E6">
              <w:t>mg/m</w:t>
            </w:r>
            <w:r w:rsidR="002302E6">
              <w:rPr>
                <w:vertAlign w:val="superscript"/>
              </w:rPr>
              <w:t>3</w:t>
            </w:r>
            <w:r w:rsidR="002302E6">
              <w:t xml:space="preserve"> </w:t>
            </w:r>
            <w:r>
              <w:t>for inhalable particulate/aerosol based on</w:t>
            </w:r>
            <w:r w:rsidR="002302E6">
              <w:t xml:space="preserve"> the incremental increase in air concentration that corresponds to the observation of increased irritation above the saturated vapor concentration of 66</w:t>
            </w:r>
            <w:r w:rsidR="00271A9D">
              <w:t> </w:t>
            </w:r>
            <w:r w:rsidR="002302E6">
              <w:t>ppm</w:t>
            </w:r>
            <w:r w:rsidR="00271A9D">
              <w:t>.</w:t>
            </w:r>
          </w:p>
          <w:p w14:paraId="3FDA0392" w14:textId="77777777" w:rsidR="00B12D52" w:rsidRDefault="000F34C0" w:rsidP="00B747B2">
            <w:pPr>
              <w:pStyle w:val="Tabletextprimarysource"/>
            </w:pPr>
            <w:r>
              <w:t>Insufficient data to recommend a sensitiser, skin or carcinogenicity notation.</w:t>
            </w:r>
          </w:p>
          <w:p w14:paraId="29C7DB65" w14:textId="77777777" w:rsidR="00834049" w:rsidRPr="00DA352E" w:rsidRDefault="00834049" w:rsidP="00B747B2">
            <w:pPr>
              <w:pStyle w:val="Tabletextprimarysource"/>
            </w:pPr>
          </w:p>
        </w:tc>
      </w:tr>
      <w:tr w:rsidR="00C978F0" w:rsidRPr="00DA352E" w14:paraId="6E5AE6B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A78FBA6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595BE4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595BE4">
                  <w:t>MAK: 10 ppm (49 mg/m</w:t>
                </w:r>
                <w:r w:rsidR="00595BE4" w:rsidRPr="00595BE4">
                  <w:rPr>
                    <w:vertAlign w:val="superscript"/>
                  </w:rPr>
                  <w:t>3</w:t>
                </w:r>
                <w:r w:rsidR="00595BE4">
                  <w:t>)</w:t>
                </w:r>
              </w:sdtContent>
            </w:sdt>
          </w:p>
        </w:tc>
      </w:tr>
      <w:tr w:rsidR="00C978F0" w:rsidRPr="00DA352E" w14:paraId="7391681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0530641" w14:textId="77777777" w:rsidR="00C978F0" w:rsidRDefault="00A2382B" w:rsidP="003365A5">
            <w:pPr>
              <w:pStyle w:val="Tabletextprimarysource"/>
            </w:pPr>
            <w:r>
              <w:t>MAK recommended to protect for irritation of the eye in exposed workers.</w:t>
            </w:r>
          </w:p>
          <w:p w14:paraId="7C23AF92" w14:textId="77777777" w:rsidR="00A2382B" w:rsidRDefault="00A2382B" w:rsidP="003365A5">
            <w:pPr>
              <w:pStyle w:val="Tabletextprimarysource"/>
            </w:pPr>
            <w:r>
              <w:t>Summary of addition data:</w:t>
            </w:r>
          </w:p>
          <w:p w14:paraId="00136A94" w14:textId="77777777" w:rsidR="00A2382B" w:rsidRDefault="00A2382B" w:rsidP="00FB0646">
            <w:pPr>
              <w:pStyle w:val="ListBullet"/>
              <w:spacing w:before="60" w:after="60"/>
              <w:ind w:left="714" w:hanging="357"/>
              <w:contextualSpacing w:val="0"/>
            </w:pPr>
            <w:r>
              <w:t>MAK considered provisional because of lack of adequate data for the irritant potential; requires confirmation in further studies</w:t>
            </w:r>
          </w:p>
          <w:p w14:paraId="03EC7108" w14:textId="77777777" w:rsidR="00A2382B" w:rsidRDefault="00A2382B" w:rsidP="00FB0646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further additional information</w:t>
            </w:r>
            <w:r w:rsidR="00B747B2">
              <w:t>.</w:t>
            </w:r>
          </w:p>
          <w:p w14:paraId="20B8FB67" w14:textId="77777777" w:rsidR="00A60E6E" w:rsidRPr="00DA352E" w:rsidRDefault="00A60E6E" w:rsidP="00FB0646">
            <w:pPr>
              <w:pStyle w:val="ListBullet"/>
              <w:numPr>
                <w:ilvl w:val="0"/>
                <w:numId w:val="0"/>
              </w:numPr>
              <w:spacing w:before="60" w:after="60"/>
              <w:ind w:left="1080"/>
              <w:contextualSpacing w:val="0"/>
            </w:pPr>
          </w:p>
        </w:tc>
      </w:tr>
      <w:tr w:rsidR="00C978F0" w:rsidRPr="00DA352E" w14:paraId="0C3A3CE5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C532189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595BE4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595BE4">
                  <w:t>NA</w:t>
                </w:r>
                <w:proofErr w:type="spellEnd"/>
              </w:sdtContent>
            </w:sdt>
          </w:p>
        </w:tc>
      </w:tr>
      <w:tr w:rsidR="00C978F0" w:rsidRPr="00DA352E" w14:paraId="521FDE8F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13ED28B" w14:textId="77777777" w:rsidR="00C978F0" w:rsidRPr="00DA352E" w:rsidRDefault="00595BE4" w:rsidP="003365A5">
            <w:pPr>
              <w:pStyle w:val="Tabletextprimarysource"/>
            </w:pPr>
            <w:r>
              <w:t>No report</w:t>
            </w:r>
            <w:r w:rsidR="00B747B2">
              <w:t>.</w:t>
            </w:r>
          </w:p>
        </w:tc>
      </w:tr>
      <w:tr w:rsidR="00DA352E" w:rsidRPr="00DA352E" w14:paraId="32D1BC03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BA9F967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595BE4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595BE4">
                  <w:t>NA</w:t>
                </w:r>
                <w:proofErr w:type="spellEnd"/>
              </w:sdtContent>
            </w:sdt>
          </w:p>
        </w:tc>
      </w:tr>
      <w:tr w:rsidR="00DA352E" w:rsidRPr="00DA352E" w14:paraId="66F73FF9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3267F87" w14:textId="77777777" w:rsidR="00DA352E" w:rsidRPr="00DA352E" w:rsidRDefault="00595BE4" w:rsidP="003365A5">
            <w:pPr>
              <w:pStyle w:val="Tabletextprimarysource"/>
            </w:pPr>
            <w:r>
              <w:t>No report</w:t>
            </w:r>
            <w:r w:rsidR="00B747B2">
              <w:t>.</w:t>
            </w:r>
          </w:p>
        </w:tc>
      </w:tr>
      <w:tr w:rsidR="00DA352E" w:rsidRPr="00DA352E" w14:paraId="5383F383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65E1CCF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595BE4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595BE4">
                  <w:t>NA</w:t>
                </w:r>
                <w:proofErr w:type="spellEnd"/>
              </w:sdtContent>
            </w:sdt>
          </w:p>
        </w:tc>
      </w:tr>
      <w:tr w:rsidR="00DA352E" w:rsidRPr="00DA352E" w14:paraId="10BFB80F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821B8EB" w14:textId="77777777" w:rsidR="00DA352E" w:rsidRPr="00DA352E" w:rsidRDefault="00595BE4" w:rsidP="003365A5">
            <w:pPr>
              <w:pStyle w:val="Tabletextprimarysource"/>
            </w:pPr>
            <w:r>
              <w:t>No report</w:t>
            </w:r>
            <w:r w:rsidR="00B747B2">
              <w:t>.</w:t>
            </w:r>
          </w:p>
        </w:tc>
      </w:tr>
    </w:tbl>
    <w:p w14:paraId="2604E321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2"/>
        <w:gridCol w:w="423"/>
        <w:gridCol w:w="661"/>
        <w:gridCol w:w="6450"/>
      </w:tblGrid>
      <w:tr w:rsidR="004966BF" w:rsidRPr="00263255" w14:paraId="07EE4933" w14:textId="77777777" w:rsidTr="00D01024">
        <w:trPr>
          <w:cantSplit/>
          <w:trHeight w:val="393"/>
          <w:tblHeader/>
        </w:trPr>
        <w:tc>
          <w:tcPr>
            <w:tcW w:w="1492" w:type="dxa"/>
            <w:shd w:val="clear" w:color="auto" w:fill="BFBFBF" w:themeFill="background1" w:themeFillShade="BF"/>
            <w:vAlign w:val="center"/>
          </w:tcPr>
          <w:p w14:paraId="248A2E00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641374A3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596E8BB9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0" w:type="dxa"/>
            <w:shd w:val="clear" w:color="auto" w:fill="BFBFBF" w:themeFill="background1" w:themeFillShade="BF"/>
            <w:vAlign w:val="center"/>
          </w:tcPr>
          <w:p w14:paraId="00F31160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50201619" w14:textId="77777777" w:rsidTr="00D01024">
        <w:trPr>
          <w:cantSplit/>
        </w:trPr>
        <w:tc>
          <w:tcPr>
            <w:tcW w:w="1492" w:type="dxa"/>
          </w:tcPr>
          <w:p w14:paraId="5B7ADB48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3" w:type="dxa"/>
          </w:tcPr>
          <w:p w14:paraId="133B2F84" w14:textId="77777777" w:rsidR="004966BF" w:rsidRPr="00CE617F" w:rsidRDefault="00146DC5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D01024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609A885C" w14:textId="77777777" w:rsidR="004966BF" w:rsidRPr="004C23F4" w:rsidRDefault="00D01024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2011</w:t>
            </w:r>
          </w:p>
        </w:tc>
        <w:tc>
          <w:tcPr>
            <w:tcW w:w="6450" w:type="dxa"/>
          </w:tcPr>
          <w:p w14:paraId="236E0E1C" w14:textId="77777777" w:rsidR="004966BF" w:rsidRPr="004C23F4" w:rsidRDefault="00D01024" w:rsidP="00FB0646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No additional information.</w:t>
            </w:r>
          </w:p>
        </w:tc>
      </w:tr>
    </w:tbl>
    <w:bookmarkEnd w:id="0"/>
    <w:p w14:paraId="79FC9352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643F4437" w14:textId="77777777" w:rsidTr="00D01024">
        <w:trPr>
          <w:trHeight w:val="454"/>
          <w:tblHeader/>
        </w:trPr>
        <w:tc>
          <w:tcPr>
            <w:tcW w:w="6603" w:type="dxa"/>
            <w:vAlign w:val="center"/>
          </w:tcPr>
          <w:p w14:paraId="69ACB39D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21736D92" w14:textId="77777777" w:rsidR="002E0D61" w:rsidRDefault="00D01024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42172C9E" w14:textId="77777777" w:rsidTr="00D01024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6A28EB70" w14:textId="77777777" w:rsidR="008A36CF" w:rsidRPr="006901A2" w:rsidRDefault="00D01024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3EDD1263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0E177C46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4FB850EF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360738DC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4E1D28F0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AE79AEA" w14:textId="77777777" w:rsidTr="00812887">
        <w:trPr>
          <w:cantSplit/>
        </w:trPr>
        <w:tc>
          <w:tcPr>
            <w:tcW w:w="3227" w:type="dxa"/>
          </w:tcPr>
          <w:p w14:paraId="6D05C12E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10D0F22E" w14:textId="77777777" w:rsidR="00687890" w:rsidRPr="00DD2F9B" w:rsidRDefault="00E325BB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2857A974" w14:textId="77777777" w:rsidTr="00812887">
        <w:trPr>
          <w:cantSplit/>
        </w:trPr>
        <w:tc>
          <w:tcPr>
            <w:tcW w:w="3227" w:type="dxa"/>
          </w:tcPr>
          <w:p w14:paraId="622ED26E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394BB47B" w14:textId="77777777" w:rsidR="007925F0" w:rsidRPr="00DD2F9B" w:rsidRDefault="00E325BB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11E571E8" w14:textId="77777777" w:rsidTr="00812887">
        <w:trPr>
          <w:cantSplit/>
        </w:trPr>
        <w:tc>
          <w:tcPr>
            <w:tcW w:w="3227" w:type="dxa"/>
          </w:tcPr>
          <w:p w14:paraId="460C87A7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69BCFA91" w14:textId="77777777" w:rsidR="00AF483F" w:rsidRPr="00DD2F9B" w:rsidRDefault="00595BE4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0BDAFB01" w14:textId="77777777" w:rsidTr="00812887">
        <w:trPr>
          <w:cantSplit/>
        </w:trPr>
        <w:tc>
          <w:tcPr>
            <w:tcW w:w="3227" w:type="dxa"/>
          </w:tcPr>
          <w:p w14:paraId="2A4F93F8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49EC5DE5" w14:textId="77777777" w:rsidR="00687890" w:rsidRPr="00DD2F9B" w:rsidRDefault="00595BE4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556B62C3" w14:textId="77777777" w:rsidTr="00812887">
        <w:trPr>
          <w:cantSplit/>
        </w:trPr>
        <w:tc>
          <w:tcPr>
            <w:tcW w:w="3227" w:type="dxa"/>
          </w:tcPr>
          <w:p w14:paraId="6ADBFC8C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147486FD" w14:textId="77777777" w:rsidR="00E41A26" w:rsidRPr="00DD2F9B" w:rsidRDefault="00595BE4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FC5CBCD" w14:textId="77777777" w:rsidTr="00812887">
        <w:trPr>
          <w:cantSplit/>
        </w:trPr>
        <w:tc>
          <w:tcPr>
            <w:tcW w:w="3227" w:type="dxa"/>
          </w:tcPr>
          <w:p w14:paraId="13B8BE4A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3168E27E" w14:textId="77777777" w:rsidR="002E0D61" w:rsidRPr="00DD2F9B" w:rsidRDefault="00595BE4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047051B" w14:textId="77777777" w:rsidTr="00812887">
        <w:trPr>
          <w:cantSplit/>
        </w:trPr>
        <w:tc>
          <w:tcPr>
            <w:tcW w:w="3227" w:type="dxa"/>
          </w:tcPr>
          <w:p w14:paraId="02282AA7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59F8FE77" w14:textId="77777777" w:rsidR="002E0D61" w:rsidRPr="00DD2F9B" w:rsidRDefault="00595BE4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D181CED" w14:textId="77777777" w:rsidTr="00812887">
        <w:trPr>
          <w:cantSplit/>
        </w:trPr>
        <w:tc>
          <w:tcPr>
            <w:tcW w:w="3227" w:type="dxa"/>
          </w:tcPr>
          <w:p w14:paraId="7F9BC089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15363EE9" w14:textId="77777777" w:rsidR="002E0D61" w:rsidRPr="00DD2F9B" w:rsidRDefault="00595BE4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00CD14BF" w14:textId="77777777" w:rsidTr="00812887">
        <w:trPr>
          <w:cantSplit/>
        </w:trPr>
        <w:tc>
          <w:tcPr>
            <w:tcW w:w="3227" w:type="dxa"/>
          </w:tcPr>
          <w:p w14:paraId="011A975A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42D16B5" w14:textId="77777777" w:rsidR="002E0D61" w:rsidRPr="00DD2F9B" w:rsidRDefault="00595BE4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07366F13" w14:textId="77777777" w:rsidTr="00812887">
        <w:trPr>
          <w:cantSplit/>
        </w:trPr>
        <w:tc>
          <w:tcPr>
            <w:tcW w:w="3227" w:type="dxa"/>
          </w:tcPr>
          <w:p w14:paraId="56A18D1F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0EAFBEC6" w14:textId="77777777" w:rsidR="00386093" w:rsidRPr="00DD2F9B" w:rsidRDefault="00595BE4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7A2E0CB" w14:textId="77777777" w:rsidTr="00812887">
        <w:trPr>
          <w:cantSplit/>
        </w:trPr>
        <w:tc>
          <w:tcPr>
            <w:tcW w:w="3227" w:type="dxa"/>
          </w:tcPr>
          <w:p w14:paraId="4E4FE7C5" w14:textId="77777777" w:rsidR="004079B4" w:rsidRDefault="00386093" w:rsidP="00F4402E">
            <w:pPr>
              <w:pStyle w:val="Tablefont"/>
              <w:keepNext/>
            </w:pPr>
            <w:r>
              <w:lastRenderedPageBreak/>
              <w:t>US NIOSH</w:t>
            </w:r>
          </w:p>
        </w:tc>
        <w:tc>
          <w:tcPr>
            <w:tcW w:w="6015" w:type="dxa"/>
          </w:tcPr>
          <w:p w14:paraId="6A7B4F6C" w14:textId="77777777" w:rsidR="00386093" w:rsidRPr="00DD2F9B" w:rsidRDefault="00595BE4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5E967734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4D67ED37" w14:textId="77777777" w:rsidR="00474E33" w:rsidRDefault="00474E33" w:rsidP="00FB0646">
      <w:pPr>
        <w:pStyle w:val="Heading3"/>
        <w:keepNext w:val="0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6997BA04" w14:textId="77777777" w:rsidTr="00146DC5">
        <w:trPr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27044354" w14:textId="77777777" w:rsidR="00932DCE" w:rsidRPr="004C23F4" w:rsidRDefault="00932DCE" w:rsidP="00FB0646">
            <w:pPr>
              <w:pStyle w:val="Tableheader"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77AE00D8" w14:textId="77777777" w:rsidTr="00FB0646">
        <w:tc>
          <w:tcPr>
            <w:tcW w:w="5000" w:type="pct"/>
            <w:vAlign w:val="center"/>
          </w:tcPr>
          <w:tbl>
            <w:tblPr>
              <w:tblW w:w="8956" w:type="dxa"/>
              <w:tblLook w:val="04A0" w:firstRow="1" w:lastRow="0" w:firstColumn="1" w:lastColumn="0" w:noHBand="0" w:noVBand="1"/>
            </w:tblPr>
            <w:tblGrid>
              <w:gridCol w:w="3664"/>
              <w:gridCol w:w="1081"/>
              <w:gridCol w:w="1081"/>
              <w:gridCol w:w="2984"/>
            </w:tblGrid>
            <w:tr w:rsidR="004D43DD" w:rsidRPr="004D43DD" w14:paraId="474C3CCB" w14:textId="77777777" w:rsidTr="004D43DD">
              <w:trPr>
                <w:trHeight w:val="334"/>
              </w:trPr>
              <w:tc>
                <w:tcPr>
                  <w:tcW w:w="3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CC816BF" w14:textId="77777777" w:rsidR="004D43DD" w:rsidRPr="004D43DD" w:rsidRDefault="004D43DD" w:rsidP="00FB064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D43D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31DA1C9" w14:textId="77777777" w:rsidR="004D43DD" w:rsidRPr="004D43DD" w:rsidRDefault="004D43DD" w:rsidP="00FB064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D43D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2D4745C" w14:textId="77777777" w:rsidR="004D43DD" w:rsidRPr="004D43DD" w:rsidRDefault="004D43DD" w:rsidP="00FB064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4D43D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B80CD2E" w14:textId="77777777" w:rsidR="004D43DD" w:rsidRPr="004D43DD" w:rsidRDefault="004D43DD" w:rsidP="00FB064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D43D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4D43DD" w:rsidRPr="004D43DD" w14:paraId="3926F13B" w14:textId="77777777" w:rsidTr="004D43DD">
              <w:trPr>
                <w:trHeight w:val="334"/>
              </w:trPr>
              <w:tc>
                <w:tcPr>
                  <w:tcW w:w="3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2C524EA" w14:textId="77777777" w:rsidR="004D43DD" w:rsidRPr="004D43DD" w:rsidRDefault="004D43DD" w:rsidP="00FB064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D43D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4D43D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4D43D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02617CC" w14:textId="77777777" w:rsidR="004D43DD" w:rsidRPr="004D43DD" w:rsidRDefault="004D43DD" w:rsidP="00FB064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D43D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06BD171" w14:textId="77777777" w:rsidR="004D43DD" w:rsidRPr="004D43DD" w:rsidRDefault="004D43DD" w:rsidP="00FB064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4D43D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34E97EB" w14:textId="77777777" w:rsidR="004D43DD" w:rsidRPr="004D43DD" w:rsidRDefault="004D43DD" w:rsidP="00FB064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D43D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4D43DD" w:rsidRPr="004D43DD" w14:paraId="07748530" w14:textId="77777777" w:rsidTr="004D43DD">
              <w:trPr>
                <w:trHeight w:val="334"/>
              </w:trPr>
              <w:tc>
                <w:tcPr>
                  <w:tcW w:w="3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6014817" w14:textId="77777777" w:rsidR="004D43DD" w:rsidRPr="004D43DD" w:rsidRDefault="004D43DD" w:rsidP="00FB064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D43D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A37642A" w14:textId="77777777" w:rsidR="004D43DD" w:rsidRPr="004D43DD" w:rsidRDefault="004D43DD" w:rsidP="00FB064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D43D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A0A4F83" w14:textId="77777777" w:rsidR="004D43DD" w:rsidRPr="004D43DD" w:rsidRDefault="004D43DD" w:rsidP="00FB064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4D43D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8992D87" w14:textId="77777777" w:rsidR="004D43DD" w:rsidRPr="004D43DD" w:rsidRDefault="004D43DD" w:rsidP="00FB064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D43D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4D43DD" w:rsidRPr="004D43DD" w14:paraId="4AAF0623" w14:textId="77777777" w:rsidTr="004D43DD">
              <w:trPr>
                <w:trHeight w:val="334"/>
              </w:trPr>
              <w:tc>
                <w:tcPr>
                  <w:tcW w:w="3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C26408E" w14:textId="77777777" w:rsidR="004D43DD" w:rsidRPr="004D43DD" w:rsidRDefault="004D43DD" w:rsidP="00FB064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D43D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4D43D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4D43D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4D43D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4D43D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2875152" w14:textId="77777777" w:rsidR="004D43DD" w:rsidRPr="004D43DD" w:rsidRDefault="004D43DD" w:rsidP="00FB064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D43D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C476014" w14:textId="77777777" w:rsidR="004D43DD" w:rsidRPr="004D43DD" w:rsidRDefault="004D43DD" w:rsidP="00FB064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4D43D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93D95F6" w14:textId="77777777" w:rsidR="004D43DD" w:rsidRPr="004D43DD" w:rsidRDefault="004D43DD" w:rsidP="00FB064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D43D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4D43DD" w:rsidRPr="004D43DD" w14:paraId="2DE81FAB" w14:textId="77777777" w:rsidTr="004D43DD">
              <w:trPr>
                <w:trHeight w:val="334"/>
              </w:trPr>
              <w:tc>
                <w:tcPr>
                  <w:tcW w:w="3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78B4BA6" w14:textId="77777777" w:rsidR="004D43DD" w:rsidRPr="004D43DD" w:rsidRDefault="004D43DD" w:rsidP="00FB064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4D43DD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4D43D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5E1FE76" w14:textId="77777777" w:rsidR="004D43DD" w:rsidRPr="004D43DD" w:rsidRDefault="004D43DD" w:rsidP="00FB064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D43D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9EBE8EE" w14:textId="77777777" w:rsidR="004D43DD" w:rsidRPr="004D43DD" w:rsidRDefault="004D43DD" w:rsidP="00FB064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4D43D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A53DA3C" w14:textId="77777777" w:rsidR="004D43DD" w:rsidRPr="004D43DD" w:rsidRDefault="004D43DD" w:rsidP="00FB064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D43D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4D43DD" w:rsidRPr="004D43DD" w14:paraId="597B6B66" w14:textId="77777777" w:rsidTr="004D43DD">
              <w:trPr>
                <w:trHeight w:val="334"/>
              </w:trPr>
              <w:tc>
                <w:tcPr>
                  <w:tcW w:w="3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D139DDE" w14:textId="77777777" w:rsidR="004D43DD" w:rsidRPr="004D43DD" w:rsidRDefault="004D43DD" w:rsidP="00FB064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D43D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49C10B6" w14:textId="77777777" w:rsidR="004D43DD" w:rsidRPr="004D43DD" w:rsidRDefault="004D43DD" w:rsidP="00FB064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D43D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239DF65" w14:textId="77777777" w:rsidR="004D43DD" w:rsidRPr="004D43DD" w:rsidRDefault="004D43DD" w:rsidP="00FB064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4D43D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13C1841" w14:textId="77777777" w:rsidR="004D43DD" w:rsidRPr="004D43DD" w:rsidRDefault="004D43DD" w:rsidP="00FB064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D43D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4D43DD" w:rsidRPr="004D43DD" w14:paraId="11420348" w14:textId="77777777" w:rsidTr="004D43DD">
              <w:trPr>
                <w:trHeight w:val="334"/>
              </w:trPr>
              <w:tc>
                <w:tcPr>
                  <w:tcW w:w="3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ED41692" w14:textId="77777777" w:rsidR="004D43DD" w:rsidRPr="004D43DD" w:rsidRDefault="004D43DD" w:rsidP="00FB064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D43D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972DC2B" w14:textId="77777777" w:rsidR="004D43DD" w:rsidRPr="004D43DD" w:rsidRDefault="004D43DD" w:rsidP="00FB064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D43D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67544A6" w14:textId="77777777" w:rsidR="004D43DD" w:rsidRPr="004D43DD" w:rsidRDefault="004D43DD" w:rsidP="00FB064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4D43D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BD764C6" w14:textId="77777777" w:rsidR="004D43DD" w:rsidRPr="004D43DD" w:rsidRDefault="004D43DD" w:rsidP="00FB0646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4D43DD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not warranted</w:t>
                  </w:r>
                </w:p>
              </w:tc>
            </w:tr>
          </w:tbl>
          <w:p w14:paraId="2C84A4AB" w14:textId="77777777" w:rsidR="00932DCE" w:rsidRPr="004C23F4" w:rsidRDefault="00932DCE" w:rsidP="00FB0646">
            <w:pPr>
              <w:pStyle w:val="Tablefont"/>
            </w:pPr>
          </w:p>
        </w:tc>
        <w:bookmarkStart w:id="4" w:name="_GoBack"/>
        <w:bookmarkEnd w:id="4"/>
      </w:tr>
    </w:tbl>
    <w:bookmarkEnd w:id="3"/>
    <w:p w14:paraId="69635EAB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0D1EDEDB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2433BE3C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7015BDCA" w14:textId="77777777" w:rsidR="00EB3D1B" w:rsidRDefault="00595BE4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74581D65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09AF15F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36CA17A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297BB3D7" w14:textId="77777777" w:rsidR="001B79E5" w:rsidRDefault="00595BE4" w:rsidP="001B79E5">
                <w:pPr>
                  <w:pStyle w:val="Tablefont"/>
                </w:pPr>
                <w:r>
                  <w:t>118.18</w:t>
                </w:r>
              </w:p>
            </w:tc>
          </w:sdtContent>
        </w:sdt>
      </w:tr>
      <w:tr w:rsidR="00A31D99" w:rsidRPr="004C23F4" w14:paraId="359F403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CE9D2C3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51474141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74AD11B2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96F6382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14950CA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70B5EBE8" w14:textId="77777777" w:rsidTr="00EA6243">
        <w:trPr>
          <w:cantSplit/>
        </w:trPr>
        <w:tc>
          <w:tcPr>
            <w:tcW w:w="4077" w:type="dxa"/>
            <w:vAlign w:val="center"/>
          </w:tcPr>
          <w:p w14:paraId="2E8CE256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DD3C83E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A8CA6A7" w14:textId="77777777" w:rsidTr="00EA6243">
        <w:trPr>
          <w:cantSplit/>
        </w:trPr>
        <w:tc>
          <w:tcPr>
            <w:tcW w:w="4077" w:type="dxa"/>
            <w:vAlign w:val="center"/>
          </w:tcPr>
          <w:p w14:paraId="0E280704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0A1CEF0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1BB165BA" w14:textId="77777777" w:rsidTr="00EA6243">
        <w:trPr>
          <w:cantSplit/>
        </w:trPr>
        <w:tc>
          <w:tcPr>
            <w:tcW w:w="4077" w:type="dxa"/>
            <w:vAlign w:val="center"/>
          </w:tcPr>
          <w:p w14:paraId="10E229DD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F6CCAEA" w14:textId="77777777" w:rsidR="00E06F40" w:rsidRPr="00A006A0" w:rsidRDefault="00146DC5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7F984790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0A39893D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0FFE6BF5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2E80473C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62A78C0B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5C52A4BA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69865CEB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50B478AF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3686A0A0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65CCE5CD" w14:textId="77777777" w:rsidR="00595BE4" w:rsidRDefault="00595BE4" w:rsidP="00595BE4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(2001) </w:t>
      </w:r>
      <w:proofErr w:type="spellStart"/>
      <w:r>
        <w:t>Hexylene</w:t>
      </w:r>
      <w:proofErr w:type="spellEnd"/>
      <w:r>
        <w:t xml:space="preserve"> glycol – MAK value documentation.</w:t>
      </w:r>
    </w:p>
    <w:p w14:paraId="0098D4D9" w14:textId="77777777" w:rsidR="00D01024" w:rsidRDefault="00D01024" w:rsidP="00595BE4">
      <w:pPr>
        <w:rPr>
          <w:b/>
        </w:rPr>
      </w:pPr>
      <w:r>
        <w:lastRenderedPageBreak/>
        <w:t xml:space="preserve">European </w:t>
      </w:r>
      <w:r w:rsidRPr="004D615B">
        <w:t>Chemicals Agency (ECHA) (</w:t>
      </w:r>
      <w:sdt>
        <w:sdtPr>
          <w:id w:val="-1499643635"/>
          <w:placeholder>
            <w:docPart w:val="0EA93ECD7C724ABCA1F3969CD9F9769A"/>
          </w:placeholder>
          <w:temporary/>
          <w:showingPlcHdr/>
        </w:sdtPr>
        <w:sdtEndPr/>
        <w:sdtContent>
          <w:r w:rsidRPr="004D615B">
            <w:t>2002</w:t>
          </w:r>
        </w:sdtContent>
      </w:sdt>
      <w:r w:rsidRPr="004D615B">
        <w:t>) 2-methylpentane</w:t>
      </w:r>
      <w:r w:rsidRPr="00D01024">
        <w:t>-2</w:t>
      </w:r>
      <w:proofErr w:type="gramStart"/>
      <w:r w:rsidRPr="00D01024">
        <w:t>,4</w:t>
      </w:r>
      <w:proofErr w:type="gramEnd"/>
      <w:r w:rsidRPr="00D01024">
        <w:t>-diol</w:t>
      </w:r>
      <w:r>
        <w:t xml:space="preserve"> (</w:t>
      </w:r>
      <w:proofErr w:type="spellStart"/>
      <w:r>
        <w:t>Hexylene</w:t>
      </w:r>
      <w:proofErr w:type="spellEnd"/>
      <w:r>
        <w:t xml:space="preserve"> glycol) – REACH assessment.</w:t>
      </w:r>
    </w:p>
    <w:p w14:paraId="022A477A" w14:textId="77777777" w:rsidR="00595BE4" w:rsidRPr="00351FE0" w:rsidRDefault="00595BE4" w:rsidP="00084859"/>
    <w:sectPr w:rsidR="00595BE4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BB812" w14:textId="77777777" w:rsidR="00245946" w:rsidRDefault="00245946" w:rsidP="00F43AD5">
      <w:pPr>
        <w:spacing w:after="0" w:line="240" w:lineRule="auto"/>
      </w:pPr>
      <w:r>
        <w:separator/>
      </w:r>
    </w:p>
  </w:endnote>
  <w:endnote w:type="continuationSeparator" w:id="0">
    <w:p w14:paraId="1FEE623D" w14:textId="77777777" w:rsidR="00245946" w:rsidRDefault="00245946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1330E" w14:textId="77777777" w:rsidR="00146DC5" w:rsidRDefault="00146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44DA815" w14:textId="77777777" w:rsidR="008A36CF" w:rsidRDefault="00E325BB" w:rsidP="0034744C">
        <w:pPr>
          <w:pStyle w:val="Footer"/>
          <w:rPr>
            <w:sz w:val="18"/>
            <w:szCs w:val="18"/>
          </w:rPr>
        </w:pPr>
        <w:proofErr w:type="spellStart"/>
        <w:r>
          <w:rPr>
            <w:b/>
            <w:sz w:val="18"/>
            <w:szCs w:val="18"/>
          </w:rPr>
          <w:t>Hexylene</w:t>
        </w:r>
        <w:proofErr w:type="spellEnd"/>
        <w:r>
          <w:rPr>
            <w:b/>
            <w:sz w:val="18"/>
            <w:szCs w:val="18"/>
          </w:rPr>
          <w:t xml:space="preserve"> glycol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107-41-5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0235EC0C" w14:textId="102975D4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146DC5">
          <w:rPr>
            <w:noProof/>
            <w:sz w:val="18"/>
            <w:szCs w:val="18"/>
          </w:rPr>
          <w:t>6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C4317" w14:textId="77777777" w:rsidR="00146DC5" w:rsidRDefault="00146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E8F90" w14:textId="77777777" w:rsidR="00245946" w:rsidRDefault="00245946" w:rsidP="00F43AD5">
      <w:pPr>
        <w:spacing w:after="0" w:line="240" w:lineRule="auto"/>
      </w:pPr>
      <w:r>
        <w:separator/>
      </w:r>
    </w:p>
  </w:footnote>
  <w:footnote w:type="continuationSeparator" w:id="0">
    <w:p w14:paraId="5F9C507B" w14:textId="77777777" w:rsidR="00245946" w:rsidRDefault="00245946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4BB33" w14:textId="77777777" w:rsidR="00146DC5" w:rsidRDefault="00146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DCE8C" w14:textId="4811DB78" w:rsidR="00146DC5" w:rsidRDefault="00146DC5" w:rsidP="00146DC5">
    <w:pPr>
      <w:pStyle w:val="Header"/>
      <w:jc w:val="right"/>
    </w:pPr>
    <w:sdt>
      <w:sdtPr>
        <w:id w:val="-1659145495"/>
        <w:docPartObj>
          <w:docPartGallery w:val="Watermarks"/>
          <w:docPartUnique/>
        </w:docPartObj>
      </w:sdtPr>
      <w:sdtContent>
        <w:r>
          <w:pict w14:anchorId="21C704A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6B0B0A0F" wp14:editId="311D31F2">
          <wp:extent cx="2941320" cy="58674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4C718E" w14:textId="02C384B7" w:rsidR="008A36CF" w:rsidRPr="00146DC5" w:rsidRDefault="008A36CF" w:rsidP="00146D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8A1D9" w14:textId="77777777" w:rsidR="00146DC5" w:rsidRDefault="00146DC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4B461" w14:textId="61BA2F01" w:rsidR="00146DC5" w:rsidRDefault="00146DC5" w:rsidP="00146DC5">
    <w:pPr>
      <w:pStyle w:val="Header"/>
      <w:jc w:val="right"/>
    </w:pPr>
    <w:sdt>
      <w:sdtPr>
        <w:id w:val="-1899048890"/>
        <w:docPartObj>
          <w:docPartGallery w:val="Watermarks"/>
          <w:docPartUnique/>
        </w:docPartObj>
      </w:sdtPr>
      <w:sdtContent>
        <w:r>
          <w:pict w14:anchorId="3D90D8B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8194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78D7293D" wp14:editId="698656BB">
          <wp:extent cx="2941320" cy="586740"/>
          <wp:effectExtent l="0" t="0" r="0" b="381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5CB8AF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0BE63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C1444"/>
    <w:multiLevelType w:val="hybridMultilevel"/>
    <w:tmpl w:val="2D4C13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105C92"/>
    <w:multiLevelType w:val="hybridMultilevel"/>
    <w:tmpl w:val="C64CF50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20B41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1AA9"/>
    <w:rsid w:val="00092D94"/>
    <w:rsid w:val="00094CAF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0F34C0"/>
    <w:rsid w:val="0010461E"/>
    <w:rsid w:val="00106FAA"/>
    <w:rsid w:val="00113443"/>
    <w:rsid w:val="001269A7"/>
    <w:rsid w:val="00130352"/>
    <w:rsid w:val="00131092"/>
    <w:rsid w:val="00140E6A"/>
    <w:rsid w:val="00146545"/>
    <w:rsid w:val="00146B75"/>
    <w:rsid w:val="00146DC5"/>
    <w:rsid w:val="0015266D"/>
    <w:rsid w:val="0015288A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302E6"/>
    <w:rsid w:val="00244AD1"/>
    <w:rsid w:val="00245946"/>
    <w:rsid w:val="002463BC"/>
    <w:rsid w:val="002465CE"/>
    <w:rsid w:val="0025734A"/>
    <w:rsid w:val="00263255"/>
    <w:rsid w:val="00271A9D"/>
    <w:rsid w:val="00276494"/>
    <w:rsid w:val="00277B0C"/>
    <w:rsid w:val="002B1A2C"/>
    <w:rsid w:val="002C34F2"/>
    <w:rsid w:val="002C58FF"/>
    <w:rsid w:val="002C7AFE"/>
    <w:rsid w:val="002D05D2"/>
    <w:rsid w:val="002D1423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CB7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C4F0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65584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3DD"/>
    <w:rsid w:val="004D4AA1"/>
    <w:rsid w:val="004D615B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1F71"/>
    <w:rsid w:val="005272E2"/>
    <w:rsid w:val="0053108F"/>
    <w:rsid w:val="00532B56"/>
    <w:rsid w:val="00534B10"/>
    <w:rsid w:val="005446A2"/>
    <w:rsid w:val="00544D2F"/>
    <w:rsid w:val="00551BD8"/>
    <w:rsid w:val="00581055"/>
    <w:rsid w:val="00581B20"/>
    <w:rsid w:val="00591E38"/>
    <w:rsid w:val="00595BE4"/>
    <w:rsid w:val="005A19C5"/>
    <w:rsid w:val="005A3034"/>
    <w:rsid w:val="005A462D"/>
    <w:rsid w:val="005B253B"/>
    <w:rsid w:val="005B771D"/>
    <w:rsid w:val="005C5D16"/>
    <w:rsid w:val="005D2357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44995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23919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33D0"/>
    <w:rsid w:val="007E6A4E"/>
    <w:rsid w:val="007E6C94"/>
    <w:rsid w:val="007F0DC7"/>
    <w:rsid w:val="007F1005"/>
    <w:rsid w:val="007F25E0"/>
    <w:rsid w:val="007F5328"/>
    <w:rsid w:val="007F6B94"/>
    <w:rsid w:val="00804F5A"/>
    <w:rsid w:val="00810C6D"/>
    <w:rsid w:val="00812887"/>
    <w:rsid w:val="00826F21"/>
    <w:rsid w:val="00834049"/>
    <w:rsid w:val="00834CC8"/>
    <w:rsid w:val="0083575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C39FE"/>
    <w:rsid w:val="008C5BC9"/>
    <w:rsid w:val="008D026D"/>
    <w:rsid w:val="008D23AB"/>
    <w:rsid w:val="008D4B8B"/>
    <w:rsid w:val="008D5A78"/>
    <w:rsid w:val="008D6F27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C89"/>
    <w:rsid w:val="00974F2D"/>
    <w:rsid w:val="00977524"/>
    <w:rsid w:val="00977E88"/>
    <w:rsid w:val="00984920"/>
    <w:rsid w:val="00984A40"/>
    <w:rsid w:val="0099303A"/>
    <w:rsid w:val="00995412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5F78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382B"/>
    <w:rsid w:val="00A27E2D"/>
    <w:rsid w:val="00A31D99"/>
    <w:rsid w:val="00A357BA"/>
    <w:rsid w:val="00A35ADC"/>
    <w:rsid w:val="00A402A3"/>
    <w:rsid w:val="00A510DF"/>
    <w:rsid w:val="00A53681"/>
    <w:rsid w:val="00A53F29"/>
    <w:rsid w:val="00A60E6E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2D52"/>
    <w:rsid w:val="00B1422A"/>
    <w:rsid w:val="00B1765C"/>
    <w:rsid w:val="00B213C4"/>
    <w:rsid w:val="00B40C60"/>
    <w:rsid w:val="00B479A9"/>
    <w:rsid w:val="00B52EDF"/>
    <w:rsid w:val="00B53D19"/>
    <w:rsid w:val="00B71188"/>
    <w:rsid w:val="00B747B2"/>
    <w:rsid w:val="00B76A41"/>
    <w:rsid w:val="00B87D4C"/>
    <w:rsid w:val="00B93646"/>
    <w:rsid w:val="00BA0B38"/>
    <w:rsid w:val="00BA1DBB"/>
    <w:rsid w:val="00BA4510"/>
    <w:rsid w:val="00BA529A"/>
    <w:rsid w:val="00BB3414"/>
    <w:rsid w:val="00BB612A"/>
    <w:rsid w:val="00BD499F"/>
    <w:rsid w:val="00BD56DE"/>
    <w:rsid w:val="00BF2406"/>
    <w:rsid w:val="00C06E43"/>
    <w:rsid w:val="00C16315"/>
    <w:rsid w:val="00C3091E"/>
    <w:rsid w:val="00C40FF1"/>
    <w:rsid w:val="00C419E2"/>
    <w:rsid w:val="00C465BD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2F29"/>
    <w:rsid w:val="00CA58FE"/>
    <w:rsid w:val="00CB1CB1"/>
    <w:rsid w:val="00CB6BC1"/>
    <w:rsid w:val="00CB6CB8"/>
    <w:rsid w:val="00CC1A68"/>
    <w:rsid w:val="00CC2123"/>
    <w:rsid w:val="00CC6FBF"/>
    <w:rsid w:val="00CD2BFD"/>
    <w:rsid w:val="00CE5AD6"/>
    <w:rsid w:val="00CE617F"/>
    <w:rsid w:val="00CE78EF"/>
    <w:rsid w:val="00D01024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1E70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25BB"/>
    <w:rsid w:val="00E37CFD"/>
    <w:rsid w:val="00E41A26"/>
    <w:rsid w:val="00E46BCB"/>
    <w:rsid w:val="00E51CAF"/>
    <w:rsid w:val="00E60F04"/>
    <w:rsid w:val="00E62AAC"/>
    <w:rsid w:val="00E67C2F"/>
    <w:rsid w:val="00E67EF5"/>
    <w:rsid w:val="00E724BA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B6CFB"/>
    <w:rsid w:val="00EC120D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37F36"/>
    <w:rsid w:val="00F43AD5"/>
    <w:rsid w:val="00F4402E"/>
    <w:rsid w:val="00F549EC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0646"/>
    <w:rsid w:val="00FB07AE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207C5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595BE4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094CAF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40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04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04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0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049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0EA93ECD7C724ABCA1F3969CD9F97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A1962-3F55-4EB8-B780-32C1100F65E1}"/>
      </w:docPartPr>
      <w:docPartBody>
        <w:p w:rsidR="0041655E" w:rsidRDefault="00EC6482" w:rsidP="00EC6482">
          <w:pPr>
            <w:pStyle w:val="0EA93ECD7C724ABCA1F3969CD9F9769A"/>
          </w:pPr>
          <w:r w:rsidRPr="00DA129F">
            <w:rPr>
              <w:color w:val="00B050"/>
            </w:rPr>
            <w:t>20</w:t>
          </w:r>
          <w:r>
            <w:rPr>
              <w:color w:val="00B050"/>
            </w:rPr>
            <w:t>02</w:t>
          </w:r>
        </w:p>
      </w:docPartBody>
    </w:docPart>
    <w:docPart>
      <w:docPartPr>
        <w:name w:val="0A2188183AA341FB8294C08E5986A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9E500-08EB-47B0-BCE0-EE0B83446E3A}"/>
      </w:docPartPr>
      <w:docPartBody>
        <w:p w:rsidR="007B7E59" w:rsidRDefault="00EE5662" w:rsidP="00EE5662">
          <w:pPr>
            <w:pStyle w:val="0A2188183AA341FB8294C08E5986ABC0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74B5C"/>
    <w:rsid w:val="003B6128"/>
    <w:rsid w:val="0041655E"/>
    <w:rsid w:val="005D4E21"/>
    <w:rsid w:val="007B7E59"/>
    <w:rsid w:val="00B86450"/>
    <w:rsid w:val="00D21A9F"/>
    <w:rsid w:val="00EC6482"/>
    <w:rsid w:val="00EE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5662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6B8A19D589A14144B4E059B60E627085">
    <w:name w:val="6B8A19D589A14144B4E059B60E627085"/>
    <w:rsid w:val="00074B5C"/>
    <w:rPr>
      <w:lang w:val="en-US" w:eastAsia="en-US"/>
    </w:rPr>
  </w:style>
  <w:style w:type="paragraph" w:customStyle="1" w:styleId="EA8271D3EA8049BD887536C08DB2E7CD">
    <w:name w:val="EA8271D3EA8049BD887536C08DB2E7CD"/>
    <w:rsid w:val="00074B5C"/>
    <w:rPr>
      <w:lang w:val="en-US" w:eastAsia="en-US"/>
    </w:rPr>
  </w:style>
  <w:style w:type="paragraph" w:customStyle="1" w:styleId="5C7F87C22E134458A2A6B7DDD24679EB">
    <w:name w:val="5C7F87C22E134458A2A6B7DDD24679EB"/>
    <w:rsid w:val="00074B5C"/>
    <w:rPr>
      <w:lang w:val="en-US" w:eastAsia="en-US"/>
    </w:rPr>
  </w:style>
  <w:style w:type="paragraph" w:customStyle="1" w:styleId="4160D8C5FCC74CC189499FAEA6F3AAB4">
    <w:name w:val="4160D8C5FCC74CC189499FAEA6F3AAB4"/>
    <w:rsid w:val="00074B5C"/>
    <w:rPr>
      <w:lang w:val="en-US" w:eastAsia="en-US"/>
    </w:rPr>
  </w:style>
  <w:style w:type="paragraph" w:customStyle="1" w:styleId="0EA93ECD7C724ABCA1F3969CD9F9769A">
    <w:name w:val="0EA93ECD7C724ABCA1F3969CD9F9769A"/>
    <w:rsid w:val="00EC6482"/>
  </w:style>
  <w:style w:type="paragraph" w:customStyle="1" w:styleId="FC839B511A4A4EB8AD542AF04616D69C">
    <w:name w:val="FC839B511A4A4EB8AD542AF04616D69C"/>
    <w:rsid w:val="00EC6482"/>
  </w:style>
  <w:style w:type="paragraph" w:customStyle="1" w:styleId="0A2188183AA341FB8294C08E5986ABC0">
    <w:name w:val="0A2188183AA341FB8294C08E5986ABC0"/>
    <w:rsid w:val="00EE56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75F59-F619-4498-B6A7-73866995BC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7B4728-448D-4982-8EE9-4758700B36CE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f54d604-3e62-4e70-ba33-9e9084b96a66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81A355-4263-4CDB-822C-415A457DF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B8A056-389E-40E1-9C05-DBEBEE02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E2BC9936.dotm</Template>
  <TotalTime>0</TotalTime>
  <Pages>6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2019-12-17T06:06:00Z</dcterms:created>
  <dcterms:modified xsi:type="dcterms:W3CDTF">2020-01-15T03:28:00Z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