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BF0409D" w14:textId="77777777" w:rsidR="00BD499F" w:rsidRPr="004C23F4" w:rsidRDefault="00882A4D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Hydrogen Cyanide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6"/>
        <w:gridCol w:w="5040"/>
      </w:tblGrid>
      <w:tr w:rsidR="00F43AD5" w:rsidRPr="004C23F4" w14:paraId="60AD9787" w14:textId="77777777" w:rsidTr="00B76A41">
        <w:trPr>
          <w:cantSplit/>
          <w:tblHeader/>
        </w:trPr>
        <w:tc>
          <w:tcPr>
            <w:tcW w:w="4077" w:type="dxa"/>
          </w:tcPr>
          <w:p w14:paraId="5AEB9C3A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BD54B11" w14:textId="77777777" w:rsidR="00F43AD5" w:rsidRPr="00717D45" w:rsidRDefault="00882A4D" w:rsidP="00B76A41">
            <w:pPr>
              <w:pStyle w:val="Tablefont"/>
            </w:pPr>
            <w:r>
              <w:t>74-90-8</w:t>
            </w:r>
          </w:p>
        </w:tc>
      </w:tr>
      <w:tr w:rsidR="00F43AD5" w:rsidRPr="004C23F4" w14:paraId="43203041" w14:textId="77777777" w:rsidTr="00B76A41">
        <w:trPr>
          <w:cantSplit/>
        </w:trPr>
        <w:tc>
          <w:tcPr>
            <w:tcW w:w="4077" w:type="dxa"/>
          </w:tcPr>
          <w:p w14:paraId="7E9AF366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9789CB3" w14:textId="35BA0BA9" w:rsidR="00F43AD5" w:rsidRPr="00717D45" w:rsidRDefault="00246875" w:rsidP="00B76A41">
            <w:pPr>
              <w:pStyle w:val="Tablefont"/>
            </w:pPr>
            <w:r>
              <w:t xml:space="preserve">Hydrocyanic acid, prussic acid, </w:t>
            </w:r>
            <w:proofErr w:type="spellStart"/>
            <w:r>
              <w:t>formonitrile</w:t>
            </w:r>
            <w:proofErr w:type="spellEnd"/>
          </w:p>
        </w:tc>
      </w:tr>
      <w:tr w:rsidR="00F43AD5" w:rsidRPr="004C23F4" w14:paraId="16A49A0A" w14:textId="77777777" w:rsidTr="00B76A41">
        <w:trPr>
          <w:cantSplit/>
        </w:trPr>
        <w:tc>
          <w:tcPr>
            <w:tcW w:w="4077" w:type="dxa"/>
          </w:tcPr>
          <w:p w14:paraId="44E8146A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6640871" w14:textId="30D5900A" w:rsidR="00F43AD5" w:rsidRPr="00717D45" w:rsidRDefault="00246875" w:rsidP="00B76A41">
            <w:pPr>
              <w:pStyle w:val="Tablefont"/>
            </w:pPr>
            <w:r>
              <w:t>HCN</w:t>
            </w:r>
          </w:p>
        </w:tc>
      </w:tr>
      <w:tr w:rsidR="00F43AD5" w:rsidRPr="004C23F4" w14:paraId="7F974235" w14:textId="77777777" w:rsidTr="00B76A41">
        <w:trPr>
          <w:cantSplit/>
        </w:trPr>
        <w:tc>
          <w:tcPr>
            <w:tcW w:w="4077" w:type="dxa"/>
          </w:tcPr>
          <w:p w14:paraId="43B633F2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FF39B3D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68D3DD4B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A2B50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6CE8DA57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22DD71C5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24625F25" w14:textId="77777777" w:rsidR="002C7AFE" w:rsidRPr="00B12284" w:rsidRDefault="00B1228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0.9 ppm (1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5A17BF4A" w14:textId="77777777" w:rsidTr="00921DE7">
        <w:trPr>
          <w:cantSplit/>
        </w:trPr>
        <w:tc>
          <w:tcPr>
            <w:tcW w:w="4077" w:type="dxa"/>
            <w:vAlign w:val="center"/>
          </w:tcPr>
          <w:p w14:paraId="3C0D3BE2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62BF25BD" w14:textId="640A3D99" w:rsidR="002C7AFE" w:rsidRPr="00EB3D1B" w:rsidRDefault="004A380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BA09A8D" w14:textId="77777777" w:rsidTr="00921DE7">
        <w:trPr>
          <w:cantSplit/>
        </w:trPr>
        <w:tc>
          <w:tcPr>
            <w:tcW w:w="4077" w:type="dxa"/>
            <w:vAlign w:val="center"/>
          </w:tcPr>
          <w:p w14:paraId="5C126ED8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4A334310" w14:textId="04E52F06" w:rsidR="002C7AFE" w:rsidRPr="00B12284" w:rsidRDefault="001376E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4.7</w:t>
            </w:r>
            <w:r w:rsidR="00B12284">
              <w:rPr>
                <w:b/>
              </w:rPr>
              <w:t xml:space="preserve"> ppm (</w:t>
            </w:r>
            <w:r>
              <w:rPr>
                <w:b/>
              </w:rPr>
              <w:t>5</w:t>
            </w:r>
            <w:r w:rsidR="00CC43CF">
              <w:rPr>
                <w:b/>
              </w:rPr>
              <w:t xml:space="preserve"> </w:t>
            </w:r>
            <w:r w:rsidR="00B12284">
              <w:rPr>
                <w:b/>
              </w:rPr>
              <w:t>mg/m</w:t>
            </w:r>
            <w:r w:rsidR="00B12284">
              <w:rPr>
                <w:b/>
                <w:vertAlign w:val="superscript"/>
              </w:rPr>
              <w:t>3</w:t>
            </w:r>
            <w:r w:rsidR="00B12284">
              <w:rPr>
                <w:b/>
              </w:rPr>
              <w:t>)</w:t>
            </w:r>
          </w:p>
        </w:tc>
      </w:tr>
      <w:tr w:rsidR="002C7AFE" w:rsidRPr="004C23F4" w14:paraId="5127EF68" w14:textId="77777777" w:rsidTr="00A2073D">
        <w:trPr>
          <w:cantSplit/>
        </w:trPr>
        <w:tc>
          <w:tcPr>
            <w:tcW w:w="4077" w:type="dxa"/>
          </w:tcPr>
          <w:p w14:paraId="4B55CF9D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360AA34F" w14:textId="5F1B0589" w:rsidR="002C7AFE" w:rsidRPr="00EB3D1B" w:rsidRDefault="00B12284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</w:t>
            </w:r>
            <w:r w:rsidR="004A21C7">
              <w:rPr>
                <w:b/>
              </w:rPr>
              <w:t>.</w:t>
            </w:r>
          </w:p>
        </w:tc>
      </w:tr>
      <w:tr w:rsidR="002C7AFE" w:rsidRPr="004C23F4" w14:paraId="4E49321B" w14:textId="77777777" w:rsidTr="00921DE7">
        <w:trPr>
          <w:cantSplit/>
        </w:trPr>
        <w:tc>
          <w:tcPr>
            <w:tcW w:w="4077" w:type="dxa"/>
            <w:vAlign w:val="center"/>
          </w:tcPr>
          <w:p w14:paraId="04183D3B" w14:textId="77777777" w:rsidR="002C7AFE" w:rsidRDefault="00921DE7" w:rsidP="00921DE7">
            <w:pPr>
              <w:pStyle w:val="Tablerowright"/>
            </w:pPr>
            <w:r>
              <w:t>IDLH:</w:t>
            </w:r>
          </w:p>
          <w:p w14:paraId="30F1A8BF" w14:textId="77777777" w:rsidR="00F10C97" w:rsidRPr="002C58FF" w:rsidRDefault="00F10C97" w:rsidP="00F10C97">
            <w:pPr>
              <w:pStyle w:val="Tablerowright"/>
              <w:jc w:val="left"/>
            </w:pPr>
            <w:r>
              <w:t>Sampling and analysis:</w:t>
            </w:r>
          </w:p>
        </w:tc>
        <w:tc>
          <w:tcPr>
            <w:tcW w:w="5165" w:type="dxa"/>
          </w:tcPr>
          <w:p w14:paraId="41E37696" w14:textId="77777777" w:rsidR="002C7AFE" w:rsidRPr="00EB3D1B" w:rsidRDefault="003F4BE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 ppm</w:t>
            </w:r>
          </w:p>
        </w:tc>
      </w:tr>
    </w:tbl>
    <w:p w14:paraId="691418F0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30D94F1" w14:textId="1F10CEC2" w:rsidR="00B12284" w:rsidRDefault="009B1DB8" w:rsidP="000C139A">
      <w:r>
        <w:rPr>
          <w:rFonts w:cs="Arial"/>
        </w:rPr>
        <w:t>A</w:t>
      </w:r>
      <w:r w:rsidR="00B12284">
        <w:rPr>
          <w:rFonts w:cs="Arial"/>
        </w:rPr>
        <w:t xml:space="preserve"> TWA </w:t>
      </w:r>
      <w:r w:rsidR="00D71D32">
        <w:rPr>
          <w:rFonts w:cs="Arial"/>
        </w:rPr>
        <w:t>of 0.9 ppm (1</w:t>
      </w:r>
      <w:r w:rsidR="001B075D">
        <w:rPr>
          <w:rFonts w:cs="Arial"/>
        </w:rPr>
        <w:t xml:space="preserve"> </w:t>
      </w:r>
      <w:r w:rsidR="00D71D32">
        <w:rPr>
          <w:rFonts w:cs="Arial"/>
        </w:rPr>
        <w:t>mg/m</w:t>
      </w:r>
      <w:r w:rsidR="00D71D32" w:rsidRPr="00C77A2F">
        <w:rPr>
          <w:rFonts w:cs="Arial"/>
          <w:vertAlign w:val="superscript"/>
        </w:rPr>
        <w:t>3</w:t>
      </w:r>
      <w:r w:rsidR="00D71D32">
        <w:rPr>
          <w:rFonts w:cs="Arial"/>
        </w:rPr>
        <w:t>) is</w:t>
      </w:r>
      <w:r w:rsidR="00B12284">
        <w:rPr>
          <w:rFonts w:cs="Arial"/>
        </w:rPr>
        <w:t xml:space="preserve"> recommended to protect </w:t>
      </w:r>
      <w:r w:rsidR="00D71D32">
        <w:rPr>
          <w:rFonts w:cs="Arial"/>
        </w:rPr>
        <w:t xml:space="preserve">for </w:t>
      </w:r>
      <w:r w:rsidR="00B12284">
        <w:t xml:space="preserve">chronic </w:t>
      </w:r>
      <w:r w:rsidR="003377A6">
        <w:rPr>
          <w:noProof/>
        </w:rPr>
        <w:t>neurological symptoms</w:t>
      </w:r>
      <w:r w:rsidR="003377A6">
        <w:t xml:space="preserve"> and thyroid enlargement</w:t>
      </w:r>
      <w:r w:rsidR="00B12284">
        <w:t xml:space="preserve"> </w:t>
      </w:r>
      <w:r w:rsidR="004A3809">
        <w:t>in exposed workers</w:t>
      </w:r>
      <w:r w:rsidR="00B12284">
        <w:t>.</w:t>
      </w:r>
    </w:p>
    <w:p w14:paraId="7B17AEA6" w14:textId="7CB8E718" w:rsidR="006639B4" w:rsidRDefault="009B1DB8" w:rsidP="000C139A">
      <w:r>
        <w:t>A</w:t>
      </w:r>
      <w:r w:rsidR="00B12284">
        <w:t xml:space="preserve"> </w:t>
      </w:r>
      <w:r w:rsidR="00FF533F">
        <w:t>p</w:t>
      </w:r>
      <w:r w:rsidR="00B12284">
        <w:t xml:space="preserve">eak </w:t>
      </w:r>
      <w:r w:rsidR="00FF533F">
        <w:t>l</w:t>
      </w:r>
      <w:r w:rsidR="00B12284">
        <w:t xml:space="preserve">imitation </w:t>
      </w:r>
      <w:r w:rsidR="00BB2685">
        <w:t xml:space="preserve">of </w:t>
      </w:r>
      <w:r w:rsidR="001376EB">
        <w:t>4.7</w:t>
      </w:r>
      <w:r w:rsidR="00D71D32">
        <w:t xml:space="preserve"> </w:t>
      </w:r>
      <w:r w:rsidR="00BB2685">
        <w:t>ppm (</w:t>
      </w:r>
      <w:r w:rsidR="001376EB">
        <w:t>5</w:t>
      </w:r>
      <w:r w:rsidR="00CC43CF">
        <w:t xml:space="preserve"> </w:t>
      </w:r>
      <w:r w:rsidR="00BB2685">
        <w:t>mg/m</w:t>
      </w:r>
      <w:r w:rsidR="00BB2685" w:rsidRPr="00C77A2F">
        <w:rPr>
          <w:vertAlign w:val="superscript"/>
        </w:rPr>
        <w:t>3</w:t>
      </w:r>
      <w:r w:rsidR="00BB2685">
        <w:t>) is</w:t>
      </w:r>
      <w:r w:rsidR="00B12284">
        <w:t xml:space="preserve"> recommended to protect </w:t>
      </w:r>
      <w:r w:rsidR="00C923DC">
        <w:t xml:space="preserve">for </w:t>
      </w:r>
      <w:r w:rsidR="00BB2685">
        <w:t>immediate and sever</w:t>
      </w:r>
      <w:r w:rsidR="00236161">
        <w:t>e</w:t>
      </w:r>
      <w:r w:rsidR="00BB2685">
        <w:t xml:space="preserve"> health effects</w:t>
      </w:r>
      <w:r w:rsidR="006668E4">
        <w:t xml:space="preserve"> </w:t>
      </w:r>
      <w:r w:rsidR="00B12284">
        <w:t xml:space="preserve">(death, coma, respiratory failure) </w:t>
      </w:r>
      <w:r w:rsidR="004A3809">
        <w:t>in workers exposed</w:t>
      </w:r>
      <w:r w:rsidR="00B12284">
        <w:t xml:space="preserve"> at the workplace.</w:t>
      </w:r>
    </w:p>
    <w:p w14:paraId="569412FC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CB5E22F" w14:textId="4DF4C4CC" w:rsidR="003377A6" w:rsidRDefault="00DE60F6" w:rsidP="00CF1E99">
      <w:r w:rsidRPr="00DE60F6">
        <w:t xml:space="preserve">Hydrogen cyanide and </w:t>
      </w:r>
      <w:r w:rsidR="00AE4DF2">
        <w:t>cyanide</w:t>
      </w:r>
      <w:r w:rsidR="001376EB">
        <w:t xml:space="preserve"> </w:t>
      </w:r>
      <w:r w:rsidRPr="00DE60F6">
        <w:t xml:space="preserve">salts have very similar toxicological endpoints and effects </w:t>
      </w:r>
      <w:r w:rsidR="00CB442A">
        <w:t>acting primarily</w:t>
      </w:r>
      <w:r w:rsidRPr="00DE60F6">
        <w:t xml:space="preserve"> </w:t>
      </w:r>
      <w:r w:rsidR="00CF1E99">
        <w:t>through</w:t>
      </w:r>
      <w:r w:rsidRPr="00DE60F6">
        <w:t xml:space="preserve"> the release of the cyanide ion </w:t>
      </w:r>
      <w:r w:rsidR="00CB442A">
        <w:t>(ACGIH, 2018; DFG, 2001). N</w:t>
      </w:r>
      <w:r w:rsidR="00CB442A" w:rsidRPr="00CB442A">
        <w:t xml:space="preserve">umerous reports </w:t>
      </w:r>
      <w:r w:rsidR="003377A6">
        <w:t>identify</w:t>
      </w:r>
      <w:r w:rsidR="00CB442A">
        <w:t xml:space="preserve"> </w:t>
      </w:r>
      <w:r w:rsidR="003377A6">
        <w:t>acute toxicity relating</w:t>
      </w:r>
      <w:r w:rsidR="00CB442A" w:rsidRPr="00CB442A">
        <w:t xml:space="preserve"> to accidental poisoning</w:t>
      </w:r>
      <w:r w:rsidR="00CF1E99">
        <w:t xml:space="preserve"> with symptoms</w:t>
      </w:r>
      <w:r w:rsidR="00CB442A" w:rsidRPr="00CB442A">
        <w:t xml:space="preserve"> </w:t>
      </w:r>
      <w:r w:rsidR="00CF1E99">
        <w:t>including</w:t>
      </w:r>
      <w:r w:rsidR="003377A6">
        <w:t xml:space="preserve"> </w:t>
      </w:r>
      <w:r w:rsidR="00CB442A" w:rsidRPr="00CB442A">
        <w:t xml:space="preserve">headaches, light-headedness and </w:t>
      </w:r>
      <w:r w:rsidR="00722C81">
        <w:t>loss of consciousness, which</w:t>
      </w:r>
      <w:r w:rsidR="00CB442A" w:rsidRPr="00CB442A">
        <w:t xml:space="preserve"> </w:t>
      </w:r>
      <w:r w:rsidR="003377A6">
        <w:t xml:space="preserve">are </w:t>
      </w:r>
      <w:r w:rsidR="00CB442A" w:rsidRPr="00CB442A">
        <w:t>reversed after removal from exposure</w:t>
      </w:r>
      <w:r w:rsidR="00CB442A">
        <w:t xml:space="preserve">. </w:t>
      </w:r>
    </w:p>
    <w:p w14:paraId="09A930FB" w14:textId="23BEEEB5" w:rsidR="00DE60F6" w:rsidRDefault="00CB442A" w:rsidP="00CF1E99">
      <w:r w:rsidRPr="00CB442A">
        <w:t xml:space="preserve">A study in workers exposed </w:t>
      </w:r>
      <w:r w:rsidR="009B1DB8">
        <w:t>at</w:t>
      </w:r>
      <w:r w:rsidRPr="00CB442A">
        <w:t xml:space="preserve"> 4.2</w:t>
      </w:r>
      <w:r w:rsidR="004A3809">
        <w:t xml:space="preserve"> to </w:t>
      </w:r>
      <w:r w:rsidRPr="00CB442A">
        <w:t>12.4 ppm in the breathing zone reported inciden</w:t>
      </w:r>
      <w:r w:rsidR="00CF1E99">
        <w:t>ce</w:t>
      </w:r>
      <w:r w:rsidRPr="00CB442A">
        <w:t xml:space="preserve"> of headache, weakness, changes in taste and smell, irritation of the throat, vomiting and effort </w:t>
      </w:r>
      <w:r w:rsidR="00FF533F" w:rsidRPr="00CB442A">
        <w:t>dyspnoea</w:t>
      </w:r>
      <w:r w:rsidR="004A3809">
        <w:t xml:space="preserve"> (ACGIH, </w:t>
      </w:r>
      <w:r>
        <w:t>2018; DFG, 2001; HCOTN, 2001).</w:t>
      </w:r>
      <w:r w:rsidR="001376EB" w:rsidRPr="001376EB">
        <w:t xml:space="preserve"> </w:t>
      </w:r>
      <w:r w:rsidR="001376EB" w:rsidRPr="00384DD2">
        <w:t xml:space="preserve">Nasal irritation and septum ulceration </w:t>
      </w:r>
      <w:r w:rsidR="00CF1E99">
        <w:t>were</w:t>
      </w:r>
      <w:r w:rsidR="001376EB">
        <w:t xml:space="preserve"> reported </w:t>
      </w:r>
      <w:r w:rsidR="001376EB" w:rsidRPr="00384DD2">
        <w:t>in workers exposed to approximately 5 ppm (5.1 mg/m</w:t>
      </w:r>
      <w:r w:rsidR="001376EB" w:rsidRPr="00CF1E99">
        <w:rPr>
          <w:vertAlign w:val="superscript"/>
        </w:rPr>
        <w:t>3</w:t>
      </w:r>
      <w:r w:rsidR="001376EB" w:rsidRPr="00384DD2">
        <w:t>)</w:t>
      </w:r>
      <w:r w:rsidR="001376EB">
        <w:t xml:space="preserve"> (ACGIH, 2018).</w:t>
      </w:r>
    </w:p>
    <w:p w14:paraId="2CB36E6A" w14:textId="77777777" w:rsidR="009B1DB8" w:rsidRDefault="009B1DB8" w:rsidP="009B1DB8">
      <w:pPr>
        <w:rPr>
          <w:rStyle w:val="checkbox"/>
          <w:rFonts w:ascii="Arial" w:hAnsi="Arial" w:cs="Arial"/>
        </w:rPr>
      </w:pPr>
      <w:r>
        <w:rPr>
          <w:rStyle w:val="checkbox"/>
          <w:rFonts w:ascii="Arial" w:hAnsi="Arial" w:cs="Arial"/>
        </w:rPr>
        <w:t>The US EPA (2010) reported that</w:t>
      </w:r>
      <w:r w:rsidRPr="00DE60F6">
        <w:rPr>
          <w:rStyle w:val="checkbox"/>
          <w:rFonts w:ascii="Arial" w:hAnsi="Arial" w:cs="Arial"/>
        </w:rPr>
        <w:t xml:space="preserve"> exposure </w:t>
      </w:r>
      <w:r>
        <w:rPr>
          <w:rStyle w:val="checkbox"/>
          <w:rFonts w:ascii="Arial" w:hAnsi="Arial" w:cs="Arial"/>
        </w:rPr>
        <w:t>to</w:t>
      </w:r>
      <w:r w:rsidRPr="00DE60F6">
        <w:rPr>
          <w:rStyle w:val="checkbox"/>
          <w:rFonts w:ascii="Arial" w:hAnsi="Arial" w:cs="Arial"/>
        </w:rPr>
        <w:t xml:space="preserve"> low concentrations of cyanide </w:t>
      </w:r>
      <w:r>
        <w:rPr>
          <w:rStyle w:val="checkbox"/>
          <w:rFonts w:ascii="Arial" w:hAnsi="Arial" w:cs="Arial"/>
        </w:rPr>
        <w:t>in worker</w:t>
      </w:r>
      <w:r w:rsidRPr="00DE60F6">
        <w:rPr>
          <w:rStyle w:val="checkbox"/>
          <w:rFonts w:ascii="Arial" w:hAnsi="Arial" w:cs="Arial"/>
        </w:rPr>
        <w:t xml:space="preserve">s can cause thyroid effects and </w:t>
      </w:r>
      <w:r>
        <w:rPr>
          <w:rStyle w:val="checkbox"/>
          <w:rFonts w:ascii="Arial" w:hAnsi="Arial" w:cs="Arial"/>
        </w:rPr>
        <w:t>central nervous system</w:t>
      </w:r>
      <w:r w:rsidRPr="00DE60F6">
        <w:rPr>
          <w:rStyle w:val="checkbox"/>
          <w:rFonts w:ascii="Arial" w:hAnsi="Arial" w:cs="Arial"/>
        </w:rPr>
        <w:t xml:space="preserve"> symptoms</w:t>
      </w:r>
      <w:r>
        <w:rPr>
          <w:rStyle w:val="checkbox"/>
          <w:rFonts w:ascii="Arial" w:hAnsi="Arial" w:cs="Arial"/>
        </w:rPr>
        <w:t>. A LOAEL of 6.4 ppm (7.07 mg/m</w:t>
      </w:r>
      <w:r>
        <w:rPr>
          <w:rStyle w:val="checkbox"/>
          <w:rFonts w:ascii="Arial" w:hAnsi="Arial" w:cs="Arial"/>
          <w:vertAlign w:val="superscript"/>
        </w:rPr>
        <w:t>3</w:t>
      </w:r>
      <w:r>
        <w:rPr>
          <w:rStyle w:val="checkbox"/>
          <w:rFonts w:ascii="Arial" w:hAnsi="Arial" w:cs="Arial"/>
        </w:rPr>
        <w:t xml:space="preserve">) was reported for observed thyroid effects from a long-term occupational study involving 36 male workers and a control group of 20.  </w:t>
      </w:r>
    </w:p>
    <w:p w14:paraId="3AC8C215" w14:textId="0B62C090" w:rsidR="008A2B50" w:rsidRDefault="009B1DB8" w:rsidP="00CF1E99">
      <w:pPr>
        <w:rPr>
          <w:rStyle w:val="checkbox"/>
          <w:rFonts w:ascii="Arial" w:eastAsiaTheme="majorEastAsia" w:hAnsi="Arial" w:cs="Arial"/>
          <w:b/>
          <w:bCs/>
          <w:iCs/>
          <w:color w:val="000000" w:themeColor="text1"/>
          <w:sz w:val="28"/>
          <w:szCs w:val="32"/>
          <w:lang w:eastAsia="en-AU"/>
        </w:rPr>
      </w:pPr>
      <w:r>
        <w:rPr>
          <w:rStyle w:val="checkbox"/>
          <w:rFonts w:ascii="Arial" w:hAnsi="Arial" w:cs="Arial"/>
        </w:rPr>
        <w:t>Based on the evidence above, a TWA of 0.9 ppm (1 mg/</w:t>
      </w:r>
      <w:r w:rsidRPr="009B1DB8">
        <w:rPr>
          <w:rStyle w:val="checkbox"/>
          <w:rFonts w:ascii="Arial" w:hAnsi="Arial" w:cs="Arial"/>
        </w:rPr>
        <w:t>m</w:t>
      </w:r>
      <w:r w:rsidRPr="009B1DB8">
        <w:rPr>
          <w:rStyle w:val="checkbox"/>
          <w:rFonts w:ascii="Arial" w:hAnsi="Arial" w:cs="Arial"/>
          <w:vertAlign w:val="superscript"/>
        </w:rPr>
        <w:t>3</w:t>
      </w:r>
      <w:r>
        <w:rPr>
          <w:rStyle w:val="checkbox"/>
          <w:rFonts w:ascii="Arial" w:hAnsi="Arial" w:cs="Arial"/>
        </w:rPr>
        <w:t xml:space="preserve">) </w:t>
      </w:r>
      <w:r w:rsidRPr="009B1DB8">
        <w:rPr>
          <w:rStyle w:val="checkbox"/>
          <w:rFonts w:ascii="Arial" w:hAnsi="Arial" w:cs="Arial"/>
        </w:rPr>
        <w:t>is</w:t>
      </w:r>
      <w:r>
        <w:rPr>
          <w:rStyle w:val="checkbox"/>
          <w:rFonts w:ascii="Arial" w:hAnsi="Arial" w:cs="Arial"/>
        </w:rPr>
        <w:t xml:space="preserve"> recommended to protect for chronic effects</w:t>
      </w:r>
      <w:r w:rsidR="004102AD">
        <w:rPr>
          <w:rStyle w:val="checkbox"/>
          <w:rFonts w:ascii="Arial" w:hAnsi="Arial" w:cs="Arial"/>
        </w:rPr>
        <w:t xml:space="preserve"> with a peak limitation of 4.7 ppm (5 mg/m</w:t>
      </w:r>
      <w:r w:rsidR="004102AD">
        <w:rPr>
          <w:rStyle w:val="checkbox"/>
          <w:rFonts w:ascii="Arial" w:hAnsi="Arial" w:cs="Arial"/>
          <w:vertAlign w:val="superscript"/>
        </w:rPr>
        <w:t>3</w:t>
      </w:r>
      <w:r w:rsidR="004102AD">
        <w:rPr>
          <w:rStyle w:val="checkbox"/>
          <w:rFonts w:ascii="Arial" w:hAnsi="Arial" w:cs="Arial"/>
        </w:rPr>
        <w:t xml:space="preserve">) </w:t>
      </w:r>
      <w:r w:rsidR="008A2B50">
        <w:rPr>
          <w:rStyle w:val="checkbox"/>
          <w:rFonts w:ascii="Arial" w:hAnsi="Arial" w:cs="Arial"/>
        </w:rPr>
        <w:t xml:space="preserve">recommended to protect acutely exposed workers.  </w:t>
      </w:r>
    </w:p>
    <w:p w14:paraId="722A448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AD24817" w14:textId="1B03B2CE" w:rsidR="00002A36" w:rsidRPr="00BE06A2" w:rsidRDefault="00BE720B" w:rsidP="00002A36">
      <w:pPr>
        <w:rPr>
          <w:rFonts w:cs="Arial"/>
        </w:rPr>
      </w:pPr>
      <w:r>
        <w:rPr>
          <w:rFonts w:cs="Arial"/>
        </w:rPr>
        <w:t>N</w:t>
      </w:r>
      <w:r w:rsidR="00002A36">
        <w:rPr>
          <w:rFonts w:cs="Arial"/>
        </w:rPr>
        <w:t xml:space="preserve">ot </w:t>
      </w:r>
      <w:r w:rsidR="00002A36" w:rsidRPr="00BE06A2">
        <w:rPr>
          <w:rFonts w:cs="Arial"/>
        </w:rPr>
        <w:t>classified as a carcinogen according to the Globally Harmonized System of Classification and Labelling of Chemicals (GHS).</w:t>
      </w:r>
    </w:p>
    <w:p w14:paraId="226366A1" w14:textId="109D23F6" w:rsidR="0025734A" w:rsidRPr="004C23F4" w:rsidRDefault="00BE720B">
      <w:pPr>
        <w:rPr>
          <w:rFonts w:cs="Arial"/>
        </w:rPr>
      </w:pPr>
      <w:r>
        <w:rPr>
          <w:rFonts w:cs="Arial"/>
        </w:rPr>
        <w:lastRenderedPageBreak/>
        <w:t>Not</w:t>
      </w:r>
      <w:r w:rsidRPr="00BE06A2">
        <w:rPr>
          <w:rFonts w:cs="Arial"/>
        </w:rPr>
        <w:t xml:space="preserve"> </w:t>
      </w:r>
      <w:r w:rsidR="00002A36" w:rsidRPr="00BE06A2">
        <w:rPr>
          <w:rFonts w:cs="Arial"/>
        </w:rPr>
        <w:t xml:space="preserve">classified as a skin </w:t>
      </w:r>
      <w:r w:rsidR="004A3809">
        <w:rPr>
          <w:rFonts w:cs="Arial"/>
        </w:rPr>
        <w:t xml:space="preserve">sensitiser </w:t>
      </w:r>
      <w:r>
        <w:rPr>
          <w:rFonts w:cs="Arial"/>
        </w:rPr>
        <w:t xml:space="preserve">or respiratory </w:t>
      </w:r>
      <w:r w:rsidR="00002A36" w:rsidRPr="00BE06A2">
        <w:rPr>
          <w:rFonts w:cs="Arial"/>
        </w:rPr>
        <w:t>sensitiser according to the GHS</w:t>
      </w:r>
      <w:r>
        <w:rPr>
          <w:rFonts w:cs="Arial"/>
        </w:rPr>
        <w:t>.</w:t>
      </w:r>
    </w:p>
    <w:p w14:paraId="062A22DF" w14:textId="77D880A0" w:rsidR="00BE720B" w:rsidRDefault="00BE720B" w:rsidP="00BE720B">
      <w:pPr>
        <w:rPr>
          <w:rFonts w:cs="Arial"/>
        </w:rPr>
      </w:pPr>
      <w:r>
        <w:rPr>
          <w:rFonts w:cs="Arial"/>
        </w:rPr>
        <w:t xml:space="preserve">A skin notation has been assigned as evidence indicates </w:t>
      </w:r>
      <w:r w:rsidR="00AE4DF2">
        <w:rPr>
          <w:rFonts w:cs="Arial"/>
        </w:rPr>
        <w:t>rapid absorption</w:t>
      </w:r>
      <w:r>
        <w:rPr>
          <w:rFonts w:cs="Arial"/>
        </w:rPr>
        <w:t xml:space="preserve"> through skin.</w:t>
      </w:r>
    </w:p>
    <w:p w14:paraId="5A64F418" w14:textId="47FF4D1E" w:rsidR="001B075D" w:rsidRDefault="001B075D">
      <w:pPr>
        <w:rPr>
          <w:rFonts w:cs="Arial"/>
        </w:rPr>
      </w:pPr>
    </w:p>
    <w:p w14:paraId="592F013B" w14:textId="77777777" w:rsidR="001B075D" w:rsidRPr="001B075D" w:rsidRDefault="001B075D" w:rsidP="001B075D">
      <w:pPr>
        <w:rPr>
          <w:rFonts w:cs="Arial"/>
        </w:rPr>
      </w:pPr>
    </w:p>
    <w:p w14:paraId="2669FC7F" w14:textId="77777777" w:rsidR="001B075D" w:rsidRPr="001B075D" w:rsidRDefault="001B075D" w:rsidP="001B075D">
      <w:pPr>
        <w:rPr>
          <w:rFonts w:cs="Arial"/>
        </w:rPr>
      </w:pPr>
    </w:p>
    <w:p w14:paraId="192B92A4" w14:textId="77777777" w:rsidR="001B075D" w:rsidRPr="001B075D" w:rsidRDefault="001B075D" w:rsidP="001B075D">
      <w:pPr>
        <w:rPr>
          <w:rFonts w:cs="Arial"/>
        </w:rPr>
      </w:pPr>
    </w:p>
    <w:p w14:paraId="470E0D01" w14:textId="784FEB62" w:rsidR="005E6979" w:rsidRPr="001B075D" w:rsidRDefault="005E6979" w:rsidP="001B075D">
      <w:pPr>
        <w:rPr>
          <w:rFonts w:cs="Arial"/>
        </w:rPr>
        <w:sectPr w:rsidR="005E6979" w:rsidRPr="001B075D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DF5331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2B66C5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A09A198" w14:textId="77777777" w:rsidTr="00F15217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B676E91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BC928D6" w14:textId="77777777" w:rsidTr="00F1521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E8913CB" w14:textId="373ED56D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82A4D">
                  <w:t>1986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82A4D" w:rsidRPr="00882A4D">
                  <w:t xml:space="preserve">Peak: 10 ppm </w:t>
                </w:r>
                <w:r w:rsidR="00A23BA0">
                  <w:t>(</w:t>
                </w:r>
                <w:r w:rsidR="00882A4D" w:rsidRPr="00882A4D">
                  <w:t>11 mg/m</w:t>
                </w:r>
                <w:r w:rsidR="00882A4D" w:rsidRPr="00882A4D">
                  <w:rPr>
                    <w:vertAlign w:val="superscript"/>
                  </w:rPr>
                  <w:t>3</w:t>
                </w:r>
                <w:r w:rsidR="00882A4D" w:rsidRPr="00882A4D">
                  <w:t>)</w:t>
                </w:r>
              </w:sdtContent>
            </w:sdt>
          </w:p>
        </w:tc>
      </w:tr>
      <w:tr w:rsidR="00C978F0" w:rsidRPr="00DA352E" w14:paraId="34DC9E1D" w14:textId="77777777" w:rsidTr="00F15217">
        <w:trPr>
          <w:gridAfter w:val="1"/>
          <w:wAfter w:w="8" w:type="pct"/>
        </w:trPr>
        <w:tc>
          <w:tcPr>
            <w:tcW w:w="4992" w:type="pct"/>
          </w:tcPr>
          <w:p w14:paraId="6F308EA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2DADE94" w14:textId="77777777" w:rsidTr="00F1521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EAAA07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882A4D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882A4D">
                  <w:t>TLV-Ceiling: 4.7 ppm (5 mg/m</w:t>
                </w:r>
                <w:r w:rsidR="00882A4D">
                  <w:rPr>
                    <w:vertAlign w:val="superscript"/>
                  </w:rPr>
                  <w:t>3</w:t>
                </w:r>
                <w:r w:rsidR="00882A4D">
                  <w:t>)</w:t>
                </w:r>
              </w:sdtContent>
            </w:sdt>
          </w:p>
        </w:tc>
      </w:tr>
      <w:tr w:rsidR="00C978F0" w:rsidRPr="00DA352E" w14:paraId="594EF5A1" w14:textId="77777777" w:rsidTr="00F15217">
        <w:trPr>
          <w:gridAfter w:val="1"/>
          <w:wAfter w:w="8" w:type="pct"/>
        </w:trPr>
        <w:tc>
          <w:tcPr>
            <w:tcW w:w="4992" w:type="pct"/>
          </w:tcPr>
          <w:p w14:paraId="6199BC70" w14:textId="1FDBA484" w:rsidR="00C978F0" w:rsidRDefault="00300B86" w:rsidP="003365A5">
            <w:pPr>
              <w:pStyle w:val="Tabletextprimarysource"/>
            </w:pPr>
            <w:r>
              <w:t>TLV-Ceiling, m</w:t>
            </w:r>
            <w:r w:rsidR="00882A4D">
              <w:t>easured as the cyanide ion (CN</w:t>
            </w:r>
            <w:r w:rsidR="00AE4DF2">
              <w:t>-</w:t>
            </w:r>
            <w:r w:rsidR="00882A4D">
              <w:t>)</w:t>
            </w:r>
            <w:r>
              <w:t>, recommended to minimise the potential for headache</w:t>
            </w:r>
            <w:r w:rsidR="00FF533F">
              <w:t>,</w:t>
            </w:r>
            <w:r>
              <w:t xml:space="preserve"> nausea</w:t>
            </w:r>
            <w:r w:rsidR="00FF533F">
              <w:t>,</w:t>
            </w:r>
            <w:r>
              <w:t xml:space="preserve"> nasal, throat, and pulmonary irritation and enlargement of the thyroid gland.</w:t>
            </w:r>
          </w:p>
          <w:p w14:paraId="44C430ED" w14:textId="77777777" w:rsidR="00511D91" w:rsidRDefault="00511D91" w:rsidP="00BE720B">
            <w:pPr>
              <w:pStyle w:val="ListBullet"/>
              <w:numPr>
                <w:ilvl w:val="0"/>
                <w:numId w:val="0"/>
              </w:numPr>
              <w:ind w:left="22"/>
            </w:pPr>
            <w:r>
              <w:t>Generally accepted that hydrogen cyanide and cyanide salts act by the same mechanism, namely the release of the cyanide ion.</w:t>
            </w:r>
          </w:p>
          <w:p w14:paraId="0032FCC4" w14:textId="77777777" w:rsidR="00FF533F" w:rsidRDefault="00FF533F" w:rsidP="00FF533F">
            <w:pPr>
              <w:pStyle w:val="Tabletextprimarysource"/>
            </w:pPr>
            <w:r>
              <w:t>Summary of data:</w:t>
            </w:r>
          </w:p>
          <w:p w14:paraId="3595BFC7" w14:textId="18D43700" w:rsidR="00511D91" w:rsidRDefault="00511D91" w:rsidP="00BE720B">
            <w:pPr>
              <w:pStyle w:val="ListBullet"/>
              <w:numPr>
                <w:ilvl w:val="0"/>
                <w:numId w:val="0"/>
              </w:numPr>
            </w:pPr>
            <w:r>
              <w:t>Human</w:t>
            </w:r>
            <w:r w:rsidR="00246875">
              <w:t xml:space="preserve"> data:</w:t>
            </w:r>
          </w:p>
          <w:p w14:paraId="4CEAFA4D" w14:textId="4EC7AA53" w:rsidR="00511D91" w:rsidRDefault="00BE720B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One</w:t>
            </w:r>
            <w:r w:rsidR="00246875">
              <w:t xml:space="preserve"> study </w:t>
            </w:r>
            <w:r w:rsidR="00F31606">
              <w:t>reports acute toxicity related to accidental poisoning</w:t>
            </w:r>
            <w:r w:rsidR="00921355">
              <w:t xml:space="preserve"> resulting in he</w:t>
            </w:r>
            <w:r w:rsidR="00722C81">
              <w:t xml:space="preserve">adaches, light-headedness and loss of </w:t>
            </w:r>
            <w:r w:rsidR="00921355">
              <w:t>consciousness, which reversed after removal from exposure</w:t>
            </w:r>
          </w:p>
          <w:p w14:paraId="6D9140F9" w14:textId="338A2E71" w:rsidR="00921355" w:rsidRDefault="00921355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Se</w:t>
            </w:r>
            <w:r w:rsidR="00BE720B">
              <w:t>vere acute exposure may result</w:t>
            </w:r>
            <w:r>
              <w:t xml:space="preserve"> in death</w:t>
            </w:r>
            <w:r w:rsidR="00246875">
              <w:t xml:space="preserve">; </w:t>
            </w:r>
            <w:r w:rsidR="00F10C69">
              <w:t>however</w:t>
            </w:r>
            <w:r w:rsidR="00246875">
              <w:t xml:space="preserve">, </w:t>
            </w:r>
            <w:r w:rsidR="00F10C69">
              <w:t xml:space="preserve">if death </w:t>
            </w:r>
            <w:r w:rsidR="00246875">
              <w:t xml:space="preserve">did </w:t>
            </w:r>
            <w:r w:rsidR="00F10C69">
              <w:t>not occur</w:t>
            </w:r>
            <w:r w:rsidR="00246875">
              <w:t>,</w:t>
            </w:r>
            <w:r w:rsidR="00F10C69">
              <w:t xml:space="preserve"> recovery was complete and prompt</w:t>
            </w:r>
          </w:p>
          <w:p w14:paraId="78768AF6" w14:textId="623501DE" w:rsidR="00921355" w:rsidRDefault="008D3A3C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="00921355">
              <w:t xml:space="preserve">o ill effects </w:t>
            </w:r>
            <w:r w:rsidR="001A4045">
              <w:t xml:space="preserve">reported by </w:t>
            </w:r>
            <w:r w:rsidR="00921355">
              <w:t>workers exposed to concentrations in the order of 10 ppm</w:t>
            </w:r>
            <w:r>
              <w:t xml:space="preserve"> (no further information)</w:t>
            </w:r>
          </w:p>
          <w:p w14:paraId="76BDFEF8" w14:textId="067A11AE" w:rsidR="008D3A3C" w:rsidRDefault="008D3A3C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Nasal irritation and </w:t>
            </w:r>
            <w:r w:rsidR="001A4045">
              <w:t xml:space="preserve">septum </w:t>
            </w:r>
            <w:r>
              <w:t xml:space="preserve">ulceration in workers exposed to </w:t>
            </w:r>
            <w:r w:rsidR="001376EB">
              <w:rPr>
                <w:rFonts w:cs="Arial"/>
              </w:rPr>
              <w:t>≈</w:t>
            </w:r>
            <w:r>
              <w:t>5 ppm (5.1</w:t>
            </w:r>
            <w:r w:rsidR="001B075D">
              <w:t> </w:t>
            </w:r>
            <w:r>
              <w:t>mg/m</w:t>
            </w:r>
            <w:r>
              <w:rPr>
                <w:vertAlign w:val="superscript"/>
              </w:rPr>
              <w:t>3</w:t>
            </w:r>
            <w:r w:rsidR="00FF533F">
              <w:t>;</w:t>
            </w:r>
            <w:r w:rsidR="00FF533F" w:rsidDel="00FF533F">
              <w:t xml:space="preserve"> </w:t>
            </w:r>
            <w:r w:rsidR="00FF533F">
              <w:t>n</w:t>
            </w:r>
            <w:r w:rsidR="00F10C69">
              <w:t>o further information)</w:t>
            </w:r>
          </w:p>
          <w:p w14:paraId="61EE5694" w14:textId="25F9D460" w:rsidR="00246875" w:rsidRDefault="00F10C69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study in workers exposed </w:t>
            </w:r>
            <w:r w:rsidR="00C6391B">
              <w:t xml:space="preserve">to a range of concentrations from </w:t>
            </w:r>
            <w:r>
              <w:t>4.2</w:t>
            </w:r>
            <w:r w:rsidR="00722C81">
              <w:t>–</w:t>
            </w:r>
            <w:r>
              <w:t xml:space="preserve">12.4 ppm in the breathing zone (7 </w:t>
            </w:r>
            <w:r w:rsidR="00722C81">
              <w:t>yr</w:t>
            </w:r>
            <w:r>
              <w:t>) reported increase</w:t>
            </w:r>
            <w:r w:rsidR="00C6391B">
              <w:t>d</w:t>
            </w:r>
            <w:r>
              <w:t xml:space="preserve"> </w:t>
            </w:r>
            <w:r w:rsidR="00C6391B">
              <w:t xml:space="preserve">incidence </w:t>
            </w:r>
            <w:r>
              <w:t>in exposed workers (compared to control)</w:t>
            </w:r>
            <w:r w:rsidR="008E5CCB">
              <w:t xml:space="preserve"> of headache, weakness, changes in taste and smell, irritation of the throat, vomiting and effort </w:t>
            </w:r>
            <w:r w:rsidR="004A3809">
              <w:t>dyspnoea</w:t>
            </w:r>
          </w:p>
          <w:p w14:paraId="2082E422" w14:textId="476B0BE4" w:rsidR="00CC43CF" w:rsidRDefault="00CC43CF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study in 23 male workers reported complaints typical </w:t>
            </w:r>
            <w:r w:rsidR="00105B6F">
              <w:t xml:space="preserve">of </w:t>
            </w:r>
            <w:r>
              <w:t>hydrogen cyanide poisoning associated with airborne concentrations of cyanide at</w:t>
            </w:r>
            <w:r w:rsidR="00105B6F">
              <w:t xml:space="preserve"> 0.8 mg/m</w:t>
            </w:r>
            <w:r w:rsidR="00105B6F">
              <w:rPr>
                <w:vertAlign w:val="superscript"/>
              </w:rPr>
              <w:t>3</w:t>
            </w:r>
            <w:r w:rsidR="00105B6F">
              <w:t xml:space="preserve"> (breathing zone) and 0.2</w:t>
            </w:r>
            <w:r w:rsidR="00722C81">
              <w:t> </w:t>
            </w:r>
            <w:r w:rsidR="00105B6F">
              <w:t>mg/m</w:t>
            </w:r>
            <w:r w:rsidR="00105B6F">
              <w:rPr>
                <w:vertAlign w:val="superscript"/>
              </w:rPr>
              <w:t xml:space="preserve">3 </w:t>
            </w:r>
            <w:r w:rsidR="00105B6F">
              <w:t>(general work area)</w:t>
            </w:r>
            <w:r w:rsidR="004A3809">
              <w:t>.</w:t>
            </w:r>
          </w:p>
          <w:p w14:paraId="6C6E9153" w14:textId="0869A93B" w:rsidR="006E0C30" w:rsidRDefault="006E0C30" w:rsidP="00BE720B">
            <w:pPr>
              <w:pStyle w:val="ListBullet"/>
              <w:numPr>
                <w:ilvl w:val="0"/>
                <w:numId w:val="0"/>
              </w:numPr>
            </w:pPr>
            <w:r>
              <w:t xml:space="preserve">Animal </w:t>
            </w:r>
            <w:r w:rsidR="00246875">
              <w:t>data</w:t>
            </w:r>
            <w:r>
              <w:t>:</w:t>
            </w:r>
          </w:p>
          <w:p w14:paraId="68CA11AA" w14:textId="29326D7F" w:rsidR="006E0C30" w:rsidRDefault="006E0C30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503 ppm (rats</w:t>
            </w:r>
            <w:r w:rsidR="00BE720B">
              <w:t xml:space="preserve">, 5 min) and 323 ppm (mice, </w:t>
            </w:r>
            <w:r w:rsidR="003F4BEE">
              <w:t>5</w:t>
            </w:r>
            <w:r w:rsidR="00BE720B">
              <w:t xml:space="preserve"> </w:t>
            </w:r>
            <w:r w:rsidR="003F4BEE">
              <w:t>min)</w:t>
            </w:r>
          </w:p>
          <w:p w14:paraId="4E481735" w14:textId="606FCBA8" w:rsidR="00246875" w:rsidRDefault="006F7E49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Only slight differences observed in acute toxicities of KCN and HCN (rabbits). </w:t>
            </w:r>
          </w:p>
          <w:p w14:paraId="4346305B" w14:textId="77777777" w:rsidR="009F4846" w:rsidRDefault="009F4846" w:rsidP="00C77A2F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4F312140" w14:textId="78A9020C" w:rsidR="008E5CCB" w:rsidRDefault="006E0C30" w:rsidP="00BE720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Rapidly absorbed through the skin warranting skin notation</w:t>
            </w:r>
            <w:r w:rsidR="00FF533F">
              <w:t>.</w:t>
            </w:r>
          </w:p>
          <w:p w14:paraId="4EB3C9BD" w14:textId="77777777" w:rsidR="00511D91" w:rsidRDefault="00BE720B" w:rsidP="00722C8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Ins</w:t>
            </w:r>
            <w:r w:rsidR="006E0C30">
              <w:t>ufficient data available to recommend sensitiser or carcinogen notations</w:t>
            </w:r>
            <w:r>
              <w:t>.</w:t>
            </w:r>
          </w:p>
          <w:p w14:paraId="2AD570A3" w14:textId="727D5F09" w:rsidR="004A3809" w:rsidRPr="00DA352E" w:rsidRDefault="004A3809" w:rsidP="004A3809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978F0" w:rsidRPr="00DA352E" w14:paraId="2B7200F2" w14:textId="77777777" w:rsidTr="00F1521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532083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E0C30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E0C30">
                  <w:t>MAK: 1.9 ppm (2.1 mg/m</w:t>
                </w:r>
                <w:r w:rsidR="006E0C30">
                  <w:rPr>
                    <w:vertAlign w:val="superscript"/>
                  </w:rPr>
                  <w:t>3</w:t>
                </w:r>
                <w:r w:rsidR="006E0C30">
                  <w:t>)</w:t>
                </w:r>
              </w:sdtContent>
            </w:sdt>
          </w:p>
        </w:tc>
      </w:tr>
      <w:tr w:rsidR="00C978F0" w:rsidRPr="00DA352E" w14:paraId="2A4FB85B" w14:textId="77777777" w:rsidTr="00F15217">
        <w:trPr>
          <w:gridAfter w:val="1"/>
          <w:wAfter w:w="8" w:type="pct"/>
        </w:trPr>
        <w:tc>
          <w:tcPr>
            <w:tcW w:w="4992" w:type="pct"/>
          </w:tcPr>
          <w:p w14:paraId="4F9B0B05" w14:textId="4AFEAEA1" w:rsidR="00C978F0" w:rsidRDefault="00E07A97" w:rsidP="00E07A97">
            <w:pPr>
              <w:pStyle w:val="Tabletextprimarysource"/>
            </w:pPr>
            <w:r>
              <w:t>MAK recommended to reduce symptoms such as headaches, weakness, dizziness, throat irritation, dyspnoea, thyroid enlargement and an increase in thiocyanate excretion in the urine in exposed workers.</w:t>
            </w:r>
          </w:p>
          <w:p w14:paraId="0A02A71F" w14:textId="77777777" w:rsidR="00E07A97" w:rsidRDefault="00E07A97" w:rsidP="00E07A97">
            <w:pPr>
              <w:pStyle w:val="Tabletextprimarysource"/>
            </w:pPr>
            <w:r>
              <w:t>Summary of additional data:</w:t>
            </w:r>
          </w:p>
          <w:p w14:paraId="22D1FDBF" w14:textId="4EB8D48C" w:rsidR="00E07A97" w:rsidRDefault="00BE720B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</w:t>
            </w:r>
            <w:r w:rsidR="00E07A97">
              <w:t xml:space="preserve">xposures </w:t>
            </w:r>
            <w:r>
              <w:t xml:space="preserve">(10 ppm, </w:t>
            </w:r>
            <w:r w:rsidR="00E07A97">
              <w:t xml:space="preserve">8 </w:t>
            </w:r>
            <w:r>
              <w:t>h)</w:t>
            </w:r>
            <w:r w:rsidR="00E07A97">
              <w:t xml:space="preserve"> may produce the metabolite thiocyanate which is in region of the LOEL for goitre development</w:t>
            </w:r>
          </w:p>
          <w:p w14:paraId="6D0045AD" w14:textId="305D0215" w:rsidR="00E07A97" w:rsidRDefault="00BE720B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</w:t>
            </w:r>
            <w:r w:rsidR="00E07A97">
              <w:t>etoxification in humans is reported as 0.1</w:t>
            </w:r>
            <w:r w:rsidR="006F7E49">
              <w:t>–</w:t>
            </w:r>
            <w:r w:rsidR="00E07A97">
              <w:t>1.0 mg/kg</w:t>
            </w:r>
            <w:r w:rsidR="006F7E49">
              <w:t>/</w:t>
            </w:r>
            <w:r>
              <w:t>h</w:t>
            </w:r>
          </w:p>
          <w:p w14:paraId="3E7DEE04" w14:textId="22B9D3C6" w:rsidR="00E07A97" w:rsidRDefault="00E07A97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The MAK derived </w:t>
            </w:r>
            <w:r w:rsidR="00C7403D">
              <w:t xml:space="preserve">on the basis that </w:t>
            </w:r>
            <w:r w:rsidR="006F7E49">
              <w:t xml:space="preserve">a </w:t>
            </w:r>
            <w:r w:rsidR="00C7403D">
              <w:t>worker exposed to 2 mg/m</w:t>
            </w:r>
            <w:r w:rsidR="00C7403D">
              <w:rPr>
                <w:vertAlign w:val="superscript"/>
              </w:rPr>
              <w:t>3</w:t>
            </w:r>
            <w:r w:rsidR="00C7403D">
              <w:t xml:space="preserve"> takes up a dose of </w:t>
            </w:r>
            <w:r w:rsidR="00245509">
              <w:t>20 </w:t>
            </w:r>
            <w:r w:rsidR="00C7403D">
              <w:t>mg (70 kg</w:t>
            </w:r>
            <w:r w:rsidR="00722C81">
              <w:t xml:space="preserve"> worker</w:t>
            </w:r>
            <w:r w:rsidR="00C7403D">
              <w:t>, inhaling 10 m</w:t>
            </w:r>
            <w:r w:rsidR="00C7403D">
              <w:rPr>
                <w:vertAlign w:val="superscript"/>
              </w:rPr>
              <w:t>3</w:t>
            </w:r>
            <w:r w:rsidR="00C7403D">
              <w:t xml:space="preserve"> </w:t>
            </w:r>
            <w:r w:rsidR="004A3809">
              <w:t>per</w:t>
            </w:r>
            <w:r w:rsidR="00C7403D">
              <w:t xml:space="preserve"> 8 </w:t>
            </w:r>
            <w:r w:rsidR="00BE720B">
              <w:t>h</w:t>
            </w:r>
            <w:r w:rsidR="00C7403D">
              <w:t xml:space="preserve"> with 100% absorption</w:t>
            </w:r>
            <w:r w:rsidR="00BA1CB5">
              <w:t>)</w:t>
            </w:r>
          </w:p>
          <w:p w14:paraId="0020E626" w14:textId="59EFC283" w:rsidR="00245A70" w:rsidRDefault="00722C81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Dermal </w:t>
            </w:r>
            <w:r w:rsidR="00245A70">
              <w:t>LD</w:t>
            </w:r>
            <w:r w:rsidR="00245A70">
              <w:rPr>
                <w:vertAlign w:val="subscript"/>
              </w:rPr>
              <w:t>50</w:t>
            </w:r>
            <w:r w:rsidR="00BE720B">
              <w:t xml:space="preserve">: </w:t>
            </w:r>
            <w:r w:rsidR="00245A70">
              <w:t xml:space="preserve">100 mg/kg </w:t>
            </w:r>
            <w:r w:rsidR="00BE720B">
              <w:t>(humans</w:t>
            </w:r>
            <w:r>
              <w:t>,</w:t>
            </w:r>
            <w:r w:rsidR="00FF533F">
              <w:t xml:space="preserve"> </w:t>
            </w:r>
            <w:r w:rsidR="00245A70">
              <w:t>no further details)</w:t>
            </w:r>
          </w:p>
          <w:p w14:paraId="7F194F7D" w14:textId="77777777" w:rsidR="00245A70" w:rsidRDefault="00722C81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 xml:space="preserve">Dermal </w:t>
            </w:r>
            <w:r w:rsidR="00245A70">
              <w:t>LD</w:t>
            </w:r>
            <w:r w:rsidR="00BE720B">
              <w:rPr>
                <w:vertAlign w:val="subscript"/>
              </w:rPr>
              <w:t>50</w:t>
            </w:r>
            <w:r w:rsidR="00BE720B">
              <w:t>: 6.90 mg/kg (r</w:t>
            </w:r>
            <w:r w:rsidR="00245A70">
              <w:t>abbits</w:t>
            </w:r>
            <w:r w:rsidR="00BE720B">
              <w:t>).</w:t>
            </w:r>
          </w:p>
          <w:p w14:paraId="0929F95A" w14:textId="423ED25F" w:rsidR="004B35CE" w:rsidRPr="00DA352E" w:rsidRDefault="004B35CE" w:rsidP="004B35CE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978F0" w:rsidRPr="00DA352E" w14:paraId="3BB427A0" w14:textId="77777777" w:rsidTr="00F1521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F6047ED" w14:textId="7820A9F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81C7E">
                  <w:t>2010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B81C7E">
                  <w:t>TWA: 0.9 ppm (1 mg/m</w:t>
                </w:r>
                <w:r w:rsidR="00B81C7E">
                  <w:rPr>
                    <w:vertAlign w:val="superscript"/>
                  </w:rPr>
                  <w:t>3</w:t>
                </w:r>
                <w:r w:rsidR="00B81C7E">
                  <w:t xml:space="preserve">); STEL </w:t>
                </w:r>
                <w:r w:rsidR="00A23BA0">
                  <w:t xml:space="preserve">4.5 ppm </w:t>
                </w:r>
                <w:r w:rsidR="00B81C7E">
                  <w:t>(5 mg/m</w:t>
                </w:r>
                <w:r w:rsidR="00B81C7E">
                  <w:rPr>
                    <w:vertAlign w:val="superscript"/>
                  </w:rPr>
                  <w:t>3</w:t>
                </w:r>
                <w:r w:rsidR="00B81C7E">
                  <w:t>)</w:t>
                </w:r>
                <w:r w:rsidR="00B81C7E">
                  <w:rPr>
                    <w:vertAlign w:val="superscript"/>
                  </w:rPr>
                  <w:t xml:space="preserve"> </w:t>
                </w:r>
              </w:sdtContent>
            </w:sdt>
          </w:p>
        </w:tc>
      </w:tr>
      <w:tr w:rsidR="00C978F0" w:rsidRPr="00DA352E" w14:paraId="3E081CA5" w14:textId="77777777" w:rsidTr="00F15217">
        <w:trPr>
          <w:gridAfter w:val="1"/>
          <w:wAfter w:w="8" w:type="pct"/>
        </w:trPr>
        <w:tc>
          <w:tcPr>
            <w:tcW w:w="4992" w:type="pct"/>
          </w:tcPr>
          <w:p w14:paraId="09610317" w14:textId="5D122BE4" w:rsidR="00DB2E01" w:rsidRDefault="00DB2E01" w:rsidP="00DB2E01">
            <w:pPr>
              <w:pStyle w:val="Tabletextprimarysource"/>
            </w:pPr>
            <w:r>
              <w:t xml:space="preserve">TWA and STEL expected to prevent acute and chronic adverse health effects such as thyroid enlargement (goitre) and neurotoxicity symptoms (visual disturbances, convulsions, </w:t>
            </w:r>
            <w:proofErr w:type="gramStart"/>
            <w:r>
              <w:t>paresis</w:t>
            </w:r>
            <w:proofErr w:type="gramEnd"/>
            <w:r>
              <w:t>).</w:t>
            </w:r>
          </w:p>
          <w:p w14:paraId="69C0344A" w14:textId="77777777" w:rsidR="00B81C7E" w:rsidRDefault="00B81C7E" w:rsidP="00DB2E01">
            <w:pPr>
              <w:pStyle w:val="Tabletextprimarysource"/>
            </w:pPr>
            <w:r>
              <w:t>Summary of additional data:</w:t>
            </w:r>
          </w:p>
          <w:p w14:paraId="0DA2D7CC" w14:textId="231BC3A5" w:rsidR="00B81C7E" w:rsidRPr="00B81C7E" w:rsidRDefault="00B81C7E" w:rsidP="00F15217">
            <w:pPr>
              <w:pStyle w:val="ListBullet"/>
              <w:spacing w:before="60" w:after="60"/>
              <w:ind w:left="714" w:hanging="357"/>
              <w:contextualSpacing w:val="0"/>
            </w:pPr>
            <w:r w:rsidRPr="00B81C7E">
              <w:t>TWA derivation: LOAEL 4.2 ppm (</w:t>
            </w:r>
            <w:r w:rsidR="00FF533F">
              <w:t>s</w:t>
            </w:r>
            <w:r w:rsidRPr="00B81C7E">
              <w:t>ee ACGIH) coupled with an assessment factor of 5 to account for absence of a defined dose-response relationship</w:t>
            </w:r>
          </w:p>
          <w:p w14:paraId="782C5EA9" w14:textId="77777777" w:rsidR="00B81C7E" w:rsidRDefault="00BE720B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</w:t>
            </w:r>
            <w:r w:rsidR="00B81C7E" w:rsidRPr="00B81C7E">
              <w:t>evidence for carcinogenicity or effects on reproduction</w:t>
            </w:r>
            <w:r>
              <w:t>.</w:t>
            </w:r>
          </w:p>
          <w:p w14:paraId="3B3D6994" w14:textId="7F9E54E9" w:rsidR="004A3809" w:rsidRPr="00DA352E" w:rsidRDefault="004A3809" w:rsidP="004A3809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DA352E" w:rsidRPr="00DA352E" w14:paraId="213CE6DD" w14:textId="77777777" w:rsidTr="00F1521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83FC387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45A7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245A70">
                  <w:t>NA</w:t>
                </w:r>
                <w:proofErr w:type="spellEnd"/>
              </w:sdtContent>
            </w:sdt>
          </w:p>
        </w:tc>
      </w:tr>
      <w:tr w:rsidR="00DA352E" w:rsidRPr="00DA352E" w14:paraId="73FFE4A4" w14:textId="77777777" w:rsidTr="00F15217">
        <w:trPr>
          <w:gridAfter w:val="1"/>
          <w:wAfter w:w="8" w:type="pct"/>
        </w:trPr>
        <w:tc>
          <w:tcPr>
            <w:tcW w:w="4992" w:type="pct"/>
          </w:tcPr>
          <w:p w14:paraId="38717770" w14:textId="07455022" w:rsidR="00DA352E" w:rsidRPr="00DA352E" w:rsidRDefault="00245A70" w:rsidP="00245A70">
            <w:pPr>
              <w:pStyle w:val="Tabletextprimarysource"/>
            </w:pPr>
            <w:r>
              <w:t>No report</w:t>
            </w:r>
            <w:r w:rsidR="00AE4DF2">
              <w:t>.</w:t>
            </w:r>
          </w:p>
        </w:tc>
      </w:tr>
      <w:tr w:rsidR="00DA352E" w:rsidRPr="00DA352E" w14:paraId="2720728F" w14:textId="77777777" w:rsidTr="00F1521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AF3696E" w14:textId="26EDF2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528C8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9C3051">
                  <w:t>TWA: 0.9 ppm (1</w:t>
                </w:r>
                <w:r w:rsidR="00A23BA0">
                  <w:t xml:space="preserve"> </w:t>
                </w:r>
                <w:r w:rsidR="009C3051">
                  <w:t>mg/m</w:t>
                </w:r>
                <w:r w:rsidR="009C3051">
                  <w:rPr>
                    <w:vertAlign w:val="superscript"/>
                  </w:rPr>
                  <w:t>3</w:t>
                </w:r>
                <w:r w:rsidR="009C3051">
                  <w:t>); Ceiling: 9 ppm (10 mg/m</w:t>
                </w:r>
                <w:r w:rsidR="009C3051">
                  <w:rPr>
                    <w:vertAlign w:val="superscript"/>
                  </w:rPr>
                  <w:t>3</w:t>
                </w:r>
                <w:r w:rsidR="009C3051">
                  <w:t>)</w:t>
                </w:r>
              </w:sdtContent>
            </w:sdt>
          </w:p>
        </w:tc>
      </w:tr>
      <w:tr w:rsidR="00DA352E" w:rsidRPr="00DA352E" w14:paraId="104335AF" w14:textId="77777777" w:rsidTr="00F15217">
        <w:trPr>
          <w:gridAfter w:val="1"/>
          <w:wAfter w:w="8" w:type="pct"/>
        </w:trPr>
        <w:tc>
          <w:tcPr>
            <w:tcW w:w="4992" w:type="pct"/>
          </w:tcPr>
          <w:p w14:paraId="22D7AA5F" w14:textId="4F504CB5" w:rsidR="00DA352E" w:rsidRDefault="001B075D" w:rsidP="008A1CB5">
            <w:pPr>
              <w:pStyle w:val="Tabletextprimarysource"/>
            </w:pPr>
            <w:r>
              <w:t xml:space="preserve">TWA and Ceiling </w:t>
            </w:r>
            <w:r w:rsidR="008A1CB5">
              <w:t xml:space="preserve">recommended to protect </w:t>
            </w:r>
            <w:r w:rsidR="009B6729">
              <w:t xml:space="preserve">for </w:t>
            </w:r>
            <w:r w:rsidR="008A1CB5">
              <w:t xml:space="preserve">both </w:t>
            </w:r>
            <w:r w:rsidR="009E750F">
              <w:t xml:space="preserve">chronic (headaches, weakness, change in taste and smell giddiness, irritation of throat, vomiting, effort dyspnoea, lachrymation, precordial pain, salivation, disturbances of accommodation and psychosis) and </w:t>
            </w:r>
            <w:r w:rsidR="008A1CB5">
              <w:t>acute</w:t>
            </w:r>
            <w:r w:rsidR="009E750F">
              <w:t xml:space="preserve"> effects</w:t>
            </w:r>
            <w:r w:rsidR="008A1CB5">
              <w:t xml:space="preserve"> (death, coma, respiratory failure)</w:t>
            </w:r>
            <w:r w:rsidR="009E750F">
              <w:t>.</w:t>
            </w:r>
          </w:p>
          <w:p w14:paraId="46AFD0DC" w14:textId="77777777" w:rsidR="008A1CB5" w:rsidRDefault="008A1CB5" w:rsidP="008A1CB5">
            <w:pPr>
              <w:pStyle w:val="Tabletextprimarysource"/>
            </w:pPr>
            <w:r>
              <w:t>Summary of additional data:</w:t>
            </w:r>
          </w:p>
          <w:p w14:paraId="61EC534C" w14:textId="3F8B841A" w:rsidR="008A1CB5" w:rsidRDefault="009C43B9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Ceiling derivation: </w:t>
            </w:r>
            <w:r w:rsidR="00BA1CB5">
              <w:t>LOAEL</w:t>
            </w:r>
            <w:r>
              <w:t xml:space="preserve"> 20 mg/m</w:t>
            </w:r>
            <w:r>
              <w:rPr>
                <w:vertAlign w:val="superscript"/>
              </w:rPr>
              <w:t>3</w:t>
            </w:r>
            <w:r>
              <w:t xml:space="preserve"> (no further information) coupled with an assessment factor of 2 to account for steep dose-response relationship</w:t>
            </w:r>
          </w:p>
          <w:p w14:paraId="59017115" w14:textId="77777777" w:rsidR="009C43B9" w:rsidRDefault="009C43B9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High skin permeability warrants skin notation</w:t>
            </w:r>
          </w:p>
          <w:p w14:paraId="32656F74" w14:textId="77777777" w:rsidR="009C43B9" w:rsidRDefault="009E750F" w:rsidP="00F152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HCN</w:t>
            </w:r>
            <w:r w:rsidR="009C43B9">
              <w:t xml:space="preserve"> and salts (</w:t>
            </w:r>
            <w:r>
              <w:t>KCN</w:t>
            </w:r>
            <w:r w:rsidR="009C43B9">
              <w:t xml:space="preserve"> and </w:t>
            </w:r>
            <w:proofErr w:type="spellStart"/>
            <w:r>
              <w:t>NaCN</w:t>
            </w:r>
            <w:proofErr w:type="spellEnd"/>
            <w:r w:rsidR="009C43B9">
              <w:t>) have very similar toxicological endpoints and effects, and therefore should be regulated together</w:t>
            </w:r>
            <w:r w:rsidR="00BE720B">
              <w:t>.</w:t>
            </w:r>
          </w:p>
          <w:p w14:paraId="275C0547" w14:textId="59E7F316" w:rsidR="004A3809" w:rsidRPr="00DA352E" w:rsidRDefault="004A3809" w:rsidP="004A3809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</w:tbl>
    <w:p w14:paraId="7D6F3996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4A7562A2" w14:textId="77777777" w:rsidTr="00F037D8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2F01267B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5A2E013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1F28915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4081B123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AEBE879" w14:textId="77777777" w:rsidTr="00F037D8">
        <w:trPr>
          <w:cantSplit/>
        </w:trPr>
        <w:tc>
          <w:tcPr>
            <w:tcW w:w="1497" w:type="dxa"/>
          </w:tcPr>
          <w:p w14:paraId="1455AF4E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4" w:type="dxa"/>
          </w:tcPr>
          <w:p w14:paraId="3632FDA2" w14:textId="77777777" w:rsidR="004966BF" w:rsidRPr="00CE617F" w:rsidRDefault="00637A1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7500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D38EF77" w14:textId="77777777" w:rsidR="004966BF" w:rsidRPr="004C23F4" w:rsidRDefault="0007500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2010</w:t>
            </w:r>
          </w:p>
        </w:tc>
        <w:tc>
          <w:tcPr>
            <w:tcW w:w="6444" w:type="dxa"/>
          </w:tcPr>
          <w:p w14:paraId="6C478A3C" w14:textId="14F8397D" w:rsidR="00DE60F6" w:rsidRDefault="00DE60F6" w:rsidP="00F15217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Reported</w:t>
            </w:r>
            <w:r w:rsidRPr="00DE60F6">
              <w:rPr>
                <w:rStyle w:val="checkbox"/>
                <w:rFonts w:ascii="Arial" w:hAnsi="Arial" w:cs="Arial"/>
              </w:rPr>
              <w:t xml:space="preserve"> </w:t>
            </w:r>
            <w:r w:rsidR="00FC7B28">
              <w:rPr>
                <w:rStyle w:val="checkbox"/>
                <w:rFonts w:ascii="Arial" w:hAnsi="Arial" w:cs="Arial"/>
              </w:rPr>
              <w:t>that</w:t>
            </w:r>
            <w:r w:rsidR="00FC7B28" w:rsidRPr="00DE60F6">
              <w:rPr>
                <w:rStyle w:val="checkbox"/>
                <w:rFonts w:ascii="Arial" w:hAnsi="Arial" w:cs="Arial"/>
              </w:rPr>
              <w:t xml:space="preserve"> </w:t>
            </w:r>
            <w:r w:rsidRPr="00DE60F6">
              <w:rPr>
                <w:rStyle w:val="checkbox"/>
                <w:rFonts w:ascii="Arial" w:hAnsi="Arial" w:cs="Arial"/>
              </w:rPr>
              <w:t>expos</w:t>
            </w:r>
            <w:r w:rsidR="00FC7B28">
              <w:rPr>
                <w:rStyle w:val="checkbox"/>
                <w:rFonts w:ascii="Arial" w:hAnsi="Arial" w:cs="Arial"/>
              </w:rPr>
              <w:t>ing</w:t>
            </w:r>
            <w:r w:rsidRPr="00DE60F6">
              <w:rPr>
                <w:rStyle w:val="checkbox"/>
                <w:rFonts w:ascii="Arial" w:hAnsi="Arial" w:cs="Arial"/>
              </w:rPr>
              <w:t xml:space="preserve"> workers to low concentrations can cause thyroid effects and CNS symptoms</w:t>
            </w:r>
          </w:p>
          <w:p w14:paraId="0F8F101E" w14:textId="323E0C60" w:rsidR="00DE60F6" w:rsidRPr="00DE60F6" w:rsidRDefault="00DE60F6" w:rsidP="00F15217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DE60F6">
              <w:rPr>
                <w:rStyle w:val="checkbox"/>
                <w:rFonts w:ascii="Arial" w:hAnsi="Arial" w:cs="Arial"/>
              </w:rPr>
              <w:t>Chronic or sub</w:t>
            </w:r>
            <w:r w:rsidR="009E750F">
              <w:rPr>
                <w:rStyle w:val="checkbox"/>
                <w:rFonts w:ascii="Arial" w:hAnsi="Arial" w:cs="Arial"/>
              </w:rPr>
              <w:t xml:space="preserve"> </w:t>
            </w:r>
            <w:r w:rsidRPr="00DE60F6">
              <w:rPr>
                <w:rStyle w:val="checkbox"/>
                <w:rFonts w:ascii="Arial" w:hAnsi="Arial" w:cs="Arial"/>
              </w:rPr>
              <w:t>chronic inhalation studies in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DE60F6">
              <w:rPr>
                <w:rStyle w:val="checkbox"/>
                <w:rFonts w:ascii="Arial" w:hAnsi="Arial" w:cs="Arial"/>
              </w:rPr>
              <w:t>experimental animals were not found</w:t>
            </w:r>
            <w:r w:rsidR="004A3809">
              <w:rPr>
                <w:rStyle w:val="checkbox"/>
                <w:rFonts w:ascii="Arial" w:hAnsi="Arial" w:cs="Arial"/>
              </w:rPr>
              <w:t>.</w:t>
            </w:r>
          </w:p>
          <w:p w14:paraId="7E6A0D29" w14:textId="68A297F8" w:rsidR="004966BF" w:rsidRDefault="00075000" w:rsidP="00F15217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LOAEL: 6.4 ppm (7.07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); long-term occupational study; observed thyroid effects; 36 male workers exposed; 20 males </w:t>
            </w:r>
            <w:r w:rsidR="00766583">
              <w:rPr>
                <w:rStyle w:val="checkbox"/>
                <w:rFonts w:ascii="Arial" w:hAnsi="Arial" w:cs="Arial"/>
              </w:rPr>
              <w:t xml:space="preserve">in </w:t>
            </w:r>
            <w:r>
              <w:rPr>
                <w:rStyle w:val="checkbox"/>
                <w:rFonts w:ascii="Arial" w:hAnsi="Arial" w:cs="Arial"/>
              </w:rPr>
              <w:t>control</w:t>
            </w:r>
            <w:r w:rsidR="00766583">
              <w:rPr>
                <w:rStyle w:val="checkbox"/>
                <w:rFonts w:ascii="Arial" w:hAnsi="Arial" w:cs="Arial"/>
              </w:rPr>
              <w:t xml:space="preserve"> group</w:t>
            </w:r>
            <w:r w:rsidR="00F037D8">
              <w:rPr>
                <w:rStyle w:val="checkbox"/>
                <w:rFonts w:ascii="Arial" w:hAnsi="Arial" w:cs="Arial"/>
              </w:rPr>
              <w:t>.  LOAEL was adjusted for continuous exposure to 2.5</w:t>
            </w:r>
            <w:r w:rsidR="009E750F">
              <w:rPr>
                <w:rStyle w:val="checkbox"/>
                <w:rFonts w:ascii="Arial" w:hAnsi="Arial" w:cs="Arial"/>
              </w:rPr>
              <w:t> </w:t>
            </w:r>
            <w:r w:rsidR="00F037D8">
              <w:rPr>
                <w:rStyle w:val="checkbox"/>
                <w:rFonts w:ascii="Arial" w:hAnsi="Arial" w:cs="Arial"/>
              </w:rPr>
              <w:t>mg/m</w:t>
            </w:r>
            <w:r w:rsidR="00F037D8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F037D8">
              <w:rPr>
                <w:rStyle w:val="checkbox"/>
                <w:rFonts w:ascii="Arial" w:hAnsi="Arial" w:cs="Arial"/>
              </w:rPr>
              <w:t xml:space="preserve"> and used as the </w:t>
            </w:r>
            <w:proofErr w:type="spellStart"/>
            <w:r w:rsidR="009E750F">
              <w:rPr>
                <w:rStyle w:val="checkbox"/>
                <w:rFonts w:ascii="Arial" w:hAnsi="Arial" w:cs="Arial"/>
              </w:rPr>
              <w:t>PoD</w:t>
            </w:r>
            <w:proofErr w:type="spellEnd"/>
            <w:r w:rsidR="009E750F">
              <w:rPr>
                <w:rStyle w:val="checkbox"/>
                <w:rFonts w:ascii="Arial" w:hAnsi="Arial" w:cs="Arial"/>
              </w:rPr>
              <w:t xml:space="preserve"> </w:t>
            </w:r>
            <w:r w:rsidR="00F037D8">
              <w:rPr>
                <w:rStyle w:val="checkbox"/>
                <w:rFonts w:ascii="Arial" w:hAnsi="Arial" w:cs="Arial"/>
              </w:rPr>
              <w:t xml:space="preserve">for derivation of </w:t>
            </w:r>
            <w:proofErr w:type="spellStart"/>
            <w:r w:rsidR="00F037D8">
              <w:rPr>
                <w:rStyle w:val="checkbox"/>
                <w:rFonts w:ascii="Arial" w:hAnsi="Arial" w:cs="Arial"/>
              </w:rPr>
              <w:t>RfC</w:t>
            </w:r>
            <w:proofErr w:type="spellEnd"/>
            <w:r w:rsidR="00F037D8">
              <w:rPr>
                <w:rStyle w:val="checkbox"/>
                <w:rFonts w:ascii="Arial" w:hAnsi="Arial" w:cs="Arial"/>
              </w:rPr>
              <w:t xml:space="preserve"> (8</w:t>
            </w:r>
            <w:r w:rsidR="009E750F">
              <w:rPr>
                <w:rStyle w:val="checkbox"/>
                <w:rFonts w:ascii="Arial" w:hAnsi="Arial" w:cs="Arial"/>
              </w:rPr>
              <w:t> </w:t>
            </w:r>
            <w:r w:rsidR="00F037D8">
              <w:rPr>
                <w:rStyle w:val="checkbox"/>
                <w:rFonts w:ascii="Arial" w:hAnsi="Arial" w:cs="Arial"/>
              </w:rPr>
              <w:t>x</w:t>
            </w:r>
            <w:r w:rsidR="009E750F">
              <w:rPr>
                <w:rStyle w:val="checkbox"/>
                <w:rFonts w:ascii="Arial" w:hAnsi="Arial" w:cs="Arial"/>
              </w:rPr>
              <w:t> </w:t>
            </w:r>
            <w:r w:rsidR="00F037D8">
              <w:rPr>
                <w:rStyle w:val="checkbox"/>
                <w:rFonts w:ascii="Arial" w:hAnsi="Arial" w:cs="Arial"/>
              </w:rPr>
              <w:t>10</w:t>
            </w:r>
            <w:r w:rsidR="00722C81">
              <w:rPr>
                <w:rStyle w:val="checkbox"/>
                <w:rFonts w:ascii="Arial" w:hAnsi="Arial" w:cs="Arial"/>
                <w:vertAlign w:val="superscript"/>
              </w:rPr>
              <w:noBreakHyphen/>
            </w:r>
            <w:r w:rsidR="00F037D8">
              <w:rPr>
                <w:rStyle w:val="checkbox"/>
                <w:rFonts w:ascii="Arial" w:hAnsi="Arial" w:cs="Arial"/>
                <w:vertAlign w:val="superscript"/>
              </w:rPr>
              <w:t>4</w:t>
            </w:r>
            <w:r w:rsidR="00722C81">
              <w:rPr>
                <w:rStyle w:val="checkbox"/>
                <w:rFonts w:ascii="Arial" w:hAnsi="Arial" w:cs="Arial"/>
              </w:rPr>
              <w:t> </w:t>
            </w:r>
            <w:r w:rsidR="00F037D8">
              <w:rPr>
                <w:rStyle w:val="checkbox"/>
                <w:rFonts w:ascii="Arial" w:hAnsi="Arial" w:cs="Arial"/>
              </w:rPr>
              <w:t>mg/m</w:t>
            </w:r>
            <w:r w:rsidR="00F037D8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F037D8">
              <w:rPr>
                <w:rStyle w:val="checkbox"/>
                <w:rFonts w:ascii="Arial" w:hAnsi="Arial" w:cs="Arial"/>
              </w:rPr>
              <w:t>)</w:t>
            </w:r>
            <w:r w:rsidR="004A3809">
              <w:rPr>
                <w:rStyle w:val="checkbox"/>
                <w:rFonts w:ascii="Arial" w:hAnsi="Arial" w:cs="Arial"/>
              </w:rPr>
              <w:t>.</w:t>
            </w:r>
          </w:p>
          <w:p w14:paraId="4587DBED" w14:textId="1801A98C" w:rsidR="00F037D8" w:rsidRDefault="00F037D8" w:rsidP="00F15217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F037D8">
              <w:rPr>
                <w:rStyle w:val="checkbox"/>
                <w:rFonts w:ascii="Arial" w:hAnsi="Arial" w:cs="Arial"/>
              </w:rPr>
              <w:t xml:space="preserve">A total UF of 3,000 was applied to the </w:t>
            </w:r>
            <w:proofErr w:type="spellStart"/>
            <w:r w:rsidR="009E750F" w:rsidRPr="00F037D8">
              <w:rPr>
                <w:rStyle w:val="checkbox"/>
                <w:rFonts w:ascii="Arial" w:hAnsi="Arial" w:cs="Arial"/>
              </w:rPr>
              <w:t>P</w:t>
            </w:r>
            <w:r w:rsidR="009E750F">
              <w:rPr>
                <w:rStyle w:val="checkbox"/>
                <w:rFonts w:ascii="Arial" w:hAnsi="Arial" w:cs="Arial"/>
              </w:rPr>
              <w:t>o</w:t>
            </w:r>
            <w:r w:rsidR="009E750F" w:rsidRPr="00F037D8">
              <w:rPr>
                <w:rStyle w:val="checkbox"/>
                <w:rFonts w:ascii="Arial" w:hAnsi="Arial" w:cs="Arial"/>
              </w:rPr>
              <w:t>D</w:t>
            </w:r>
            <w:proofErr w:type="spellEnd"/>
            <w:r w:rsidRPr="00F037D8">
              <w:rPr>
                <w:rStyle w:val="checkbox"/>
                <w:rFonts w:ascii="Arial" w:hAnsi="Arial" w:cs="Arial"/>
              </w:rPr>
              <w:t xml:space="preserve">: </w:t>
            </w:r>
          </w:p>
          <w:p w14:paraId="080CDAA8" w14:textId="7FF5D59B" w:rsidR="00F037D8" w:rsidRDefault="00F037D8" w:rsidP="00F15217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F037D8">
              <w:rPr>
                <w:rStyle w:val="checkbox"/>
                <w:rFonts w:ascii="Arial" w:hAnsi="Arial" w:cs="Arial"/>
              </w:rPr>
              <w:t>10 for extrapolation of a LOAEL to a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F037D8">
              <w:rPr>
                <w:rStyle w:val="checkbox"/>
                <w:rFonts w:ascii="Arial" w:hAnsi="Arial" w:cs="Arial"/>
              </w:rPr>
              <w:t xml:space="preserve">NOAEL </w:t>
            </w:r>
          </w:p>
          <w:p w14:paraId="702D246A" w14:textId="3FB39AC4" w:rsidR="00F037D8" w:rsidRDefault="00F037D8" w:rsidP="00F15217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F037D8">
              <w:rPr>
                <w:rStyle w:val="checkbox"/>
                <w:rFonts w:ascii="Arial" w:hAnsi="Arial" w:cs="Arial"/>
              </w:rPr>
              <w:t>3 for extrapolation from a sub</w:t>
            </w:r>
            <w:r w:rsidR="009E750F">
              <w:rPr>
                <w:rStyle w:val="checkbox"/>
                <w:rFonts w:ascii="Arial" w:hAnsi="Arial" w:cs="Arial"/>
              </w:rPr>
              <w:t xml:space="preserve"> </w:t>
            </w:r>
            <w:r w:rsidRPr="00F037D8">
              <w:rPr>
                <w:rStyle w:val="checkbox"/>
                <w:rFonts w:ascii="Arial" w:hAnsi="Arial" w:cs="Arial"/>
              </w:rPr>
              <w:t>chronic to c</w:t>
            </w:r>
            <w:r w:rsidR="00DB1FD0">
              <w:rPr>
                <w:rStyle w:val="checkbox"/>
                <w:rFonts w:ascii="Arial" w:hAnsi="Arial" w:cs="Arial"/>
              </w:rPr>
              <w:t>hronic exposure duration</w:t>
            </w:r>
          </w:p>
          <w:p w14:paraId="0EDAD7FE" w14:textId="0BB183E6" w:rsidR="00F037D8" w:rsidRDefault="00F037D8" w:rsidP="00F15217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F037D8">
              <w:rPr>
                <w:rStyle w:val="checkbox"/>
                <w:rFonts w:ascii="Arial" w:hAnsi="Arial" w:cs="Arial"/>
              </w:rPr>
              <w:t>10 for</w:t>
            </w:r>
            <w:r>
              <w:rPr>
                <w:rStyle w:val="checkbox"/>
                <w:rFonts w:ascii="Arial" w:hAnsi="Arial" w:cs="Arial"/>
              </w:rPr>
              <w:t xml:space="preserve"> human </w:t>
            </w:r>
            <w:proofErr w:type="spellStart"/>
            <w:r>
              <w:rPr>
                <w:rStyle w:val="checkbox"/>
                <w:rFonts w:ascii="Arial" w:hAnsi="Arial" w:cs="Arial"/>
              </w:rPr>
              <w:t>intraspecies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variability</w:t>
            </w:r>
          </w:p>
          <w:p w14:paraId="7C9CEAE2" w14:textId="4073EF88" w:rsidR="00F037D8" w:rsidRPr="00F037D8" w:rsidRDefault="00F037D8" w:rsidP="00F15217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F037D8">
              <w:rPr>
                <w:rStyle w:val="checkbox"/>
                <w:rFonts w:ascii="Arial" w:hAnsi="Arial" w:cs="Arial"/>
              </w:rPr>
              <w:t>10 to acco</w:t>
            </w:r>
            <w:r>
              <w:rPr>
                <w:rStyle w:val="checkbox"/>
                <w:rFonts w:ascii="Arial" w:hAnsi="Arial" w:cs="Arial"/>
              </w:rPr>
              <w:t>unt for database deficiencies</w:t>
            </w:r>
            <w:r w:rsidR="00BE720B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374233EA" w14:textId="77777777" w:rsidR="007E2A4B" w:rsidRDefault="007E2A4B"/>
    <w:bookmarkEnd w:id="0"/>
    <w:p w14:paraId="01CE5634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69027905" w14:textId="77777777" w:rsidTr="00BE720B">
        <w:trPr>
          <w:trHeight w:val="454"/>
          <w:tblHeader/>
        </w:trPr>
        <w:tc>
          <w:tcPr>
            <w:tcW w:w="6609" w:type="dxa"/>
            <w:vAlign w:val="center"/>
          </w:tcPr>
          <w:p w14:paraId="63CDB339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65618399" w14:textId="77777777" w:rsidR="002E0D61" w:rsidRDefault="003F4BE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1"/>
    <w:p w14:paraId="6FA2DFA5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0ED0995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66AB4FA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6ADB45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EF16E31" w14:textId="77777777" w:rsidTr="00812887">
        <w:trPr>
          <w:cantSplit/>
        </w:trPr>
        <w:tc>
          <w:tcPr>
            <w:tcW w:w="3227" w:type="dxa"/>
          </w:tcPr>
          <w:p w14:paraId="0095830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2CF8A18" w14:textId="68338623" w:rsidR="00245A70" w:rsidRPr="00DD2F9B" w:rsidRDefault="003F4BEE" w:rsidP="00245A70">
            <w:pPr>
              <w:pStyle w:val="Tablefont"/>
            </w:pPr>
            <w:r>
              <w:t>Sk</w:t>
            </w:r>
            <w:r w:rsidR="009F4846">
              <w:t>in</w:t>
            </w:r>
          </w:p>
        </w:tc>
      </w:tr>
      <w:tr w:rsidR="007925F0" w:rsidRPr="004C23F4" w14:paraId="65FBC84D" w14:textId="77777777" w:rsidTr="00812887">
        <w:trPr>
          <w:cantSplit/>
        </w:trPr>
        <w:tc>
          <w:tcPr>
            <w:tcW w:w="3227" w:type="dxa"/>
          </w:tcPr>
          <w:p w14:paraId="3F1D515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2C62163" w14:textId="0CBC6B45" w:rsidR="007925F0" w:rsidRPr="00DD2F9B" w:rsidRDefault="00FC12BF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349860A" w14:textId="77777777" w:rsidTr="00812887">
        <w:trPr>
          <w:cantSplit/>
        </w:trPr>
        <w:tc>
          <w:tcPr>
            <w:tcW w:w="3227" w:type="dxa"/>
          </w:tcPr>
          <w:p w14:paraId="07401D0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1A71E7D" w14:textId="77777777" w:rsidR="00AF483F" w:rsidRPr="00DD2F9B" w:rsidRDefault="00245A70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F93C11F" w14:textId="77777777" w:rsidTr="00812887">
        <w:trPr>
          <w:cantSplit/>
        </w:trPr>
        <w:tc>
          <w:tcPr>
            <w:tcW w:w="3227" w:type="dxa"/>
          </w:tcPr>
          <w:p w14:paraId="76A8054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6E02262" w14:textId="77777777" w:rsidR="00687890" w:rsidRPr="00DD2F9B" w:rsidRDefault="00245A70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95C77F1" w14:textId="77777777" w:rsidTr="00812887">
        <w:trPr>
          <w:cantSplit/>
        </w:trPr>
        <w:tc>
          <w:tcPr>
            <w:tcW w:w="3227" w:type="dxa"/>
          </w:tcPr>
          <w:p w14:paraId="6264B2F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C321BAC" w14:textId="336BFF0C" w:rsidR="00E41A26" w:rsidRPr="00DD2F9B" w:rsidRDefault="00FC12BF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CA5478A" w14:textId="77777777" w:rsidTr="00812887">
        <w:trPr>
          <w:cantSplit/>
        </w:trPr>
        <w:tc>
          <w:tcPr>
            <w:tcW w:w="3227" w:type="dxa"/>
          </w:tcPr>
          <w:p w14:paraId="2B7225F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526CD78" w14:textId="77777777" w:rsidR="002E0D61" w:rsidRPr="00DD2F9B" w:rsidRDefault="00245A70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24BEA931" w14:textId="77777777" w:rsidTr="00812887">
        <w:trPr>
          <w:cantSplit/>
        </w:trPr>
        <w:tc>
          <w:tcPr>
            <w:tcW w:w="3227" w:type="dxa"/>
          </w:tcPr>
          <w:p w14:paraId="7BB655E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D0A0716" w14:textId="77777777" w:rsidR="002E0D61" w:rsidRPr="00DD2F9B" w:rsidRDefault="00245A70" w:rsidP="00DD2F9B">
            <w:pPr>
              <w:pStyle w:val="Tablefont"/>
            </w:pPr>
            <w:r>
              <w:t>H (skin)</w:t>
            </w:r>
          </w:p>
        </w:tc>
      </w:tr>
      <w:tr w:rsidR="002E0D61" w:rsidRPr="004C23F4" w14:paraId="73342313" w14:textId="77777777" w:rsidTr="00812887">
        <w:trPr>
          <w:cantSplit/>
        </w:trPr>
        <w:tc>
          <w:tcPr>
            <w:tcW w:w="3227" w:type="dxa"/>
          </w:tcPr>
          <w:p w14:paraId="416D7A3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FF77444" w14:textId="77777777" w:rsidR="002E0D61" w:rsidRPr="00DD2F9B" w:rsidRDefault="00B81C7E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4286AD2A" w14:textId="77777777" w:rsidTr="00812887">
        <w:trPr>
          <w:cantSplit/>
        </w:trPr>
        <w:tc>
          <w:tcPr>
            <w:tcW w:w="3227" w:type="dxa"/>
          </w:tcPr>
          <w:p w14:paraId="32328FF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8C96DD0" w14:textId="77777777" w:rsidR="002E0D61" w:rsidRPr="00DD2F9B" w:rsidRDefault="00245A70" w:rsidP="00DD2F9B">
            <w:pPr>
              <w:pStyle w:val="Tablefont"/>
            </w:pPr>
            <w:r>
              <w:t>Skin</w:t>
            </w:r>
          </w:p>
        </w:tc>
      </w:tr>
      <w:tr w:rsidR="00386093" w:rsidRPr="004C23F4" w14:paraId="3B2D838F" w14:textId="77777777" w:rsidTr="00812887">
        <w:trPr>
          <w:cantSplit/>
        </w:trPr>
        <w:tc>
          <w:tcPr>
            <w:tcW w:w="3227" w:type="dxa"/>
          </w:tcPr>
          <w:p w14:paraId="43ADED9D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2817336" w14:textId="77777777" w:rsidR="00386093" w:rsidRPr="00DD2F9B" w:rsidRDefault="00245A7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5998708" w14:textId="77777777" w:rsidTr="00812887">
        <w:trPr>
          <w:cantSplit/>
        </w:trPr>
        <w:tc>
          <w:tcPr>
            <w:tcW w:w="3227" w:type="dxa"/>
          </w:tcPr>
          <w:p w14:paraId="5C1CCD7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803D1EE" w14:textId="5124460D" w:rsidR="00386093" w:rsidRPr="00DD2F9B" w:rsidRDefault="004167B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0DDE032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92B4FA0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983C293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D9A74E8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588D431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87"/>
              <w:gridCol w:w="1056"/>
              <w:gridCol w:w="1055"/>
              <w:gridCol w:w="1556"/>
              <w:gridCol w:w="1556"/>
            </w:tblGrid>
            <w:tr w:rsidR="003F4BEE" w:rsidRPr="003F4BEE" w14:paraId="2B4DFE67" w14:textId="77777777" w:rsidTr="004A3809">
              <w:trPr>
                <w:trHeight w:val="342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CC3028" w14:textId="77777777" w:rsidR="003F4BEE" w:rsidRPr="003F4BEE" w:rsidRDefault="003F4BEE" w:rsidP="003F4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60558F" w14:textId="77777777" w:rsidR="003F4BEE" w:rsidRPr="003F4BEE" w:rsidRDefault="003F4BEE" w:rsidP="003F4BE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BF1F7F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282F17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A36B09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4BEE" w:rsidRPr="003F4BEE" w14:paraId="1B64245C" w14:textId="77777777" w:rsidTr="004A3809">
              <w:trPr>
                <w:trHeight w:val="342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258FDB" w14:textId="5C5F5389" w:rsidR="003F4BEE" w:rsidRPr="003F4BEE" w:rsidRDefault="003F4BEE" w:rsidP="003F4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</w:t>
                  </w:r>
                  <w:r w:rsidR="007665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</w:t>
                  </w: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1000 mg/kg: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E0CA79D" w14:textId="77777777" w:rsidR="003F4BEE" w:rsidRPr="003F4BEE" w:rsidRDefault="003F4BEE" w:rsidP="003F4BE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8710D3" w14:textId="77777777" w:rsidR="003F4BEE" w:rsidRPr="003F4BEE" w:rsidRDefault="003F4BEE" w:rsidP="003F4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9D1984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E88C88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4BEE" w:rsidRPr="003F4BEE" w14:paraId="166C982C" w14:textId="77777777" w:rsidTr="004A3809">
              <w:trPr>
                <w:trHeight w:val="342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D3A6ED" w14:textId="3D81F471" w:rsidR="003F4BEE" w:rsidRPr="003F4BEE" w:rsidRDefault="003F4BEE" w:rsidP="003F4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</w:t>
                  </w:r>
                  <w:r w:rsidR="007665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</w:t>
                  </w: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200 mg/kg: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B7B335" w14:textId="77777777" w:rsidR="003F4BEE" w:rsidRPr="003F4BEE" w:rsidRDefault="003F4BEE" w:rsidP="003F4BE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62BB50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B8DBB5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D17B1C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4BEE" w:rsidRPr="003F4BEE" w14:paraId="1E88349D" w14:textId="77777777" w:rsidTr="004A3809">
              <w:trPr>
                <w:trHeight w:val="342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168FE6" w14:textId="3D8B69BE" w:rsidR="003F4BEE" w:rsidRPr="003F4BEE" w:rsidRDefault="003F4BEE" w:rsidP="003F4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</w:t>
                  </w:r>
                  <w:r w:rsidR="007665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</w:t>
                  </w: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10: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F9B4211" w14:textId="77777777" w:rsidR="003F4BEE" w:rsidRPr="003F4BEE" w:rsidRDefault="003F4BEE" w:rsidP="003F4BE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428C60" w14:textId="77777777" w:rsidR="003F4BEE" w:rsidRPr="003F4BEE" w:rsidRDefault="003F4BEE" w:rsidP="003F4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0FFEA3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A8A329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4BEE" w:rsidRPr="003F4BEE" w14:paraId="573DC549" w14:textId="77777777" w:rsidTr="004A3809">
              <w:trPr>
                <w:trHeight w:val="342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5720E8" w14:textId="28647DEF" w:rsidR="003F4BEE" w:rsidRPr="003F4BEE" w:rsidRDefault="003F4BEE" w:rsidP="003F4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</w:t>
                  </w:r>
                  <w:r w:rsidR="007665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</w:t>
                  </w: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10%: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965520" w14:textId="77777777" w:rsidR="003F4BEE" w:rsidRPr="003F4BEE" w:rsidRDefault="003F4BEE" w:rsidP="003F4BE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4C753B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3A32A6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B5D875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4BEE" w:rsidRPr="003F4BEE" w14:paraId="6835EF6F" w14:textId="77777777" w:rsidTr="004A3809">
              <w:trPr>
                <w:trHeight w:val="342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C677FA" w14:textId="3240007C" w:rsidR="003F4BEE" w:rsidRPr="003F4BEE" w:rsidRDefault="003F4BEE" w:rsidP="003F4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</w:t>
                  </w:r>
                  <w:r w:rsidR="007665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</w:t>
                  </w: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10%: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F5B8B2" w14:textId="77777777" w:rsidR="003F4BEE" w:rsidRPr="003F4BEE" w:rsidRDefault="003F4BEE" w:rsidP="003F4BE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BB3657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2091DB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8847C3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4BEE" w:rsidRPr="003F4BEE" w14:paraId="2382BBB3" w14:textId="77777777" w:rsidTr="004A3809">
              <w:trPr>
                <w:trHeight w:val="342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2F6F3B" w14:textId="77777777" w:rsidR="003F4BEE" w:rsidRPr="003F4BEE" w:rsidRDefault="003F4BEE" w:rsidP="003F4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CB1894" w14:textId="77777777" w:rsidR="003F4BEE" w:rsidRPr="003F4BEE" w:rsidRDefault="003F4BEE" w:rsidP="003F4BE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7AC034" w14:textId="77777777" w:rsidR="003F4BEE" w:rsidRPr="003F4BEE" w:rsidRDefault="003F4BEE" w:rsidP="003F4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76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2C6DF2" w14:textId="77777777" w:rsidR="003F4BEE" w:rsidRPr="003F4BEE" w:rsidRDefault="003F4BEE" w:rsidP="003F4BE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BE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6967933F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2D4142C1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51B23B4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BAAAF9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E202182" w14:textId="77777777" w:rsidR="00EB3D1B" w:rsidRDefault="003F4BEE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3D994F2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158E6568" w14:textId="77777777" w:rsidTr="00637A19">
        <w:trPr>
          <w:cantSplit/>
          <w:tblHeader/>
        </w:trPr>
        <w:tc>
          <w:tcPr>
            <w:tcW w:w="4077" w:type="dxa"/>
            <w:vAlign w:val="center"/>
          </w:tcPr>
          <w:p w14:paraId="3D7ECA76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429E04B" w14:textId="498D1F93" w:rsidR="001B79E5" w:rsidRDefault="00BE720B" w:rsidP="001B79E5">
                <w:pPr>
                  <w:pStyle w:val="Tablefont"/>
                </w:pPr>
                <w:r>
                  <w:t>27.03</w:t>
                </w:r>
              </w:p>
            </w:tc>
          </w:sdtContent>
        </w:sdt>
      </w:tr>
      <w:tr w:rsidR="00A31D99" w:rsidRPr="004C23F4" w14:paraId="33C6CF2E" w14:textId="77777777" w:rsidTr="008F2C33">
        <w:trPr>
          <w:cantSplit/>
        </w:trPr>
        <w:tc>
          <w:tcPr>
            <w:tcW w:w="4077" w:type="dxa"/>
            <w:vAlign w:val="center"/>
          </w:tcPr>
          <w:p w14:paraId="12D4F73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0F1BACF4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6CB6517" w14:textId="77777777" w:rsidTr="008F2C33">
        <w:trPr>
          <w:cantSplit/>
        </w:trPr>
        <w:tc>
          <w:tcPr>
            <w:tcW w:w="4077" w:type="dxa"/>
            <w:vAlign w:val="center"/>
          </w:tcPr>
          <w:p w14:paraId="6D06D69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A62AE74" w14:textId="611E189B" w:rsidR="00687890" w:rsidRPr="004C23F4" w:rsidRDefault="00BE720B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  <w:bookmarkStart w:id="4" w:name="_GoBack"/>
        <w:bookmarkEnd w:id="4"/>
      </w:tr>
      <w:tr w:rsidR="00687890" w:rsidRPr="004C23F4" w14:paraId="17D36A72" w14:textId="77777777" w:rsidTr="008F2C33">
        <w:trPr>
          <w:cantSplit/>
        </w:trPr>
        <w:tc>
          <w:tcPr>
            <w:tcW w:w="4077" w:type="dxa"/>
            <w:vAlign w:val="center"/>
          </w:tcPr>
          <w:p w14:paraId="73F21219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8AD34E8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C50FE22" w14:textId="77777777" w:rsidTr="008F2C33">
        <w:trPr>
          <w:cantSplit/>
        </w:trPr>
        <w:tc>
          <w:tcPr>
            <w:tcW w:w="4077" w:type="dxa"/>
            <w:vAlign w:val="center"/>
          </w:tcPr>
          <w:p w14:paraId="24A759C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32CE4C4" w14:textId="6910772D" w:rsidR="00687890" w:rsidRPr="004C23F4" w:rsidRDefault="00BE720B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39B1BC77" w14:textId="77777777" w:rsidTr="008F2C33">
        <w:trPr>
          <w:cantSplit/>
        </w:trPr>
        <w:tc>
          <w:tcPr>
            <w:tcW w:w="4077" w:type="dxa"/>
            <w:vAlign w:val="center"/>
          </w:tcPr>
          <w:p w14:paraId="3A322A6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1919945" w14:textId="77777777" w:rsidR="00E06F40" w:rsidRPr="00A006A0" w:rsidRDefault="00637A1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297F73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EF0187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AF519C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7EBDFA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2849C5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BE80878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F9998B7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46F8D9A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6982369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5936483" w14:textId="6AF271F9" w:rsidR="002528C8" w:rsidRDefault="002528C8" w:rsidP="002528C8">
      <w:r w:rsidRPr="002528C8">
        <w:t>Deutsche Fo</w:t>
      </w:r>
      <w:r>
        <w:t xml:space="preserve">rschungsgemeinschaft </w:t>
      </w:r>
      <w:r w:rsidRPr="00DD5E43">
        <w:t xml:space="preserve">(DFG) (2001) </w:t>
      </w:r>
      <w:r>
        <w:t>Hydrogen cyanide, potassium cyanide and sodium cyanide</w:t>
      </w:r>
      <w:r w:rsidRPr="002528C8">
        <w:t>– MAK value documentation.</w:t>
      </w:r>
    </w:p>
    <w:p w14:paraId="720B6034" w14:textId="05B48B92" w:rsidR="00FC12BF" w:rsidRDefault="00C24E3E" w:rsidP="002528C8">
      <w:r w:rsidRPr="00710012">
        <w:t xml:space="preserve">European Chemicals Agency </w:t>
      </w:r>
      <w:r w:rsidRPr="00DD5E43">
        <w:t xml:space="preserve">(ECHA) (2012) </w:t>
      </w:r>
      <w:r w:rsidR="00FC12BF">
        <w:t>Directive 98/8/EC concerning the placing biocidal products on the market Inclusion of active substances in Annex I or I A to Directive 98/8/EC Assessment Report</w:t>
      </w:r>
    </w:p>
    <w:p w14:paraId="2283C89D" w14:textId="553AD8F6" w:rsidR="00B81C7E" w:rsidRDefault="00B81C7E" w:rsidP="002528C8">
      <w:r w:rsidRPr="00B81C7E">
        <w:t xml:space="preserve">EU Scientific Committee on Occupational Exposure Limits (SCOEL) (2011) Recommendation from the Scientific Committee on Occupational Exposure Limits for </w:t>
      </w:r>
      <w:r>
        <w:t xml:space="preserve">cyanide (HCN, KCN, </w:t>
      </w:r>
      <w:proofErr w:type="spellStart"/>
      <w:r>
        <w:t>NaCN</w:t>
      </w:r>
      <w:proofErr w:type="spellEnd"/>
      <w:r w:rsidR="005F0484">
        <w:t>)</w:t>
      </w:r>
      <w:r>
        <w:t>. SCOEL/SUM/115</w:t>
      </w:r>
      <w:r w:rsidRPr="00B81C7E">
        <w:t>.</w:t>
      </w:r>
    </w:p>
    <w:p w14:paraId="528B0353" w14:textId="7E479FEF" w:rsidR="004167BC" w:rsidRDefault="002528C8" w:rsidP="002528C8">
      <w:r w:rsidRPr="002528C8">
        <w:t>Health Council</w:t>
      </w:r>
      <w:r>
        <w:t xml:space="preserve"> of the Netherlands </w:t>
      </w:r>
      <w:r w:rsidRPr="00DD5E43">
        <w:t>(HCOTN) (2002</w:t>
      </w:r>
      <w:r w:rsidRPr="002528C8">
        <w:t xml:space="preserve">) </w:t>
      </w:r>
      <w:r>
        <w:t>Hydrogen cyanide, sodium cyanide, and potassium cyanide</w:t>
      </w:r>
      <w:r w:rsidRPr="002528C8">
        <w:t xml:space="preserve">. Health-based </w:t>
      </w:r>
      <w:r>
        <w:t>recommended</w:t>
      </w:r>
      <w:r w:rsidRPr="002528C8">
        <w:t xml:space="preserve"> occupational cancer risk values. The Hague: Health Council of the Netherlands; publication no. 2012/32.</w:t>
      </w:r>
    </w:p>
    <w:p w14:paraId="7580FC30" w14:textId="1BDD672A" w:rsidR="00F037D8" w:rsidRDefault="00F037D8" w:rsidP="002528C8">
      <w:r w:rsidRPr="00F037D8">
        <w:t xml:space="preserve">US Environmental </w:t>
      </w:r>
      <w:r>
        <w:t xml:space="preserve">Protection Agency </w:t>
      </w:r>
      <w:r w:rsidRPr="00DD5E43">
        <w:t xml:space="preserve">(US EPA) (2010) </w:t>
      </w:r>
      <w:r>
        <w:t>Toxicological Review of Hydrogen Cyanide and Cyanide Salts</w:t>
      </w:r>
      <w:r w:rsidRPr="00F037D8">
        <w:t>.</w:t>
      </w:r>
      <w:r>
        <w:t xml:space="preserve"> </w:t>
      </w:r>
      <w:r w:rsidRPr="00F037D8">
        <w:t>EPA/635/R-08/016F</w:t>
      </w:r>
      <w:r w:rsidR="00BE720B">
        <w:t>.</w:t>
      </w:r>
    </w:p>
    <w:p w14:paraId="55E9269D" w14:textId="0EB6FEDB" w:rsidR="00BE720B" w:rsidRPr="00351FE0" w:rsidRDefault="00BE720B" w:rsidP="00BE720B">
      <w:r w:rsidRPr="00181257">
        <w:t xml:space="preserve">US </w:t>
      </w:r>
      <w:r>
        <w:t xml:space="preserve">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and health concentrations – hydrogen cyanide. </w:t>
      </w:r>
    </w:p>
    <w:p w14:paraId="17CB6D8F" w14:textId="77777777" w:rsidR="00BE720B" w:rsidRDefault="00BE720B" w:rsidP="002528C8"/>
    <w:p w14:paraId="4A5081F9" w14:textId="4D400873" w:rsidR="00BE720B" w:rsidRPr="00351FE0" w:rsidRDefault="00BE720B" w:rsidP="002528C8"/>
    <w:sectPr w:rsidR="00BE720B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3625DA" w16cid:durableId="20B4CCAC"/>
  <w16cid:commentId w16cid:paraId="6AA7E449" w16cid:durableId="20B4CD32"/>
  <w16cid:commentId w16cid:paraId="5E3D4D9E" w16cid:durableId="20B4CD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48AF3" w14:textId="77777777" w:rsidR="00EF2B42" w:rsidRDefault="00EF2B42" w:rsidP="00F43AD5">
      <w:pPr>
        <w:spacing w:after="0" w:line="240" w:lineRule="auto"/>
      </w:pPr>
      <w:r>
        <w:separator/>
      </w:r>
    </w:p>
  </w:endnote>
  <w:endnote w:type="continuationSeparator" w:id="0">
    <w:p w14:paraId="38C68D21" w14:textId="77777777" w:rsidR="00EF2B42" w:rsidRDefault="00EF2B4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9CAD" w14:textId="77777777" w:rsidR="00F9677F" w:rsidRDefault="00F96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025194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B1B15E1" w14:textId="77777777" w:rsidR="008A36CF" w:rsidRDefault="00882A4D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Hydrogen Cyanide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74-90-8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9232CD8" w14:textId="394D7C6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37A19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A11C7" w14:textId="77777777" w:rsidR="00F9677F" w:rsidRDefault="00F96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F988A" w14:textId="77777777" w:rsidR="00EF2B42" w:rsidRDefault="00EF2B42" w:rsidP="00F43AD5">
      <w:pPr>
        <w:spacing w:after="0" w:line="240" w:lineRule="auto"/>
      </w:pPr>
      <w:r>
        <w:separator/>
      </w:r>
    </w:p>
  </w:footnote>
  <w:footnote w:type="continuationSeparator" w:id="0">
    <w:p w14:paraId="266E534D" w14:textId="77777777" w:rsidR="00EF2B42" w:rsidRDefault="00EF2B4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C122" w14:textId="77777777" w:rsidR="00F9677F" w:rsidRDefault="00F96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D97F" w14:textId="693822ED" w:rsidR="00637A19" w:rsidRDefault="00637A19" w:rsidP="00637A19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29D6C1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9" type="#_x0000_t136" style="position:absolute;left:0;text-align:left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ECE7615" wp14:editId="5BABCF2F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33BD6" w14:textId="0EC8E29F" w:rsidR="008A36CF" w:rsidRPr="00637A19" w:rsidRDefault="008A36CF" w:rsidP="00637A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0592" w14:textId="77777777" w:rsidR="00F9677F" w:rsidRDefault="00F9677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7E2D7" w14:textId="26D659F2" w:rsidR="00F9677F" w:rsidRDefault="00637A19" w:rsidP="00F9677F">
    <w:pPr>
      <w:pStyle w:val="Header"/>
      <w:jc w:val="right"/>
    </w:pPr>
    <w:r>
      <w:pict w14:anchorId="42EC98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38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9677F">
      <w:rPr>
        <w:noProof/>
        <w:lang w:eastAsia="en-AU"/>
      </w:rPr>
      <w:drawing>
        <wp:inline distT="0" distB="0" distL="0" distR="0" wp14:anchorId="099AB03E" wp14:editId="185242B8">
          <wp:extent cx="2952750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315261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D68A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1C066F"/>
    <w:multiLevelType w:val="hybridMultilevel"/>
    <w:tmpl w:val="FF3C66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2A36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8E3"/>
    <w:rsid w:val="00067F32"/>
    <w:rsid w:val="00071807"/>
    <w:rsid w:val="00075000"/>
    <w:rsid w:val="000803E1"/>
    <w:rsid w:val="000814EA"/>
    <w:rsid w:val="00084513"/>
    <w:rsid w:val="00084859"/>
    <w:rsid w:val="00085BE2"/>
    <w:rsid w:val="00092D94"/>
    <w:rsid w:val="000A25C9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E6DF9"/>
    <w:rsid w:val="0010461E"/>
    <w:rsid w:val="00105B6F"/>
    <w:rsid w:val="00106FAA"/>
    <w:rsid w:val="00113443"/>
    <w:rsid w:val="001269A7"/>
    <w:rsid w:val="00131092"/>
    <w:rsid w:val="001376EB"/>
    <w:rsid w:val="00140E6A"/>
    <w:rsid w:val="00146545"/>
    <w:rsid w:val="00146A81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045"/>
    <w:rsid w:val="001A43F8"/>
    <w:rsid w:val="001B075D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066E4"/>
    <w:rsid w:val="00213640"/>
    <w:rsid w:val="00216FE7"/>
    <w:rsid w:val="00221547"/>
    <w:rsid w:val="002216FC"/>
    <w:rsid w:val="00222533"/>
    <w:rsid w:val="00222F30"/>
    <w:rsid w:val="00224EE2"/>
    <w:rsid w:val="00227EC7"/>
    <w:rsid w:val="00236161"/>
    <w:rsid w:val="00244AD1"/>
    <w:rsid w:val="00245509"/>
    <w:rsid w:val="00245A70"/>
    <w:rsid w:val="002463BC"/>
    <w:rsid w:val="002465CE"/>
    <w:rsid w:val="00246875"/>
    <w:rsid w:val="00251413"/>
    <w:rsid w:val="002528C8"/>
    <w:rsid w:val="0025734A"/>
    <w:rsid w:val="00263255"/>
    <w:rsid w:val="00276494"/>
    <w:rsid w:val="00277B0C"/>
    <w:rsid w:val="002B1A2C"/>
    <w:rsid w:val="002B751A"/>
    <w:rsid w:val="002C34F2"/>
    <w:rsid w:val="002C58FF"/>
    <w:rsid w:val="002C7AFE"/>
    <w:rsid w:val="002D05D2"/>
    <w:rsid w:val="002E0D61"/>
    <w:rsid w:val="002E4C7B"/>
    <w:rsid w:val="00300B86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377A6"/>
    <w:rsid w:val="00347192"/>
    <w:rsid w:val="0034744C"/>
    <w:rsid w:val="00351FE0"/>
    <w:rsid w:val="00352615"/>
    <w:rsid w:val="0035412B"/>
    <w:rsid w:val="0035609F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4BEE"/>
    <w:rsid w:val="004030BC"/>
    <w:rsid w:val="00403F7D"/>
    <w:rsid w:val="00406785"/>
    <w:rsid w:val="004079B4"/>
    <w:rsid w:val="004102AD"/>
    <w:rsid w:val="004167BC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21C7"/>
    <w:rsid w:val="004A3809"/>
    <w:rsid w:val="004A5088"/>
    <w:rsid w:val="004B35CE"/>
    <w:rsid w:val="004C1E3F"/>
    <w:rsid w:val="004C23F4"/>
    <w:rsid w:val="004C3475"/>
    <w:rsid w:val="004C58B6"/>
    <w:rsid w:val="004D16A3"/>
    <w:rsid w:val="004D4AA1"/>
    <w:rsid w:val="004D6D68"/>
    <w:rsid w:val="004E4755"/>
    <w:rsid w:val="004E5EDD"/>
    <w:rsid w:val="004F448A"/>
    <w:rsid w:val="004F493D"/>
    <w:rsid w:val="004F65E8"/>
    <w:rsid w:val="0050005E"/>
    <w:rsid w:val="00502B88"/>
    <w:rsid w:val="00511D91"/>
    <w:rsid w:val="005142C4"/>
    <w:rsid w:val="0051509C"/>
    <w:rsid w:val="005272E2"/>
    <w:rsid w:val="0053108F"/>
    <w:rsid w:val="00532B56"/>
    <w:rsid w:val="00534B10"/>
    <w:rsid w:val="00542CE6"/>
    <w:rsid w:val="005446A2"/>
    <w:rsid w:val="00544D2F"/>
    <w:rsid w:val="00551BD8"/>
    <w:rsid w:val="00581055"/>
    <w:rsid w:val="00591E38"/>
    <w:rsid w:val="005A19C5"/>
    <w:rsid w:val="005A2722"/>
    <w:rsid w:val="005A3034"/>
    <w:rsid w:val="005A462D"/>
    <w:rsid w:val="005A7F13"/>
    <w:rsid w:val="005B253B"/>
    <w:rsid w:val="005B771D"/>
    <w:rsid w:val="005C5D16"/>
    <w:rsid w:val="005D3193"/>
    <w:rsid w:val="005D4A6E"/>
    <w:rsid w:val="005E6979"/>
    <w:rsid w:val="005E75CB"/>
    <w:rsid w:val="005F0484"/>
    <w:rsid w:val="006013C1"/>
    <w:rsid w:val="0060669E"/>
    <w:rsid w:val="00610F2E"/>
    <w:rsid w:val="00611399"/>
    <w:rsid w:val="00624C4E"/>
    <w:rsid w:val="00625200"/>
    <w:rsid w:val="006363A8"/>
    <w:rsid w:val="00636DB7"/>
    <w:rsid w:val="00637A19"/>
    <w:rsid w:val="00650905"/>
    <w:rsid w:val="006532ED"/>
    <w:rsid w:val="006549F2"/>
    <w:rsid w:val="006567B7"/>
    <w:rsid w:val="00657BFB"/>
    <w:rsid w:val="0066333C"/>
    <w:rsid w:val="006639B4"/>
    <w:rsid w:val="006650FE"/>
    <w:rsid w:val="006668E4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0C30"/>
    <w:rsid w:val="006E1F0E"/>
    <w:rsid w:val="006E5D05"/>
    <w:rsid w:val="006F7E49"/>
    <w:rsid w:val="00701053"/>
    <w:rsid w:val="00701507"/>
    <w:rsid w:val="00714021"/>
    <w:rsid w:val="00716A0F"/>
    <w:rsid w:val="00717D45"/>
    <w:rsid w:val="007208F7"/>
    <w:rsid w:val="007218AF"/>
    <w:rsid w:val="00722C81"/>
    <w:rsid w:val="007365D1"/>
    <w:rsid w:val="00737B31"/>
    <w:rsid w:val="00740E0E"/>
    <w:rsid w:val="00746A28"/>
    <w:rsid w:val="00750212"/>
    <w:rsid w:val="00754779"/>
    <w:rsid w:val="0075716D"/>
    <w:rsid w:val="00765F14"/>
    <w:rsid w:val="00766583"/>
    <w:rsid w:val="00770E31"/>
    <w:rsid w:val="007770F1"/>
    <w:rsid w:val="007814F8"/>
    <w:rsid w:val="00783FB1"/>
    <w:rsid w:val="00785CDD"/>
    <w:rsid w:val="00791847"/>
    <w:rsid w:val="007925F0"/>
    <w:rsid w:val="007939B3"/>
    <w:rsid w:val="0079509C"/>
    <w:rsid w:val="00796708"/>
    <w:rsid w:val="007B1B42"/>
    <w:rsid w:val="007B3370"/>
    <w:rsid w:val="007C30EB"/>
    <w:rsid w:val="007E063C"/>
    <w:rsid w:val="007E2A4B"/>
    <w:rsid w:val="007E307D"/>
    <w:rsid w:val="007E3E4A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0D9A"/>
    <w:rsid w:val="00882A4D"/>
    <w:rsid w:val="0088798F"/>
    <w:rsid w:val="00887E4B"/>
    <w:rsid w:val="008915C8"/>
    <w:rsid w:val="008A1CB5"/>
    <w:rsid w:val="008A2B50"/>
    <w:rsid w:val="008A36CF"/>
    <w:rsid w:val="008A3BC4"/>
    <w:rsid w:val="008B403C"/>
    <w:rsid w:val="008B7983"/>
    <w:rsid w:val="008C2511"/>
    <w:rsid w:val="008D026D"/>
    <w:rsid w:val="008D23AB"/>
    <w:rsid w:val="008D3A3C"/>
    <w:rsid w:val="008D4B8B"/>
    <w:rsid w:val="008D5A78"/>
    <w:rsid w:val="008E5CCB"/>
    <w:rsid w:val="008E7B64"/>
    <w:rsid w:val="008F2C33"/>
    <w:rsid w:val="008F5DCD"/>
    <w:rsid w:val="00900951"/>
    <w:rsid w:val="009118A6"/>
    <w:rsid w:val="00911A2B"/>
    <w:rsid w:val="00916909"/>
    <w:rsid w:val="00916EC0"/>
    <w:rsid w:val="00920467"/>
    <w:rsid w:val="00921355"/>
    <w:rsid w:val="00921DE7"/>
    <w:rsid w:val="00922EF3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AD5"/>
    <w:rsid w:val="00977E88"/>
    <w:rsid w:val="00984920"/>
    <w:rsid w:val="009906B0"/>
    <w:rsid w:val="0099303A"/>
    <w:rsid w:val="009971C2"/>
    <w:rsid w:val="009A1254"/>
    <w:rsid w:val="009B1DB8"/>
    <w:rsid w:val="009B2FF2"/>
    <w:rsid w:val="009B380C"/>
    <w:rsid w:val="009B4843"/>
    <w:rsid w:val="009B6543"/>
    <w:rsid w:val="009B6729"/>
    <w:rsid w:val="009C199D"/>
    <w:rsid w:val="009C278F"/>
    <w:rsid w:val="009C2B94"/>
    <w:rsid w:val="009C3051"/>
    <w:rsid w:val="009C43B9"/>
    <w:rsid w:val="009C5874"/>
    <w:rsid w:val="009C726A"/>
    <w:rsid w:val="009D3B5A"/>
    <w:rsid w:val="009E0C05"/>
    <w:rsid w:val="009E0D1C"/>
    <w:rsid w:val="009E2214"/>
    <w:rsid w:val="009E355A"/>
    <w:rsid w:val="009E63E2"/>
    <w:rsid w:val="009E750F"/>
    <w:rsid w:val="009F05CF"/>
    <w:rsid w:val="009F0F3A"/>
    <w:rsid w:val="009F4846"/>
    <w:rsid w:val="00A01D0C"/>
    <w:rsid w:val="00A0643F"/>
    <w:rsid w:val="00A067EE"/>
    <w:rsid w:val="00A10FCE"/>
    <w:rsid w:val="00A16D91"/>
    <w:rsid w:val="00A174CC"/>
    <w:rsid w:val="00A2073D"/>
    <w:rsid w:val="00A20751"/>
    <w:rsid w:val="00A23BA0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E4DF2"/>
    <w:rsid w:val="00AF42CB"/>
    <w:rsid w:val="00AF483F"/>
    <w:rsid w:val="00AF5E07"/>
    <w:rsid w:val="00AF5F06"/>
    <w:rsid w:val="00B00A25"/>
    <w:rsid w:val="00B12284"/>
    <w:rsid w:val="00B1422A"/>
    <w:rsid w:val="00B1765C"/>
    <w:rsid w:val="00B213C4"/>
    <w:rsid w:val="00B40C60"/>
    <w:rsid w:val="00B479A9"/>
    <w:rsid w:val="00B52EDF"/>
    <w:rsid w:val="00B71188"/>
    <w:rsid w:val="00B76A41"/>
    <w:rsid w:val="00B81C7E"/>
    <w:rsid w:val="00B87D4C"/>
    <w:rsid w:val="00B93646"/>
    <w:rsid w:val="00BA0B38"/>
    <w:rsid w:val="00BA1CB5"/>
    <w:rsid w:val="00BA1DBB"/>
    <w:rsid w:val="00BA4510"/>
    <w:rsid w:val="00BA529A"/>
    <w:rsid w:val="00BB2685"/>
    <w:rsid w:val="00BB612A"/>
    <w:rsid w:val="00BC287E"/>
    <w:rsid w:val="00BD499F"/>
    <w:rsid w:val="00BD56DE"/>
    <w:rsid w:val="00BE602F"/>
    <w:rsid w:val="00BE720B"/>
    <w:rsid w:val="00BF2406"/>
    <w:rsid w:val="00C16315"/>
    <w:rsid w:val="00C24E3E"/>
    <w:rsid w:val="00C3091E"/>
    <w:rsid w:val="00C40FF1"/>
    <w:rsid w:val="00C419E2"/>
    <w:rsid w:val="00C5020E"/>
    <w:rsid w:val="00C57452"/>
    <w:rsid w:val="00C61EDF"/>
    <w:rsid w:val="00C6239D"/>
    <w:rsid w:val="00C6391B"/>
    <w:rsid w:val="00C6594B"/>
    <w:rsid w:val="00C67FFB"/>
    <w:rsid w:val="00C7155E"/>
    <w:rsid w:val="00C71D1E"/>
    <w:rsid w:val="00C71D7D"/>
    <w:rsid w:val="00C7403D"/>
    <w:rsid w:val="00C74833"/>
    <w:rsid w:val="00C77A2F"/>
    <w:rsid w:val="00C850A0"/>
    <w:rsid w:val="00C85A86"/>
    <w:rsid w:val="00C923DC"/>
    <w:rsid w:val="00C978F0"/>
    <w:rsid w:val="00CA58FE"/>
    <w:rsid w:val="00CB1CB1"/>
    <w:rsid w:val="00CB442A"/>
    <w:rsid w:val="00CB6BC1"/>
    <w:rsid w:val="00CB6CB8"/>
    <w:rsid w:val="00CC1A68"/>
    <w:rsid w:val="00CC2123"/>
    <w:rsid w:val="00CC43CF"/>
    <w:rsid w:val="00CD2BFD"/>
    <w:rsid w:val="00CE5AD6"/>
    <w:rsid w:val="00CE617F"/>
    <w:rsid w:val="00CE78EF"/>
    <w:rsid w:val="00CF1E99"/>
    <w:rsid w:val="00D048F7"/>
    <w:rsid w:val="00D0517E"/>
    <w:rsid w:val="00D140FC"/>
    <w:rsid w:val="00D21D8C"/>
    <w:rsid w:val="00D31357"/>
    <w:rsid w:val="00D32779"/>
    <w:rsid w:val="00D33220"/>
    <w:rsid w:val="00D334D1"/>
    <w:rsid w:val="00D44C89"/>
    <w:rsid w:val="00D516CD"/>
    <w:rsid w:val="00D52221"/>
    <w:rsid w:val="00D668E6"/>
    <w:rsid w:val="00D70670"/>
    <w:rsid w:val="00D71D32"/>
    <w:rsid w:val="00D74D80"/>
    <w:rsid w:val="00D76624"/>
    <w:rsid w:val="00D87570"/>
    <w:rsid w:val="00D91CB9"/>
    <w:rsid w:val="00D97989"/>
    <w:rsid w:val="00D97D8D"/>
    <w:rsid w:val="00DA352E"/>
    <w:rsid w:val="00DB1FD0"/>
    <w:rsid w:val="00DB2E01"/>
    <w:rsid w:val="00DC7694"/>
    <w:rsid w:val="00DD1BF6"/>
    <w:rsid w:val="00DD2F9B"/>
    <w:rsid w:val="00DD5E43"/>
    <w:rsid w:val="00DD65CE"/>
    <w:rsid w:val="00DE2513"/>
    <w:rsid w:val="00DE26E8"/>
    <w:rsid w:val="00DE60F6"/>
    <w:rsid w:val="00DF6F36"/>
    <w:rsid w:val="00E0084C"/>
    <w:rsid w:val="00E025AB"/>
    <w:rsid w:val="00E02B23"/>
    <w:rsid w:val="00E06F40"/>
    <w:rsid w:val="00E07A97"/>
    <w:rsid w:val="00E07CE8"/>
    <w:rsid w:val="00E26A07"/>
    <w:rsid w:val="00E27217"/>
    <w:rsid w:val="00E2762B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67F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0025"/>
    <w:rsid w:val="00EF233A"/>
    <w:rsid w:val="00EF2B42"/>
    <w:rsid w:val="00EF303E"/>
    <w:rsid w:val="00EF3A40"/>
    <w:rsid w:val="00EF7F78"/>
    <w:rsid w:val="00F01B08"/>
    <w:rsid w:val="00F01C4D"/>
    <w:rsid w:val="00F037D8"/>
    <w:rsid w:val="00F053FA"/>
    <w:rsid w:val="00F10C69"/>
    <w:rsid w:val="00F10C97"/>
    <w:rsid w:val="00F11C71"/>
    <w:rsid w:val="00F15217"/>
    <w:rsid w:val="00F16019"/>
    <w:rsid w:val="00F1732B"/>
    <w:rsid w:val="00F20E68"/>
    <w:rsid w:val="00F22093"/>
    <w:rsid w:val="00F236DF"/>
    <w:rsid w:val="00F31606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677F"/>
    <w:rsid w:val="00F970C9"/>
    <w:rsid w:val="00FA06A8"/>
    <w:rsid w:val="00FA3DF5"/>
    <w:rsid w:val="00FA741F"/>
    <w:rsid w:val="00FB4E07"/>
    <w:rsid w:val="00FB755A"/>
    <w:rsid w:val="00FC12BF"/>
    <w:rsid w:val="00FC55F2"/>
    <w:rsid w:val="00FC60A2"/>
    <w:rsid w:val="00FC7B28"/>
    <w:rsid w:val="00FD1871"/>
    <w:rsid w:val="00FD3110"/>
    <w:rsid w:val="00FF533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4:docId w14:val="625FE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511D91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2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B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B5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B50"/>
    <w:rPr>
      <w:b/>
      <w:bCs/>
      <w:szCs w:val="20"/>
    </w:rPr>
  </w:style>
  <w:style w:type="paragraph" w:styleId="Revision">
    <w:name w:val="Revision"/>
    <w:hidden/>
    <w:uiPriority w:val="99"/>
    <w:semiHidden/>
    <w:rsid w:val="001B0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228A1"/>
    <w:rsid w:val="006F77B1"/>
    <w:rsid w:val="007565B3"/>
    <w:rsid w:val="00CE6EA1"/>
    <w:rsid w:val="00D21A9F"/>
    <w:rsid w:val="00E4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AFBE-5A62-4A1B-8FAD-297E871D8C71}">
  <ds:schemaRefs>
    <ds:schemaRef ds:uri="http://purl.org/dc/terms/"/>
    <ds:schemaRef ds:uri="http://purl.org/dc/elements/1.1/"/>
    <ds:schemaRef ds:uri="http://schemas.microsoft.com/office/2006/documentManagement/types"/>
    <ds:schemaRef ds:uri="bf54d604-3e62-4e70-ba33-9e9084b96a6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FA7C03-124B-4F9C-835A-33ABD1372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8FD50-8FBA-4FE9-BA23-714E8ABCA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46A09-E133-4C1D-BCE6-F1A73FB8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7DAFE7F7.dotm</Template>
  <TotalTime>0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2019-11-14T05:40:00Z</dcterms:created>
  <dcterms:modified xsi:type="dcterms:W3CDTF">2020-01-15T03:29:00Z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