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44FC491" w14:textId="77777777" w:rsidR="00BD499F" w:rsidRPr="004C23F4" w:rsidRDefault="006917B2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Hydrogen sulFide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5"/>
        <w:gridCol w:w="5041"/>
      </w:tblGrid>
      <w:tr w:rsidR="00F43AD5" w:rsidRPr="004C23F4" w14:paraId="349EBCF2" w14:textId="77777777" w:rsidTr="00B76A41">
        <w:trPr>
          <w:cantSplit/>
          <w:tblHeader/>
        </w:trPr>
        <w:tc>
          <w:tcPr>
            <w:tcW w:w="4077" w:type="dxa"/>
          </w:tcPr>
          <w:p w14:paraId="1334C0CD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69D53D54" w14:textId="77777777" w:rsidR="00F43AD5" w:rsidRPr="00717D45" w:rsidRDefault="00AC0FE8" w:rsidP="00B76A41">
            <w:pPr>
              <w:pStyle w:val="Tablefont"/>
            </w:pPr>
            <w:r>
              <w:t>7783-06-4</w:t>
            </w:r>
          </w:p>
        </w:tc>
      </w:tr>
      <w:tr w:rsidR="00F43AD5" w:rsidRPr="004C23F4" w14:paraId="0DAF22B2" w14:textId="77777777" w:rsidTr="00B76A41">
        <w:trPr>
          <w:cantSplit/>
        </w:trPr>
        <w:tc>
          <w:tcPr>
            <w:tcW w:w="4077" w:type="dxa"/>
          </w:tcPr>
          <w:p w14:paraId="48C36C4D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0C1E9E64" w14:textId="77777777" w:rsidR="00F43AD5" w:rsidRPr="00717D45" w:rsidRDefault="00AC0FE8" w:rsidP="00B76A41">
            <w:pPr>
              <w:pStyle w:val="Tablefont"/>
            </w:pPr>
            <w:proofErr w:type="spellStart"/>
            <w:r>
              <w:t>Hydrosulfuric</w:t>
            </w:r>
            <w:proofErr w:type="spellEnd"/>
            <w:r>
              <w:t xml:space="preserve"> acid, </w:t>
            </w:r>
            <w:r w:rsidR="006917B2">
              <w:t xml:space="preserve">hydrogen sulphide, </w:t>
            </w:r>
            <w:r>
              <w:t xml:space="preserve">stink damp, </w:t>
            </w:r>
            <w:proofErr w:type="spellStart"/>
            <w:r>
              <w:t>sulfur</w:t>
            </w:r>
            <w:proofErr w:type="spellEnd"/>
            <w:r>
              <w:t xml:space="preserve"> hydride, sulfureted hydrogen</w:t>
            </w:r>
          </w:p>
        </w:tc>
      </w:tr>
      <w:tr w:rsidR="00F43AD5" w:rsidRPr="004C23F4" w14:paraId="3BB17B80" w14:textId="77777777" w:rsidTr="00B76A41">
        <w:trPr>
          <w:cantSplit/>
        </w:trPr>
        <w:tc>
          <w:tcPr>
            <w:tcW w:w="4077" w:type="dxa"/>
          </w:tcPr>
          <w:p w14:paraId="12D2BB44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3966E6D0" w14:textId="77777777" w:rsidR="00F43AD5" w:rsidRPr="00717D45" w:rsidRDefault="00AC0FE8" w:rsidP="00B76A41">
            <w:pPr>
              <w:pStyle w:val="Tablefont"/>
            </w:pPr>
            <w:r>
              <w:t>H</w:t>
            </w:r>
            <w:r w:rsidRPr="00AC0FE8">
              <w:rPr>
                <w:vertAlign w:val="subscript"/>
              </w:rPr>
              <w:t>2</w:t>
            </w:r>
            <w:r>
              <w:t>S</w:t>
            </w:r>
          </w:p>
        </w:tc>
      </w:tr>
      <w:tr w:rsidR="00F43AD5" w:rsidRPr="004C23F4" w14:paraId="719AA3ED" w14:textId="77777777" w:rsidTr="00B76A41">
        <w:trPr>
          <w:cantSplit/>
        </w:trPr>
        <w:tc>
          <w:tcPr>
            <w:tcW w:w="4077" w:type="dxa"/>
          </w:tcPr>
          <w:p w14:paraId="22DBB159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612F609F" w14:textId="77777777" w:rsidR="00F43AD5" w:rsidRPr="00B40C60" w:rsidRDefault="00AC0FE8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548FB814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DE42A5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35F59363" w14:textId="77777777" w:rsidTr="00AC0FE8">
        <w:trPr>
          <w:cantSplit/>
          <w:tblHeader/>
        </w:trPr>
        <w:tc>
          <w:tcPr>
            <w:tcW w:w="4010" w:type="dxa"/>
            <w:vAlign w:val="center"/>
          </w:tcPr>
          <w:p w14:paraId="2895B035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1195AC09" w14:textId="77777777" w:rsidR="002C7AFE" w:rsidRPr="00DE42A5" w:rsidRDefault="00DE42A5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 ppm (1.4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AC0FE8" w:rsidRPr="004C23F4" w14:paraId="348F9C20" w14:textId="77777777" w:rsidTr="00AC0FE8">
        <w:trPr>
          <w:cantSplit/>
        </w:trPr>
        <w:tc>
          <w:tcPr>
            <w:tcW w:w="4010" w:type="dxa"/>
            <w:vAlign w:val="center"/>
          </w:tcPr>
          <w:p w14:paraId="292406B2" w14:textId="77777777" w:rsidR="00AC0FE8" w:rsidRPr="002C58FF" w:rsidRDefault="00AC0FE8" w:rsidP="00AC0FE8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6621AA50" w14:textId="77777777" w:rsidR="00AC0FE8" w:rsidRPr="00DE42A5" w:rsidRDefault="00DE42A5" w:rsidP="00200FE5">
            <w:pPr>
              <w:pStyle w:val="Tablefont"/>
              <w:rPr>
                <w:b/>
              </w:rPr>
            </w:pPr>
            <w:r>
              <w:rPr>
                <w:b/>
              </w:rPr>
              <w:t>5 ppm (7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AC0FE8" w:rsidRPr="004C23F4" w14:paraId="74A628D4" w14:textId="77777777" w:rsidTr="00AC0FE8">
        <w:trPr>
          <w:cantSplit/>
        </w:trPr>
        <w:tc>
          <w:tcPr>
            <w:tcW w:w="4010" w:type="dxa"/>
            <w:vAlign w:val="center"/>
          </w:tcPr>
          <w:p w14:paraId="04654208" w14:textId="77777777" w:rsidR="00AC0FE8" w:rsidRPr="002C58FF" w:rsidRDefault="00AC0FE8" w:rsidP="00AC0FE8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3BA2EE8B" w14:textId="77777777" w:rsidR="00AC0FE8" w:rsidRPr="00200FE5" w:rsidRDefault="00AC0FE8" w:rsidP="00200FE5">
            <w:pPr>
              <w:pStyle w:val="Tablefont"/>
              <w:rPr>
                <w:b/>
              </w:rPr>
            </w:pPr>
            <w:r w:rsidRPr="00926965">
              <w:rPr>
                <w:b/>
              </w:rPr>
              <w:t>—</w:t>
            </w:r>
          </w:p>
        </w:tc>
      </w:tr>
      <w:tr w:rsidR="00AC0FE8" w:rsidRPr="004C23F4" w14:paraId="2A99AD30" w14:textId="77777777" w:rsidTr="00AC0FE8">
        <w:trPr>
          <w:cantSplit/>
        </w:trPr>
        <w:tc>
          <w:tcPr>
            <w:tcW w:w="4010" w:type="dxa"/>
          </w:tcPr>
          <w:p w14:paraId="25794128" w14:textId="77777777" w:rsidR="00AC0FE8" w:rsidRPr="002C58FF" w:rsidRDefault="00AC0FE8" w:rsidP="00AC0FE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37C563FD" w14:textId="77777777" w:rsidR="00AC0FE8" w:rsidRPr="00200FE5" w:rsidRDefault="00AC0FE8" w:rsidP="00200FE5">
            <w:pPr>
              <w:pStyle w:val="Tablefont"/>
              <w:rPr>
                <w:b/>
              </w:rPr>
            </w:pPr>
            <w:r w:rsidRPr="00926965">
              <w:rPr>
                <w:b/>
              </w:rPr>
              <w:t>—</w:t>
            </w:r>
          </w:p>
        </w:tc>
      </w:tr>
      <w:tr w:rsidR="00AC0FE8" w:rsidRPr="004C23F4" w14:paraId="5C5F2CA6" w14:textId="77777777" w:rsidTr="00AC0FE8">
        <w:trPr>
          <w:cantSplit/>
        </w:trPr>
        <w:tc>
          <w:tcPr>
            <w:tcW w:w="4010" w:type="dxa"/>
            <w:vAlign w:val="center"/>
          </w:tcPr>
          <w:p w14:paraId="6495E0D4" w14:textId="77777777" w:rsidR="00AC0FE8" w:rsidRPr="002C58FF" w:rsidRDefault="00AC0FE8" w:rsidP="00AC0FE8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64DF0F69" w14:textId="77777777" w:rsidR="00AC0FE8" w:rsidRPr="00200FE5" w:rsidRDefault="00200FE5" w:rsidP="00200FE5">
            <w:pPr>
              <w:pStyle w:val="Tablefont"/>
              <w:rPr>
                <w:b/>
              </w:rPr>
            </w:pPr>
            <w:r>
              <w:rPr>
                <w:b/>
              </w:rPr>
              <w:t>100 ppm</w:t>
            </w:r>
          </w:p>
        </w:tc>
      </w:tr>
      <w:tr w:rsidR="00F5076F" w:rsidRPr="004C23F4" w14:paraId="31058AB1" w14:textId="77777777" w:rsidTr="00BD460C">
        <w:trPr>
          <w:cantSplit/>
        </w:trPr>
        <w:tc>
          <w:tcPr>
            <w:tcW w:w="9026" w:type="dxa"/>
            <w:gridSpan w:val="2"/>
            <w:vAlign w:val="center"/>
          </w:tcPr>
          <w:p w14:paraId="4A40BFA9" w14:textId="77777777" w:rsidR="00F5076F" w:rsidRDefault="00F5076F" w:rsidP="00200FE5">
            <w:pPr>
              <w:pStyle w:val="Tablefont"/>
            </w:pPr>
            <w:r w:rsidRPr="00E82B18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8F55B5FE277544B6BA5F0700A6885016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390D37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3CA6690A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7187C13" w14:textId="77777777" w:rsidR="00DE42A5" w:rsidRPr="00205015" w:rsidRDefault="00DE42A5" w:rsidP="00DE42A5">
      <w:pPr>
        <w:rPr>
          <w:rFonts w:cs="Arial"/>
        </w:rPr>
      </w:pPr>
      <w:r w:rsidRPr="00205015">
        <w:rPr>
          <w:rFonts w:cs="Arial"/>
        </w:rPr>
        <w:t>A TWA of 1 ppm (1.4 mg/m</w:t>
      </w:r>
      <w:r w:rsidRPr="00205015">
        <w:rPr>
          <w:rFonts w:cs="Arial"/>
          <w:vertAlign w:val="superscript"/>
        </w:rPr>
        <w:t>3</w:t>
      </w:r>
      <w:r w:rsidRPr="00205015">
        <w:rPr>
          <w:rFonts w:cs="Arial"/>
        </w:rPr>
        <w:t xml:space="preserve">) is recommended to protect for </w:t>
      </w:r>
      <w:r w:rsidRPr="00205015">
        <w:t>irritation effects and central nervous system (CNS) impairment in exposed workers.</w:t>
      </w:r>
    </w:p>
    <w:p w14:paraId="615CBDC4" w14:textId="77777777" w:rsidR="00DE42A5" w:rsidRPr="00205015" w:rsidRDefault="00DE42A5" w:rsidP="00DE42A5">
      <w:pPr>
        <w:rPr>
          <w:rFonts w:cs="Arial"/>
        </w:rPr>
      </w:pPr>
      <w:r w:rsidRPr="00205015">
        <w:rPr>
          <w:rFonts w:cs="Arial"/>
        </w:rPr>
        <w:t xml:space="preserve">A STEL of </w:t>
      </w:r>
      <w:r w:rsidR="005C60D2" w:rsidRPr="00205015">
        <w:rPr>
          <w:rFonts w:cs="Arial"/>
        </w:rPr>
        <w:t>5</w:t>
      </w:r>
      <w:r w:rsidRPr="00205015">
        <w:rPr>
          <w:rFonts w:cs="Arial"/>
        </w:rPr>
        <w:t xml:space="preserve"> ppm (7 mg/m</w:t>
      </w:r>
      <w:r w:rsidRPr="00205015">
        <w:rPr>
          <w:rFonts w:cs="Arial"/>
          <w:vertAlign w:val="superscript"/>
        </w:rPr>
        <w:t>3</w:t>
      </w:r>
      <w:r w:rsidRPr="00205015">
        <w:rPr>
          <w:rFonts w:cs="Arial"/>
        </w:rPr>
        <w:t xml:space="preserve">) is recommended to protect for </w:t>
      </w:r>
      <w:r w:rsidR="00245536" w:rsidRPr="00205015">
        <w:rPr>
          <w:rFonts w:cs="Arial"/>
        </w:rPr>
        <w:t xml:space="preserve">acute </w:t>
      </w:r>
      <w:r w:rsidRPr="00205015">
        <w:t>irritation effects and CNS impairment in exposed workers.</w:t>
      </w:r>
    </w:p>
    <w:p w14:paraId="3DE8F26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2CA7357A" w14:textId="55B0E552" w:rsidR="00CF2244" w:rsidRPr="00C91D1C" w:rsidRDefault="005C60D2" w:rsidP="006639B4">
      <w:r w:rsidRPr="00C91D1C">
        <w:t xml:space="preserve">Hydrogen </w:t>
      </w:r>
      <w:proofErr w:type="spellStart"/>
      <w:r w:rsidRPr="00C91D1C">
        <w:t>sul</w:t>
      </w:r>
      <w:r w:rsidR="00390D37" w:rsidRPr="00C91D1C">
        <w:t>f</w:t>
      </w:r>
      <w:r w:rsidRPr="00C91D1C">
        <w:t>ide</w:t>
      </w:r>
      <w:proofErr w:type="spellEnd"/>
      <w:r w:rsidRPr="00C91D1C">
        <w:t xml:space="preserve"> is a colourless gas with a characteristic odour of “rotten eggs” occurring in the gases from stagnant bodies of water, crude petroleum and natural gas. Occupational exposure </w:t>
      </w:r>
      <w:r w:rsidR="009C0022" w:rsidRPr="00C91D1C">
        <w:t xml:space="preserve">occurs </w:t>
      </w:r>
      <w:r w:rsidRPr="00C91D1C">
        <w:t xml:space="preserve">principally from its presence in crude petroleum, natural gas, soil, </w:t>
      </w:r>
      <w:r w:rsidR="00600557">
        <w:t>and sewerage</w:t>
      </w:r>
      <w:r w:rsidRPr="00C91D1C">
        <w:t xml:space="preserve"> and as a by-product of chemical reactions in various industries. </w:t>
      </w:r>
    </w:p>
    <w:p w14:paraId="25BB52AD" w14:textId="157901D6" w:rsidR="00882C32" w:rsidRPr="00C91D1C" w:rsidRDefault="005C60D2" w:rsidP="00882C32">
      <w:r w:rsidRPr="00C91D1C">
        <w:t>The critical effect</w:t>
      </w:r>
      <w:r w:rsidR="00F5076F" w:rsidRPr="00C91D1C">
        <w:t>s</w:t>
      </w:r>
      <w:r w:rsidRPr="00C91D1C">
        <w:t xml:space="preserve"> </w:t>
      </w:r>
      <w:r w:rsidR="00CF2244" w:rsidRPr="00C91D1C">
        <w:t>of</w:t>
      </w:r>
      <w:r w:rsidRPr="00C91D1C">
        <w:t xml:space="preserve"> exposure are irritation of the </w:t>
      </w:r>
      <w:r w:rsidR="00390D37" w:rsidRPr="00C91D1C">
        <w:t xml:space="preserve">eyes </w:t>
      </w:r>
      <w:r w:rsidRPr="00C91D1C">
        <w:t xml:space="preserve">and upper respiratory tract and </w:t>
      </w:r>
      <w:r w:rsidR="00390D37" w:rsidRPr="00C91D1C">
        <w:t>‘</w:t>
      </w:r>
      <w:r w:rsidRPr="00C91D1C">
        <w:t>knockdown effect</w:t>
      </w:r>
      <w:r w:rsidR="00390D37" w:rsidRPr="00C91D1C">
        <w:t>’</w:t>
      </w:r>
      <w:r w:rsidRPr="00C91D1C">
        <w:t xml:space="preserve"> at high concentrations.</w:t>
      </w:r>
      <w:r w:rsidR="00CF2244" w:rsidRPr="00C91D1C">
        <w:t xml:space="preserve"> </w:t>
      </w:r>
      <w:r w:rsidR="00882C32" w:rsidRPr="00C91D1C">
        <w:t xml:space="preserve">The odour threshold ranges </w:t>
      </w:r>
      <w:r w:rsidR="00600557">
        <w:t>from approximately</w:t>
      </w:r>
      <w:r w:rsidR="00882C32" w:rsidRPr="00C91D1C">
        <w:t xml:space="preserve"> 0.0002 to 0.3 ppm. Volunteers exposed </w:t>
      </w:r>
      <w:r w:rsidR="00600557">
        <w:t>once</w:t>
      </w:r>
      <w:r w:rsidR="00882C32" w:rsidRPr="00C91D1C">
        <w:t xml:space="preserve"> </w:t>
      </w:r>
      <w:r w:rsidR="00CF2244" w:rsidRPr="00C91D1C">
        <w:t>at</w:t>
      </w:r>
      <w:r w:rsidR="00882C32" w:rsidRPr="00C91D1C">
        <w:t xml:space="preserve"> 5</w:t>
      </w:r>
      <w:r w:rsidR="00245536" w:rsidRPr="00C91D1C">
        <w:t> </w:t>
      </w:r>
      <w:r w:rsidR="00882C32" w:rsidRPr="00C91D1C">
        <w:t xml:space="preserve">ppm for </w:t>
      </w:r>
      <w:r w:rsidR="00F5076F" w:rsidRPr="00C91D1C">
        <w:t>two</w:t>
      </w:r>
      <w:r w:rsidR="00882C32" w:rsidRPr="00C91D1C">
        <w:t xml:space="preserve"> hours self-reported increases in ratings of odour intensity, irritation</w:t>
      </w:r>
      <w:r w:rsidR="00245536" w:rsidRPr="00C91D1C">
        <w:t xml:space="preserve"> </w:t>
      </w:r>
      <w:r w:rsidR="00882C32" w:rsidRPr="00C91D1C">
        <w:t xml:space="preserve">and unpleasantness. </w:t>
      </w:r>
      <w:r w:rsidR="00600557">
        <w:t>E</w:t>
      </w:r>
      <w:r w:rsidR="00882C32" w:rsidRPr="00C91D1C">
        <w:t xml:space="preserve">ye irritation and effects on </w:t>
      </w:r>
      <w:r w:rsidR="00CF2244" w:rsidRPr="00C91D1C">
        <w:t xml:space="preserve">the </w:t>
      </w:r>
      <w:r w:rsidR="00882C32" w:rsidRPr="00C91D1C">
        <w:t xml:space="preserve">cornea </w:t>
      </w:r>
      <w:r w:rsidR="00CF2244" w:rsidRPr="00C91D1C">
        <w:t xml:space="preserve">are </w:t>
      </w:r>
      <w:r w:rsidR="00882C32" w:rsidRPr="00C91D1C">
        <w:t>reported at 5</w:t>
      </w:r>
      <w:r w:rsidR="00934192" w:rsidRPr="00C91D1C">
        <w:t xml:space="preserve"> </w:t>
      </w:r>
      <w:r w:rsidR="00882C32" w:rsidRPr="00C91D1C">
        <w:t>ppm</w:t>
      </w:r>
      <w:r w:rsidR="00934192" w:rsidRPr="00C91D1C">
        <w:t xml:space="preserve"> (ACGIH, 2018)</w:t>
      </w:r>
      <w:r w:rsidR="00882C32" w:rsidRPr="00C91D1C">
        <w:t>. Inhalation of 1,000</w:t>
      </w:r>
      <w:r w:rsidR="00FF461F" w:rsidRPr="00C91D1C">
        <w:t xml:space="preserve"> to </w:t>
      </w:r>
      <w:r w:rsidR="00882C32" w:rsidRPr="00C91D1C">
        <w:t xml:space="preserve">2,000 ppm can result in ‘knockdown’ collapse, unconsciousness and paralysis of </w:t>
      </w:r>
      <w:r w:rsidR="00600557">
        <w:t xml:space="preserve">the </w:t>
      </w:r>
      <w:r w:rsidR="00882C32" w:rsidRPr="00C91D1C">
        <w:t>respiratory centre in</w:t>
      </w:r>
      <w:r w:rsidR="00600557">
        <w:t xml:space="preserve"> the</w:t>
      </w:r>
      <w:r w:rsidR="00882C32" w:rsidRPr="00C91D1C">
        <w:t xml:space="preserve"> brain. A </w:t>
      </w:r>
      <w:r w:rsidR="009C0022" w:rsidRPr="00C91D1C">
        <w:t xml:space="preserve">NOAEC </w:t>
      </w:r>
      <w:r w:rsidR="00882C32" w:rsidRPr="00C91D1C">
        <w:t xml:space="preserve">of 10 ppm for nasal lesions </w:t>
      </w:r>
      <w:r w:rsidR="00CF2244" w:rsidRPr="00C91D1C">
        <w:t>i</w:t>
      </w:r>
      <w:r w:rsidR="00882C32" w:rsidRPr="00C91D1C">
        <w:t>s identified in rats and mice exposed for</w:t>
      </w:r>
      <w:r w:rsidR="00600557">
        <w:t xml:space="preserve"> six hours per day for</w:t>
      </w:r>
      <w:r w:rsidR="00882C32" w:rsidRPr="00C91D1C">
        <w:t xml:space="preserve"> up to </w:t>
      </w:r>
      <w:r w:rsidR="00245536" w:rsidRPr="00C91D1C">
        <w:t>90</w:t>
      </w:r>
      <w:r w:rsidR="00882C32" w:rsidRPr="00C91D1C">
        <w:t xml:space="preserve"> days</w:t>
      </w:r>
      <w:r w:rsidR="001B7A4D" w:rsidRPr="00C91D1C">
        <w:t xml:space="preserve">. </w:t>
      </w:r>
      <w:r w:rsidR="004F7FC2">
        <w:t xml:space="preserve">Based on this same study, primary sources assign different recommendations. </w:t>
      </w:r>
    </w:p>
    <w:p w14:paraId="1E5F8A05" w14:textId="1B96E987" w:rsidR="00882C32" w:rsidRPr="00C91D1C" w:rsidRDefault="004F7FC2" w:rsidP="00CF2244">
      <w:r w:rsidRPr="00C91D1C">
        <w:t>The dose-response curve appears to start at 5 ppm based on evidence in humans and rats (ACGIH, 2018).</w:t>
      </w:r>
      <w:r>
        <w:t xml:space="preserve"> </w:t>
      </w:r>
      <w:r w:rsidR="009C0022" w:rsidRPr="00C91D1C">
        <w:t>A TWA of 1 ppm</w:t>
      </w:r>
      <w:r w:rsidR="003B3D41" w:rsidRPr="00C91D1C">
        <w:t xml:space="preserve"> is recommended as derived</w:t>
      </w:r>
      <w:r w:rsidR="009C0022" w:rsidRPr="00C91D1C">
        <w:t xml:space="preserve"> by ACGIH (2018)</w:t>
      </w:r>
      <w:r w:rsidR="00430FD1" w:rsidRPr="00C91D1C">
        <w:t>,</w:t>
      </w:r>
      <w:r w:rsidR="000E3753" w:rsidRPr="00C91D1C">
        <w:t xml:space="preserve"> </w:t>
      </w:r>
      <w:r w:rsidR="00BD72A6" w:rsidRPr="00C91D1C">
        <w:t>presumably,</w:t>
      </w:r>
      <w:r w:rsidR="009C0022" w:rsidRPr="00C91D1C">
        <w:t xml:space="preserve"> by dividing the NOAEC </w:t>
      </w:r>
      <w:r w:rsidR="00882C32" w:rsidRPr="00C91D1C">
        <w:t>of 10</w:t>
      </w:r>
      <w:r w:rsidR="006A7BB3" w:rsidRPr="00C91D1C">
        <w:t xml:space="preserve"> </w:t>
      </w:r>
      <w:r w:rsidR="00882C32" w:rsidRPr="00C91D1C">
        <w:t xml:space="preserve">ppm </w:t>
      </w:r>
      <w:r w:rsidR="00245536" w:rsidRPr="00C91D1C">
        <w:t xml:space="preserve">in rats </w:t>
      </w:r>
      <w:r w:rsidR="009C0022" w:rsidRPr="00C91D1C">
        <w:t>by</w:t>
      </w:r>
      <w:r w:rsidR="00882C32" w:rsidRPr="00C91D1C">
        <w:t xml:space="preserve"> an uncertainty factor of 10 for interspecies difference</w:t>
      </w:r>
      <w:r w:rsidR="00430FD1" w:rsidRPr="00C91D1C">
        <w:t>. This TWA</w:t>
      </w:r>
      <w:r w:rsidR="00882C32" w:rsidRPr="00C91D1C">
        <w:t xml:space="preserve"> is recommended</w:t>
      </w:r>
      <w:r w:rsidR="00245536" w:rsidRPr="00C91D1C">
        <w:t xml:space="preserve"> to protect for irritation effects and CNS impairment in exposed workers</w:t>
      </w:r>
      <w:r w:rsidR="00882C32" w:rsidRPr="00C91D1C">
        <w:t>.</w:t>
      </w:r>
      <w:r w:rsidR="001B7A4D" w:rsidRPr="00C91D1C">
        <w:t xml:space="preserve"> Based on the </w:t>
      </w:r>
      <w:r w:rsidR="001B7A4D" w:rsidRPr="00C91D1C">
        <w:lastRenderedPageBreak/>
        <w:t>local irritation effects at 5</w:t>
      </w:r>
      <w:r w:rsidR="00245536" w:rsidRPr="00C91D1C">
        <w:t> </w:t>
      </w:r>
      <w:r w:rsidR="001B7A4D" w:rsidRPr="00C91D1C">
        <w:t xml:space="preserve">ppm and the potential for short-term peaks in </w:t>
      </w:r>
      <w:r w:rsidR="006A7BB3" w:rsidRPr="00C91D1C">
        <w:t>exposure, a</w:t>
      </w:r>
      <w:r w:rsidR="001B7A4D" w:rsidRPr="00C91D1C">
        <w:t xml:space="preserve"> STEL of 5 ppm is recommended</w:t>
      </w:r>
      <w:r w:rsidR="00245536" w:rsidRPr="00C91D1C">
        <w:t xml:space="preserve"> to protect for acute irritation effects and CNS impairment in exposed workers.</w:t>
      </w:r>
    </w:p>
    <w:p w14:paraId="523EAD1E" w14:textId="77777777" w:rsidR="004529F0" w:rsidRPr="004C23F4" w:rsidRDefault="004529F0" w:rsidP="00F5076F">
      <w:pPr>
        <w:pStyle w:val="Heading2"/>
      </w:pPr>
      <w:r>
        <w:t>Recommendation for notations</w:t>
      </w:r>
    </w:p>
    <w:p w14:paraId="498446CB" w14:textId="77777777" w:rsidR="00AC0FE8" w:rsidRPr="00DE42A5" w:rsidRDefault="00AC0FE8" w:rsidP="00390D37">
      <w:pPr>
        <w:keepNext/>
        <w:rPr>
          <w:rFonts w:cs="Arial"/>
        </w:rPr>
      </w:pPr>
      <w:r w:rsidRPr="00DE42A5">
        <w:rPr>
          <w:rFonts w:cs="Arial"/>
        </w:rPr>
        <w:t>Not classified as a carcinogen according to the Globally Harmonized System of Classification and Labelling o</w:t>
      </w:r>
      <w:r w:rsidR="00F5076F">
        <w:rPr>
          <w:rFonts w:cs="Arial"/>
        </w:rPr>
        <w:t>f</w:t>
      </w:r>
      <w:r w:rsidRPr="00DE42A5">
        <w:rPr>
          <w:rFonts w:cs="Arial"/>
        </w:rPr>
        <w:t xml:space="preserve"> Chemicals (GHS). </w:t>
      </w:r>
    </w:p>
    <w:p w14:paraId="729CACFD" w14:textId="77777777" w:rsidR="00AC0FE8" w:rsidRPr="00DE42A5" w:rsidRDefault="00AC0FE8" w:rsidP="00390D37">
      <w:pPr>
        <w:keepNext/>
        <w:rPr>
          <w:rFonts w:cs="Arial"/>
        </w:rPr>
      </w:pPr>
      <w:r w:rsidRPr="00DE42A5">
        <w:rPr>
          <w:rFonts w:cs="Arial"/>
        </w:rPr>
        <w:t>Not classified as a skin</w:t>
      </w:r>
      <w:r w:rsidR="00DE42A5">
        <w:rPr>
          <w:rFonts w:cs="Arial"/>
        </w:rPr>
        <w:t xml:space="preserve"> sensitiser</w:t>
      </w:r>
      <w:r w:rsidRPr="00DE42A5">
        <w:rPr>
          <w:rFonts w:cs="Arial"/>
        </w:rPr>
        <w:t xml:space="preserve"> or respiratory sensitiser according to the GHS.</w:t>
      </w:r>
    </w:p>
    <w:p w14:paraId="7FA55E8B" w14:textId="77777777" w:rsidR="004529F0" w:rsidRPr="004C23F4" w:rsidRDefault="00390D37" w:rsidP="00390D37">
      <w:pPr>
        <w:keepNext/>
        <w:rPr>
          <w:rFonts w:cs="Arial"/>
        </w:rPr>
      </w:pPr>
      <w:r>
        <w:rPr>
          <w:rFonts w:cs="Arial"/>
        </w:rPr>
        <w:t>There are i</w:t>
      </w:r>
      <w:r w:rsidR="00AC0FE8" w:rsidRPr="00DE42A5">
        <w:rPr>
          <w:rFonts w:cs="Arial"/>
        </w:rPr>
        <w:t xml:space="preserve">nsufficient </w:t>
      </w:r>
      <w:r>
        <w:rPr>
          <w:rFonts w:cs="Arial"/>
        </w:rPr>
        <w:t>data</w:t>
      </w:r>
      <w:r w:rsidRPr="00DE42A5">
        <w:rPr>
          <w:rFonts w:cs="Arial"/>
        </w:rPr>
        <w:t xml:space="preserve"> </w:t>
      </w:r>
      <w:r w:rsidR="00AC0FE8" w:rsidRPr="00DE42A5">
        <w:rPr>
          <w:rFonts w:cs="Arial"/>
        </w:rPr>
        <w:t>to recommend a skin notation.</w:t>
      </w:r>
    </w:p>
    <w:p w14:paraId="0628E56C" w14:textId="77777777" w:rsidR="0025734A" w:rsidRPr="004C23F4" w:rsidRDefault="0025734A">
      <w:pPr>
        <w:rPr>
          <w:rFonts w:cs="Arial"/>
        </w:rPr>
      </w:pPr>
    </w:p>
    <w:p w14:paraId="69F61B80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2189F157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43FC6967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37401EA9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4564633E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3ADAE515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1E50AC5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0854F6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0854F6">
                  <w:t>TWA: 10 ppm (14 mg/m</w:t>
                </w:r>
                <w:r w:rsidR="000854F6" w:rsidRPr="000854F6">
                  <w:rPr>
                    <w:vertAlign w:val="superscript"/>
                  </w:rPr>
                  <w:t>3</w:t>
                </w:r>
                <w:r w:rsidR="000854F6">
                  <w:t>); STEL: 15 ppm (21 mg/m</w:t>
                </w:r>
                <w:r w:rsidR="000854F6" w:rsidRPr="000854F6">
                  <w:rPr>
                    <w:vertAlign w:val="superscript"/>
                  </w:rPr>
                  <w:t>3</w:t>
                </w:r>
                <w:r w:rsidR="000854F6">
                  <w:t>)</w:t>
                </w:r>
              </w:sdtContent>
            </w:sdt>
          </w:p>
        </w:tc>
      </w:tr>
      <w:tr w:rsidR="00C978F0" w:rsidRPr="00DA352E" w14:paraId="7C7214D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A933556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2362B12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F971610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7C5CAA">
                  <w:t>2010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7C5CAA">
                  <w:t>TLV-TWA: 1 ppm (1.4 mg/m</w:t>
                </w:r>
                <w:r w:rsidR="007C5CAA" w:rsidRPr="007C5CAA">
                  <w:rPr>
                    <w:vertAlign w:val="superscript"/>
                  </w:rPr>
                  <w:t>3</w:t>
                </w:r>
                <w:r w:rsidR="00EC5E5B">
                  <w:t xml:space="preserve">); </w:t>
                </w:r>
                <w:r w:rsidR="007C5CAA">
                  <w:t>TLV-STEL: 5 ppm (7 mg/m</w:t>
                </w:r>
                <w:r w:rsidR="007C5CAA" w:rsidRPr="007C5CAA">
                  <w:rPr>
                    <w:vertAlign w:val="superscript"/>
                  </w:rPr>
                  <w:t>3</w:t>
                </w:r>
                <w:r w:rsidR="007C5CAA">
                  <w:t>)</w:t>
                </w:r>
              </w:sdtContent>
            </w:sdt>
          </w:p>
        </w:tc>
      </w:tr>
      <w:tr w:rsidR="00C978F0" w:rsidRPr="00DA352E" w14:paraId="536E04E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31F216A" w14:textId="77777777" w:rsidR="00C978F0" w:rsidRPr="006B6295" w:rsidRDefault="00EC5E5B" w:rsidP="003365A5">
            <w:pPr>
              <w:pStyle w:val="Tabletextprimarysource"/>
            </w:pPr>
            <w:r w:rsidRPr="006B6295">
              <w:t>TLV-TWA and TLV-STEL recommended to minimise upper respiratory tract irritation and CNS impairment in exposed workers.</w:t>
            </w:r>
          </w:p>
          <w:p w14:paraId="2C51AB1D" w14:textId="162FCB15" w:rsidR="00EC5E5B" w:rsidRPr="006B6295" w:rsidRDefault="00EC5E5B" w:rsidP="003365A5">
            <w:pPr>
              <w:pStyle w:val="Tabletextprimarysource"/>
            </w:pPr>
            <w:r w:rsidRPr="006B6295">
              <w:t>Summary of data:</w:t>
            </w:r>
          </w:p>
          <w:p w14:paraId="428EA092" w14:textId="328954E8" w:rsidR="00A12637" w:rsidRPr="006B6295" w:rsidRDefault="00A12637" w:rsidP="003365A5">
            <w:pPr>
              <w:pStyle w:val="Tabletextprimarysource"/>
            </w:pPr>
            <w:r w:rsidRPr="006B6295">
              <w:t xml:space="preserve">TLV-TWA </w:t>
            </w:r>
            <w:r w:rsidR="00430FD1" w:rsidRPr="006B6295">
              <w:t>and TLV-STEL are</w:t>
            </w:r>
            <w:r w:rsidRPr="006B6295">
              <w:t xml:space="preserve"> stated as derived from human and animal data</w:t>
            </w:r>
            <w:r w:rsidR="00430FD1" w:rsidRPr="006B6295">
              <w:t xml:space="preserve"> that showed similar qualitative and quantitative responses following single and repeated exposures</w:t>
            </w:r>
            <w:r w:rsidRPr="006B6295">
              <w:t>; no specific derivation provided</w:t>
            </w:r>
            <w:r w:rsidR="000E3753" w:rsidRPr="006B6295">
              <w:t>.</w:t>
            </w:r>
          </w:p>
          <w:p w14:paraId="686C1696" w14:textId="598B1F1F" w:rsidR="00A12637" w:rsidRPr="006B6295" w:rsidRDefault="00A12637" w:rsidP="003365A5">
            <w:pPr>
              <w:pStyle w:val="Tabletextprimarysource"/>
            </w:pPr>
            <w:r w:rsidRPr="006B6295">
              <w:t>TLV-STEL justified by evidence that peak exposures of 5 ppm may produce minor irritation and a brief change in oxygen uptake, but not expected to produce more serious effects on the respiratory, central nervous or cardiovascular systems.</w:t>
            </w:r>
          </w:p>
          <w:p w14:paraId="541E3593" w14:textId="77777777" w:rsidR="00EC5E5B" w:rsidRPr="006B6295" w:rsidRDefault="00EC5E5B" w:rsidP="003365A5">
            <w:pPr>
              <w:pStyle w:val="Tabletextprimarysource"/>
            </w:pPr>
            <w:r w:rsidRPr="006B6295">
              <w:t>Human data:</w:t>
            </w:r>
          </w:p>
          <w:p w14:paraId="25FA3187" w14:textId="77777777" w:rsidR="00EC5E5B" w:rsidRPr="006B6295" w:rsidRDefault="00EC5E5B" w:rsidP="00CF2244">
            <w:pPr>
              <w:pStyle w:val="ListBullet"/>
              <w:spacing w:before="60" w:after="60"/>
              <w:ind w:left="714" w:hanging="357"/>
              <w:contextualSpacing w:val="0"/>
            </w:pPr>
            <w:r w:rsidRPr="006B6295">
              <w:t xml:space="preserve">‘Rotten egg’ odour threshold ranges </w:t>
            </w:r>
            <w:r w:rsidR="00605B8E" w:rsidRPr="006B6295">
              <w:rPr>
                <w:rFonts w:cs="Arial"/>
              </w:rPr>
              <w:t>≈</w:t>
            </w:r>
            <w:r w:rsidRPr="006B6295">
              <w:t>0.0002</w:t>
            </w:r>
            <w:r w:rsidR="00245536" w:rsidRPr="006B6295">
              <w:t>–</w:t>
            </w:r>
            <w:r w:rsidRPr="006B6295">
              <w:t>0.3 ppm</w:t>
            </w:r>
          </w:p>
          <w:p w14:paraId="0A4ADBD1" w14:textId="59C7581D" w:rsidR="00CF2244" w:rsidRPr="006B6295" w:rsidRDefault="006C5690" w:rsidP="00CF2244">
            <w:pPr>
              <w:pStyle w:val="ListBullet"/>
              <w:spacing w:before="60" w:after="60"/>
              <w:ind w:left="714" w:hanging="357"/>
              <w:contextualSpacing w:val="0"/>
            </w:pPr>
            <w:r w:rsidRPr="006B6295">
              <w:t>Series of studies in exercising volunteers; 15</w:t>
            </w:r>
            <w:r w:rsidR="00F5076F" w:rsidRPr="006B6295">
              <w:t>–</w:t>
            </w:r>
            <w:r w:rsidRPr="006B6295">
              <w:t>30 min exposures</w:t>
            </w:r>
            <w:r w:rsidR="00E96C24" w:rsidRPr="006B6295">
              <w:t>:</w:t>
            </w:r>
            <w:r w:rsidRPr="006B6295">
              <w:t xml:space="preserve"> </w:t>
            </w:r>
          </w:p>
          <w:p w14:paraId="74DF973F" w14:textId="77777777" w:rsidR="00CF2244" w:rsidRPr="006B6295" w:rsidRDefault="006C5690" w:rsidP="00CF2244">
            <w:pPr>
              <w:pStyle w:val="ListBullet"/>
              <w:numPr>
                <w:ilvl w:val="0"/>
                <w:numId w:val="2"/>
              </w:numPr>
              <w:spacing w:before="60" w:after="60"/>
              <w:contextualSpacing w:val="0"/>
            </w:pPr>
            <w:r w:rsidRPr="006B6295">
              <w:t>NOAEL 2 ppm</w:t>
            </w:r>
          </w:p>
          <w:p w14:paraId="40BA402D" w14:textId="77777777" w:rsidR="006C5690" w:rsidRPr="006B6295" w:rsidRDefault="006C5690" w:rsidP="00CF2244">
            <w:pPr>
              <w:pStyle w:val="ListBullet"/>
              <w:numPr>
                <w:ilvl w:val="0"/>
                <w:numId w:val="2"/>
              </w:numPr>
              <w:spacing w:before="60" w:after="60"/>
              <w:contextualSpacing w:val="0"/>
            </w:pPr>
            <w:r w:rsidRPr="006B6295">
              <w:t>LOAEL 5</w:t>
            </w:r>
            <w:r w:rsidR="00245536" w:rsidRPr="006B6295">
              <w:t> </w:t>
            </w:r>
            <w:r w:rsidRPr="006B6295">
              <w:t xml:space="preserve">ppm; reduced oxygen uptake, </w:t>
            </w:r>
            <w:r w:rsidR="00390D37" w:rsidRPr="006B6295">
              <w:t xml:space="preserve">increased </w:t>
            </w:r>
            <w:r w:rsidRPr="006B6295">
              <w:t xml:space="preserve">blood lactate, </w:t>
            </w:r>
            <w:r w:rsidR="00390D37" w:rsidRPr="006B6295">
              <w:t xml:space="preserve">decreased </w:t>
            </w:r>
            <w:r w:rsidRPr="006B6295">
              <w:t>carbon dioxide output</w:t>
            </w:r>
            <w:r w:rsidR="00882C32" w:rsidRPr="006B6295">
              <w:t xml:space="preserve"> </w:t>
            </w:r>
          </w:p>
          <w:p w14:paraId="443CD497" w14:textId="77777777" w:rsidR="006C5690" w:rsidRPr="006B6295" w:rsidRDefault="00F6467E" w:rsidP="00CF2244">
            <w:pPr>
              <w:pStyle w:val="ListBullet"/>
              <w:spacing w:before="60" w:after="60"/>
              <w:ind w:left="714" w:hanging="357"/>
              <w:contextualSpacing w:val="0"/>
            </w:pPr>
            <w:r w:rsidRPr="006B6295">
              <w:t>Single 2</w:t>
            </w:r>
            <w:r w:rsidR="00F5076F" w:rsidRPr="006B6295">
              <w:t xml:space="preserve"> </w:t>
            </w:r>
            <w:r w:rsidRPr="006B6295">
              <w:t xml:space="preserve">h exposure of 74 volunteers </w:t>
            </w:r>
            <w:r w:rsidR="00CF2244" w:rsidRPr="006B6295">
              <w:t>at</w:t>
            </w:r>
            <w:r w:rsidRPr="006B6295">
              <w:t xml:space="preserve"> 5 ppm resulted in observed increase in symptoms of anxiety and self-reported increases in ratings of odour intensity, irritation and unpleasantness</w:t>
            </w:r>
          </w:p>
          <w:p w14:paraId="6CB48151" w14:textId="77777777" w:rsidR="00F6467E" w:rsidRPr="006B6295" w:rsidRDefault="00F6467E" w:rsidP="00CF2244">
            <w:pPr>
              <w:pStyle w:val="ListBullet"/>
              <w:spacing w:before="60" w:after="60"/>
              <w:ind w:left="714" w:hanging="357"/>
              <w:contextualSpacing w:val="0"/>
            </w:pPr>
            <w:r w:rsidRPr="006B6295">
              <w:t xml:space="preserve">Olfactory fatigue reported at </w:t>
            </w:r>
            <w:r w:rsidR="00605B8E" w:rsidRPr="006B6295">
              <w:rPr>
                <w:rFonts w:cs="Arial"/>
              </w:rPr>
              <w:t>≈</w:t>
            </w:r>
            <w:r w:rsidRPr="006B6295">
              <w:t>150</w:t>
            </w:r>
            <w:r w:rsidR="00F5076F" w:rsidRPr="006B6295">
              <w:t>–</w:t>
            </w:r>
            <w:r w:rsidRPr="006B6295">
              <w:t>200 ppm</w:t>
            </w:r>
          </w:p>
          <w:p w14:paraId="63D1DFCF" w14:textId="77777777" w:rsidR="00CE604B" w:rsidRPr="006B6295" w:rsidRDefault="00CE604B" w:rsidP="00CF2244">
            <w:pPr>
              <w:pStyle w:val="ListBullet"/>
              <w:spacing w:before="60" w:after="60"/>
              <w:ind w:left="714" w:hanging="357"/>
              <w:contextualSpacing w:val="0"/>
            </w:pPr>
            <w:r w:rsidRPr="006B6295">
              <w:t>Eye irritation</w:t>
            </w:r>
            <w:r w:rsidR="006A24AB" w:rsidRPr="006B6295">
              <w:t xml:space="preserve"> and effects on cornea</w:t>
            </w:r>
            <w:r w:rsidRPr="006B6295">
              <w:t xml:space="preserve"> reported at 5</w:t>
            </w:r>
            <w:r w:rsidR="00390D37" w:rsidRPr="006B6295">
              <w:t xml:space="preserve"> </w:t>
            </w:r>
            <w:r w:rsidRPr="006B6295">
              <w:t>ppm</w:t>
            </w:r>
          </w:p>
          <w:p w14:paraId="0583EAE2" w14:textId="29BF4F59" w:rsidR="00F6467E" w:rsidRPr="006B6295" w:rsidRDefault="00F6467E" w:rsidP="00CF2244">
            <w:pPr>
              <w:pStyle w:val="ListBullet"/>
              <w:spacing w:before="60" w:after="60"/>
              <w:ind w:left="714" w:hanging="357"/>
              <w:contextualSpacing w:val="0"/>
            </w:pPr>
            <w:r w:rsidRPr="006B6295">
              <w:t>NOAEL of 5 ppm for olfactory lesions; prediction via computational fluid dynamics model from H</w:t>
            </w:r>
            <w:r w:rsidRPr="006B6295">
              <w:rPr>
                <w:vertAlign w:val="subscript"/>
              </w:rPr>
              <w:t>2</w:t>
            </w:r>
            <w:r w:rsidRPr="006B6295">
              <w:t>S flux in rats’ nose</w:t>
            </w:r>
          </w:p>
          <w:p w14:paraId="30D69C0C" w14:textId="77777777" w:rsidR="00F6467E" w:rsidRPr="006B6295" w:rsidRDefault="00C620E3" w:rsidP="00CF2244">
            <w:pPr>
              <w:pStyle w:val="ListBullet"/>
              <w:spacing w:before="60" w:after="60"/>
              <w:ind w:left="714" w:hanging="357"/>
              <w:contextualSpacing w:val="0"/>
            </w:pPr>
            <w:r w:rsidRPr="006B6295">
              <w:t>Reported possible irritation of respirato</w:t>
            </w:r>
            <w:r w:rsidR="00390D37" w:rsidRPr="006B6295">
              <w:t>ry tract and pulmonary oedema &gt;</w:t>
            </w:r>
            <w:r w:rsidRPr="006B6295">
              <w:t>100 ppm</w:t>
            </w:r>
          </w:p>
          <w:p w14:paraId="342D37D3" w14:textId="77777777" w:rsidR="00C620E3" w:rsidRPr="006B6295" w:rsidRDefault="00C620E3" w:rsidP="00CF2244">
            <w:pPr>
              <w:pStyle w:val="ListBullet"/>
              <w:spacing w:before="60" w:after="60"/>
              <w:ind w:left="714" w:hanging="357"/>
              <w:contextualSpacing w:val="0"/>
            </w:pPr>
            <w:r w:rsidRPr="006B6295">
              <w:t>Inhalation of 1,000</w:t>
            </w:r>
            <w:r w:rsidR="00F5076F" w:rsidRPr="006B6295">
              <w:t>–</w:t>
            </w:r>
            <w:r w:rsidRPr="006B6295">
              <w:t>2,000 ppm can result in ‘knockdown’ collapse, unconsciousness, paralysis of respiratory centre in brain and death; confined space hazard case reports</w:t>
            </w:r>
            <w:r w:rsidR="00F5076F" w:rsidRPr="006B6295">
              <w:t>.</w:t>
            </w:r>
          </w:p>
          <w:p w14:paraId="45C36DB9" w14:textId="77777777" w:rsidR="00C620E3" w:rsidRPr="006B6295" w:rsidRDefault="00C620E3" w:rsidP="00C620E3">
            <w:pPr>
              <w:pStyle w:val="Tabletextprimarysource"/>
            </w:pPr>
            <w:r w:rsidRPr="006B6295">
              <w:t>Animal data:</w:t>
            </w:r>
          </w:p>
          <w:p w14:paraId="75552467" w14:textId="77777777" w:rsidR="00C620E3" w:rsidRPr="006B6295" w:rsidRDefault="00C620E3" w:rsidP="00CF2244">
            <w:pPr>
              <w:pStyle w:val="ListBullet"/>
              <w:spacing w:before="60" w:after="60"/>
              <w:ind w:left="714" w:hanging="357"/>
              <w:contextualSpacing w:val="0"/>
            </w:pPr>
            <w:r w:rsidRPr="006B6295">
              <w:t>LC</w:t>
            </w:r>
            <w:r w:rsidRPr="006B6295">
              <w:rPr>
                <w:vertAlign w:val="subscript"/>
              </w:rPr>
              <w:t>50</w:t>
            </w:r>
            <w:r w:rsidR="00390D37" w:rsidRPr="006B6295">
              <w:t>: 335</w:t>
            </w:r>
            <w:r w:rsidR="00245536" w:rsidRPr="006B6295">
              <w:t>–</w:t>
            </w:r>
            <w:r w:rsidR="00390D37" w:rsidRPr="006B6295">
              <w:t>587 ppm (</w:t>
            </w:r>
            <w:r w:rsidRPr="006B6295">
              <w:t>rats; 2</w:t>
            </w:r>
            <w:r w:rsidR="00F5076F" w:rsidRPr="006B6295">
              <w:t>–</w:t>
            </w:r>
            <w:r w:rsidRPr="006B6295">
              <w:t>6 h</w:t>
            </w:r>
            <w:r w:rsidR="00390D37" w:rsidRPr="006B6295">
              <w:t>)</w:t>
            </w:r>
          </w:p>
          <w:p w14:paraId="5E626739" w14:textId="77777777" w:rsidR="00C620E3" w:rsidRPr="006B6295" w:rsidRDefault="00691294" w:rsidP="00CF2244">
            <w:pPr>
              <w:pStyle w:val="ListBullet"/>
              <w:spacing w:before="60" w:after="60"/>
              <w:ind w:left="714" w:hanging="357"/>
              <w:contextualSpacing w:val="0"/>
            </w:pPr>
            <w:r w:rsidRPr="006B6295">
              <w:t>Multiple re</w:t>
            </w:r>
            <w:r w:rsidR="00CE604B" w:rsidRPr="006B6295">
              <w:t>ports of loss of consciousness and lethality at 1,</w:t>
            </w:r>
            <w:r w:rsidRPr="006B6295">
              <w:t>00</w:t>
            </w:r>
            <w:r w:rsidR="00A37285" w:rsidRPr="006B6295">
              <w:t>0–</w:t>
            </w:r>
            <w:r w:rsidR="00CE604B" w:rsidRPr="006B6295">
              <w:t>2</w:t>
            </w:r>
            <w:r w:rsidRPr="006B6295">
              <w:t>,000 ppm for short exposure periods in multiple animals</w:t>
            </w:r>
          </w:p>
          <w:p w14:paraId="001ECD74" w14:textId="77777777" w:rsidR="00691294" w:rsidRPr="006B6295" w:rsidRDefault="00023F5C" w:rsidP="00CF2244">
            <w:pPr>
              <w:pStyle w:val="ListBullet"/>
              <w:spacing w:before="60" w:after="60"/>
              <w:ind w:left="714" w:hanging="357"/>
              <w:contextualSpacing w:val="0"/>
            </w:pPr>
            <w:r w:rsidRPr="006B6295">
              <w:t>NOAEL of 10 ppm in male rats; 4</w:t>
            </w:r>
            <w:r w:rsidR="00F5076F" w:rsidRPr="006B6295">
              <w:t xml:space="preserve"> </w:t>
            </w:r>
            <w:r w:rsidRPr="006B6295">
              <w:t>h exposure; reduction in lung cytochrome c oxidase activity</w:t>
            </w:r>
          </w:p>
          <w:p w14:paraId="38BC8327" w14:textId="513F0E73" w:rsidR="00023F5C" w:rsidRPr="006B6295" w:rsidRDefault="00D820C9" w:rsidP="00CF2244">
            <w:pPr>
              <w:pStyle w:val="ListBullet"/>
              <w:spacing w:before="60" w:after="60"/>
              <w:ind w:left="714" w:hanging="357"/>
              <w:contextualSpacing w:val="0"/>
            </w:pPr>
            <w:r w:rsidRPr="006B6295">
              <w:t>NOAEL of 10</w:t>
            </w:r>
            <w:r w:rsidR="00CE604B" w:rsidRPr="006B6295">
              <w:t xml:space="preserve"> ppm </w:t>
            </w:r>
            <w:r w:rsidR="009C0022" w:rsidRPr="006B6295">
              <w:t>(</w:t>
            </w:r>
            <w:r w:rsidR="00BD72A6" w:rsidRPr="006B6295">
              <w:t xml:space="preserve">i.e. </w:t>
            </w:r>
            <w:r w:rsidR="009C0022" w:rsidRPr="006B6295">
              <w:t xml:space="preserve">NOAEC) </w:t>
            </w:r>
            <w:r w:rsidR="00CE604B" w:rsidRPr="006B6295">
              <w:t xml:space="preserve">in rats and mice for nasal lesions; 6 h/d for 70 or 90 d; </w:t>
            </w:r>
            <w:r w:rsidR="00CE604B" w:rsidRPr="006B6295">
              <w:rPr>
                <w:rFonts w:cs="Arial"/>
              </w:rPr>
              <w:t>≥</w:t>
            </w:r>
            <w:r w:rsidR="00CE604B" w:rsidRPr="006B6295">
              <w:t>30</w:t>
            </w:r>
            <w:r w:rsidR="009C0022" w:rsidRPr="006B6295">
              <w:t> </w:t>
            </w:r>
            <w:r w:rsidR="00CE604B" w:rsidRPr="006B6295">
              <w:t>ppm produced nasal toxicity</w:t>
            </w:r>
          </w:p>
          <w:p w14:paraId="330048DC" w14:textId="77777777" w:rsidR="00CE604B" w:rsidRPr="006B6295" w:rsidRDefault="00CE604B" w:rsidP="00CF2244">
            <w:pPr>
              <w:pStyle w:val="ListBullet"/>
              <w:spacing w:before="60" w:after="60"/>
              <w:ind w:left="714" w:hanging="357"/>
              <w:contextualSpacing w:val="0"/>
            </w:pPr>
            <w:r w:rsidRPr="006B6295">
              <w:t>Eye irritation of guinea pigs at 20 ppm; 11 x 30 min exposures</w:t>
            </w:r>
            <w:r w:rsidR="00F5076F" w:rsidRPr="006B6295">
              <w:t>.</w:t>
            </w:r>
          </w:p>
          <w:p w14:paraId="2CF7F20B" w14:textId="77777777" w:rsidR="00245536" w:rsidRPr="006B6295" w:rsidRDefault="00245536" w:rsidP="006A24AB">
            <w:pPr>
              <w:pStyle w:val="Tabletextprimarysource"/>
            </w:pPr>
          </w:p>
          <w:p w14:paraId="3F0D6CD5" w14:textId="77777777" w:rsidR="006A24AB" w:rsidRPr="006B6295" w:rsidRDefault="006A24AB" w:rsidP="006A24AB">
            <w:pPr>
              <w:pStyle w:val="Tabletextprimarysource"/>
            </w:pPr>
            <w:r w:rsidRPr="006B6295">
              <w:t>Dose-response curve start at</w:t>
            </w:r>
            <w:r w:rsidR="006F7B25" w:rsidRPr="006B6295">
              <w:t xml:space="preserve"> </w:t>
            </w:r>
            <w:r w:rsidR="00605B8E" w:rsidRPr="006B6295">
              <w:rPr>
                <w:rFonts w:cs="Arial"/>
              </w:rPr>
              <w:t>≈</w:t>
            </w:r>
            <w:r w:rsidRPr="006B6295">
              <w:t>5 ppm based on evidence in humans and rats</w:t>
            </w:r>
            <w:r w:rsidR="00F5076F" w:rsidRPr="006B6295">
              <w:t>.</w:t>
            </w:r>
          </w:p>
          <w:p w14:paraId="0115033F" w14:textId="77777777" w:rsidR="00CE604B" w:rsidRPr="006B6295" w:rsidRDefault="006A24AB" w:rsidP="006A24AB">
            <w:pPr>
              <w:pStyle w:val="Tabletextprimarysource"/>
            </w:pPr>
            <w:r w:rsidRPr="006B6295">
              <w:t xml:space="preserve">Insufficient data to recommend skin, sensitiser and carcinogenicity notations. </w:t>
            </w:r>
          </w:p>
          <w:p w14:paraId="1E2A2F87" w14:textId="77777777" w:rsidR="00245536" w:rsidRPr="00DA352E" w:rsidRDefault="00245536" w:rsidP="006A24AB">
            <w:pPr>
              <w:pStyle w:val="Tabletextprimarysource"/>
            </w:pPr>
          </w:p>
        </w:tc>
      </w:tr>
      <w:tr w:rsidR="00C978F0" w:rsidRPr="00DA352E" w14:paraId="2DA7C89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EBE82AC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7C5CAA">
                  <w:t>2013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7C5CAA">
                  <w:t>MAK: 5 ppm (7.07 mg/m</w:t>
                </w:r>
                <w:r w:rsidR="007C5CAA" w:rsidRPr="007C5CAA">
                  <w:rPr>
                    <w:vertAlign w:val="superscript"/>
                  </w:rPr>
                  <w:t>3</w:t>
                </w:r>
                <w:r w:rsidR="007C5CAA">
                  <w:t>)</w:t>
                </w:r>
              </w:sdtContent>
            </w:sdt>
          </w:p>
        </w:tc>
      </w:tr>
      <w:tr w:rsidR="00C978F0" w:rsidRPr="00DA352E" w14:paraId="5C119C7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8C6327A" w14:textId="77777777" w:rsidR="00D803F1" w:rsidRDefault="00D803F1" w:rsidP="003365A5">
            <w:pPr>
              <w:pStyle w:val="Tabletextprimarysource"/>
            </w:pPr>
            <w:r>
              <w:t>MAK recommended to protect for effects in the respiratory tract, the nervous system including olfactory neurons and the cardiovascular system in exposed workers.</w:t>
            </w:r>
          </w:p>
          <w:p w14:paraId="068B36F5" w14:textId="77777777" w:rsidR="00A25B6A" w:rsidRDefault="00A25B6A" w:rsidP="003365A5">
            <w:pPr>
              <w:pStyle w:val="Tabletextprimarysource"/>
            </w:pPr>
            <w:r>
              <w:t>Summary of additional data:</w:t>
            </w:r>
          </w:p>
          <w:p w14:paraId="25C8172B" w14:textId="77777777" w:rsidR="00A25B6A" w:rsidRDefault="00A25B6A" w:rsidP="00CF224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Human data not suitable for derivation of MAK due to unclear dose-response relationship</w:t>
            </w:r>
          </w:p>
          <w:p w14:paraId="082D8F03" w14:textId="77777777" w:rsidR="00A25B6A" w:rsidRDefault="00A25B6A" w:rsidP="00CF2244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Odour annoyance expected at 5 ppm; </w:t>
            </w:r>
            <w:r w:rsidR="006F7B25">
              <w:t>uncertainty on interference</w:t>
            </w:r>
            <w:r>
              <w:t xml:space="preserve"> with occupational function</w:t>
            </w:r>
          </w:p>
          <w:p w14:paraId="56D41704" w14:textId="77777777" w:rsidR="00D803F1" w:rsidRDefault="00074277" w:rsidP="00CF2244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MAK based on </w:t>
            </w:r>
            <w:r w:rsidR="00A25B6A">
              <w:t>NOAEL of 10 ppm in rats and mice; neurotoxic damage to the olfactory epithelium; local effect; same study reported by ACGIH (2018)</w:t>
            </w:r>
            <w:r>
              <w:t>.</w:t>
            </w:r>
          </w:p>
          <w:p w14:paraId="2183E5BF" w14:textId="77777777" w:rsidR="00245536" w:rsidRPr="00DA352E" w:rsidRDefault="00245536" w:rsidP="00CF2244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0B09EA8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AAB5C8A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350206">
                  <w:t>2007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350206">
                  <w:t>TWA: 5 ppm (7 mg/m</w:t>
                </w:r>
                <w:r w:rsidR="00350206" w:rsidRPr="00350206">
                  <w:rPr>
                    <w:vertAlign w:val="superscript"/>
                  </w:rPr>
                  <w:t>3</w:t>
                </w:r>
                <w:r w:rsidR="00350206">
                  <w:t>); STEL: 10 ppm (14 mg/m</w:t>
                </w:r>
                <w:r w:rsidR="00350206" w:rsidRPr="00350206">
                  <w:rPr>
                    <w:vertAlign w:val="superscript"/>
                  </w:rPr>
                  <w:t>3</w:t>
                </w:r>
                <w:r w:rsidR="00350206">
                  <w:t>)</w:t>
                </w:r>
              </w:sdtContent>
            </w:sdt>
          </w:p>
        </w:tc>
      </w:tr>
      <w:tr w:rsidR="00C978F0" w:rsidRPr="00DA352E" w14:paraId="4ABC4BC1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677396D" w14:textId="77777777" w:rsidR="00C978F0" w:rsidRDefault="00074277" w:rsidP="003365A5">
            <w:pPr>
              <w:pStyle w:val="Tabletextprimarysource"/>
            </w:pPr>
            <w:r>
              <w:t>TWA and STEL recommended to protect for irritation effects in exposed workers.</w:t>
            </w:r>
          </w:p>
          <w:p w14:paraId="76E2D227" w14:textId="77777777" w:rsidR="00074277" w:rsidRDefault="00074277" w:rsidP="003365A5">
            <w:pPr>
              <w:pStyle w:val="Tabletextprimarysource"/>
            </w:pPr>
            <w:r>
              <w:t>Summary of data:</w:t>
            </w:r>
          </w:p>
          <w:p w14:paraId="76A50DE9" w14:textId="77777777" w:rsidR="00074277" w:rsidRDefault="006D4535" w:rsidP="00CF224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TWA based on NOAEL of 10 ppm in rats and mice; factor of 2 for interspecies uncertainty</w:t>
            </w:r>
          </w:p>
          <w:p w14:paraId="3513ABA4" w14:textId="77777777" w:rsidR="006D4535" w:rsidRDefault="006D4535" w:rsidP="00CF224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STEL of 10 ppm based on acute toxic effects such as eye irritation and unconsciousness, and short-term exposures can occur in industrial settings; no derivation information provided</w:t>
            </w:r>
            <w:r w:rsidR="00F5076F">
              <w:t>.</w:t>
            </w:r>
          </w:p>
          <w:p w14:paraId="4EAC8021" w14:textId="77777777" w:rsidR="00245536" w:rsidRPr="00DA352E" w:rsidRDefault="00245536" w:rsidP="00CF2244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DA352E" w:rsidRPr="00DA352E" w14:paraId="508D307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4B2F5D1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3B1669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3B1669">
                  <w:t>NA</w:t>
                </w:r>
                <w:proofErr w:type="spellEnd"/>
              </w:sdtContent>
            </w:sdt>
          </w:p>
        </w:tc>
      </w:tr>
      <w:tr w:rsidR="00DA352E" w:rsidRPr="00DA352E" w14:paraId="246FAB6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388068A" w14:textId="77777777" w:rsidR="00DA352E" w:rsidRPr="00DA352E" w:rsidRDefault="003B1669" w:rsidP="003365A5">
            <w:pPr>
              <w:pStyle w:val="Tabletextprimarysource"/>
            </w:pPr>
            <w:r>
              <w:t>No report</w:t>
            </w:r>
            <w:r w:rsidR="00F5076F">
              <w:t>.</w:t>
            </w:r>
          </w:p>
        </w:tc>
      </w:tr>
      <w:tr w:rsidR="00DA352E" w:rsidRPr="00DA352E" w14:paraId="4FE1EFCB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B0F955D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3B1669">
                  <w:t>2006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3B1669">
                  <w:t>TWA: 10 ppm (14 mg/m</w:t>
                </w:r>
                <w:r w:rsidR="003B1669" w:rsidRPr="003B1669">
                  <w:rPr>
                    <w:vertAlign w:val="superscript"/>
                  </w:rPr>
                  <w:t>3</w:t>
                </w:r>
                <w:r w:rsidR="003B1669">
                  <w:t>)</w:t>
                </w:r>
              </w:sdtContent>
            </w:sdt>
          </w:p>
        </w:tc>
      </w:tr>
      <w:tr w:rsidR="00DA352E" w:rsidRPr="00DA352E" w14:paraId="2A556EB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9B924E0" w14:textId="77777777" w:rsidR="00DA352E" w:rsidRDefault="00DE42A5" w:rsidP="003365A5">
            <w:pPr>
              <w:pStyle w:val="Tabletextprimarysource"/>
            </w:pPr>
            <w:r>
              <w:t>TWA is based on NOAEL of 10 ppm in rats; lesions in the olfactory mucosa.</w:t>
            </w:r>
          </w:p>
          <w:p w14:paraId="3EC86EF4" w14:textId="77777777" w:rsidR="00A37285" w:rsidRPr="00DA352E" w:rsidRDefault="00A37285" w:rsidP="003365A5">
            <w:pPr>
              <w:pStyle w:val="Tabletextprimarysource"/>
            </w:pPr>
          </w:p>
        </w:tc>
      </w:tr>
    </w:tbl>
    <w:p w14:paraId="2A8547C9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8"/>
        <w:gridCol w:w="424"/>
        <w:gridCol w:w="650"/>
        <w:gridCol w:w="6454"/>
      </w:tblGrid>
      <w:tr w:rsidR="004966BF" w:rsidRPr="00263255" w14:paraId="29DB019B" w14:textId="77777777" w:rsidTr="00DE42A5">
        <w:trPr>
          <w:cantSplit/>
          <w:trHeight w:val="393"/>
          <w:tblHeader/>
        </w:trPr>
        <w:tc>
          <w:tcPr>
            <w:tcW w:w="1498" w:type="dxa"/>
            <w:shd w:val="clear" w:color="auto" w:fill="BFBFBF" w:themeFill="background1" w:themeFillShade="BF"/>
            <w:vAlign w:val="center"/>
          </w:tcPr>
          <w:p w14:paraId="561FB3AC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14:paraId="193CBC88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50" w:type="dxa"/>
            <w:shd w:val="clear" w:color="auto" w:fill="BFBFBF" w:themeFill="background1" w:themeFillShade="BF"/>
            <w:vAlign w:val="center"/>
          </w:tcPr>
          <w:p w14:paraId="4A19683A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4" w:type="dxa"/>
            <w:shd w:val="clear" w:color="auto" w:fill="BFBFBF" w:themeFill="background1" w:themeFillShade="BF"/>
            <w:vAlign w:val="center"/>
          </w:tcPr>
          <w:p w14:paraId="4BC04319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21EB1069" w14:textId="77777777" w:rsidTr="00DE42A5">
        <w:trPr>
          <w:cantSplit/>
        </w:trPr>
        <w:tc>
          <w:tcPr>
            <w:tcW w:w="1498" w:type="dxa"/>
          </w:tcPr>
          <w:p w14:paraId="51D963E2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4" w:type="dxa"/>
          </w:tcPr>
          <w:p w14:paraId="1BD9C75F" w14:textId="77777777" w:rsidR="004966BF" w:rsidRPr="00CE617F" w:rsidRDefault="001C0281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5C60D2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50" w:type="dxa"/>
          </w:tcPr>
          <w:p w14:paraId="0CC23B11" w14:textId="77777777" w:rsidR="004966BF" w:rsidRPr="004C23F4" w:rsidRDefault="00B92D70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N.D.</w:t>
            </w:r>
          </w:p>
        </w:tc>
        <w:tc>
          <w:tcPr>
            <w:tcW w:w="6454" w:type="dxa"/>
          </w:tcPr>
          <w:p w14:paraId="1260AD75" w14:textId="77777777" w:rsidR="004966BF" w:rsidRPr="004C23F4" w:rsidRDefault="00DE42A5" w:rsidP="00CF2244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 w:rsidRPr="00DE42A5">
              <w:rPr>
                <w:rStyle w:val="checkbox"/>
                <w:rFonts w:ascii="Arial" w:hAnsi="Arial" w:cs="Arial"/>
              </w:rPr>
              <w:t>Human health tier I assessment</w:t>
            </w:r>
            <w:r w:rsidR="00A37285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0"/>
    <w:p w14:paraId="51E15ABE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773E1B1B" w14:textId="77777777" w:rsidTr="00DE42A5">
        <w:trPr>
          <w:trHeight w:val="454"/>
          <w:tblHeader/>
        </w:trPr>
        <w:tc>
          <w:tcPr>
            <w:tcW w:w="6603" w:type="dxa"/>
            <w:vAlign w:val="center"/>
          </w:tcPr>
          <w:p w14:paraId="4D63199E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6DDAA022" w14:textId="77777777" w:rsidR="002E0D61" w:rsidRDefault="00DE42A5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5805DA56" w14:textId="77777777" w:rsidTr="00DE42A5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24A2C43C" w14:textId="77777777" w:rsidR="008A36CF" w:rsidRPr="006901A2" w:rsidRDefault="00DE42A5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134EFB28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739606E8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5DFDEF7D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5D93E12C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D324E99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1D68226B" w14:textId="77777777" w:rsidTr="00812887">
        <w:trPr>
          <w:cantSplit/>
        </w:trPr>
        <w:tc>
          <w:tcPr>
            <w:tcW w:w="3227" w:type="dxa"/>
          </w:tcPr>
          <w:p w14:paraId="71D9792E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F0AD3B2" w14:textId="77777777" w:rsidR="00687890" w:rsidRPr="00DD2F9B" w:rsidRDefault="00350206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71F7891C" w14:textId="77777777" w:rsidTr="00812887">
        <w:trPr>
          <w:cantSplit/>
        </w:trPr>
        <w:tc>
          <w:tcPr>
            <w:tcW w:w="3227" w:type="dxa"/>
          </w:tcPr>
          <w:p w14:paraId="3EFD12AD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0DC24C58" w14:textId="77777777" w:rsidR="007925F0" w:rsidRPr="00DD2F9B" w:rsidRDefault="00350206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780112DA" w14:textId="77777777" w:rsidTr="00812887">
        <w:trPr>
          <w:cantSplit/>
        </w:trPr>
        <w:tc>
          <w:tcPr>
            <w:tcW w:w="3227" w:type="dxa"/>
          </w:tcPr>
          <w:p w14:paraId="4053D967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6BC8235A" w14:textId="77777777" w:rsidR="00AF483F" w:rsidRPr="00DD2F9B" w:rsidRDefault="00200FE5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5B6A7953" w14:textId="77777777" w:rsidTr="00812887">
        <w:trPr>
          <w:cantSplit/>
        </w:trPr>
        <w:tc>
          <w:tcPr>
            <w:tcW w:w="3227" w:type="dxa"/>
          </w:tcPr>
          <w:p w14:paraId="5C3D2968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316A707F" w14:textId="77777777" w:rsidR="00687890" w:rsidRPr="00DD2F9B" w:rsidRDefault="00200FE5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2D4852C6" w14:textId="77777777" w:rsidTr="00812887">
        <w:trPr>
          <w:cantSplit/>
        </w:trPr>
        <w:tc>
          <w:tcPr>
            <w:tcW w:w="3227" w:type="dxa"/>
          </w:tcPr>
          <w:p w14:paraId="1EBD400B" w14:textId="77777777" w:rsidR="00E41A26" w:rsidRDefault="00E41A26" w:rsidP="00F4402E">
            <w:pPr>
              <w:pStyle w:val="Tablefont"/>
            </w:pPr>
            <w:r>
              <w:lastRenderedPageBreak/>
              <w:t>ECHA</w:t>
            </w:r>
          </w:p>
        </w:tc>
        <w:tc>
          <w:tcPr>
            <w:tcW w:w="6015" w:type="dxa"/>
          </w:tcPr>
          <w:p w14:paraId="5D4EA622" w14:textId="77777777" w:rsidR="00E41A26" w:rsidRPr="00DD2F9B" w:rsidRDefault="00200FE5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10D76D9" w14:textId="77777777" w:rsidTr="00812887">
        <w:trPr>
          <w:cantSplit/>
        </w:trPr>
        <w:tc>
          <w:tcPr>
            <w:tcW w:w="3227" w:type="dxa"/>
          </w:tcPr>
          <w:p w14:paraId="4A9C4966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68B8B53B" w14:textId="77777777" w:rsidR="002E0D61" w:rsidRPr="00DD2F9B" w:rsidRDefault="00200FE5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D984355" w14:textId="77777777" w:rsidTr="00812887">
        <w:trPr>
          <w:cantSplit/>
        </w:trPr>
        <w:tc>
          <w:tcPr>
            <w:tcW w:w="3227" w:type="dxa"/>
          </w:tcPr>
          <w:p w14:paraId="4C951136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0DC22F2B" w14:textId="77777777" w:rsidR="002E0D61" w:rsidRPr="00DD2F9B" w:rsidRDefault="003B1669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D4BDA81" w14:textId="77777777" w:rsidTr="00812887">
        <w:trPr>
          <w:cantSplit/>
        </w:trPr>
        <w:tc>
          <w:tcPr>
            <w:tcW w:w="3227" w:type="dxa"/>
          </w:tcPr>
          <w:p w14:paraId="055C155C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8AC191A" w14:textId="77777777" w:rsidR="002E0D61" w:rsidRPr="00DD2F9B" w:rsidRDefault="003B1669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C6A69DB" w14:textId="77777777" w:rsidTr="00812887">
        <w:trPr>
          <w:cantSplit/>
        </w:trPr>
        <w:tc>
          <w:tcPr>
            <w:tcW w:w="3227" w:type="dxa"/>
          </w:tcPr>
          <w:p w14:paraId="220A5B7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0263741F" w14:textId="77777777" w:rsidR="002E0D61" w:rsidRPr="00DD2F9B" w:rsidRDefault="00200FE5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25CFD87E" w14:textId="77777777" w:rsidTr="00812887">
        <w:trPr>
          <w:cantSplit/>
        </w:trPr>
        <w:tc>
          <w:tcPr>
            <w:tcW w:w="3227" w:type="dxa"/>
          </w:tcPr>
          <w:p w14:paraId="596BD0EC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183AE0D4" w14:textId="77777777" w:rsidR="00386093" w:rsidRPr="00DD2F9B" w:rsidRDefault="00200FE5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4C38E610" w14:textId="77777777" w:rsidTr="00812887">
        <w:trPr>
          <w:cantSplit/>
        </w:trPr>
        <w:tc>
          <w:tcPr>
            <w:tcW w:w="3227" w:type="dxa"/>
          </w:tcPr>
          <w:p w14:paraId="31B12B72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74DC8DCD" w14:textId="77777777" w:rsidR="00386093" w:rsidRPr="00DD2F9B" w:rsidRDefault="00200FE5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3DDEBF91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2567E9A8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04CBD1BF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1E7B8C8D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470FDA33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1A3A3BAB" w14:textId="77777777" w:rsidR="00932DCE" w:rsidRPr="004C23F4" w:rsidRDefault="00DE42A5" w:rsidP="00F9496B">
            <w:pPr>
              <w:pStyle w:val="Tablefont"/>
            </w:pPr>
            <w:r>
              <w:t>Insufficient data</w:t>
            </w:r>
            <w:r w:rsidR="00F5076F">
              <w:t xml:space="preserve"> to assign a skin notation</w:t>
            </w:r>
            <w:r w:rsidR="00CF2244">
              <w:t>.</w:t>
            </w:r>
          </w:p>
        </w:tc>
      </w:tr>
    </w:tbl>
    <w:bookmarkEnd w:id="3"/>
    <w:p w14:paraId="4632B08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1B06BDD8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21AA9790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28854076" w14:textId="77777777" w:rsidR="00EB3D1B" w:rsidRDefault="00200FE5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6CADCC2D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13A500F7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27EC9D7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351221BC" w14:textId="77777777" w:rsidR="001B79E5" w:rsidRDefault="00200FE5" w:rsidP="001B79E5">
                <w:pPr>
                  <w:pStyle w:val="Tablefont"/>
                </w:pPr>
                <w:r>
                  <w:t>34.08</w:t>
                </w:r>
              </w:p>
            </w:tc>
          </w:sdtContent>
        </w:sdt>
      </w:tr>
      <w:tr w:rsidR="00A31D99" w:rsidRPr="004C23F4" w14:paraId="7D0D8D6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C22CB23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1DD7DB87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3D57C1ED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BF68D93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CA1FC46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4AA29B8" w14:textId="77777777" w:rsidTr="00EA6243">
        <w:trPr>
          <w:cantSplit/>
        </w:trPr>
        <w:tc>
          <w:tcPr>
            <w:tcW w:w="4077" w:type="dxa"/>
            <w:vAlign w:val="center"/>
          </w:tcPr>
          <w:p w14:paraId="6AB77949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BB4DDB5" w14:textId="77777777" w:rsidR="00687890" w:rsidRPr="004C23F4" w:rsidRDefault="007574C9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2DD74540" w14:textId="77777777" w:rsidTr="00EA6243">
        <w:trPr>
          <w:cantSplit/>
        </w:trPr>
        <w:tc>
          <w:tcPr>
            <w:tcW w:w="4077" w:type="dxa"/>
            <w:vAlign w:val="center"/>
          </w:tcPr>
          <w:p w14:paraId="0F0F3DD5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6C3BA84" w14:textId="77777777" w:rsidR="00687890" w:rsidRPr="004C23F4" w:rsidRDefault="007574C9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E06F40" w:rsidRPr="004C23F4" w14:paraId="109DD5D0" w14:textId="77777777" w:rsidTr="00EA6243">
        <w:trPr>
          <w:cantSplit/>
        </w:trPr>
        <w:tc>
          <w:tcPr>
            <w:tcW w:w="4077" w:type="dxa"/>
            <w:vAlign w:val="center"/>
          </w:tcPr>
          <w:p w14:paraId="36888649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2E9476C9" w14:textId="77777777" w:rsidR="00E06F40" w:rsidRPr="00A006A0" w:rsidRDefault="001C0281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1220496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3F57754B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7BACE12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245EB0F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1EDDCF0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193B85BB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1B86155A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1D41A25B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79FE3541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284DF84C" w14:textId="77777777" w:rsidR="007076DD" w:rsidRDefault="007076DD" w:rsidP="007076DD">
      <w:r w:rsidRPr="002022B6">
        <w:t>Deutsche Forschungsgemeinschaft (DFG)</w:t>
      </w:r>
      <w:r>
        <w:t xml:space="preserve"> (2013) Hydrogen </w:t>
      </w:r>
      <w:proofErr w:type="spellStart"/>
      <w:r>
        <w:t>sulfide</w:t>
      </w:r>
      <w:proofErr w:type="spellEnd"/>
      <w:r>
        <w:t xml:space="preserve"> – MAK value documentation.</w:t>
      </w:r>
    </w:p>
    <w:p w14:paraId="523B54D9" w14:textId="77777777" w:rsidR="007076DD" w:rsidRDefault="007076DD" w:rsidP="007076DD">
      <w:pPr>
        <w:rPr>
          <w:b/>
        </w:rPr>
      </w:pPr>
      <w:r w:rsidRPr="002022B6">
        <w:lastRenderedPageBreak/>
        <w:t>EU Scientific Committee on Occupational Exposure Limits (SCOEL)</w:t>
      </w:r>
      <w:r>
        <w:t xml:space="preserve"> (2007) Recommendation from the Scientific Committee on Occupational Exposure Limits for hydrogen sulphide. SCOEL/SUM/124.</w:t>
      </w:r>
    </w:p>
    <w:p w14:paraId="4932EF7C" w14:textId="77777777" w:rsidR="006A0452" w:rsidRDefault="006A0452" w:rsidP="006A0452">
      <w:r w:rsidRPr="002022B6">
        <w:t>Health Council of the Netherlands</w:t>
      </w:r>
      <w:r>
        <w:t xml:space="preserve"> (HCOTN) (2006) Hydrogen sulphide</w:t>
      </w:r>
      <w:r w:rsidRPr="005F7416">
        <w:t xml:space="preserve">. </w:t>
      </w:r>
      <w:r>
        <w:rPr>
          <w:rFonts w:ascii="ArialMT" w:hAnsi="ArialMT" w:cs="ArialMT"/>
          <w:szCs w:val="20"/>
          <w:lang w:val="en-US"/>
        </w:rPr>
        <w:t>Health-based recommended occupational exposure limit in the Netherlands</w:t>
      </w:r>
      <w:r w:rsidRPr="005F7416">
        <w:t xml:space="preserve">. The Hague: Health Council of the Netherlands; publication no. </w:t>
      </w:r>
      <w:r>
        <w:t>2006/07OSH.</w:t>
      </w:r>
    </w:p>
    <w:p w14:paraId="421A3C0B" w14:textId="77777777" w:rsidR="00B92D70" w:rsidRPr="00B92D70" w:rsidRDefault="00B92D70" w:rsidP="00B92D70">
      <w:pPr>
        <w:keepNext/>
        <w:rPr>
          <w:b/>
        </w:rPr>
      </w:pPr>
      <w:r w:rsidRPr="002022B6">
        <w:t>National Industrial Chemicals Notification and Assessment Scheme (NICNAS)</w:t>
      </w:r>
      <w:r>
        <w:t xml:space="preserve"> (ND) Hydrogen </w:t>
      </w:r>
      <w:proofErr w:type="spellStart"/>
      <w:r>
        <w:t>Sulfide</w:t>
      </w:r>
      <w:proofErr w:type="spellEnd"/>
      <w:r>
        <w:t>.</w:t>
      </w:r>
      <w:r w:rsidRPr="0071660C">
        <w:t xml:space="preserve"> Human health </w:t>
      </w:r>
      <w:r>
        <w:t xml:space="preserve">tier I </w:t>
      </w:r>
      <w:r w:rsidRPr="0071660C">
        <w:t>assessment</w:t>
      </w:r>
      <w:r>
        <w:t xml:space="preserve"> – IMAP report.</w:t>
      </w:r>
    </w:p>
    <w:p w14:paraId="037E3D3A" w14:textId="77777777" w:rsidR="007076DD" w:rsidRPr="00351FE0" w:rsidRDefault="007470BC" w:rsidP="00F5076F">
      <w:r w:rsidRPr="00D86E03">
        <w:t>US National Institute for Occupational Safety and Health (</w:t>
      </w:r>
      <w:r w:rsidRPr="00390D37">
        <w:t>NIOSH) (</w:t>
      </w:r>
      <w:sdt>
        <w:sdtPr>
          <w:id w:val="-1194999823"/>
          <w:placeholder>
            <w:docPart w:val="C96905DAFE6447F0A4DF7FFE89BD4534"/>
          </w:placeholder>
          <w:temporary/>
          <w:showingPlcHdr/>
        </w:sdtPr>
        <w:sdtEndPr/>
        <w:sdtContent>
          <w:r w:rsidRPr="00390D37">
            <w:t>1994</w:t>
          </w:r>
        </w:sdtContent>
      </w:sdt>
      <w:r w:rsidRPr="00390D37">
        <w:t xml:space="preserve">) </w:t>
      </w:r>
      <w:proofErr w:type="gramStart"/>
      <w:r w:rsidRPr="00390D37">
        <w:t>Immediately</w:t>
      </w:r>
      <w:proofErr w:type="gramEnd"/>
      <w:r w:rsidRPr="00390D37">
        <w:t xml:space="preserve"> </w:t>
      </w:r>
      <w:r>
        <w:t xml:space="preserve">dangerous to life or health concentrations – hydrogen </w:t>
      </w:r>
      <w:proofErr w:type="spellStart"/>
      <w:r>
        <w:t>sulfide</w:t>
      </w:r>
      <w:proofErr w:type="spellEnd"/>
      <w:r>
        <w:t>.</w:t>
      </w:r>
    </w:p>
    <w:sectPr w:rsidR="007076DD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4BB79" w14:textId="77777777" w:rsidR="002D7A82" w:rsidRDefault="002D7A82" w:rsidP="00F43AD5">
      <w:pPr>
        <w:spacing w:after="0" w:line="240" w:lineRule="auto"/>
      </w:pPr>
      <w:r>
        <w:separator/>
      </w:r>
    </w:p>
  </w:endnote>
  <w:endnote w:type="continuationSeparator" w:id="0">
    <w:p w14:paraId="72CFB9C0" w14:textId="77777777" w:rsidR="002D7A82" w:rsidRDefault="002D7A82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F28B2" w14:textId="77777777" w:rsidR="00563FE7" w:rsidRDefault="00563F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DA59A6A" w14:textId="77777777" w:rsidR="008A36CF" w:rsidRDefault="00AC0FE8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 xml:space="preserve">Hydrogen </w:t>
        </w:r>
        <w:proofErr w:type="spellStart"/>
        <w:r>
          <w:rPr>
            <w:b/>
            <w:sz w:val="18"/>
            <w:szCs w:val="18"/>
          </w:rPr>
          <w:t>sul</w:t>
        </w:r>
        <w:r w:rsidR="00390D37">
          <w:rPr>
            <w:b/>
            <w:sz w:val="18"/>
            <w:szCs w:val="18"/>
          </w:rPr>
          <w:t>f</w:t>
        </w:r>
        <w:r>
          <w:rPr>
            <w:b/>
            <w:sz w:val="18"/>
            <w:szCs w:val="18"/>
          </w:rPr>
          <w:t>ide</w:t>
        </w:r>
        <w:proofErr w:type="spellEnd"/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7783-06-4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1521A43C" w14:textId="793C652F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1C0281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3D88B" w14:textId="77777777" w:rsidR="00563FE7" w:rsidRDefault="00563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0241A" w14:textId="77777777" w:rsidR="002D7A82" w:rsidRDefault="002D7A82" w:rsidP="00F43AD5">
      <w:pPr>
        <w:spacing w:after="0" w:line="240" w:lineRule="auto"/>
      </w:pPr>
      <w:r>
        <w:separator/>
      </w:r>
    </w:p>
  </w:footnote>
  <w:footnote w:type="continuationSeparator" w:id="0">
    <w:p w14:paraId="7EDC2BEC" w14:textId="77777777" w:rsidR="002D7A82" w:rsidRDefault="002D7A82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77FFF" w14:textId="77777777" w:rsidR="00563FE7" w:rsidRDefault="00563F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6BDCE" w14:textId="4B660667" w:rsidR="001C0281" w:rsidRDefault="001C0281" w:rsidP="001C0281">
    <w:pPr>
      <w:pStyle w:val="Header"/>
      <w:jc w:val="right"/>
    </w:pPr>
    <w:sdt>
      <w:sdtPr>
        <w:id w:val="-1659145495"/>
        <w:docPartObj>
          <w:docPartGallery w:val="Watermarks"/>
          <w:docPartUnique/>
        </w:docPartObj>
      </w:sdtPr>
      <w:sdtContent>
        <w:r>
          <w:pict w14:anchorId="490B00A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252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4623F83B" wp14:editId="34AF7D48">
          <wp:extent cx="2941320" cy="58674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15AB76" w14:textId="7E5CCBFF" w:rsidR="008A36CF" w:rsidRPr="001C0281" w:rsidRDefault="008A36CF" w:rsidP="001C02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D5EBC" w14:textId="77777777" w:rsidR="00563FE7" w:rsidRDefault="00563FE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545D4" w14:textId="3AD69B49" w:rsidR="001C0281" w:rsidRDefault="001C0281" w:rsidP="001C0281">
    <w:pPr>
      <w:pStyle w:val="Header"/>
      <w:jc w:val="right"/>
    </w:pPr>
    <w:sdt>
      <w:sdtPr>
        <w:id w:val="-713501570"/>
        <w:docPartObj>
          <w:docPartGallery w:val="Watermarks"/>
          <w:docPartUnique/>
        </w:docPartObj>
      </w:sdtPr>
      <w:sdtContent>
        <w:r>
          <w:pict w14:anchorId="73C815A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2530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5DF47DB7" wp14:editId="472A3F99">
          <wp:extent cx="2941320" cy="58674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434E83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7880F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5CC4C0F"/>
    <w:multiLevelType w:val="hybridMultilevel"/>
    <w:tmpl w:val="3558C666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2531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23F5C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74277"/>
    <w:rsid w:val="000803E1"/>
    <w:rsid w:val="00084513"/>
    <w:rsid w:val="00084859"/>
    <w:rsid w:val="000854F6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3753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B7A4D"/>
    <w:rsid w:val="001C0281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0FE5"/>
    <w:rsid w:val="002046A6"/>
    <w:rsid w:val="00204956"/>
    <w:rsid w:val="00205015"/>
    <w:rsid w:val="00213640"/>
    <w:rsid w:val="00221547"/>
    <w:rsid w:val="002216FC"/>
    <w:rsid w:val="00222533"/>
    <w:rsid w:val="00222F30"/>
    <w:rsid w:val="00224EE2"/>
    <w:rsid w:val="00227EC7"/>
    <w:rsid w:val="00232F5A"/>
    <w:rsid w:val="00244AD1"/>
    <w:rsid w:val="00245536"/>
    <w:rsid w:val="002463BC"/>
    <w:rsid w:val="002465CE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D7A82"/>
    <w:rsid w:val="002E0D61"/>
    <w:rsid w:val="002E4C7B"/>
    <w:rsid w:val="0030740C"/>
    <w:rsid w:val="0031295B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0206"/>
    <w:rsid w:val="00351FE0"/>
    <w:rsid w:val="00352615"/>
    <w:rsid w:val="0035412B"/>
    <w:rsid w:val="003567A8"/>
    <w:rsid w:val="00362895"/>
    <w:rsid w:val="00370DBF"/>
    <w:rsid w:val="00386093"/>
    <w:rsid w:val="003904A4"/>
    <w:rsid w:val="00390D37"/>
    <w:rsid w:val="00391841"/>
    <w:rsid w:val="00391B6D"/>
    <w:rsid w:val="00393142"/>
    <w:rsid w:val="00394922"/>
    <w:rsid w:val="003A0E32"/>
    <w:rsid w:val="003A2B94"/>
    <w:rsid w:val="003B1669"/>
    <w:rsid w:val="003B387D"/>
    <w:rsid w:val="003B3D41"/>
    <w:rsid w:val="003C0D58"/>
    <w:rsid w:val="003D3514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30FD1"/>
    <w:rsid w:val="004414B5"/>
    <w:rsid w:val="00444482"/>
    <w:rsid w:val="00444B42"/>
    <w:rsid w:val="00444F8E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A7D2C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4F7FC2"/>
    <w:rsid w:val="0050005E"/>
    <w:rsid w:val="00502B88"/>
    <w:rsid w:val="005142C4"/>
    <w:rsid w:val="0051509C"/>
    <w:rsid w:val="00525AAB"/>
    <w:rsid w:val="005272E2"/>
    <w:rsid w:val="0053108F"/>
    <w:rsid w:val="00532B56"/>
    <w:rsid w:val="00534B10"/>
    <w:rsid w:val="005446A2"/>
    <w:rsid w:val="00544D2F"/>
    <w:rsid w:val="00551BD8"/>
    <w:rsid w:val="00555225"/>
    <w:rsid w:val="00563FE7"/>
    <w:rsid w:val="00581055"/>
    <w:rsid w:val="005914AA"/>
    <w:rsid w:val="00591E38"/>
    <w:rsid w:val="005A19C5"/>
    <w:rsid w:val="005A3034"/>
    <w:rsid w:val="005A462D"/>
    <w:rsid w:val="005B253B"/>
    <w:rsid w:val="005B5CEB"/>
    <w:rsid w:val="005B771D"/>
    <w:rsid w:val="005C5D16"/>
    <w:rsid w:val="005C60D2"/>
    <w:rsid w:val="005D3193"/>
    <w:rsid w:val="005D4A6E"/>
    <w:rsid w:val="005E6979"/>
    <w:rsid w:val="005E75CB"/>
    <w:rsid w:val="00600557"/>
    <w:rsid w:val="006013C1"/>
    <w:rsid w:val="00605B8E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1294"/>
    <w:rsid w:val="006917B2"/>
    <w:rsid w:val="00695B72"/>
    <w:rsid w:val="006A0452"/>
    <w:rsid w:val="006A24AB"/>
    <w:rsid w:val="006A7BB3"/>
    <w:rsid w:val="006B160A"/>
    <w:rsid w:val="006B4E6C"/>
    <w:rsid w:val="006B50B6"/>
    <w:rsid w:val="006B6295"/>
    <w:rsid w:val="006C5690"/>
    <w:rsid w:val="006D4535"/>
    <w:rsid w:val="006D73CE"/>
    <w:rsid w:val="006D79EA"/>
    <w:rsid w:val="006E5D05"/>
    <w:rsid w:val="006F7B25"/>
    <w:rsid w:val="00701053"/>
    <w:rsid w:val="00701507"/>
    <w:rsid w:val="007076DD"/>
    <w:rsid w:val="00714021"/>
    <w:rsid w:val="00716A0F"/>
    <w:rsid w:val="00717D45"/>
    <w:rsid w:val="007208F7"/>
    <w:rsid w:val="007218AF"/>
    <w:rsid w:val="007365D1"/>
    <w:rsid w:val="00740E0E"/>
    <w:rsid w:val="007470BC"/>
    <w:rsid w:val="00750212"/>
    <w:rsid w:val="00754779"/>
    <w:rsid w:val="0075716D"/>
    <w:rsid w:val="007574C9"/>
    <w:rsid w:val="00765F14"/>
    <w:rsid w:val="00770E31"/>
    <w:rsid w:val="007770F1"/>
    <w:rsid w:val="00781F8A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C5CAA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2C32"/>
    <w:rsid w:val="0088798F"/>
    <w:rsid w:val="00887E4B"/>
    <w:rsid w:val="008915C8"/>
    <w:rsid w:val="008A1210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2215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4192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0022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2637"/>
    <w:rsid w:val="00A128BA"/>
    <w:rsid w:val="00A16D91"/>
    <w:rsid w:val="00A174CC"/>
    <w:rsid w:val="00A2073D"/>
    <w:rsid w:val="00A20751"/>
    <w:rsid w:val="00A25B6A"/>
    <w:rsid w:val="00A27E2D"/>
    <w:rsid w:val="00A31D99"/>
    <w:rsid w:val="00A357BA"/>
    <w:rsid w:val="00A35ADC"/>
    <w:rsid w:val="00A37285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0FE8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6A41"/>
    <w:rsid w:val="00B87D4C"/>
    <w:rsid w:val="00B92D70"/>
    <w:rsid w:val="00B93646"/>
    <w:rsid w:val="00BA0B38"/>
    <w:rsid w:val="00BA1DBB"/>
    <w:rsid w:val="00BA4510"/>
    <w:rsid w:val="00BA529A"/>
    <w:rsid w:val="00BB612A"/>
    <w:rsid w:val="00BD499F"/>
    <w:rsid w:val="00BD56DE"/>
    <w:rsid w:val="00BD72A6"/>
    <w:rsid w:val="00BE689A"/>
    <w:rsid w:val="00BF2406"/>
    <w:rsid w:val="00C06E43"/>
    <w:rsid w:val="00C16315"/>
    <w:rsid w:val="00C3091E"/>
    <w:rsid w:val="00C35ED1"/>
    <w:rsid w:val="00C40FF1"/>
    <w:rsid w:val="00C419E2"/>
    <w:rsid w:val="00C5020E"/>
    <w:rsid w:val="00C57452"/>
    <w:rsid w:val="00C61EDF"/>
    <w:rsid w:val="00C620E3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1D1C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04B"/>
    <w:rsid w:val="00CE617F"/>
    <w:rsid w:val="00CE78EF"/>
    <w:rsid w:val="00CF2244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1D60"/>
    <w:rsid w:val="00D74D80"/>
    <w:rsid w:val="00D76624"/>
    <w:rsid w:val="00D803F1"/>
    <w:rsid w:val="00D820C9"/>
    <w:rsid w:val="00D86297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E42A5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96C24"/>
    <w:rsid w:val="00EA0A06"/>
    <w:rsid w:val="00EA6243"/>
    <w:rsid w:val="00EA74AB"/>
    <w:rsid w:val="00EB3D1B"/>
    <w:rsid w:val="00EC5E5B"/>
    <w:rsid w:val="00ED1D89"/>
    <w:rsid w:val="00ED66BC"/>
    <w:rsid w:val="00ED74C3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321D9"/>
    <w:rsid w:val="00F43AD5"/>
    <w:rsid w:val="00F4402E"/>
    <w:rsid w:val="00F5076F"/>
    <w:rsid w:val="00F56DD0"/>
    <w:rsid w:val="00F6467E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461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1"/>
    <o:shapelayout v:ext="edit">
      <o:idmap v:ext="edit" data="1"/>
    </o:shapelayout>
  </w:shapeDefaults>
  <w:decimalSymbol w:val="."/>
  <w:listSeparator w:val=","/>
  <w14:docId w14:val="34E92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7076DD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EC5E5B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17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7B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7B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7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7B2"/>
    <w:rPr>
      <w:b/>
      <w:bCs/>
      <w:szCs w:val="20"/>
    </w:rPr>
  </w:style>
  <w:style w:type="paragraph" w:styleId="Revision">
    <w:name w:val="Revision"/>
    <w:hidden/>
    <w:uiPriority w:val="99"/>
    <w:semiHidden/>
    <w:rsid w:val="002050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C96905DAFE6447F0A4DF7FFE89BD4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812A8-BF5A-47D2-9394-59C0AF14BF2A}"/>
      </w:docPartPr>
      <w:docPartBody>
        <w:p w:rsidR="008F58CC" w:rsidRDefault="00885E4F" w:rsidP="00885E4F">
          <w:pPr>
            <w:pStyle w:val="C96905DAFE6447F0A4DF7FFE89BD4534"/>
          </w:pPr>
          <w:r w:rsidRPr="00262278">
            <w:rPr>
              <w:color w:val="00B050"/>
            </w:rPr>
            <w:t>1994</w:t>
          </w:r>
        </w:p>
      </w:docPartBody>
    </w:docPart>
    <w:docPart>
      <w:docPartPr>
        <w:name w:val="8F55B5FE277544B6BA5F0700A6885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09B49-9C84-4461-8BD7-EAB264E1FD14}"/>
      </w:docPartPr>
      <w:docPartBody>
        <w:p w:rsidR="009463EA" w:rsidRDefault="003772B6" w:rsidP="003772B6">
          <w:pPr>
            <w:pStyle w:val="8F55B5FE277544B6BA5F0700A6885016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1025B1"/>
    <w:rsid w:val="00147CE8"/>
    <w:rsid w:val="00153445"/>
    <w:rsid w:val="003772B6"/>
    <w:rsid w:val="00885E4F"/>
    <w:rsid w:val="008F58CC"/>
    <w:rsid w:val="009463EA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72B6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EBD73B1931B042218B8D8BA0AE210F12">
    <w:name w:val="EBD73B1931B042218B8D8BA0AE210F12"/>
    <w:rsid w:val="00147CE8"/>
    <w:rPr>
      <w:lang w:val="en-US" w:eastAsia="en-US"/>
    </w:rPr>
  </w:style>
  <w:style w:type="paragraph" w:customStyle="1" w:styleId="C9B1F32B6DEF496DA11DBF4DD594405D">
    <w:name w:val="C9B1F32B6DEF496DA11DBF4DD594405D"/>
    <w:rsid w:val="00147CE8"/>
    <w:rPr>
      <w:lang w:val="en-US" w:eastAsia="en-US"/>
    </w:rPr>
  </w:style>
  <w:style w:type="paragraph" w:customStyle="1" w:styleId="AA6D48B17E6E450C86F6638A7C4FEF9B">
    <w:name w:val="AA6D48B17E6E450C86F6638A7C4FEF9B"/>
    <w:rsid w:val="00147CE8"/>
    <w:rPr>
      <w:lang w:val="en-US" w:eastAsia="en-US"/>
    </w:rPr>
  </w:style>
  <w:style w:type="paragraph" w:customStyle="1" w:styleId="26AC461FE5104966B6595B5A8609C860">
    <w:name w:val="26AC461FE5104966B6595B5A8609C860"/>
    <w:rsid w:val="00147CE8"/>
    <w:rPr>
      <w:lang w:val="en-US" w:eastAsia="en-US"/>
    </w:rPr>
  </w:style>
  <w:style w:type="paragraph" w:customStyle="1" w:styleId="EBFD1388D02C41EA8F1689727D0DECBA">
    <w:name w:val="EBFD1388D02C41EA8F1689727D0DECBA"/>
    <w:rsid w:val="00147CE8"/>
    <w:rPr>
      <w:lang w:val="en-US" w:eastAsia="en-US"/>
    </w:rPr>
  </w:style>
  <w:style w:type="paragraph" w:customStyle="1" w:styleId="38A42FD61F0B4268912C183F64D7A5D9">
    <w:name w:val="38A42FD61F0B4268912C183F64D7A5D9"/>
    <w:rsid w:val="00147CE8"/>
    <w:rPr>
      <w:lang w:val="en-US" w:eastAsia="en-US"/>
    </w:rPr>
  </w:style>
  <w:style w:type="paragraph" w:customStyle="1" w:styleId="3F4B6EBDF21D4AF88ED79D77D4AB512B">
    <w:name w:val="3F4B6EBDF21D4AF88ED79D77D4AB512B"/>
    <w:rsid w:val="00147CE8"/>
    <w:rPr>
      <w:lang w:val="en-US" w:eastAsia="en-US"/>
    </w:rPr>
  </w:style>
  <w:style w:type="paragraph" w:customStyle="1" w:styleId="491A543587094B7A89B358849AE03BB4">
    <w:name w:val="491A543587094B7A89B358849AE03BB4"/>
    <w:rsid w:val="00147CE8"/>
    <w:rPr>
      <w:lang w:val="en-US" w:eastAsia="en-US"/>
    </w:rPr>
  </w:style>
  <w:style w:type="paragraph" w:customStyle="1" w:styleId="DD4C2C415A1D4C808370B67273EEABDC">
    <w:name w:val="DD4C2C415A1D4C808370B67273EEABDC"/>
    <w:rsid w:val="00147CE8"/>
    <w:rPr>
      <w:lang w:val="en-US" w:eastAsia="en-US"/>
    </w:rPr>
  </w:style>
  <w:style w:type="paragraph" w:customStyle="1" w:styleId="A424E19BDA124A41B4269DD62D42F9EC">
    <w:name w:val="A424E19BDA124A41B4269DD62D42F9EC"/>
    <w:rsid w:val="00147CE8"/>
    <w:rPr>
      <w:lang w:val="en-US" w:eastAsia="en-US"/>
    </w:rPr>
  </w:style>
  <w:style w:type="paragraph" w:customStyle="1" w:styleId="ADB81C2E5A4F4007BEF051D227FE3D48">
    <w:name w:val="ADB81C2E5A4F4007BEF051D227FE3D48"/>
    <w:rsid w:val="00147CE8"/>
    <w:rPr>
      <w:lang w:val="en-US" w:eastAsia="en-US"/>
    </w:rPr>
  </w:style>
  <w:style w:type="paragraph" w:customStyle="1" w:styleId="2BEEF4821F084B2EA53E50BA17DDEDA4">
    <w:name w:val="2BEEF4821F084B2EA53E50BA17DDEDA4"/>
    <w:rsid w:val="00147CE8"/>
    <w:rPr>
      <w:lang w:val="en-US" w:eastAsia="en-US"/>
    </w:rPr>
  </w:style>
  <w:style w:type="paragraph" w:customStyle="1" w:styleId="597A53AAE2184634B7F1C3FFCF54D919">
    <w:name w:val="597A53AAE2184634B7F1C3FFCF54D919"/>
    <w:rsid w:val="00147CE8"/>
    <w:rPr>
      <w:lang w:val="en-US" w:eastAsia="en-US"/>
    </w:rPr>
  </w:style>
  <w:style w:type="paragraph" w:customStyle="1" w:styleId="1A2A3FFFE4C745778D52E4557ECB970B">
    <w:name w:val="1A2A3FFFE4C745778D52E4557ECB970B"/>
    <w:rsid w:val="00147CE8"/>
    <w:rPr>
      <w:lang w:val="en-US" w:eastAsia="en-US"/>
    </w:rPr>
  </w:style>
  <w:style w:type="paragraph" w:customStyle="1" w:styleId="9C42D6A719454757A02EA92D30854FAF">
    <w:name w:val="9C42D6A719454757A02EA92D30854FAF"/>
    <w:rsid w:val="00147CE8"/>
    <w:rPr>
      <w:lang w:val="en-US" w:eastAsia="en-US"/>
    </w:rPr>
  </w:style>
  <w:style w:type="paragraph" w:customStyle="1" w:styleId="EA6841CC55BC47CCAEC901D00511FEC2">
    <w:name w:val="EA6841CC55BC47CCAEC901D00511FEC2"/>
    <w:rsid w:val="00147CE8"/>
    <w:rPr>
      <w:lang w:val="en-US" w:eastAsia="en-US"/>
    </w:rPr>
  </w:style>
  <w:style w:type="paragraph" w:customStyle="1" w:styleId="5319115063A84C79A6CE9494EB52754D">
    <w:name w:val="5319115063A84C79A6CE9494EB52754D"/>
    <w:rsid w:val="00885E4F"/>
    <w:rPr>
      <w:lang w:val="en-US" w:eastAsia="en-US"/>
    </w:rPr>
  </w:style>
  <w:style w:type="paragraph" w:customStyle="1" w:styleId="6A8D438D6A474CE0A829CB09EBB0F336">
    <w:name w:val="6A8D438D6A474CE0A829CB09EBB0F336"/>
    <w:rsid w:val="00885E4F"/>
    <w:rPr>
      <w:lang w:val="en-US" w:eastAsia="en-US"/>
    </w:rPr>
  </w:style>
  <w:style w:type="paragraph" w:customStyle="1" w:styleId="C96905DAFE6447F0A4DF7FFE89BD4534">
    <w:name w:val="C96905DAFE6447F0A4DF7FFE89BD4534"/>
    <w:rsid w:val="00885E4F"/>
    <w:rPr>
      <w:lang w:val="en-US" w:eastAsia="en-US"/>
    </w:rPr>
  </w:style>
  <w:style w:type="paragraph" w:customStyle="1" w:styleId="E9FC600C0052451A974886811500D9E5">
    <w:name w:val="E9FC600C0052451A974886811500D9E5"/>
    <w:rsid w:val="00885E4F"/>
    <w:rPr>
      <w:lang w:val="en-US" w:eastAsia="en-US"/>
    </w:rPr>
  </w:style>
  <w:style w:type="paragraph" w:customStyle="1" w:styleId="8F55B5FE277544B6BA5F0700A6885016">
    <w:name w:val="8F55B5FE277544B6BA5F0700A6885016"/>
    <w:rsid w:val="003772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440B83D59604CAF872C6C0778D4EE" ma:contentTypeVersion="2" ma:contentTypeDescription="Create a new document." ma:contentTypeScope="" ma:versionID="a70f3771f07fe8c51d90fdaa327a0533">
  <xsd:schema xmlns:xsd="http://www.w3.org/2001/XMLSchema" xmlns:xs="http://www.w3.org/2001/XMLSchema" xmlns:p="http://schemas.microsoft.com/office/2006/metadata/properties" xmlns:ns2="4d89c9d3-cf9d-4152-ac9f-ad3059f15688" targetNamespace="http://schemas.microsoft.com/office/2006/metadata/properties" ma:root="true" ma:fieldsID="b264122f9caf19482d10bfd5520e8ea4" ns2:_="">
    <xsd:import namespace="4d89c9d3-cf9d-4152-ac9f-ad3059f15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9c9d3-cf9d-4152-ac9f-ad3059f15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16C44-3B22-4230-A001-E0D32E6341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70714B-2AE0-42B8-8499-3F33CDDC0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9c9d3-cf9d-4152-ac9f-ad3059f15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F44F1C-D307-4A03-93BC-1164EEBE9A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7F0650-6849-4377-A67E-761FEADD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85D8E152.dotm</Template>
  <TotalTime>0</TotalTime>
  <Pages>6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2019-12-17T02:39:00Z</dcterms:created>
  <dcterms:modified xsi:type="dcterms:W3CDTF">2020-01-15T03:30:00Z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0x010100ED8440B83D59604CAF872C6C0778D4EE</vt:lpwstr>
  </property>
</Properties>
</file>