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E19C1C6" w14:textId="77777777" w:rsidR="00BD499F" w:rsidRPr="004C23F4" w:rsidRDefault="00734C65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</w:t>
          </w:r>
          <w:r w:rsidR="00815E58">
            <w:rPr>
              <w:rFonts w:ascii="Arial" w:hAnsi="Arial" w:cs="Arial"/>
            </w:rPr>
            <w:t>ydrogenated terphenyls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5"/>
        <w:gridCol w:w="5041"/>
      </w:tblGrid>
      <w:tr w:rsidR="00F43AD5" w:rsidRPr="004C23F4" w14:paraId="31591646" w14:textId="77777777" w:rsidTr="00B76A41">
        <w:trPr>
          <w:cantSplit/>
          <w:tblHeader/>
        </w:trPr>
        <w:tc>
          <w:tcPr>
            <w:tcW w:w="4077" w:type="dxa"/>
          </w:tcPr>
          <w:p w14:paraId="2D2B88EC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7A307DDA" w14:textId="77777777" w:rsidR="00F43AD5" w:rsidRPr="00717D45" w:rsidRDefault="00815E58" w:rsidP="00B76A41">
            <w:pPr>
              <w:pStyle w:val="Tablefont"/>
            </w:pPr>
            <w:r>
              <w:t>61788-32-7</w:t>
            </w:r>
          </w:p>
        </w:tc>
      </w:tr>
      <w:tr w:rsidR="00F43AD5" w:rsidRPr="004C23F4" w14:paraId="4F6026A9" w14:textId="77777777" w:rsidTr="00B76A41">
        <w:trPr>
          <w:cantSplit/>
        </w:trPr>
        <w:tc>
          <w:tcPr>
            <w:tcW w:w="4077" w:type="dxa"/>
          </w:tcPr>
          <w:p w14:paraId="41B83B7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3CF363A" w14:textId="77777777" w:rsidR="00F43AD5" w:rsidRPr="00717D45" w:rsidRDefault="00815E58" w:rsidP="00B76A41">
            <w:pPr>
              <w:pStyle w:val="Tablefont"/>
            </w:pPr>
            <w:r>
              <w:t>Partially hydrogenated</w:t>
            </w:r>
            <w:r w:rsidR="00D87552">
              <w:t xml:space="preserve"> terphenyl, HB-40, Therminol 66</w:t>
            </w:r>
          </w:p>
        </w:tc>
      </w:tr>
      <w:tr w:rsidR="00F43AD5" w:rsidRPr="004C23F4" w14:paraId="441DAA11" w14:textId="77777777" w:rsidTr="00B76A41">
        <w:trPr>
          <w:cantSplit/>
        </w:trPr>
        <w:tc>
          <w:tcPr>
            <w:tcW w:w="4077" w:type="dxa"/>
          </w:tcPr>
          <w:p w14:paraId="36B80832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D1F4818" w14:textId="77777777" w:rsidR="00F43AD5" w:rsidRPr="00717D45" w:rsidRDefault="00815E58" w:rsidP="00B76A41">
            <w:pPr>
              <w:pStyle w:val="Tablefont"/>
            </w:pPr>
            <w:r>
              <w:t>C</w:t>
            </w:r>
            <w:r w:rsidRPr="00815E58">
              <w:rPr>
                <w:vertAlign w:val="subscript"/>
              </w:rPr>
              <w:t>18</w:t>
            </w:r>
            <w:r>
              <w:t>H</w:t>
            </w:r>
            <w:r w:rsidRPr="00815E58">
              <w:rPr>
                <w:vertAlign w:val="subscript"/>
              </w:rPr>
              <w:t>20</w:t>
            </w:r>
          </w:p>
        </w:tc>
      </w:tr>
      <w:tr w:rsidR="00F43AD5" w:rsidRPr="004C23F4" w14:paraId="0E12D25E" w14:textId="77777777" w:rsidTr="00B76A41">
        <w:trPr>
          <w:cantSplit/>
        </w:trPr>
        <w:tc>
          <w:tcPr>
            <w:tcW w:w="4077" w:type="dxa"/>
          </w:tcPr>
          <w:p w14:paraId="411236DA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2CF1984" w14:textId="77777777" w:rsidR="00F43AD5" w:rsidRPr="00B40C60" w:rsidRDefault="00815E58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031D2BE8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DA2638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7689366C" w14:textId="77777777" w:rsidTr="00815E58">
        <w:trPr>
          <w:cantSplit/>
          <w:tblHeader/>
        </w:trPr>
        <w:tc>
          <w:tcPr>
            <w:tcW w:w="4010" w:type="dxa"/>
            <w:vAlign w:val="center"/>
          </w:tcPr>
          <w:p w14:paraId="112A08E6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14A41A14" w14:textId="77777777" w:rsidR="002C7AFE" w:rsidRPr="00D87552" w:rsidRDefault="00D8755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0.5 ppm (4.9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815E58" w:rsidRPr="004C23F4" w14:paraId="068912E9" w14:textId="77777777" w:rsidTr="00815E58">
        <w:trPr>
          <w:cantSplit/>
        </w:trPr>
        <w:tc>
          <w:tcPr>
            <w:tcW w:w="4010" w:type="dxa"/>
            <w:vAlign w:val="center"/>
          </w:tcPr>
          <w:p w14:paraId="08F9C02E" w14:textId="77777777" w:rsidR="00815E58" w:rsidRPr="002C58FF" w:rsidRDefault="00815E58" w:rsidP="00815E58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04E4A66" w14:textId="77777777" w:rsidR="00815E58" w:rsidRPr="00D87552" w:rsidRDefault="00D87552" w:rsidP="00815E58">
            <w:pPr>
              <w:pStyle w:val="Tablefont"/>
              <w:rPr>
                <w:b/>
              </w:rPr>
            </w:pPr>
            <w:r>
              <w:rPr>
                <w:b/>
              </w:rPr>
              <w:t>2 ppm (19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815E58" w:rsidRPr="004C23F4" w14:paraId="0CB7A5C6" w14:textId="77777777" w:rsidTr="00815E58">
        <w:trPr>
          <w:cantSplit/>
        </w:trPr>
        <w:tc>
          <w:tcPr>
            <w:tcW w:w="4010" w:type="dxa"/>
            <w:vAlign w:val="center"/>
          </w:tcPr>
          <w:p w14:paraId="53A71ED4" w14:textId="77777777" w:rsidR="00815E58" w:rsidRPr="002C58FF" w:rsidRDefault="00815E58" w:rsidP="00815E58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4D568EF8" w14:textId="77777777" w:rsidR="00815E58" w:rsidRPr="00815E58" w:rsidRDefault="00815E58" w:rsidP="00815E58">
            <w:pPr>
              <w:pStyle w:val="Tablefont"/>
              <w:rPr>
                <w:b/>
              </w:rPr>
            </w:pPr>
            <w:r w:rsidRPr="00815E58">
              <w:rPr>
                <w:b/>
              </w:rPr>
              <w:t>—</w:t>
            </w:r>
          </w:p>
        </w:tc>
      </w:tr>
      <w:tr w:rsidR="00815E58" w:rsidRPr="004C23F4" w14:paraId="231C7562" w14:textId="77777777" w:rsidTr="00815E58">
        <w:trPr>
          <w:cantSplit/>
        </w:trPr>
        <w:tc>
          <w:tcPr>
            <w:tcW w:w="4010" w:type="dxa"/>
          </w:tcPr>
          <w:p w14:paraId="7C5F630F" w14:textId="77777777" w:rsidR="00815E58" w:rsidRPr="002C58FF" w:rsidRDefault="00815E58" w:rsidP="00815E5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72683740" w14:textId="77777777" w:rsidR="00815E58" w:rsidRPr="00815E58" w:rsidRDefault="00815E58" w:rsidP="00815E58">
            <w:pPr>
              <w:pStyle w:val="Tablefont"/>
              <w:rPr>
                <w:b/>
              </w:rPr>
            </w:pPr>
            <w:r w:rsidRPr="00815E58">
              <w:rPr>
                <w:b/>
              </w:rPr>
              <w:t>—</w:t>
            </w:r>
          </w:p>
        </w:tc>
      </w:tr>
      <w:tr w:rsidR="00815E58" w:rsidRPr="004C23F4" w14:paraId="6C5F9315" w14:textId="77777777" w:rsidTr="00815E58">
        <w:trPr>
          <w:cantSplit/>
        </w:trPr>
        <w:tc>
          <w:tcPr>
            <w:tcW w:w="4010" w:type="dxa"/>
            <w:vAlign w:val="center"/>
          </w:tcPr>
          <w:p w14:paraId="15CFF012" w14:textId="77777777" w:rsidR="00815E58" w:rsidRPr="002C58FF" w:rsidRDefault="00815E58" w:rsidP="00815E58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6539903E" w14:textId="77777777" w:rsidR="00815E58" w:rsidRPr="00815E58" w:rsidRDefault="00815E58" w:rsidP="00815E58">
            <w:pPr>
              <w:pStyle w:val="Tablefont"/>
              <w:rPr>
                <w:b/>
              </w:rPr>
            </w:pPr>
            <w:r w:rsidRPr="00815E58">
              <w:rPr>
                <w:b/>
              </w:rPr>
              <w:t>—</w:t>
            </w:r>
          </w:p>
        </w:tc>
      </w:tr>
      <w:tr w:rsidR="00734C65" w:rsidRPr="004C23F4" w14:paraId="24D82A11" w14:textId="77777777" w:rsidTr="00AA60E8">
        <w:trPr>
          <w:cantSplit/>
        </w:trPr>
        <w:tc>
          <w:tcPr>
            <w:tcW w:w="9026" w:type="dxa"/>
            <w:gridSpan w:val="2"/>
            <w:vAlign w:val="center"/>
          </w:tcPr>
          <w:p w14:paraId="299A706F" w14:textId="77777777" w:rsidR="00734C65" w:rsidRPr="00815E58" w:rsidRDefault="00734C65" w:rsidP="00815E58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Sampling and </w:t>
            </w:r>
            <w:r w:rsidRPr="00734C65">
              <w:rPr>
                <w:b/>
              </w:rPr>
              <w:t>analysis:</w:t>
            </w:r>
            <w:r w:rsidRPr="00734C65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6E0341F6A55B4BF2A8CB537A4EAF53B4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734C65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D29C8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1CCA6EA" w14:textId="5ABD9FE8" w:rsidR="00F2277F" w:rsidRDefault="008378B9" w:rsidP="00FD2AC8">
      <w:pPr>
        <w:rPr>
          <w:rFonts w:cs="Arial"/>
        </w:rPr>
      </w:pPr>
      <w:r>
        <w:rPr>
          <w:rFonts w:cs="Arial"/>
        </w:rPr>
        <w:t xml:space="preserve">A </w:t>
      </w:r>
      <w:r w:rsidR="00FD2AC8" w:rsidRPr="00FD2AC8">
        <w:rPr>
          <w:rFonts w:cs="Arial"/>
        </w:rPr>
        <w:t xml:space="preserve">TWA of </w:t>
      </w:r>
      <w:r w:rsidR="00FD2AC8">
        <w:rPr>
          <w:rFonts w:cs="Arial"/>
        </w:rPr>
        <w:t>0.5</w:t>
      </w:r>
      <w:r w:rsidR="00FD2AC8" w:rsidRPr="00FD2AC8">
        <w:rPr>
          <w:rFonts w:cs="Arial"/>
        </w:rPr>
        <w:t xml:space="preserve"> ppm (</w:t>
      </w:r>
      <w:r w:rsidR="00FD2AC8">
        <w:rPr>
          <w:rFonts w:cs="Arial"/>
        </w:rPr>
        <w:t>4.9</w:t>
      </w:r>
      <w:r w:rsidR="00FD2AC8" w:rsidRPr="00FD2AC8">
        <w:rPr>
          <w:rFonts w:cs="Arial"/>
        </w:rPr>
        <w:t xml:space="preserve"> mg/m</w:t>
      </w:r>
      <w:r w:rsidR="00FD2AC8" w:rsidRPr="00FD2AC8">
        <w:rPr>
          <w:rFonts w:cs="Arial"/>
          <w:vertAlign w:val="superscript"/>
        </w:rPr>
        <w:t>3</w:t>
      </w:r>
      <w:r w:rsidR="00FD2AC8" w:rsidRPr="00FD2AC8">
        <w:rPr>
          <w:rFonts w:cs="Arial"/>
        </w:rPr>
        <w:t>) is recommended to protect for</w:t>
      </w:r>
      <w:r w:rsidR="009A70A8">
        <w:rPr>
          <w:rFonts w:cs="Arial"/>
        </w:rPr>
        <w:t xml:space="preserve"> liver damage and local irrita</w:t>
      </w:r>
      <w:r w:rsidR="00BB5B6D">
        <w:rPr>
          <w:rFonts w:cs="Arial"/>
        </w:rPr>
        <w:t>nt</w:t>
      </w:r>
      <w:r w:rsidR="009A70A8">
        <w:rPr>
          <w:rFonts w:cs="Arial"/>
        </w:rPr>
        <w:t xml:space="preserve"> effects</w:t>
      </w:r>
      <w:r w:rsidR="00FD2AC8" w:rsidRPr="00FD2AC8">
        <w:rPr>
          <w:rFonts w:cs="Arial"/>
        </w:rPr>
        <w:t xml:space="preserve"> in exposed workers. </w:t>
      </w:r>
    </w:p>
    <w:p w14:paraId="732C22BD" w14:textId="2B6874CE" w:rsidR="00FD2AC8" w:rsidRPr="009A70A8" w:rsidRDefault="009A70A8" w:rsidP="00FD2AC8">
      <w:pPr>
        <w:rPr>
          <w:rFonts w:cs="Arial"/>
        </w:rPr>
      </w:pPr>
      <w:r>
        <w:rPr>
          <w:rFonts w:cs="Arial"/>
        </w:rPr>
        <w:t>A STEL of 2 ppm (19 mg/m</w:t>
      </w:r>
      <w:r>
        <w:rPr>
          <w:rFonts w:cs="Arial"/>
          <w:vertAlign w:val="superscript"/>
        </w:rPr>
        <w:t>3</w:t>
      </w:r>
      <w:r>
        <w:rPr>
          <w:rFonts w:cs="Arial"/>
        </w:rPr>
        <w:t>) is recommended to protect for acute local irrita</w:t>
      </w:r>
      <w:r w:rsidR="00BB5B6D">
        <w:rPr>
          <w:rFonts w:cs="Arial"/>
        </w:rPr>
        <w:t>n</w:t>
      </w:r>
      <w:r>
        <w:rPr>
          <w:rFonts w:cs="Arial"/>
        </w:rPr>
        <w:t xml:space="preserve">t effects </w:t>
      </w:r>
      <w:r w:rsidR="001B59B5">
        <w:rPr>
          <w:rFonts w:cs="Arial"/>
        </w:rPr>
        <w:t>in exposed workers</w:t>
      </w:r>
      <w:r>
        <w:rPr>
          <w:rFonts w:cs="Arial"/>
        </w:rPr>
        <w:t>.</w:t>
      </w:r>
    </w:p>
    <w:p w14:paraId="7F3DB4A7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D485E94" w14:textId="7924B044" w:rsidR="005A5B23" w:rsidRPr="00CC78A9" w:rsidRDefault="00B872B0" w:rsidP="00D71082">
      <w:pPr>
        <w:pStyle w:val="CommentText"/>
        <w:spacing w:line="276" w:lineRule="auto"/>
        <w:rPr>
          <w:rFonts w:cs="Arial"/>
        </w:rPr>
      </w:pPr>
      <w:r w:rsidRPr="00CC78A9">
        <w:rPr>
          <w:rFonts w:cs="Arial"/>
        </w:rPr>
        <w:t>Hydrogenated terphenyls</w:t>
      </w:r>
      <w:r w:rsidR="00365B78" w:rsidRPr="00CC78A9">
        <w:t xml:space="preserve"> comprise a complex mixture of</w:t>
      </w:r>
      <w:r w:rsidR="002C056E" w:rsidRPr="00CC78A9">
        <w:t xml:space="preserve"> ortho-, meta- and para-</w:t>
      </w:r>
      <w:r w:rsidR="00365B78" w:rsidRPr="00CC78A9">
        <w:t>terphenyl</w:t>
      </w:r>
      <w:r w:rsidR="002C056E" w:rsidRPr="00CC78A9">
        <w:t>s in various stages of hydrogenation</w:t>
      </w:r>
      <w:r w:rsidR="00874765" w:rsidRPr="00CC78A9">
        <w:t xml:space="preserve">. </w:t>
      </w:r>
      <w:r w:rsidR="005A5B23" w:rsidRPr="00CC78A9">
        <w:t>It is u</w:t>
      </w:r>
      <w:r w:rsidRPr="00CC78A9">
        <w:rPr>
          <w:rFonts w:cs="Arial"/>
        </w:rPr>
        <w:t xml:space="preserve">sed </w:t>
      </w:r>
      <w:r w:rsidR="00BB5B6D">
        <w:rPr>
          <w:rFonts w:cs="Arial"/>
        </w:rPr>
        <w:t>in</w:t>
      </w:r>
      <w:r w:rsidRPr="00CC78A9">
        <w:rPr>
          <w:rFonts w:cs="Arial"/>
        </w:rPr>
        <w:t xml:space="preserve"> heat-transfer agents, </w:t>
      </w:r>
      <w:r w:rsidR="00874765" w:rsidRPr="00CC78A9">
        <w:t>dye solvents in carbonless paper and in plasticizer applications</w:t>
      </w:r>
      <w:r w:rsidRPr="00CC78A9">
        <w:rPr>
          <w:rFonts w:cs="Arial"/>
        </w:rPr>
        <w:t xml:space="preserve">. </w:t>
      </w:r>
    </w:p>
    <w:p w14:paraId="5C6153F7" w14:textId="34EDA5EB" w:rsidR="005A5B23" w:rsidRPr="00CC78A9" w:rsidRDefault="00B872B0" w:rsidP="00D71082">
      <w:pPr>
        <w:pStyle w:val="CommentText"/>
        <w:spacing w:line="276" w:lineRule="auto"/>
        <w:rPr>
          <w:rFonts w:cs="Arial"/>
        </w:rPr>
      </w:pPr>
      <w:r w:rsidRPr="00BB5B6D">
        <w:t xml:space="preserve">Critical effects </w:t>
      </w:r>
      <w:r w:rsidR="005A5B23" w:rsidRPr="00BB5B6D">
        <w:t xml:space="preserve">of exposure </w:t>
      </w:r>
      <w:r w:rsidRPr="00BB5B6D">
        <w:t xml:space="preserve">are irritation of the upper respiratory tract </w:t>
      </w:r>
      <w:r w:rsidR="00BB5B6D">
        <w:rPr>
          <w:rFonts w:cs="Arial"/>
        </w:rPr>
        <w:t>following</w:t>
      </w:r>
      <w:r w:rsidRPr="00CC78A9">
        <w:rPr>
          <w:rFonts w:cs="Arial"/>
        </w:rPr>
        <w:t xml:space="preserve"> acute exposures and adverse liver and kidney effects </w:t>
      </w:r>
      <w:r w:rsidR="005A5B23" w:rsidRPr="00CC78A9">
        <w:rPr>
          <w:rFonts w:cs="Arial"/>
        </w:rPr>
        <w:t>from</w:t>
      </w:r>
      <w:r w:rsidRPr="00CC78A9">
        <w:rPr>
          <w:rFonts w:cs="Arial"/>
        </w:rPr>
        <w:t xml:space="preserve"> chronic exposures as observed in animals (ACGIH, 2018).</w:t>
      </w:r>
      <w:r w:rsidR="005A5B23" w:rsidRPr="00CC78A9">
        <w:rPr>
          <w:rFonts w:cs="Arial"/>
        </w:rPr>
        <w:t xml:space="preserve"> </w:t>
      </w:r>
      <w:r w:rsidR="00C62609" w:rsidRPr="00CC78A9">
        <w:rPr>
          <w:rFonts w:cs="Arial"/>
        </w:rPr>
        <w:t xml:space="preserve">No adverse effects </w:t>
      </w:r>
      <w:r w:rsidR="005A5B23" w:rsidRPr="00CC78A9">
        <w:rPr>
          <w:rFonts w:cs="Arial"/>
        </w:rPr>
        <w:t>a</w:t>
      </w:r>
      <w:r w:rsidR="00C62609" w:rsidRPr="00CC78A9">
        <w:rPr>
          <w:rFonts w:cs="Arial"/>
        </w:rPr>
        <w:t xml:space="preserve">re reported for workers exposed </w:t>
      </w:r>
      <w:r w:rsidR="005A5B23" w:rsidRPr="00CC78A9">
        <w:rPr>
          <w:rFonts w:cs="Arial"/>
        </w:rPr>
        <w:t>at</w:t>
      </w:r>
      <w:r w:rsidR="00C62609" w:rsidRPr="00CC78A9">
        <w:rPr>
          <w:rFonts w:cs="Arial"/>
        </w:rPr>
        <w:t xml:space="preserve"> </w:t>
      </w:r>
      <w:r w:rsidR="00FD2AC8" w:rsidRPr="00CC78A9">
        <w:rPr>
          <w:rFonts w:cs="Arial"/>
        </w:rPr>
        <w:t>0.1 ppm (</w:t>
      </w:r>
      <w:r w:rsidR="00C62609" w:rsidRPr="00CC78A9">
        <w:rPr>
          <w:rFonts w:cs="Arial"/>
        </w:rPr>
        <w:t>0.89 mg/m</w:t>
      </w:r>
      <w:r w:rsidR="00C62609" w:rsidRPr="00CC78A9">
        <w:rPr>
          <w:rFonts w:cs="Arial"/>
          <w:vertAlign w:val="superscript"/>
        </w:rPr>
        <w:t>3</w:t>
      </w:r>
      <w:r w:rsidR="00FD2AC8" w:rsidRPr="00CC78A9">
        <w:rPr>
          <w:rFonts w:cs="Arial"/>
        </w:rPr>
        <w:t>) (ACGIH, 2018)</w:t>
      </w:r>
      <w:r w:rsidR="00C62609" w:rsidRPr="00CC78A9">
        <w:rPr>
          <w:rFonts w:cs="Arial"/>
        </w:rPr>
        <w:t xml:space="preserve">. </w:t>
      </w:r>
      <w:r w:rsidR="00BB5B6D">
        <w:rPr>
          <w:rFonts w:cs="Arial"/>
        </w:rPr>
        <w:t>I</w:t>
      </w:r>
      <w:r w:rsidR="00BB5B6D" w:rsidRPr="00CC78A9">
        <w:rPr>
          <w:rFonts w:cs="Arial"/>
        </w:rPr>
        <w:t xml:space="preserve">n a sub chronic inhalation study </w:t>
      </w:r>
      <w:r w:rsidR="00BB5B6D">
        <w:rPr>
          <w:rFonts w:cs="Arial"/>
        </w:rPr>
        <w:t>of</w:t>
      </w:r>
      <w:r w:rsidR="00BB5B6D" w:rsidRPr="00CC78A9">
        <w:rPr>
          <w:rFonts w:cs="Arial"/>
        </w:rPr>
        <w:t xml:space="preserve"> rats</w:t>
      </w:r>
      <w:r w:rsidR="00BB5B6D">
        <w:rPr>
          <w:rFonts w:cs="Arial"/>
        </w:rPr>
        <w:t>, s</w:t>
      </w:r>
      <w:r w:rsidR="00A67D7D" w:rsidRPr="00CC78A9">
        <w:rPr>
          <w:rFonts w:cs="Arial"/>
        </w:rPr>
        <w:t xml:space="preserve">light, non-significant changes in liver weight were observed between </w:t>
      </w:r>
      <w:r w:rsidR="00FD2AC8" w:rsidRPr="00CC78A9">
        <w:rPr>
          <w:rFonts w:cs="Arial"/>
        </w:rPr>
        <w:t>1 ppm (</w:t>
      </w:r>
      <w:r w:rsidR="00734C65" w:rsidRPr="00CC78A9">
        <w:rPr>
          <w:rFonts w:cs="Arial"/>
        </w:rPr>
        <w:t xml:space="preserve">10 </w:t>
      </w:r>
      <w:r w:rsidR="00C62609" w:rsidRPr="00CC78A9">
        <w:rPr>
          <w:rFonts w:cs="Arial"/>
        </w:rPr>
        <w:t>mg/m</w:t>
      </w:r>
      <w:r w:rsidR="00C62609" w:rsidRPr="00CC78A9">
        <w:rPr>
          <w:rFonts w:cs="Arial"/>
          <w:vertAlign w:val="superscript"/>
        </w:rPr>
        <w:t>3</w:t>
      </w:r>
      <w:r w:rsidR="00FD2AC8" w:rsidRPr="00CC78A9">
        <w:rPr>
          <w:rFonts w:cs="Arial"/>
        </w:rPr>
        <w:t xml:space="preserve">) </w:t>
      </w:r>
      <w:r w:rsidR="00A67D7D" w:rsidRPr="00CC78A9">
        <w:rPr>
          <w:rFonts w:cs="Arial"/>
        </w:rPr>
        <w:t xml:space="preserve">and </w:t>
      </w:r>
      <w:r w:rsidR="00FD2AC8" w:rsidRPr="00CC78A9">
        <w:rPr>
          <w:rFonts w:cs="Arial"/>
        </w:rPr>
        <w:t>10 ppm (</w:t>
      </w:r>
      <w:r w:rsidR="00C62609" w:rsidRPr="00CC78A9">
        <w:rPr>
          <w:rFonts w:cs="Arial"/>
        </w:rPr>
        <w:t>100</w:t>
      </w:r>
      <w:r w:rsidR="00A67D7D" w:rsidRPr="00CC78A9">
        <w:rPr>
          <w:rFonts w:cs="Arial"/>
        </w:rPr>
        <w:t> </w:t>
      </w:r>
      <w:r w:rsidR="00C62609" w:rsidRPr="00CC78A9">
        <w:rPr>
          <w:rFonts w:cs="Arial"/>
        </w:rPr>
        <w:t>mg/m</w:t>
      </w:r>
      <w:r w:rsidR="00C62609" w:rsidRPr="00CC78A9">
        <w:rPr>
          <w:rFonts w:cs="Arial"/>
          <w:vertAlign w:val="superscript"/>
        </w:rPr>
        <w:t>3</w:t>
      </w:r>
      <w:r w:rsidR="00FD2AC8" w:rsidRPr="00CC78A9">
        <w:rPr>
          <w:rFonts w:cs="Arial"/>
        </w:rPr>
        <w:t>)</w:t>
      </w:r>
      <w:r w:rsidR="00BB5B6D">
        <w:rPr>
          <w:rFonts w:cs="Arial"/>
        </w:rPr>
        <w:t xml:space="preserve"> with a</w:t>
      </w:r>
      <w:r w:rsidR="00A67D7D" w:rsidRPr="00CC78A9">
        <w:rPr>
          <w:rFonts w:cs="Arial"/>
        </w:rPr>
        <w:t xml:space="preserve"> NOAEC of 9.8 ppm (98 mg/m</w:t>
      </w:r>
      <w:r w:rsidR="00A67D7D" w:rsidRPr="00CC78A9">
        <w:rPr>
          <w:rFonts w:cs="Arial"/>
          <w:vertAlign w:val="superscript"/>
        </w:rPr>
        <w:t>3</w:t>
      </w:r>
      <w:r w:rsidR="00A67D7D" w:rsidRPr="00CC78A9">
        <w:rPr>
          <w:rFonts w:cs="Arial"/>
        </w:rPr>
        <w:t>)</w:t>
      </w:r>
      <w:r w:rsidR="00BB5B6D">
        <w:rPr>
          <w:rFonts w:cs="Arial"/>
        </w:rPr>
        <w:t>,</w:t>
      </w:r>
      <w:r w:rsidR="00A67D7D" w:rsidRPr="00CC78A9">
        <w:rPr>
          <w:rFonts w:cs="Arial"/>
        </w:rPr>
        <w:t xml:space="preserve"> with respect to historical control values</w:t>
      </w:r>
      <w:r w:rsidR="00BB5B6D">
        <w:rPr>
          <w:rFonts w:cs="Arial"/>
        </w:rPr>
        <w:t>, reported</w:t>
      </w:r>
      <w:r w:rsidR="00A67D7D" w:rsidRPr="00CC78A9">
        <w:rPr>
          <w:rFonts w:cs="Arial"/>
        </w:rPr>
        <w:t xml:space="preserve"> </w:t>
      </w:r>
      <w:r w:rsidR="00FD2AC8" w:rsidRPr="00CC78A9">
        <w:rPr>
          <w:rFonts w:cs="Arial"/>
        </w:rPr>
        <w:t>(ACGIH, 2018)</w:t>
      </w:r>
      <w:r w:rsidR="00C62609" w:rsidRPr="00CC78A9">
        <w:rPr>
          <w:rFonts w:cs="Arial"/>
        </w:rPr>
        <w:t xml:space="preserve">. </w:t>
      </w:r>
      <w:r w:rsidR="00327863" w:rsidRPr="00CC78A9">
        <w:rPr>
          <w:rFonts w:cs="Arial"/>
        </w:rPr>
        <w:t>Based on these same human and animal studies, primary agencies assign different recommendations.</w:t>
      </w:r>
    </w:p>
    <w:p w14:paraId="1CDF22D8" w14:textId="3B385561" w:rsidR="00F2277F" w:rsidRPr="00CC78A9" w:rsidRDefault="00A67D7D" w:rsidP="006639B4">
      <w:pPr>
        <w:rPr>
          <w:rFonts w:cs="Arial"/>
        </w:rPr>
      </w:pPr>
      <w:r w:rsidRPr="00CC78A9">
        <w:rPr>
          <w:rFonts w:cs="Arial"/>
        </w:rPr>
        <w:t xml:space="preserve">The non-significant liver effects observed in rats at 10 and 100 ppm </w:t>
      </w:r>
      <w:r w:rsidR="00C62609" w:rsidRPr="00CC78A9">
        <w:rPr>
          <w:rFonts w:cs="Arial"/>
        </w:rPr>
        <w:t>and</w:t>
      </w:r>
      <w:r w:rsidR="00FD2AC8" w:rsidRPr="00CC78A9">
        <w:rPr>
          <w:rFonts w:cs="Arial"/>
        </w:rPr>
        <w:t xml:space="preserve"> the absence of adverse effects at 0.1 ppm in workers support retention of the </w:t>
      </w:r>
      <w:r w:rsidR="000A7696" w:rsidRPr="00CC78A9">
        <w:rPr>
          <w:rFonts w:cs="Arial"/>
        </w:rPr>
        <w:t xml:space="preserve">existing </w:t>
      </w:r>
      <w:r w:rsidR="00FD2AC8" w:rsidRPr="00CC78A9">
        <w:rPr>
          <w:rFonts w:cs="Arial"/>
        </w:rPr>
        <w:t xml:space="preserve">TWA </w:t>
      </w:r>
      <w:r w:rsidR="00B872B0" w:rsidRPr="00CC78A9">
        <w:rPr>
          <w:rFonts w:cs="Arial"/>
        </w:rPr>
        <w:t xml:space="preserve">of </w:t>
      </w:r>
      <w:r w:rsidR="00FD2AC8" w:rsidRPr="00CC78A9">
        <w:rPr>
          <w:rFonts w:cs="Arial"/>
        </w:rPr>
        <w:t>0.5</w:t>
      </w:r>
      <w:r w:rsidR="00FD2FEA" w:rsidRPr="00CC78A9">
        <w:rPr>
          <w:rFonts w:cs="Arial"/>
        </w:rPr>
        <w:t> </w:t>
      </w:r>
      <w:r w:rsidR="00FD2AC8" w:rsidRPr="00CC78A9">
        <w:rPr>
          <w:rFonts w:cs="Arial"/>
        </w:rPr>
        <w:t>ppm (4.9</w:t>
      </w:r>
      <w:r w:rsidR="008D32A2" w:rsidRPr="00CC78A9">
        <w:rPr>
          <w:rFonts w:cs="Arial"/>
        </w:rPr>
        <w:t> </w:t>
      </w:r>
      <w:r w:rsidR="00FD2AC8" w:rsidRPr="00CC78A9">
        <w:rPr>
          <w:rFonts w:cs="Arial"/>
        </w:rPr>
        <w:t>mg/m</w:t>
      </w:r>
      <w:r w:rsidR="00FD2AC8" w:rsidRPr="00CC78A9">
        <w:rPr>
          <w:rFonts w:cs="Arial"/>
          <w:vertAlign w:val="superscript"/>
        </w:rPr>
        <w:t>3</w:t>
      </w:r>
      <w:r w:rsidR="00FD2AC8" w:rsidRPr="00CC78A9">
        <w:rPr>
          <w:rFonts w:cs="Arial"/>
        </w:rPr>
        <w:t>)</w:t>
      </w:r>
      <w:r w:rsidR="00C62609" w:rsidRPr="00CC78A9">
        <w:rPr>
          <w:rFonts w:cs="Arial"/>
        </w:rPr>
        <w:t xml:space="preserve">. </w:t>
      </w:r>
    </w:p>
    <w:p w14:paraId="37487277" w14:textId="76DCD3A5" w:rsidR="00FD2AC8" w:rsidRPr="00CC78A9" w:rsidRDefault="00FD2AC8" w:rsidP="006639B4">
      <w:pPr>
        <w:rPr>
          <w:rFonts w:cs="Arial"/>
        </w:rPr>
      </w:pPr>
      <w:r w:rsidRPr="00CC78A9">
        <w:rPr>
          <w:rFonts w:cs="Arial"/>
        </w:rPr>
        <w:t>A STEL of 2 ppm (19 mg/m</w:t>
      </w:r>
      <w:r w:rsidRPr="00CC78A9">
        <w:rPr>
          <w:rFonts w:cs="Arial"/>
          <w:vertAlign w:val="superscript"/>
        </w:rPr>
        <w:t>3</w:t>
      </w:r>
      <w:r w:rsidRPr="00CC78A9">
        <w:rPr>
          <w:rFonts w:cs="Arial"/>
        </w:rPr>
        <w:t xml:space="preserve">) is recommended to protect for potential </w:t>
      </w:r>
      <w:r w:rsidR="0061052A" w:rsidRPr="00CC78A9">
        <w:rPr>
          <w:rFonts w:cs="Arial"/>
        </w:rPr>
        <w:t xml:space="preserve">acute </w:t>
      </w:r>
      <w:r w:rsidRPr="00CC78A9">
        <w:rPr>
          <w:rFonts w:cs="Arial"/>
        </w:rPr>
        <w:t>exposures that have caused headaches, nausea and acute irritation in accidentally over-exposed workers (ACGIH, 2018; SCOEL, 1994).</w:t>
      </w:r>
    </w:p>
    <w:p w14:paraId="715C0955" w14:textId="77777777" w:rsidR="004529F0" w:rsidRPr="004C23F4" w:rsidRDefault="004529F0" w:rsidP="00734C65">
      <w:pPr>
        <w:pStyle w:val="Heading2"/>
      </w:pPr>
      <w:r>
        <w:lastRenderedPageBreak/>
        <w:t>Recommendation for notations</w:t>
      </w:r>
    </w:p>
    <w:p w14:paraId="72DEF45E" w14:textId="77777777" w:rsidR="00815E58" w:rsidRPr="009A70A8" w:rsidRDefault="00815E58" w:rsidP="00F2277F">
      <w:pPr>
        <w:keepNext/>
        <w:rPr>
          <w:rFonts w:cs="Arial"/>
        </w:rPr>
      </w:pPr>
      <w:r w:rsidRPr="009A70A8">
        <w:rPr>
          <w:rFonts w:cs="Arial"/>
        </w:rPr>
        <w:t>Not classified as a carcinogen according to the Globally Harmonized System of Classification an</w:t>
      </w:r>
      <w:r w:rsidR="009A70A8" w:rsidRPr="009A70A8">
        <w:rPr>
          <w:rFonts w:cs="Arial"/>
        </w:rPr>
        <w:t>d Labelling o</w:t>
      </w:r>
      <w:r w:rsidR="00734C65">
        <w:rPr>
          <w:rFonts w:cs="Arial"/>
        </w:rPr>
        <w:t>f</w:t>
      </w:r>
      <w:r w:rsidR="009A70A8" w:rsidRPr="009A70A8">
        <w:rPr>
          <w:rFonts w:cs="Arial"/>
        </w:rPr>
        <w:t xml:space="preserve"> Chemicals (GHS).</w:t>
      </w:r>
    </w:p>
    <w:p w14:paraId="6E51A8F7" w14:textId="77777777" w:rsidR="00815E58" w:rsidRPr="009A70A8" w:rsidRDefault="00815E58" w:rsidP="00F2277F">
      <w:pPr>
        <w:keepNext/>
        <w:rPr>
          <w:rFonts w:cs="Arial"/>
        </w:rPr>
      </w:pPr>
      <w:r w:rsidRPr="009A70A8">
        <w:rPr>
          <w:rFonts w:cs="Arial"/>
        </w:rPr>
        <w:t xml:space="preserve">Not classified as a skin </w:t>
      </w:r>
      <w:r w:rsidR="00734C65" w:rsidRPr="009A70A8">
        <w:rPr>
          <w:rFonts w:cs="Arial"/>
        </w:rPr>
        <w:t xml:space="preserve">sensitiser </w:t>
      </w:r>
      <w:r w:rsidRPr="009A70A8">
        <w:rPr>
          <w:rFonts w:cs="Arial"/>
        </w:rPr>
        <w:t>or respiratory sensitiser according to the GHS.</w:t>
      </w:r>
    </w:p>
    <w:p w14:paraId="4DCBFE72" w14:textId="77777777" w:rsidR="005E6979" w:rsidRPr="004C23F4" w:rsidRDefault="009A70A8" w:rsidP="00F2277F">
      <w:pPr>
        <w:keepNext/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 w:rsidRPr="009A70A8">
        <w:rPr>
          <w:rFonts w:cs="Arial"/>
        </w:rPr>
        <w:t xml:space="preserve">A skin notation is not </w:t>
      </w:r>
      <w:r w:rsidR="005A5B23">
        <w:rPr>
          <w:rFonts w:cs="Arial"/>
        </w:rPr>
        <w:t>recommended</w:t>
      </w:r>
      <w:r w:rsidRPr="009A70A8">
        <w:rPr>
          <w:rFonts w:cs="Arial"/>
        </w:rPr>
        <w:t xml:space="preserve"> based on the available evidence.</w:t>
      </w:r>
    </w:p>
    <w:p w14:paraId="25ED38D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8AACA1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44C1799" w14:textId="77777777" w:rsidTr="00F2277F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B1734A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36C89C3" w14:textId="77777777" w:rsidTr="00F2277F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632517A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D46371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sdt>
                  <w:sdtPr>
                    <w:alias w:val="ACGIH WES equivalent"/>
                    <w:tag w:val="ACGIH WES equivalent"/>
                    <w:id w:val="-715966628"/>
                    <w:placeholder>
                      <w:docPart w:val="813BA8B58183470DA88F9199D3419390"/>
                    </w:placeholder>
                  </w:sdtPr>
                  <w:sdtEndPr/>
                  <w:sdtContent>
                    <w:sdt>
                      <w:sdtPr>
                        <w:alias w:val="SWA WES"/>
                        <w:tag w:val="SWA WES"/>
                        <w:id w:val="470957625"/>
                        <w:placeholder>
                          <w:docPart w:val="23294573CC354657A002304EF448DB91"/>
                        </w:placeholder>
                      </w:sdtPr>
                      <w:sdtEndPr/>
                      <w:sdtContent>
                        <w:r w:rsidR="00D46371">
                          <w:t>TWA: 0.5 ppm (4.9 mg/m</w:t>
                        </w:r>
                        <w:r w:rsidR="00D46371" w:rsidRPr="00815E58">
                          <w:rPr>
                            <w:vertAlign w:val="superscript"/>
                          </w:rPr>
                          <w:t>3</w:t>
                        </w:r>
                        <w:r w:rsidR="00D46371">
                          <w:t>)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C978F0" w:rsidRPr="00DA352E" w14:paraId="348B7117" w14:textId="77777777" w:rsidTr="00F2277F">
        <w:trPr>
          <w:gridAfter w:val="1"/>
          <w:wAfter w:w="8" w:type="pct"/>
        </w:trPr>
        <w:tc>
          <w:tcPr>
            <w:tcW w:w="4992" w:type="pct"/>
          </w:tcPr>
          <w:p w14:paraId="25EDF2E1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A7EEF62" w14:textId="77777777" w:rsidTr="00F2277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47E408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851F3A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-2063939311"/>
                    <w:placeholder>
                      <w:docPart w:val="AB814A04890C4C95B0863814481E526D"/>
                    </w:placeholder>
                  </w:sdtPr>
                  <w:sdtEndPr/>
                  <w:sdtContent>
                    <w:r w:rsidR="00851F3A">
                      <w:t>TLV-TWA: 0.5 ppm (4.9 mg/m</w:t>
                    </w:r>
                    <w:r w:rsidR="00851F3A" w:rsidRPr="00815E58">
                      <w:rPr>
                        <w:vertAlign w:val="superscript"/>
                      </w:rPr>
                      <w:t>3</w:t>
                    </w:r>
                    <w:r w:rsidR="00851F3A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61FD3C4C" w14:textId="77777777" w:rsidTr="00F2277F">
        <w:trPr>
          <w:gridAfter w:val="1"/>
          <w:wAfter w:w="8" w:type="pct"/>
        </w:trPr>
        <w:tc>
          <w:tcPr>
            <w:tcW w:w="4992" w:type="pct"/>
          </w:tcPr>
          <w:p w14:paraId="52B2691A" w14:textId="1D6F65C0" w:rsidR="00C978F0" w:rsidRPr="00B76AF4" w:rsidRDefault="00D46371" w:rsidP="003365A5">
            <w:pPr>
              <w:pStyle w:val="Tabletextprimarysource"/>
            </w:pPr>
            <w:r>
              <w:t>TLV-TWA intended to minimise potential for eye and respiratory tract irritation and adverse liver and kidne</w:t>
            </w:r>
            <w:r w:rsidR="00B76AF4">
              <w:t>y effects. Value based on slight increases in liver weights at 10 and 100 mg/m</w:t>
            </w:r>
            <w:r w:rsidR="00B76AF4">
              <w:rPr>
                <w:vertAlign w:val="superscript"/>
              </w:rPr>
              <w:t>3</w:t>
            </w:r>
            <w:r w:rsidR="00B76AF4">
              <w:t xml:space="preserve"> of rats in a sub</w:t>
            </w:r>
            <w:r w:rsidR="000A7696">
              <w:t>-</w:t>
            </w:r>
            <w:r w:rsidR="00B76AF4">
              <w:t>chronic inhalation study and considered to be protective of transient changes to lung and eye and respiratory tract irritation.</w:t>
            </w:r>
          </w:p>
          <w:p w14:paraId="2176F6DE" w14:textId="77777777" w:rsidR="00D46371" w:rsidRDefault="00D46371" w:rsidP="003365A5">
            <w:pPr>
              <w:pStyle w:val="Tabletextprimarysource"/>
            </w:pPr>
            <w:r>
              <w:t>Summary of information:</w:t>
            </w:r>
          </w:p>
          <w:p w14:paraId="6BE9761E" w14:textId="77777777" w:rsidR="00D46371" w:rsidRDefault="00D46371" w:rsidP="003365A5">
            <w:pPr>
              <w:pStyle w:val="Tabletextprimarysource"/>
            </w:pPr>
            <w:r>
              <w:t xml:space="preserve">Comprise a complex mixture of terphenyl isomers, which release irritating vapours and carbon monoxide upon heating. </w:t>
            </w:r>
            <w:r w:rsidR="00942B7A">
              <w:t>40</w:t>
            </w:r>
            <w:r>
              <w:t>% hydrogenated terphenyls</w:t>
            </w:r>
            <w:r w:rsidR="00942B7A">
              <w:t xml:space="preserve"> (HB</w:t>
            </w:r>
            <w:r w:rsidR="00C53BCF">
              <w:t>-</w:t>
            </w:r>
            <w:r w:rsidR="00942B7A">
              <w:t>40) used as nuclear reactor coolants.</w:t>
            </w:r>
          </w:p>
          <w:p w14:paraId="76654412" w14:textId="77777777" w:rsidR="00D46371" w:rsidRDefault="00D46371" w:rsidP="003365A5">
            <w:pPr>
              <w:pStyle w:val="Tabletextprimarysource"/>
            </w:pPr>
            <w:r>
              <w:t>Human data:</w:t>
            </w:r>
          </w:p>
          <w:p w14:paraId="25F16B64" w14:textId="77777777" w:rsidR="00A65B06" w:rsidRDefault="00A65B06" w:rsidP="006D2C3A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>Occupational reports of defatting of skin and temporary local irritation from direct contact</w:t>
            </w:r>
          </w:p>
          <w:p w14:paraId="39B190C1" w14:textId="77777777" w:rsidR="00A65B06" w:rsidRDefault="006D2C3A" w:rsidP="006D2C3A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>Nausea and upper respiratory tract irritation from overheated HB-40 reported (concentration and duration not specified)</w:t>
            </w:r>
          </w:p>
          <w:p w14:paraId="6C0B0325" w14:textId="77777777" w:rsidR="006D2C3A" w:rsidRDefault="006D2C3A" w:rsidP="006D2C3A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 xml:space="preserve">Negative sensitisation results (n=51, alternating days, 15 d, challenge </w:t>
            </w:r>
            <w:r w:rsidR="00B76AF4">
              <w:t>14 d after last dose)</w:t>
            </w:r>
          </w:p>
          <w:p w14:paraId="7D8483C5" w14:textId="77777777" w:rsidR="00B76AF4" w:rsidRDefault="00B76AF4" w:rsidP="006D2C3A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>Dermal application studies indicate no systemic absorption from direct contact</w:t>
            </w:r>
          </w:p>
          <w:p w14:paraId="5FC01AF8" w14:textId="4E25112C" w:rsidR="005A5B23" w:rsidRDefault="006D2C3A" w:rsidP="006D2C3A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 xml:space="preserve">Workplace study at nuclear power plant (n=122, 6 mo–7 yr) with exposure range </w:t>
            </w:r>
            <w:r w:rsidR="00F245B8">
              <w:br/>
            </w:r>
            <w:r>
              <w:t>0.094–0.89 mg/m</w:t>
            </w:r>
            <w:r>
              <w:rPr>
                <w:vertAlign w:val="superscript"/>
              </w:rPr>
              <w:t>3</w:t>
            </w:r>
            <w:r>
              <w:t xml:space="preserve"> reported no evidence for skin tumorigenicity, adverse haematological effects or skin sensitisation</w:t>
            </w:r>
          </w:p>
          <w:p w14:paraId="67D7866A" w14:textId="77777777" w:rsidR="006D2C3A" w:rsidRDefault="006D2C3A" w:rsidP="005A5B23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acted as a primary skin irritant </w:t>
            </w:r>
            <w:r w:rsidR="00F2277F">
              <w:t>particularly</w:t>
            </w:r>
            <w:r>
              <w:t xml:space="preserve"> on wet</w:t>
            </w:r>
            <w:r w:rsidR="007D71BF">
              <w:t xml:space="preserve"> and </w:t>
            </w:r>
            <w:r>
              <w:t>sweaty skin under personal protective equipment</w:t>
            </w:r>
            <w:r w:rsidR="00F2277F">
              <w:t>.</w:t>
            </w:r>
          </w:p>
          <w:p w14:paraId="524C870B" w14:textId="77777777" w:rsidR="00D46371" w:rsidRDefault="00D46371" w:rsidP="003365A5">
            <w:pPr>
              <w:pStyle w:val="Tabletextprimarysource"/>
            </w:pPr>
            <w:r>
              <w:t>Animal data:</w:t>
            </w:r>
          </w:p>
          <w:p w14:paraId="5CE59878" w14:textId="77777777" w:rsidR="00D46371" w:rsidRDefault="00942B7A" w:rsidP="005A5B23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 xml:space="preserve"> for HB</w:t>
            </w:r>
            <w:r w:rsidR="00C53BCF">
              <w:t>-</w:t>
            </w:r>
            <w:r>
              <w:t>40: 10,200–17,500 mg/kg (rats), 12,500 mg/kg (mice)</w:t>
            </w:r>
          </w:p>
          <w:p w14:paraId="6F172DE0" w14:textId="77777777" w:rsidR="00942B7A" w:rsidRDefault="00942B7A" w:rsidP="005A5B23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LD</w:t>
            </w:r>
            <w:r>
              <w:rPr>
                <w:vertAlign w:val="subscript"/>
              </w:rPr>
              <w:t>LO</w:t>
            </w:r>
            <w:r>
              <w:rPr>
                <w:vertAlign w:val="subscript"/>
              </w:rPr>
              <w:softHyphen/>
            </w:r>
            <w:r>
              <w:t>: 6,800 mg/kg (rabbits, 24 h</w:t>
            </w:r>
            <w:r w:rsidR="00F2277F">
              <w:t>, dermal</w:t>
            </w:r>
            <w:r>
              <w:t>); moderately irritating to skin, non-irritating to eyes</w:t>
            </w:r>
          </w:p>
          <w:p w14:paraId="6747D4FF" w14:textId="77777777" w:rsidR="005A5B23" w:rsidRDefault="00942B7A" w:rsidP="005A5B23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LC</w:t>
            </w:r>
            <w:r>
              <w:rPr>
                <w:vertAlign w:val="subscript"/>
              </w:rPr>
              <w:t>50</w:t>
            </w:r>
            <w:r w:rsidR="00F2277F">
              <w:t>:</w:t>
            </w:r>
            <w:r>
              <w:t xml:space="preserve"> &gt;4,700 mg/m</w:t>
            </w:r>
            <w:r>
              <w:rPr>
                <w:vertAlign w:val="superscript"/>
              </w:rPr>
              <w:t>3</w:t>
            </w:r>
            <w:r>
              <w:t xml:space="preserve"> (rats, duration unspecified); </w:t>
            </w:r>
          </w:p>
          <w:p w14:paraId="4FD04E48" w14:textId="77777777" w:rsidR="008378B9" w:rsidRDefault="00942B7A" w:rsidP="005A5B23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respiratory irritation and increased nasal, eye and mouth secretions at </w:t>
            </w:r>
          </w:p>
          <w:p w14:paraId="49C326C2" w14:textId="25A44FBF" w:rsidR="00E8169A" w:rsidRDefault="00942B7A" w:rsidP="008378B9">
            <w:pPr>
              <w:pStyle w:val="Tabletextprimarysource"/>
              <w:ind w:left="1094"/>
            </w:pPr>
            <w:r>
              <w:t>2,500–4,700</w:t>
            </w:r>
            <w:r w:rsidR="008378B9">
              <w:t> </w:t>
            </w:r>
            <w:r>
              <w:t>mg/m</w:t>
            </w:r>
            <w:r>
              <w:rPr>
                <w:vertAlign w:val="superscript"/>
              </w:rPr>
              <w:t>3</w:t>
            </w:r>
            <w:r>
              <w:t xml:space="preserve"> (4 h)</w:t>
            </w:r>
          </w:p>
          <w:p w14:paraId="5EB2BE6F" w14:textId="77777777" w:rsidR="00E8169A" w:rsidRDefault="00E8169A" w:rsidP="005A5B23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Transient changes to alveolar structure at 500 mg/m</w:t>
            </w:r>
            <w:r>
              <w:rPr>
                <w:vertAlign w:val="superscript"/>
              </w:rPr>
              <w:t>3</w:t>
            </w:r>
            <w:r>
              <w:t xml:space="preserve"> in acute inhalation study (mice, </w:t>
            </w:r>
            <w:r w:rsidR="00F245B8">
              <w:br/>
            </w:r>
            <w:r>
              <w:t>4–7</w:t>
            </w:r>
            <w:r w:rsidR="00F245B8">
              <w:t> </w:t>
            </w:r>
            <w:r>
              <w:t>h/d, up to 8 d); symptoms progressed after 2 d with each additional exposure</w:t>
            </w:r>
          </w:p>
          <w:p w14:paraId="0A409FFD" w14:textId="5706DA86" w:rsidR="00E8169A" w:rsidRDefault="00E8169A" w:rsidP="005A5B23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Slight to moderate erythema, oedema, blanching and subcutaneous haemorrhaging at 125–2,000 mg/kg in repeat dermal application study (rabbits, 6 h/d, 21 d); micro</w:t>
            </w:r>
            <w:r w:rsidR="000A7696">
              <w:t>-</w:t>
            </w:r>
            <w:r>
              <w:t>abscesses at application site at 2,000 mg/kg</w:t>
            </w:r>
          </w:p>
          <w:p w14:paraId="6C466375" w14:textId="635872A6" w:rsidR="00E8169A" w:rsidRDefault="00C53BCF" w:rsidP="005A5B23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Dose-dependent increased liver weights in males at all tested exposures 10–500 mg/m</w:t>
            </w:r>
            <w:r>
              <w:rPr>
                <w:vertAlign w:val="superscript"/>
              </w:rPr>
              <w:t>3</w:t>
            </w:r>
            <w:r>
              <w:t xml:space="preserve"> in sub</w:t>
            </w:r>
            <w:r w:rsidR="000A7696">
              <w:t>-</w:t>
            </w:r>
            <w:r>
              <w:t>chronic inhalation study (rats, 6 h/d, 5 d/wk, 14 wk)</w:t>
            </w:r>
            <w:r w:rsidR="001B59B5">
              <w:t>:</w:t>
            </w:r>
            <w:r>
              <w:t xml:space="preserve"> </w:t>
            </w:r>
          </w:p>
          <w:p w14:paraId="0771BB8A" w14:textId="4C560C25" w:rsidR="00A67D7D" w:rsidRDefault="00A67D7D" w:rsidP="00A67D7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NOAE</w:t>
            </w:r>
            <w:r w:rsidR="00B31456">
              <w:t>C</w:t>
            </w:r>
            <w:r>
              <w:t>: 98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B31456">
              <w:t xml:space="preserve">reported by cited authors </w:t>
            </w:r>
            <w:r>
              <w:t>based on historical control group ranges</w:t>
            </w:r>
          </w:p>
          <w:p w14:paraId="63626255" w14:textId="67C1520B" w:rsidR="00C53BCF" w:rsidRDefault="00F2277F" w:rsidP="005A5B23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</w:t>
            </w:r>
            <w:r w:rsidR="00C53BCF">
              <w:t>o changes to haematological parameters at any level</w:t>
            </w:r>
          </w:p>
          <w:p w14:paraId="50634732" w14:textId="779D72DD" w:rsidR="00C53BCF" w:rsidRDefault="00F2277F" w:rsidP="005A5B23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d</w:t>
            </w:r>
            <w:r w:rsidR="00C53BCF">
              <w:t>ecreased blood glucose and other blood chemistry parameters in females at 500</w:t>
            </w:r>
            <w:r w:rsidR="00F245B8">
              <w:t> </w:t>
            </w:r>
            <w:r w:rsidR="00C53BCF">
              <w:t>mg/m</w:t>
            </w:r>
            <w:r w:rsidR="00C53BCF">
              <w:rPr>
                <w:vertAlign w:val="superscript"/>
              </w:rPr>
              <w:t>3</w:t>
            </w:r>
            <w:r w:rsidR="00C53BCF">
              <w:t>, increased total protein and calcium at 100 mg/m</w:t>
            </w:r>
            <w:r w:rsidR="00C53BCF">
              <w:rPr>
                <w:vertAlign w:val="superscript"/>
              </w:rPr>
              <w:t>3</w:t>
            </w:r>
            <w:r w:rsidR="00D945BB">
              <w:t xml:space="preserve"> (10 ppm)</w:t>
            </w:r>
          </w:p>
          <w:p w14:paraId="5A79BC8A" w14:textId="77777777" w:rsidR="00942B7A" w:rsidRDefault="00E8169A" w:rsidP="005A5B23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NOAEL: 15 mg/kg/d for increased liver and kidney weights and haematological changes in repeat feeding study (rats, 3 mo); LOAEL: 150 mg/kg/d</w:t>
            </w:r>
          </w:p>
          <w:p w14:paraId="0B42EC07" w14:textId="77777777" w:rsidR="00E8169A" w:rsidRDefault="00C53BCF" w:rsidP="005A5B23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lastRenderedPageBreak/>
              <w:t>No evidence for carcinogenic initiation or promotion in chronic dermal application study with HB-40 (mice, 37 wk with HB-40 foll</w:t>
            </w:r>
            <w:r w:rsidR="00734C65">
              <w:t>o</w:t>
            </w:r>
            <w:r>
              <w:t>wed by 22 wk with croton oil, dose unspecified)</w:t>
            </w:r>
          </w:p>
          <w:p w14:paraId="21657F9E" w14:textId="77777777" w:rsidR="00A65B06" w:rsidRDefault="00A65B06" w:rsidP="005A5B23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Cleared from lungs within 24 h, ingested substance concentrations peaked at 4–5 h in gut, liver and kidneys, but decreased significantly after 1 d and almost disappeared after 1 wk</w:t>
            </w:r>
          </w:p>
          <w:p w14:paraId="4DDD9748" w14:textId="69664FD4" w:rsidR="00C53BCF" w:rsidRDefault="00C53BCF" w:rsidP="005A5B23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No foetal or maternal toxicity at 125 or 500 mg/kg in </w:t>
            </w:r>
            <w:r w:rsidR="00A65B06">
              <w:t xml:space="preserve">repeat gavage </w:t>
            </w:r>
            <w:r>
              <w:t xml:space="preserve">developmental study (rats, </w:t>
            </w:r>
            <w:r w:rsidR="00E23AD8">
              <w:t>GD</w:t>
            </w:r>
            <w:r w:rsidR="00A65B06">
              <w:t xml:space="preserve"> 6–15); 1,500 mg/kg was teratogenic and maternally toxic</w:t>
            </w:r>
          </w:p>
          <w:p w14:paraId="4901788D" w14:textId="567DB936" w:rsidR="00A65B06" w:rsidRPr="009D41AA" w:rsidRDefault="00A65B06" w:rsidP="009A70A8">
            <w:pPr>
              <w:pStyle w:val="Tabletextprimarysource"/>
              <w:numPr>
                <w:ilvl w:val="0"/>
                <w:numId w:val="1"/>
              </w:numPr>
              <w:ind w:hanging="357"/>
            </w:pPr>
            <w:r w:rsidRPr="009D41AA">
              <w:t>No</w:t>
            </w:r>
            <w:r w:rsidR="00CA267C" w:rsidRPr="009D41AA">
              <w:t xml:space="preserve"> </w:t>
            </w:r>
            <w:r w:rsidRPr="009D41AA">
              <w:t>genotoxic</w:t>
            </w:r>
            <w:r w:rsidR="00CA267C" w:rsidRPr="009D41AA">
              <w:t xml:space="preserve"> effects reported in </w:t>
            </w:r>
            <w:r w:rsidRPr="009D41AA">
              <w:rPr>
                <w:i/>
              </w:rPr>
              <w:t>in vitro</w:t>
            </w:r>
            <w:r w:rsidRPr="009D41AA">
              <w:t xml:space="preserve"> or </w:t>
            </w:r>
            <w:r w:rsidRPr="009D41AA">
              <w:rPr>
                <w:i/>
              </w:rPr>
              <w:t>in vivo</w:t>
            </w:r>
            <w:r w:rsidR="00AB040D" w:rsidRPr="009D41AA">
              <w:rPr>
                <w:i/>
              </w:rPr>
              <w:t xml:space="preserve"> </w:t>
            </w:r>
            <w:r w:rsidR="00AB040D" w:rsidRPr="009D41AA">
              <w:t>studies</w:t>
            </w:r>
            <w:r w:rsidR="00734C65" w:rsidRPr="009D41AA">
              <w:t>.</w:t>
            </w:r>
          </w:p>
          <w:p w14:paraId="587A996E" w14:textId="77777777" w:rsidR="001B59B5" w:rsidRPr="009D41AA" w:rsidRDefault="001B59B5" w:rsidP="009A70A8">
            <w:pPr>
              <w:pStyle w:val="Tabletextprimarysource"/>
            </w:pPr>
          </w:p>
          <w:p w14:paraId="725CF37D" w14:textId="77777777" w:rsidR="00D46371" w:rsidRDefault="00D46371" w:rsidP="009A70A8">
            <w:pPr>
              <w:pStyle w:val="Tabletextprimarysource"/>
            </w:pPr>
            <w:r>
              <w:t>Insufficient data to recommend a TLV-STEL or notations for carcinogenicity, skin absorption or sensitisation.</w:t>
            </w:r>
          </w:p>
          <w:p w14:paraId="72F5FD24" w14:textId="77777777" w:rsidR="001B59B5" w:rsidRPr="00DA352E" w:rsidRDefault="001B59B5" w:rsidP="009A70A8">
            <w:pPr>
              <w:pStyle w:val="Tabletextprimarysource"/>
            </w:pPr>
          </w:p>
        </w:tc>
      </w:tr>
      <w:tr w:rsidR="00C978F0" w:rsidRPr="00DA352E" w14:paraId="3639C584" w14:textId="77777777" w:rsidTr="00F2277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AFF10F1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851F3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851F3A">
                  <w:t>NA</w:t>
                </w:r>
              </w:sdtContent>
            </w:sdt>
          </w:p>
        </w:tc>
      </w:tr>
      <w:tr w:rsidR="00C978F0" w:rsidRPr="00DA352E" w14:paraId="04229720" w14:textId="77777777" w:rsidTr="00F2277F">
        <w:trPr>
          <w:gridAfter w:val="1"/>
          <w:wAfter w:w="8" w:type="pct"/>
        </w:trPr>
        <w:tc>
          <w:tcPr>
            <w:tcW w:w="4992" w:type="pct"/>
          </w:tcPr>
          <w:p w14:paraId="615B3C3B" w14:textId="77777777" w:rsidR="00C978F0" w:rsidRPr="00DA352E" w:rsidRDefault="00851F3A" w:rsidP="003365A5">
            <w:pPr>
              <w:pStyle w:val="Tabletextprimarysource"/>
            </w:pPr>
            <w:r>
              <w:t>No report</w:t>
            </w:r>
            <w:r w:rsidR="00F2277F">
              <w:t>.</w:t>
            </w:r>
          </w:p>
        </w:tc>
      </w:tr>
      <w:tr w:rsidR="00C978F0" w:rsidRPr="00DA352E" w14:paraId="7D844B1C" w14:textId="77777777" w:rsidTr="00F2277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E0C6B7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851F3A">
                  <w:t>1994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851F3A">
                  <w:t>TWA: 2 ppm (19 mg/m</w:t>
                </w:r>
                <w:r w:rsidR="00851F3A" w:rsidRPr="00851F3A">
                  <w:rPr>
                    <w:vertAlign w:val="superscript"/>
                  </w:rPr>
                  <w:t>3</w:t>
                </w:r>
                <w:r w:rsidR="00851F3A">
                  <w:t>); STEL: 5 ppm (48 mg/m</w:t>
                </w:r>
                <w:r w:rsidR="00851F3A" w:rsidRPr="00851F3A">
                  <w:rPr>
                    <w:vertAlign w:val="superscript"/>
                  </w:rPr>
                  <w:t>3</w:t>
                </w:r>
                <w:r w:rsidR="00851F3A">
                  <w:t>)</w:t>
                </w:r>
              </w:sdtContent>
            </w:sdt>
          </w:p>
        </w:tc>
      </w:tr>
      <w:tr w:rsidR="00C978F0" w:rsidRPr="00DA352E" w14:paraId="07A27F48" w14:textId="77777777" w:rsidTr="00F2277F">
        <w:trPr>
          <w:gridAfter w:val="1"/>
          <w:wAfter w:w="8" w:type="pct"/>
        </w:trPr>
        <w:tc>
          <w:tcPr>
            <w:tcW w:w="4992" w:type="pct"/>
          </w:tcPr>
          <w:p w14:paraId="574273EC" w14:textId="77777777" w:rsidR="00C978F0" w:rsidRDefault="006D2C3A" w:rsidP="003365A5">
            <w:pPr>
              <w:pStyle w:val="Tabletextprimarysource"/>
            </w:pPr>
            <w:r>
              <w:t>Summary of additional data:</w:t>
            </w:r>
          </w:p>
          <w:p w14:paraId="2B65FD3A" w14:textId="4B46E774" w:rsidR="005A5B23" w:rsidRDefault="006D2C3A" w:rsidP="003365A5">
            <w:pPr>
              <w:pStyle w:val="Tabletextprimarysource"/>
            </w:pPr>
            <w:r>
              <w:t>Critical effects are liver and kidney damage</w:t>
            </w:r>
            <w:r w:rsidR="00C635C3">
              <w:t>. TWA and STEL recommendation based on NOAEL of 98 mg/m</w:t>
            </w:r>
            <w:r w:rsidR="00C635C3">
              <w:rPr>
                <w:vertAlign w:val="superscript"/>
              </w:rPr>
              <w:t>3</w:t>
            </w:r>
            <w:r w:rsidR="00C635C3">
              <w:t xml:space="preserve"> and corresponding LOAEL of 500 mg/m</w:t>
            </w:r>
            <w:r w:rsidR="00C635C3">
              <w:rPr>
                <w:vertAlign w:val="superscript"/>
              </w:rPr>
              <w:t>3</w:t>
            </w:r>
            <w:r w:rsidR="00C635C3">
              <w:t xml:space="preserve"> for systemic effects in rats in 14</w:t>
            </w:r>
            <w:r w:rsidR="005A5B23">
              <w:t xml:space="preserve"> </w:t>
            </w:r>
            <w:r w:rsidR="00C635C3">
              <w:t>wk inhalation study (also cited in ACGIH, 2018). Since no human data available for exposures above 0.89</w:t>
            </w:r>
            <w:r w:rsidR="00734C65">
              <w:t xml:space="preserve"> </w:t>
            </w:r>
            <w:r w:rsidR="00C635C3">
              <w:t>mg/m</w:t>
            </w:r>
            <w:r w:rsidR="00C635C3">
              <w:rPr>
                <w:vertAlign w:val="superscript"/>
              </w:rPr>
              <w:t>3</w:t>
            </w:r>
            <w:r w:rsidR="00C635C3">
              <w:t xml:space="preserve"> a factor of 5 is applied to the NOAEL for systemic effects in rats </w:t>
            </w:r>
            <w:r w:rsidR="00153911">
              <w:t xml:space="preserve">to </w:t>
            </w:r>
            <w:r w:rsidR="00C635C3">
              <w:t>arrive at the TWA of 19 mg/m</w:t>
            </w:r>
            <w:r w:rsidR="00C635C3">
              <w:rPr>
                <w:vertAlign w:val="superscript"/>
              </w:rPr>
              <w:t>3</w:t>
            </w:r>
            <w:r w:rsidR="00C635C3">
              <w:t xml:space="preserve">. </w:t>
            </w:r>
          </w:p>
          <w:p w14:paraId="02B06168" w14:textId="77777777" w:rsidR="001F781F" w:rsidRDefault="00C635C3" w:rsidP="003365A5">
            <w:pPr>
              <w:pStyle w:val="Tabletextprimarysource"/>
            </w:pPr>
            <w:r>
              <w:t xml:space="preserve">The STEL is expected to be protective of irritational effects </w:t>
            </w:r>
            <w:r w:rsidR="00EC3580">
              <w:t>from exposure peaks based on reports of skin irritation and headaches at</w:t>
            </w:r>
            <w:r w:rsidR="0063001D">
              <w:t xml:space="preserve"> unspecified concentrations in </w:t>
            </w:r>
            <w:r>
              <w:t>acci</w:t>
            </w:r>
            <w:r w:rsidR="0063001D">
              <w:t xml:space="preserve">dentally exposed workers </w:t>
            </w:r>
            <w:r w:rsidR="00EC3580">
              <w:t>from</w:t>
            </w:r>
            <w:r w:rsidR="0063001D">
              <w:t xml:space="preserve"> nuclear power</w:t>
            </w:r>
            <w:r w:rsidR="00EC3580">
              <w:t xml:space="preserve"> </w:t>
            </w:r>
            <w:r w:rsidR="0063001D">
              <w:t xml:space="preserve">plant </w:t>
            </w:r>
            <w:r w:rsidR="00EC3580">
              <w:t>case</w:t>
            </w:r>
            <w:r w:rsidR="0063001D">
              <w:t xml:space="preserve"> study (also cited in ACGIH, 2018)</w:t>
            </w:r>
            <w:r w:rsidR="001D5CC5">
              <w:t>.</w:t>
            </w:r>
            <w:r w:rsidR="00B76AF4">
              <w:t xml:space="preserve"> </w:t>
            </w:r>
          </w:p>
          <w:p w14:paraId="43958343" w14:textId="77777777" w:rsidR="006D2C3A" w:rsidRPr="00C635C3" w:rsidRDefault="00B76AF4" w:rsidP="003365A5">
            <w:pPr>
              <w:pStyle w:val="Tabletextprimarysource"/>
            </w:pPr>
            <w:r>
              <w:t>Skin notation not warranted based on available evidence.</w:t>
            </w:r>
          </w:p>
          <w:p w14:paraId="59D968D3" w14:textId="77777777" w:rsidR="00C635C3" w:rsidRDefault="00C635C3" w:rsidP="003365A5">
            <w:pPr>
              <w:pStyle w:val="Tabletextprimarysource"/>
            </w:pPr>
            <w:r>
              <w:t>Human data:</w:t>
            </w:r>
          </w:p>
          <w:p w14:paraId="04973C13" w14:textId="77777777" w:rsidR="00C635C3" w:rsidRDefault="00C635C3" w:rsidP="00C635C3">
            <w:pPr>
              <w:pStyle w:val="Tabletextprimarysource"/>
              <w:numPr>
                <w:ilvl w:val="0"/>
                <w:numId w:val="1"/>
              </w:numPr>
            </w:pPr>
            <w:r>
              <w:t>Skin irritation, headaches and sore throats from accidental spillage/exposure noted in nuclear power plant workplace study (also cited in ACGIH, 2018)</w:t>
            </w:r>
            <w:r w:rsidR="00F2277F">
              <w:t>.</w:t>
            </w:r>
          </w:p>
          <w:p w14:paraId="38E85B14" w14:textId="77777777" w:rsidR="006D2C3A" w:rsidRDefault="006D2C3A" w:rsidP="003365A5">
            <w:pPr>
              <w:pStyle w:val="Tabletextprimarysource"/>
            </w:pPr>
            <w:r>
              <w:t>Animal data:</w:t>
            </w:r>
          </w:p>
          <w:p w14:paraId="44FACE41" w14:textId="77777777" w:rsidR="006D2C3A" w:rsidRDefault="006D2C3A" w:rsidP="006D2C3A">
            <w:pPr>
              <w:pStyle w:val="Tabletextprimarysource"/>
              <w:numPr>
                <w:ilvl w:val="0"/>
                <w:numId w:val="1"/>
              </w:numPr>
            </w:pPr>
            <w:r>
              <w:t>No acute inhalational toxicity data reported</w:t>
            </w:r>
          </w:p>
          <w:p w14:paraId="64C77219" w14:textId="77777777" w:rsidR="00C635C3" w:rsidRPr="000A7696" w:rsidRDefault="00C635C3" w:rsidP="006D2C3A">
            <w:pPr>
              <w:pStyle w:val="Tabletextprimarysource"/>
              <w:numPr>
                <w:ilvl w:val="0"/>
                <w:numId w:val="1"/>
              </w:numPr>
              <w:rPr>
                <w:lang w:val="it-IT"/>
              </w:rPr>
            </w:pPr>
            <w:r w:rsidRPr="000A7696">
              <w:rPr>
                <w:lang w:val="it-IT"/>
              </w:rPr>
              <w:t xml:space="preserve">Non-genotoxic </w:t>
            </w:r>
            <w:r w:rsidRPr="000A7696">
              <w:rPr>
                <w:i/>
                <w:lang w:val="it-IT"/>
              </w:rPr>
              <w:t xml:space="preserve">in vitro </w:t>
            </w:r>
            <w:r w:rsidRPr="000A7696">
              <w:rPr>
                <w:lang w:val="it-IT"/>
              </w:rPr>
              <w:t xml:space="preserve">or </w:t>
            </w:r>
            <w:r w:rsidRPr="000A7696">
              <w:rPr>
                <w:i/>
                <w:lang w:val="it-IT"/>
              </w:rPr>
              <w:t>in vivo</w:t>
            </w:r>
            <w:r w:rsidR="00734C65" w:rsidRPr="000A7696">
              <w:rPr>
                <w:lang w:val="it-IT"/>
              </w:rPr>
              <w:t>.</w:t>
            </w:r>
          </w:p>
          <w:p w14:paraId="527104CB" w14:textId="77777777" w:rsidR="001B59B5" w:rsidRPr="000A7696" w:rsidRDefault="001B59B5" w:rsidP="00B76AF4">
            <w:pPr>
              <w:pStyle w:val="Tabletextprimarysource"/>
              <w:rPr>
                <w:lang w:val="it-IT"/>
              </w:rPr>
            </w:pPr>
          </w:p>
          <w:p w14:paraId="54D1C62C" w14:textId="77777777" w:rsidR="00B76AF4" w:rsidRDefault="00B76AF4" w:rsidP="00B76AF4">
            <w:pPr>
              <w:pStyle w:val="Tabletextprimarysource"/>
            </w:pPr>
            <w:r>
              <w:t>Sensitisation potential not discussed.</w:t>
            </w:r>
          </w:p>
          <w:p w14:paraId="0EAC6B71" w14:textId="77777777" w:rsidR="001B59B5" w:rsidRPr="00DA352E" w:rsidRDefault="001B59B5" w:rsidP="00B76AF4">
            <w:pPr>
              <w:pStyle w:val="Tabletextprimarysource"/>
            </w:pPr>
          </w:p>
        </w:tc>
      </w:tr>
      <w:tr w:rsidR="00DA352E" w:rsidRPr="00DA352E" w14:paraId="28858227" w14:textId="77777777" w:rsidTr="00F2277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FF9AD97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A052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AA0522">
                  <w:t>NA</w:t>
                </w:r>
              </w:sdtContent>
            </w:sdt>
          </w:p>
        </w:tc>
      </w:tr>
      <w:tr w:rsidR="00DA352E" w:rsidRPr="00DA352E" w14:paraId="13A701B7" w14:textId="77777777" w:rsidTr="00F2277F">
        <w:trPr>
          <w:gridAfter w:val="1"/>
          <w:wAfter w:w="8" w:type="pct"/>
        </w:trPr>
        <w:tc>
          <w:tcPr>
            <w:tcW w:w="4992" w:type="pct"/>
          </w:tcPr>
          <w:p w14:paraId="24DED53B" w14:textId="77777777" w:rsidR="00DA352E" w:rsidRPr="00DA352E" w:rsidRDefault="00AA0522" w:rsidP="003365A5">
            <w:pPr>
              <w:pStyle w:val="Tabletextprimarysource"/>
            </w:pPr>
            <w:r>
              <w:t>No report</w:t>
            </w:r>
            <w:r w:rsidR="00734C65">
              <w:t>.</w:t>
            </w:r>
          </w:p>
        </w:tc>
      </w:tr>
      <w:tr w:rsidR="00DA352E" w:rsidRPr="00DA352E" w14:paraId="69F029FF" w14:textId="77777777" w:rsidTr="00F2277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8F995B0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E21A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AE21A2">
                  <w:t>NA</w:t>
                </w:r>
              </w:sdtContent>
            </w:sdt>
          </w:p>
        </w:tc>
      </w:tr>
      <w:tr w:rsidR="00DA352E" w:rsidRPr="00DA352E" w14:paraId="26FA774D" w14:textId="77777777" w:rsidTr="00F2277F">
        <w:trPr>
          <w:gridAfter w:val="1"/>
          <w:wAfter w:w="8" w:type="pct"/>
        </w:trPr>
        <w:tc>
          <w:tcPr>
            <w:tcW w:w="4992" w:type="pct"/>
          </w:tcPr>
          <w:p w14:paraId="3D880A28" w14:textId="77777777" w:rsidR="00DA352E" w:rsidRPr="00DA352E" w:rsidRDefault="00AE21A2" w:rsidP="003365A5">
            <w:pPr>
              <w:pStyle w:val="Tabletextprimarysource"/>
            </w:pPr>
            <w:r>
              <w:t>No report</w:t>
            </w:r>
            <w:r w:rsidR="00734C65">
              <w:t>.</w:t>
            </w:r>
          </w:p>
        </w:tc>
      </w:tr>
    </w:tbl>
    <w:p w14:paraId="71BF857C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88"/>
        <w:gridCol w:w="422"/>
        <w:gridCol w:w="661"/>
        <w:gridCol w:w="6455"/>
      </w:tblGrid>
      <w:tr w:rsidR="004966BF" w:rsidRPr="00263255" w14:paraId="0EBE6532" w14:textId="77777777" w:rsidTr="001F781F">
        <w:trPr>
          <w:cantSplit/>
          <w:trHeight w:val="393"/>
          <w:tblHeader/>
        </w:trPr>
        <w:tc>
          <w:tcPr>
            <w:tcW w:w="1488" w:type="dxa"/>
            <w:shd w:val="clear" w:color="auto" w:fill="BFBFBF" w:themeFill="background1" w:themeFillShade="BF"/>
            <w:vAlign w:val="center"/>
          </w:tcPr>
          <w:p w14:paraId="5B70CEF2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11BFFF25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DABF12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5" w:type="dxa"/>
            <w:shd w:val="clear" w:color="auto" w:fill="BFBFBF" w:themeFill="background1" w:themeFillShade="BF"/>
            <w:vAlign w:val="center"/>
          </w:tcPr>
          <w:p w14:paraId="184E4BCB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8D32A2" w14:paraId="5C7570D6" w14:textId="77777777" w:rsidTr="001F781F">
        <w:trPr>
          <w:cantSplit/>
        </w:trPr>
        <w:tc>
          <w:tcPr>
            <w:tcW w:w="1488" w:type="dxa"/>
          </w:tcPr>
          <w:p w14:paraId="393CD65A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2" w:type="dxa"/>
          </w:tcPr>
          <w:p w14:paraId="6DF81475" w14:textId="77777777" w:rsidR="004966BF" w:rsidRPr="00CE617F" w:rsidRDefault="008E672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C358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135BD92" w14:textId="77777777" w:rsidR="004966BF" w:rsidRPr="004C23F4" w:rsidRDefault="00EC3580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55" w:type="dxa"/>
          </w:tcPr>
          <w:p w14:paraId="65B6679F" w14:textId="06EC983B" w:rsidR="001D5CC5" w:rsidRDefault="00977EC5" w:rsidP="005A5B23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 xml:space="preserve">Derived no-effect-level based on </w:t>
            </w:r>
            <w:r w:rsidR="00EC3580">
              <w:rPr>
                <w:rFonts w:cs="Arial"/>
              </w:rPr>
              <w:t>sub</w:t>
            </w:r>
            <w:r w:rsidR="009D41AA">
              <w:rPr>
                <w:rFonts w:cs="Arial"/>
              </w:rPr>
              <w:t>-</w:t>
            </w:r>
            <w:r w:rsidR="00EC3580">
              <w:rPr>
                <w:rFonts w:cs="Arial"/>
              </w:rPr>
              <w:t>chronic inhalation study with treatment range 10–500 mg/m</w:t>
            </w:r>
            <w:r w:rsidR="00EC3580">
              <w:rPr>
                <w:rFonts w:cs="Arial"/>
                <w:vertAlign w:val="superscript"/>
              </w:rPr>
              <w:t>3</w:t>
            </w:r>
            <w:r w:rsidR="00EC3580">
              <w:rPr>
                <w:rFonts w:cs="Arial"/>
              </w:rPr>
              <w:t xml:space="preserve"> (also cited by ACGIH,</w:t>
            </w:r>
            <w:r w:rsidR="001B59B5">
              <w:rPr>
                <w:rFonts w:cs="Arial"/>
              </w:rPr>
              <w:t> </w:t>
            </w:r>
            <w:r w:rsidR="00EC3580">
              <w:rPr>
                <w:rFonts w:cs="Arial"/>
              </w:rPr>
              <w:t>2018)</w:t>
            </w:r>
            <w:r w:rsidR="001B59B5">
              <w:rPr>
                <w:rFonts w:cs="Arial"/>
              </w:rPr>
              <w:t>:</w:t>
            </w:r>
          </w:p>
          <w:p w14:paraId="21B239F2" w14:textId="77777777" w:rsidR="00EC3580" w:rsidRDefault="00EC3580" w:rsidP="005A5B23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Fonts w:cs="Arial"/>
              </w:rPr>
            </w:pPr>
            <w:r>
              <w:rPr>
                <w:rFonts w:cs="Arial"/>
              </w:rPr>
              <w:t>NOAEL of 100 mg/m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 xml:space="preserve"> for increased liver weight used as starting point in DNEL calculation, overall assessment factor of “6” and “3” applied to arrive at systemic DNEL of 8.38 </w:t>
            </w:r>
            <w:r w:rsidR="001B59B5">
              <w:rPr>
                <w:rFonts w:cs="Arial"/>
              </w:rPr>
              <w:t>mg/m</w:t>
            </w:r>
            <w:r w:rsidR="001B59B5" w:rsidRPr="005A5B23">
              <w:rPr>
                <w:rFonts w:cs="Arial"/>
                <w:vertAlign w:val="superscript"/>
              </w:rPr>
              <w:t>3</w:t>
            </w:r>
            <w:r w:rsidR="001B59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and local irritation DNEL of 83.8 mg/m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>, respectively</w:t>
            </w:r>
          </w:p>
          <w:p w14:paraId="4D65C411" w14:textId="77777777" w:rsidR="004966BF" w:rsidRDefault="00EC3580" w:rsidP="005A5B23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Fonts w:cs="Arial"/>
              </w:rPr>
            </w:pPr>
            <w:r>
              <w:rPr>
                <w:rFonts w:cs="Arial"/>
              </w:rPr>
              <w:t>DNEL calculation not presented</w:t>
            </w:r>
          </w:p>
          <w:p w14:paraId="541FA122" w14:textId="77777777" w:rsidR="00530562" w:rsidRPr="000A7696" w:rsidRDefault="00530562" w:rsidP="005A5B23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  <w:lang w:val="it-IT"/>
              </w:rPr>
            </w:pPr>
            <w:r w:rsidRPr="000A7696">
              <w:rPr>
                <w:lang w:val="it-IT"/>
              </w:rPr>
              <w:t xml:space="preserve">Non-mutagenic </w:t>
            </w:r>
            <w:r w:rsidRPr="000A7696">
              <w:rPr>
                <w:i/>
                <w:lang w:val="it-IT"/>
              </w:rPr>
              <w:t>in vitro</w:t>
            </w:r>
            <w:r w:rsidRPr="000A7696">
              <w:rPr>
                <w:lang w:val="it-IT"/>
              </w:rPr>
              <w:t xml:space="preserve"> or </w:t>
            </w:r>
            <w:r w:rsidRPr="000A7696">
              <w:rPr>
                <w:i/>
                <w:lang w:val="it-IT"/>
              </w:rPr>
              <w:t>in vivo</w:t>
            </w:r>
            <w:r w:rsidRPr="000A7696">
              <w:rPr>
                <w:lang w:val="it-IT"/>
              </w:rPr>
              <w:t>.</w:t>
            </w:r>
          </w:p>
        </w:tc>
      </w:tr>
    </w:tbl>
    <w:bookmarkEnd w:id="0"/>
    <w:p w14:paraId="2076B9A1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04634ED3" w14:textId="77777777" w:rsidTr="001D5CC5">
        <w:trPr>
          <w:trHeight w:val="454"/>
          <w:tblHeader/>
        </w:trPr>
        <w:tc>
          <w:tcPr>
            <w:tcW w:w="6603" w:type="dxa"/>
            <w:vAlign w:val="center"/>
          </w:tcPr>
          <w:p w14:paraId="05BC20F2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1D489405" w14:textId="77777777" w:rsidR="002E0D61" w:rsidRDefault="001D5CC5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11BB47D0" w14:textId="77777777" w:rsidTr="001D5CC5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70D3A14F" w14:textId="77777777" w:rsidR="008A36CF" w:rsidRPr="006901A2" w:rsidRDefault="001D5CC5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1E0376F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58BEA9AA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2EFC937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57FCAF5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299D792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B063EB9" w14:textId="77777777" w:rsidTr="00812887">
        <w:trPr>
          <w:cantSplit/>
        </w:trPr>
        <w:tc>
          <w:tcPr>
            <w:tcW w:w="3227" w:type="dxa"/>
          </w:tcPr>
          <w:p w14:paraId="5407204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06DB003" w14:textId="77777777" w:rsidR="00687890" w:rsidRPr="00DD2F9B" w:rsidRDefault="002B5760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4C3DA0DB" w14:textId="77777777" w:rsidTr="00812887">
        <w:trPr>
          <w:cantSplit/>
        </w:trPr>
        <w:tc>
          <w:tcPr>
            <w:tcW w:w="3227" w:type="dxa"/>
          </w:tcPr>
          <w:p w14:paraId="39A14508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AE20743" w14:textId="77777777" w:rsidR="007925F0" w:rsidRPr="00DD2F9B" w:rsidRDefault="00851F3A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0456E1DE" w14:textId="77777777" w:rsidTr="00812887">
        <w:trPr>
          <w:cantSplit/>
        </w:trPr>
        <w:tc>
          <w:tcPr>
            <w:tcW w:w="3227" w:type="dxa"/>
          </w:tcPr>
          <w:p w14:paraId="7350D3C9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ED9CB3D" w14:textId="77777777" w:rsidR="00AF483F" w:rsidRPr="00DD2F9B" w:rsidRDefault="00D96A6B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3B777A41" w14:textId="77777777" w:rsidTr="00812887">
        <w:trPr>
          <w:cantSplit/>
        </w:trPr>
        <w:tc>
          <w:tcPr>
            <w:tcW w:w="3227" w:type="dxa"/>
          </w:tcPr>
          <w:p w14:paraId="1423BB1F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9CE53F4" w14:textId="77777777" w:rsidR="00687890" w:rsidRPr="00DD2F9B" w:rsidRDefault="00D96A6B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7230C39" w14:textId="77777777" w:rsidTr="00812887">
        <w:trPr>
          <w:cantSplit/>
        </w:trPr>
        <w:tc>
          <w:tcPr>
            <w:tcW w:w="3227" w:type="dxa"/>
          </w:tcPr>
          <w:p w14:paraId="7199D572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59E5B58" w14:textId="77777777" w:rsidR="00E41A26" w:rsidRPr="00DD2F9B" w:rsidRDefault="00B76AF4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31C6CD94" w14:textId="77777777" w:rsidTr="00812887">
        <w:trPr>
          <w:cantSplit/>
        </w:trPr>
        <w:tc>
          <w:tcPr>
            <w:tcW w:w="3227" w:type="dxa"/>
          </w:tcPr>
          <w:p w14:paraId="3698A499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8EF5CC6" w14:textId="77777777" w:rsidR="002E0D61" w:rsidRPr="00DD2F9B" w:rsidRDefault="00B76AF4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04558A84" w14:textId="77777777" w:rsidTr="00812887">
        <w:trPr>
          <w:cantSplit/>
        </w:trPr>
        <w:tc>
          <w:tcPr>
            <w:tcW w:w="3227" w:type="dxa"/>
          </w:tcPr>
          <w:p w14:paraId="32C982B4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7A8085B" w14:textId="77777777" w:rsidR="002E0D61" w:rsidRPr="00DD2F9B" w:rsidRDefault="00AA052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A2993C5" w14:textId="77777777" w:rsidTr="00812887">
        <w:trPr>
          <w:cantSplit/>
        </w:trPr>
        <w:tc>
          <w:tcPr>
            <w:tcW w:w="3227" w:type="dxa"/>
          </w:tcPr>
          <w:p w14:paraId="60AF9C61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C0F1871" w14:textId="77777777" w:rsidR="002E0D61" w:rsidRPr="00DD2F9B" w:rsidRDefault="00B76AF4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0BF92E4" w14:textId="77777777" w:rsidTr="00812887">
        <w:trPr>
          <w:cantSplit/>
        </w:trPr>
        <w:tc>
          <w:tcPr>
            <w:tcW w:w="3227" w:type="dxa"/>
          </w:tcPr>
          <w:p w14:paraId="2816DBE9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FFF507D" w14:textId="77777777" w:rsidR="002E0D61" w:rsidRPr="00DD2F9B" w:rsidRDefault="00D96A6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EBCB42C" w14:textId="77777777" w:rsidTr="00812887">
        <w:trPr>
          <w:cantSplit/>
        </w:trPr>
        <w:tc>
          <w:tcPr>
            <w:tcW w:w="3227" w:type="dxa"/>
          </w:tcPr>
          <w:p w14:paraId="6073199B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AAA34E9" w14:textId="77777777" w:rsidR="00386093" w:rsidRPr="00DD2F9B" w:rsidRDefault="00D96A6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43245A7" w14:textId="77777777" w:rsidTr="00812887">
        <w:trPr>
          <w:cantSplit/>
        </w:trPr>
        <w:tc>
          <w:tcPr>
            <w:tcW w:w="3227" w:type="dxa"/>
          </w:tcPr>
          <w:p w14:paraId="1858DA8C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3C4E92E" w14:textId="77777777" w:rsidR="00386093" w:rsidRPr="00DD2F9B" w:rsidRDefault="00D96A6B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27A6FD7F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C57C535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EF5A395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E355473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31C0FB4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078" w:type="dxa"/>
              <w:tblLook w:val="04A0" w:firstRow="1" w:lastRow="0" w:firstColumn="1" w:lastColumn="0" w:noHBand="0" w:noVBand="1"/>
            </w:tblPr>
            <w:tblGrid>
              <w:gridCol w:w="3993"/>
              <w:gridCol w:w="780"/>
              <w:gridCol w:w="660"/>
              <w:gridCol w:w="3377"/>
            </w:tblGrid>
            <w:tr w:rsidR="001D5CC5" w:rsidRPr="001D5CC5" w14:paraId="049CCA9F" w14:textId="77777777" w:rsidTr="001F781F">
              <w:trPr>
                <w:trHeight w:val="312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9162DE" w14:textId="77777777" w:rsidR="001D5CC5" w:rsidRPr="001D5CC5" w:rsidRDefault="001D5CC5" w:rsidP="001D5CC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8AD364" w14:textId="77777777" w:rsidR="001D5CC5" w:rsidRPr="001D5CC5" w:rsidRDefault="001D5CC5" w:rsidP="001D5CC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DC56CE" w14:textId="77777777" w:rsidR="001D5CC5" w:rsidRPr="001D5CC5" w:rsidRDefault="001D5CC5" w:rsidP="001D5CC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FAEE83" w14:textId="77777777" w:rsidR="001D5CC5" w:rsidRPr="001D5CC5" w:rsidRDefault="001D5CC5" w:rsidP="001D5CC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D5CC5" w:rsidRPr="001D5CC5" w14:paraId="6BD29E0C" w14:textId="77777777" w:rsidTr="001F781F">
              <w:trPr>
                <w:trHeight w:val="312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15DDA0" w14:textId="77777777" w:rsidR="001D5CC5" w:rsidRPr="001D5CC5" w:rsidRDefault="001D5CC5" w:rsidP="001D5CC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E40EE0" w14:textId="77777777" w:rsidR="001D5CC5" w:rsidRPr="001D5CC5" w:rsidRDefault="001D5CC5" w:rsidP="001D5CC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1B99B8" w14:textId="77777777" w:rsidR="001D5CC5" w:rsidRPr="001D5CC5" w:rsidRDefault="001D5CC5" w:rsidP="001D5CC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E4E283" w14:textId="77777777" w:rsidR="001D5CC5" w:rsidRPr="001D5CC5" w:rsidRDefault="001D5CC5" w:rsidP="001D5CC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D5CC5" w:rsidRPr="001D5CC5" w14:paraId="4CA3685D" w14:textId="77777777" w:rsidTr="001F781F">
              <w:trPr>
                <w:trHeight w:val="312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0616C4" w14:textId="77777777" w:rsidR="001D5CC5" w:rsidRPr="001D5CC5" w:rsidRDefault="001D5CC5" w:rsidP="001D5CC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A41FF7" w14:textId="77777777" w:rsidR="001D5CC5" w:rsidRPr="001D5CC5" w:rsidRDefault="001D5CC5" w:rsidP="001D5CC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6B1A81" w14:textId="77777777" w:rsidR="001D5CC5" w:rsidRPr="001D5CC5" w:rsidRDefault="001D5CC5" w:rsidP="001D5CC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E47D31" w14:textId="77777777" w:rsidR="001D5CC5" w:rsidRPr="001D5CC5" w:rsidRDefault="001D5CC5" w:rsidP="001D5CC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D5CC5" w:rsidRPr="001D5CC5" w14:paraId="43E01F5B" w14:textId="77777777" w:rsidTr="001F781F">
              <w:trPr>
                <w:trHeight w:val="312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E79987" w14:textId="77777777" w:rsidR="001D5CC5" w:rsidRPr="001D5CC5" w:rsidRDefault="001D5CC5" w:rsidP="001D5CC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F98D2F" w14:textId="77777777" w:rsidR="001D5CC5" w:rsidRPr="001D5CC5" w:rsidRDefault="001D5CC5" w:rsidP="001D5CC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AA264E" w14:textId="77777777" w:rsidR="001D5CC5" w:rsidRPr="001D5CC5" w:rsidRDefault="001D5CC5" w:rsidP="001D5CC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8C5D33" w14:textId="77777777" w:rsidR="001D5CC5" w:rsidRPr="001D5CC5" w:rsidRDefault="001D5CC5" w:rsidP="001D5CC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D5CC5" w:rsidRPr="001D5CC5" w14:paraId="42FB7EFD" w14:textId="77777777" w:rsidTr="001F781F">
              <w:trPr>
                <w:trHeight w:val="312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1FB7E2" w14:textId="77777777" w:rsidR="001D5CC5" w:rsidRPr="001D5CC5" w:rsidRDefault="001D5CC5" w:rsidP="001D5CC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DE1A11" w14:textId="77777777" w:rsidR="001D5CC5" w:rsidRPr="001D5CC5" w:rsidRDefault="001D5CC5" w:rsidP="001D5CC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9AC429" w14:textId="77777777" w:rsidR="001D5CC5" w:rsidRPr="001D5CC5" w:rsidRDefault="001D5CC5" w:rsidP="001D5CC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642565" w14:textId="77777777" w:rsidR="001D5CC5" w:rsidRPr="001D5CC5" w:rsidRDefault="001D5CC5" w:rsidP="001D5CC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D5CC5" w:rsidRPr="001D5CC5" w14:paraId="6413211C" w14:textId="77777777" w:rsidTr="001F781F">
              <w:trPr>
                <w:trHeight w:val="312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438DF2" w14:textId="77777777" w:rsidR="001D5CC5" w:rsidRPr="001D5CC5" w:rsidRDefault="001D5CC5" w:rsidP="001D5CC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A9552E" w14:textId="77777777" w:rsidR="001D5CC5" w:rsidRPr="001D5CC5" w:rsidRDefault="001D5CC5" w:rsidP="001D5CC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359E80" w14:textId="77777777" w:rsidR="001D5CC5" w:rsidRPr="001D5CC5" w:rsidRDefault="001D5CC5" w:rsidP="001D5CC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0E77B5" w14:textId="77777777" w:rsidR="001D5CC5" w:rsidRPr="001D5CC5" w:rsidRDefault="001D5CC5" w:rsidP="001D5CC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D5CC5" w:rsidRPr="001D5CC5" w14:paraId="6D37521F" w14:textId="77777777" w:rsidTr="001F781F">
              <w:trPr>
                <w:trHeight w:val="558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EA1E84" w14:textId="77777777" w:rsidR="001D5CC5" w:rsidRPr="001D5CC5" w:rsidRDefault="001D5CC5" w:rsidP="001D5CC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A184A5" w14:textId="77777777" w:rsidR="001D5CC5" w:rsidRPr="001D5CC5" w:rsidRDefault="001D5CC5" w:rsidP="001D5CC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6A8DD9" w14:textId="77777777" w:rsidR="001D5CC5" w:rsidRPr="001D5CC5" w:rsidRDefault="001D5CC5" w:rsidP="001D5CC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D0AADA" w14:textId="77777777" w:rsidR="001D5CC5" w:rsidRPr="001D5CC5" w:rsidRDefault="001D5CC5" w:rsidP="001D5CC5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D5CC5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7E5662DF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76934E9E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4DF58934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C3C08A0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6239419" w14:textId="77777777" w:rsidR="00EB3D1B" w:rsidRDefault="00D96A6B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F9D6F1F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0571F2D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5BCF34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CCE67D4" w14:textId="77777777" w:rsidR="001B79E5" w:rsidRDefault="00D96A6B" w:rsidP="001B79E5">
                <w:pPr>
                  <w:pStyle w:val="Tablefont"/>
                </w:pPr>
                <w:r>
                  <w:t>241</w:t>
                </w:r>
              </w:p>
            </w:tc>
          </w:sdtContent>
        </w:sdt>
      </w:tr>
      <w:tr w:rsidR="00A31D99" w:rsidRPr="004C23F4" w14:paraId="781756C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F7E6FE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3098FC64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DA2638">
                  <w:t>9.86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DA2638" w:rsidRPr="00DA2638">
                  <w:t>0.1</w:t>
                </w:r>
              </w:sdtContent>
            </w:sdt>
            <w:r w:rsidRPr="00DA2638">
              <w:t xml:space="preserve"> </w:t>
            </w:r>
            <w:r>
              <w:t>ppm</w:t>
            </w:r>
          </w:p>
        </w:tc>
      </w:tr>
      <w:tr w:rsidR="00687890" w:rsidRPr="004C23F4" w14:paraId="6B7ADF5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268F0F4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EF08067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FB4D95B" w14:textId="77777777" w:rsidTr="00EA6243">
        <w:trPr>
          <w:cantSplit/>
        </w:trPr>
        <w:tc>
          <w:tcPr>
            <w:tcW w:w="4077" w:type="dxa"/>
            <w:vAlign w:val="center"/>
          </w:tcPr>
          <w:p w14:paraId="63D7B4A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53A114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1F9FA50" w14:textId="77777777" w:rsidTr="00EA6243">
        <w:trPr>
          <w:cantSplit/>
        </w:trPr>
        <w:tc>
          <w:tcPr>
            <w:tcW w:w="4077" w:type="dxa"/>
            <w:vAlign w:val="center"/>
          </w:tcPr>
          <w:p w14:paraId="580363BB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515D786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E9AD11E" w14:textId="77777777" w:rsidTr="00EA6243">
        <w:trPr>
          <w:cantSplit/>
        </w:trPr>
        <w:tc>
          <w:tcPr>
            <w:tcW w:w="4077" w:type="dxa"/>
            <w:vAlign w:val="center"/>
          </w:tcPr>
          <w:p w14:paraId="6E047F3D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D923F7F" w14:textId="77777777" w:rsidR="00E06F40" w:rsidRPr="00A006A0" w:rsidRDefault="008E6722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455278C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FF7FE94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1DAC97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16F25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656E974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7EE3F4B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9FEFDAE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7F4700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1FA57D6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C089651" w14:textId="77777777" w:rsidR="00D96A6B" w:rsidRDefault="00D96A6B" w:rsidP="00D96A6B">
      <w:r w:rsidRPr="002022B6">
        <w:t>EU Scientific Committee on Occupational Exposure Limits (SCOEL)</w:t>
      </w:r>
      <w:r>
        <w:t xml:space="preserve"> (1994) Recommendation from the Scientific Committee on Occupational Exposure Limits for hydrogenated terphenyl. SEG/SUM/72.</w:t>
      </w:r>
    </w:p>
    <w:p w14:paraId="507B78A4" w14:textId="77777777" w:rsidR="00DA2638" w:rsidRPr="00DA2638" w:rsidRDefault="00DA2638" w:rsidP="00D96A6B">
      <w:r>
        <w:t xml:space="preserve">European Chemicals Agency (ECHA) (2019) </w:t>
      </w:r>
      <w:r w:rsidRPr="00DA2638">
        <w:t>Terphenyl, hydrogenated</w:t>
      </w:r>
      <w:r>
        <w:t xml:space="preserve"> – REACH assessment.</w:t>
      </w:r>
    </w:p>
    <w:p w14:paraId="2BD015E7" w14:textId="77777777" w:rsidR="00D96A6B" w:rsidRPr="00351FE0" w:rsidRDefault="00D96A6B" w:rsidP="00084859"/>
    <w:sectPr w:rsidR="00D96A6B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A11EC0" w16cid:durableId="2198CE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3D8FB" w14:textId="77777777" w:rsidR="001D48AE" w:rsidRDefault="001D48AE" w:rsidP="00F43AD5">
      <w:pPr>
        <w:spacing w:after="0" w:line="240" w:lineRule="auto"/>
      </w:pPr>
      <w:r>
        <w:separator/>
      </w:r>
    </w:p>
  </w:endnote>
  <w:endnote w:type="continuationSeparator" w:id="0">
    <w:p w14:paraId="5B0DC0A6" w14:textId="77777777" w:rsidR="001D48AE" w:rsidRDefault="001D48A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A3698" w14:textId="77777777" w:rsidR="00197C88" w:rsidRDefault="00197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7B12881" w14:textId="77777777" w:rsidR="008A36CF" w:rsidRDefault="00815E58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Hydrogenated terphenyls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61788-32-7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26BC3AB" w14:textId="43316E7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8E6722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D681" w14:textId="77777777" w:rsidR="00197C88" w:rsidRDefault="00197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1C378" w14:textId="77777777" w:rsidR="001D48AE" w:rsidRDefault="001D48AE" w:rsidP="00F43AD5">
      <w:pPr>
        <w:spacing w:after="0" w:line="240" w:lineRule="auto"/>
      </w:pPr>
      <w:r>
        <w:separator/>
      </w:r>
    </w:p>
  </w:footnote>
  <w:footnote w:type="continuationSeparator" w:id="0">
    <w:p w14:paraId="028FFE6E" w14:textId="77777777" w:rsidR="001D48AE" w:rsidRDefault="001D48A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E861" w14:textId="77777777" w:rsidR="00197C88" w:rsidRDefault="00197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FC56E" w14:textId="179F017B" w:rsidR="008E6722" w:rsidRDefault="008E6722" w:rsidP="008E6722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497216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252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8C6D32A" wp14:editId="259D1E45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A53A97" w14:textId="6D53F886" w:rsidR="008A36CF" w:rsidRPr="008E6722" w:rsidRDefault="008A36CF" w:rsidP="008E6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3C26A" w14:textId="77777777" w:rsidR="00197C88" w:rsidRDefault="00197C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DD901" w14:textId="54A8CEC7" w:rsidR="008E6722" w:rsidRDefault="008E6722" w:rsidP="008E6722">
    <w:pPr>
      <w:pStyle w:val="Header"/>
      <w:jc w:val="right"/>
    </w:pPr>
    <w:sdt>
      <w:sdtPr>
        <w:id w:val="1623183169"/>
        <w:docPartObj>
          <w:docPartGallery w:val="Watermarks"/>
          <w:docPartUnique/>
        </w:docPartObj>
      </w:sdtPr>
      <w:sdtContent>
        <w:r>
          <w:pict w14:anchorId="43AA35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2530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73C82A96" wp14:editId="2D168994">
          <wp:extent cx="294132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2B734A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0529"/>
    <w:multiLevelType w:val="hybridMultilevel"/>
    <w:tmpl w:val="4EE06830"/>
    <w:lvl w:ilvl="0" w:tplc="0476859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4BBA"/>
    <w:multiLevelType w:val="hybridMultilevel"/>
    <w:tmpl w:val="D03E5B3C"/>
    <w:lvl w:ilvl="0" w:tplc="7E54E45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characterSpacingControl w:val="doNotCompress"/>
  <w:hdrShapeDefaults>
    <o:shapedefaults v:ext="edit" spidmax="22531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7696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3911"/>
    <w:rsid w:val="00160F47"/>
    <w:rsid w:val="00177CA1"/>
    <w:rsid w:val="00183823"/>
    <w:rsid w:val="00183942"/>
    <w:rsid w:val="00197C88"/>
    <w:rsid w:val="001A009E"/>
    <w:rsid w:val="001A1287"/>
    <w:rsid w:val="001A3859"/>
    <w:rsid w:val="001A3C9D"/>
    <w:rsid w:val="001A43F8"/>
    <w:rsid w:val="001B59B5"/>
    <w:rsid w:val="001B79E5"/>
    <w:rsid w:val="001D48AE"/>
    <w:rsid w:val="001D56F0"/>
    <w:rsid w:val="001D5CC5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1F781F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08F6"/>
    <w:rsid w:val="00263255"/>
    <w:rsid w:val="00276494"/>
    <w:rsid w:val="00277B0C"/>
    <w:rsid w:val="002B1A2C"/>
    <w:rsid w:val="002B5760"/>
    <w:rsid w:val="002C056E"/>
    <w:rsid w:val="002C34F2"/>
    <w:rsid w:val="002C58FF"/>
    <w:rsid w:val="002C7AFE"/>
    <w:rsid w:val="002D05D2"/>
    <w:rsid w:val="002E0D61"/>
    <w:rsid w:val="002E3BB5"/>
    <w:rsid w:val="002E4C7B"/>
    <w:rsid w:val="00303753"/>
    <w:rsid w:val="0030740C"/>
    <w:rsid w:val="00315833"/>
    <w:rsid w:val="003215EE"/>
    <w:rsid w:val="003224BF"/>
    <w:rsid w:val="003241A8"/>
    <w:rsid w:val="003253F0"/>
    <w:rsid w:val="00327863"/>
    <w:rsid w:val="003337DA"/>
    <w:rsid w:val="00334EFB"/>
    <w:rsid w:val="00335CDE"/>
    <w:rsid w:val="003365A5"/>
    <w:rsid w:val="003436B4"/>
    <w:rsid w:val="00347192"/>
    <w:rsid w:val="0034744C"/>
    <w:rsid w:val="00351FE0"/>
    <w:rsid w:val="00352615"/>
    <w:rsid w:val="0035412B"/>
    <w:rsid w:val="003567A8"/>
    <w:rsid w:val="00362895"/>
    <w:rsid w:val="00365B78"/>
    <w:rsid w:val="003706F3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250E6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0488"/>
    <w:rsid w:val="00485BFD"/>
    <w:rsid w:val="004867A2"/>
    <w:rsid w:val="004873F2"/>
    <w:rsid w:val="00490D4C"/>
    <w:rsid w:val="00493A35"/>
    <w:rsid w:val="0049527A"/>
    <w:rsid w:val="004966BF"/>
    <w:rsid w:val="00497984"/>
    <w:rsid w:val="004A03B5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1639"/>
    <w:rsid w:val="00523178"/>
    <w:rsid w:val="005272E2"/>
    <w:rsid w:val="00530562"/>
    <w:rsid w:val="0053108F"/>
    <w:rsid w:val="00532B56"/>
    <w:rsid w:val="00534B10"/>
    <w:rsid w:val="005446A2"/>
    <w:rsid w:val="00544D2F"/>
    <w:rsid w:val="00551BD8"/>
    <w:rsid w:val="00554C29"/>
    <w:rsid w:val="00556B43"/>
    <w:rsid w:val="00581055"/>
    <w:rsid w:val="00591E38"/>
    <w:rsid w:val="005A19C5"/>
    <w:rsid w:val="005A3034"/>
    <w:rsid w:val="005A462D"/>
    <w:rsid w:val="005A5B23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52A"/>
    <w:rsid w:val="00610F2E"/>
    <w:rsid w:val="00611399"/>
    <w:rsid w:val="00615B6D"/>
    <w:rsid w:val="00624C4E"/>
    <w:rsid w:val="00625200"/>
    <w:rsid w:val="0063001D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2C3A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4C65"/>
    <w:rsid w:val="007365D1"/>
    <w:rsid w:val="00740E0E"/>
    <w:rsid w:val="00741725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D71BF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56EA"/>
    <w:rsid w:val="00815E58"/>
    <w:rsid w:val="00826F21"/>
    <w:rsid w:val="00834CC8"/>
    <w:rsid w:val="00835E00"/>
    <w:rsid w:val="00837113"/>
    <w:rsid w:val="008378B9"/>
    <w:rsid w:val="008414E4"/>
    <w:rsid w:val="00843E21"/>
    <w:rsid w:val="0084508E"/>
    <w:rsid w:val="00851F3A"/>
    <w:rsid w:val="00857A8A"/>
    <w:rsid w:val="008630EE"/>
    <w:rsid w:val="00864681"/>
    <w:rsid w:val="00864D13"/>
    <w:rsid w:val="00871CD5"/>
    <w:rsid w:val="008731B0"/>
    <w:rsid w:val="008745A2"/>
    <w:rsid w:val="00874765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32A2"/>
    <w:rsid w:val="008D4B8B"/>
    <w:rsid w:val="008D5A78"/>
    <w:rsid w:val="008E6722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2B7A"/>
    <w:rsid w:val="00946044"/>
    <w:rsid w:val="0094660B"/>
    <w:rsid w:val="00946A33"/>
    <w:rsid w:val="0095260E"/>
    <w:rsid w:val="009578DD"/>
    <w:rsid w:val="00961124"/>
    <w:rsid w:val="009621B6"/>
    <w:rsid w:val="009709F3"/>
    <w:rsid w:val="00972C79"/>
    <w:rsid w:val="00974F2D"/>
    <w:rsid w:val="00977524"/>
    <w:rsid w:val="00977E88"/>
    <w:rsid w:val="00977EC5"/>
    <w:rsid w:val="00984920"/>
    <w:rsid w:val="0099303A"/>
    <w:rsid w:val="009971C2"/>
    <w:rsid w:val="009A1254"/>
    <w:rsid w:val="009A70A8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D41A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4375"/>
    <w:rsid w:val="00A50F3E"/>
    <w:rsid w:val="00A53681"/>
    <w:rsid w:val="00A633D4"/>
    <w:rsid w:val="00A6461A"/>
    <w:rsid w:val="00A65B06"/>
    <w:rsid w:val="00A67D7D"/>
    <w:rsid w:val="00A7466A"/>
    <w:rsid w:val="00A84504"/>
    <w:rsid w:val="00A8672F"/>
    <w:rsid w:val="00A93057"/>
    <w:rsid w:val="00A968B0"/>
    <w:rsid w:val="00AA0522"/>
    <w:rsid w:val="00AB040D"/>
    <w:rsid w:val="00AB2672"/>
    <w:rsid w:val="00AB2817"/>
    <w:rsid w:val="00AB43C4"/>
    <w:rsid w:val="00AC32E7"/>
    <w:rsid w:val="00AC3A9F"/>
    <w:rsid w:val="00AC6D2F"/>
    <w:rsid w:val="00AE21A2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1456"/>
    <w:rsid w:val="00B40C60"/>
    <w:rsid w:val="00B479A9"/>
    <w:rsid w:val="00B52EDF"/>
    <w:rsid w:val="00B56021"/>
    <w:rsid w:val="00B63F70"/>
    <w:rsid w:val="00B71188"/>
    <w:rsid w:val="00B76A41"/>
    <w:rsid w:val="00B76AF4"/>
    <w:rsid w:val="00B872B0"/>
    <w:rsid w:val="00B87D4C"/>
    <w:rsid w:val="00B93646"/>
    <w:rsid w:val="00BA0B38"/>
    <w:rsid w:val="00BA1DBB"/>
    <w:rsid w:val="00BA4510"/>
    <w:rsid w:val="00BA529A"/>
    <w:rsid w:val="00BB5B6D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3BCF"/>
    <w:rsid w:val="00C57452"/>
    <w:rsid w:val="00C61EDF"/>
    <w:rsid w:val="00C6239D"/>
    <w:rsid w:val="00C62609"/>
    <w:rsid w:val="00C635C3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267C"/>
    <w:rsid w:val="00CA58FE"/>
    <w:rsid w:val="00CB1CB1"/>
    <w:rsid w:val="00CB6BC1"/>
    <w:rsid w:val="00CB6CB8"/>
    <w:rsid w:val="00CC0D5F"/>
    <w:rsid w:val="00CC1A68"/>
    <w:rsid w:val="00CC2123"/>
    <w:rsid w:val="00CC78A9"/>
    <w:rsid w:val="00CD2BFD"/>
    <w:rsid w:val="00CD44CF"/>
    <w:rsid w:val="00CE5AD6"/>
    <w:rsid w:val="00CE617F"/>
    <w:rsid w:val="00CE78EF"/>
    <w:rsid w:val="00D02BC6"/>
    <w:rsid w:val="00D048F7"/>
    <w:rsid w:val="00D0517E"/>
    <w:rsid w:val="00D140FC"/>
    <w:rsid w:val="00D21D8C"/>
    <w:rsid w:val="00D31357"/>
    <w:rsid w:val="00D33220"/>
    <w:rsid w:val="00D334D1"/>
    <w:rsid w:val="00D44C89"/>
    <w:rsid w:val="00D46371"/>
    <w:rsid w:val="00D516CD"/>
    <w:rsid w:val="00D668E6"/>
    <w:rsid w:val="00D70670"/>
    <w:rsid w:val="00D71082"/>
    <w:rsid w:val="00D74D80"/>
    <w:rsid w:val="00D76624"/>
    <w:rsid w:val="00D87552"/>
    <w:rsid w:val="00D87570"/>
    <w:rsid w:val="00D91CB9"/>
    <w:rsid w:val="00D945BB"/>
    <w:rsid w:val="00D96A6B"/>
    <w:rsid w:val="00D97989"/>
    <w:rsid w:val="00D97D8D"/>
    <w:rsid w:val="00DA2638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3AD8"/>
    <w:rsid w:val="00E26A07"/>
    <w:rsid w:val="00E32595"/>
    <w:rsid w:val="00E37CFD"/>
    <w:rsid w:val="00E41A26"/>
    <w:rsid w:val="00E46BCB"/>
    <w:rsid w:val="00E51CAF"/>
    <w:rsid w:val="00E52EB3"/>
    <w:rsid w:val="00E60F04"/>
    <w:rsid w:val="00E62AAC"/>
    <w:rsid w:val="00E67C2F"/>
    <w:rsid w:val="00E67EF5"/>
    <w:rsid w:val="00E804EA"/>
    <w:rsid w:val="00E80A71"/>
    <w:rsid w:val="00E8169A"/>
    <w:rsid w:val="00E82337"/>
    <w:rsid w:val="00E92499"/>
    <w:rsid w:val="00E949AF"/>
    <w:rsid w:val="00E96077"/>
    <w:rsid w:val="00EA0A06"/>
    <w:rsid w:val="00EA6243"/>
    <w:rsid w:val="00EA74AB"/>
    <w:rsid w:val="00EB3D1B"/>
    <w:rsid w:val="00EC3580"/>
    <w:rsid w:val="00ED1D89"/>
    <w:rsid w:val="00ED66BC"/>
    <w:rsid w:val="00EF233A"/>
    <w:rsid w:val="00EF303E"/>
    <w:rsid w:val="00EF3A40"/>
    <w:rsid w:val="00EF5FB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277F"/>
    <w:rsid w:val="00F236DF"/>
    <w:rsid w:val="00F245B8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2AC8"/>
    <w:rsid w:val="00FD2FEA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."/>
  <w:listSeparator w:val=","/>
  <w14:docId w14:val="2D4BD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D96A6B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5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9B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9B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B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AB814A04890C4C95B0863814481E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58683-4411-4627-BF14-D075365B2C77}"/>
      </w:docPartPr>
      <w:docPartBody>
        <w:p w:rsidR="006E02BC" w:rsidRDefault="008E70A6" w:rsidP="008E70A6">
          <w:pPr>
            <w:pStyle w:val="AB814A04890C4C95B0863814481E526D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13BA8B58183470DA88F9199D3419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21F3-C5BD-4CE7-A223-FD66A5D5842B}"/>
      </w:docPartPr>
      <w:docPartBody>
        <w:p w:rsidR="000E77DD" w:rsidRDefault="006E02BC" w:rsidP="006E02BC">
          <w:pPr>
            <w:pStyle w:val="813BA8B58183470DA88F9199D341939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3294573CC354657A002304EF448D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89ABE-09EB-4B5C-A8D7-CA8C10FDACD2}"/>
      </w:docPartPr>
      <w:docPartBody>
        <w:p w:rsidR="000E77DD" w:rsidRDefault="006E02BC" w:rsidP="006E02BC">
          <w:pPr>
            <w:pStyle w:val="23294573CC354657A002304EF448DB91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E0341F6A55B4BF2A8CB537A4EAF5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D495F-EF59-48B7-A0AA-02792298930D}"/>
      </w:docPartPr>
      <w:docPartBody>
        <w:p w:rsidR="00D86BB1" w:rsidRDefault="000E77DD" w:rsidP="000E77DD">
          <w:pPr>
            <w:pStyle w:val="6E0341F6A55B4BF2A8CB537A4EAF53B4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E77DD"/>
    <w:rsid w:val="00523E73"/>
    <w:rsid w:val="006E02BC"/>
    <w:rsid w:val="00795EC8"/>
    <w:rsid w:val="008E70A6"/>
    <w:rsid w:val="00D06DA2"/>
    <w:rsid w:val="00D21A9F"/>
    <w:rsid w:val="00D8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7DD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AB814A04890C4C95B0863814481E526D">
    <w:name w:val="AB814A04890C4C95B0863814481E526D"/>
    <w:rsid w:val="008E70A6"/>
    <w:rPr>
      <w:lang w:val="en-US" w:eastAsia="en-US"/>
    </w:rPr>
  </w:style>
  <w:style w:type="paragraph" w:customStyle="1" w:styleId="64D684731A644E3B8A3F0FC61A5B5143">
    <w:name w:val="64D684731A644E3B8A3F0FC61A5B5143"/>
    <w:rsid w:val="008E70A6"/>
    <w:rPr>
      <w:lang w:val="en-US" w:eastAsia="en-US"/>
    </w:rPr>
  </w:style>
  <w:style w:type="paragraph" w:customStyle="1" w:styleId="DE78399DD0D94932A97EE08BF217C08C">
    <w:name w:val="DE78399DD0D94932A97EE08BF217C08C"/>
    <w:rsid w:val="008E70A6"/>
    <w:rPr>
      <w:lang w:val="en-US" w:eastAsia="en-US"/>
    </w:rPr>
  </w:style>
  <w:style w:type="paragraph" w:customStyle="1" w:styleId="F4BC04301FE647B7B745C4F37249B97F">
    <w:name w:val="F4BC04301FE647B7B745C4F37249B97F"/>
    <w:rsid w:val="008E70A6"/>
    <w:rPr>
      <w:lang w:val="en-US" w:eastAsia="en-US"/>
    </w:rPr>
  </w:style>
  <w:style w:type="paragraph" w:customStyle="1" w:styleId="7070ED0BDD7743BAB44BDF72DDE2BE87">
    <w:name w:val="7070ED0BDD7743BAB44BDF72DDE2BE87"/>
    <w:rsid w:val="008E70A6"/>
    <w:rPr>
      <w:lang w:val="en-US" w:eastAsia="en-US"/>
    </w:rPr>
  </w:style>
  <w:style w:type="paragraph" w:customStyle="1" w:styleId="A6C341B16CF942E08C7DDC3B5B3215F1">
    <w:name w:val="A6C341B16CF942E08C7DDC3B5B3215F1"/>
    <w:rsid w:val="008E70A6"/>
    <w:rPr>
      <w:lang w:val="en-US" w:eastAsia="en-US"/>
    </w:rPr>
  </w:style>
  <w:style w:type="paragraph" w:customStyle="1" w:styleId="3FE4B41E10D24927AF3E5D649F95E61B">
    <w:name w:val="3FE4B41E10D24927AF3E5D649F95E61B"/>
    <w:rsid w:val="008E70A6"/>
    <w:rPr>
      <w:lang w:val="en-US" w:eastAsia="en-US"/>
    </w:rPr>
  </w:style>
  <w:style w:type="paragraph" w:customStyle="1" w:styleId="813BA8B58183470DA88F9199D3419390">
    <w:name w:val="813BA8B58183470DA88F9199D3419390"/>
    <w:rsid w:val="006E02BC"/>
  </w:style>
  <w:style w:type="paragraph" w:customStyle="1" w:styleId="23294573CC354657A002304EF448DB91">
    <w:name w:val="23294573CC354657A002304EF448DB91"/>
    <w:rsid w:val="006E02BC"/>
  </w:style>
  <w:style w:type="paragraph" w:customStyle="1" w:styleId="B039B4DC29F64017862E89CC75CC4724">
    <w:name w:val="B039B4DC29F64017862E89CC75CC4724"/>
    <w:rsid w:val="006E02BC"/>
  </w:style>
  <w:style w:type="paragraph" w:customStyle="1" w:styleId="6E0341F6A55B4BF2A8CB537A4EAF53B4">
    <w:name w:val="6E0341F6A55B4BF2A8CB537A4EAF53B4"/>
    <w:rsid w:val="000E77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440B83D59604CAF872C6C0778D4EE" ma:contentTypeVersion="2" ma:contentTypeDescription="Create a new document." ma:contentTypeScope="" ma:versionID="a70f3771f07fe8c51d90fdaa327a0533">
  <xsd:schema xmlns:xsd="http://www.w3.org/2001/XMLSchema" xmlns:xs="http://www.w3.org/2001/XMLSchema" xmlns:p="http://schemas.microsoft.com/office/2006/metadata/properties" xmlns:ns2="4d89c9d3-cf9d-4152-ac9f-ad3059f15688" targetNamespace="http://schemas.microsoft.com/office/2006/metadata/properties" ma:root="true" ma:fieldsID="b264122f9caf19482d10bfd5520e8ea4" ns2:_="">
    <xsd:import namespace="4d89c9d3-cf9d-4152-ac9f-ad3059f15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9c9d3-cf9d-4152-ac9f-ad3059f1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82FC-FD7A-413F-ACE7-CA65926B3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70846-A4AE-4FE7-9DB2-F4436C67D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9c9d3-cf9d-4152-ac9f-ad3059f15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3C6F89-7D7A-45B0-BA72-5197E9B0CD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60C730-8907-4378-8076-11AE1228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426E4F70.dotm</Template>
  <TotalTime>0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2019-12-17T04:54:00Z</dcterms:created>
  <dcterms:modified xsi:type="dcterms:W3CDTF">2020-01-15T03:31:00Z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0x010100ED8440B83D59604CAF872C6C0778D4EE</vt:lpwstr>
  </property>
</Properties>
</file>