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20B80E1" w14:textId="52BD2A04" w:rsidR="00BD499F" w:rsidRPr="004C23F4" w:rsidRDefault="00CE60FA" w:rsidP="00B40C60">
          <w:pPr>
            <w:pStyle w:val="Heading1"/>
            <w:jc w:val="center"/>
            <w:rPr>
              <w:rFonts w:ascii="Arial" w:hAnsi="Arial" w:cs="Arial"/>
            </w:rPr>
          </w:pPr>
          <w:r w:rsidRPr="00CE60FA">
            <w:rPr>
              <w:rFonts w:ascii="Arial" w:hAnsi="Arial" w:cs="Arial"/>
            </w:rPr>
            <w:t>Hydroquinone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8"/>
        <w:gridCol w:w="5048"/>
      </w:tblGrid>
      <w:tr w:rsidR="00F43AD5" w:rsidRPr="004C23F4" w14:paraId="44CB07F8" w14:textId="77777777" w:rsidTr="00B76A41">
        <w:trPr>
          <w:cantSplit/>
          <w:tblHeader/>
        </w:trPr>
        <w:tc>
          <w:tcPr>
            <w:tcW w:w="4077" w:type="dxa"/>
          </w:tcPr>
          <w:p w14:paraId="4E5C11A7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D1E0C4F" w14:textId="13CF95B5" w:rsidR="00F43AD5" w:rsidRPr="00717D45" w:rsidRDefault="00C1118D" w:rsidP="00B76A41">
            <w:pPr>
              <w:pStyle w:val="Tablefont"/>
            </w:pPr>
            <w:r w:rsidRPr="00C1118D">
              <w:t>123-31-9</w:t>
            </w:r>
          </w:p>
        </w:tc>
      </w:tr>
      <w:tr w:rsidR="00F43AD5" w:rsidRPr="004C23F4" w14:paraId="547F2DED" w14:textId="77777777" w:rsidTr="00B76A41">
        <w:trPr>
          <w:cantSplit/>
        </w:trPr>
        <w:tc>
          <w:tcPr>
            <w:tcW w:w="4077" w:type="dxa"/>
          </w:tcPr>
          <w:p w14:paraId="3BFD83B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7B20BE6" w14:textId="602E9432" w:rsidR="00F43AD5" w:rsidRPr="00717D45" w:rsidRDefault="00C1118D" w:rsidP="00B76A41">
            <w:pPr>
              <w:pStyle w:val="Tablefont"/>
            </w:pPr>
            <w:r>
              <w:t>1,4- Benzenediol, p-dihydroxybenzene, p-hydroxyphenol</w:t>
            </w:r>
          </w:p>
        </w:tc>
      </w:tr>
      <w:tr w:rsidR="00F43AD5" w:rsidRPr="004C23F4" w14:paraId="0597984E" w14:textId="77777777" w:rsidTr="00B76A41">
        <w:trPr>
          <w:cantSplit/>
        </w:trPr>
        <w:tc>
          <w:tcPr>
            <w:tcW w:w="4077" w:type="dxa"/>
          </w:tcPr>
          <w:p w14:paraId="2E11BFDB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79F9F777" w14:textId="5B559A01" w:rsidR="00F43AD5" w:rsidRPr="00717D45" w:rsidRDefault="00C1118D" w:rsidP="00B76A41">
            <w:pPr>
              <w:pStyle w:val="Tablefont"/>
            </w:pPr>
            <w:r>
              <w:t>C</w:t>
            </w:r>
            <w:r w:rsidRPr="00C1118D">
              <w:rPr>
                <w:vertAlign w:val="subscript"/>
              </w:rPr>
              <w:t>6</w:t>
            </w:r>
            <w:r>
              <w:t>H</w:t>
            </w:r>
            <w:r w:rsidRPr="00C1118D">
              <w:rPr>
                <w:vertAlign w:val="subscript"/>
              </w:rPr>
              <w:t>6</w:t>
            </w:r>
            <w:r>
              <w:t>O</w:t>
            </w:r>
            <w:r w:rsidRPr="00C1118D">
              <w:rPr>
                <w:vertAlign w:val="subscript"/>
              </w:rPr>
              <w:t>2</w:t>
            </w:r>
          </w:p>
        </w:tc>
      </w:tr>
      <w:tr w:rsidR="00F43AD5" w:rsidRPr="004C23F4" w14:paraId="74C3AB0E" w14:textId="77777777" w:rsidTr="00B76A41">
        <w:trPr>
          <w:cantSplit/>
        </w:trPr>
        <w:tc>
          <w:tcPr>
            <w:tcW w:w="4077" w:type="dxa"/>
          </w:tcPr>
          <w:p w14:paraId="23BA966B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4829558C" w14:textId="61EF30C3" w:rsidR="00F43AD5" w:rsidRPr="00B40C60" w:rsidRDefault="00C1118D" w:rsidP="00B76A41">
            <w:pPr>
              <w:pStyle w:val="Tablerowheading"/>
              <w:rPr>
                <w:b w:val="0"/>
              </w:rPr>
            </w:pPr>
            <w:r w:rsidRPr="00C1118D">
              <w:rPr>
                <w:b w:val="0"/>
              </w:rPr>
              <w:t>—</w:t>
            </w:r>
          </w:p>
        </w:tc>
      </w:tr>
    </w:tbl>
    <w:p w14:paraId="11863811" w14:textId="427D66D8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631D49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5CDF3470" w14:textId="77777777" w:rsidTr="009740F7">
        <w:trPr>
          <w:cantSplit/>
          <w:tblHeader/>
        </w:trPr>
        <w:tc>
          <w:tcPr>
            <w:tcW w:w="4005" w:type="dxa"/>
            <w:vAlign w:val="center"/>
          </w:tcPr>
          <w:p w14:paraId="6521A0F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5628234D" w14:textId="727A4B70" w:rsidR="002C7AFE" w:rsidRPr="007E7762" w:rsidRDefault="00330D3B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7E7762">
              <w:rPr>
                <w:b/>
              </w:rPr>
              <w:t xml:space="preserve"> mg/m</w:t>
            </w:r>
            <w:r w:rsidR="007E7762">
              <w:rPr>
                <w:b/>
                <w:vertAlign w:val="superscript"/>
              </w:rPr>
              <w:t>3</w:t>
            </w:r>
          </w:p>
        </w:tc>
      </w:tr>
      <w:tr w:rsidR="002C7AFE" w:rsidRPr="004C23F4" w14:paraId="34DE6716" w14:textId="77777777" w:rsidTr="009740F7">
        <w:trPr>
          <w:cantSplit/>
        </w:trPr>
        <w:tc>
          <w:tcPr>
            <w:tcW w:w="4005" w:type="dxa"/>
            <w:vAlign w:val="center"/>
          </w:tcPr>
          <w:p w14:paraId="79EB8300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5B0DA0CB" w14:textId="77777777" w:rsidR="002C7AFE" w:rsidRPr="00EB3D1B" w:rsidRDefault="002C7AFE" w:rsidP="00017C82">
            <w:pPr>
              <w:pStyle w:val="Tablefont"/>
              <w:rPr>
                <w:b/>
              </w:rPr>
            </w:pPr>
          </w:p>
        </w:tc>
      </w:tr>
      <w:tr w:rsidR="002C7AFE" w:rsidRPr="004C23F4" w14:paraId="227AAB96" w14:textId="77777777" w:rsidTr="009740F7">
        <w:trPr>
          <w:cantSplit/>
        </w:trPr>
        <w:tc>
          <w:tcPr>
            <w:tcW w:w="4005" w:type="dxa"/>
            <w:vAlign w:val="center"/>
          </w:tcPr>
          <w:p w14:paraId="53257A94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5FDC5375" w14:textId="77777777" w:rsidR="002C7AFE" w:rsidRPr="00EB3D1B" w:rsidRDefault="002C7AFE" w:rsidP="00017C82">
            <w:pPr>
              <w:pStyle w:val="Tablefont"/>
              <w:rPr>
                <w:b/>
              </w:rPr>
            </w:pPr>
          </w:p>
        </w:tc>
      </w:tr>
      <w:tr w:rsidR="002C7AFE" w:rsidRPr="004C23F4" w14:paraId="74A1D6FB" w14:textId="77777777" w:rsidTr="009740F7">
        <w:trPr>
          <w:cantSplit/>
        </w:trPr>
        <w:tc>
          <w:tcPr>
            <w:tcW w:w="4005" w:type="dxa"/>
          </w:tcPr>
          <w:p w14:paraId="57156B8A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6BCB6300" w14:textId="371A2D96" w:rsidR="002C7AFE" w:rsidRPr="00EB3D1B" w:rsidRDefault="00BD41C0" w:rsidP="008A36CF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Carc. 2, </w:t>
            </w:r>
            <w:r w:rsidR="00576835">
              <w:rPr>
                <w:b/>
              </w:rPr>
              <w:t xml:space="preserve">Sk., </w:t>
            </w:r>
            <w:r>
              <w:rPr>
                <w:b/>
              </w:rPr>
              <w:t>DSEN</w:t>
            </w:r>
          </w:p>
        </w:tc>
      </w:tr>
      <w:tr w:rsidR="002C7AFE" w:rsidRPr="004C23F4" w14:paraId="3A6E4243" w14:textId="77777777" w:rsidTr="009740F7">
        <w:trPr>
          <w:cantSplit/>
        </w:trPr>
        <w:tc>
          <w:tcPr>
            <w:tcW w:w="4005" w:type="dxa"/>
            <w:vAlign w:val="center"/>
          </w:tcPr>
          <w:p w14:paraId="7FC14F3E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360A0BAA" w14:textId="0B125FCB" w:rsidR="002C7AFE" w:rsidRPr="00EB3D1B" w:rsidRDefault="00C1118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50 mg/m</w:t>
            </w:r>
            <w:r w:rsidRPr="00C1118D">
              <w:rPr>
                <w:b/>
                <w:vertAlign w:val="superscript"/>
              </w:rPr>
              <w:t>3</w:t>
            </w:r>
          </w:p>
        </w:tc>
      </w:tr>
      <w:tr w:rsidR="009740F7" w:rsidRPr="004C23F4" w14:paraId="1BFB1463" w14:textId="77777777" w:rsidTr="005F2711">
        <w:trPr>
          <w:cantSplit/>
        </w:trPr>
        <w:tc>
          <w:tcPr>
            <w:tcW w:w="9026" w:type="dxa"/>
            <w:gridSpan w:val="2"/>
            <w:vAlign w:val="center"/>
          </w:tcPr>
          <w:p w14:paraId="5E9F2FD6" w14:textId="1FCE7777" w:rsidR="009740F7" w:rsidRPr="00EB3D1B" w:rsidRDefault="009740F7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Sampling and ana</w:t>
            </w:r>
            <w:r w:rsidRPr="009740F7">
              <w:rPr>
                <w:b/>
              </w:rPr>
              <w:t>lysis:</w:t>
            </w:r>
            <w:r w:rsidRPr="009740F7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E1488E7308584364A0D3906B64C57FB4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28127D">
                  <w:rPr>
                    <w:rStyle w:val="WESstatus"/>
                    <w:color w:val="auto"/>
                  </w:rPr>
                  <w:t>There is uncertainty regarding quantification of the recommended value with available sampling and/or analysis techniques.</w:t>
                </w:r>
              </w:sdtContent>
            </w:sdt>
          </w:p>
        </w:tc>
      </w:tr>
    </w:tbl>
    <w:p w14:paraId="0A49E62C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00FCF0B" w14:textId="3C7D630E" w:rsidR="006639B4" w:rsidRPr="005D2084" w:rsidRDefault="00BD41C0" w:rsidP="000C139A">
      <w:pPr>
        <w:rPr>
          <w:rFonts w:cs="Arial"/>
        </w:rPr>
      </w:pPr>
      <w:r w:rsidRPr="005D2084">
        <w:rPr>
          <w:rFonts w:cs="Arial"/>
        </w:rPr>
        <w:t>A</w:t>
      </w:r>
      <w:r w:rsidR="008552E9" w:rsidRPr="005D2084">
        <w:rPr>
          <w:rFonts w:cs="Arial"/>
        </w:rPr>
        <w:t>n interim</w:t>
      </w:r>
      <w:r w:rsidRPr="005D2084">
        <w:rPr>
          <w:rFonts w:cs="Arial"/>
        </w:rPr>
        <w:t xml:space="preserve"> TWA of </w:t>
      </w:r>
      <w:r w:rsidR="00330D3B" w:rsidRPr="005D2084">
        <w:rPr>
          <w:rFonts w:cs="Arial"/>
        </w:rPr>
        <w:t>2</w:t>
      </w:r>
      <w:r w:rsidRPr="005D2084">
        <w:rPr>
          <w:rFonts w:cs="Arial"/>
        </w:rPr>
        <w:t xml:space="preserve"> mg/m</w:t>
      </w:r>
      <w:r w:rsidRPr="005D2084">
        <w:rPr>
          <w:rFonts w:cs="Arial"/>
          <w:vertAlign w:val="superscript"/>
        </w:rPr>
        <w:t>3</w:t>
      </w:r>
      <w:r w:rsidRPr="005D2084">
        <w:rPr>
          <w:rFonts w:cs="Arial"/>
        </w:rPr>
        <w:t xml:space="preserve"> is recommended to protect for irritation of the eye and eye damage in exposed workers.</w:t>
      </w:r>
    </w:p>
    <w:p w14:paraId="62DBAB9C" w14:textId="6C163BDF" w:rsidR="00BD41C0" w:rsidRPr="005D2084" w:rsidRDefault="00BD41C0" w:rsidP="000C139A">
      <w:pPr>
        <w:rPr>
          <w:rFonts w:cs="Arial"/>
        </w:rPr>
      </w:pPr>
      <w:r w:rsidRPr="005D2084">
        <w:rPr>
          <w:rFonts w:cs="Arial"/>
        </w:rPr>
        <w:t>A priority evaluation is recommended to better understand the human carcinogenic potential at the next scheduled review.</w:t>
      </w:r>
    </w:p>
    <w:p w14:paraId="0986C785" w14:textId="77777777" w:rsidR="00C7155E" w:rsidRPr="004C23F4" w:rsidRDefault="00F10C97" w:rsidP="003365A5">
      <w:pPr>
        <w:pStyle w:val="Heading2"/>
      </w:pPr>
      <w:r>
        <w:t>Discussion and conclusions</w:t>
      </w:r>
    </w:p>
    <w:p w14:paraId="12A0E9B9" w14:textId="5E4923E7" w:rsidR="006639B4" w:rsidRPr="005D2084" w:rsidRDefault="00631D49" w:rsidP="006639B4">
      <w:r w:rsidRPr="005D2084">
        <w:t>Hydroquinone is used in various commercial situations including as a stabiliser in paints, varnishes, motor fuels and oils; and as a chemical intermediate in dyes. The critical effects are irritation</w:t>
      </w:r>
      <w:r w:rsidR="00DC2F0E" w:rsidRPr="005D2084">
        <w:t xml:space="preserve"> and damage to the eye and skin sensitisation.</w:t>
      </w:r>
      <w:r w:rsidR="007E7762" w:rsidRPr="005D2084">
        <w:t xml:space="preserve"> There is also evidence of</w:t>
      </w:r>
      <w:r w:rsidR="00DC2F0E" w:rsidRPr="005D2084">
        <w:t xml:space="preserve"> carcinogenic effects</w:t>
      </w:r>
      <w:r w:rsidR="007E7762" w:rsidRPr="005D2084">
        <w:t xml:space="preserve"> in animals</w:t>
      </w:r>
      <w:r w:rsidR="00DC2F0E" w:rsidRPr="005D2084">
        <w:t xml:space="preserve"> but this is not conclusive</w:t>
      </w:r>
      <w:r w:rsidR="007E7762" w:rsidRPr="005D2084">
        <w:t xml:space="preserve"> for humans.</w:t>
      </w:r>
    </w:p>
    <w:p w14:paraId="7CC71CAB" w14:textId="1381B550" w:rsidR="007E7762" w:rsidRPr="005D2084" w:rsidRDefault="00A6090D" w:rsidP="007E7762">
      <w:pPr>
        <w:rPr>
          <w:rStyle w:val="checkbox"/>
          <w:rFonts w:ascii="Arial" w:hAnsi="Arial" w:cs="Arial"/>
        </w:rPr>
      </w:pPr>
      <w:r>
        <w:t xml:space="preserve">Long-term exposure to </w:t>
      </w:r>
      <w:r w:rsidR="00E4225B" w:rsidRPr="005D2084">
        <w:t>H</w:t>
      </w:r>
      <w:r w:rsidR="00FB4990" w:rsidRPr="005D2084">
        <w:t>ydroquinone dust at concentrations as low as 1 mg/m</w:t>
      </w:r>
      <w:r w:rsidR="00FB4990" w:rsidRPr="005D2084">
        <w:rPr>
          <w:vertAlign w:val="superscript"/>
        </w:rPr>
        <w:t>3</w:t>
      </w:r>
      <w:r w:rsidR="00FB4990" w:rsidRPr="005D2084">
        <w:t xml:space="preserve"> </w:t>
      </w:r>
      <w:r w:rsidR="00C822A2" w:rsidRPr="005D2084">
        <w:t xml:space="preserve">caused </w:t>
      </w:r>
      <w:r w:rsidR="00FB4990" w:rsidRPr="005D2084">
        <w:t xml:space="preserve">eye injury </w:t>
      </w:r>
      <w:r w:rsidR="00E4225B" w:rsidRPr="005D2084">
        <w:t>in workers</w:t>
      </w:r>
      <w:r w:rsidR="00FB4990" w:rsidRPr="005D2084">
        <w:t xml:space="preserve">. No serious injury was identified in </w:t>
      </w:r>
      <w:r>
        <w:t>workers</w:t>
      </w:r>
      <w:r w:rsidR="00FB4990" w:rsidRPr="005D2084">
        <w:t xml:space="preserve"> exposed for less</w:t>
      </w:r>
      <w:r w:rsidR="007E7762" w:rsidRPr="005D2084">
        <w:t xml:space="preserve"> than </w:t>
      </w:r>
      <w:r w:rsidR="00D86858" w:rsidRPr="005D2084">
        <w:t>five</w:t>
      </w:r>
      <w:r w:rsidR="007E7762" w:rsidRPr="005D2084">
        <w:t xml:space="preserve"> years.</w:t>
      </w:r>
      <w:r w:rsidR="00FB4990" w:rsidRPr="005D2084">
        <w:t xml:space="preserve"> </w:t>
      </w:r>
      <w:r w:rsidR="007E7762" w:rsidRPr="005D2084">
        <w:rPr>
          <w:rStyle w:val="checkbox"/>
          <w:rFonts w:ascii="Arial" w:hAnsi="Arial" w:cs="Arial"/>
        </w:rPr>
        <w:t>The main evidence for carcinogenicity is from a</w:t>
      </w:r>
      <w:r w:rsidR="007E7762" w:rsidRPr="005D2084">
        <w:t xml:space="preserve"> </w:t>
      </w:r>
      <w:r w:rsidR="00086D8F" w:rsidRPr="005D2084">
        <w:t>two-year</w:t>
      </w:r>
      <w:r w:rsidR="007E7762" w:rsidRPr="005D2084">
        <w:t xml:space="preserve"> oral study in rats and mice that reported excess risks of mononuclear-cell leukaemia in female rats, hepatocellular adenomas in male and female mice, and renal tubular adenomas in male rats (ACGIH, 2018). </w:t>
      </w:r>
      <w:r w:rsidR="007E7762" w:rsidRPr="005D2084">
        <w:rPr>
          <w:rStyle w:val="checkbox"/>
          <w:rFonts w:ascii="Arial" w:hAnsi="Arial" w:cs="Arial"/>
        </w:rPr>
        <w:t xml:space="preserve">A cohort of workers with definite and lengthy exposure to hydroquinone had low cancer rates compared with two comparison populations (IARC, 1999). </w:t>
      </w:r>
      <w:r w:rsidR="00744EED" w:rsidRPr="005D2084">
        <w:rPr>
          <w:rStyle w:val="checkbox"/>
          <w:rFonts w:ascii="Arial" w:hAnsi="Arial" w:cs="Arial"/>
        </w:rPr>
        <w:t>It is c</w:t>
      </w:r>
      <w:r w:rsidR="00086D8F" w:rsidRPr="005D2084">
        <w:rPr>
          <w:rStyle w:val="checkbox"/>
          <w:rFonts w:ascii="Arial" w:hAnsi="Arial" w:cs="Arial"/>
        </w:rPr>
        <w:t>onfirmed animal carcinogen with unknown relevance to humans (ACGIH, 2018).</w:t>
      </w:r>
      <w:r w:rsidR="00086D8F" w:rsidRPr="005D2084">
        <w:t xml:space="preserve">The </w:t>
      </w:r>
      <w:r w:rsidR="00086D8F" w:rsidRPr="005D2084">
        <w:rPr>
          <w:rFonts w:cs="Arial"/>
        </w:rPr>
        <w:t>weight of evidence from both </w:t>
      </w:r>
      <w:r w:rsidR="00086D8F" w:rsidRPr="005D2084">
        <w:rPr>
          <w:rFonts w:cs="Arial"/>
          <w:i/>
          <w:iCs/>
        </w:rPr>
        <w:t>in vitro</w:t>
      </w:r>
      <w:r w:rsidR="00086D8F" w:rsidRPr="005D2084">
        <w:rPr>
          <w:rFonts w:cs="Arial"/>
        </w:rPr>
        <w:t> and </w:t>
      </w:r>
      <w:r w:rsidR="00086D8F" w:rsidRPr="005D2084">
        <w:rPr>
          <w:rFonts w:cs="Arial"/>
          <w:i/>
          <w:iCs/>
        </w:rPr>
        <w:t>in vivo</w:t>
      </w:r>
      <w:r w:rsidR="00086D8F" w:rsidRPr="005D2084">
        <w:rPr>
          <w:rFonts w:cs="Arial"/>
        </w:rPr>
        <w:t> studies does not indicate that the chemical is genotoxic (NICNAS, 2014)</w:t>
      </w:r>
      <w:r w:rsidR="007E7762" w:rsidRPr="005D2084">
        <w:rPr>
          <w:rStyle w:val="checkbox"/>
          <w:rFonts w:ascii="Arial" w:hAnsi="Arial" w:cs="Arial"/>
        </w:rPr>
        <w:t>.</w:t>
      </w:r>
      <w:r w:rsidR="00500F23" w:rsidRPr="005D2084">
        <w:rPr>
          <w:rStyle w:val="checkbox"/>
          <w:rFonts w:ascii="Arial" w:hAnsi="Arial" w:cs="Arial"/>
        </w:rPr>
        <w:t xml:space="preserve"> </w:t>
      </w:r>
    </w:p>
    <w:p w14:paraId="284E58E1" w14:textId="11E5F273" w:rsidR="00086D8F" w:rsidRPr="005D2084" w:rsidRDefault="00086D8F" w:rsidP="007E7762">
      <w:pPr>
        <w:rPr>
          <w:rStyle w:val="checkbox"/>
          <w:rFonts w:ascii="Arial" w:hAnsi="Arial" w:cs="Arial"/>
        </w:rPr>
      </w:pPr>
      <w:r w:rsidRPr="005D2084">
        <w:rPr>
          <w:rStyle w:val="checkbox"/>
          <w:rFonts w:ascii="Arial" w:hAnsi="Arial" w:cs="Arial"/>
        </w:rPr>
        <w:t xml:space="preserve">Given the limited available data, the </w:t>
      </w:r>
      <w:r w:rsidR="00744EED" w:rsidRPr="005D2084">
        <w:rPr>
          <w:rStyle w:val="checkbox"/>
          <w:rFonts w:ascii="Arial" w:hAnsi="Arial" w:cs="Arial"/>
        </w:rPr>
        <w:t xml:space="preserve">current </w:t>
      </w:r>
      <w:r w:rsidRPr="005D2084">
        <w:rPr>
          <w:rStyle w:val="checkbox"/>
          <w:rFonts w:ascii="Arial" w:hAnsi="Arial" w:cs="Arial"/>
        </w:rPr>
        <w:t xml:space="preserve">TWA of </w:t>
      </w:r>
      <w:r w:rsidR="00B11425" w:rsidRPr="005D2084">
        <w:rPr>
          <w:rStyle w:val="checkbox"/>
          <w:rFonts w:ascii="Arial" w:hAnsi="Arial" w:cs="Arial"/>
        </w:rPr>
        <w:t>2</w:t>
      </w:r>
      <w:r w:rsidRPr="005D2084">
        <w:rPr>
          <w:rStyle w:val="checkbox"/>
          <w:rFonts w:ascii="Arial" w:hAnsi="Arial" w:cs="Arial"/>
        </w:rPr>
        <w:t xml:space="preserve"> mg/m</w:t>
      </w:r>
      <w:r w:rsidRPr="005D2084">
        <w:rPr>
          <w:rStyle w:val="checkbox"/>
          <w:rFonts w:ascii="Arial" w:hAnsi="Arial" w:cs="Arial"/>
          <w:vertAlign w:val="superscript"/>
        </w:rPr>
        <w:t>3</w:t>
      </w:r>
      <w:r w:rsidRPr="005D2084">
        <w:rPr>
          <w:rStyle w:val="checkbox"/>
          <w:rFonts w:ascii="Arial" w:hAnsi="Arial" w:cs="Arial"/>
        </w:rPr>
        <w:t xml:space="preserve"> </w:t>
      </w:r>
      <w:r w:rsidR="00B11425" w:rsidRPr="005D2084">
        <w:rPr>
          <w:rStyle w:val="checkbox"/>
          <w:rFonts w:ascii="Arial" w:hAnsi="Arial" w:cs="Arial"/>
        </w:rPr>
        <w:t>is recommended to be retained in</w:t>
      </w:r>
      <w:r w:rsidR="00F128EE" w:rsidRPr="005D2084">
        <w:rPr>
          <w:rStyle w:val="checkbox"/>
          <w:rFonts w:ascii="Arial" w:hAnsi="Arial" w:cs="Arial"/>
        </w:rPr>
        <w:t xml:space="preserve"> the </w:t>
      </w:r>
      <w:r w:rsidR="00E4225B" w:rsidRPr="005D2084">
        <w:rPr>
          <w:rStyle w:val="checkbox"/>
          <w:rFonts w:ascii="Arial" w:hAnsi="Arial" w:cs="Arial"/>
        </w:rPr>
        <w:t xml:space="preserve">interim </w:t>
      </w:r>
      <w:r w:rsidRPr="005D2084">
        <w:rPr>
          <w:rStyle w:val="checkbox"/>
          <w:rFonts w:ascii="Arial" w:hAnsi="Arial" w:cs="Arial"/>
        </w:rPr>
        <w:t xml:space="preserve">to limit irritant effects. </w:t>
      </w:r>
      <w:r w:rsidRPr="005D2084">
        <w:t>A priority review is recommended at the next scheduled review</w:t>
      </w:r>
      <w:r w:rsidR="00A05301">
        <w:t xml:space="preserve"> </w:t>
      </w:r>
      <w:r w:rsidR="007A20B0">
        <w:t xml:space="preserve">to identify additional </w:t>
      </w:r>
      <w:r w:rsidR="00A05301">
        <w:t>repeat dose-toxicity</w:t>
      </w:r>
      <w:r w:rsidR="00A05301" w:rsidRPr="00A05301">
        <w:t xml:space="preserve"> and carcinogenicity</w:t>
      </w:r>
      <w:r w:rsidR="00A05301">
        <w:t xml:space="preserve"> studies</w:t>
      </w:r>
      <w:r w:rsidRPr="005D2084">
        <w:t>.</w:t>
      </w:r>
    </w:p>
    <w:p w14:paraId="42331EB8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6DE3EB61" w14:textId="6D28A85E" w:rsidR="00C1118D" w:rsidRPr="00504060" w:rsidRDefault="00631D49" w:rsidP="00C1118D">
      <w:pPr>
        <w:rPr>
          <w:rFonts w:cs="Arial"/>
        </w:rPr>
      </w:pPr>
      <w:r>
        <w:rPr>
          <w:rFonts w:cs="Arial"/>
        </w:rPr>
        <w:t>C</w:t>
      </w:r>
      <w:r w:rsidR="00C1118D" w:rsidRPr="00504060">
        <w:rPr>
          <w:rFonts w:cs="Arial"/>
        </w:rPr>
        <w:t xml:space="preserve">lassified as a </w:t>
      </w:r>
      <w:r w:rsidR="001758BF">
        <w:rPr>
          <w:rFonts w:cs="Arial"/>
        </w:rPr>
        <w:t>category 2</w:t>
      </w:r>
      <w:r w:rsidR="00465E2B">
        <w:rPr>
          <w:rFonts w:cs="Arial"/>
        </w:rPr>
        <w:t xml:space="preserve"> </w:t>
      </w:r>
      <w:r w:rsidR="00C1118D" w:rsidRPr="00504060">
        <w:rPr>
          <w:rFonts w:cs="Arial"/>
        </w:rPr>
        <w:t>carcinogen</w:t>
      </w:r>
      <w:r>
        <w:rPr>
          <w:rFonts w:cs="Arial"/>
        </w:rPr>
        <w:t xml:space="preserve"> </w:t>
      </w:r>
      <w:r w:rsidR="00C1118D" w:rsidRPr="00504060">
        <w:rPr>
          <w:rFonts w:cs="Arial"/>
        </w:rPr>
        <w:t>according to the Globally Harmonized System of</w:t>
      </w:r>
      <w:r>
        <w:rPr>
          <w:rFonts w:cs="Arial"/>
        </w:rPr>
        <w:t xml:space="preserve"> Classification and Labelling of</w:t>
      </w:r>
      <w:r w:rsidR="00C1118D" w:rsidRPr="00504060">
        <w:rPr>
          <w:rFonts w:cs="Arial"/>
        </w:rPr>
        <w:t xml:space="preserve"> Chemicals (GHS). </w:t>
      </w:r>
    </w:p>
    <w:p w14:paraId="5BC9DC00" w14:textId="41F9EFFA" w:rsidR="00C1118D" w:rsidRPr="00504060" w:rsidRDefault="00631D49" w:rsidP="00C1118D">
      <w:pPr>
        <w:rPr>
          <w:rFonts w:cs="Arial"/>
        </w:rPr>
      </w:pPr>
      <w:r>
        <w:rPr>
          <w:rFonts w:cs="Arial"/>
        </w:rPr>
        <w:t>C</w:t>
      </w:r>
      <w:r w:rsidR="00C1118D" w:rsidRPr="00504060">
        <w:rPr>
          <w:rFonts w:cs="Arial"/>
        </w:rPr>
        <w:t>lassified as a skin</w:t>
      </w:r>
      <w:r>
        <w:rPr>
          <w:rFonts w:cs="Arial"/>
        </w:rPr>
        <w:t xml:space="preserve"> sensitiser but not a</w:t>
      </w:r>
      <w:r w:rsidR="00C1118D" w:rsidRPr="00504060">
        <w:rPr>
          <w:rFonts w:cs="Arial"/>
        </w:rPr>
        <w:t xml:space="preserve"> respiratory sensitiser according to the GHS.</w:t>
      </w:r>
    </w:p>
    <w:p w14:paraId="6A09DE43" w14:textId="4D376236" w:rsidR="00C1118D" w:rsidRPr="00CB3B56" w:rsidRDefault="00576835" w:rsidP="00C1118D">
      <w:pPr>
        <w:rPr>
          <w:rFonts w:cs="Arial"/>
          <w:i/>
        </w:rPr>
      </w:pPr>
      <w:r>
        <w:rPr>
          <w:rFonts w:cs="Arial"/>
        </w:rPr>
        <w:t>A ski</w:t>
      </w:r>
      <w:r w:rsidR="004B528D">
        <w:rPr>
          <w:rFonts w:cs="Arial"/>
        </w:rPr>
        <w:t>n</w:t>
      </w:r>
      <w:r>
        <w:rPr>
          <w:rFonts w:cs="Arial"/>
        </w:rPr>
        <w:t xml:space="preserve"> notation is recommended based on </w:t>
      </w:r>
      <w:r>
        <w:rPr>
          <w:rFonts w:cs="Arial"/>
          <w:i/>
        </w:rPr>
        <w:t>in vivo</w:t>
      </w:r>
      <w:r>
        <w:rPr>
          <w:rFonts w:cs="Arial"/>
        </w:rPr>
        <w:t xml:space="preserve"> and </w:t>
      </w:r>
      <w:r>
        <w:rPr>
          <w:rFonts w:cs="Arial"/>
          <w:i/>
        </w:rPr>
        <w:t>in vitro</w:t>
      </w:r>
      <w:r w:rsidR="00F64431" w:rsidRPr="00F64431">
        <w:rPr>
          <w:rFonts w:cs="Arial"/>
        </w:rPr>
        <w:t xml:space="preserve"> </w:t>
      </w:r>
      <w:r w:rsidR="00F64431">
        <w:rPr>
          <w:rFonts w:cs="Arial"/>
        </w:rPr>
        <w:t>evidence demonstrating dermal absorption</w:t>
      </w:r>
      <w:r w:rsidR="00F9057A">
        <w:rPr>
          <w:rFonts w:cs="Arial"/>
          <w:i/>
        </w:rPr>
        <w:t>.</w:t>
      </w:r>
    </w:p>
    <w:p w14:paraId="14689B41" w14:textId="77777777" w:rsidR="0025734A" w:rsidRPr="004C23F4" w:rsidRDefault="0025734A">
      <w:pPr>
        <w:rPr>
          <w:rFonts w:cs="Arial"/>
        </w:rPr>
      </w:pPr>
    </w:p>
    <w:p w14:paraId="0D0FBC75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FBD99AA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7BCDB56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957EB5B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3373E2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58EDA4C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CECDAB2" w14:textId="6AA6C7AE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C1118D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C1118D">
                  <w:t>TWA: 2 mg/m</w:t>
                </w:r>
                <w:r w:rsidR="00C1118D" w:rsidRPr="00C1118D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46BF39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459645B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2AEA29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C6CBD7F" w14:textId="53775F16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C1118D">
                  <w:t>2014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C1118D">
                  <w:t>TLV-TWA: 1 mg/m</w:t>
                </w:r>
                <w:r w:rsidR="00C1118D" w:rsidRPr="00C1118D">
                  <w:rPr>
                    <w:vertAlign w:val="superscript"/>
                  </w:rPr>
                  <w:t>3</w:t>
                </w:r>
                <w:r w:rsidR="00C1118D">
                  <w:t xml:space="preserve"> </w:t>
                </w:r>
              </w:sdtContent>
            </w:sdt>
          </w:p>
        </w:tc>
      </w:tr>
      <w:tr w:rsidR="00C978F0" w:rsidRPr="00DA352E" w14:paraId="60A488B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73B23E0" w14:textId="77777777" w:rsidR="00C978F0" w:rsidRPr="005D2084" w:rsidRDefault="00261611" w:rsidP="00D86858">
            <w:pPr>
              <w:pStyle w:val="Tabletextprimarysource"/>
            </w:pPr>
            <w:r w:rsidRPr="005D2084">
              <w:t>TLV-TWA is recommended to minimise irritation and damage to the eye in exposed workers.</w:t>
            </w:r>
          </w:p>
          <w:p w14:paraId="783E1894" w14:textId="769A8AAC" w:rsidR="00261611" w:rsidRPr="005D2084" w:rsidRDefault="00261611" w:rsidP="00D86858">
            <w:pPr>
              <w:pStyle w:val="Tabletextprimarysource"/>
            </w:pPr>
            <w:r w:rsidRPr="005D2084">
              <w:t>Summary of data:</w:t>
            </w:r>
          </w:p>
          <w:p w14:paraId="21C6DC7A" w14:textId="0542960A" w:rsidR="00086D8F" w:rsidRPr="005D2084" w:rsidRDefault="00086D8F" w:rsidP="00D86858">
            <w:pPr>
              <w:pStyle w:val="Tabletextprimarysource"/>
            </w:pPr>
            <w:r w:rsidRPr="005D2084">
              <w:t>Derivation of TLV-TWA not provided; justification based on eye irritation and characteristic eye lesions in workers exposed at 1 to 10 mg/m</w:t>
            </w:r>
            <w:r w:rsidRPr="005D2084">
              <w:rPr>
                <w:vertAlign w:val="superscript"/>
              </w:rPr>
              <w:t>3</w:t>
            </w:r>
            <w:r w:rsidR="00D3008D" w:rsidRPr="005D2084">
              <w:t>.</w:t>
            </w:r>
          </w:p>
          <w:p w14:paraId="2F0BA420" w14:textId="77777777" w:rsidR="00261611" w:rsidRPr="005D2084" w:rsidRDefault="00261611">
            <w:pPr>
              <w:pStyle w:val="Tabletextprimarysource"/>
            </w:pPr>
            <w:r w:rsidRPr="005D2084">
              <w:t>Human data:</w:t>
            </w:r>
          </w:p>
          <w:p w14:paraId="77D3EEA9" w14:textId="3BB87300" w:rsidR="00261611" w:rsidRPr="005D2084" w:rsidRDefault="00261611" w:rsidP="00165B2B">
            <w:pPr>
              <w:pStyle w:val="ListBullet"/>
              <w:spacing w:before="60" w:after="60"/>
              <w:ind w:left="714" w:hanging="357"/>
              <w:contextualSpacing w:val="0"/>
            </w:pPr>
            <w:r w:rsidRPr="005D2084">
              <w:t>Eye irritation and eye lesions in workers exposed to hydroquinone dust</w:t>
            </w:r>
            <w:r w:rsidR="0053656A" w:rsidRPr="005D2084">
              <w:t xml:space="preserve">; </w:t>
            </w:r>
            <w:r w:rsidR="00326EB7" w:rsidRPr="005D2084">
              <w:t xml:space="preserve">quinone </w:t>
            </w:r>
            <w:r w:rsidR="0053656A" w:rsidRPr="005D2084">
              <w:t xml:space="preserve">vapour more acutely irritating but </w:t>
            </w:r>
            <w:r w:rsidR="00326EB7" w:rsidRPr="005D2084">
              <w:t xml:space="preserve">hydroquinone </w:t>
            </w:r>
            <w:r w:rsidR="0053656A" w:rsidRPr="005D2084">
              <w:t>dust stays in eye longer</w:t>
            </w:r>
          </w:p>
          <w:p w14:paraId="794EE82F" w14:textId="7DD9841C" w:rsidR="0053656A" w:rsidRPr="005D2084" w:rsidRDefault="0053656A" w:rsidP="00165B2B">
            <w:pPr>
              <w:pStyle w:val="ListBullet"/>
              <w:spacing w:before="60" w:after="60"/>
              <w:ind w:left="714" w:hanging="357"/>
              <w:contextualSpacing w:val="0"/>
            </w:pPr>
            <w:r w:rsidRPr="005D2084">
              <w:t xml:space="preserve">Study in workers exposed to </w:t>
            </w:r>
            <w:r w:rsidR="00326EB7" w:rsidRPr="005D2084">
              <w:t xml:space="preserve">quinone </w:t>
            </w:r>
            <w:r w:rsidRPr="005D2084">
              <w:t>vapour and dust; developed eye injury over years; no serious injury in case</w:t>
            </w:r>
            <w:r w:rsidR="00DA7C8B" w:rsidRPr="005D2084">
              <w:t>s</w:t>
            </w:r>
            <w:r w:rsidRPr="005D2084">
              <w:t xml:space="preserve"> exposed &lt;5 yr</w:t>
            </w:r>
            <w:r w:rsidR="00A14B66" w:rsidRPr="005D2084">
              <w:t>:</w:t>
            </w:r>
            <w:r w:rsidRPr="005D2084">
              <w:t xml:space="preserve"> </w:t>
            </w:r>
          </w:p>
          <w:p w14:paraId="67790613" w14:textId="36C66852" w:rsidR="0053656A" w:rsidRPr="005D2084" w:rsidRDefault="00D10610" w:rsidP="00165B2B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 w:rsidRPr="005D2084">
              <w:t>quinone</w:t>
            </w:r>
            <w:r w:rsidR="00DA7C8B" w:rsidRPr="005D2084">
              <w:t xml:space="preserve"> </w:t>
            </w:r>
            <w:r w:rsidR="001758BF" w:rsidRPr="005D2084">
              <w:t xml:space="preserve">vapour </w:t>
            </w:r>
            <w:r w:rsidR="0053656A" w:rsidRPr="005D2084">
              <w:t>concentration 0.01</w:t>
            </w:r>
            <w:r w:rsidR="00D86858" w:rsidRPr="005D2084">
              <w:t>–</w:t>
            </w:r>
            <w:r w:rsidR="0053656A" w:rsidRPr="005D2084">
              <w:t>3 ppm (</w:t>
            </w:r>
            <w:r w:rsidR="00F9057A" w:rsidRPr="005D2084">
              <w:rPr>
                <w:rFonts w:cs="Arial"/>
              </w:rPr>
              <w:t>≈</w:t>
            </w:r>
            <w:r w:rsidR="0053656A" w:rsidRPr="005D2084">
              <w:t>0.045</w:t>
            </w:r>
            <w:r w:rsidR="00D86858" w:rsidRPr="005D2084">
              <w:t>–</w:t>
            </w:r>
            <w:r w:rsidR="0053656A" w:rsidRPr="005D2084">
              <w:t>13.5 mg/m</w:t>
            </w:r>
            <w:r w:rsidR="0053656A" w:rsidRPr="005D2084">
              <w:rPr>
                <w:vertAlign w:val="superscript"/>
              </w:rPr>
              <w:t>3</w:t>
            </w:r>
            <w:r w:rsidR="0053656A" w:rsidRPr="005D2084">
              <w:t>)</w:t>
            </w:r>
          </w:p>
          <w:p w14:paraId="235887AB" w14:textId="7733832B" w:rsidR="0053656A" w:rsidRPr="005D2084" w:rsidRDefault="00DA7C8B" w:rsidP="00165B2B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 w:rsidRPr="005D2084">
              <w:t xml:space="preserve">hydroquinone </w:t>
            </w:r>
            <w:r w:rsidR="001758BF" w:rsidRPr="005D2084">
              <w:t xml:space="preserve">dust </w:t>
            </w:r>
            <w:r w:rsidR="0053656A" w:rsidRPr="005D2084">
              <w:t>concentration 0.2</w:t>
            </w:r>
            <w:r w:rsidR="00D86858" w:rsidRPr="005D2084">
              <w:t>–</w:t>
            </w:r>
            <w:r w:rsidR="0053656A" w:rsidRPr="005D2084">
              <w:t>12 ppm (</w:t>
            </w:r>
            <w:r w:rsidR="00F9057A" w:rsidRPr="005D2084">
              <w:rPr>
                <w:rFonts w:cs="Arial"/>
              </w:rPr>
              <w:t>≈</w:t>
            </w:r>
            <w:r w:rsidR="0053656A" w:rsidRPr="005D2084">
              <w:t>1</w:t>
            </w:r>
            <w:r w:rsidR="00D86858" w:rsidRPr="005D2084">
              <w:t>–</w:t>
            </w:r>
            <w:r w:rsidR="0053656A" w:rsidRPr="005D2084">
              <w:t>54 mg/m</w:t>
            </w:r>
            <w:r w:rsidR="0053656A" w:rsidRPr="005D2084">
              <w:rPr>
                <w:vertAlign w:val="superscript"/>
              </w:rPr>
              <w:t>3</w:t>
            </w:r>
            <w:r w:rsidR="0053656A" w:rsidRPr="005D2084">
              <w:t>)</w:t>
            </w:r>
          </w:p>
          <w:p w14:paraId="55736AB1" w14:textId="1911176A" w:rsidR="0053656A" w:rsidRPr="005D2084" w:rsidRDefault="0053656A" w:rsidP="00165B2B">
            <w:pPr>
              <w:pStyle w:val="ListBullet"/>
              <w:spacing w:before="60" w:after="60"/>
              <w:ind w:left="714" w:hanging="357"/>
              <w:contextualSpacing w:val="0"/>
            </w:pPr>
            <w:r w:rsidRPr="005D2084">
              <w:t>Corneal changes</w:t>
            </w:r>
            <w:r w:rsidR="00326EB7" w:rsidRPr="005D2084">
              <w:t xml:space="preserve"> consisting of changes in the curvature of the lens reported to exist long after exposure had ceased; caused by quinone vapor or hydroquinone dust</w:t>
            </w:r>
            <w:r w:rsidR="00D86858" w:rsidRPr="005D2084">
              <w:t>.</w:t>
            </w:r>
          </w:p>
          <w:p w14:paraId="6ADC9E98" w14:textId="77777777" w:rsidR="002127AF" w:rsidRPr="005D2084" w:rsidRDefault="002127AF" w:rsidP="00D86858">
            <w:pPr>
              <w:pStyle w:val="Tabletextprimarysource"/>
            </w:pPr>
            <w:r w:rsidRPr="005D2084">
              <w:t>Animal data:</w:t>
            </w:r>
          </w:p>
          <w:p w14:paraId="33EA1453" w14:textId="1877C9BD" w:rsidR="002127AF" w:rsidRPr="005D2084" w:rsidRDefault="002127AF" w:rsidP="00165B2B">
            <w:pPr>
              <w:pStyle w:val="ListBullet"/>
              <w:spacing w:before="60" w:after="60"/>
              <w:ind w:left="714" w:hanging="357"/>
              <w:contextualSpacing w:val="0"/>
            </w:pPr>
            <w:r w:rsidRPr="005D2084">
              <w:t>Skin sensitisation has been observed in studies of guinea pigs</w:t>
            </w:r>
          </w:p>
          <w:p w14:paraId="79CA03FF" w14:textId="36FB25AA" w:rsidR="002127AF" w:rsidRPr="005D2084" w:rsidRDefault="002127AF" w:rsidP="00165B2B">
            <w:pPr>
              <w:pStyle w:val="ListBullet"/>
              <w:spacing w:before="60" w:after="60"/>
              <w:ind w:left="714" w:hanging="357"/>
              <w:contextualSpacing w:val="0"/>
            </w:pPr>
            <w:r w:rsidRPr="005D2084">
              <w:t>2</w:t>
            </w:r>
            <w:r w:rsidR="00D86858" w:rsidRPr="005D2084">
              <w:t xml:space="preserve"> </w:t>
            </w:r>
            <w:r w:rsidRPr="005D2084">
              <w:t>yr study in rats and mice; gavage application; excess risks of mononuclear-cell leukaemia in female rats; hepatocellular adenomas in male and female mice, and renal tubular adenomas in male rats</w:t>
            </w:r>
          </w:p>
          <w:p w14:paraId="1EB5A26D" w14:textId="5CAE2D0E" w:rsidR="002127AF" w:rsidRPr="005D2084" w:rsidRDefault="002127AF" w:rsidP="00165B2B">
            <w:pPr>
              <w:pStyle w:val="ListBullet"/>
              <w:spacing w:before="60" w:after="60"/>
              <w:ind w:left="714" w:hanging="357"/>
              <w:contextualSpacing w:val="0"/>
            </w:pPr>
            <w:r w:rsidRPr="005D2084">
              <w:t>Evidence of clastogenicity</w:t>
            </w:r>
            <w:r w:rsidR="00D86858" w:rsidRPr="005D2084">
              <w:t>.</w:t>
            </w:r>
          </w:p>
          <w:p w14:paraId="7FC4DDFE" w14:textId="77777777" w:rsidR="00A14B66" w:rsidRDefault="00A14B66" w:rsidP="00D86858">
            <w:pPr>
              <w:pStyle w:val="Tabletextprimarysource"/>
            </w:pPr>
          </w:p>
          <w:p w14:paraId="3C28DD9E" w14:textId="0852BB9F" w:rsidR="002127AF" w:rsidRPr="005D2084" w:rsidRDefault="002127AF" w:rsidP="00D86858">
            <w:pPr>
              <w:pStyle w:val="Tabletextprimarysource"/>
            </w:pPr>
            <w:r w:rsidRPr="005D2084">
              <w:t xml:space="preserve">Insufficient evidence to </w:t>
            </w:r>
            <w:r w:rsidR="00E4225B" w:rsidRPr="005D2084">
              <w:t>recommend</w:t>
            </w:r>
            <w:r w:rsidRPr="005D2084">
              <w:t xml:space="preserve"> a TLV-STEL</w:t>
            </w:r>
            <w:r w:rsidR="00D86858" w:rsidRPr="005D2084">
              <w:t>.</w:t>
            </w:r>
          </w:p>
          <w:p w14:paraId="787F9B94" w14:textId="77777777" w:rsidR="002127AF" w:rsidRPr="005D2084" w:rsidRDefault="002127AF" w:rsidP="00D86858">
            <w:pPr>
              <w:pStyle w:val="Tabletextprimarysource"/>
            </w:pPr>
            <w:r w:rsidRPr="005D2084">
              <w:t xml:space="preserve">Evidence does not warrant a </w:t>
            </w:r>
            <w:r w:rsidR="001758BF" w:rsidRPr="005D2084">
              <w:t>s</w:t>
            </w:r>
            <w:r w:rsidRPr="005D2084">
              <w:t>kin notation.</w:t>
            </w:r>
          </w:p>
          <w:p w14:paraId="109FE1C2" w14:textId="2D54D7F7" w:rsidR="00F9057A" w:rsidRPr="00DA352E" w:rsidRDefault="00F9057A" w:rsidP="00D86858">
            <w:pPr>
              <w:pStyle w:val="Tabletextprimarysource"/>
            </w:pPr>
          </w:p>
        </w:tc>
      </w:tr>
      <w:tr w:rsidR="00C978F0" w:rsidRPr="00DA352E" w14:paraId="4EE75C0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31DF25B" w14:textId="6FD014F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C1118D">
                  <w:t>2013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C1118D">
                  <w:t>Not assigned</w:t>
                </w:r>
              </w:sdtContent>
            </w:sdt>
          </w:p>
        </w:tc>
      </w:tr>
      <w:tr w:rsidR="00C978F0" w:rsidRPr="00DA352E" w14:paraId="6E342B5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6080429" w14:textId="442E1722" w:rsidR="007C6D76" w:rsidRPr="005D2084" w:rsidRDefault="007C6D76" w:rsidP="003365A5">
            <w:pPr>
              <w:pStyle w:val="Tabletextprimarysource"/>
            </w:pPr>
            <w:r w:rsidRPr="005D2084">
              <w:t>MAK not assigned as it is considered a genotoxic carcinogen.</w:t>
            </w:r>
          </w:p>
          <w:p w14:paraId="7DE7BEA9" w14:textId="77777777" w:rsidR="007C6D76" w:rsidRPr="005D2084" w:rsidRDefault="007C6D76" w:rsidP="003365A5">
            <w:pPr>
              <w:pStyle w:val="Tabletextprimarysource"/>
            </w:pPr>
            <w:r w:rsidRPr="005D2084">
              <w:t>Summary of additional data:</w:t>
            </w:r>
          </w:p>
          <w:p w14:paraId="5867A322" w14:textId="77777777" w:rsidR="00C978F0" w:rsidRPr="005D2084" w:rsidRDefault="007C6D76" w:rsidP="00165B2B">
            <w:pPr>
              <w:pStyle w:val="ListBullet"/>
              <w:spacing w:before="60" w:after="60"/>
              <w:ind w:left="714" w:hanging="357"/>
              <w:contextualSpacing w:val="0"/>
            </w:pPr>
            <w:r w:rsidRPr="005D2084">
              <w:t>Metabolite of benzene; accumulates in bone marrow and contributes to the toxic effects on the bone marrow and blood count</w:t>
            </w:r>
          </w:p>
          <w:p w14:paraId="0EAD3916" w14:textId="3053EB88" w:rsidR="007C6D76" w:rsidRPr="005D2084" w:rsidRDefault="007C6D76" w:rsidP="00165B2B">
            <w:pPr>
              <w:pStyle w:val="ListBullet"/>
              <w:spacing w:before="60" w:after="60"/>
              <w:ind w:left="714" w:hanging="357"/>
              <w:contextualSpacing w:val="0"/>
            </w:pPr>
            <w:r w:rsidRPr="005D2084">
              <w:t>Considered genotoxic in mammalian cells:</w:t>
            </w:r>
          </w:p>
          <w:p w14:paraId="36A1C0F0" w14:textId="77777777" w:rsidR="007C6D76" w:rsidRPr="005D2084" w:rsidRDefault="007C6D76" w:rsidP="00165B2B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 w:rsidRPr="005D2084">
              <w:rPr>
                <w:i/>
              </w:rPr>
              <w:t>in vitro</w:t>
            </w:r>
            <w:r w:rsidRPr="005D2084">
              <w:t xml:space="preserve"> and </w:t>
            </w:r>
            <w:r w:rsidRPr="005D2084">
              <w:rPr>
                <w:i/>
              </w:rPr>
              <w:t>in vivo</w:t>
            </w:r>
            <w:r w:rsidRPr="005D2084">
              <w:t xml:space="preserve"> it induces micronuclei, chromosomal aberrations, DNA single strand breaks, oxidative damage to DNA </w:t>
            </w:r>
          </w:p>
          <w:p w14:paraId="2333E697" w14:textId="1E7F8485" w:rsidR="007C6D76" w:rsidRPr="005D2084" w:rsidRDefault="007C6D76" w:rsidP="00165B2B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 w:rsidRPr="005D2084">
              <w:rPr>
                <w:i/>
              </w:rPr>
              <w:t>in vitro</w:t>
            </w:r>
            <w:r w:rsidRPr="005D2084">
              <w:t xml:space="preserve"> also covalent DNA adducts, gene mutations and SCE</w:t>
            </w:r>
          </w:p>
          <w:p w14:paraId="2A260CFB" w14:textId="77777777" w:rsidR="00B55287" w:rsidRPr="005D2084" w:rsidRDefault="007C6D76" w:rsidP="00165B2B">
            <w:pPr>
              <w:pStyle w:val="ListBullet"/>
              <w:spacing w:before="60" w:after="60"/>
              <w:ind w:left="714" w:hanging="357"/>
              <w:contextualSpacing w:val="0"/>
            </w:pPr>
            <w:r w:rsidRPr="005D2084">
              <w:t>Same carcinogenic study results as ACGIH (2018)</w:t>
            </w:r>
          </w:p>
          <w:p w14:paraId="529C5EF0" w14:textId="77777777" w:rsidR="00B55287" w:rsidRPr="005D2084" w:rsidRDefault="00B55287" w:rsidP="00165B2B">
            <w:pPr>
              <w:pStyle w:val="ListBullet"/>
              <w:spacing w:before="60" w:after="60"/>
              <w:ind w:left="714" w:hanging="357"/>
              <w:contextualSpacing w:val="0"/>
            </w:pPr>
            <w:r w:rsidRPr="005D2084">
              <w:t xml:space="preserve">Skin notation assigned based on: </w:t>
            </w:r>
          </w:p>
          <w:p w14:paraId="33BB5133" w14:textId="373A46D3" w:rsidR="00B55287" w:rsidRPr="005D2084" w:rsidRDefault="004B528D" w:rsidP="00165B2B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 w:rsidRPr="005D2084">
              <w:t xml:space="preserve">demonstrated </w:t>
            </w:r>
            <w:r w:rsidR="00B55287" w:rsidRPr="005D2084">
              <w:t xml:space="preserve">absorption through human skin </w:t>
            </w:r>
            <w:r w:rsidR="00B55287" w:rsidRPr="005D2084">
              <w:rPr>
                <w:i/>
              </w:rPr>
              <w:t xml:space="preserve">in vitro </w:t>
            </w:r>
            <w:r w:rsidR="00B55287" w:rsidRPr="005D2084">
              <w:t>(no</w:t>
            </w:r>
            <w:r w:rsidR="00B55287" w:rsidRPr="005D2084">
              <w:rPr>
                <w:i/>
                <w:vertAlign w:val="superscript"/>
              </w:rPr>
              <w:t xml:space="preserve"> </w:t>
            </w:r>
            <w:r w:rsidR="00B55287" w:rsidRPr="005D2084">
              <w:t>further details)</w:t>
            </w:r>
          </w:p>
          <w:p w14:paraId="5548401D" w14:textId="09075B6E" w:rsidR="007C6D76" w:rsidRPr="005D2084" w:rsidRDefault="004B528D" w:rsidP="00165B2B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 w:rsidRPr="005D2084">
              <w:t xml:space="preserve">rate </w:t>
            </w:r>
            <w:r w:rsidR="00D95C70" w:rsidRPr="005D2084">
              <w:t>of dermal</w:t>
            </w:r>
            <w:r w:rsidRPr="005D2084">
              <w:t xml:space="preserve"> </w:t>
            </w:r>
            <w:r w:rsidR="00D95C70" w:rsidRPr="005D2084">
              <w:t>absorption for human stratum corneum 0.52 ± 0.13 μg/cm</w:t>
            </w:r>
            <w:r w:rsidR="00D95C70" w:rsidRPr="005D2084">
              <w:rPr>
                <w:vertAlign w:val="superscript"/>
              </w:rPr>
              <w:t>2</w:t>
            </w:r>
            <w:r w:rsidRPr="005D2084">
              <w:t>/h</w:t>
            </w:r>
          </w:p>
          <w:p w14:paraId="4FEFE472" w14:textId="05E73C91" w:rsidR="00B55287" w:rsidRPr="005D2084" w:rsidRDefault="004B528D" w:rsidP="00165B2B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 w:rsidRPr="005D2084">
              <w:t>m</w:t>
            </w:r>
            <w:r w:rsidR="00B55287" w:rsidRPr="005D2084">
              <w:t xml:space="preserve">ax of 29% </w:t>
            </w:r>
            <w:r w:rsidR="00E4225B" w:rsidRPr="005D2084">
              <w:t xml:space="preserve">dermally </w:t>
            </w:r>
            <w:r w:rsidR="00B55287" w:rsidRPr="005D2084">
              <w:t xml:space="preserve">applied dose absorbed </w:t>
            </w:r>
            <w:r w:rsidRPr="005D2084">
              <w:t>over</w:t>
            </w:r>
            <w:r w:rsidR="00B55287" w:rsidRPr="005D2084">
              <w:t xml:space="preserve"> 24-h </w:t>
            </w:r>
            <w:r w:rsidRPr="005D2084">
              <w:t xml:space="preserve">in </w:t>
            </w:r>
            <w:r w:rsidR="00B55287" w:rsidRPr="005D2084">
              <w:t>rats</w:t>
            </w:r>
          </w:p>
          <w:p w14:paraId="1CC289FB" w14:textId="5E2E9D4C" w:rsidR="001758BF" w:rsidRPr="00DA352E" w:rsidRDefault="001758BF" w:rsidP="00963229">
            <w:pPr>
              <w:pStyle w:val="ListBullet"/>
              <w:numPr>
                <w:ilvl w:val="0"/>
                <w:numId w:val="0"/>
              </w:numPr>
              <w:spacing w:before="60" w:after="60"/>
              <w:ind w:left="1094"/>
              <w:contextualSpacing w:val="0"/>
            </w:pPr>
          </w:p>
        </w:tc>
      </w:tr>
      <w:tr w:rsidR="00C978F0" w:rsidRPr="00DA352E" w14:paraId="444BDE0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26E80B0" w14:textId="6C08BA1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DE642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DE6424">
                  <w:t>NA</w:t>
                </w:r>
              </w:sdtContent>
            </w:sdt>
          </w:p>
        </w:tc>
      </w:tr>
      <w:tr w:rsidR="00C978F0" w:rsidRPr="00DA352E" w14:paraId="590A883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D921A5F" w14:textId="2FC6D66D" w:rsidR="00C978F0" w:rsidRPr="00DA352E" w:rsidRDefault="00DE6424" w:rsidP="003365A5">
            <w:pPr>
              <w:pStyle w:val="Tabletextprimarysource"/>
            </w:pPr>
            <w:r>
              <w:t>No report</w:t>
            </w:r>
            <w:r w:rsidR="00D86858">
              <w:t>.</w:t>
            </w:r>
          </w:p>
        </w:tc>
      </w:tr>
      <w:tr w:rsidR="00DA352E" w:rsidRPr="00DA352E" w14:paraId="265D39C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417F6A1" w14:textId="1D1B0F31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DE642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DE6424">
                  <w:t>NA</w:t>
                </w:r>
              </w:sdtContent>
            </w:sdt>
          </w:p>
        </w:tc>
      </w:tr>
      <w:tr w:rsidR="00DA352E" w:rsidRPr="00DA352E" w14:paraId="29C8277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17D94F3" w14:textId="7A1CE7F7" w:rsidR="00DA352E" w:rsidRPr="00DA352E" w:rsidRDefault="00DE6424" w:rsidP="003365A5">
            <w:pPr>
              <w:pStyle w:val="Tabletextprimarysource"/>
            </w:pPr>
            <w:r>
              <w:t>No report</w:t>
            </w:r>
            <w:r w:rsidR="00D86858">
              <w:t>.</w:t>
            </w:r>
          </w:p>
        </w:tc>
      </w:tr>
      <w:tr w:rsidR="00DA352E" w:rsidRPr="00DA352E" w14:paraId="053BF8B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E9DC282" w14:textId="6B780101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DE642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DE6424">
                  <w:t>NA</w:t>
                </w:r>
              </w:sdtContent>
            </w:sdt>
          </w:p>
        </w:tc>
      </w:tr>
      <w:tr w:rsidR="00DA352E" w:rsidRPr="00DA352E" w14:paraId="6D49894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8C1C904" w14:textId="41FBDCCD" w:rsidR="00DA352E" w:rsidRPr="00DA352E" w:rsidRDefault="00DE6424" w:rsidP="003365A5">
            <w:pPr>
              <w:pStyle w:val="Tabletextprimarysource"/>
            </w:pPr>
            <w:r>
              <w:t>No report</w:t>
            </w:r>
            <w:r w:rsidR="00D86858">
              <w:t>.</w:t>
            </w:r>
          </w:p>
        </w:tc>
      </w:tr>
    </w:tbl>
    <w:p w14:paraId="39252990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3"/>
        <w:gridCol w:w="661"/>
        <w:gridCol w:w="6450"/>
      </w:tblGrid>
      <w:tr w:rsidR="004966BF" w:rsidRPr="00263255" w14:paraId="76BDD1F1" w14:textId="77777777" w:rsidTr="00165B2B">
        <w:trPr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61B84404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75162AF6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6E7B1394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0" w:type="dxa"/>
            <w:shd w:val="clear" w:color="auto" w:fill="BFBFBF" w:themeFill="background1" w:themeFillShade="BF"/>
            <w:vAlign w:val="center"/>
          </w:tcPr>
          <w:p w14:paraId="02AB0A7B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3B6D7CB8" w14:textId="77777777" w:rsidTr="00165B2B">
        <w:tc>
          <w:tcPr>
            <w:tcW w:w="1492" w:type="dxa"/>
          </w:tcPr>
          <w:p w14:paraId="1C125315" w14:textId="77777777" w:rsidR="004966BF" w:rsidRPr="005D2084" w:rsidRDefault="004966BF" w:rsidP="00224EE2">
            <w:pPr>
              <w:pStyle w:val="Tablefont"/>
            </w:pPr>
            <w:r w:rsidRPr="005D2084">
              <w:t>NICNAS</w:t>
            </w:r>
          </w:p>
        </w:tc>
        <w:tc>
          <w:tcPr>
            <w:tcW w:w="423" w:type="dxa"/>
          </w:tcPr>
          <w:p w14:paraId="060A1AEF" w14:textId="0779BDA6" w:rsidR="004966BF" w:rsidRPr="005D2084" w:rsidRDefault="00B8128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60EBD" w:rsidRPr="005D208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CB7EF2E" w14:textId="7F596438" w:rsidR="004966BF" w:rsidRPr="005D2084" w:rsidRDefault="00360EB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5D2084"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50" w:type="dxa"/>
          </w:tcPr>
          <w:p w14:paraId="3523CF06" w14:textId="071F30A9" w:rsidR="004966BF" w:rsidRPr="005D2084" w:rsidRDefault="00360EBD" w:rsidP="003D3482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5D2084">
              <w:rPr>
                <w:rStyle w:val="checkbox"/>
                <w:rFonts w:ascii="Arial" w:hAnsi="Arial" w:cs="Arial"/>
              </w:rPr>
              <w:t>LD</w:t>
            </w:r>
            <w:r w:rsidRPr="005D2084"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1758BF" w:rsidRPr="005D2084">
              <w:rPr>
                <w:rStyle w:val="checkbox"/>
                <w:rFonts w:ascii="Arial" w:hAnsi="Arial" w:cs="Arial"/>
              </w:rPr>
              <w:t>:</w:t>
            </w:r>
            <w:r w:rsidRPr="005D2084">
              <w:rPr>
                <w:rStyle w:val="checkbox"/>
                <w:rFonts w:ascii="Arial" w:hAnsi="Arial" w:cs="Arial"/>
                <w:vertAlign w:val="subscript"/>
              </w:rPr>
              <w:t xml:space="preserve"> </w:t>
            </w:r>
            <w:r w:rsidRPr="005D2084">
              <w:rPr>
                <w:rStyle w:val="checkbox"/>
                <w:rFonts w:ascii="Arial" w:hAnsi="Arial" w:cs="Arial"/>
              </w:rPr>
              <w:t xml:space="preserve">&gt;2,000 mg/kg (dermal, rats); </w:t>
            </w:r>
            <w:r w:rsidRPr="005D2084">
              <w:rPr>
                <w:rFonts w:cs="Arial"/>
              </w:rPr>
              <w:t>low acute dermal toxicity</w:t>
            </w:r>
          </w:p>
          <w:p w14:paraId="14AB7BDF" w14:textId="6807FDC6" w:rsidR="00360EBD" w:rsidRPr="005D2084" w:rsidRDefault="00360EBD" w:rsidP="003D3482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5D2084">
              <w:rPr>
                <w:rStyle w:val="checkbox"/>
                <w:rFonts w:ascii="Arial" w:hAnsi="Arial" w:cs="Arial"/>
              </w:rPr>
              <w:t xml:space="preserve">Negative in Ames test with </w:t>
            </w:r>
            <w:r w:rsidRPr="005D2084">
              <w:rPr>
                <w:rStyle w:val="checkbox"/>
                <w:rFonts w:ascii="Arial" w:hAnsi="Arial" w:cs="Arial"/>
                <w:i/>
              </w:rPr>
              <w:t>Salmonella</w:t>
            </w:r>
          </w:p>
          <w:p w14:paraId="117748A7" w14:textId="4A84B610" w:rsidR="00360EBD" w:rsidRPr="005D2084" w:rsidRDefault="00631D49" w:rsidP="003D3482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5D2084">
              <w:rPr>
                <w:rFonts w:cs="Arial"/>
              </w:rPr>
              <w:t>G</w:t>
            </w:r>
            <w:r w:rsidR="00360EBD" w:rsidRPr="005D2084">
              <w:rPr>
                <w:rFonts w:cs="Arial"/>
              </w:rPr>
              <w:t xml:space="preserve">ene mutation in human lymphocytes and Chinese hamster lung cells </w:t>
            </w:r>
          </w:p>
          <w:p w14:paraId="159F86D3" w14:textId="12EC61F9" w:rsidR="00360EBD" w:rsidRPr="005D2084" w:rsidRDefault="00360EBD" w:rsidP="003D3482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5D2084">
              <w:rPr>
                <w:rFonts w:cs="Arial"/>
              </w:rPr>
              <w:t>DNA damage in HeLa cells</w:t>
            </w:r>
          </w:p>
          <w:p w14:paraId="4DF5F708" w14:textId="77777777" w:rsidR="00086D8F" w:rsidRPr="005D2084" w:rsidRDefault="00360EBD" w:rsidP="003D3482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5D2084">
              <w:rPr>
                <w:rStyle w:val="checkbox"/>
                <w:rFonts w:ascii="Arial" w:hAnsi="Arial" w:cs="Arial"/>
              </w:rPr>
              <w:t>Sister chromatid exchange in V79 Chinese hamster cells and human lymphocytes</w:t>
            </w:r>
          </w:p>
          <w:p w14:paraId="475FA5EE" w14:textId="1C1DAABA" w:rsidR="00360EBD" w:rsidRPr="005D2084" w:rsidRDefault="00086D8F" w:rsidP="003D3482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5D2084">
              <w:rPr>
                <w:rFonts w:cs="Arial"/>
              </w:rPr>
              <w:t>W</w:t>
            </w:r>
            <w:r w:rsidR="00D3008D" w:rsidRPr="005D2084">
              <w:rPr>
                <w:rFonts w:cs="Arial"/>
              </w:rPr>
              <w:t>eight of evidence</w:t>
            </w:r>
            <w:r w:rsidRPr="005D2084">
              <w:rPr>
                <w:rFonts w:cs="Arial"/>
              </w:rPr>
              <w:t xml:space="preserve"> from both </w:t>
            </w:r>
            <w:r w:rsidRPr="005D2084">
              <w:rPr>
                <w:rFonts w:cs="Arial"/>
                <w:i/>
                <w:iCs/>
              </w:rPr>
              <w:t>in vitro</w:t>
            </w:r>
            <w:r w:rsidRPr="005D2084">
              <w:rPr>
                <w:rFonts w:cs="Arial"/>
              </w:rPr>
              <w:t> and </w:t>
            </w:r>
            <w:r w:rsidRPr="005D2084">
              <w:rPr>
                <w:rFonts w:cs="Arial"/>
                <w:i/>
                <w:iCs/>
              </w:rPr>
              <w:t>in vivo</w:t>
            </w:r>
            <w:r w:rsidRPr="005D2084">
              <w:rPr>
                <w:rFonts w:cs="Arial"/>
              </w:rPr>
              <w:t> studies, does not indicate that the chemical is genotoxic</w:t>
            </w:r>
            <w:r w:rsidR="00D3008D" w:rsidRPr="005D2084">
              <w:rPr>
                <w:rFonts w:cs="Arial"/>
              </w:rPr>
              <w:t>.</w:t>
            </w:r>
          </w:p>
        </w:tc>
      </w:tr>
      <w:tr w:rsidR="004966BF" w:rsidRPr="004C23F4" w14:paraId="7788AA2E" w14:textId="77777777" w:rsidTr="00165B2B">
        <w:tc>
          <w:tcPr>
            <w:tcW w:w="1492" w:type="dxa"/>
          </w:tcPr>
          <w:p w14:paraId="3D1FC5F3" w14:textId="77777777" w:rsidR="004966BF" w:rsidRPr="005D2084" w:rsidRDefault="004966BF" w:rsidP="00224EE2">
            <w:pPr>
              <w:pStyle w:val="Tablefont"/>
            </w:pPr>
            <w:r w:rsidRPr="005D2084">
              <w:t>IARC</w:t>
            </w:r>
          </w:p>
        </w:tc>
        <w:tc>
          <w:tcPr>
            <w:tcW w:w="423" w:type="dxa"/>
          </w:tcPr>
          <w:p w14:paraId="06F9BF51" w14:textId="408A701D" w:rsidR="004966BF" w:rsidRPr="005D2084" w:rsidRDefault="00B8128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631D49" w:rsidRPr="005D208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62D3734" w14:textId="6B68438B" w:rsidR="004966BF" w:rsidRPr="005D2084" w:rsidRDefault="00631D49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5D2084">
              <w:rPr>
                <w:rStyle w:val="checkbox"/>
                <w:rFonts w:ascii="Arial" w:hAnsi="Arial" w:cs="Arial"/>
              </w:rPr>
              <w:t>1999</w:t>
            </w:r>
          </w:p>
        </w:tc>
        <w:tc>
          <w:tcPr>
            <w:tcW w:w="6450" w:type="dxa"/>
          </w:tcPr>
          <w:p w14:paraId="15751A01" w14:textId="77777777" w:rsidR="00631D49" w:rsidRPr="005D2084" w:rsidRDefault="00631D49" w:rsidP="00165B2B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5D2084">
              <w:rPr>
                <w:rStyle w:val="checkbox"/>
                <w:rFonts w:ascii="Arial" w:hAnsi="Arial" w:cs="Arial"/>
              </w:rPr>
              <w:t>Mutagenic in many in-vitro systems using a variety of end-points</w:t>
            </w:r>
          </w:p>
          <w:p w14:paraId="5C804F9C" w14:textId="00B0763E" w:rsidR="004966BF" w:rsidRPr="005D2084" w:rsidRDefault="00631D49" w:rsidP="00165B2B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5D2084">
              <w:rPr>
                <w:rStyle w:val="checkbox"/>
                <w:rFonts w:ascii="Arial" w:hAnsi="Arial" w:cs="Arial"/>
              </w:rPr>
              <w:t>After intraperitoneal administration, it caused genotoxicity or chromosomal aberrations in bone marrow</w:t>
            </w:r>
          </w:p>
          <w:p w14:paraId="60BBEC34" w14:textId="70380C74" w:rsidR="00FB4990" w:rsidRPr="005D2084" w:rsidRDefault="00FB4990" w:rsidP="00165B2B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5D2084">
              <w:rPr>
                <w:rStyle w:val="checkbox"/>
                <w:rFonts w:ascii="Arial" w:hAnsi="Arial" w:cs="Arial"/>
              </w:rPr>
              <w:t>A cohort of workers with definite and lengthy exposure to hydroquinone had low cancer rates compared with two comparison populations</w:t>
            </w:r>
          </w:p>
          <w:p w14:paraId="0CB4CD77" w14:textId="3142A4CB" w:rsidR="00FB4990" w:rsidRPr="005D2084" w:rsidRDefault="00FB4990" w:rsidP="00165B2B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5D2084">
              <w:rPr>
                <w:rStyle w:val="checkbox"/>
                <w:rFonts w:ascii="Arial" w:hAnsi="Arial" w:cs="Arial"/>
              </w:rPr>
              <w:t xml:space="preserve">A cohort of lithographers, some of whom had worked with hydroquinone, had an excess of malignant melanoma based </w:t>
            </w:r>
            <w:r w:rsidRPr="005D2084">
              <w:rPr>
                <w:rStyle w:val="checkbox"/>
                <w:rFonts w:ascii="Arial" w:hAnsi="Arial" w:cs="Arial"/>
              </w:rPr>
              <w:lastRenderedPageBreak/>
              <w:t>on five cases; only two of the cases reported exposure to hydroquinone</w:t>
            </w:r>
          </w:p>
          <w:p w14:paraId="7FABA93E" w14:textId="54CD5FDB" w:rsidR="00631D49" w:rsidRPr="005D2084" w:rsidRDefault="00631D49" w:rsidP="00165B2B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5D2084">
              <w:rPr>
                <w:rStyle w:val="checkbox"/>
                <w:rFonts w:ascii="Arial" w:hAnsi="Arial" w:cs="Arial"/>
              </w:rPr>
              <w:t>Inadequate evidence in humans for carcinogenicity</w:t>
            </w:r>
            <w:r w:rsidR="00D86858" w:rsidRPr="005D2084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54301273" w14:textId="77777777" w:rsidTr="00165B2B">
        <w:tc>
          <w:tcPr>
            <w:tcW w:w="1492" w:type="dxa"/>
          </w:tcPr>
          <w:p w14:paraId="4A4BA37A" w14:textId="77777777" w:rsidR="004966BF" w:rsidRPr="005D2084" w:rsidRDefault="004966BF" w:rsidP="00224EE2">
            <w:pPr>
              <w:pStyle w:val="Tablefont"/>
            </w:pPr>
            <w:r w:rsidRPr="005D2084">
              <w:lastRenderedPageBreak/>
              <w:t>US EPA</w:t>
            </w:r>
          </w:p>
        </w:tc>
        <w:tc>
          <w:tcPr>
            <w:tcW w:w="423" w:type="dxa"/>
          </w:tcPr>
          <w:p w14:paraId="52CB655F" w14:textId="4A6F9813" w:rsidR="004966BF" w:rsidRPr="005D2084" w:rsidRDefault="00B8128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631D49" w:rsidRPr="005D208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FFCD67C" w14:textId="779C4267" w:rsidR="004966BF" w:rsidRPr="005D2084" w:rsidRDefault="00631D49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5D2084">
              <w:rPr>
                <w:rStyle w:val="checkbox"/>
                <w:rFonts w:ascii="Arial" w:hAnsi="Arial" w:cs="Arial"/>
              </w:rPr>
              <w:t>1990</w:t>
            </w:r>
          </w:p>
        </w:tc>
        <w:tc>
          <w:tcPr>
            <w:tcW w:w="6450" w:type="dxa"/>
          </w:tcPr>
          <w:p w14:paraId="01BD3F3F" w14:textId="65E33716" w:rsidR="004966BF" w:rsidRPr="005D2084" w:rsidRDefault="00631D49" w:rsidP="00165B2B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5D2084">
              <w:rPr>
                <w:rStyle w:val="checkbox"/>
                <w:rFonts w:ascii="Arial" w:hAnsi="Arial" w:cs="Arial"/>
              </w:rPr>
              <w:t>No further information</w:t>
            </w:r>
            <w:r w:rsidR="00D86858" w:rsidRPr="005D2084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59E1C021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542F2E07" w14:textId="77777777" w:rsidTr="00631D49">
        <w:trPr>
          <w:trHeight w:val="454"/>
          <w:tblHeader/>
        </w:trPr>
        <w:tc>
          <w:tcPr>
            <w:tcW w:w="6597" w:type="dxa"/>
            <w:vAlign w:val="center"/>
          </w:tcPr>
          <w:p w14:paraId="4494A4B4" w14:textId="77777777" w:rsidR="002E0D61" w:rsidRPr="005D2084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 w:rsidRPr="005D2084">
              <w:t>Is the chemical mutagenic</w:t>
            </w:r>
            <w:r w:rsidR="002E0D61" w:rsidRPr="005D2084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57F6AC1" w14:textId="43A7D77C" w:rsidR="002E0D61" w:rsidRPr="005D2084" w:rsidRDefault="00631D49" w:rsidP="00C3091E">
                <w:pPr>
                  <w:pStyle w:val="Tablefont"/>
                  <w:keepNext/>
                  <w:keepLines/>
                  <w:spacing w:before="40" w:after="40"/>
                </w:pPr>
                <w:r w:rsidRPr="005D2084">
                  <w:t>Yes</w:t>
                </w:r>
              </w:p>
            </w:tc>
          </w:sdtContent>
        </w:sdt>
      </w:tr>
      <w:tr w:rsidR="008A36CF" w14:paraId="3447DD36" w14:textId="77777777" w:rsidTr="00631D49">
        <w:trPr>
          <w:trHeight w:val="454"/>
        </w:trPr>
        <w:tc>
          <w:tcPr>
            <w:tcW w:w="6597" w:type="dxa"/>
            <w:vAlign w:val="center"/>
          </w:tcPr>
          <w:p w14:paraId="31059A0F" w14:textId="77777777" w:rsidR="008A36CF" w:rsidRPr="005D2084" w:rsidRDefault="008A36CF" w:rsidP="008A36CF">
            <w:pPr>
              <w:pStyle w:val="Tablefont"/>
              <w:keepNext/>
              <w:keepLines/>
              <w:spacing w:before="40" w:after="40"/>
            </w:pPr>
            <w:r w:rsidRPr="005D2084"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3EF41148" w14:textId="356A34F2" w:rsidR="008A36CF" w:rsidRPr="005D2084" w:rsidRDefault="00631D49" w:rsidP="008A36CF">
                <w:pPr>
                  <w:pStyle w:val="Tablefont"/>
                  <w:keepNext/>
                  <w:keepLines/>
                  <w:spacing w:before="40" w:after="40"/>
                </w:pPr>
                <w:r w:rsidRPr="005D2084">
                  <w:t>Insufficient data</w:t>
                </w:r>
              </w:p>
            </w:tc>
          </w:sdtContent>
        </w:sdt>
      </w:tr>
      <w:tr w:rsidR="008A36CF" w14:paraId="469F99A2" w14:textId="77777777" w:rsidTr="00631D49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43FE233B" w14:textId="48C8C673" w:rsidR="008A36CF" w:rsidRPr="005D2084" w:rsidRDefault="00631D49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 w:rsidRPr="005D2084"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079A5445" w14:textId="77777777" w:rsidR="008A36CF" w:rsidRPr="005D2084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434AAC0D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8A9010A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2B73A1A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A3CC6F1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71B715F" w14:textId="77777777" w:rsidTr="00812887">
        <w:trPr>
          <w:cantSplit/>
        </w:trPr>
        <w:tc>
          <w:tcPr>
            <w:tcW w:w="3227" w:type="dxa"/>
          </w:tcPr>
          <w:p w14:paraId="4699AF47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0E61E0C" w14:textId="414F9C02" w:rsidR="00687890" w:rsidRPr="00DD2F9B" w:rsidRDefault="00044B62" w:rsidP="00DD2F9B">
            <w:pPr>
              <w:pStyle w:val="Tablefont"/>
            </w:pPr>
            <w:r w:rsidRPr="00044B62">
              <w:t>Carc. 2</w:t>
            </w:r>
          </w:p>
        </w:tc>
      </w:tr>
      <w:tr w:rsidR="007925F0" w:rsidRPr="004C23F4" w14:paraId="348FA802" w14:textId="77777777" w:rsidTr="00812887">
        <w:trPr>
          <w:cantSplit/>
        </w:trPr>
        <w:tc>
          <w:tcPr>
            <w:tcW w:w="3227" w:type="dxa"/>
          </w:tcPr>
          <w:p w14:paraId="22D9408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038C3310" w14:textId="52FA1C00" w:rsidR="007925F0" w:rsidRPr="00DD2F9B" w:rsidRDefault="00044B62" w:rsidP="00DD2F9B">
            <w:pPr>
              <w:pStyle w:val="Tablefont"/>
            </w:pPr>
            <w:r w:rsidRPr="00044B62">
              <w:t>Carcinogenicity – category 2</w:t>
            </w:r>
            <w:r>
              <w:t xml:space="preserve">, </w:t>
            </w:r>
            <w:r w:rsidRPr="00044B62">
              <w:t>Skin sensitisation – category 1</w:t>
            </w:r>
          </w:p>
        </w:tc>
      </w:tr>
      <w:tr w:rsidR="00AF483F" w:rsidRPr="004C23F4" w14:paraId="7AE771ED" w14:textId="77777777" w:rsidTr="00812887">
        <w:trPr>
          <w:cantSplit/>
        </w:trPr>
        <w:tc>
          <w:tcPr>
            <w:tcW w:w="3227" w:type="dxa"/>
          </w:tcPr>
          <w:p w14:paraId="062D1B3D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B7AA3B8" w14:textId="632AA44B" w:rsidR="00AF483F" w:rsidRPr="00DD2F9B" w:rsidRDefault="006A4CCC" w:rsidP="00DD2F9B">
            <w:pPr>
              <w:pStyle w:val="Tablefont"/>
            </w:pPr>
            <w:r>
              <w:t xml:space="preserve">Skin sensitisation, </w:t>
            </w:r>
            <w:r w:rsidR="00D97362" w:rsidRPr="00D97362">
              <w:t>Carc. Cat 3</w:t>
            </w:r>
          </w:p>
        </w:tc>
      </w:tr>
      <w:tr w:rsidR="00687890" w:rsidRPr="004C23F4" w14:paraId="43E6DF1F" w14:textId="77777777" w:rsidTr="00812887">
        <w:trPr>
          <w:cantSplit/>
        </w:trPr>
        <w:tc>
          <w:tcPr>
            <w:tcW w:w="3227" w:type="dxa"/>
          </w:tcPr>
          <w:p w14:paraId="1C0A981F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D7A9D06" w14:textId="432B5AB5" w:rsidR="00687890" w:rsidRPr="00DD2F9B" w:rsidRDefault="006A4CCC" w:rsidP="00DD2F9B">
            <w:pPr>
              <w:pStyle w:val="Tablefont"/>
            </w:pPr>
            <w:r w:rsidRPr="006A4CCC">
              <w:t>Skin sensitisation – category 1</w:t>
            </w:r>
            <w:r>
              <w:t xml:space="preserve">, </w:t>
            </w:r>
            <w:r w:rsidRPr="006A4CCC">
              <w:t>Carcinogenicity – category 2</w:t>
            </w:r>
          </w:p>
        </w:tc>
      </w:tr>
      <w:tr w:rsidR="00E41A26" w:rsidRPr="004C23F4" w14:paraId="2ECA7C84" w14:textId="77777777" w:rsidTr="00812887">
        <w:trPr>
          <w:cantSplit/>
        </w:trPr>
        <w:tc>
          <w:tcPr>
            <w:tcW w:w="3227" w:type="dxa"/>
          </w:tcPr>
          <w:p w14:paraId="0B0A9057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F50188C" w14:textId="2F65C536" w:rsidR="00E41A26" w:rsidRPr="00DD2F9B" w:rsidRDefault="006A4CCC" w:rsidP="00DD2F9B">
            <w:pPr>
              <w:pStyle w:val="Tablefont"/>
            </w:pPr>
            <w:r w:rsidRPr="006A4CCC">
              <w:t>Skin Sens. 1</w:t>
            </w:r>
            <w:r>
              <w:t xml:space="preserve">, </w:t>
            </w:r>
            <w:r w:rsidRPr="006A4CCC">
              <w:t>Carc. 2</w:t>
            </w:r>
          </w:p>
        </w:tc>
      </w:tr>
      <w:tr w:rsidR="002E0D61" w:rsidRPr="004C23F4" w14:paraId="1133274D" w14:textId="77777777" w:rsidTr="00812887">
        <w:trPr>
          <w:cantSplit/>
        </w:trPr>
        <w:tc>
          <w:tcPr>
            <w:tcW w:w="3227" w:type="dxa"/>
          </w:tcPr>
          <w:p w14:paraId="29179CA3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9E0D40A" w14:textId="1884CB31" w:rsidR="002E0D61" w:rsidRPr="00DD2F9B" w:rsidRDefault="006A4CCC" w:rsidP="00DD2F9B">
            <w:pPr>
              <w:pStyle w:val="Tablefont"/>
            </w:pPr>
            <w:r w:rsidRPr="006A4CCC">
              <w:t>DSEN</w:t>
            </w:r>
            <w:r>
              <w:t xml:space="preserve">, </w:t>
            </w:r>
            <w:r w:rsidRPr="006A4CCC">
              <w:t>Carcinogenicity – A3</w:t>
            </w:r>
          </w:p>
        </w:tc>
      </w:tr>
      <w:tr w:rsidR="002E0D61" w:rsidRPr="004C23F4" w14:paraId="33691484" w14:textId="77777777" w:rsidTr="00812887">
        <w:trPr>
          <w:cantSplit/>
        </w:trPr>
        <w:tc>
          <w:tcPr>
            <w:tcW w:w="3227" w:type="dxa"/>
          </w:tcPr>
          <w:p w14:paraId="72777A21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C9536ED" w14:textId="3A78CF7F" w:rsidR="002E0D61" w:rsidRPr="00DD2F9B" w:rsidRDefault="006A4CCC" w:rsidP="00DD2F9B">
            <w:pPr>
              <w:pStyle w:val="Tablefont"/>
            </w:pPr>
            <w:r w:rsidRPr="006A4CCC">
              <w:t>Carcinogenicity – 2</w:t>
            </w:r>
            <w:r>
              <w:t xml:space="preserve">, </w:t>
            </w:r>
            <w:r w:rsidRPr="006A4CCC">
              <w:t>H (skin)</w:t>
            </w:r>
          </w:p>
        </w:tc>
      </w:tr>
      <w:tr w:rsidR="002E0D61" w:rsidRPr="004C23F4" w14:paraId="6AEAD3AF" w14:textId="77777777" w:rsidTr="00812887">
        <w:trPr>
          <w:cantSplit/>
        </w:trPr>
        <w:tc>
          <w:tcPr>
            <w:tcW w:w="3227" w:type="dxa"/>
          </w:tcPr>
          <w:p w14:paraId="6144CD84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78D1852" w14:textId="20B12090" w:rsidR="002E0D61" w:rsidRPr="00DD2F9B" w:rsidRDefault="00390BE0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C731841" w14:textId="77777777" w:rsidTr="00812887">
        <w:trPr>
          <w:cantSplit/>
        </w:trPr>
        <w:tc>
          <w:tcPr>
            <w:tcW w:w="3227" w:type="dxa"/>
          </w:tcPr>
          <w:p w14:paraId="4DC7CEDE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55802E1" w14:textId="07D7922B" w:rsidR="002E0D61" w:rsidRPr="00DD2F9B" w:rsidRDefault="00390BE0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42BA98" w14:textId="77777777" w:rsidTr="00812887">
        <w:trPr>
          <w:cantSplit/>
        </w:trPr>
        <w:tc>
          <w:tcPr>
            <w:tcW w:w="3227" w:type="dxa"/>
          </w:tcPr>
          <w:p w14:paraId="06763708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029D0FA" w14:textId="3E993D2E" w:rsidR="00386093" w:rsidRPr="00DD2F9B" w:rsidRDefault="00390BE0" w:rsidP="00DD2F9B">
            <w:pPr>
              <w:pStyle w:val="Tablefont"/>
            </w:pPr>
            <w:r w:rsidRPr="00390BE0">
              <w:t>Carcinogenicity – Group 3</w:t>
            </w:r>
          </w:p>
        </w:tc>
      </w:tr>
      <w:tr w:rsidR="00386093" w:rsidRPr="004C23F4" w14:paraId="00036712" w14:textId="77777777" w:rsidTr="00812887">
        <w:trPr>
          <w:cantSplit/>
        </w:trPr>
        <w:tc>
          <w:tcPr>
            <w:tcW w:w="3227" w:type="dxa"/>
          </w:tcPr>
          <w:p w14:paraId="1DFD46C5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890A47F" w14:textId="5FA43CE5" w:rsidR="00386093" w:rsidRPr="00DD2F9B" w:rsidRDefault="00390BE0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1D95C33B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56F6FED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EEA2383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F258EF4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72496C23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142" w:type="dxa"/>
              <w:tblLook w:val="04A0" w:firstRow="1" w:lastRow="0" w:firstColumn="1" w:lastColumn="0" w:noHBand="0" w:noVBand="1"/>
            </w:tblPr>
            <w:tblGrid>
              <w:gridCol w:w="3314"/>
              <w:gridCol w:w="976"/>
              <w:gridCol w:w="976"/>
              <w:gridCol w:w="1438"/>
              <w:gridCol w:w="1438"/>
            </w:tblGrid>
            <w:tr w:rsidR="00D95C70" w:rsidRPr="00D95C70" w14:paraId="1D0C345B" w14:textId="77777777" w:rsidTr="00D95C70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FF202D" w14:textId="77777777" w:rsidR="00D95C70" w:rsidRPr="00D95C70" w:rsidRDefault="00D95C70" w:rsidP="00D95C7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8230C5" w14:textId="77777777" w:rsidR="00D95C70" w:rsidRPr="00D95C70" w:rsidRDefault="00D95C70" w:rsidP="00D95C7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95C7EA" w14:textId="77777777" w:rsidR="00D95C70" w:rsidRPr="00D95C70" w:rsidRDefault="00D95C70" w:rsidP="00D95C7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232763" w14:textId="77777777" w:rsidR="00D95C70" w:rsidRPr="00D95C70" w:rsidRDefault="00D95C70" w:rsidP="00D95C7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AAD076" w14:textId="77777777" w:rsidR="00D95C70" w:rsidRPr="00D95C70" w:rsidRDefault="00D95C70" w:rsidP="00D95C7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95C70" w:rsidRPr="00D95C70" w14:paraId="45E86515" w14:textId="77777777" w:rsidTr="00D95C70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4159B4" w14:textId="77777777" w:rsidR="00D95C70" w:rsidRPr="00D95C70" w:rsidRDefault="00D95C70" w:rsidP="00D95C7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1B35A3" w14:textId="77777777" w:rsidR="00D95C70" w:rsidRPr="00D95C70" w:rsidRDefault="00D95C70" w:rsidP="00D95C7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E5BA1A" w14:textId="77777777" w:rsidR="00D95C70" w:rsidRPr="00D95C70" w:rsidRDefault="00D95C70" w:rsidP="00D95C7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217C72" w14:textId="77777777" w:rsidR="00D95C70" w:rsidRPr="00D95C70" w:rsidRDefault="00D95C70" w:rsidP="00D95C7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AFE4C7" w14:textId="77777777" w:rsidR="00D95C70" w:rsidRPr="00D95C70" w:rsidRDefault="00D95C70" w:rsidP="00D95C7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95C70" w:rsidRPr="00D95C70" w14:paraId="010A33D0" w14:textId="77777777" w:rsidTr="00D95C70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7AB8B5" w14:textId="77777777" w:rsidR="00D95C70" w:rsidRPr="00D95C70" w:rsidRDefault="00D95C70" w:rsidP="00D95C7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0CEF0B" w14:textId="77777777" w:rsidR="00D95C70" w:rsidRPr="00D95C70" w:rsidRDefault="00D95C70" w:rsidP="00D95C7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3B3310" w14:textId="77777777" w:rsidR="00D95C70" w:rsidRPr="00D95C70" w:rsidRDefault="00D95C70" w:rsidP="00D95C7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22E440" w14:textId="77777777" w:rsidR="00D95C70" w:rsidRPr="00D95C70" w:rsidRDefault="00D95C70" w:rsidP="00D95C7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9B3341" w14:textId="77777777" w:rsidR="00D95C70" w:rsidRPr="00D95C70" w:rsidRDefault="00D95C70" w:rsidP="00D95C7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95C70" w:rsidRPr="00D95C70" w14:paraId="42DA2C90" w14:textId="77777777" w:rsidTr="00D95C70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7254F3" w14:textId="77777777" w:rsidR="00D95C70" w:rsidRPr="00D95C70" w:rsidRDefault="00D95C70" w:rsidP="00D95C7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31FCCA" w14:textId="77777777" w:rsidR="00D95C70" w:rsidRPr="00D95C70" w:rsidRDefault="00D95C70" w:rsidP="00D95C7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BBC931" w14:textId="77777777" w:rsidR="00D95C70" w:rsidRPr="00D95C70" w:rsidRDefault="00D95C70" w:rsidP="00D95C7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2247A6" w14:textId="77777777" w:rsidR="00D95C70" w:rsidRPr="00D95C70" w:rsidRDefault="00D95C70" w:rsidP="00D95C7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23860B" w14:textId="77777777" w:rsidR="00D95C70" w:rsidRPr="00D95C70" w:rsidRDefault="00D95C70" w:rsidP="00D95C7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95C70" w:rsidRPr="00D95C70" w14:paraId="12730969" w14:textId="77777777" w:rsidTr="00D95C70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EC5E9D" w14:textId="77777777" w:rsidR="00D95C70" w:rsidRPr="00D95C70" w:rsidRDefault="00D95C70" w:rsidP="00D95C7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4F67FC1" w14:textId="77777777" w:rsidR="00D95C70" w:rsidRPr="00D95C70" w:rsidRDefault="00D95C70" w:rsidP="00D95C7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8FFD56" w14:textId="77777777" w:rsidR="00D95C70" w:rsidRPr="00D95C70" w:rsidRDefault="00D95C70" w:rsidP="00D95C7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F68736" w14:textId="77777777" w:rsidR="00D95C70" w:rsidRPr="00D95C70" w:rsidRDefault="00D95C70" w:rsidP="00D95C7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ADFA96" w14:textId="77777777" w:rsidR="00D95C70" w:rsidRPr="00D95C70" w:rsidRDefault="00D95C70" w:rsidP="00D95C7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95C70" w:rsidRPr="00D95C70" w14:paraId="19161AEE" w14:textId="77777777" w:rsidTr="00D95C70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3CCE78" w14:textId="77777777" w:rsidR="00D95C70" w:rsidRPr="00D95C70" w:rsidRDefault="00D95C70" w:rsidP="00D95C7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51C9BCD1" w14:textId="77777777" w:rsidR="00D95C70" w:rsidRPr="00D95C70" w:rsidRDefault="00D95C70" w:rsidP="00D95C7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5D74FE" w14:textId="77777777" w:rsidR="00D95C70" w:rsidRPr="00D95C70" w:rsidRDefault="00D95C70" w:rsidP="00D95C7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2.00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5E10A8" w14:textId="77777777" w:rsidR="00D95C70" w:rsidRPr="00D95C70" w:rsidRDefault="00D95C70" w:rsidP="00D95C7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B1FBCF" w14:textId="77777777" w:rsidR="00D95C70" w:rsidRPr="00D95C70" w:rsidRDefault="00D95C70" w:rsidP="00D95C7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95C70" w:rsidRPr="00D95C70" w14:paraId="0B43F7F4" w14:textId="77777777" w:rsidTr="00D95C70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13D124" w14:textId="77777777" w:rsidR="00D95C70" w:rsidRPr="00D95C70" w:rsidRDefault="00D95C70" w:rsidP="00D95C7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4AF9CB" w14:textId="77777777" w:rsidR="00D95C70" w:rsidRPr="00D95C70" w:rsidRDefault="00D95C70" w:rsidP="00D95C7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5D9E90" w14:textId="77777777" w:rsidR="00D95C70" w:rsidRPr="00D95C70" w:rsidRDefault="00D95C70" w:rsidP="00D95C7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2.5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98DC30" w14:textId="77777777" w:rsidR="00D95C70" w:rsidRPr="00D95C70" w:rsidRDefault="00D95C70" w:rsidP="00D95C70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95C70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47611402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05C66BA3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243CBAB8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81BF581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3A60C8F" w14:textId="34939693" w:rsidR="00EB3D1B" w:rsidRDefault="00390BE0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48D3E67B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563DBB8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43DDB06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54081C97" w14:textId="7679D414" w:rsidR="001B79E5" w:rsidRDefault="00390BE0" w:rsidP="001B79E5">
                <w:pPr>
                  <w:pStyle w:val="Tablefont"/>
                </w:pPr>
                <w:r w:rsidRPr="00390BE0">
                  <w:t>110.11</w:t>
                </w:r>
              </w:p>
            </w:tc>
          </w:sdtContent>
        </w:sdt>
      </w:tr>
      <w:tr w:rsidR="00A31D99" w:rsidRPr="004C23F4" w14:paraId="0131A57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94FE863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2992D63D" w14:textId="446686B1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04705A">
                  <w:t>4.5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04705A">
                  <w:t>0.222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4A4BA60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8A4E499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8E2A7CA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FA464C8" w14:textId="77777777" w:rsidTr="00EA6243">
        <w:trPr>
          <w:cantSplit/>
        </w:trPr>
        <w:tc>
          <w:tcPr>
            <w:tcW w:w="4077" w:type="dxa"/>
            <w:vAlign w:val="center"/>
          </w:tcPr>
          <w:p w14:paraId="532D5CD8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E4F9F71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4FE8D36" w14:textId="77777777" w:rsidTr="00EA6243">
        <w:trPr>
          <w:cantSplit/>
        </w:trPr>
        <w:tc>
          <w:tcPr>
            <w:tcW w:w="4077" w:type="dxa"/>
            <w:vAlign w:val="center"/>
          </w:tcPr>
          <w:p w14:paraId="00BAFF03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0D5CBF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8EC0F09" w14:textId="77777777" w:rsidTr="00EA6243">
        <w:trPr>
          <w:cantSplit/>
        </w:trPr>
        <w:tc>
          <w:tcPr>
            <w:tcW w:w="4077" w:type="dxa"/>
            <w:vAlign w:val="center"/>
          </w:tcPr>
          <w:p w14:paraId="747C24B9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999B61B" w14:textId="77777777" w:rsidR="00E06F40" w:rsidRPr="00A006A0" w:rsidRDefault="00B8128F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309B552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247C73D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67DD7BD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54CA5C67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C26464C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6B3579C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934DD9A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536393EC" w14:textId="77777777" w:rsidR="00F87D92" w:rsidRDefault="00F87D92" w:rsidP="00D86858">
      <w:pPr>
        <w:pStyle w:val="Heading2"/>
        <w:tabs>
          <w:tab w:val="right" w:pos="8505"/>
        </w:tabs>
      </w:pPr>
      <w:r>
        <w:lastRenderedPageBreak/>
        <w:t>References</w:t>
      </w:r>
      <w:r w:rsidR="00EF7F78">
        <w:tab/>
      </w:r>
    </w:p>
    <w:p w14:paraId="2E2E950F" w14:textId="0A562E48" w:rsidR="007F1005" w:rsidRDefault="006650FE" w:rsidP="00CB3B56">
      <w:pPr>
        <w:keepNext/>
      </w:pPr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73A3CC6" w14:textId="1C8900A1" w:rsidR="0004705A" w:rsidRDefault="0004705A" w:rsidP="00CB3B56">
      <w:pPr>
        <w:keepNext/>
      </w:pPr>
      <w:r w:rsidRPr="002022B6">
        <w:t>Deutsche Forschungsgemeinschaft (DFG)</w:t>
      </w:r>
      <w:r>
        <w:t xml:space="preserve"> (2013) </w:t>
      </w:r>
      <w:r w:rsidRPr="0004705A">
        <w:t>Hydroquinone</w:t>
      </w:r>
      <w:r>
        <w:t xml:space="preserve"> – MAK value documentation.</w:t>
      </w:r>
    </w:p>
    <w:p w14:paraId="2DDBD589" w14:textId="3260458D" w:rsidR="0004705A" w:rsidRDefault="0004705A" w:rsidP="00CB3B56">
      <w:pPr>
        <w:keepNext/>
      </w:pPr>
      <w:r>
        <w:t xml:space="preserve">European Chemicals Agency (ECHA) (2019) </w:t>
      </w:r>
      <w:r w:rsidRPr="0004705A">
        <w:t>Hydroquinone</w:t>
      </w:r>
      <w:r>
        <w:t xml:space="preserve"> – REACH assessment.</w:t>
      </w:r>
    </w:p>
    <w:p w14:paraId="351D643F" w14:textId="3D497264" w:rsidR="0004705A" w:rsidRDefault="0004705A" w:rsidP="00CB3B56">
      <w:pPr>
        <w:keepNext/>
      </w:pPr>
      <w:r w:rsidRPr="002022B6">
        <w:t>International Agency for Research on Cancer</w:t>
      </w:r>
      <w:r>
        <w:t xml:space="preserve"> (IARC) (</w:t>
      </w:r>
      <w:r w:rsidRPr="0004705A">
        <w:t>1999</w:t>
      </w:r>
      <w:r>
        <w:t xml:space="preserve">) </w:t>
      </w:r>
      <w:r w:rsidRPr="0004705A">
        <w:t>Hydroquinone</w:t>
      </w:r>
      <w:r>
        <w:t>. IARC Monographs on the evaluation of the carcinogenic risk to humans.</w:t>
      </w:r>
    </w:p>
    <w:p w14:paraId="4AABDEE7" w14:textId="70BE00D4" w:rsidR="0004705A" w:rsidRDefault="0004705A" w:rsidP="00CB3B56">
      <w:pPr>
        <w:keepNext/>
        <w:rPr>
          <w:b/>
        </w:rPr>
      </w:pPr>
      <w:r w:rsidRPr="002022B6">
        <w:t>National Industrial Chemicals Notification and Assessment Scheme (NICNAS)</w:t>
      </w:r>
      <w:r>
        <w:t xml:space="preserve"> (2014) </w:t>
      </w:r>
      <w:r w:rsidRPr="0004705A">
        <w:t>1,4-Benzenediol</w:t>
      </w:r>
      <w:r w:rsidRPr="0071660C">
        <w:t xml:space="preserve">: Human health </w:t>
      </w:r>
      <w:r>
        <w:t xml:space="preserve">tier II </w:t>
      </w:r>
      <w:r w:rsidRPr="0071660C">
        <w:t>assessment</w:t>
      </w:r>
      <w:r>
        <w:t xml:space="preserve"> – IMAP report.</w:t>
      </w:r>
    </w:p>
    <w:p w14:paraId="5CFED0DA" w14:textId="46DB228E" w:rsidR="00D86858" w:rsidRDefault="00D86858" w:rsidP="00D86858">
      <w:pPr>
        <w:keepNext/>
      </w:pPr>
      <w:r w:rsidRPr="0035432C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5FC97BDF" w14:textId="73FA3B0A" w:rsidR="00C63C69" w:rsidRDefault="00C63C69" w:rsidP="00C63C69">
      <w:r>
        <w:t>US Environmental Protection Authority (US EPA) (1990) Integrated Risk Information System (IRIS) Chemical Assessment Summary – Hydroquinone.</w:t>
      </w:r>
    </w:p>
    <w:p w14:paraId="1658637E" w14:textId="35F8D0CF" w:rsidR="0004705A" w:rsidRPr="00351FE0" w:rsidRDefault="0004705A" w:rsidP="00CB3B56">
      <w:pPr>
        <w:keepNext/>
      </w:pPr>
      <w:r w:rsidRPr="00D86E03">
        <w:t>US National Institute for Occupational Safety and Health (NIOSH)</w:t>
      </w:r>
      <w:r>
        <w:t xml:space="preserve"> (1994) Immediately dangerous to life or health concentrations – </w:t>
      </w:r>
      <w:r w:rsidRPr="0004705A">
        <w:t>Hydroquinone</w:t>
      </w:r>
      <w:r>
        <w:t>.</w:t>
      </w:r>
    </w:p>
    <w:sectPr w:rsidR="0004705A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3827C" w14:textId="77777777" w:rsidR="00B0032B" w:rsidRDefault="00B0032B" w:rsidP="00F43AD5">
      <w:pPr>
        <w:spacing w:after="0" w:line="240" w:lineRule="auto"/>
      </w:pPr>
      <w:r>
        <w:separator/>
      </w:r>
    </w:p>
  </w:endnote>
  <w:endnote w:type="continuationSeparator" w:id="0">
    <w:p w14:paraId="3E249388" w14:textId="77777777" w:rsidR="00B0032B" w:rsidRDefault="00B0032B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4F5D" w14:textId="77777777" w:rsidR="00BF7BD7" w:rsidRDefault="00BF7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D338D35" w14:textId="3B752853" w:rsidR="008A36CF" w:rsidRDefault="00C1118D" w:rsidP="0034744C">
        <w:pPr>
          <w:pStyle w:val="Footer"/>
          <w:rPr>
            <w:sz w:val="18"/>
            <w:szCs w:val="18"/>
          </w:rPr>
        </w:pPr>
        <w:r w:rsidRPr="00C1118D">
          <w:rPr>
            <w:b/>
            <w:sz w:val="18"/>
            <w:szCs w:val="18"/>
          </w:rPr>
          <w:t>Hydroquinone</w:t>
        </w:r>
        <w:r w:rsidR="008A36CF">
          <w:rPr>
            <w:b/>
            <w:sz w:val="18"/>
            <w:szCs w:val="18"/>
          </w:rPr>
          <w:t xml:space="preserve"> (</w:t>
        </w:r>
        <w:r w:rsidRPr="00C1118D">
          <w:rPr>
            <w:b/>
            <w:sz w:val="18"/>
            <w:szCs w:val="18"/>
          </w:rPr>
          <w:t>123-31-9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DBD2A61" w14:textId="3AA3A0D4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B8128F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8EB8" w14:textId="77777777" w:rsidR="00BF7BD7" w:rsidRDefault="00BF7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1CEB9" w14:textId="77777777" w:rsidR="00B0032B" w:rsidRDefault="00B0032B" w:rsidP="00F43AD5">
      <w:pPr>
        <w:spacing w:after="0" w:line="240" w:lineRule="auto"/>
      </w:pPr>
      <w:r>
        <w:separator/>
      </w:r>
    </w:p>
  </w:footnote>
  <w:footnote w:type="continuationSeparator" w:id="0">
    <w:p w14:paraId="252FDD32" w14:textId="77777777" w:rsidR="00B0032B" w:rsidRDefault="00B0032B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F9353" w14:textId="77777777" w:rsidR="00BF7BD7" w:rsidRDefault="00BF7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1D00F" w14:textId="36635D51" w:rsidR="00B8128F" w:rsidRDefault="00B8128F" w:rsidP="00B8128F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1AFFCC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7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625A483A" wp14:editId="6E4A6075">
          <wp:extent cx="294132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D589C7" w14:textId="049D20CB" w:rsidR="008A36CF" w:rsidRPr="00B8128F" w:rsidRDefault="008A36CF" w:rsidP="00B812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67B9E" w14:textId="77777777" w:rsidR="00BF7BD7" w:rsidRDefault="00BF7B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A1257" w14:textId="17390B66" w:rsidR="00B8128F" w:rsidRDefault="00B8128F" w:rsidP="00B8128F">
    <w:pPr>
      <w:pStyle w:val="Header"/>
      <w:jc w:val="right"/>
    </w:pPr>
    <w:sdt>
      <w:sdtPr>
        <w:id w:val="257721137"/>
        <w:docPartObj>
          <w:docPartGallery w:val="Watermarks"/>
          <w:docPartUnique/>
        </w:docPartObj>
      </w:sdtPr>
      <w:sdtContent>
        <w:r>
          <w:pict w14:anchorId="64CE39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4338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5671B0FA" wp14:editId="6652F2CA">
          <wp:extent cx="294132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400D2D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A0B4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CE1E41"/>
    <w:multiLevelType w:val="hybridMultilevel"/>
    <w:tmpl w:val="9F6ED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E53262"/>
    <w:multiLevelType w:val="hybridMultilevel"/>
    <w:tmpl w:val="4AA869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923F3C"/>
    <w:multiLevelType w:val="hybridMultilevel"/>
    <w:tmpl w:val="38347E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4B62"/>
    <w:rsid w:val="00046DF5"/>
    <w:rsid w:val="0004705A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86D8F"/>
    <w:rsid w:val="00092D94"/>
    <w:rsid w:val="000A1ACB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2723D"/>
    <w:rsid w:val="00131092"/>
    <w:rsid w:val="00140E6A"/>
    <w:rsid w:val="00146545"/>
    <w:rsid w:val="00146B75"/>
    <w:rsid w:val="0015266D"/>
    <w:rsid w:val="0015288A"/>
    <w:rsid w:val="00160F47"/>
    <w:rsid w:val="00165B2B"/>
    <w:rsid w:val="001758BF"/>
    <w:rsid w:val="00177CA1"/>
    <w:rsid w:val="00183823"/>
    <w:rsid w:val="00183942"/>
    <w:rsid w:val="001A009E"/>
    <w:rsid w:val="001A1287"/>
    <w:rsid w:val="001A3859"/>
    <w:rsid w:val="001A3C9D"/>
    <w:rsid w:val="001A43F8"/>
    <w:rsid w:val="001A4B3D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27AF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1611"/>
    <w:rsid w:val="00263255"/>
    <w:rsid w:val="00276494"/>
    <w:rsid w:val="00277B0C"/>
    <w:rsid w:val="0028127D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26EB7"/>
    <w:rsid w:val="00330D3B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0EBD"/>
    <w:rsid w:val="00362895"/>
    <w:rsid w:val="00370DBF"/>
    <w:rsid w:val="00386093"/>
    <w:rsid w:val="003904A4"/>
    <w:rsid w:val="00390BE0"/>
    <w:rsid w:val="00391841"/>
    <w:rsid w:val="00391B6D"/>
    <w:rsid w:val="00394922"/>
    <w:rsid w:val="003A0E32"/>
    <w:rsid w:val="003A2B94"/>
    <w:rsid w:val="003B387D"/>
    <w:rsid w:val="003C0D58"/>
    <w:rsid w:val="003D3482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3364F"/>
    <w:rsid w:val="004414B5"/>
    <w:rsid w:val="00444482"/>
    <w:rsid w:val="00444B42"/>
    <w:rsid w:val="00445E44"/>
    <w:rsid w:val="004509E2"/>
    <w:rsid w:val="004515EE"/>
    <w:rsid w:val="004529F0"/>
    <w:rsid w:val="00460A03"/>
    <w:rsid w:val="00465E2B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40F0"/>
    <w:rsid w:val="004B528D"/>
    <w:rsid w:val="004C1E3F"/>
    <w:rsid w:val="004C23F4"/>
    <w:rsid w:val="004C3475"/>
    <w:rsid w:val="004C58B6"/>
    <w:rsid w:val="004D16A3"/>
    <w:rsid w:val="004D4AA1"/>
    <w:rsid w:val="004D696F"/>
    <w:rsid w:val="004D6D68"/>
    <w:rsid w:val="004E5EDD"/>
    <w:rsid w:val="004F448A"/>
    <w:rsid w:val="004F493D"/>
    <w:rsid w:val="004F65E8"/>
    <w:rsid w:val="0050005E"/>
    <w:rsid w:val="00500F23"/>
    <w:rsid w:val="00502B88"/>
    <w:rsid w:val="005142C4"/>
    <w:rsid w:val="0051509C"/>
    <w:rsid w:val="005272E2"/>
    <w:rsid w:val="0053108F"/>
    <w:rsid w:val="00532B56"/>
    <w:rsid w:val="00534B10"/>
    <w:rsid w:val="0053656A"/>
    <w:rsid w:val="005446A2"/>
    <w:rsid w:val="00544D2F"/>
    <w:rsid w:val="00551BD8"/>
    <w:rsid w:val="00576835"/>
    <w:rsid w:val="00581055"/>
    <w:rsid w:val="00591E38"/>
    <w:rsid w:val="005A19C5"/>
    <w:rsid w:val="005A3034"/>
    <w:rsid w:val="005A462D"/>
    <w:rsid w:val="005B253B"/>
    <w:rsid w:val="005B771D"/>
    <w:rsid w:val="005C5D16"/>
    <w:rsid w:val="005D2084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19EC"/>
    <w:rsid w:val="00631D49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65CA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4CCC"/>
    <w:rsid w:val="006B160A"/>
    <w:rsid w:val="006B4E6C"/>
    <w:rsid w:val="006B50B6"/>
    <w:rsid w:val="006D79EA"/>
    <w:rsid w:val="006E5D05"/>
    <w:rsid w:val="00701053"/>
    <w:rsid w:val="00701507"/>
    <w:rsid w:val="007037B4"/>
    <w:rsid w:val="00714021"/>
    <w:rsid w:val="00716A0F"/>
    <w:rsid w:val="00717D45"/>
    <w:rsid w:val="007208F7"/>
    <w:rsid w:val="007218AF"/>
    <w:rsid w:val="007365D1"/>
    <w:rsid w:val="00740E0E"/>
    <w:rsid w:val="00744EED"/>
    <w:rsid w:val="00750212"/>
    <w:rsid w:val="00754779"/>
    <w:rsid w:val="00754E7F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186C"/>
    <w:rsid w:val="007A20B0"/>
    <w:rsid w:val="007B1B42"/>
    <w:rsid w:val="007C30EB"/>
    <w:rsid w:val="007C6D76"/>
    <w:rsid w:val="007E063C"/>
    <w:rsid w:val="007E2A4B"/>
    <w:rsid w:val="007E307D"/>
    <w:rsid w:val="007E6A4E"/>
    <w:rsid w:val="007E6C94"/>
    <w:rsid w:val="007E7762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52E9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4AC2"/>
    <w:rsid w:val="00916909"/>
    <w:rsid w:val="00916EC0"/>
    <w:rsid w:val="00920467"/>
    <w:rsid w:val="00920A2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63229"/>
    <w:rsid w:val="009740F7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5301"/>
    <w:rsid w:val="00A0643F"/>
    <w:rsid w:val="00A067EE"/>
    <w:rsid w:val="00A10FCE"/>
    <w:rsid w:val="00A14B66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090D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32B"/>
    <w:rsid w:val="00B00A25"/>
    <w:rsid w:val="00B11425"/>
    <w:rsid w:val="00B1422A"/>
    <w:rsid w:val="00B1765C"/>
    <w:rsid w:val="00B213C4"/>
    <w:rsid w:val="00B40C60"/>
    <w:rsid w:val="00B479A9"/>
    <w:rsid w:val="00B52EDF"/>
    <w:rsid w:val="00B55287"/>
    <w:rsid w:val="00B71188"/>
    <w:rsid w:val="00B76A41"/>
    <w:rsid w:val="00B8128F"/>
    <w:rsid w:val="00B87D4C"/>
    <w:rsid w:val="00B93646"/>
    <w:rsid w:val="00BA0B38"/>
    <w:rsid w:val="00BA1DBB"/>
    <w:rsid w:val="00BA4510"/>
    <w:rsid w:val="00BA529A"/>
    <w:rsid w:val="00BB612A"/>
    <w:rsid w:val="00BC6F41"/>
    <w:rsid w:val="00BD41C0"/>
    <w:rsid w:val="00BD499F"/>
    <w:rsid w:val="00BD56DE"/>
    <w:rsid w:val="00BF2406"/>
    <w:rsid w:val="00BF7BD7"/>
    <w:rsid w:val="00C06E43"/>
    <w:rsid w:val="00C1118D"/>
    <w:rsid w:val="00C16315"/>
    <w:rsid w:val="00C3091E"/>
    <w:rsid w:val="00C40FF1"/>
    <w:rsid w:val="00C419E2"/>
    <w:rsid w:val="00C5020E"/>
    <w:rsid w:val="00C57452"/>
    <w:rsid w:val="00C61EDF"/>
    <w:rsid w:val="00C6239D"/>
    <w:rsid w:val="00C63C69"/>
    <w:rsid w:val="00C6594B"/>
    <w:rsid w:val="00C67FFB"/>
    <w:rsid w:val="00C7155E"/>
    <w:rsid w:val="00C71D1E"/>
    <w:rsid w:val="00C71D7D"/>
    <w:rsid w:val="00C74833"/>
    <w:rsid w:val="00C822A2"/>
    <w:rsid w:val="00C850A0"/>
    <w:rsid w:val="00C85A86"/>
    <w:rsid w:val="00C978F0"/>
    <w:rsid w:val="00CA58FE"/>
    <w:rsid w:val="00CB1CB1"/>
    <w:rsid w:val="00CB3B56"/>
    <w:rsid w:val="00CB6BC1"/>
    <w:rsid w:val="00CB6CB8"/>
    <w:rsid w:val="00CC1A68"/>
    <w:rsid w:val="00CC2123"/>
    <w:rsid w:val="00CD2BFD"/>
    <w:rsid w:val="00CE5AD6"/>
    <w:rsid w:val="00CE60FA"/>
    <w:rsid w:val="00CE617F"/>
    <w:rsid w:val="00CE78EF"/>
    <w:rsid w:val="00D048F7"/>
    <w:rsid w:val="00D0517E"/>
    <w:rsid w:val="00D10610"/>
    <w:rsid w:val="00D140FC"/>
    <w:rsid w:val="00D21D8C"/>
    <w:rsid w:val="00D3008D"/>
    <w:rsid w:val="00D31357"/>
    <w:rsid w:val="00D33220"/>
    <w:rsid w:val="00D334D1"/>
    <w:rsid w:val="00D44C89"/>
    <w:rsid w:val="00D516CD"/>
    <w:rsid w:val="00D668E6"/>
    <w:rsid w:val="00D70670"/>
    <w:rsid w:val="00D7343E"/>
    <w:rsid w:val="00D74D80"/>
    <w:rsid w:val="00D76624"/>
    <w:rsid w:val="00D86858"/>
    <w:rsid w:val="00D87570"/>
    <w:rsid w:val="00D91CB9"/>
    <w:rsid w:val="00D95C70"/>
    <w:rsid w:val="00D97362"/>
    <w:rsid w:val="00D97989"/>
    <w:rsid w:val="00D97D8D"/>
    <w:rsid w:val="00DA352E"/>
    <w:rsid w:val="00DA7C8B"/>
    <w:rsid w:val="00DC2F0E"/>
    <w:rsid w:val="00DC7694"/>
    <w:rsid w:val="00DD1BF6"/>
    <w:rsid w:val="00DD2F9B"/>
    <w:rsid w:val="00DE2513"/>
    <w:rsid w:val="00DE26E8"/>
    <w:rsid w:val="00DE6424"/>
    <w:rsid w:val="00DF6F36"/>
    <w:rsid w:val="00E0084C"/>
    <w:rsid w:val="00E025AB"/>
    <w:rsid w:val="00E02B23"/>
    <w:rsid w:val="00E06F40"/>
    <w:rsid w:val="00E07CE8"/>
    <w:rsid w:val="00E26A07"/>
    <w:rsid w:val="00E2706B"/>
    <w:rsid w:val="00E32595"/>
    <w:rsid w:val="00E37CFD"/>
    <w:rsid w:val="00E40D85"/>
    <w:rsid w:val="00E41A26"/>
    <w:rsid w:val="00E4225B"/>
    <w:rsid w:val="00E46BCB"/>
    <w:rsid w:val="00E47EFC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09E9"/>
    <w:rsid w:val="00F01B08"/>
    <w:rsid w:val="00F01C4D"/>
    <w:rsid w:val="00F053FA"/>
    <w:rsid w:val="00F10C97"/>
    <w:rsid w:val="00F11C71"/>
    <w:rsid w:val="00F128EE"/>
    <w:rsid w:val="00F16019"/>
    <w:rsid w:val="00F20E68"/>
    <w:rsid w:val="00F22093"/>
    <w:rsid w:val="00F236DF"/>
    <w:rsid w:val="00F43AD5"/>
    <w:rsid w:val="00F4402E"/>
    <w:rsid w:val="00F53651"/>
    <w:rsid w:val="00F56DD0"/>
    <w:rsid w:val="00F64431"/>
    <w:rsid w:val="00F6491C"/>
    <w:rsid w:val="00F67BBB"/>
    <w:rsid w:val="00F87D92"/>
    <w:rsid w:val="00F9057A"/>
    <w:rsid w:val="00F90AA7"/>
    <w:rsid w:val="00F92498"/>
    <w:rsid w:val="00F9496B"/>
    <w:rsid w:val="00F970C9"/>
    <w:rsid w:val="00FA06A8"/>
    <w:rsid w:val="00FA3DF5"/>
    <w:rsid w:val="00FA741F"/>
    <w:rsid w:val="00FB4990"/>
    <w:rsid w:val="00FB4E07"/>
    <w:rsid w:val="00FB755A"/>
    <w:rsid w:val="00FC60A2"/>
    <w:rsid w:val="00FD1871"/>
    <w:rsid w:val="00FD3110"/>
    <w:rsid w:val="00FD3B31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04705A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261611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1758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1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9E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9E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9E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E1488E7308584364A0D3906B64C57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0CB05-B448-48A8-ADAD-F12F7638251D}"/>
      </w:docPartPr>
      <w:docPartBody>
        <w:p w:rsidR="00C741A3" w:rsidRDefault="0049118A" w:rsidP="0049118A">
          <w:pPr>
            <w:pStyle w:val="E1488E7308584364A0D3906B64C57FB4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C5E30"/>
    <w:rsid w:val="0049118A"/>
    <w:rsid w:val="004C499F"/>
    <w:rsid w:val="00C741A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18A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6EAA1B8193AE4E93B5BB8EAF372165C8">
    <w:name w:val="6EAA1B8193AE4E93B5BB8EAF372165C8"/>
    <w:rsid w:val="004C499F"/>
  </w:style>
  <w:style w:type="paragraph" w:customStyle="1" w:styleId="407E25F0471B4BBF978D2E199DD62AF3">
    <w:name w:val="407E25F0471B4BBF978D2E199DD62AF3"/>
    <w:rsid w:val="004C499F"/>
  </w:style>
  <w:style w:type="paragraph" w:customStyle="1" w:styleId="72A0E442FD6E478E915D0AE07EEE4728">
    <w:name w:val="72A0E442FD6E478E915D0AE07EEE4728"/>
    <w:rsid w:val="004C499F"/>
  </w:style>
  <w:style w:type="paragraph" w:customStyle="1" w:styleId="D39B0513821343E2928A530B902F6423">
    <w:name w:val="D39B0513821343E2928A530B902F6423"/>
    <w:rsid w:val="004C499F"/>
  </w:style>
  <w:style w:type="paragraph" w:customStyle="1" w:styleId="8765DEF2EE68466FB44A2B621736B952">
    <w:name w:val="8765DEF2EE68466FB44A2B621736B952"/>
    <w:rsid w:val="004C499F"/>
  </w:style>
  <w:style w:type="paragraph" w:customStyle="1" w:styleId="AB90F84674234A6CB76070E5D0AAFFD0">
    <w:name w:val="AB90F84674234A6CB76070E5D0AAFFD0"/>
    <w:rsid w:val="004C499F"/>
  </w:style>
  <w:style w:type="paragraph" w:customStyle="1" w:styleId="291D0C9BB046495BBF4A17999684D330">
    <w:name w:val="291D0C9BB046495BBF4A17999684D330"/>
    <w:rsid w:val="004C499F"/>
  </w:style>
  <w:style w:type="paragraph" w:customStyle="1" w:styleId="AA659E6D7A4E43EC9FBFA37B2D147CB6">
    <w:name w:val="AA659E6D7A4E43EC9FBFA37B2D147CB6"/>
    <w:rsid w:val="004C499F"/>
  </w:style>
  <w:style w:type="paragraph" w:customStyle="1" w:styleId="24C669BD3C37476C81A7E45716BAA065">
    <w:name w:val="24C669BD3C37476C81A7E45716BAA065"/>
    <w:rsid w:val="004C499F"/>
  </w:style>
  <w:style w:type="paragraph" w:customStyle="1" w:styleId="C3D7F4ED15344ECB9A2988C9B243ACAA">
    <w:name w:val="C3D7F4ED15344ECB9A2988C9B243ACAA"/>
    <w:rsid w:val="004C499F"/>
  </w:style>
  <w:style w:type="paragraph" w:customStyle="1" w:styleId="2C660D73AA684D5296138DE5F55C3EC5">
    <w:name w:val="2C660D73AA684D5296138DE5F55C3EC5"/>
    <w:rsid w:val="004C499F"/>
  </w:style>
  <w:style w:type="paragraph" w:customStyle="1" w:styleId="127CA708633544B8828B3541F34A04CE">
    <w:name w:val="127CA708633544B8828B3541F34A04CE"/>
    <w:rsid w:val="004C499F"/>
  </w:style>
  <w:style w:type="paragraph" w:customStyle="1" w:styleId="2C46265337A945E29750F0571A7DD5B6">
    <w:name w:val="2C46265337A945E29750F0571A7DD5B6"/>
    <w:rsid w:val="004C499F"/>
  </w:style>
  <w:style w:type="paragraph" w:customStyle="1" w:styleId="44DEBB2CCE55438490EB6833164B8BED">
    <w:name w:val="44DEBB2CCE55438490EB6833164B8BED"/>
    <w:rsid w:val="004C499F"/>
  </w:style>
  <w:style w:type="paragraph" w:customStyle="1" w:styleId="E1488E7308584364A0D3906B64C57FB4">
    <w:name w:val="E1488E7308584364A0D3906B64C57FB4"/>
    <w:rsid w:val="00491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440B83D59604CAF872C6C0778D4EE" ma:contentTypeVersion="2" ma:contentTypeDescription="Create a new document." ma:contentTypeScope="" ma:versionID="a70f3771f07fe8c51d90fdaa327a0533">
  <xsd:schema xmlns:xsd="http://www.w3.org/2001/XMLSchema" xmlns:xs="http://www.w3.org/2001/XMLSchema" xmlns:p="http://schemas.microsoft.com/office/2006/metadata/properties" xmlns:ns2="4d89c9d3-cf9d-4152-ac9f-ad3059f15688" targetNamespace="http://schemas.microsoft.com/office/2006/metadata/properties" ma:root="true" ma:fieldsID="b264122f9caf19482d10bfd5520e8ea4" ns2:_="">
    <xsd:import namespace="4d89c9d3-cf9d-4152-ac9f-ad3059f15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9c9d3-cf9d-4152-ac9f-ad3059f15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243E-CEA7-4E85-A438-CD3979718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5E376F-25B0-48BE-AAFC-5AAE8BDAB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9c9d3-cf9d-4152-ac9f-ad3059f15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E86E8C-520F-4EB0-AAAC-272B575134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6DE1D-D8AD-4FA2-B70E-6A805CB5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6E71F28A.dotm</Template>
  <TotalTime>0</TotalTime>
  <Pages>7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2019-12-05T04:27:00Z</dcterms:created>
  <dcterms:modified xsi:type="dcterms:W3CDTF">2020-01-15T03:31:00Z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0x010100ED8440B83D59604CAF872C6C0778D4EE</vt:lpwstr>
  </property>
</Properties>
</file>