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A2F86BB" w14:textId="49FD211A" w:rsidR="00BD499F" w:rsidRPr="004C23F4" w:rsidRDefault="002A657E" w:rsidP="00B40C60">
          <w:pPr>
            <w:pStyle w:val="Heading1"/>
            <w:jc w:val="center"/>
            <w:rPr>
              <w:rFonts w:ascii="Arial" w:hAnsi="Arial" w:cs="Arial"/>
            </w:rPr>
          </w:pPr>
          <w:r w:rsidRPr="002A657E">
            <w:rPr>
              <w:rFonts w:ascii="Arial" w:hAnsi="Arial" w:cs="Arial"/>
            </w:rPr>
            <w:t>Iodine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14:paraId="48B372E2" w14:textId="77777777" w:rsidTr="00C2723E">
        <w:trPr>
          <w:cantSplit/>
          <w:tblHeader/>
        </w:trPr>
        <w:tc>
          <w:tcPr>
            <w:tcW w:w="3994" w:type="dxa"/>
          </w:tcPr>
          <w:p w14:paraId="4C50923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2" w:type="dxa"/>
          </w:tcPr>
          <w:p w14:paraId="4A054EF9" w14:textId="2364C343" w:rsidR="00F43AD5" w:rsidRPr="00717D45" w:rsidRDefault="002A657E" w:rsidP="00B76A41">
            <w:pPr>
              <w:pStyle w:val="Tablefont"/>
            </w:pPr>
            <w:r w:rsidRPr="002A657E">
              <w:t>7553-56-2</w:t>
            </w:r>
          </w:p>
        </w:tc>
      </w:tr>
      <w:tr w:rsidR="00F43AD5" w:rsidRPr="004C23F4" w14:paraId="7E3208C9" w14:textId="77777777" w:rsidTr="00C2723E">
        <w:trPr>
          <w:cantSplit/>
        </w:trPr>
        <w:tc>
          <w:tcPr>
            <w:tcW w:w="3994" w:type="dxa"/>
          </w:tcPr>
          <w:p w14:paraId="274B2C6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2" w:type="dxa"/>
          </w:tcPr>
          <w:p w14:paraId="09F45A1F" w14:textId="42B6DFF1" w:rsidR="00F43AD5" w:rsidRPr="00717D45" w:rsidRDefault="002A657E" w:rsidP="00B76A41">
            <w:pPr>
              <w:pStyle w:val="Tablefont"/>
            </w:pPr>
            <w:r w:rsidRPr="002A657E">
              <w:t>—</w:t>
            </w:r>
          </w:p>
        </w:tc>
      </w:tr>
      <w:tr w:rsidR="00F43AD5" w:rsidRPr="004C23F4" w14:paraId="4591F405" w14:textId="77777777" w:rsidTr="00C2723E">
        <w:trPr>
          <w:cantSplit/>
        </w:trPr>
        <w:tc>
          <w:tcPr>
            <w:tcW w:w="3994" w:type="dxa"/>
          </w:tcPr>
          <w:p w14:paraId="608809B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2" w:type="dxa"/>
          </w:tcPr>
          <w:p w14:paraId="5DE8C31C" w14:textId="3CC2DA48" w:rsidR="00F43AD5" w:rsidRPr="00717D45" w:rsidRDefault="002A657E" w:rsidP="00B76A41">
            <w:pPr>
              <w:pStyle w:val="Tablefont"/>
            </w:pPr>
            <w:r>
              <w:t>I</w:t>
            </w:r>
            <w:r w:rsidRPr="002A657E">
              <w:rPr>
                <w:vertAlign w:val="subscript"/>
              </w:rPr>
              <w:t>2</w:t>
            </w:r>
          </w:p>
        </w:tc>
      </w:tr>
    </w:tbl>
    <w:p w14:paraId="2943D1E9" w14:textId="3641BA7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2723E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F5C0F33" w14:textId="77777777" w:rsidTr="00E31871">
        <w:trPr>
          <w:cantSplit/>
          <w:tblHeader/>
        </w:trPr>
        <w:tc>
          <w:tcPr>
            <w:tcW w:w="4005" w:type="dxa"/>
            <w:vAlign w:val="center"/>
          </w:tcPr>
          <w:p w14:paraId="29D8A68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77A0699" w14:textId="5BDCD3EF" w:rsidR="002C7AFE" w:rsidRPr="002657AB" w:rsidRDefault="002657A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0.01 ppm (0.1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F8B9659" w14:textId="77777777" w:rsidTr="00E31871">
        <w:trPr>
          <w:cantSplit/>
        </w:trPr>
        <w:tc>
          <w:tcPr>
            <w:tcW w:w="4005" w:type="dxa"/>
            <w:vAlign w:val="center"/>
          </w:tcPr>
          <w:p w14:paraId="29BFD57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F6E24EE" w14:textId="6A597E8B" w:rsidR="002C7AFE" w:rsidRPr="002657AB" w:rsidRDefault="002657A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09A37D5" w14:textId="77777777" w:rsidTr="00E31871">
        <w:trPr>
          <w:cantSplit/>
        </w:trPr>
        <w:tc>
          <w:tcPr>
            <w:tcW w:w="4005" w:type="dxa"/>
            <w:vAlign w:val="center"/>
          </w:tcPr>
          <w:p w14:paraId="2913D70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792C392C" w14:textId="2DC3D242" w:rsidR="002C7AFE" w:rsidRPr="00EB3D1B" w:rsidRDefault="002657A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 ppm (1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4A5C787" w14:textId="77777777" w:rsidTr="00E31871">
        <w:trPr>
          <w:cantSplit/>
        </w:trPr>
        <w:tc>
          <w:tcPr>
            <w:tcW w:w="4005" w:type="dxa"/>
          </w:tcPr>
          <w:p w14:paraId="275CC11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C697477" w14:textId="7A8E5AC6" w:rsidR="002C7AFE" w:rsidRPr="00EB3D1B" w:rsidRDefault="002657A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E3E2BBA" w14:textId="77777777" w:rsidTr="00E31871">
        <w:trPr>
          <w:cantSplit/>
        </w:trPr>
        <w:tc>
          <w:tcPr>
            <w:tcW w:w="4005" w:type="dxa"/>
            <w:vAlign w:val="center"/>
          </w:tcPr>
          <w:p w14:paraId="46E47F2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6EDDCD8" w14:textId="447C69F8" w:rsidR="002C7AFE" w:rsidRPr="00EB3D1B" w:rsidRDefault="002A657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</w:t>
            </w:r>
          </w:p>
        </w:tc>
      </w:tr>
      <w:tr w:rsidR="00E31871" w:rsidRPr="004C23F4" w14:paraId="3161AD38" w14:textId="77777777" w:rsidTr="00223A17">
        <w:trPr>
          <w:cantSplit/>
        </w:trPr>
        <w:tc>
          <w:tcPr>
            <w:tcW w:w="9026" w:type="dxa"/>
            <w:gridSpan w:val="2"/>
            <w:vAlign w:val="center"/>
          </w:tcPr>
          <w:p w14:paraId="4C995514" w14:textId="635F8D3C" w:rsidR="00E31871" w:rsidRPr="002657AB" w:rsidRDefault="00273325" w:rsidP="00017C82">
            <w:pPr>
              <w:pStyle w:val="Tablefont"/>
            </w:pPr>
            <w:r w:rsidRPr="00273325">
              <w:rPr>
                <w:b/>
              </w:rPr>
              <w:t>Sampling and analysis:</w:t>
            </w:r>
            <w:r w:rsidRPr="00273325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C2E42FFBB2A4A5FAF23EC0F9E3D1C3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C54A16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B3F05B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F5BC2FB" w14:textId="77777777" w:rsidR="00C2723E" w:rsidRDefault="00C53277" w:rsidP="000C139A">
      <w:pPr>
        <w:rPr>
          <w:rFonts w:cs="Arial"/>
        </w:rPr>
      </w:pPr>
      <w:r w:rsidRPr="00C53277">
        <w:rPr>
          <w:rFonts w:cs="Arial"/>
        </w:rPr>
        <w:t xml:space="preserve">A TWA of </w:t>
      </w:r>
      <w:r>
        <w:rPr>
          <w:rFonts w:cs="Arial"/>
        </w:rPr>
        <w:t>0.01</w:t>
      </w:r>
      <w:r w:rsidRPr="00C53277">
        <w:rPr>
          <w:rFonts w:cs="Arial"/>
        </w:rPr>
        <w:t xml:space="preserve"> ppm (</w:t>
      </w:r>
      <w:r>
        <w:rPr>
          <w:rFonts w:cs="Arial"/>
        </w:rPr>
        <w:t>0.1</w:t>
      </w:r>
      <w:r w:rsidRPr="00C53277">
        <w:rPr>
          <w:rFonts w:cs="Arial"/>
        </w:rPr>
        <w:t xml:space="preserve"> mg/m</w:t>
      </w:r>
      <w:r w:rsidRPr="00C53277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 w:rsidRPr="00C53277">
        <w:rPr>
          <w:rFonts w:cs="Arial"/>
        </w:rPr>
        <w:t xml:space="preserve">to protect for </w:t>
      </w:r>
      <w:r>
        <w:rPr>
          <w:rFonts w:cs="Arial"/>
        </w:rPr>
        <w:t xml:space="preserve">thyroid toxicity in exposed workers. </w:t>
      </w:r>
    </w:p>
    <w:p w14:paraId="31B54789" w14:textId="056A0558" w:rsidR="00506525" w:rsidRDefault="00C53277" w:rsidP="000C139A">
      <w:pPr>
        <w:rPr>
          <w:rFonts w:cs="Arial"/>
        </w:rPr>
      </w:pPr>
      <w:r>
        <w:rPr>
          <w:rFonts w:cs="Arial"/>
        </w:rPr>
        <w:t>A</w:t>
      </w:r>
      <w:r w:rsidRPr="00C53277">
        <w:rPr>
          <w:rFonts w:cs="Arial"/>
        </w:rPr>
        <w:t xml:space="preserve"> peak limitation of </w:t>
      </w:r>
      <w:r>
        <w:rPr>
          <w:rFonts w:cs="Arial"/>
        </w:rPr>
        <w:t xml:space="preserve">0.1 ppm (1 </w:t>
      </w:r>
      <w:r w:rsidRPr="00C53277">
        <w:rPr>
          <w:rFonts w:cs="Arial"/>
        </w:rPr>
        <w:t>mg/m</w:t>
      </w:r>
      <w:r w:rsidRPr="00C53277">
        <w:rPr>
          <w:rFonts w:cs="Arial"/>
          <w:vertAlign w:val="superscript"/>
        </w:rPr>
        <w:t>3</w:t>
      </w:r>
      <w:r w:rsidRPr="00C53277">
        <w:rPr>
          <w:rFonts w:cs="Arial"/>
        </w:rPr>
        <w:t xml:space="preserve">) is recommended to protect for </w:t>
      </w:r>
      <w:r>
        <w:rPr>
          <w:rFonts w:cs="Arial"/>
        </w:rPr>
        <w:t>severe irritation from acute exposure.</w:t>
      </w:r>
      <w:r w:rsidR="00660FFE">
        <w:rPr>
          <w:rFonts w:cs="Arial"/>
        </w:rPr>
        <w:t xml:space="preserve"> </w:t>
      </w:r>
    </w:p>
    <w:p w14:paraId="0BCB75E2" w14:textId="6ED879C5" w:rsidR="006639B4" w:rsidRPr="004C23F4" w:rsidRDefault="00AC3C59" w:rsidP="000C139A">
      <w:pPr>
        <w:rPr>
          <w:rFonts w:cs="Arial"/>
        </w:rPr>
      </w:pPr>
      <w:r w:rsidRPr="00AC3C59">
        <w:rPr>
          <w:rFonts w:cs="Arial"/>
        </w:rPr>
        <w:t xml:space="preserve">Given </w:t>
      </w:r>
      <w:r>
        <w:rPr>
          <w:rFonts w:cs="Arial"/>
        </w:rPr>
        <w:t>limitations in the</w:t>
      </w:r>
      <w:r w:rsidRPr="00AC3C59">
        <w:rPr>
          <w:rFonts w:cs="Arial"/>
        </w:rPr>
        <w:t xml:space="preserve"> data available from the primary sources, it is recommended that a review of additional sources be conducted at the next scheduled review.</w:t>
      </w:r>
    </w:p>
    <w:p w14:paraId="1776134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6A12D76" w14:textId="77777777" w:rsidR="00C2723E" w:rsidRDefault="00B435D8" w:rsidP="006639B4">
      <w:pPr>
        <w:rPr>
          <w:rFonts w:cs="Arial"/>
        </w:rPr>
      </w:pPr>
      <w:r>
        <w:rPr>
          <w:rFonts w:cs="Arial"/>
        </w:rPr>
        <w:t xml:space="preserve">Iodine and iodide salts </w:t>
      </w:r>
      <w:r w:rsidR="00712115">
        <w:rPr>
          <w:rFonts w:cs="Arial"/>
        </w:rPr>
        <w:t xml:space="preserve">are essential nutrients and </w:t>
      </w:r>
      <w:r>
        <w:rPr>
          <w:rFonts w:cs="Arial"/>
        </w:rPr>
        <w:t>used as feedstock supplements, catalysts, inks, and disinfectants</w:t>
      </w:r>
      <w:r w:rsidR="00712115">
        <w:rPr>
          <w:rFonts w:cs="Arial"/>
        </w:rPr>
        <w:t xml:space="preserve">. </w:t>
      </w:r>
    </w:p>
    <w:p w14:paraId="3DBE641C" w14:textId="7FE39707" w:rsidR="00047525" w:rsidRDefault="00712115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AC3C59">
        <w:rPr>
          <w:rFonts w:cs="Arial"/>
        </w:rPr>
        <w:t>of chronic over</w:t>
      </w:r>
      <w:r w:rsidR="00C2723E">
        <w:rPr>
          <w:rFonts w:cs="Arial"/>
        </w:rPr>
        <w:t>-</w:t>
      </w:r>
      <w:r>
        <w:rPr>
          <w:rFonts w:cs="Arial"/>
        </w:rPr>
        <w:t>expos</w:t>
      </w:r>
      <w:r w:rsidR="00E33F7E">
        <w:rPr>
          <w:rFonts w:cs="Arial"/>
        </w:rPr>
        <w:t>ure are adverse thyroid effects</w:t>
      </w:r>
      <w:r>
        <w:rPr>
          <w:rFonts w:cs="Arial"/>
        </w:rPr>
        <w:t xml:space="preserve"> including hyper- and h</w:t>
      </w:r>
      <w:r w:rsidR="00AC3C59">
        <w:rPr>
          <w:rFonts w:cs="Arial"/>
        </w:rPr>
        <w:t>ypothyroidism and goitre</w:t>
      </w:r>
      <w:r w:rsidR="00E33F7E">
        <w:rPr>
          <w:rFonts w:cs="Arial"/>
        </w:rPr>
        <w:t>. A</w:t>
      </w:r>
      <w:r w:rsidR="00F41886">
        <w:rPr>
          <w:rFonts w:cs="Arial"/>
        </w:rPr>
        <w:t xml:space="preserve">cute exposure at higher concentrations causes severe </w:t>
      </w:r>
      <w:r>
        <w:rPr>
          <w:rFonts w:cs="Arial"/>
        </w:rPr>
        <w:t xml:space="preserve">local irritation. </w:t>
      </w:r>
      <w:r w:rsidR="00506525">
        <w:rPr>
          <w:rFonts w:cs="Arial"/>
        </w:rPr>
        <w:t>Workers from p</w:t>
      </w:r>
      <w:r>
        <w:rPr>
          <w:rFonts w:cs="Arial"/>
        </w:rPr>
        <w:t>opulations with historic dietary iodine deficiency are more susceptible to chronic thyroid effects than healthy (euthyroid) populations.</w:t>
      </w:r>
    </w:p>
    <w:p w14:paraId="6840E0A9" w14:textId="38E81ADF" w:rsidR="00F41886" w:rsidRDefault="00712115" w:rsidP="006639B4">
      <w:pPr>
        <w:rPr>
          <w:rFonts w:cs="Arial"/>
        </w:rPr>
      </w:pPr>
      <w:r>
        <w:rPr>
          <w:rFonts w:cs="Arial"/>
        </w:rPr>
        <w:t xml:space="preserve">Inhalational absorption contributes to </w:t>
      </w:r>
      <w:r w:rsidR="005C25E4">
        <w:rPr>
          <w:rFonts w:cs="Arial"/>
        </w:rPr>
        <w:t>total iodine intake</w:t>
      </w:r>
      <w:r>
        <w:rPr>
          <w:rFonts w:cs="Arial"/>
        </w:rPr>
        <w:t xml:space="preserve"> (ACGIH, 2018). In euthyroid populations, the maximally tolerated daily i</w:t>
      </w:r>
      <w:r w:rsidR="00047525">
        <w:rPr>
          <w:rFonts w:cs="Arial"/>
        </w:rPr>
        <w:t>ntake is approximately 1 mg (ACGIH, 2018</w:t>
      </w:r>
      <w:r w:rsidR="00A538C6">
        <w:rPr>
          <w:rFonts w:cs="Arial"/>
        </w:rPr>
        <w:t>; DFG, 2014</w:t>
      </w:r>
      <w:r w:rsidR="00047525">
        <w:rPr>
          <w:rFonts w:cs="Arial"/>
        </w:rPr>
        <w:t>)</w:t>
      </w:r>
      <w:r w:rsidR="0030264D">
        <w:rPr>
          <w:rFonts w:cs="Arial"/>
        </w:rPr>
        <w:t>, but varies depending on the population’s history of iodine deficiency.</w:t>
      </w:r>
      <w:r w:rsidR="00047525">
        <w:rPr>
          <w:rFonts w:cs="Arial"/>
        </w:rPr>
        <w:t xml:space="preserve"> </w:t>
      </w:r>
      <w:r w:rsidR="0030264D">
        <w:rPr>
          <w:rFonts w:cs="Arial"/>
        </w:rPr>
        <w:t>Below this maximum, a</w:t>
      </w:r>
      <w:r w:rsidR="00047525">
        <w:rPr>
          <w:rFonts w:cs="Arial"/>
        </w:rPr>
        <w:t xml:space="preserve"> daily intake of 0.15</w:t>
      </w:r>
      <w:r w:rsidR="00C2723E">
        <w:rPr>
          <w:rFonts w:cs="Arial"/>
        </w:rPr>
        <w:t xml:space="preserve"> to </w:t>
      </w:r>
      <w:r w:rsidR="00047525">
        <w:rPr>
          <w:rFonts w:cs="Arial"/>
        </w:rPr>
        <w:t>0.2</w:t>
      </w:r>
      <w:r w:rsidR="00273325">
        <w:rPr>
          <w:rFonts w:cs="Arial"/>
        </w:rPr>
        <w:t xml:space="preserve"> </w:t>
      </w:r>
      <w:r w:rsidR="00047525">
        <w:rPr>
          <w:rFonts w:cs="Arial"/>
        </w:rPr>
        <w:t>mg is recommended</w:t>
      </w:r>
      <w:r w:rsidR="0030264D">
        <w:rPr>
          <w:rFonts w:cs="Arial"/>
        </w:rPr>
        <w:t xml:space="preserve"> to maintain </w:t>
      </w:r>
      <w:r w:rsidR="00A538C6">
        <w:rPr>
          <w:rFonts w:cs="Arial"/>
        </w:rPr>
        <w:t xml:space="preserve">normal </w:t>
      </w:r>
      <w:r w:rsidR="0030264D">
        <w:rPr>
          <w:rFonts w:cs="Arial"/>
        </w:rPr>
        <w:t>thyroid function</w:t>
      </w:r>
      <w:r w:rsidR="00C27120">
        <w:rPr>
          <w:rFonts w:cs="Arial"/>
        </w:rPr>
        <w:t>. This is</w:t>
      </w:r>
      <w:r w:rsidR="00047525">
        <w:rPr>
          <w:rFonts w:cs="Arial"/>
        </w:rPr>
        <w:t xml:space="preserve"> based in part on an epidemiologically determined NOAEL of 0.01 mg/kg/day for hypothyroidism in a euthyroid population (DFG, 2014; ECHA, 2019). </w:t>
      </w:r>
      <w:r w:rsidR="0030264D">
        <w:rPr>
          <w:rFonts w:cs="Arial"/>
        </w:rPr>
        <w:t>The difference of the maximally tolerated and recommended intake</w:t>
      </w:r>
      <w:r w:rsidR="002657AB">
        <w:rPr>
          <w:rFonts w:cs="Arial"/>
        </w:rPr>
        <w:t>s</w:t>
      </w:r>
      <w:r w:rsidR="0030264D">
        <w:rPr>
          <w:rFonts w:cs="Arial"/>
        </w:rPr>
        <w:t xml:space="preserve"> is used to estimate acceptable </w:t>
      </w:r>
      <w:r w:rsidR="006B15E0">
        <w:rPr>
          <w:rFonts w:cs="Arial"/>
        </w:rPr>
        <w:t>systemic</w:t>
      </w:r>
      <w:r w:rsidR="0030264D">
        <w:rPr>
          <w:rFonts w:cs="Arial"/>
        </w:rPr>
        <w:t xml:space="preserve"> exposure from occupational</w:t>
      </w:r>
      <w:r w:rsidR="002657AB">
        <w:rPr>
          <w:rFonts w:cs="Arial"/>
        </w:rPr>
        <w:t xml:space="preserve"> iodine</w:t>
      </w:r>
      <w:r w:rsidR="0030264D">
        <w:rPr>
          <w:rFonts w:cs="Arial"/>
        </w:rPr>
        <w:t xml:space="preserve"> sources </w:t>
      </w:r>
      <w:r w:rsidR="006B15E0">
        <w:rPr>
          <w:rFonts w:cs="Arial"/>
        </w:rPr>
        <w:t>by t</w:t>
      </w:r>
      <w:r w:rsidR="0030264D">
        <w:rPr>
          <w:rFonts w:cs="Arial"/>
        </w:rPr>
        <w:t>he</w:t>
      </w:r>
      <w:r w:rsidR="00047525">
        <w:rPr>
          <w:rFonts w:cs="Arial"/>
        </w:rPr>
        <w:t xml:space="preserve"> ACGIH (2018)</w:t>
      </w:r>
      <w:r w:rsidR="006B15E0">
        <w:rPr>
          <w:rFonts w:cs="Arial"/>
        </w:rPr>
        <w:t xml:space="preserve"> and DFG (2014). From this difference, the ACGIH (2018) estimates an air concentration that would not increase the total iodine burden in </w:t>
      </w:r>
      <w:r w:rsidR="00473AD8">
        <w:rPr>
          <w:rFonts w:cs="Arial"/>
        </w:rPr>
        <w:t>exposed</w:t>
      </w:r>
      <w:r w:rsidR="006B15E0">
        <w:rPr>
          <w:rFonts w:cs="Arial"/>
        </w:rPr>
        <w:t xml:space="preserve"> worker</w:t>
      </w:r>
      <w:r w:rsidR="00473AD8">
        <w:rPr>
          <w:rFonts w:cs="Arial"/>
        </w:rPr>
        <w:t>s</w:t>
      </w:r>
      <w:r w:rsidR="006B15E0">
        <w:rPr>
          <w:rFonts w:cs="Arial"/>
        </w:rPr>
        <w:t xml:space="preserve"> above a maximally tolerated </w:t>
      </w:r>
      <w:r w:rsidR="005C25E4">
        <w:rPr>
          <w:rFonts w:cs="Arial"/>
        </w:rPr>
        <w:t>intake</w:t>
      </w:r>
      <w:r w:rsidR="006B15E0">
        <w:rPr>
          <w:rFonts w:cs="Arial"/>
        </w:rPr>
        <w:t xml:space="preserve"> of 1.1 mg/day, corresponds to a TLV-TWA of 0.01 ppm. </w:t>
      </w:r>
    </w:p>
    <w:p w14:paraId="673C9AFC" w14:textId="77777777" w:rsidR="00273325" w:rsidRDefault="00273325">
      <w:pPr>
        <w:spacing w:after="200"/>
        <w:rPr>
          <w:rFonts w:cs="Arial"/>
        </w:rPr>
      </w:pPr>
      <w:r>
        <w:rPr>
          <w:rFonts w:cs="Arial"/>
        </w:rPr>
        <w:br w:type="page"/>
      </w:r>
    </w:p>
    <w:p w14:paraId="4DA32214" w14:textId="1EA339AA" w:rsidR="00712115" w:rsidRDefault="00F41886" w:rsidP="006639B4">
      <w:pPr>
        <w:rPr>
          <w:rFonts w:cs="Arial"/>
        </w:rPr>
      </w:pPr>
      <w:r>
        <w:rPr>
          <w:rFonts w:cs="Arial"/>
        </w:rPr>
        <w:lastRenderedPageBreak/>
        <w:t xml:space="preserve">The maximum iodine tolerance of exposed Australian populations of workers </w:t>
      </w:r>
      <w:r w:rsidR="006B15E0">
        <w:rPr>
          <w:rFonts w:cs="Arial"/>
        </w:rPr>
        <w:t>is unclear from the available source material</w:t>
      </w:r>
      <w:r w:rsidR="00473AD8">
        <w:rPr>
          <w:rFonts w:cs="Arial"/>
        </w:rPr>
        <w:t xml:space="preserve">, but </w:t>
      </w:r>
      <w:r w:rsidR="006B15E0">
        <w:rPr>
          <w:rFonts w:cs="Arial"/>
        </w:rPr>
        <w:t>the lack of a TWA is considered insufficiently protective of systemic thyroid effects.</w:t>
      </w:r>
      <w:r w:rsidR="00473AD8">
        <w:rPr>
          <w:rFonts w:cs="Arial"/>
        </w:rPr>
        <w:t xml:space="preserve"> Therefore, a TWA of 0.01 ppm </w:t>
      </w:r>
      <w:r w:rsidR="00A250FF">
        <w:rPr>
          <w:rFonts w:cs="Arial"/>
        </w:rPr>
        <w:t xml:space="preserve">as published by ACGIH (2018) </w:t>
      </w:r>
      <w:r w:rsidR="00473AD8">
        <w:rPr>
          <w:rFonts w:cs="Arial"/>
        </w:rPr>
        <w:t>is recommended to pro</w:t>
      </w:r>
      <w:r w:rsidR="002657AB">
        <w:rPr>
          <w:rFonts w:cs="Arial"/>
        </w:rPr>
        <w:t>tect for these systemic effects</w:t>
      </w:r>
      <w:r w:rsidR="00473AD8">
        <w:rPr>
          <w:rFonts w:cs="Arial"/>
        </w:rPr>
        <w:t xml:space="preserve"> </w:t>
      </w:r>
      <w:r w:rsidR="002657AB">
        <w:rPr>
          <w:rFonts w:cs="Arial"/>
        </w:rPr>
        <w:t>and</w:t>
      </w:r>
      <w:r w:rsidR="00473AD8">
        <w:rPr>
          <w:rFonts w:cs="Arial"/>
        </w:rPr>
        <w:t xml:space="preserve"> the </w:t>
      </w:r>
      <w:r w:rsidR="002657AB">
        <w:rPr>
          <w:rFonts w:cs="Arial"/>
        </w:rPr>
        <w:t xml:space="preserve">extrapolation of the oral </w:t>
      </w:r>
      <w:r w:rsidR="00473AD8">
        <w:rPr>
          <w:rFonts w:cs="Arial"/>
        </w:rPr>
        <w:t>NOAEL</w:t>
      </w:r>
      <w:r w:rsidR="002657AB">
        <w:rPr>
          <w:rFonts w:cs="Arial"/>
        </w:rPr>
        <w:t xml:space="preserve"> to a inhalational </w:t>
      </w:r>
      <w:r w:rsidR="00EB4A79">
        <w:rPr>
          <w:rFonts w:cs="Arial"/>
        </w:rPr>
        <w:t>DNEL of ≈0.07 mg/m</w:t>
      </w:r>
      <w:r w:rsidR="00EB4A79">
        <w:rPr>
          <w:rFonts w:cs="Arial"/>
          <w:vertAlign w:val="superscript"/>
        </w:rPr>
        <w:t>3</w:t>
      </w:r>
      <w:r w:rsidR="00EB4A79">
        <w:rPr>
          <w:rFonts w:cs="Arial"/>
          <w:vertAlign w:val="superscript"/>
        </w:rPr>
        <w:softHyphen/>
      </w:r>
      <w:r w:rsidR="00EB4A79">
        <w:rPr>
          <w:rFonts w:cs="Arial"/>
        </w:rPr>
        <w:t xml:space="preserve"> or 0.01 ppm</w:t>
      </w:r>
      <w:r w:rsidR="00A250FF">
        <w:rPr>
          <w:rFonts w:cs="Arial"/>
        </w:rPr>
        <w:t xml:space="preserve"> published</w:t>
      </w:r>
      <w:r w:rsidR="002657AB">
        <w:rPr>
          <w:rFonts w:cs="Arial"/>
        </w:rPr>
        <w:t xml:space="preserve"> by ECHA (2019).</w:t>
      </w:r>
      <w:r w:rsidR="00660FFE">
        <w:rPr>
          <w:rFonts w:cs="Arial"/>
        </w:rPr>
        <w:t xml:space="preserve"> Examination of the maximally tolerated intake of iodine in Australian populations is recommended </w:t>
      </w:r>
      <w:r w:rsidR="005C25E4">
        <w:rPr>
          <w:rFonts w:cs="Arial"/>
        </w:rPr>
        <w:t>during</w:t>
      </w:r>
      <w:r w:rsidR="00660FFE">
        <w:rPr>
          <w:rFonts w:cs="Arial"/>
        </w:rPr>
        <w:t xml:space="preserve"> subsequent reviews to assess the suitability of the interim TWA.</w:t>
      </w:r>
    </w:p>
    <w:p w14:paraId="51CE64B1" w14:textId="4F2F916A" w:rsidR="002657AB" w:rsidRPr="002657AB" w:rsidRDefault="002657AB" w:rsidP="006639B4">
      <w:pPr>
        <w:rPr>
          <w:rFonts w:cs="Arial"/>
        </w:rPr>
      </w:pPr>
      <w:r>
        <w:rPr>
          <w:rFonts w:cs="Arial"/>
        </w:rPr>
        <w:t>The peak limitation of 0.1 ppm is re</w:t>
      </w:r>
      <w:r w:rsidR="00C2723E">
        <w:rPr>
          <w:rFonts w:cs="Arial"/>
        </w:rPr>
        <w:t>commended</w:t>
      </w:r>
      <w:r>
        <w:rPr>
          <w:rFonts w:cs="Arial"/>
        </w:rPr>
        <w:t xml:space="preserve"> to protect for severe irritation reported in acutely exposed </w:t>
      </w:r>
      <w:r w:rsidR="00F41886">
        <w:rPr>
          <w:rFonts w:cs="Arial"/>
        </w:rPr>
        <w:t>workers</w:t>
      </w:r>
      <w:r>
        <w:rPr>
          <w:rFonts w:cs="Arial"/>
        </w:rPr>
        <w:t xml:space="preserve"> above 0.3 ppm (ACGIH, 2018).</w:t>
      </w:r>
    </w:p>
    <w:p w14:paraId="0E26201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A216B8C" w14:textId="3FE9AC20" w:rsidR="002A657E" w:rsidRDefault="002A657E" w:rsidP="002A657E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273325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6F27D138" w14:textId="4E4C319A" w:rsidR="002A657E" w:rsidRDefault="002A657E" w:rsidP="002A657E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273325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659238D1" w14:textId="091E1C1E" w:rsidR="002A657E" w:rsidRDefault="00F95B43" w:rsidP="002A657E">
      <w:pPr>
        <w:rPr>
          <w:rFonts w:cs="Arial"/>
        </w:rPr>
      </w:pPr>
      <w:r>
        <w:rPr>
          <w:rFonts w:cs="Arial"/>
        </w:rPr>
        <w:t>There are i</w:t>
      </w:r>
      <w:r w:rsidR="002A657E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2A657E">
        <w:rPr>
          <w:rFonts w:cs="Arial"/>
        </w:rPr>
        <w:t>to recommend a skin notation.</w:t>
      </w:r>
    </w:p>
    <w:p w14:paraId="015A97DA" w14:textId="77777777" w:rsidR="0025734A" w:rsidRPr="004C23F4" w:rsidRDefault="0025734A">
      <w:pPr>
        <w:rPr>
          <w:rFonts w:cs="Arial"/>
        </w:rPr>
      </w:pPr>
    </w:p>
    <w:p w14:paraId="35C6D2A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78CA5D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9C2FA0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2F14DE4" w14:textId="77777777" w:rsidTr="00F95B43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7FEBEF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134F76F" w14:textId="77777777" w:rsidTr="00F95B4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E461233" w14:textId="719E9CA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A657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A657E" w:rsidRPr="002A657E">
                  <w:t>Peak limitation</w:t>
                </w:r>
                <w:r w:rsidR="002A657E">
                  <w:t>: 0.1 ppm (1 mg/m</w:t>
                </w:r>
                <w:r w:rsidR="002A657E" w:rsidRPr="002A657E">
                  <w:rPr>
                    <w:vertAlign w:val="superscript"/>
                  </w:rPr>
                  <w:t>3</w:t>
                </w:r>
                <w:r w:rsidR="002A657E">
                  <w:t>)</w:t>
                </w:r>
              </w:sdtContent>
            </w:sdt>
          </w:p>
        </w:tc>
      </w:tr>
      <w:tr w:rsidR="00C978F0" w:rsidRPr="00DA352E" w14:paraId="799E0963" w14:textId="77777777" w:rsidTr="00F95B43">
        <w:trPr>
          <w:gridAfter w:val="1"/>
          <w:wAfter w:w="8" w:type="pct"/>
        </w:trPr>
        <w:tc>
          <w:tcPr>
            <w:tcW w:w="4992" w:type="pct"/>
          </w:tcPr>
          <w:p w14:paraId="78052D0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3C2B3FD" w14:textId="77777777" w:rsidTr="00F95B4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EDB07B0" w14:textId="0D52C9EE" w:rsidR="00C978F0" w:rsidRPr="00B2086A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67B86">
                  <w:t>2008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67B86">
                  <w:t>TLV-TWA: 0.01 ppm (0.1 mg/m</w:t>
                </w:r>
                <w:r w:rsidR="00767B86" w:rsidRPr="00767B86">
                  <w:rPr>
                    <w:vertAlign w:val="superscript"/>
                  </w:rPr>
                  <w:t>3</w:t>
                </w:r>
                <w:r w:rsidR="00767B86">
                  <w:t>)</w:t>
                </w:r>
              </w:sdtContent>
            </w:sdt>
            <w:r w:rsidR="00B2086A">
              <w:t>; TLV-STEL: 0.1 ppm (1 mg/m</w:t>
            </w:r>
            <w:r w:rsidR="00B2086A">
              <w:rPr>
                <w:vertAlign w:val="superscript"/>
              </w:rPr>
              <w:t>3</w:t>
            </w:r>
            <w:r w:rsidR="00B2086A">
              <w:t>)</w:t>
            </w:r>
          </w:p>
        </w:tc>
      </w:tr>
      <w:tr w:rsidR="00C978F0" w:rsidRPr="00DA352E" w14:paraId="3AE450C3" w14:textId="77777777" w:rsidTr="00F95B43">
        <w:trPr>
          <w:gridAfter w:val="1"/>
          <w:wAfter w:w="8" w:type="pct"/>
        </w:trPr>
        <w:tc>
          <w:tcPr>
            <w:tcW w:w="4992" w:type="pct"/>
          </w:tcPr>
          <w:p w14:paraId="264367F3" w14:textId="5BD4B148" w:rsidR="00C978F0" w:rsidRDefault="00B2086A" w:rsidP="003365A5">
            <w:pPr>
              <w:pStyle w:val="Tabletextprimarysource"/>
            </w:pPr>
            <w:r>
              <w:t>Assessment grouped with</w:t>
            </w:r>
            <w:r w:rsidR="00CE50DB">
              <w:t xml:space="preserve"> common</w:t>
            </w:r>
            <w:r>
              <w:t xml:space="preserve"> iodide salts</w:t>
            </w:r>
            <w:r w:rsidR="00CE50DB">
              <w:t xml:space="preserve">, e.g. </w:t>
            </w:r>
            <w:r w:rsidR="00862E78">
              <w:t>sodium and potassium iodide (</w:t>
            </w:r>
            <w:proofErr w:type="spellStart"/>
            <w:r w:rsidR="00862E78">
              <w:t>NaI</w:t>
            </w:r>
            <w:proofErr w:type="spellEnd"/>
            <w:r w:rsidR="00862E78">
              <w:t xml:space="preserve"> and KI)</w:t>
            </w:r>
            <w:r>
              <w:t>. TLV-TWA intended to minimise potential for hyp</w:t>
            </w:r>
            <w:r w:rsidR="00FB52E8">
              <w:t>o</w:t>
            </w:r>
            <w:r>
              <w:t xml:space="preserve">thyroidism from excess iodine intake. TLV-STEL intended to protect for acute irritation. </w:t>
            </w:r>
          </w:p>
          <w:p w14:paraId="572B33FC" w14:textId="77777777" w:rsidR="00210802" w:rsidRDefault="00210802" w:rsidP="003365A5">
            <w:pPr>
              <w:pStyle w:val="Tabletextprimarysource"/>
            </w:pPr>
            <w:r>
              <w:t>Summary of data:</w:t>
            </w:r>
          </w:p>
          <w:p w14:paraId="0614DEAB" w14:textId="135BC980" w:rsidR="00C2723E" w:rsidRDefault="00862E78" w:rsidP="003365A5">
            <w:pPr>
              <w:pStyle w:val="Tabletextprimarysource"/>
            </w:pPr>
            <w:r>
              <w:t xml:space="preserve">Inhaled iodine is rapidly reduced to </w:t>
            </w:r>
            <w:r w:rsidR="00C135AD">
              <w:t>iodide. R</w:t>
            </w:r>
            <w:r w:rsidR="000C246D">
              <w:t xml:space="preserve">ecommended dietary intake </w:t>
            </w:r>
            <w:r w:rsidR="00473AD8">
              <w:t>and</w:t>
            </w:r>
            <w:r w:rsidR="006B15E0">
              <w:t xml:space="preserve"> </w:t>
            </w:r>
            <w:r w:rsidR="00C2723E">
              <w:t>MTD</w:t>
            </w:r>
            <w:r w:rsidR="006B15E0">
              <w:t xml:space="preserve"> without adverse thyroid function effects published by US Institute of Medicine </w:t>
            </w:r>
            <w:r w:rsidR="00473AD8">
              <w:t>are</w:t>
            </w:r>
            <w:r w:rsidR="000C246D">
              <w:t xml:space="preserve"> </w:t>
            </w:r>
            <w:r w:rsidR="00473AD8">
              <w:t xml:space="preserve">150 µg/d and </w:t>
            </w:r>
            <w:r w:rsidR="000C246D">
              <w:t>1</w:t>
            </w:r>
            <w:r w:rsidR="00F06BE1">
              <w:t>.1</w:t>
            </w:r>
            <w:r w:rsidR="000C246D">
              <w:t xml:space="preserve"> mg/d</w:t>
            </w:r>
            <w:r w:rsidR="00C2723E">
              <w:t>,</w:t>
            </w:r>
            <w:r w:rsidR="00473AD8">
              <w:t xml:space="preserve"> respectively</w:t>
            </w:r>
            <w:r w:rsidR="00C2723E">
              <w:t>,</w:t>
            </w:r>
            <w:r w:rsidR="00473AD8">
              <w:t xml:space="preserve"> and</w:t>
            </w:r>
            <w:r w:rsidR="000C246D">
              <w:t xml:space="preserve"> used </w:t>
            </w:r>
            <w:r w:rsidR="00473AD8">
              <w:t>for</w:t>
            </w:r>
            <w:r w:rsidR="00F06BE1">
              <w:t xml:space="preserve"> TLV-TWA </w:t>
            </w:r>
            <w:r w:rsidR="00473AD8">
              <w:t>derivation</w:t>
            </w:r>
            <w:r w:rsidR="00F06BE1">
              <w:t>. Assuming a respiratory volume of 10</w:t>
            </w:r>
            <w:r w:rsidR="00473AD8">
              <w:t> </w:t>
            </w:r>
            <w:r w:rsidR="00F06BE1">
              <w:t>m</w:t>
            </w:r>
            <w:r w:rsidR="00F06BE1">
              <w:rPr>
                <w:vertAlign w:val="superscript"/>
              </w:rPr>
              <w:t>3</w:t>
            </w:r>
            <w:r w:rsidR="00F06BE1">
              <w:t>, and complete systemic absorption of inhaled or ingested iodine, a TLV-TWA of 0.01 ppm (0.1 mg/m</w:t>
            </w:r>
            <w:r w:rsidR="00F06BE1">
              <w:rPr>
                <w:vertAlign w:val="superscript"/>
              </w:rPr>
              <w:t>3</w:t>
            </w:r>
            <w:r w:rsidR="00F06BE1">
              <w:t xml:space="preserve">) is expected to maintain total iodine burden within the 1 mg/d margin of safety inferred from the difference between the recommended and maximally tolerated daily doses. </w:t>
            </w:r>
          </w:p>
          <w:p w14:paraId="701C50A7" w14:textId="4BF4B6C7" w:rsidR="00862E78" w:rsidRPr="00F06BE1" w:rsidRDefault="00F06BE1" w:rsidP="003365A5">
            <w:pPr>
              <w:pStyle w:val="Tabletextprimarysource"/>
            </w:pPr>
            <w:r>
              <w:t xml:space="preserve">TLV-STEL derived from NOAEL of 0.1 ppm for acute irritation in </w:t>
            </w:r>
            <w:r w:rsidR="00C135AD">
              <w:t>worker</w:t>
            </w:r>
            <w:r>
              <w:t xml:space="preserve"> study.</w:t>
            </w:r>
          </w:p>
          <w:p w14:paraId="73E989D2" w14:textId="387B5FF0" w:rsidR="00210802" w:rsidRDefault="00862E78" w:rsidP="003365A5">
            <w:pPr>
              <w:pStyle w:val="Tabletextprimarysource"/>
            </w:pPr>
            <w:r>
              <w:t>Human data:</w:t>
            </w:r>
          </w:p>
          <w:p w14:paraId="5D788E39" w14:textId="77777777" w:rsidR="00C2723E" w:rsidRDefault="000C786F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Intolerable working conditions reported at 0.3 ppm vapour due to dyspnoea, sore throat and headache</w:t>
            </w:r>
          </w:p>
          <w:p w14:paraId="5F72BDBF" w14:textId="434DF91C" w:rsidR="000C786F" w:rsidRDefault="000C786F" w:rsidP="00C2723E">
            <w:pPr>
              <w:pStyle w:val="Tabletextprimarysource"/>
              <w:numPr>
                <w:ilvl w:val="1"/>
                <w:numId w:val="1"/>
              </w:numPr>
              <w:ind w:hanging="357"/>
            </w:pPr>
            <w:r>
              <w:t>no irritating symptoms at 0.1 ppm</w:t>
            </w:r>
            <w:r w:rsidR="00C135AD">
              <w:t xml:space="preserve"> in exposed workers</w:t>
            </w:r>
          </w:p>
          <w:p w14:paraId="25178494" w14:textId="5E5D3D19" w:rsidR="00DB0582" w:rsidRDefault="00DB0582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No respiratory tract irritation at 1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C135AD">
              <w:t xml:space="preserve">vapour </w:t>
            </w:r>
            <w:r>
              <w:t>in volunteers (n=6, 8</w:t>
            </w:r>
            <w:r w:rsidR="00273325">
              <w:t xml:space="preserve"> </w:t>
            </w:r>
            <w:r>
              <w:t>min);</w:t>
            </w:r>
          </w:p>
          <w:p w14:paraId="41289E74" w14:textId="474D9D1E" w:rsidR="000C786F" w:rsidRDefault="00F06BE1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Epidemiological studies suggest increased risk of thyroid cancer associated with excess exposure in populations with dietary deficiency</w:t>
            </w:r>
          </w:p>
          <w:p w14:paraId="0A87FE9C" w14:textId="549F9553" w:rsidR="00862E78" w:rsidRDefault="00DB0582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Severe transient neonatal goitre and hypothyroidism in infants with mothers exposed to KI at 13–11 mg/kg/d during pregnancy (no further details provided)</w:t>
            </w:r>
            <w:r w:rsidR="00273325">
              <w:t>.</w:t>
            </w:r>
          </w:p>
          <w:p w14:paraId="428F7D30" w14:textId="1FE01939" w:rsidR="00862E78" w:rsidRDefault="00862E78" w:rsidP="003365A5">
            <w:pPr>
              <w:pStyle w:val="Tabletextprimarysource"/>
            </w:pPr>
            <w:r>
              <w:t>Animal data:</w:t>
            </w:r>
          </w:p>
          <w:p w14:paraId="2A2B1714" w14:textId="5D9148B6" w:rsidR="00862E78" w:rsidRDefault="00862E78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Respiratory irritation at 0.5 ppm in acute inhalation study (guinea pigs, 1 h); increased resistance and decreased minute volume at 3–4 ppm, decreased lung compliance suggestive of adverse pulmonary effects at 7 ppm, </w:t>
            </w:r>
          </w:p>
          <w:p w14:paraId="78FC2DD0" w14:textId="215A7733" w:rsidR="00862E78" w:rsidRDefault="00862E78" w:rsidP="00F06BE1">
            <w:pPr>
              <w:pStyle w:val="Tabletextprimarysource"/>
              <w:numPr>
                <w:ilvl w:val="1"/>
                <w:numId w:val="1"/>
              </w:numPr>
              <w:ind w:hanging="357"/>
            </w:pPr>
            <w:r>
              <w:t>when exposed in combination with sodium chloride aerosol, pulmonary effects observed at 0.4 ppm</w:t>
            </w:r>
          </w:p>
          <w:p w14:paraId="3FF2B163" w14:textId="77777777" w:rsidR="00FB52E8" w:rsidRDefault="00FB52E8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Increased thyroid weights at 260 mg/L iodide in drinking water in repeat feeding study (rats, young and mature, 6 wk); </w:t>
            </w:r>
          </w:p>
          <w:p w14:paraId="03611895" w14:textId="589CF520" w:rsidR="00FB52E8" w:rsidRDefault="00FB52E8" w:rsidP="00F06BE1">
            <w:pPr>
              <w:pStyle w:val="Tabletextprimarysource"/>
              <w:numPr>
                <w:ilvl w:val="1"/>
                <w:numId w:val="1"/>
              </w:numPr>
              <w:ind w:hanging="357"/>
            </w:pPr>
            <w:r>
              <w:t>increased pituitary weight and thyroid-stimulating hormone levels in young rats</w:t>
            </w:r>
          </w:p>
          <w:p w14:paraId="3B502368" w14:textId="269B92B5" w:rsidR="00862E78" w:rsidRDefault="00FB52E8" w:rsidP="00F06BE1">
            <w:pPr>
              <w:pStyle w:val="Tabletextprimarysource"/>
              <w:numPr>
                <w:ilvl w:val="1"/>
                <w:numId w:val="1"/>
              </w:numPr>
              <w:ind w:hanging="357"/>
            </w:pPr>
            <w:r>
              <w:t>cited study indicates that effects at this concentration do not provide evidence for hypothyroidism</w:t>
            </w:r>
            <w:r w:rsidR="00132104">
              <w:t xml:space="preserve"> in adult rats</w:t>
            </w:r>
          </w:p>
          <w:p w14:paraId="023C60B0" w14:textId="7B280E18" w:rsidR="00C2723E" w:rsidRDefault="00132104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Decreased survival rates </w:t>
            </w:r>
            <w:r w:rsidR="00C2723E">
              <w:t>in</w:t>
            </w:r>
            <w:r>
              <w:t xml:space="preserve"> males at 100 and 1,000 ppm</w:t>
            </w:r>
            <w:r w:rsidR="006D7A7C">
              <w:t xml:space="preserve"> potassium iodide</w:t>
            </w:r>
            <w:r>
              <w:t xml:space="preserve"> in drinking water in chronic carcinogenicity study (rats, 2 yr)</w:t>
            </w:r>
          </w:p>
          <w:p w14:paraId="7E7061AE" w14:textId="1B995C0A" w:rsidR="00FB52E8" w:rsidRDefault="00132104" w:rsidP="00C2723E">
            <w:pPr>
              <w:pStyle w:val="Tabletextprimarysource"/>
              <w:numPr>
                <w:ilvl w:val="1"/>
                <w:numId w:val="1"/>
              </w:numPr>
              <w:ind w:hanging="357"/>
            </w:pPr>
            <w:r>
              <w:t>salivary gland tumours reported in 1,000 ppm group</w:t>
            </w:r>
            <w:r w:rsidR="00C2723E">
              <w:t>;</w:t>
            </w:r>
            <w:r>
              <w:t xml:space="preserve"> </w:t>
            </w:r>
            <w:r>
              <w:rPr>
                <w:rFonts w:cs="Arial"/>
              </w:rPr>
              <w:t>≈</w:t>
            </w:r>
            <w:r>
              <w:t xml:space="preserve">2,500 times higher than the maximum </w:t>
            </w:r>
            <w:r w:rsidR="00C135AD">
              <w:t>tolerable daily human intake</w:t>
            </w:r>
          </w:p>
          <w:p w14:paraId="2D24BA32" w14:textId="6530FEF8" w:rsidR="00F06BE1" w:rsidRDefault="00F06BE1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Thyroid tumour promotion activity of KI demonstrated in rats with co-administration of known tumour initiators</w:t>
            </w:r>
          </w:p>
          <w:p w14:paraId="19A30CFA" w14:textId="2EE7E9C4" w:rsidR="00132104" w:rsidRDefault="006D7A7C" w:rsidP="00F06BE1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Iodine, </w:t>
            </w:r>
            <w:proofErr w:type="spellStart"/>
            <w:r>
              <w:t>NaI</w:t>
            </w:r>
            <w:proofErr w:type="spellEnd"/>
            <w:r>
              <w:t xml:space="preserve">, and KI non-mutagenic </w:t>
            </w:r>
            <w:r>
              <w:rPr>
                <w:i/>
              </w:rPr>
              <w:t>in vitro</w:t>
            </w:r>
            <w:r w:rsidR="00A22C4E">
              <w:t>; KI caused DNA fragmentation and was cytotoxic in thyroid lymphocytes via free-radical formation</w:t>
            </w:r>
            <w:r w:rsidR="00273325">
              <w:t>.</w:t>
            </w:r>
          </w:p>
          <w:p w14:paraId="11FFC911" w14:textId="77777777" w:rsidR="00944BEF" w:rsidRDefault="00944BEF" w:rsidP="00944BEF">
            <w:pPr>
              <w:pStyle w:val="Tabletextprimarysource"/>
              <w:ind w:left="720"/>
              <w:contextualSpacing/>
            </w:pPr>
          </w:p>
          <w:p w14:paraId="3080B04F" w14:textId="6BD412E4" w:rsidR="00506525" w:rsidRDefault="00506525" w:rsidP="003365A5">
            <w:pPr>
              <w:pStyle w:val="Tabletextprimarysource"/>
            </w:pPr>
            <w:r>
              <w:lastRenderedPageBreak/>
              <w:t xml:space="preserve">Not classified as a human carcinogen based on lack of evidence in epidemiological studies and slightly increased tumorigenicity at high concentrations of iodide in drinking water with chronically exposed animals. </w:t>
            </w:r>
          </w:p>
          <w:p w14:paraId="60A14FDE" w14:textId="77777777" w:rsidR="00862E78" w:rsidRDefault="00506525" w:rsidP="003365A5">
            <w:pPr>
              <w:pStyle w:val="Tabletextprimarysource"/>
            </w:pPr>
            <w:r>
              <w:t>A skin notation is not warranted based on poor dermal absorption and bioavailability of dermally absorbed iodine.</w:t>
            </w:r>
            <w:r w:rsidR="00C54A16">
              <w:t xml:space="preserve"> Insufficient data to recommend a sensitiser notation. </w:t>
            </w:r>
          </w:p>
          <w:p w14:paraId="0F7FF4F0" w14:textId="7B9D67BA" w:rsidR="00944BEF" w:rsidRPr="00DA352E" w:rsidRDefault="00944BEF" w:rsidP="003365A5">
            <w:pPr>
              <w:pStyle w:val="Tabletextprimarysource"/>
            </w:pPr>
          </w:p>
        </w:tc>
      </w:tr>
      <w:tr w:rsidR="00C978F0" w:rsidRPr="00DA352E" w14:paraId="33B3674A" w14:textId="77777777" w:rsidTr="00F95B4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3FB1DCF" w14:textId="4024499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67B86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67B86">
                  <w:t>Not assigned</w:t>
                </w:r>
              </w:sdtContent>
            </w:sdt>
          </w:p>
        </w:tc>
      </w:tr>
      <w:tr w:rsidR="00C978F0" w:rsidRPr="00DA352E" w14:paraId="64367BD1" w14:textId="77777777" w:rsidTr="00F95B43">
        <w:trPr>
          <w:gridAfter w:val="1"/>
          <w:wAfter w:w="8" w:type="pct"/>
        </w:trPr>
        <w:tc>
          <w:tcPr>
            <w:tcW w:w="4992" w:type="pct"/>
          </w:tcPr>
          <w:p w14:paraId="3F4E8464" w14:textId="4380B04E" w:rsidR="00FF0659" w:rsidRDefault="00FF0659" w:rsidP="003365A5">
            <w:pPr>
              <w:pStyle w:val="Tabletextprimarysource"/>
            </w:pPr>
            <w:r>
              <w:t>Summary of additional data:</w:t>
            </w:r>
          </w:p>
          <w:p w14:paraId="3FD8B6E9" w14:textId="1EB9149D" w:rsidR="00C978F0" w:rsidRDefault="007715F3" w:rsidP="003365A5">
            <w:pPr>
              <w:pStyle w:val="Tabletextprimarysource"/>
            </w:pPr>
            <w:r>
              <w:t>Due to historical iodine deficiencies in the German population, maximally tolerated dietary iodine intake is set at 500 µg/d (cf. 1.1 mg/d in USA)</w:t>
            </w:r>
            <w:r w:rsidR="00FF0659">
              <w:t xml:space="preserve">. Based on difference between </w:t>
            </w:r>
            <w:r w:rsidR="00C2723E">
              <w:t>RDI</w:t>
            </w:r>
            <w:r w:rsidR="00FF0659">
              <w:t xml:space="preserve"> (200 µg/d) and maximally tolerated daily intake (500 µg/d) in Germany, a MAK </w:t>
            </w:r>
            <w:r w:rsidR="005C25E4">
              <w:t>of 0.03</w:t>
            </w:r>
            <w:r w:rsidR="00944BEF">
              <w:t> </w:t>
            </w:r>
            <w:r w:rsidR="00FF0659">
              <w:t>mg/m</w:t>
            </w:r>
            <w:r w:rsidR="00FF0659">
              <w:rPr>
                <w:vertAlign w:val="superscript"/>
              </w:rPr>
              <w:t>3</w:t>
            </w:r>
            <w:r w:rsidR="00FF0659">
              <w:t xml:space="preserve"> for systemic effects, such as hypothyroidism, would be recommended. However, this derivation does not take potential local irritational effects into account, a MAK is therefore not established.</w:t>
            </w:r>
            <w:r w:rsidR="005C25E4">
              <w:t xml:space="preserve"> The agency questions the ability to extrapolate effects observed for ingested iodine intake to inhalational exposures as iodine homeostasis is regulated in the gastrointestinal tract.</w:t>
            </w:r>
          </w:p>
          <w:p w14:paraId="2E5B1D77" w14:textId="39581D70" w:rsidR="001B20CA" w:rsidRDefault="001B20CA" w:rsidP="003365A5">
            <w:pPr>
              <w:pStyle w:val="Tabletextprimarysource"/>
            </w:pPr>
            <w:r>
              <w:t>Human data:</w:t>
            </w:r>
          </w:p>
          <w:p w14:paraId="39723382" w14:textId="593398F9" w:rsidR="00666C9B" w:rsidRDefault="00666C9B" w:rsidP="001B20CA">
            <w:pPr>
              <w:pStyle w:val="Tabletextprimarysource"/>
              <w:numPr>
                <w:ilvl w:val="0"/>
                <w:numId w:val="1"/>
              </w:numPr>
            </w:pPr>
            <w:r>
              <w:t>Maximally tolerated daily intake recomme</w:t>
            </w:r>
            <w:r w:rsidR="005D49B0">
              <w:t>nded by the World Health Organiz</w:t>
            </w:r>
            <w:r>
              <w:t>ation in non-iodine-deficient populations is 1 mg/d</w:t>
            </w:r>
          </w:p>
          <w:p w14:paraId="7AF9DFD1" w14:textId="1D78AC2E" w:rsidR="00C70AA9" w:rsidRDefault="00C70AA9" w:rsidP="001B20CA">
            <w:pPr>
              <w:pStyle w:val="Tabletextprimarysource"/>
              <w:numPr>
                <w:ilvl w:val="0"/>
                <w:numId w:val="1"/>
              </w:numPr>
            </w:pPr>
            <w:r>
              <w:t>Populations with iodine deficiencies have lower tolerance to excess iodine and are more susceptible to adverse effects of overexposure, e.g. hyper- and hypothyroidism, and goitre</w:t>
            </w:r>
          </w:p>
          <w:p w14:paraId="6DABC292" w14:textId="3D589630" w:rsidR="00C70AA9" w:rsidRDefault="00A16F8D" w:rsidP="001B20C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Skin lesions and </w:t>
            </w:r>
            <w:r w:rsidR="00C70AA9">
              <w:t xml:space="preserve">hypersensitivity </w:t>
            </w:r>
            <w:r>
              <w:t xml:space="preserve">and autoimmune </w:t>
            </w:r>
            <w:r w:rsidR="00C70AA9">
              <w:t>reactions can result from &gt;300 mg/d</w:t>
            </w:r>
          </w:p>
          <w:p w14:paraId="046E1786" w14:textId="2797DFD5" w:rsidR="001B20CA" w:rsidRDefault="00FE712F" w:rsidP="001B20CA">
            <w:pPr>
              <w:pStyle w:val="Tabletextprimarysource"/>
              <w:numPr>
                <w:ilvl w:val="0"/>
                <w:numId w:val="1"/>
              </w:numPr>
            </w:pPr>
            <w:r>
              <w:t>Dermal absorption of KI and iodine doses were 0.13–0.19% (n=3) and 0.057–0.12% (n=2), respectively in volunteers</w:t>
            </w:r>
          </w:p>
          <w:p w14:paraId="0872C839" w14:textId="3A9B5B3D" w:rsidR="00AC5615" w:rsidRDefault="00AC5615" w:rsidP="00AC5615">
            <w:pPr>
              <w:pStyle w:val="Tabletextprimarysource"/>
              <w:numPr>
                <w:ilvl w:val="0"/>
                <w:numId w:val="1"/>
              </w:numPr>
            </w:pPr>
            <w:r>
              <w:t>Calculated dermal fluxes</w:t>
            </w:r>
            <w:r w:rsidR="00CE58D9">
              <w:t xml:space="preserve"> of saturated aqueous solutions</w:t>
            </w:r>
            <w:r>
              <w:t xml:space="preserve"> in 3 studies: 0.00073, 0.001, and 0.018 mg/cm</w:t>
            </w:r>
            <w:r>
              <w:rPr>
                <w:vertAlign w:val="superscript"/>
              </w:rPr>
              <w:t>2</w:t>
            </w:r>
            <w:r>
              <w:t>/h</w:t>
            </w:r>
          </w:p>
          <w:p w14:paraId="373833D9" w14:textId="3538A705" w:rsidR="00666C9B" w:rsidRDefault="00666C9B" w:rsidP="001B20CA">
            <w:pPr>
              <w:pStyle w:val="Tabletextprimarysource"/>
              <w:numPr>
                <w:ilvl w:val="0"/>
                <w:numId w:val="1"/>
              </w:numPr>
            </w:pPr>
            <w:r>
              <w:t>9 cases of hyperthyroidism and 10 cases of hypothyroidism in workers exposed to average air concentrations of 0.534</w:t>
            </w:r>
            <w:r w:rsidR="00273325">
              <w:t xml:space="preserve"> 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 KI (0.18–0.98 mg/m</w:t>
            </w:r>
            <w:r>
              <w:rPr>
                <w:vertAlign w:val="superscript"/>
              </w:rPr>
              <w:t>3</w:t>
            </w:r>
            <w:r>
              <w:t>); increased blood and urinary levels were measured respectively in 59 and 66 workers relative to their baseline levels (n=85, age: 19–59 yr, average employment 25.4 mo)</w:t>
            </w:r>
          </w:p>
          <w:p w14:paraId="6705E9AF" w14:textId="744CC8A1" w:rsidR="00390791" w:rsidRDefault="00390791" w:rsidP="001B20C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0.01 mg/kg/d </w:t>
            </w:r>
            <w:r w:rsidR="00B435D8">
              <w:t>for hypothyroidism</w:t>
            </w:r>
            <w:r>
              <w:t xml:space="preserve"> </w:t>
            </w:r>
            <w:r w:rsidR="00125779">
              <w:t xml:space="preserve">calculated from daily intake </w:t>
            </w:r>
            <w:r w:rsidR="00B435D8">
              <w:t>data</w:t>
            </w:r>
            <w:r>
              <w:t xml:space="preserve"> in study of Chinese children aged 7–15 living in areas of high (</w:t>
            </w:r>
            <w:r w:rsidR="00125779">
              <w:t>462.5 µg/L) an</w:t>
            </w:r>
            <w:r w:rsidR="00273325">
              <w:t>d</w:t>
            </w:r>
            <w:r w:rsidR="00125779">
              <w:t xml:space="preserve"> low (54 µg/L) in drinking water</w:t>
            </w:r>
          </w:p>
          <w:p w14:paraId="480D0069" w14:textId="40B9C971" w:rsidR="00C47325" w:rsidRDefault="008E1049" w:rsidP="001B20CA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0.5 mg/d </w:t>
            </w:r>
            <w:proofErr w:type="spellStart"/>
            <w:r>
              <w:t>NaI</w:t>
            </w:r>
            <w:proofErr w:type="spellEnd"/>
            <w:r>
              <w:t xml:space="preserve"> for changes in thyroid hormone levels in serum of volunteers with normally functioning thyroids in repeat oral dose study with treatment groups 0.25, 0.5, and 1.5 mg/d (14 wk)</w:t>
            </w:r>
            <w:r w:rsidR="00273325">
              <w:t>.</w:t>
            </w:r>
          </w:p>
          <w:p w14:paraId="7F1CD146" w14:textId="53D9BBE7" w:rsidR="00FF0659" w:rsidRDefault="00FF0659" w:rsidP="003365A5">
            <w:pPr>
              <w:pStyle w:val="Tabletextprimarysource"/>
            </w:pPr>
            <w:r>
              <w:t>Animal data:</w:t>
            </w:r>
          </w:p>
          <w:p w14:paraId="2447D4EE" w14:textId="6BE38661" w:rsidR="00FF0659" w:rsidRDefault="00FF0659" w:rsidP="00FF065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Evidence for </w:t>
            </w:r>
            <w:r w:rsidR="00EA47D7">
              <w:t xml:space="preserve">thyroid </w:t>
            </w:r>
            <w:r>
              <w:t>t</w:t>
            </w:r>
            <w:r w:rsidR="00EA47D7">
              <w:t>umour promoting effect of KI at 1</w:t>
            </w:r>
            <w:r w:rsidR="00C70AA9">
              <w:t>,</w:t>
            </w:r>
            <w:r w:rsidR="00EA47D7">
              <w:t>000 ppm in diet</w:t>
            </w:r>
            <w:r>
              <w:t xml:space="preserve"> when co-administered with known tumour initiator (rats, </w:t>
            </w:r>
            <w:r w:rsidR="00EA47D7">
              <w:t>20 wk, also cited by ACGIH, 2018)</w:t>
            </w:r>
          </w:p>
          <w:p w14:paraId="71C63C3F" w14:textId="77777777" w:rsidR="00F95B43" w:rsidRDefault="00EA47D7" w:rsidP="00F95B43">
            <w:pPr>
              <w:pStyle w:val="Tabletextprimarysource"/>
            </w:pPr>
            <w:r>
              <w:t>Non-mutagenic in a comet assay with Chinese hamster ovarian cells</w:t>
            </w:r>
            <w:r w:rsidR="00273325">
              <w:t>.</w:t>
            </w:r>
            <w:r w:rsidR="00F95B43">
              <w:t xml:space="preserve"> </w:t>
            </w:r>
          </w:p>
          <w:p w14:paraId="6F2882CF" w14:textId="1FE6BBFA" w:rsidR="00F95B43" w:rsidRDefault="00F95B43" w:rsidP="00F95B43">
            <w:pPr>
              <w:pStyle w:val="Tabletextprimarysource"/>
            </w:pPr>
            <w:r>
              <w:t>Carcinogenicity notation not warranted based on absence of carcinogenic effects in long-term human and animal studies.</w:t>
            </w:r>
          </w:p>
          <w:p w14:paraId="002F343E" w14:textId="77777777" w:rsidR="00F95B43" w:rsidRDefault="00F95B43" w:rsidP="00F95B43">
            <w:pPr>
              <w:pStyle w:val="Tabletextprimarysource"/>
            </w:pPr>
            <w:r>
              <w:t>A skin notation is warranted based on calculated absorption of iodine from a saturated aqueous solution that is above the maximally tolerated daily intake.</w:t>
            </w:r>
          </w:p>
          <w:p w14:paraId="0B426B8C" w14:textId="77777777" w:rsidR="00EA47D7" w:rsidRDefault="00F95B43" w:rsidP="00F95B43">
            <w:pPr>
              <w:pStyle w:val="Tabletextprimarysource"/>
            </w:pPr>
            <w:r>
              <w:t>Sensitisation notation not warranted due to lack of evidence for sensitisation in overall dataset including lack of sensitisation caused by use of iodine as a skin disinfectant.</w:t>
            </w:r>
          </w:p>
          <w:p w14:paraId="048E5A9A" w14:textId="50814BB6" w:rsidR="005D49B0" w:rsidRPr="00DA352E" w:rsidRDefault="005D49B0" w:rsidP="00F95B43">
            <w:pPr>
              <w:pStyle w:val="Tabletextprimarysource"/>
            </w:pPr>
          </w:p>
        </w:tc>
      </w:tr>
      <w:tr w:rsidR="00C978F0" w:rsidRPr="00DA352E" w14:paraId="389FDB2C" w14:textId="77777777" w:rsidTr="00F95B4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938F1C5" w14:textId="7A6248D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67B8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67B86">
                  <w:t>NA</w:t>
                </w:r>
              </w:sdtContent>
            </w:sdt>
          </w:p>
        </w:tc>
      </w:tr>
      <w:tr w:rsidR="00C978F0" w:rsidRPr="00DA352E" w14:paraId="3342CFAE" w14:textId="77777777" w:rsidTr="00F95B43">
        <w:trPr>
          <w:gridAfter w:val="1"/>
          <w:wAfter w:w="8" w:type="pct"/>
        </w:trPr>
        <w:tc>
          <w:tcPr>
            <w:tcW w:w="4992" w:type="pct"/>
          </w:tcPr>
          <w:p w14:paraId="67A80132" w14:textId="50AFCFA0" w:rsidR="00C978F0" w:rsidRPr="00DA352E" w:rsidRDefault="00767B86" w:rsidP="003365A5">
            <w:pPr>
              <w:pStyle w:val="Tabletextprimarysource"/>
            </w:pPr>
            <w:r>
              <w:t>No report</w:t>
            </w:r>
            <w:r w:rsidR="00273325">
              <w:t>.</w:t>
            </w:r>
          </w:p>
        </w:tc>
      </w:tr>
      <w:tr w:rsidR="00DA352E" w:rsidRPr="00DA352E" w14:paraId="3F80A8BC" w14:textId="77777777" w:rsidTr="00F95B4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5260AFF" w14:textId="782AC10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67B8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67B86">
                  <w:t>NA</w:t>
                </w:r>
              </w:sdtContent>
            </w:sdt>
          </w:p>
        </w:tc>
      </w:tr>
      <w:tr w:rsidR="00DA352E" w:rsidRPr="00DA352E" w14:paraId="40E8FAE0" w14:textId="77777777" w:rsidTr="00F95B43">
        <w:trPr>
          <w:gridAfter w:val="1"/>
          <w:wAfter w:w="8" w:type="pct"/>
        </w:trPr>
        <w:tc>
          <w:tcPr>
            <w:tcW w:w="4992" w:type="pct"/>
          </w:tcPr>
          <w:p w14:paraId="45D614CE" w14:textId="03BCFAFB" w:rsidR="00DA352E" w:rsidRPr="00DA352E" w:rsidRDefault="00767B86" w:rsidP="003365A5">
            <w:pPr>
              <w:pStyle w:val="Tabletextprimarysource"/>
            </w:pPr>
            <w:r>
              <w:t>No report</w:t>
            </w:r>
            <w:r w:rsidR="00273325">
              <w:t>.</w:t>
            </w:r>
          </w:p>
        </w:tc>
      </w:tr>
      <w:tr w:rsidR="00DA352E" w:rsidRPr="00DA352E" w14:paraId="5EC7BC54" w14:textId="77777777" w:rsidTr="00F95B4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4ED4DA0" w14:textId="538C92C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67B8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67B86">
                  <w:t>NA</w:t>
                </w:r>
              </w:sdtContent>
            </w:sdt>
          </w:p>
        </w:tc>
      </w:tr>
      <w:tr w:rsidR="00DA352E" w:rsidRPr="00DA352E" w14:paraId="61400214" w14:textId="77777777" w:rsidTr="00F95B43">
        <w:trPr>
          <w:gridAfter w:val="1"/>
          <w:wAfter w:w="8" w:type="pct"/>
        </w:trPr>
        <w:tc>
          <w:tcPr>
            <w:tcW w:w="4992" w:type="pct"/>
          </w:tcPr>
          <w:p w14:paraId="2F90CE1D" w14:textId="03F51819" w:rsidR="00DA352E" w:rsidRPr="00DA352E" w:rsidRDefault="00B2086A" w:rsidP="003365A5">
            <w:pPr>
              <w:pStyle w:val="Tabletextprimarysource"/>
            </w:pPr>
            <w:r>
              <w:t>No report</w:t>
            </w:r>
            <w:r w:rsidR="00273325">
              <w:t>.</w:t>
            </w:r>
          </w:p>
        </w:tc>
      </w:tr>
    </w:tbl>
    <w:p w14:paraId="6F9CA76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7"/>
        <w:gridCol w:w="421"/>
        <w:gridCol w:w="661"/>
        <w:gridCol w:w="6457"/>
      </w:tblGrid>
      <w:tr w:rsidR="00B435D8" w:rsidRPr="00263255" w14:paraId="2C3F1CDA" w14:textId="77777777" w:rsidTr="00F95B43">
        <w:trPr>
          <w:cantSplit/>
          <w:trHeight w:val="393"/>
          <w:tblHeader/>
        </w:trPr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7CF416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0E148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835F9F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7" w:type="dxa"/>
            <w:shd w:val="clear" w:color="auto" w:fill="BFBFBF" w:themeFill="background1" w:themeFillShade="BF"/>
            <w:vAlign w:val="center"/>
          </w:tcPr>
          <w:p w14:paraId="29C2ABA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B435D8" w:rsidRPr="004C23F4" w14:paraId="1C77878A" w14:textId="77777777" w:rsidTr="00F95B43">
        <w:trPr>
          <w:cantSplit/>
        </w:trPr>
        <w:tc>
          <w:tcPr>
            <w:tcW w:w="1487" w:type="dxa"/>
          </w:tcPr>
          <w:p w14:paraId="074CBA01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25885D4E" w14:textId="272FB34D" w:rsidR="004966BF" w:rsidRPr="00CE617F" w:rsidRDefault="005F480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C5615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7B7041DD" w14:textId="2AE79F1B" w:rsidR="004966BF" w:rsidRPr="004C23F4" w:rsidRDefault="00AC561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7" w:type="dxa"/>
          </w:tcPr>
          <w:p w14:paraId="1C9BB4E5" w14:textId="3F87CA8F" w:rsidR="004966BF" w:rsidRPr="004C23F4" w:rsidRDefault="00AC561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 assessment: therapeutic uses not assessed</w:t>
            </w:r>
          </w:p>
        </w:tc>
      </w:tr>
      <w:tr w:rsidR="00B435D8" w:rsidRPr="004C23F4" w14:paraId="0791128B" w14:textId="77777777" w:rsidTr="00F95B43">
        <w:trPr>
          <w:cantSplit/>
        </w:trPr>
        <w:tc>
          <w:tcPr>
            <w:tcW w:w="1487" w:type="dxa"/>
          </w:tcPr>
          <w:p w14:paraId="4958438C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1" w:type="dxa"/>
          </w:tcPr>
          <w:p w14:paraId="5A24276D" w14:textId="37A36323" w:rsidR="004966BF" w:rsidRPr="00CE617F" w:rsidRDefault="005F480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C561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8096B12" w14:textId="46C84E66" w:rsidR="004966BF" w:rsidRPr="004C23F4" w:rsidRDefault="00AC561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7" w:type="dxa"/>
          </w:tcPr>
          <w:p w14:paraId="3C48D8D0" w14:textId="17E304EE" w:rsidR="00B435D8" w:rsidRDefault="00C47325" w:rsidP="00AC5615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 w:rsidRPr="00C47325">
              <w:rPr>
                <w:rFonts w:cs="Arial"/>
              </w:rPr>
              <w:t xml:space="preserve">NOAEL of 0.01 mg/kg/d </w:t>
            </w:r>
            <w:r w:rsidR="00B435D8">
              <w:rPr>
                <w:rFonts w:cs="Arial"/>
              </w:rPr>
              <w:t>from epidemiological study of Chinese children (also cited in DFG, 2014) used to derive long-term derived no-effect-level (DNEL) by extrapolation to inhalational exposure; supported by</w:t>
            </w:r>
            <w:r w:rsidRPr="00C47325">
              <w:rPr>
                <w:rFonts w:cs="Arial"/>
              </w:rPr>
              <w:t xml:space="preserve"> studies</w:t>
            </w:r>
            <w:r w:rsidR="00B435D8">
              <w:rPr>
                <w:rFonts w:cs="Arial"/>
              </w:rPr>
              <w:t xml:space="preserve"> that</w:t>
            </w:r>
            <w:r w:rsidRPr="00C47325">
              <w:rPr>
                <w:rFonts w:cs="Arial"/>
              </w:rPr>
              <w:t xml:space="preserve"> indicate </w:t>
            </w:r>
            <w:r w:rsidR="00B435D8">
              <w:rPr>
                <w:rFonts w:cs="Arial"/>
              </w:rPr>
              <w:t>this</w:t>
            </w:r>
            <w:r w:rsidRPr="00C47325">
              <w:rPr>
                <w:rFonts w:cs="Arial"/>
              </w:rPr>
              <w:t xml:space="preserve"> NOAEL </w:t>
            </w:r>
            <w:r w:rsidR="00B435D8">
              <w:rPr>
                <w:rFonts w:cs="Arial"/>
              </w:rPr>
              <w:t>is</w:t>
            </w:r>
            <w:r w:rsidRPr="00C47325">
              <w:rPr>
                <w:rFonts w:cs="Arial"/>
              </w:rPr>
              <w:t xml:space="preserve"> applicable to elderly adults who represent </w:t>
            </w:r>
            <w:r w:rsidR="00B435D8">
              <w:rPr>
                <w:rFonts w:cs="Arial"/>
              </w:rPr>
              <w:t>a</w:t>
            </w:r>
            <w:r w:rsidRPr="00C47325">
              <w:rPr>
                <w:rFonts w:cs="Arial"/>
              </w:rPr>
              <w:t xml:space="preserve"> sensitive subpopulation</w:t>
            </w:r>
          </w:p>
          <w:p w14:paraId="6AFCE97C" w14:textId="04158F95" w:rsidR="00C47325" w:rsidRDefault="00B435D8" w:rsidP="00F95B43">
            <w:pPr>
              <w:pStyle w:val="Tablefont"/>
              <w:numPr>
                <w:ilvl w:val="1"/>
                <w:numId w:val="1"/>
              </w:numPr>
              <w:ind w:left="1158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Assuming 100% absorption and respiratory rate of 10</w:t>
            </w:r>
            <w:r w:rsidR="002733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for a 70</w:t>
            </w:r>
            <w:r w:rsidR="00C2723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kg individual, a corresponding long-term inhalational DNEL is</w:t>
            </w:r>
            <w:r w:rsidR="00EB4A79">
              <w:rPr>
                <w:rFonts w:cs="Arial"/>
              </w:rPr>
              <w:t xml:space="preserve"> </w:t>
            </w:r>
            <w:r w:rsidR="00F95B43">
              <w:rPr>
                <w:rFonts w:cs="Arial"/>
              </w:rPr>
              <w:t>≈</w:t>
            </w:r>
            <w:r>
              <w:rPr>
                <w:rFonts w:cs="Arial"/>
              </w:rPr>
              <w:t xml:space="preserve"> 0.07 mg/m</w:t>
            </w:r>
            <w:r>
              <w:rPr>
                <w:rFonts w:cs="Arial"/>
                <w:vertAlign w:val="superscript"/>
              </w:rPr>
              <w:t>3</w:t>
            </w:r>
            <w:r w:rsidR="002657AB">
              <w:rPr>
                <w:rFonts w:cs="Arial"/>
                <w:vertAlign w:val="superscript"/>
              </w:rPr>
              <w:softHyphen/>
            </w:r>
            <w:r w:rsidR="002657AB">
              <w:rPr>
                <w:rFonts w:cs="Arial"/>
              </w:rPr>
              <w:t xml:space="preserve"> or 0.01 ppm</w:t>
            </w:r>
          </w:p>
          <w:p w14:paraId="22390A5B" w14:textId="77777777" w:rsidR="00AC5615" w:rsidRDefault="00AC5615" w:rsidP="00B435D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Short</w:t>
            </w:r>
            <w:r w:rsidR="00BB2FC5">
              <w:rPr>
                <w:rStyle w:val="checkbox"/>
                <w:rFonts w:ascii="Arial" w:hAnsi="Arial" w:cs="Arial"/>
              </w:rPr>
              <w:t xml:space="preserve">-term </w:t>
            </w:r>
            <w:r w:rsidR="00B435D8">
              <w:rPr>
                <w:rStyle w:val="checkbox"/>
                <w:rFonts w:ascii="Arial" w:hAnsi="Arial" w:cs="Arial"/>
              </w:rPr>
              <w:t xml:space="preserve">DNEL </w:t>
            </w:r>
            <w:r>
              <w:rPr>
                <w:rStyle w:val="checkbox"/>
                <w:rFonts w:ascii="Arial" w:hAnsi="Arial" w:cs="Arial"/>
              </w:rPr>
              <w:t>adopted from the ACGIH (2018) evaluation</w:t>
            </w:r>
          </w:p>
          <w:p w14:paraId="5C5D6FA6" w14:textId="194DC450" w:rsidR="002657AB" w:rsidRPr="00B435D8" w:rsidRDefault="00C53277" w:rsidP="00B435D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Negative mutagenicity </w:t>
            </w:r>
            <w:r>
              <w:rPr>
                <w:rStyle w:val="checkbox"/>
                <w:rFonts w:ascii="Arial" w:hAnsi="Arial" w:cs="Arial"/>
                <w:i/>
              </w:rPr>
              <w:t>in vivo</w:t>
            </w:r>
            <w:r>
              <w:rPr>
                <w:rStyle w:val="checkbox"/>
                <w:rFonts w:ascii="Arial" w:hAnsi="Arial" w:cs="Arial"/>
              </w:rPr>
              <w:t xml:space="preserve"> in mice and Chinese hamsters; e</w:t>
            </w:r>
            <w:r w:rsidR="002657AB">
              <w:rPr>
                <w:rStyle w:val="checkbox"/>
                <w:rFonts w:ascii="Arial" w:hAnsi="Arial" w:cs="Arial"/>
              </w:rPr>
              <w:t xml:space="preserve">quivocal </w:t>
            </w:r>
            <w:r>
              <w:rPr>
                <w:rStyle w:val="checkbox"/>
                <w:rFonts w:ascii="Arial" w:hAnsi="Arial" w:cs="Arial"/>
              </w:rPr>
              <w:t xml:space="preserve">mutagenicity </w:t>
            </w:r>
            <w:r>
              <w:rPr>
                <w:rStyle w:val="checkbox"/>
                <w:rFonts w:ascii="Arial" w:hAnsi="Arial" w:cs="Arial"/>
                <w:i/>
              </w:rPr>
              <w:t>in vitro</w:t>
            </w:r>
            <w:r>
              <w:rPr>
                <w:rStyle w:val="checkbox"/>
                <w:rFonts w:ascii="Arial" w:hAnsi="Arial" w:cs="Arial"/>
              </w:rPr>
              <w:t xml:space="preserve"> in bacterial and mammalian cell lines</w:t>
            </w:r>
            <w:r w:rsidR="00273325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B435D8" w:rsidRPr="004C23F4" w14:paraId="6E04D69A" w14:textId="77777777" w:rsidTr="00F95B43">
        <w:trPr>
          <w:cantSplit/>
        </w:trPr>
        <w:tc>
          <w:tcPr>
            <w:tcW w:w="1487" w:type="dxa"/>
          </w:tcPr>
          <w:p w14:paraId="31BA6BFB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1" w:type="dxa"/>
          </w:tcPr>
          <w:p w14:paraId="57CD4EE7" w14:textId="2B299846" w:rsidR="004966BF" w:rsidRDefault="005F480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C561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A58E222" w14:textId="67E93781" w:rsidR="004966BF" w:rsidRPr="004C23F4" w:rsidRDefault="00AC561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7" w:type="dxa"/>
          </w:tcPr>
          <w:p w14:paraId="3EE839F9" w14:textId="5770FAA4" w:rsidR="004966BF" w:rsidRPr="004C23F4" w:rsidRDefault="00AC561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AC5615">
              <w:rPr>
                <w:rFonts w:cs="Arial"/>
              </w:rPr>
              <w:t>IDLH based on acute inhalation toxicity data in humans</w:t>
            </w:r>
            <w:r w:rsidR="00273325">
              <w:rPr>
                <w:rFonts w:cs="Arial"/>
              </w:rPr>
              <w:t>.</w:t>
            </w:r>
          </w:p>
        </w:tc>
      </w:tr>
    </w:tbl>
    <w:bookmarkEnd w:id="0"/>
    <w:p w14:paraId="6E4F006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5CA8D5E" w14:textId="77777777" w:rsidTr="00C53277">
        <w:trPr>
          <w:trHeight w:val="454"/>
          <w:tblHeader/>
        </w:trPr>
        <w:tc>
          <w:tcPr>
            <w:tcW w:w="6603" w:type="dxa"/>
            <w:vAlign w:val="center"/>
          </w:tcPr>
          <w:p w14:paraId="67CE604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3516CDF" w14:textId="5F5636CF" w:rsidR="002E0D61" w:rsidRDefault="00C5327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9E29D24" w14:textId="77777777" w:rsidTr="00C5327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64455B4" w14:textId="1B7A6343" w:rsidR="008A36CF" w:rsidRPr="006901A2" w:rsidRDefault="00C5327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698AAE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B5B3060" w14:textId="77777777" w:rsidR="00687890" w:rsidRPr="004C23F4" w:rsidRDefault="00B479A9" w:rsidP="00273325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639FB2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45BCC68" w14:textId="77777777" w:rsidR="00687890" w:rsidRPr="004C23F4" w:rsidRDefault="00687890" w:rsidP="00F95B43">
            <w:pPr>
              <w:pStyle w:val="Tableheader"/>
              <w:keepNext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0BDA39A" w14:textId="77777777" w:rsidR="00687890" w:rsidRPr="004C23F4" w:rsidRDefault="00687890" w:rsidP="00F95B43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7B2D90A" w14:textId="77777777" w:rsidTr="00812887">
        <w:trPr>
          <w:cantSplit/>
        </w:trPr>
        <w:tc>
          <w:tcPr>
            <w:tcW w:w="3227" w:type="dxa"/>
          </w:tcPr>
          <w:p w14:paraId="7963CC98" w14:textId="77777777" w:rsidR="004079B4" w:rsidRPr="004C23F4" w:rsidRDefault="00084513" w:rsidP="00F95B43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04ACE3FB" w14:textId="3DF2BF67" w:rsidR="00687890" w:rsidRPr="00DD2F9B" w:rsidRDefault="00767B86" w:rsidP="00F95B43">
            <w:pPr>
              <w:pStyle w:val="Tablefont"/>
              <w:keepNext/>
            </w:pPr>
            <w:r>
              <w:t>—</w:t>
            </w:r>
          </w:p>
        </w:tc>
      </w:tr>
      <w:tr w:rsidR="007925F0" w:rsidRPr="004C23F4" w14:paraId="522098AF" w14:textId="77777777" w:rsidTr="00812887">
        <w:trPr>
          <w:cantSplit/>
        </w:trPr>
        <w:tc>
          <w:tcPr>
            <w:tcW w:w="3227" w:type="dxa"/>
          </w:tcPr>
          <w:p w14:paraId="233D5211" w14:textId="77777777" w:rsidR="004079B4" w:rsidRPr="004C23F4" w:rsidRDefault="007925F0" w:rsidP="00F95B43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02820C5A" w14:textId="03ED6A8B" w:rsidR="007925F0" w:rsidRPr="00DD2F9B" w:rsidRDefault="00CE58D9" w:rsidP="00F95B43">
            <w:pPr>
              <w:pStyle w:val="Tablefont"/>
              <w:keepNext/>
            </w:pPr>
            <w:r>
              <w:t>—</w:t>
            </w:r>
          </w:p>
        </w:tc>
      </w:tr>
      <w:tr w:rsidR="00AF483F" w:rsidRPr="004C23F4" w14:paraId="20D1229F" w14:textId="77777777" w:rsidTr="00812887">
        <w:trPr>
          <w:cantSplit/>
        </w:trPr>
        <w:tc>
          <w:tcPr>
            <w:tcW w:w="3227" w:type="dxa"/>
          </w:tcPr>
          <w:p w14:paraId="478E5010" w14:textId="77777777" w:rsidR="00AF483F" w:rsidRPr="004C23F4" w:rsidRDefault="00AF483F" w:rsidP="00F95B43">
            <w:pPr>
              <w:pStyle w:val="Tablefont"/>
              <w:keepNext/>
            </w:pPr>
            <w:r>
              <w:t>NICNAS</w:t>
            </w:r>
          </w:p>
        </w:tc>
        <w:tc>
          <w:tcPr>
            <w:tcW w:w="6015" w:type="dxa"/>
          </w:tcPr>
          <w:p w14:paraId="39A2422A" w14:textId="5EF16492" w:rsidR="00AF483F" w:rsidRPr="00DD2F9B" w:rsidRDefault="00CE58D9" w:rsidP="00F95B43">
            <w:pPr>
              <w:pStyle w:val="Tablefont"/>
              <w:keepNext/>
            </w:pPr>
            <w:r>
              <w:t>—</w:t>
            </w:r>
          </w:p>
        </w:tc>
      </w:tr>
      <w:tr w:rsidR="00687890" w:rsidRPr="004C23F4" w14:paraId="432C189E" w14:textId="77777777" w:rsidTr="00812887">
        <w:trPr>
          <w:cantSplit/>
        </w:trPr>
        <w:tc>
          <w:tcPr>
            <w:tcW w:w="3227" w:type="dxa"/>
          </w:tcPr>
          <w:p w14:paraId="1229EDAE" w14:textId="77777777" w:rsidR="004079B4" w:rsidRPr="004C23F4" w:rsidRDefault="00687890" w:rsidP="00F95B43">
            <w:pPr>
              <w:pStyle w:val="Tablefont"/>
              <w:keepNext/>
            </w:pPr>
            <w:r w:rsidRPr="004C23F4">
              <w:t>EU Annex</w:t>
            </w:r>
          </w:p>
        </w:tc>
        <w:tc>
          <w:tcPr>
            <w:tcW w:w="6015" w:type="dxa"/>
          </w:tcPr>
          <w:p w14:paraId="6D8FDD5D" w14:textId="1B0B2E37" w:rsidR="00687890" w:rsidRPr="00DD2F9B" w:rsidRDefault="00CE58D9" w:rsidP="00F95B43">
            <w:pPr>
              <w:pStyle w:val="Tablefont"/>
              <w:keepNext/>
            </w:pPr>
            <w:r>
              <w:t>—</w:t>
            </w:r>
          </w:p>
        </w:tc>
      </w:tr>
      <w:tr w:rsidR="00E41A26" w:rsidRPr="004C23F4" w14:paraId="649612D6" w14:textId="77777777" w:rsidTr="00812887">
        <w:trPr>
          <w:cantSplit/>
        </w:trPr>
        <w:tc>
          <w:tcPr>
            <w:tcW w:w="3227" w:type="dxa"/>
          </w:tcPr>
          <w:p w14:paraId="0DB94B87" w14:textId="77777777" w:rsidR="00E41A26" w:rsidRDefault="00E41A26" w:rsidP="00F95B43">
            <w:pPr>
              <w:pStyle w:val="Tablefont"/>
              <w:keepNext/>
            </w:pPr>
            <w:r>
              <w:t>ECHA</w:t>
            </w:r>
          </w:p>
        </w:tc>
        <w:tc>
          <w:tcPr>
            <w:tcW w:w="6015" w:type="dxa"/>
          </w:tcPr>
          <w:p w14:paraId="189343A0" w14:textId="5C2A4193" w:rsidR="00E41A26" w:rsidRPr="00DD2F9B" w:rsidRDefault="00767B86" w:rsidP="00F95B43">
            <w:pPr>
              <w:pStyle w:val="Tablefont"/>
              <w:keepNext/>
            </w:pPr>
            <w:r>
              <w:t>—</w:t>
            </w:r>
          </w:p>
        </w:tc>
      </w:tr>
      <w:tr w:rsidR="002E0D61" w:rsidRPr="004C23F4" w14:paraId="76452935" w14:textId="77777777" w:rsidTr="00812887">
        <w:trPr>
          <w:cantSplit/>
        </w:trPr>
        <w:tc>
          <w:tcPr>
            <w:tcW w:w="3227" w:type="dxa"/>
          </w:tcPr>
          <w:p w14:paraId="6C5D810B" w14:textId="77777777" w:rsidR="004079B4" w:rsidRPr="004C23F4" w:rsidRDefault="002E0D61" w:rsidP="00F95B43">
            <w:pPr>
              <w:pStyle w:val="Tablefont"/>
              <w:keepNext/>
            </w:pPr>
            <w:r>
              <w:t>ACGIH</w:t>
            </w:r>
          </w:p>
        </w:tc>
        <w:tc>
          <w:tcPr>
            <w:tcW w:w="6015" w:type="dxa"/>
          </w:tcPr>
          <w:p w14:paraId="5A2C7303" w14:textId="4A434264" w:rsidR="002E0D61" w:rsidRPr="00DD2F9B" w:rsidRDefault="00767B86" w:rsidP="00F95B43">
            <w:pPr>
              <w:pStyle w:val="Tablefont"/>
              <w:keepNext/>
            </w:pPr>
            <w:r w:rsidRPr="00767B86">
              <w:t>Carcinogenicity – A4</w:t>
            </w:r>
          </w:p>
        </w:tc>
      </w:tr>
      <w:tr w:rsidR="002E0D61" w:rsidRPr="004C23F4" w14:paraId="5AF14893" w14:textId="77777777" w:rsidTr="00812887">
        <w:trPr>
          <w:cantSplit/>
        </w:trPr>
        <w:tc>
          <w:tcPr>
            <w:tcW w:w="3227" w:type="dxa"/>
          </w:tcPr>
          <w:p w14:paraId="564ABE67" w14:textId="77777777" w:rsidR="004079B4" w:rsidRPr="004C23F4" w:rsidRDefault="002E0D61" w:rsidP="00F95B43">
            <w:pPr>
              <w:pStyle w:val="Tablefont"/>
              <w:keepNext/>
            </w:pPr>
            <w:r>
              <w:t>DFG</w:t>
            </w:r>
          </w:p>
        </w:tc>
        <w:tc>
          <w:tcPr>
            <w:tcW w:w="6015" w:type="dxa"/>
          </w:tcPr>
          <w:p w14:paraId="0C7761D8" w14:textId="73FD578F" w:rsidR="002E0D61" w:rsidRPr="00DD2F9B" w:rsidRDefault="00767B86" w:rsidP="00F95B43">
            <w:pPr>
              <w:pStyle w:val="Tablefont"/>
              <w:keepNext/>
            </w:pPr>
            <w:r w:rsidRPr="00767B86">
              <w:t>H (skin)</w:t>
            </w:r>
          </w:p>
        </w:tc>
      </w:tr>
      <w:tr w:rsidR="002E0D61" w:rsidRPr="004C23F4" w14:paraId="73B03517" w14:textId="77777777" w:rsidTr="00812887">
        <w:trPr>
          <w:cantSplit/>
        </w:trPr>
        <w:tc>
          <w:tcPr>
            <w:tcW w:w="3227" w:type="dxa"/>
          </w:tcPr>
          <w:p w14:paraId="757A169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7C10A2C" w14:textId="404C15F8" w:rsidR="002E0D61" w:rsidRPr="00DD2F9B" w:rsidRDefault="00767B8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64507E" w14:textId="77777777" w:rsidTr="00812887">
        <w:trPr>
          <w:cantSplit/>
        </w:trPr>
        <w:tc>
          <w:tcPr>
            <w:tcW w:w="3227" w:type="dxa"/>
          </w:tcPr>
          <w:p w14:paraId="49F19DE7" w14:textId="77777777"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14:paraId="55438C25" w14:textId="6B97AD8D" w:rsidR="002E0D61" w:rsidRPr="00DD2F9B" w:rsidRDefault="00073B7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DFE5B2A" w14:textId="77777777" w:rsidTr="00812887">
        <w:trPr>
          <w:cantSplit/>
        </w:trPr>
        <w:tc>
          <w:tcPr>
            <w:tcW w:w="3227" w:type="dxa"/>
          </w:tcPr>
          <w:p w14:paraId="7270BE9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A4BEE35" w14:textId="173F5730" w:rsidR="00386093" w:rsidRPr="00DD2F9B" w:rsidRDefault="00073B7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18A0760" w14:textId="77777777" w:rsidTr="00812887">
        <w:trPr>
          <w:cantSplit/>
        </w:trPr>
        <w:tc>
          <w:tcPr>
            <w:tcW w:w="3227" w:type="dxa"/>
          </w:tcPr>
          <w:p w14:paraId="21FC5A6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92452D1" w14:textId="14E92963" w:rsidR="00386093" w:rsidRPr="00DD2F9B" w:rsidRDefault="00073B7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749B37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1776C1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3FD836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D79C81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69378E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4000"/>
              <w:gridCol w:w="502"/>
              <w:gridCol w:w="547"/>
              <w:gridCol w:w="3761"/>
            </w:tblGrid>
            <w:tr w:rsidR="00CE58D9" w:rsidRPr="00CE58D9" w14:paraId="28664754" w14:textId="77777777" w:rsidTr="00CE58D9">
              <w:trPr>
                <w:trHeight w:val="342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755F11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CD0855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C59A25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B73B2E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E58D9" w:rsidRPr="00CE58D9" w14:paraId="3CD53FA8" w14:textId="77777777" w:rsidTr="00CE58D9">
              <w:trPr>
                <w:trHeight w:val="342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CB1F7A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8393D6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CB7725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A6B0B0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E58D9" w:rsidRPr="00CE58D9" w14:paraId="3A4816EB" w14:textId="77777777" w:rsidTr="00CE58D9">
              <w:trPr>
                <w:trHeight w:val="342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F7E333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D40D31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0AFFB3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0022E8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E58D9" w:rsidRPr="00CE58D9" w14:paraId="6C75B832" w14:textId="77777777" w:rsidTr="00CE58D9">
              <w:trPr>
                <w:trHeight w:val="342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3F9C7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B24146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7F0F8A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841DBD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E58D9" w:rsidRPr="00CE58D9" w14:paraId="37DF6F95" w14:textId="77777777" w:rsidTr="00CE58D9">
              <w:trPr>
                <w:trHeight w:val="342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283C83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A67296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86CE36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A1F922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E58D9" w:rsidRPr="00CE58D9" w14:paraId="6801BEE3" w14:textId="77777777" w:rsidTr="00CE58D9">
              <w:trPr>
                <w:trHeight w:val="7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C885FE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4C9131A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EE9E44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3A7E08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E58D9" w:rsidRPr="00CE58D9" w14:paraId="48C7119F" w14:textId="77777777" w:rsidTr="00CE58D9">
              <w:trPr>
                <w:trHeight w:val="342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04FD55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776AD1" w14:textId="77777777" w:rsidR="00CE58D9" w:rsidRPr="00CE58D9" w:rsidRDefault="00CE58D9" w:rsidP="00CE58D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498B9A" w14:textId="77777777" w:rsidR="00CE58D9" w:rsidRPr="00CE58D9" w:rsidRDefault="00CE58D9" w:rsidP="00CE58D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7D44DA" w14:textId="77777777" w:rsidR="00CE58D9" w:rsidRPr="00CE58D9" w:rsidRDefault="00CE58D9" w:rsidP="00CE58D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E58D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4FA7E1E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291D8B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C22D55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032963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FB9208F" w14:textId="4FE82A0E" w:rsidR="00EB3D1B" w:rsidRDefault="00073B7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F5FF04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D0302E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E90D28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4E9EBAC" w14:textId="18185C96" w:rsidR="001B79E5" w:rsidRDefault="00073B7F" w:rsidP="001B79E5">
                <w:pPr>
                  <w:pStyle w:val="Tablefont"/>
                </w:pPr>
                <w:r w:rsidRPr="00073B7F">
                  <w:t>126.90</w:t>
                </w:r>
              </w:p>
            </w:tc>
          </w:sdtContent>
        </w:sdt>
      </w:tr>
      <w:tr w:rsidR="00A31D99" w:rsidRPr="004C23F4" w14:paraId="726D19F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793DE9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ED026C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E974EA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E89882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39D46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1D67665" w14:textId="77777777" w:rsidTr="00EA6243">
        <w:trPr>
          <w:cantSplit/>
        </w:trPr>
        <w:tc>
          <w:tcPr>
            <w:tcW w:w="4077" w:type="dxa"/>
            <w:vAlign w:val="center"/>
          </w:tcPr>
          <w:p w14:paraId="5DB0926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9EDC61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1FE8653" w14:textId="77777777" w:rsidTr="00EA6243">
        <w:trPr>
          <w:cantSplit/>
        </w:trPr>
        <w:tc>
          <w:tcPr>
            <w:tcW w:w="4077" w:type="dxa"/>
            <w:vAlign w:val="center"/>
          </w:tcPr>
          <w:p w14:paraId="6B88C01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83DB2BA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88D7CE7" w14:textId="77777777" w:rsidTr="00EA6243">
        <w:trPr>
          <w:cantSplit/>
        </w:trPr>
        <w:tc>
          <w:tcPr>
            <w:tcW w:w="4077" w:type="dxa"/>
            <w:vAlign w:val="center"/>
          </w:tcPr>
          <w:p w14:paraId="4C7408A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A7BC050" w14:textId="77777777" w:rsidR="00E06F40" w:rsidRPr="00A006A0" w:rsidRDefault="005F480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6FD7A7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FFF854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5500B2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AC9EFC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35F730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8A79C5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124FF3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FCD17D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A190281" w14:textId="231BAF8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828B722" w14:textId="35427808" w:rsidR="00073B7F" w:rsidRDefault="00073B7F" w:rsidP="00084859">
      <w:r w:rsidRPr="002022B6">
        <w:lastRenderedPageBreak/>
        <w:t>Deutsche Forschungsgemeinschaft (DFG)</w:t>
      </w:r>
      <w:r>
        <w:t xml:space="preserve"> (20</w:t>
      </w:r>
      <w:r w:rsidR="00287BE9">
        <w:t>14</w:t>
      </w:r>
      <w:r>
        <w:t xml:space="preserve">) </w:t>
      </w:r>
      <w:r w:rsidR="00287BE9" w:rsidRPr="00287BE9">
        <w:t>Iodine and inorganic iodides</w:t>
      </w:r>
      <w:r>
        <w:t xml:space="preserve"> – MAK value documentation.</w:t>
      </w:r>
    </w:p>
    <w:p w14:paraId="7A74AA9B" w14:textId="4CD0C46E" w:rsidR="00073B7F" w:rsidRDefault="00073B7F" w:rsidP="00084859">
      <w:r>
        <w:t>European Chemicals Agency (ECHA) (</w:t>
      </w:r>
      <w:r w:rsidR="00287BE9">
        <w:t>2019</w:t>
      </w:r>
      <w:r>
        <w:t xml:space="preserve">) </w:t>
      </w:r>
      <w:r w:rsidR="00287BE9" w:rsidRPr="00287BE9">
        <w:t>Iodine</w:t>
      </w:r>
      <w:r>
        <w:t xml:space="preserve"> – REACH assessment.</w:t>
      </w:r>
    </w:p>
    <w:p w14:paraId="5B077EE6" w14:textId="0A45CE8F" w:rsidR="00D62AA5" w:rsidRPr="00D62AA5" w:rsidRDefault="00D62AA5" w:rsidP="00084859">
      <w:r>
        <w:t>National Industrial Chemicals Notification and Assessment Scheme (NICNAS) (2018) Iodine: Human health tier I assessment – IMAP report.</w:t>
      </w:r>
    </w:p>
    <w:p w14:paraId="000C84B6" w14:textId="0CFCD86D" w:rsidR="00287BE9" w:rsidRPr="00351FE0" w:rsidRDefault="00287BE9" w:rsidP="00084859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287BE9">
        <w:t>Iodine</w:t>
      </w:r>
      <w:r>
        <w:t>.</w:t>
      </w:r>
    </w:p>
    <w:sectPr w:rsidR="00287BE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547F" w14:textId="77777777" w:rsidR="00A52FC4" w:rsidRDefault="00A52FC4" w:rsidP="00F43AD5">
      <w:pPr>
        <w:spacing w:after="0" w:line="240" w:lineRule="auto"/>
      </w:pPr>
      <w:r>
        <w:separator/>
      </w:r>
    </w:p>
  </w:endnote>
  <w:endnote w:type="continuationSeparator" w:id="0">
    <w:p w14:paraId="20C20F64" w14:textId="77777777" w:rsidR="00A52FC4" w:rsidRDefault="00A52FC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0108" w14:textId="77777777" w:rsidR="005F480D" w:rsidRDefault="005F4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6AA3DF" w14:textId="3DB8EA78" w:rsidR="00A538C6" w:rsidRDefault="00A538C6" w:rsidP="0034744C">
        <w:pPr>
          <w:pStyle w:val="Footer"/>
          <w:rPr>
            <w:sz w:val="18"/>
            <w:szCs w:val="18"/>
          </w:rPr>
        </w:pPr>
        <w:r w:rsidRPr="002A657E">
          <w:rPr>
            <w:b/>
            <w:sz w:val="18"/>
            <w:szCs w:val="18"/>
          </w:rPr>
          <w:t>Iodine</w:t>
        </w:r>
        <w:r>
          <w:rPr>
            <w:b/>
            <w:sz w:val="18"/>
            <w:szCs w:val="18"/>
          </w:rPr>
          <w:t xml:space="preserve"> (</w:t>
        </w:r>
        <w:r w:rsidRPr="002A657E">
          <w:rPr>
            <w:b/>
            <w:sz w:val="18"/>
            <w:szCs w:val="18"/>
          </w:rPr>
          <w:t>7553-56-2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4F1D655F" w14:textId="0A1C0F51" w:rsidR="00A538C6" w:rsidRPr="00F43AD5" w:rsidRDefault="00A538C6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F480D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1A3F" w14:textId="77777777" w:rsidR="005F480D" w:rsidRDefault="005F4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9140" w14:textId="77777777" w:rsidR="00A52FC4" w:rsidRDefault="00A52FC4" w:rsidP="00F43AD5">
      <w:pPr>
        <w:spacing w:after="0" w:line="240" w:lineRule="auto"/>
      </w:pPr>
      <w:r>
        <w:separator/>
      </w:r>
    </w:p>
  </w:footnote>
  <w:footnote w:type="continuationSeparator" w:id="0">
    <w:p w14:paraId="2DD83663" w14:textId="77777777" w:rsidR="00A52FC4" w:rsidRDefault="00A52FC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C2DE" w14:textId="77777777" w:rsidR="005F480D" w:rsidRDefault="005F4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A59E" w14:textId="3D26E3D5" w:rsidR="005F480D" w:rsidRDefault="005F480D" w:rsidP="005F480D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7F145D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B5DBEE8" wp14:editId="7C149862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11DA17" w14:textId="68722C24" w:rsidR="00A538C6" w:rsidRPr="005F480D" w:rsidRDefault="00A538C6" w:rsidP="005F4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1DDF" w14:textId="77777777" w:rsidR="005F480D" w:rsidRDefault="005F48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EB5F" w14:textId="19294F96" w:rsidR="005F480D" w:rsidRDefault="005F480D" w:rsidP="005F480D">
    <w:pPr>
      <w:pStyle w:val="Header"/>
      <w:jc w:val="right"/>
    </w:pPr>
    <w:sdt>
      <w:sdtPr>
        <w:id w:val="480350801"/>
        <w:docPartObj>
          <w:docPartGallery w:val="Watermarks"/>
          <w:docPartUnique/>
        </w:docPartObj>
      </w:sdtPr>
      <w:sdtContent>
        <w:r>
          <w:pict w14:anchorId="66CEFA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D7CC2D8" wp14:editId="6F4A86FB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  <w:p w14:paraId="4B005EA5" w14:textId="77777777" w:rsidR="00A538C6" w:rsidRDefault="00A538C6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B1A"/>
    <w:multiLevelType w:val="hybridMultilevel"/>
    <w:tmpl w:val="494C4932"/>
    <w:lvl w:ilvl="0" w:tplc="3B349E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47525"/>
    <w:rsid w:val="00052060"/>
    <w:rsid w:val="0005574A"/>
    <w:rsid w:val="00055FE1"/>
    <w:rsid w:val="00056EC2"/>
    <w:rsid w:val="00060B48"/>
    <w:rsid w:val="00067F32"/>
    <w:rsid w:val="00071807"/>
    <w:rsid w:val="00073B7F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6D"/>
    <w:rsid w:val="000C248C"/>
    <w:rsid w:val="000C2AEF"/>
    <w:rsid w:val="000C786F"/>
    <w:rsid w:val="000D291C"/>
    <w:rsid w:val="000E5A54"/>
    <w:rsid w:val="000E63D3"/>
    <w:rsid w:val="000E67CF"/>
    <w:rsid w:val="0010461E"/>
    <w:rsid w:val="00106FAA"/>
    <w:rsid w:val="00113443"/>
    <w:rsid w:val="00125779"/>
    <w:rsid w:val="001269A7"/>
    <w:rsid w:val="00131092"/>
    <w:rsid w:val="00132104"/>
    <w:rsid w:val="00140E6A"/>
    <w:rsid w:val="00146545"/>
    <w:rsid w:val="00146B75"/>
    <w:rsid w:val="00147718"/>
    <w:rsid w:val="0015266D"/>
    <w:rsid w:val="0015288A"/>
    <w:rsid w:val="00160F47"/>
    <w:rsid w:val="00171378"/>
    <w:rsid w:val="00177CA1"/>
    <w:rsid w:val="00183823"/>
    <w:rsid w:val="00183942"/>
    <w:rsid w:val="001A009E"/>
    <w:rsid w:val="001A1287"/>
    <w:rsid w:val="001A3859"/>
    <w:rsid w:val="001A3C9D"/>
    <w:rsid w:val="001A43F8"/>
    <w:rsid w:val="001B20CA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0802"/>
    <w:rsid w:val="00213640"/>
    <w:rsid w:val="00221547"/>
    <w:rsid w:val="002216FC"/>
    <w:rsid w:val="00222533"/>
    <w:rsid w:val="00222F30"/>
    <w:rsid w:val="00224EE2"/>
    <w:rsid w:val="00227EC7"/>
    <w:rsid w:val="00244AD1"/>
    <w:rsid w:val="00246094"/>
    <w:rsid w:val="002463BC"/>
    <w:rsid w:val="002465CE"/>
    <w:rsid w:val="0025734A"/>
    <w:rsid w:val="00263255"/>
    <w:rsid w:val="002657AB"/>
    <w:rsid w:val="00273325"/>
    <w:rsid w:val="00276494"/>
    <w:rsid w:val="00277B0C"/>
    <w:rsid w:val="00287BE9"/>
    <w:rsid w:val="002A657E"/>
    <w:rsid w:val="002B1A2C"/>
    <w:rsid w:val="002C34F2"/>
    <w:rsid w:val="002C58FF"/>
    <w:rsid w:val="002C7AFE"/>
    <w:rsid w:val="002D05D2"/>
    <w:rsid w:val="002E0D61"/>
    <w:rsid w:val="002E4C7B"/>
    <w:rsid w:val="0030264D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0791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3AD8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6525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25E4"/>
    <w:rsid w:val="005C5D16"/>
    <w:rsid w:val="005D3193"/>
    <w:rsid w:val="005D49B0"/>
    <w:rsid w:val="005D4A6E"/>
    <w:rsid w:val="005E6979"/>
    <w:rsid w:val="005E75CB"/>
    <w:rsid w:val="005F480D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0FFE"/>
    <w:rsid w:val="0066333C"/>
    <w:rsid w:val="006639B4"/>
    <w:rsid w:val="006650FE"/>
    <w:rsid w:val="00666C9B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5E0"/>
    <w:rsid w:val="006B160A"/>
    <w:rsid w:val="006B4E6C"/>
    <w:rsid w:val="006B50B6"/>
    <w:rsid w:val="006D79EA"/>
    <w:rsid w:val="006D7A7C"/>
    <w:rsid w:val="006E5D05"/>
    <w:rsid w:val="00701053"/>
    <w:rsid w:val="00701507"/>
    <w:rsid w:val="00712115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67B86"/>
    <w:rsid w:val="00770E31"/>
    <w:rsid w:val="007715F3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3EB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2E78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1049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4BEF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6F8D"/>
    <w:rsid w:val="00A174CC"/>
    <w:rsid w:val="00A2073D"/>
    <w:rsid w:val="00A20751"/>
    <w:rsid w:val="00A22C4E"/>
    <w:rsid w:val="00A250FF"/>
    <w:rsid w:val="00A27E2D"/>
    <w:rsid w:val="00A31D99"/>
    <w:rsid w:val="00A357BA"/>
    <w:rsid w:val="00A35ADC"/>
    <w:rsid w:val="00A402A3"/>
    <w:rsid w:val="00A52FC4"/>
    <w:rsid w:val="00A53681"/>
    <w:rsid w:val="00A538C6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3C59"/>
    <w:rsid w:val="00AC5615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086A"/>
    <w:rsid w:val="00B213C4"/>
    <w:rsid w:val="00B40C60"/>
    <w:rsid w:val="00B435D8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2FC5"/>
    <w:rsid w:val="00BB612A"/>
    <w:rsid w:val="00BC2F87"/>
    <w:rsid w:val="00BD499F"/>
    <w:rsid w:val="00BD56DE"/>
    <w:rsid w:val="00BF2406"/>
    <w:rsid w:val="00C06E43"/>
    <w:rsid w:val="00C135AD"/>
    <w:rsid w:val="00C16315"/>
    <w:rsid w:val="00C27120"/>
    <w:rsid w:val="00C2723E"/>
    <w:rsid w:val="00C3091E"/>
    <w:rsid w:val="00C40FF1"/>
    <w:rsid w:val="00C419E2"/>
    <w:rsid w:val="00C47325"/>
    <w:rsid w:val="00C5020E"/>
    <w:rsid w:val="00C53277"/>
    <w:rsid w:val="00C54A16"/>
    <w:rsid w:val="00C57452"/>
    <w:rsid w:val="00C61EDF"/>
    <w:rsid w:val="00C6239D"/>
    <w:rsid w:val="00C6594B"/>
    <w:rsid w:val="00C67FFB"/>
    <w:rsid w:val="00C70AA9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0DB"/>
    <w:rsid w:val="00CE58D9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2AA5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0582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1871"/>
    <w:rsid w:val="00E32595"/>
    <w:rsid w:val="00E33F7E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47D7"/>
    <w:rsid w:val="00EA6243"/>
    <w:rsid w:val="00EA74AB"/>
    <w:rsid w:val="00EB3D1B"/>
    <w:rsid w:val="00EB4A79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06BE1"/>
    <w:rsid w:val="00F10C97"/>
    <w:rsid w:val="00F11C71"/>
    <w:rsid w:val="00F16019"/>
    <w:rsid w:val="00F20E68"/>
    <w:rsid w:val="00F22093"/>
    <w:rsid w:val="00F236DF"/>
    <w:rsid w:val="00F41886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5B43"/>
    <w:rsid w:val="00F970C9"/>
    <w:rsid w:val="00FA06A8"/>
    <w:rsid w:val="00FA3DF5"/>
    <w:rsid w:val="00FA741F"/>
    <w:rsid w:val="00FB4E07"/>
    <w:rsid w:val="00FB52E8"/>
    <w:rsid w:val="00FB755A"/>
    <w:rsid w:val="00FC60A2"/>
    <w:rsid w:val="00FD1871"/>
    <w:rsid w:val="00FD3110"/>
    <w:rsid w:val="00FE712F"/>
    <w:rsid w:val="00FF065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Revision">
    <w:name w:val="Revision"/>
    <w:hidden/>
    <w:uiPriority w:val="99"/>
    <w:semiHidden/>
    <w:rsid w:val="00F95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C2E42FFBB2A4A5FAF23EC0F9E3D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57EA-30F1-4853-AF3E-39EFA42B942A}"/>
      </w:docPartPr>
      <w:docPartBody>
        <w:p w:rsidR="00371C80" w:rsidRDefault="00347CB6" w:rsidP="00347CB6">
          <w:pPr>
            <w:pStyle w:val="1C2E42FFBB2A4A5FAF23EC0F9E3D1C32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CB6"/>
    <w:rsid w:val="00371C80"/>
    <w:rsid w:val="00494AB7"/>
    <w:rsid w:val="00D21A9F"/>
    <w:rsid w:val="00D44128"/>
    <w:rsid w:val="00E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CB6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EFE891AC33F44398036E5ACEF98262F">
    <w:name w:val="DEFE891AC33F44398036E5ACEF98262F"/>
    <w:rsid w:val="00494AB7"/>
  </w:style>
  <w:style w:type="paragraph" w:customStyle="1" w:styleId="CE5F7533BB6E40B2A699E9581505F7AF">
    <w:name w:val="CE5F7533BB6E40B2A699E9581505F7AF"/>
    <w:rsid w:val="00494AB7"/>
  </w:style>
  <w:style w:type="paragraph" w:customStyle="1" w:styleId="B6508556E9CB40DF9BF86366F42A8CA8">
    <w:name w:val="B6508556E9CB40DF9BF86366F42A8CA8"/>
    <w:rsid w:val="00494AB7"/>
  </w:style>
  <w:style w:type="paragraph" w:customStyle="1" w:styleId="919C38FC8272449E83BA705D711F19C4">
    <w:name w:val="919C38FC8272449E83BA705D711F19C4"/>
    <w:rsid w:val="00494AB7"/>
  </w:style>
  <w:style w:type="paragraph" w:customStyle="1" w:styleId="968F73CA63E14345BB92DA34D208D6B0">
    <w:name w:val="968F73CA63E14345BB92DA34D208D6B0"/>
    <w:rsid w:val="00494AB7"/>
  </w:style>
  <w:style w:type="paragraph" w:customStyle="1" w:styleId="9F099DE4A9F14875844EC091DADE46C6">
    <w:name w:val="9F099DE4A9F14875844EC091DADE46C6"/>
    <w:rsid w:val="00494AB7"/>
  </w:style>
  <w:style w:type="paragraph" w:customStyle="1" w:styleId="3805F914AD6E48898DBBCB48407FC29B">
    <w:name w:val="3805F914AD6E48898DBBCB48407FC29B"/>
    <w:rsid w:val="00EA59B9"/>
  </w:style>
  <w:style w:type="paragraph" w:customStyle="1" w:styleId="1C2E42FFBB2A4A5FAF23EC0F9E3D1C32">
    <w:name w:val="1C2E42FFBB2A4A5FAF23EC0F9E3D1C32"/>
    <w:rsid w:val="00347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C69B-14C8-406B-BDFC-E579C0966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DB546F-EE23-49A3-8D61-10D4734F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B4EAF64A.dotm</Template>
  <TotalTime>547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17</cp:revision>
  <cp:lastPrinted>2018-10-22T22:41:00Z</cp:lastPrinted>
  <dcterms:created xsi:type="dcterms:W3CDTF">2019-10-30T23:41:00Z</dcterms:created>
  <dcterms:modified xsi:type="dcterms:W3CDTF">2020-01-15T03:32:00Z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