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1B90646" w14:textId="31F607BC" w:rsidR="00BD499F" w:rsidRPr="004C23F4" w:rsidRDefault="00FF43BB" w:rsidP="00B40C60">
          <w:pPr>
            <w:pStyle w:val="Heading1"/>
            <w:jc w:val="center"/>
            <w:rPr>
              <w:rFonts w:ascii="Arial" w:hAnsi="Arial" w:cs="Arial"/>
            </w:rPr>
          </w:pPr>
          <w:r w:rsidRPr="00FF43BB">
            <w:rPr>
              <w:rFonts w:ascii="Arial" w:hAnsi="Arial" w:cs="Arial"/>
            </w:rPr>
            <w:t>Iodoform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1C96E5B9" w14:textId="77777777" w:rsidTr="00B76A41">
        <w:trPr>
          <w:cantSplit/>
          <w:tblHeader/>
        </w:trPr>
        <w:tc>
          <w:tcPr>
            <w:tcW w:w="4077" w:type="dxa"/>
          </w:tcPr>
          <w:p w14:paraId="423280B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68021A1" w14:textId="6926888F" w:rsidR="00F43AD5" w:rsidRPr="00717D45" w:rsidRDefault="002A1301" w:rsidP="00B76A41">
            <w:pPr>
              <w:pStyle w:val="Tablefont"/>
            </w:pPr>
            <w:r w:rsidRPr="002A1301">
              <w:t>75-47-8</w:t>
            </w:r>
          </w:p>
        </w:tc>
      </w:tr>
      <w:tr w:rsidR="00F43AD5" w:rsidRPr="004C23F4" w14:paraId="19881098" w14:textId="77777777" w:rsidTr="00B76A41">
        <w:trPr>
          <w:cantSplit/>
        </w:trPr>
        <w:tc>
          <w:tcPr>
            <w:tcW w:w="4077" w:type="dxa"/>
          </w:tcPr>
          <w:p w14:paraId="63F7A19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DFE8D86" w14:textId="70DF4BFC" w:rsidR="00F43AD5" w:rsidRPr="00717D45" w:rsidRDefault="002A1301" w:rsidP="00B76A41">
            <w:pPr>
              <w:pStyle w:val="Tablefont"/>
            </w:pPr>
            <w:proofErr w:type="spellStart"/>
            <w:r>
              <w:t>Triiodomethane</w:t>
            </w:r>
            <w:proofErr w:type="spellEnd"/>
          </w:p>
        </w:tc>
      </w:tr>
      <w:tr w:rsidR="00F43AD5" w:rsidRPr="004C23F4" w14:paraId="121D0B28" w14:textId="77777777" w:rsidTr="00B76A41">
        <w:trPr>
          <w:cantSplit/>
        </w:trPr>
        <w:tc>
          <w:tcPr>
            <w:tcW w:w="4077" w:type="dxa"/>
          </w:tcPr>
          <w:p w14:paraId="13F1529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BF932C2" w14:textId="19ABC990" w:rsidR="00F43AD5" w:rsidRPr="00717D45" w:rsidRDefault="002A1301" w:rsidP="00B76A41">
            <w:pPr>
              <w:pStyle w:val="Tablefont"/>
            </w:pPr>
            <w:r>
              <w:t>CHI</w:t>
            </w:r>
            <w:r w:rsidRPr="002A1301">
              <w:rPr>
                <w:vertAlign w:val="subscript"/>
              </w:rPr>
              <w:t>3</w:t>
            </w:r>
          </w:p>
        </w:tc>
      </w:tr>
      <w:tr w:rsidR="00F43AD5" w:rsidRPr="004C23F4" w14:paraId="2F8644F9" w14:textId="77777777" w:rsidTr="00B76A41">
        <w:trPr>
          <w:cantSplit/>
        </w:trPr>
        <w:tc>
          <w:tcPr>
            <w:tcW w:w="4077" w:type="dxa"/>
          </w:tcPr>
          <w:p w14:paraId="7F41A65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4983DC4" w14:textId="15349555" w:rsidR="00F43AD5" w:rsidRPr="002A1301" w:rsidRDefault="002A1301" w:rsidP="00B76A41">
            <w:pPr>
              <w:pStyle w:val="Tablerowheading"/>
              <w:rPr>
                <w:b w:val="0"/>
              </w:rPr>
            </w:pPr>
            <w:r w:rsidRPr="002A1301">
              <w:rPr>
                <w:b w:val="0"/>
              </w:rPr>
              <w:t>—</w:t>
            </w:r>
          </w:p>
        </w:tc>
      </w:tr>
    </w:tbl>
    <w:p w14:paraId="4D10C3D9" w14:textId="2676554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F3C35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1965B82" w14:textId="77777777" w:rsidTr="00C90492">
        <w:trPr>
          <w:cantSplit/>
          <w:tblHeader/>
        </w:trPr>
        <w:tc>
          <w:tcPr>
            <w:tcW w:w="4005" w:type="dxa"/>
            <w:vAlign w:val="center"/>
          </w:tcPr>
          <w:p w14:paraId="173628F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3CD2F25" w14:textId="02413D62" w:rsidR="002C7AFE" w:rsidRPr="00D90CBD" w:rsidRDefault="002D64B6" w:rsidP="00017C82">
            <w:pPr>
              <w:pStyle w:val="Tablefont"/>
              <w:rPr>
                <w:b/>
              </w:rPr>
            </w:pPr>
            <w:r w:rsidRPr="00D90CBD">
              <w:rPr>
                <w:b/>
              </w:rPr>
              <w:t>0.6 ppm (10 mg/m</w:t>
            </w:r>
            <w:r w:rsidRPr="00D90CBD">
              <w:rPr>
                <w:b/>
                <w:vertAlign w:val="superscript"/>
              </w:rPr>
              <w:t>3</w:t>
            </w:r>
            <w:r w:rsidRPr="00D90CBD">
              <w:rPr>
                <w:b/>
              </w:rPr>
              <w:t>)</w:t>
            </w:r>
          </w:p>
        </w:tc>
      </w:tr>
      <w:tr w:rsidR="002C7AFE" w:rsidRPr="004C23F4" w14:paraId="3CF58725" w14:textId="77777777" w:rsidTr="00C90492">
        <w:trPr>
          <w:cantSplit/>
        </w:trPr>
        <w:tc>
          <w:tcPr>
            <w:tcW w:w="4005" w:type="dxa"/>
            <w:vAlign w:val="center"/>
          </w:tcPr>
          <w:p w14:paraId="4041657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7DF4F64" w14:textId="6A4D1538" w:rsidR="002C7AFE" w:rsidRPr="00EB3D1B" w:rsidRDefault="00C90492" w:rsidP="00017C82">
            <w:pPr>
              <w:pStyle w:val="Tablefont"/>
              <w:rPr>
                <w:b/>
              </w:rPr>
            </w:pPr>
            <w:r w:rsidRPr="00C90492">
              <w:rPr>
                <w:b/>
              </w:rPr>
              <w:t>—</w:t>
            </w:r>
          </w:p>
        </w:tc>
      </w:tr>
      <w:tr w:rsidR="002C7AFE" w:rsidRPr="004C23F4" w14:paraId="13870BF8" w14:textId="77777777" w:rsidTr="00C90492">
        <w:trPr>
          <w:cantSplit/>
        </w:trPr>
        <w:tc>
          <w:tcPr>
            <w:tcW w:w="4005" w:type="dxa"/>
            <w:vAlign w:val="center"/>
          </w:tcPr>
          <w:p w14:paraId="324E6BC9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589D397" w14:textId="0BE84FE1" w:rsidR="002C7AFE" w:rsidRPr="00EB3D1B" w:rsidRDefault="00C90492" w:rsidP="00017C82">
            <w:pPr>
              <w:pStyle w:val="Tablefont"/>
              <w:rPr>
                <w:b/>
              </w:rPr>
            </w:pPr>
            <w:r w:rsidRPr="00C90492">
              <w:rPr>
                <w:b/>
              </w:rPr>
              <w:t>—</w:t>
            </w:r>
          </w:p>
        </w:tc>
      </w:tr>
      <w:tr w:rsidR="002C7AFE" w:rsidRPr="004C23F4" w14:paraId="2B671947" w14:textId="77777777" w:rsidTr="00C90492">
        <w:trPr>
          <w:cantSplit/>
        </w:trPr>
        <w:tc>
          <w:tcPr>
            <w:tcW w:w="4005" w:type="dxa"/>
          </w:tcPr>
          <w:p w14:paraId="3EE2E0D7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0D87757" w14:textId="4D3F1490" w:rsidR="002C7AFE" w:rsidRPr="00EB3D1B" w:rsidRDefault="00BE6AF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4B5E45D6" w14:textId="77777777" w:rsidTr="00C90492">
        <w:trPr>
          <w:cantSplit/>
        </w:trPr>
        <w:tc>
          <w:tcPr>
            <w:tcW w:w="4005" w:type="dxa"/>
            <w:vAlign w:val="center"/>
          </w:tcPr>
          <w:p w14:paraId="2D41760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35913ED" w14:textId="1D096159" w:rsidR="002C7AFE" w:rsidRPr="00C90492" w:rsidRDefault="00C90492" w:rsidP="00017C82">
            <w:pPr>
              <w:pStyle w:val="Tablefont"/>
              <w:rPr>
                <w:b/>
              </w:rPr>
            </w:pPr>
            <w:r w:rsidRPr="00C90492">
              <w:rPr>
                <w:b/>
              </w:rPr>
              <w:t>—</w:t>
            </w:r>
          </w:p>
        </w:tc>
      </w:tr>
      <w:tr w:rsidR="00C90492" w:rsidRPr="004C23F4" w14:paraId="2E43D6CC" w14:textId="77777777" w:rsidTr="006C7963">
        <w:trPr>
          <w:cantSplit/>
        </w:trPr>
        <w:tc>
          <w:tcPr>
            <w:tcW w:w="9026" w:type="dxa"/>
            <w:gridSpan w:val="2"/>
            <w:vAlign w:val="center"/>
          </w:tcPr>
          <w:p w14:paraId="661AD3FF" w14:textId="560F5053" w:rsidR="00C90492" w:rsidRPr="00EB3D1B" w:rsidRDefault="00C9049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</w:t>
            </w:r>
            <w:r w:rsidRPr="00C90492">
              <w:rPr>
                <w:b/>
              </w:rPr>
              <w:t>:</w:t>
            </w:r>
            <w:r w:rsidRPr="00C90492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31B996D812B4862A9380D4D4000DC4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6591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B941E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C7393F5" w14:textId="73F6905D" w:rsidR="006639B4" w:rsidRPr="004C23F4" w:rsidRDefault="002D64B6" w:rsidP="000C139A">
      <w:pPr>
        <w:rPr>
          <w:rFonts w:cs="Arial"/>
        </w:rPr>
      </w:pPr>
      <w:r w:rsidRPr="00F96CC1">
        <w:rPr>
          <w:rFonts w:cs="Arial"/>
        </w:rPr>
        <w:t>A</w:t>
      </w:r>
      <w:r w:rsidR="00C92610">
        <w:rPr>
          <w:rFonts w:cs="Arial"/>
        </w:rPr>
        <w:t>n interim</w:t>
      </w:r>
      <w:r w:rsidRPr="00F96CC1">
        <w:rPr>
          <w:rFonts w:cs="Arial"/>
        </w:rPr>
        <w:t xml:space="preserve"> TWA of </w:t>
      </w:r>
      <w:r w:rsidR="00871649">
        <w:t>0.6 ppm (10 mg/m</w:t>
      </w:r>
      <w:r w:rsidR="00871649" w:rsidRPr="002A1301">
        <w:rPr>
          <w:vertAlign w:val="superscript"/>
        </w:rPr>
        <w:t>3</w:t>
      </w:r>
      <w:r w:rsidR="00871649">
        <w:t xml:space="preserve">) </w:t>
      </w:r>
      <w:r w:rsidRPr="00F96CC1">
        <w:rPr>
          <w:rFonts w:cs="Arial"/>
        </w:rPr>
        <w:t xml:space="preserve">is recommended to protect for </w:t>
      </w:r>
      <w:r w:rsidR="00871649" w:rsidRPr="00871649">
        <w:rPr>
          <w:rFonts w:cs="Arial"/>
        </w:rPr>
        <w:t xml:space="preserve">central nervous system (CNS) depression, nausea and </w:t>
      </w:r>
      <w:r w:rsidR="00C413C3" w:rsidRPr="00871649">
        <w:rPr>
          <w:rFonts w:cs="Arial"/>
        </w:rPr>
        <w:t>heart</w:t>
      </w:r>
      <w:r w:rsidR="00C413C3">
        <w:rPr>
          <w:rFonts w:cs="Arial"/>
        </w:rPr>
        <w:t>,</w:t>
      </w:r>
      <w:r w:rsidR="00C413C3" w:rsidRPr="00871649">
        <w:rPr>
          <w:rFonts w:cs="Arial"/>
        </w:rPr>
        <w:t xml:space="preserve"> </w:t>
      </w:r>
      <w:r w:rsidR="00871649" w:rsidRPr="00871649">
        <w:rPr>
          <w:rFonts w:cs="Arial"/>
        </w:rPr>
        <w:t>kidney</w:t>
      </w:r>
      <w:r w:rsidR="00C413C3" w:rsidRPr="00C413C3">
        <w:rPr>
          <w:rFonts w:cs="Arial"/>
        </w:rPr>
        <w:t xml:space="preserve"> </w:t>
      </w:r>
      <w:r w:rsidR="00C413C3" w:rsidRPr="00871649">
        <w:rPr>
          <w:rFonts w:cs="Arial"/>
        </w:rPr>
        <w:t>and</w:t>
      </w:r>
      <w:r w:rsidR="00C413C3">
        <w:rPr>
          <w:rFonts w:cs="Arial"/>
        </w:rPr>
        <w:t xml:space="preserve"> l</w:t>
      </w:r>
      <w:r w:rsidR="00871649" w:rsidRPr="00871649">
        <w:rPr>
          <w:rFonts w:cs="Arial"/>
        </w:rPr>
        <w:t xml:space="preserve">iver </w:t>
      </w:r>
      <w:r w:rsidR="00C413C3" w:rsidRPr="00871649">
        <w:rPr>
          <w:rFonts w:cs="Arial"/>
        </w:rPr>
        <w:t xml:space="preserve">effects </w:t>
      </w:r>
      <w:r w:rsidRPr="00F96CC1">
        <w:rPr>
          <w:rFonts w:cs="Arial"/>
        </w:rPr>
        <w:t>in exposed workers</w:t>
      </w:r>
      <w:r w:rsidR="00871649">
        <w:rPr>
          <w:rFonts w:cs="Arial"/>
        </w:rPr>
        <w:t>.</w:t>
      </w:r>
    </w:p>
    <w:p w14:paraId="790015D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A6A86DC" w14:textId="3DF60B44" w:rsidR="00871649" w:rsidRDefault="00871649" w:rsidP="006639B4">
      <w:pPr>
        <w:rPr>
          <w:rFonts w:cs="Arial"/>
        </w:rPr>
      </w:pPr>
      <w:proofErr w:type="spellStart"/>
      <w:r w:rsidRPr="00871649">
        <w:rPr>
          <w:rFonts w:cs="Arial"/>
        </w:rPr>
        <w:t>Iodoform</w:t>
      </w:r>
      <w:proofErr w:type="spellEnd"/>
      <w:r w:rsidRPr="00871649">
        <w:rPr>
          <w:rFonts w:cs="Arial"/>
        </w:rPr>
        <w:t xml:space="preserve"> </w:t>
      </w:r>
      <w:r>
        <w:rPr>
          <w:rFonts w:cs="Arial"/>
        </w:rPr>
        <w:t xml:space="preserve">is used </w:t>
      </w:r>
      <w:r w:rsidRPr="00871649">
        <w:rPr>
          <w:rFonts w:cs="Arial"/>
        </w:rPr>
        <w:t>as an antiseptic and disinfectant</w:t>
      </w:r>
      <w:r>
        <w:rPr>
          <w:rFonts w:cs="Arial"/>
        </w:rPr>
        <w:t xml:space="preserve">. </w:t>
      </w:r>
      <w:r w:rsidRPr="00871649">
        <w:rPr>
          <w:rFonts w:cs="Arial"/>
        </w:rPr>
        <w:t>Critical effects of acute exposure includ</w:t>
      </w:r>
      <w:r w:rsidR="00C413C3">
        <w:rPr>
          <w:rFonts w:cs="Arial"/>
        </w:rPr>
        <w:t>e</w:t>
      </w:r>
      <w:r w:rsidRPr="00871649">
        <w:rPr>
          <w:rFonts w:cs="Arial"/>
        </w:rPr>
        <w:t xml:space="preserve"> </w:t>
      </w:r>
      <w:r>
        <w:rPr>
          <w:rFonts w:cs="Arial"/>
        </w:rPr>
        <w:t>CNS</w:t>
      </w:r>
      <w:r w:rsidRPr="00871649">
        <w:rPr>
          <w:rFonts w:cs="Arial"/>
        </w:rPr>
        <w:t xml:space="preserve"> depression, nausea and effects on kidney, liver and heart (ACGIH </w:t>
      </w:r>
      <w:r w:rsidR="005751D4" w:rsidRPr="00871649">
        <w:rPr>
          <w:rFonts w:cs="Arial"/>
        </w:rPr>
        <w:t>201</w:t>
      </w:r>
      <w:r w:rsidR="005751D4">
        <w:rPr>
          <w:rFonts w:cs="Arial"/>
        </w:rPr>
        <w:t>8</w:t>
      </w:r>
      <w:r w:rsidRPr="00871649">
        <w:rPr>
          <w:rFonts w:cs="Arial"/>
        </w:rPr>
        <w:t>)</w:t>
      </w:r>
      <w:r w:rsidR="008D76B8">
        <w:rPr>
          <w:rFonts w:cs="Arial"/>
        </w:rPr>
        <w:t>.</w:t>
      </w:r>
      <w:r>
        <w:rPr>
          <w:rFonts w:cs="Arial"/>
        </w:rPr>
        <w:t xml:space="preserve"> </w:t>
      </w:r>
      <w:r w:rsidR="008D76B8">
        <w:rPr>
          <w:rFonts w:cs="Arial"/>
        </w:rPr>
        <w:t>T</w:t>
      </w:r>
      <w:r>
        <w:rPr>
          <w:rFonts w:cs="Arial"/>
        </w:rPr>
        <w:t>hese critical effects are</w:t>
      </w:r>
      <w:r w:rsidR="005751D4">
        <w:rPr>
          <w:rFonts w:cs="Arial"/>
        </w:rPr>
        <w:t>,</w:t>
      </w:r>
      <w:r>
        <w:rPr>
          <w:rFonts w:cs="Arial"/>
        </w:rPr>
        <w:t xml:space="preserve"> however</w:t>
      </w:r>
      <w:r w:rsidR="005751D4">
        <w:rPr>
          <w:rFonts w:cs="Arial"/>
        </w:rPr>
        <w:t>,</w:t>
      </w:r>
      <w:r>
        <w:rPr>
          <w:rFonts w:cs="Arial"/>
        </w:rPr>
        <w:t xml:space="preserve"> based largely on dermal exposure </w:t>
      </w:r>
      <w:r w:rsidR="008D76B8">
        <w:rPr>
          <w:rFonts w:cs="Arial"/>
        </w:rPr>
        <w:t>apart from</w:t>
      </w:r>
      <w:r>
        <w:rPr>
          <w:rFonts w:cs="Arial"/>
        </w:rPr>
        <w:t xml:space="preserve"> </w:t>
      </w:r>
      <w:r w:rsidRPr="00871649">
        <w:rPr>
          <w:rFonts w:cs="Arial"/>
        </w:rPr>
        <w:t>cardiopulmonary collapse</w:t>
      </w:r>
      <w:r>
        <w:rPr>
          <w:rFonts w:cs="Arial"/>
        </w:rPr>
        <w:t xml:space="preserve"> in an acute study involving rats</w:t>
      </w:r>
      <w:r w:rsidR="008D76B8">
        <w:rPr>
          <w:rFonts w:cs="Arial"/>
        </w:rPr>
        <w:t xml:space="preserve">. The available toxicological dataset is limited to acute and a sub-chronic </w:t>
      </w:r>
      <w:r w:rsidR="00F356FE">
        <w:rPr>
          <w:rFonts w:cs="Arial"/>
        </w:rPr>
        <w:t xml:space="preserve">inhalational </w:t>
      </w:r>
      <w:r w:rsidR="008D76B8">
        <w:rPr>
          <w:rFonts w:cs="Arial"/>
        </w:rPr>
        <w:t>exposure study</w:t>
      </w:r>
      <w:r w:rsidR="00F356FE">
        <w:rPr>
          <w:rFonts w:cs="Arial"/>
        </w:rPr>
        <w:t xml:space="preserve"> in rats</w:t>
      </w:r>
      <w:r w:rsidR="008D76B8">
        <w:rPr>
          <w:rFonts w:cs="Arial"/>
        </w:rPr>
        <w:t xml:space="preserve">, which showed </w:t>
      </w:r>
      <w:r w:rsidR="008D76B8" w:rsidRPr="008D76B8">
        <w:rPr>
          <w:rFonts w:cs="Arial"/>
        </w:rPr>
        <w:t>minerali</w:t>
      </w:r>
      <w:r w:rsidR="00BE6AF9">
        <w:rPr>
          <w:rFonts w:cs="Arial"/>
        </w:rPr>
        <w:t>s</w:t>
      </w:r>
      <w:r w:rsidR="008D76B8" w:rsidRPr="008D76B8">
        <w:rPr>
          <w:rFonts w:cs="Arial"/>
        </w:rPr>
        <w:t xml:space="preserve">ed deposits in the medullary renal tubules </w:t>
      </w:r>
      <w:r w:rsidR="008D76B8">
        <w:rPr>
          <w:rFonts w:cs="Arial"/>
        </w:rPr>
        <w:t>as the critical effect at 14 ppm (ACGIH, 201</w:t>
      </w:r>
      <w:r w:rsidR="00C44A1D">
        <w:rPr>
          <w:rFonts w:cs="Arial"/>
        </w:rPr>
        <w:t>8</w:t>
      </w:r>
      <w:r w:rsidR="008D76B8">
        <w:rPr>
          <w:rFonts w:cs="Arial"/>
        </w:rPr>
        <w:t>).</w:t>
      </w:r>
    </w:p>
    <w:p w14:paraId="15D94B41" w14:textId="2B3DC940" w:rsidR="008D76B8" w:rsidRDefault="008D76B8" w:rsidP="008D76B8">
      <w:pPr>
        <w:rPr>
          <w:rFonts w:cs="Arial"/>
        </w:rPr>
      </w:pPr>
      <w:r>
        <w:rPr>
          <w:rFonts w:cs="Arial"/>
        </w:rPr>
        <w:t xml:space="preserve">In the absence of chronic exposure data and given the minor effects reported in rats at 14 ppm, the current TWA of </w:t>
      </w:r>
      <w:r>
        <w:t>0.6 ppm (10 mg/m</w:t>
      </w:r>
      <w:r w:rsidRPr="002A1301">
        <w:rPr>
          <w:vertAlign w:val="superscript"/>
        </w:rPr>
        <w:t>3</w:t>
      </w:r>
      <w:r>
        <w:t xml:space="preserve">) </w:t>
      </w:r>
      <w:r>
        <w:rPr>
          <w:rFonts w:cs="Arial"/>
        </w:rPr>
        <w:t xml:space="preserve">is retained </w:t>
      </w:r>
      <w:r w:rsidR="00C44A1D">
        <w:rPr>
          <w:rFonts w:cs="Arial"/>
        </w:rPr>
        <w:t xml:space="preserve">in the interim as it is </w:t>
      </w:r>
      <w:r>
        <w:t xml:space="preserve">considered sufficiently low to protect for </w:t>
      </w:r>
      <w:r w:rsidR="00C413C3">
        <w:t>adverse</w:t>
      </w:r>
      <w:r>
        <w:t xml:space="preserve"> effects in exposed workers</w:t>
      </w:r>
      <w:r>
        <w:rPr>
          <w:rFonts w:cs="Arial"/>
        </w:rPr>
        <w:t>.</w:t>
      </w:r>
    </w:p>
    <w:p w14:paraId="42558AE4" w14:textId="5DC880E8" w:rsidR="008D76B8" w:rsidRPr="004C23F4" w:rsidRDefault="008D76B8" w:rsidP="008D76B8">
      <w:pPr>
        <w:rPr>
          <w:rFonts w:cs="Arial"/>
        </w:rPr>
      </w:pPr>
      <w:r>
        <w:rPr>
          <w:rFonts w:cs="Arial"/>
        </w:rPr>
        <w:t>A detailed examination of the available dataset should be prioritised during subsequent reviews since no reliable long-term exposure data was available for this evaluation.</w:t>
      </w:r>
    </w:p>
    <w:p w14:paraId="40F8F1A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553921F" w14:textId="05433DA1" w:rsidR="002A1301" w:rsidRDefault="002A1301" w:rsidP="002A1301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0A0FCB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52199A56" w14:textId="03DD0E66" w:rsidR="002A1301" w:rsidRDefault="002A1301" w:rsidP="002A1301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0A0FCB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3B42B560" w14:textId="61E39D81" w:rsidR="002A1301" w:rsidRDefault="002D64B6" w:rsidP="002A1301">
      <w:pPr>
        <w:rPr>
          <w:rFonts w:cs="Arial"/>
        </w:rPr>
      </w:pPr>
      <w:r w:rsidRPr="002D64B6">
        <w:rPr>
          <w:rFonts w:cs="Arial"/>
        </w:rPr>
        <w:t>A skin notation is warranted as evidence indicates rapid absorption through the skin and reports of acute poisonings in the workplace.</w:t>
      </w:r>
    </w:p>
    <w:p w14:paraId="5F2292F1" w14:textId="3F43B484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C6C025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6A3895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5AB753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AD7D8F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188145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DBB9D24" w14:textId="37CEE842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A130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A1301">
                  <w:t>TWA: 0.6 ppm (10 mg/m</w:t>
                </w:r>
                <w:r w:rsidR="002A1301" w:rsidRPr="002A1301">
                  <w:rPr>
                    <w:vertAlign w:val="superscript"/>
                  </w:rPr>
                  <w:t>3</w:t>
                </w:r>
                <w:r w:rsidR="002A1301">
                  <w:t>)</w:t>
                </w:r>
              </w:sdtContent>
            </w:sdt>
          </w:p>
        </w:tc>
      </w:tr>
      <w:tr w:rsidR="00C978F0" w:rsidRPr="00DA352E" w14:paraId="7905EEC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C822D0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CB0989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A56F6D" w14:textId="7E63A4D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A130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A1301">
                  <w:t>TLV-TWA: 0.6 ppm (10 mg/m</w:t>
                </w:r>
                <w:r w:rsidR="002A1301" w:rsidRPr="002A1301">
                  <w:rPr>
                    <w:vertAlign w:val="superscript"/>
                  </w:rPr>
                  <w:t>3</w:t>
                </w:r>
                <w:r w:rsidR="002A1301">
                  <w:t>)</w:t>
                </w:r>
              </w:sdtContent>
            </w:sdt>
          </w:p>
        </w:tc>
      </w:tr>
      <w:tr w:rsidR="00C978F0" w:rsidRPr="00DA352E" w14:paraId="3FB4F65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FDA95F8" w14:textId="25ACA400" w:rsidR="000C75F1" w:rsidRDefault="000C75F1" w:rsidP="000A0FCB">
            <w:pPr>
              <w:pStyle w:val="Tabletextprimarysource"/>
            </w:pPr>
            <w:r>
              <w:t>TLV-TWA recommended to minimise</w:t>
            </w:r>
            <w:r w:rsidR="006F39A3">
              <w:t xml:space="preserve"> </w:t>
            </w:r>
            <w:r>
              <w:t xml:space="preserve">the risk of </w:t>
            </w:r>
            <w:r w:rsidR="00BE6AF9">
              <w:t>CNS</w:t>
            </w:r>
            <w:r w:rsidR="006F39A3">
              <w:t xml:space="preserve"> depression, nausea and effects on kidney, liver and heart through dermal application to broken skin</w:t>
            </w:r>
            <w:r>
              <w:t>.</w:t>
            </w:r>
          </w:p>
          <w:p w14:paraId="3FB81B44" w14:textId="77777777" w:rsidR="000C75F1" w:rsidRDefault="000C75F1" w:rsidP="000A0FCB">
            <w:pPr>
              <w:pStyle w:val="Tabletextprimarysource"/>
            </w:pPr>
            <w:r>
              <w:t>Summary of data:</w:t>
            </w:r>
          </w:p>
          <w:p w14:paraId="7883A3A1" w14:textId="77777777" w:rsidR="000C75F1" w:rsidRDefault="000C75F1" w:rsidP="00BE6AF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71A90422" w14:textId="29CE0CDC" w:rsidR="000C75F1" w:rsidRDefault="006F39A3" w:rsidP="00BE6AF9">
            <w:pPr>
              <w:pStyle w:val="ListBullet"/>
              <w:spacing w:before="60" w:after="60"/>
              <w:ind w:left="720"/>
              <w:contextualSpacing w:val="0"/>
            </w:pPr>
            <w:r>
              <w:t>Topical antiseptic application produced reported symptoms including CNS depression, vomiting, coma and damage to kidney, liver and heart</w:t>
            </w:r>
          </w:p>
          <w:p w14:paraId="3EAE5A5E" w14:textId="26D00435" w:rsidR="000C75F1" w:rsidRDefault="00AD134F" w:rsidP="00BE6AF9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Systematic symptoms can result from percutaneous absorption, </w:t>
            </w:r>
            <w:r w:rsidR="0081384C">
              <w:t>1</w:t>
            </w:r>
            <w:r>
              <w:t xml:space="preserve"> reported delirium and hallucination</w:t>
            </w:r>
            <w:r w:rsidR="00BE6AF9">
              <w:t>.</w:t>
            </w:r>
          </w:p>
          <w:p w14:paraId="63E2D347" w14:textId="77777777" w:rsidR="000C75F1" w:rsidRDefault="000C75F1" w:rsidP="00BE6AF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5749C4BB" w14:textId="10F4AF9F" w:rsidR="000C75F1" w:rsidRDefault="00B66DFF" w:rsidP="00BE6AF9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B66DFF">
              <w:rPr>
                <w:vertAlign w:val="subscript"/>
              </w:rPr>
              <w:t>50</w:t>
            </w:r>
            <w:r>
              <w:t>: 630 mg/kg (mice, oral)</w:t>
            </w:r>
          </w:p>
          <w:p w14:paraId="16022927" w14:textId="68321924" w:rsidR="00B66DFF" w:rsidRDefault="00B66DFF" w:rsidP="00BE6AF9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 w:rsidRPr="00B66DFF">
              <w:rPr>
                <w:vertAlign w:val="subscript"/>
              </w:rPr>
              <w:t>50</w:t>
            </w:r>
            <w:r>
              <w:t>: 165 ppm (rats, 7 h) deaths attributed to cardiopulmonary collapse</w:t>
            </w:r>
          </w:p>
          <w:p w14:paraId="44140F41" w14:textId="789A80BD" w:rsidR="000C75F1" w:rsidRDefault="00B66DFF" w:rsidP="00BE6AF9">
            <w:pPr>
              <w:pStyle w:val="ListBullet"/>
              <w:spacing w:before="60" w:after="60"/>
              <w:ind w:left="720"/>
              <w:contextualSpacing w:val="0"/>
            </w:pPr>
            <w:r>
              <w:t>Exposure to 14 ppm (rats, 7 h/d, 7 d, inhalation</w:t>
            </w:r>
            <w:r w:rsidR="00BE6AF9">
              <w:t>), mineralis</w:t>
            </w:r>
            <w:r w:rsidR="005B69E1">
              <w:t xml:space="preserve">ed deposits in the medullary renal tubules </w:t>
            </w:r>
          </w:p>
          <w:p w14:paraId="539FBF1D" w14:textId="22D30196" w:rsidR="000C75F1" w:rsidRDefault="005B69E1" w:rsidP="00BE6AF9">
            <w:pPr>
              <w:pStyle w:val="ListBullet"/>
              <w:spacing w:before="60" w:after="60"/>
              <w:ind w:left="720"/>
              <w:contextualSpacing w:val="0"/>
            </w:pPr>
            <w:r>
              <w:t>Not considered carcinogenic in bioassay, study considered inadequate</w:t>
            </w:r>
            <w:r w:rsidR="000A0FCB">
              <w:t>.</w:t>
            </w:r>
          </w:p>
          <w:p w14:paraId="60658181" w14:textId="77777777" w:rsidR="002B2A82" w:rsidRDefault="002B2A82" w:rsidP="00BE6AF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017E6D31" w14:textId="0823CC69" w:rsidR="007E6A9C" w:rsidRDefault="007E6A9C" w:rsidP="00BE6AF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 xml:space="preserve">TLV-TWA recommended partially by analogy to </w:t>
            </w:r>
            <w:proofErr w:type="spellStart"/>
            <w:r>
              <w:t>bromoform</w:t>
            </w:r>
            <w:proofErr w:type="spellEnd"/>
            <w:r w:rsidR="000A0FCB">
              <w:t>.</w:t>
            </w:r>
          </w:p>
          <w:p w14:paraId="7DDF24DB" w14:textId="77777777" w:rsidR="00C978F0" w:rsidRDefault="007E6A9C" w:rsidP="00BE6AF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a skin, sensitiser or carcinogen notation</w:t>
            </w:r>
            <w:r w:rsidR="000A0FCB">
              <w:t>.</w:t>
            </w:r>
          </w:p>
          <w:p w14:paraId="0DDBAE28" w14:textId="7162FF0A" w:rsidR="002B2A82" w:rsidRPr="00DA352E" w:rsidRDefault="002B2A82" w:rsidP="00BE6AF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542F318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C5A6DB3" w14:textId="65C927A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A130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2A1301">
                  <w:t>NA</w:t>
                </w:r>
                <w:proofErr w:type="spellEnd"/>
              </w:sdtContent>
            </w:sdt>
          </w:p>
        </w:tc>
      </w:tr>
      <w:tr w:rsidR="00C978F0" w:rsidRPr="00DA352E" w14:paraId="0F9F35D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18D2A5E" w14:textId="68420937" w:rsidR="00C978F0" w:rsidRPr="00DA352E" w:rsidRDefault="002A1301" w:rsidP="003365A5">
            <w:pPr>
              <w:pStyle w:val="Tabletextprimarysource"/>
            </w:pPr>
            <w:r>
              <w:t>No report</w:t>
            </w:r>
            <w:r w:rsidR="00BE6AF9">
              <w:t>.</w:t>
            </w:r>
          </w:p>
        </w:tc>
      </w:tr>
      <w:tr w:rsidR="00C978F0" w:rsidRPr="00DA352E" w14:paraId="5684ADF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9E021FC" w14:textId="2EC7945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5412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54128">
                  <w:t>NA</w:t>
                </w:r>
                <w:proofErr w:type="spellEnd"/>
              </w:sdtContent>
            </w:sdt>
          </w:p>
        </w:tc>
      </w:tr>
      <w:tr w:rsidR="00C978F0" w:rsidRPr="00DA352E" w14:paraId="3693D11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B11D7E2" w14:textId="5727DD2C" w:rsidR="00C978F0" w:rsidRPr="00DA352E" w:rsidRDefault="00554128" w:rsidP="003365A5">
            <w:pPr>
              <w:pStyle w:val="Tabletextprimarysource"/>
            </w:pPr>
            <w:r>
              <w:t>No report</w:t>
            </w:r>
            <w:r w:rsidR="00BE6AF9">
              <w:t>.</w:t>
            </w:r>
          </w:p>
        </w:tc>
      </w:tr>
      <w:tr w:rsidR="00DA352E" w:rsidRPr="00DA352E" w14:paraId="248FC1D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FC85C74" w14:textId="7FBDE27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5412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54128">
                  <w:t>NA</w:t>
                </w:r>
                <w:proofErr w:type="spellEnd"/>
              </w:sdtContent>
            </w:sdt>
          </w:p>
        </w:tc>
      </w:tr>
      <w:tr w:rsidR="00DA352E" w:rsidRPr="00DA352E" w14:paraId="71CD743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A0BCD3D" w14:textId="7AFF0AA6" w:rsidR="00DA352E" w:rsidRPr="00DA352E" w:rsidRDefault="007E6A9C" w:rsidP="003365A5">
            <w:pPr>
              <w:pStyle w:val="Tabletextprimarysource"/>
            </w:pPr>
            <w:r>
              <w:t>No report</w:t>
            </w:r>
            <w:r w:rsidR="00BE6AF9">
              <w:t>.</w:t>
            </w:r>
          </w:p>
        </w:tc>
      </w:tr>
      <w:tr w:rsidR="00DA352E" w:rsidRPr="00DA352E" w14:paraId="39D4ADF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1F0B174" w14:textId="3F155A1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54128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54128">
                  <w:t>Not assigned</w:t>
                </w:r>
              </w:sdtContent>
            </w:sdt>
          </w:p>
        </w:tc>
      </w:tr>
      <w:tr w:rsidR="00DA352E" w:rsidRPr="00DA352E" w14:paraId="0CFD9EC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754598D" w14:textId="6C56805C" w:rsidR="00B231DF" w:rsidRDefault="00B231DF" w:rsidP="000A0FCB">
            <w:pPr>
              <w:pStyle w:val="Tabletextprimarysource"/>
            </w:pPr>
            <w:r w:rsidRPr="00B231DF">
              <w:t xml:space="preserve">The committee concludes that </w:t>
            </w:r>
            <w:proofErr w:type="spellStart"/>
            <w:r w:rsidRPr="00B231DF">
              <w:t>iodoform</w:t>
            </w:r>
            <w:proofErr w:type="spellEnd"/>
            <w:r w:rsidRPr="00B231DF">
              <w:t xml:space="preserve"> has been insufficiently investigated.</w:t>
            </w:r>
          </w:p>
          <w:p w14:paraId="2D6C5056" w14:textId="513B9F1F" w:rsidR="00DA352E" w:rsidRDefault="00B231DF" w:rsidP="000A0FCB">
            <w:pPr>
              <w:pStyle w:val="Tabletextprimarysource"/>
            </w:pPr>
            <w:r>
              <w:t>Summary of additional data:</w:t>
            </w:r>
          </w:p>
          <w:p w14:paraId="1B2C52FA" w14:textId="7F99BD68" w:rsidR="00B231DF" w:rsidRPr="00B231DF" w:rsidRDefault="00B231DF" w:rsidP="00BE6AF9">
            <w:pPr>
              <w:pStyle w:val="ListBullet"/>
              <w:spacing w:before="60" w:after="60"/>
              <w:ind w:left="720"/>
              <w:contextualSpacing w:val="0"/>
            </w:pPr>
            <w:r w:rsidRPr="00B231DF">
              <w:t xml:space="preserve">Mutagenic in </w:t>
            </w:r>
            <w:r w:rsidRPr="00B231DF">
              <w:rPr>
                <w:i/>
              </w:rPr>
              <w:t>Salmonella typhimurium</w:t>
            </w:r>
            <w:r>
              <w:t xml:space="preserve"> assays</w:t>
            </w:r>
          </w:p>
          <w:p w14:paraId="4F0F92DA" w14:textId="42665E50" w:rsidR="007E6A9C" w:rsidRDefault="00B231DF" w:rsidP="00BE6AF9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Induced an increase in unscheduled DNA synthesis and sister chromatid exchanges in hamster embryo cells, </w:t>
            </w:r>
            <w:r w:rsidR="002B2A82">
              <w:rPr>
                <w:i/>
              </w:rPr>
              <w:t>i</w:t>
            </w:r>
            <w:r w:rsidRPr="00B231DF">
              <w:rPr>
                <w:i/>
              </w:rPr>
              <w:t xml:space="preserve">n </w:t>
            </w:r>
            <w:r w:rsidR="002B2A82">
              <w:rPr>
                <w:i/>
              </w:rPr>
              <w:t>v</w:t>
            </w:r>
            <w:r w:rsidRPr="00B231DF">
              <w:rPr>
                <w:i/>
              </w:rPr>
              <w:t>itro</w:t>
            </w:r>
            <w:r w:rsidR="000A0FCB">
              <w:t>.</w:t>
            </w:r>
          </w:p>
          <w:p w14:paraId="2F23D70B" w14:textId="2EFD8622" w:rsidR="002B2A82" w:rsidRPr="00DA352E" w:rsidRDefault="002B2A82" w:rsidP="00C44A1D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78C22E8E" w14:textId="3CEE8B5E" w:rsidR="00A20751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6655D88" w14:textId="1282F409" w:rsidR="001A1BC1" w:rsidRPr="001A1BC1" w:rsidRDefault="001A1BC1" w:rsidP="001A1BC1">
      <w:pPr>
        <w:rPr>
          <w:lang w:eastAsia="en-AU"/>
        </w:rPr>
      </w:pPr>
      <w:r>
        <w:rPr>
          <w:lang w:eastAsia="en-AU"/>
        </w:rPr>
        <w:t>NIL</w:t>
      </w:r>
      <w:r w:rsidR="00D41610">
        <w:rPr>
          <w:lang w:eastAsia="en-AU"/>
        </w:rPr>
        <w:t>.</w:t>
      </w:r>
    </w:p>
    <w:bookmarkEnd w:id="0"/>
    <w:p w14:paraId="63E3FC22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86DDC3C" w14:textId="77777777" w:rsidTr="00FD03C2">
        <w:trPr>
          <w:trHeight w:val="454"/>
          <w:tblHeader/>
        </w:trPr>
        <w:tc>
          <w:tcPr>
            <w:tcW w:w="6597" w:type="dxa"/>
            <w:vAlign w:val="center"/>
          </w:tcPr>
          <w:p w14:paraId="3C4C959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112C71F" w14:textId="00BDEDE6" w:rsidR="002E0D61" w:rsidRDefault="00FD03C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FC84F2D" w14:textId="77777777" w:rsidTr="00FD03C2">
        <w:trPr>
          <w:trHeight w:val="454"/>
        </w:trPr>
        <w:tc>
          <w:tcPr>
            <w:tcW w:w="6597" w:type="dxa"/>
            <w:vAlign w:val="center"/>
          </w:tcPr>
          <w:p w14:paraId="19A6B9D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C3386D4" w14:textId="5565C57F" w:rsidR="008A36CF" w:rsidRDefault="00FD03C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3E08A29" w14:textId="77777777" w:rsidTr="00FD03C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52925B38" w14:textId="373F48F4" w:rsidR="008A36CF" w:rsidRPr="006901A2" w:rsidRDefault="00FD03C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53C2666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5D1D41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94BCF9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DC1496B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B2A856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03A5A68" w14:textId="77777777" w:rsidTr="00812887">
        <w:trPr>
          <w:cantSplit/>
        </w:trPr>
        <w:tc>
          <w:tcPr>
            <w:tcW w:w="3227" w:type="dxa"/>
          </w:tcPr>
          <w:p w14:paraId="3C67257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C158273" w14:textId="14751169" w:rsidR="00687890" w:rsidRPr="00DD2F9B" w:rsidRDefault="00554128" w:rsidP="00DD2F9B">
            <w:pPr>
              <w:pStyle w:val="Tablefont"/>
            </w:pPr>
            <w:r w:rsidRPr="00554128">
              <w:t>—</w:t>
            </w:r>
          </w:p>
        </w:tc>
      </w:tr>
      <w:tr w:rsidR="007925F0" w:rsidRPr="004C23F4" w14:paraId="07AB56E3" w14:textId="77777777" w:rsidTr="00812887">
        <w:trPr>
          <w:cantSplit/>
        </w:trPr>
        <w:tc>
          <w:tcPr>
            <w:tcW w:w="3227" w:type="dxa"/>
          </w:tcPr>
          <w:p w14:paraId="19AB1F7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4E2462F" w14:textId="22743C85" w:rsidR="007925F0" w:rsidRPr="00DD2F9B" w:rsidRDefault="0055412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2F744EB" w14:textId="77777777" w:rsidTr="00812887">
        <w:trPr>
          <w:cantSplit/>
        </w:trPr>
        <w:tc>
          <w:tcPr>
            <w:tcW w:w="3227" w:type="dxa"/>
          </w:tcPr>
          <w:p w14:paraId="533105D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AB954CF" w14:textId="52570E00" w:rsidR="00AF483F" w:rsidRPr="00DD2F9B" w:rsidRDefault="0055412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5CA095C" w14:textId="77777777" w:rsidTr="00812887">
        <w:trPr>
          <w:cantSplit/>
        </w:trPr>
        <w:tc>
          <w:tcPr>
            <w:tcW w:w="3227" w:type="dxa"/>
          </w:tcPr>
          <w:p w14:paraId="731BBC4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A1369AF" w14:textId="2D6F5A9E" w:rsidR="00687890" w:rsidRPr="00DD2F9B" w:rsidRDefault="0055412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F5C6655" w14:textId="77777777" w:rsidTr="00812887">
        <w:trPr>
          <w:cantSplit/>
        </w:trPr>
        <w:tc>
          <w:tcPr>
            <w:tcW w:w="3227" w:type="dxa"/>
          </w:tcPr>
          <w:p w14:paraId="52D5DD6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19B56C3" w14:textId="2DC0C997" w:rsidR="00E41A26" w:rsidRPr="00DD2F9B" w:rsidRDefault="0055412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2962979" w14:textId="77777777" w:rsidTr="00812887">
        <w:trPr>
          <w:cantSplit/>
        </w:trPr>
        <w:tc>
          <w:tcPr>
            <w:tcW w:w="3227" w:type="dxa"/>
          </w:tcPr>
          <w:p w14:paraId="46CEAF8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22FE5F9" w14:textId="4076CEE9" w:rsidR="002E0D61" w:rsidRPr="00DD2F9B" w:rsidRDefault="00554128" w:rsidP="00DD2F9B">
            <w:pPr>
              <w:pStyle w:val="Tablefont"/>
            </w:pPr>
            <w:r w:rsidRPr="00554128">
              <w:t>—</w:t>
            </w:r>
          </w:p>
        </w:tc>
      </w:tr>
      <w:tr w:rsidR="002E0D61" w:rsidRPr="004C23F4" w14:paraId="1C4A578A" w14:textId="77777777" w:rsidTr="00812887">
        <w:trPr>
          <w:cantSplit/>
        </w:trPr>
        <w:tc>
          <w:tcPr>
            <w:tcW w:w="3227" w:type="dxa"/>
          </w:tcPr>
          <w:p w14:paraId="55C1BA4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4145D42" w14:textId="3C5B4196" w:rsidR="002E0D61" w:rsidRPr="00DD2F9B" w:rsidRDefault="0055412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61E75E2" w14:textId="77777777" w:rsidTr="00812887">
        <w:trPr>
          <w:cantSplit/>
        </w:trPr>
        <w:tc>
          <w:tcPr>
            <w:tcW w:w="3227" w:type="dxa"/>
          </w:tcPr>
          <w:p w14:paraId="6B0D033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D40B2F6" w14:textId="4AF7FAF9" w:rsidR="002E0D61" w:rsidRPr="00DD2F9B" w:rsidRDefault="0055412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7F26B7E" w14:textId="77777777" w:rsidTr="00812887">
        <w:trPr>
          <w:cantSplit/>
        </w:trPr>
        <w:tc>
          <w:tcPr>
            <w:tcW w:w="3227" w:type="dxa"/>
          </w:tcPr>
          <w:p w14:paraId="399D5C4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4EB0A2E" w14:textId="5D8D6E37" w:rsidR="002E0D61" w:rsidRPr="00DD2F9B" w:rsidRDefault="00554128" w:rsidP="00DD2F9B">
            <w:pPr>
              <w:pStyle w:val="Tablefont"/>
            </w:pPr>
            <w:r w:rsidRPr="00554128">
              <w:t>Carcinogenicity – category 3</w:t>
            </w:r>
          </w:p>
        </w:tc>
      </w:tr>
      <w:tr w:rsidR="00386093" w:rsidRPr="004C23F4" w14:paraId="0B1403F6" w14:textId="77777777" w:rsidTr="00812887">
        <w:trPr>
          <w:cantSplit/>
        </w:trPr>
        <w:tc>
          <w:tcPr>
            <w:tcW w:w="3227" w:type="dxa"/>
          </w:tcPr>
          <w:p w14:paraId="1A12800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2C5D89E" w14:textId="00C65EC2" w:rsidR="00386093" w:rsidRPr="00DD2F9B" w:rsidRDefault="0055412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8079C91" w14:textId="77777777" w:rsidTr="00812887">
        <w:trPr>
          <w:cantSplit/>
        </w:trPr>
        <w:tc>
          <w:tcPr>
            <w:tcW w:w="3227" w:type="dxa"/>
          </w:tcPr>
          <w:p w14:paraId="19E8B0B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ECF0BE2" w14:textId="7A88FCAE" w:rsidR="00386093" w:rsidRPr="00DD2F9B" w:rsidRDefault="0055412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70E3AC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7F0839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AB37E9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0F4CEF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3E48AE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1" w:type="dxa"/>
              <w:tblLook w:val="04A0" w:firstRow="1" w:lastRow="0" w:firstColumn="1" w:lastColumn="0" w:noHBand="0" w:noVBand="1"/>
            </w:tblPr>
            <w:tblGrid>
              <w:gridCol w:w="4301"/>
              <w:gridCol w:w="810"/>
              <w:gridCol w:w="900"/>
              <w:gridCol w:w="2790"/>
            </w:tblGrid>
            <w:tr w:rsidR="00FD03C2" w:rsidRPr="00FD03C2" w14:paraId="655684AD" w14:textId="77777777" w:rsidTr="00FD03C2">
              <w:trPr>
                <w:trHeight w:val="342"/>
              </w:trPr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5F8455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26497D5" w14:textId="77777777" w:rsidR="00FD03C2" w:rsidRPr="00FD03C2" w:rsidRDefault="00FD03C2" w:rsidP="00FD03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218FE3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4.00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99B236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D03C2" w:rsidRPr="00FD03C2" w14:paraId="2DCA58C4" w14:textId="77777777" w:rsidTr="00FD03C2">
              <w:trPr>
                <w:trHeight w:val="342"/>
              </w:trPr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2CD07E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473DFA" w14:textId="77777777" w:rsidR="00FD03C2" w:rsidRPr="00FD03C2" w:rsidRDefault="00FD03C2" w:rsidP="00FD03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16F3F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B58C0A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D03C2" w:rsidRPr="00FD03C2" w14:paraId="137919B3" w14:textId="77777777" w:rsidTr="00FD03C2">
              <w:trPr>
                <w:trHeight w:val="342"/>
              </w:trPr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BC17DE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EC701F" w14:textId="77777777" w:rsidR="00FD03C2" w:rsidRPr="00FD03C2" w:rsidRDefault="00FD03C2" w:rsidP="00FD03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96323F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1284AF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D03C2" w:rsidRPr="00FD03C2" w14:paraId="3B5D6F62" w14:textId="77777777" w:rsidTr="00FD03C2">
              <w:trPr>
                <w:trHeight w:val="342"/>
              </w:trPr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DB9FA0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878E6C" w14:textId="77777777" w:rsidR="00FD03C2" w:rsidRPr="00FD03C2" w:rsidRDefault="00FD03C2" w:rsidP="00FD03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FA224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AC4846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D03C2" w:rsidRPr="00FD03C2" w14:paraId="0D980BCC" w14:textId="77777777" w:rsidTr="00FD03C2">
              <w:trPr>
                <w:trHeight w:val="342"/>
              </w:trPr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86E729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5EBA3A" w14:textId="77777777" w:rsidR="00FD03C2" w:rsidRPr="00FD03C2" w:rsidRDefault="00FD03C2" w:rsidP="00FD03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1B34F5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CB9ECE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D03C2" w:rsidRPr="00FD03C2" w14:paraId="2BA38ABE" w14:textId="77777777" w:rsidTr="00FD03C2">
              <w:trPr>
                <w:trHeight w:val="342"/>
              </w:trPr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09451D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AD1F43" w14:textId="77777777" w:rsidR="00FD03C2" w:rsidRPr="00FD03C2" w:rsidRDefault="00FD03C2" w:rsidP="00FD03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9509E2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A8F3F3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D03C2" w:rsidRPr="00FD03C2" w14:paraId="20527966" w14:textId="77777777" w:rsidTr="00FD03C2">
              <w:trPr>
                <w:trHeight w:val="342"/>
              </w:trPr>
              <w:tc>
                <w:tcPr>
                  <w:tcW w:w="4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0E7038" w14:textId="77777777" w:rsidR="00FD03C2" w:rsidRPr="00FD03C2" w:rsidRDefault="00FD03C2" w:rsidP="00FD03C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F3DBFA" w14:textId="77777777" w:rsidR="00FD03C2" w:rsidRPr="00FD03C2" w:rsidRDefault="00FD03C2" w:rsidP="00FD03C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4AD22B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6DBF59" w14:textId="77777777" w:rsidR="00FD03C2" w:rsidRPr="00FD03C2" w:rsidRDefault="00FD03C2" w:rsidP="00FD03C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FD03C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warranted</w:t>
                  </w:r>
                </w:p>
              </w:tc>
            </w:tr>
          </w:tbl>
          <w:p w14:paraId="630B4F0D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1B0957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0126BF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E627A6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2FF8809" w14:textId="1554F473" w:rsidR="00EB3D1B" w:rsidRDefault="0055412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DC54430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2AFE5C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3D5EBA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0BD8BFB" w14:textId="059E79F1" w:rsidR="001B79E5" w:rsidRDefault="00554128" w:rsidP="001B79E5">
                <w:pPr>
                  <w:pStyle w:val="Tablefont"/>
                </w:pPr>
                <w:r w:rsidRPr="00554128">
                  <w:t>393.73</w:t>
                </w:r>
              </w:p>
            </w:tc>
          </w:sdtContent>
        </w:sdt>
      </w:tr>
      <w:tr w:rsidR="00A31D99" w:rsidRPr="004C23F4" w14:paraId="2F13BDB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10E51E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D69634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B6E0D5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362048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5469D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3012ABE" w14:textId="77777777" w:rsidTr="00EA6243">
        <w:trPr>
          <w:cantSplit/>
        </w:trPr>
        <w:tc>
          <w:tcPr>
            <w:tcW w:w="4077" w:type="dxa"/>
            <w:vAlign w:val="center"/>
          </w:tcPr>
          <w:p w14:paraId="4801A19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A0DB13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5F0236" w14:textId="77777777" w:rsidTr="00EA6243">
        <w:trPr>
          <w:cantSplit/>
        </w:trPr>
        <w:tc>
          <w:tcPr>
            <w:tcW w:w="4077" w:type="dxa"/>
            <w:vAlign w:val="center"/>
          </w:tcPr>
          <w:p w14:paraId="2ED16F6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3AB801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BA01796" w14:textId="77777777" w:rsidTr="00EA6243">
        <w:trPr>
          <w:cantSplit/>
        </w:trPr>
        <w:tc>
          <w:tcPr>
            <w:tcW w:w="4077" w:type="dxa"/>
            <w:vAlign w:val="center"/>
          </w:tcPr>
          <w:p w14:paraId="38E4A4C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69134B7" w14:textId="77777777" w:rsidR="00E06F40" w:rsidRPr="00A006A0" w:rsidRDefault="003C13D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7B5BDC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94B876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23EE89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26DCC8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8D4155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19604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33023A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B44288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0D416DD" w14:textId="3CA49625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120DF03" w14:textId="63A157D1" w:rsidR="00554128" w:rsidRPr="00351FE0" w:rsidRDefault="00554128" w:rsidP="00084859">
      <w:r w:rsidRPr="002022B6">
        <w:t>Health Council of the Netherlands</w:t>
      </w:r>
      <w:r>
        <w:t xml:space="preserve"> (HCOTN) (2007) </w:t>
      </w:r>
      <w:proofErr w:type="spellStart"/>
      <w:r w:rsidRPr="00554128">
        <w:t>Iodoform</w:t>
      </w:r>
      <w:proofErr w:type="spellEnd"/>
      <w:r w:rsidRPr="005F7416">
        <w:t xml:space="preserve">. Health-based calculated occupational cancer risk values. The Hague: Health Council of the Netherlands; publication no. </w:t>
      </w:r>
      <w:r w:rsidRPr="00554128">
        <w:t>2007/08OSH</w:t>
      </w:r>
      <w:r>
        <w:t>.</w:t>
      </w:r>
    </w:p>
    <w:sectPr w:rsidR="0055412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77801" w14:textId="77777777" w:rsidR="00FE0F18" w:rsidRDefault="00FE0F18" w:rsidP="00F43AD5">
      <w:pPr>
        <w:spacing w:after="0" w:line="240" w:lineRule="auto"/>
      </w:pPr>
      <w:r>
        <w:separator/>
      </w:r>
    </w:p>
  </w:endnote>
  <w:endnote w:type="continuationSeparator" w:id="0">
    <w:p w14:paraId="1C64DAF6" w14:textId="77777777" w:rsidR="00FE0F18" w:rsidRDefault="00FE0F1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0460" w14:textId="77777777" w:rsidR="003C13D8" w:rsidRDefault="003C1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875FA1" w14:textId="15A6BDED" w:rsidR="008A36CF" w:rsidRDefault="00FF43BB" w:rsidP="0034744C">
        <w:pPr>
          <w:pStyle w:val="Footer"/>
          <w:rPr>
            <w:sz w:val="18"/>
            <w:szCs w:val="18"/>
          </w:rPr>
        </w:pPr>
        <w:proofErr w:type="spellStart"/>
        <w:r w:rsidRPr="00FF43BB">
          <w:rPr>
            <w:b/>
            <w:sz w:val="18"/>
            <w:szCs w:val="18"/>
          </w:rPr>
          <w:t>Iodoform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FF43BB">
          <w:rPr>
            <w:b/>
            <w:sz w:val="18"/>
            <w:szCs w:val="18"/>
          </w:rPr>
          <w:t>75-47-8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96C69C5" w14:textId="41A566F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C13D8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FEB1" w14:textId="77777777" w:rsidR="003C13D8" w:rsidRDefault="003C1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29F08" w14:textId="77777777" w:rsidR="00FE0F18" w:rsidRDefault="00FE0F18" w:rsidP="00F43AD5">
      <w:pPr>
        <w:spacing w:after="0" w:line="240" w:lineRule="auto"/>
      </w:pPr>
      <w:r>
        <w:separator/>
      </w:r>
    </w:p>
  </w:footnote>
  <w:footnote w:type="continuationSeparator" w:id="0">
    <w:p w14:paraId="2C04A92D" w14:textId="77777777" w:rsidR="00FE0F18" w:rsidRDefault="00FE0F1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228B" w14:textId="77777777" w:rsidR="003C13D8" w:rsidRDefault="003C1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4EA9" w14:textId="42B44ECE" w:rsidR="003C13D8" w:rsidRDefault="003C13D8" w:rsidP="003C13D8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6A4873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87AAF12" wp14:editId="3F448522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D1465" w14:textId="40C896A8" w:rsidR="008A36CF" w:rsidRPr="003C13D8" w:rsidRDefault="008A36CF" w:rsidP="003C1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9F27" w14:textId="77777777" w:rsidR="003C13D8" w:rsidRDefault="003C13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2A3F" w14:textId="1875EBA4" w:rsidR="003C13D8" w:rsidRDefault="003C13D8" w:rsidP="003C13D8">
    <w:pPr>
      <w:pStyle w:val="Header"/>
      <w:jc w:val="right"/>
    </w:pPr>
    <w:sdt>
      <w:sdtPr>
        <w:id w:val="1004245450"/>
        <w:docPartObj>
          <w:docPartGallery w:val="Watermarks"/>
          <w:docPartUnique/>
        </w:docPartObj>
      </w:sdtPr>
      <w:sdtContent>
        <w:r>
          <w:pict w14:anchorId="6C6408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4A48009" wp14:editId="7D9A031A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4FA77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565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0FCB"/>
    <w:rsid w:val="000B0868"/>
    <w:rsid w:val="000B3E12"/>
    <w:rsid w:val="000B3E78"/>
    <w:rsid w:val="000B7B48"/>
    <w:rsid w:val="000C096D"/>
    <w:rsid w:val="000C139A"/>
    <w:rsid w:val="000C2053"/>
    <w:rsid w:val="000C248C"/>
    <w:rsid w:val="000C75F1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1BC1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A1301"/>
    <w:rsid w:val="002A3E66"/>
    <w:rsid w:val="002B1A2C"/>
    <w:rsid w:val="002B2A82"/>
    <w:rsid w:val="002C34F2"/>
    <w:rsid w:val="002C58FF"/>
    <w:rsid w:val="002C7AFE"/>
    <w:rsid w:val="002D05D2"/>
    <w:rsid w:val="002D64B6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13D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4128"/>
    <w:rsid w:val="005751D4"/>
    <w:rsid w:val="00581055"/>
    <w:rsid w:val="00591E38"/>
    <w:rsid w:val="005A19C5"/>
    <w:rsid w:val="005A3034"/>
    <w:rsid w:val="005A462D"/>
    <w:rsid w:val="005B253B"/>
    <w:rsid w:val="005B69E1"/>
    <w:rsid w:val="005B771D"/>
    <w:rsid w:val="005C5D16"/>
    <w:rsid w:val="005D3193"/>
    <w:rsid w:val="005D4A6E"/>
    <w:rsid w:val="005E6979"/>
    <w:rsid w:val="005E75CB"/>
    <w:rsid w:val="006013C1"/>
    <w:rsid w:val="00604489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04E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0423"/>
    <w:rsid w:val="006F39A3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A9C"/>
    <w:rsid w:val="007E6C94"/>
    <w:rsid w:val="007F1005"/>
    <w:rsid w:val="007F25E0"/>
    <w:rsid w:val="007F5328"/>
    <w:rsid w:val="00804F5A"/>
    <w:rsid w:val="00810C6D"/>
    <w:rsid w:val="00812887"/>
    <w:rsid w:val="0081384C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649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76B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5915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134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31DF"/>
    <w:rsid w:val="00B40C60"/>
    <w:rsid w:val="00B479A9"/>
    <w:rsid w:val="00B52EDF"/>
    <w:rsid w:val="00B66DF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6AF9"/>
    <w:rsid w:val="00BF2406"/>
    <w:rsid w:val="00C06E43"/>
    <w:rsid w:val="00C16315"/>
    <w:rsid w:val="00C3091E"/>
    <w:rsid w:val="00C40FF1"/>
    <w:rsid w:val="00C413C3"/>
    <w:rsid w:val="00C419E2"/>
    <w:rsid w:val="00C44A1D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0492"/>
    <w:rsid w:val="00C92610"/>
    <w:rsid w:val="00C978F0"/>
    <w:rsid w:val="00CA58FE"/>
    <w:rsid w:val="00CB1CB1"/>
    <w:rsid w:val="00CB6BC1"/>
    <w:rsid w:val="00CB6CB8"/>
    <w:rsid w:val="00CC1A68"/>
    <w:rsid w:val="00CC2123"/>
    <w:rsid w:val="00CC2979"/>
    <w:rsid w:val="00CD2BFD"/>
    <w:rsid w:val="00CE5AD6"/>
    <w:rsid w:val="00CE617F"/>
    <w:rsid w:val="00CE78EF"/>
    <w:rsid w:val="00CF3C35"/>
    <w:rsid w:val="00D048F7"/>
    <w:rsid w:val="00D0517E"/>
    <w:rsid w:val="00D140FC"/>
    <w:rsid w:val="00D21D8C"/>
    <w:rsid w:val="00D31357"/>
    <w:rsid w:val="00D33220"/>
    <w:rsid w:val="00D334D1"/>
    <w:rsid w:val="00D41610"/>
    <w:rsid w:val="00D44C89"/>
    <w:rsid w:val="00D516CD"/>
    <w:rsid w:val="00D668E6"/>
    <w:rsid w:val="00D70670"/>
    <w:rsid w:val="00D74D80"/>
    <w:rsid w:val="00D76624"/>
    <w:rsid w:val="00D81F77"/>
    <w:rsid w:val="00D87570"/>
    <w:rsid w:val="00D90CBD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56FE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970F9"/>
    <w:rsid w:val="00FA06A8"/>
    <w:rsid w:val="00FA3DF5"/>
    <w:rsid w:val="00FA741F"/>
    <w:rsid w:val="00FB4E07"/>
    <w:rsid w:val="00FB755A"/>
    <w:rsid w:val="00FC60A2"/>
    <w:rsid w:val="00FD03C2"/>
    <w:rsid w:val="00FD1871"/>
    <w:rsid w:val="00FD3110"/>
    <w:rsid w:val="00FE0F18"/>
    <w:rsid w:val="00FF43B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C75F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2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A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A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A8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31B996D812B4862A9380D4D4000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D33D-44E1-4DDB-81FB-72D24F154332}"/>
      </w:docPartPr>
      <w:docPartBody>
        <w:p w:rsidR="00263FD2" w:rsidRDefault="008A052A" w:rsidP="008A052A">
          <w:pPr>
            <w:pStyle w:val="D31B996D812B4862A9380D4D4000DC4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63FD2"/>
    <w:rsid w:val="00303F2D"/>
    <w:rsid w:val="008A052A"/>
    <w:rsid w:val="00AD2E2A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52A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B4318089D474A79BB4E19220AC02C5A">
    <w:name w:val="8B4318089D474A79BB4E19220AC02C5A"/>
    <w:rsid w:val="00AD2E2A"/>
  </w:style>
  <w:style w:type="paragraph" w:customStyle="1" w:styleId="BD689136ED00449BBBC46CA0C052AA6C">
    <w:name w:val="BD689136ED00449BBBC46CA0C052AA6C"/>
    <w:rsid w:val="00AD2E2A"/>
  </w:style>
  <w:style w:type="paragraph" w:customStyle="1" w:styleId="1D5136102EAE4AB595EEED96E0156802">
    <w:name w:val="1D5136102EAE4AB595EEED96E0156802"/>
    <w:rsid w:val="00AD2E2A"/>
  </w:style>
  <w:style w:type="paragraph" w:customStyle="1" w:styleId="D31B996D812B4862A9380D4D4000DC46">
    <w:name w:val="D31B996D812B4862A9380D4D4000DC46"/>
    <w:rsid w:val="008A0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0E2F7-9699-467D-AD1A-B70285BE0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05F9E8-651B-41EB-B207-6D2895C6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AF3A7913.dotm</Template>
  <TotalTime>455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15</cp:revision>
  <cp:lastPrinted>2018-10-22T22:41:00Z</cp:lastPrinted>
  <dcterms:created xsi:type="dcterms:W3CDTF">2019-09-04T02:30:00Z</dcterms:created>
  <dcterms:modified xsi:type="dcterms:W3CDTF">2020-01-15T03:33:00Z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