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EBD1CC9" w14:textId="60B7E02C" w:rsidR="00BD499F" w:rsidRPr="004C23F4" w:rsidRDefault="002A0CB9" w:rsidP="00B40C60">
          <w:pPr>
            <w:pStyle w:val="Heading1"/>
            <w:jc w:val="center"/>
            <w:rPr>
              <w:rFonts w:ascii="Arial" w:hAnsi="Arial" w:cs="Arial"/>
            </w:rPr>
          </w:pPr>
          <w:r w:rsidRPr="002A0CB9">
            <w:rPr>
              <w:rFonts w:ascii="Arial" w:hAnsi="Arial" w:cs="Arial"/>
            </w:rPr>
            <w:t>Isobutyl alcohol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4C23F4" w14:paraId="515C86CC" w14:textId="77777777" w:rsidTr="00B76A41">
        <w:trPr>
          <w:cantSplit/>
          <w:tblHeader/>
        </w:trPr>
        <w:tc>
          <w:tcPr>
            <w:tcW w:w="4077" w:type="dxa"/>
          </w:tcPr>
          <w:p w14:paraId="08060744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A5170AD" w14:textId="35B65B7F" w:rsidR="00F43AD5" w:rsidRPr="00717D45" w:rsidRDefault="002A0CB9" w:rsidP="00B76A41">
            <w:pPr>
              <w:pStyle w:val="Tablefont"/>
            </w:pPr>
            <w:r w:rsidRPr="002A0CB9">
              <w:t>78-83-1</w:t>
            </w:r>
          </w:p>
        </w:tc>
      </w:tr>
      <w:tr w:rsidR="00F43AD5" w:rsidRPr="00B24576" w14:paraId="01DC68A3" w14:textId="77777777" w:rsidTr="00B76A41">
        <w:trPr>
          <w:cantSplit/>
        </w:trPr>
        <w:tc>
          <w:tcPr>
            <w:tcW w:w="4077" w:type="dxa"/>
          </w:tcPr>
          <w:p w14:paraId="65AC13CD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5809B8F" w14:textId="030B2608" w:rsidR="00F43AD5" w:rsidRPr="00B24576" w:rsidRDefault="002A0CB9" w:rsidP="00B76A41">
            <w:pPr>
              <w:pStyle w:val="Tablefont"/>
              <w:rPr>
                <w:lang w:val="it-IT"/>
              </w:rPr>
            </w:pPr>
            <w:r w:rsidRPr="00B24576">
              <w:rPr>
                <w:lang w:val="it-IT"/>
              </w:rPr>
              <w:t>Isobutanol, isopropyl carbinol, 2-methyl-1-propanol</w:t>
            </w:r>
          </w:p>
        </w:tc>
      </w:tr>
      <w:tr w:rsidR="00F43AD5" w:rsidRPr="004C23F4" w14:paraId="062717A6" w14:textId="77777777" w:rsidTr="00B76A41">
        <w:trPr>
          <w:cantSplit/>
        </w:trPr>
        <w:tc>
          <w:tcPr>
            <w:tcW w:w="4077" w:type="dxa"/>
          </w:tcPr>
          <w:p w14:paraId="7FA6E4B7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0A146D4" w14:textId="2CBB6363" w:rsidR="00F43AD5" w:rsidRPr="00717D45" w:rsidRDefault="002A0CB9" w:rsidP="00B76A41">
            <w:pPr>
              <w:pStyle w:val="Tablefont"/>
            </w:pPr>
            <w:r>
              <w:t>C</w:t>
            </w:r>
            <w:r w:rsidRPr="002A0CB9">
              <w:rPr>
                <w:vertAlign w:val="subscript"/>
              </w:rPr>
              <w:t>4</w:t>
            </w:r>
            <w:r>
              <w:t>H</w:t>
            </w:r>
            <w:r w:rsidRPr="002A0CB9">
              <w:rPr>
                <w:vertAlign w:val="subscript"/>
              </w:rPr>
              <w:t>10</w:t>
            </w:r>
            <w:r>
              <w:t>O</w:t>
            </w:r>
          </w:p>
        </w:tc>
      </w:tr>
      <w:tr w:rsidR="00F43AD5" w:rsidRPr="004C23F4" w14:paraId="2E69B114" w14:textId="77777777" w:rsidTr="00B76A41">
        <w:trPr>
          <w:cantSplit/>
        </w:trPr>
        <w:tc>
          <w:tcPr>
            <w:tcW w:w="4077" w:type="dxa"/>
          </w:tcPr>
          <w:p w14:paraId="24C2EC9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64FBE414" w14:textId="509896BE" w:rsidR="00F43AD5" w:rsidRPr="00B40C60" w:rsidRDefault="002A0CB9" w:rsidP="00B76A41">
            <w:pPr>
              <w:pStyle w:val="Tablerowheading"/>
              <w:rPr>
                <w:b w:val="0"/>
              </w:rPr>
            </w:pPr>
            <w:r w:rsidRPr="002A0CB9">
              <w:rPr>
                <w:b w:val="0"/>
              </w:rPr>
              <w:t>—</w:t>
            </w:r>
          </w:p>
        </w:tc>
      </w:tr>
    </w:tbl>
    <w:p w14:paraId="27BB0FA1" w14:textId="127ABF9A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B5CBE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216D154D" w14:textId="77777777" w:rsidTr="00707B80">
        <w:trPr>
          <w:cantSplit/>
          <w:tblHeader/>
        </w:trPr>
        <w:tc>
          <w:tcPr>
            <w:tcW w:w="4005" w:type="dxa"/>
            <w:vAlign w:val="center"/>
          </w:tcPr>
          <w:p w14:paraId="4E53524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6D884FDF" w14:textId="47E52BCB" w:rsidR="002C7AFE" w:rsidRPr="00EB3D1B" w:rsidRDefault="003B5CBE" w:rsidP="00017C82">
            <w:pPr>
              <w:pStyle w:val="Tablefont"/>
              <w:rPr>
                <w:b/>
              </w:rPr>
            </w:pPr>
            <w:r w:rsidRPr="003B5CBE">
              <w:rPr>
                <w:b/>
              </w:rPr>
              <w:t>50 ppm (152 mg/m</w:t>
            </w:r>
            <w:r w:rsidRPr="003B5CBE">
              <w:rPr>
                <w:b/>
                <w:vertAlign w:val="superscript"/>
              </w:rPr>
              <w:t>3</w:t>
            </w:r>
            <w:r w:rsidRPr="003B5CBE">
              <w:rPr>
                <w:b/>
              </w:rPr>
              <w:t>)</w:t>
            </w:r>
          </w:p>
        </w:tc>
      </w:tr>
      <w:tr w:rsidR="002C7AFE" w:rsidRPr="004C23F4" w14:paraId="2FC582B2" w14:textId="77777777" w:rsidTr="00707B80">
        <w:trPr>
          <w:cantSplit/>
        </w:trPr>
        <w:tc>
          <w:tcPr>
            <w:tcW w:w="4005" w:type="dxa"/>
            <w:vAlign w:val="center"/>
          </w:tcPr>
          <w:p w14:paraId="70D6E50A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7F1DA811" w14:textId="405153D3" w:rsidR="002C7AFE" w:rsidRPr="00EB3D1B" w:rsidRDefault="003B5CB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CD46388" w14:textId="77777777" w:rsidTr="00707B80">
        <w:trPr>
          <w:cantSplit/>
        </w:trPr>
        <w:tc>
          <w:tcPr>
            <w:tcW w:w="4005" w:type="dxa"/>
            <w:vAlign w:val="center"/>
          </w:tcPr>
          <w:p w14:paraId="4733BD81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6F9EBB6" w14:textId="63A176D5" w:rsidR="002C7AFE" w:rsidRPr="00EB3D1B" w:rsidRDefault="003B5CB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257742D" w14:textId="77777777" w:rsidTr="00707B80">
        <w:trPr>
          <w:cantSplit/>
        </w:trPr>
        <w:tc>
          <w:tcPr>
            <w:tcW w:w="4005" w:type="dxa"/>
          </w:tcPr>
          <w:p w14:paraId="5AFB3E02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7386B840" w14:textId="17054F90" w:rsidR="002C7AFE" w:rsidRPr="00EB3D1B" w:rsidRDefault="003B5CBE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9E5996B" w14:textId="77777777" w:rsidTr="00707B80">
        <w:trPr>
          <w:cantSplit/>
        </w:trPr>
        <w:tc>
          <w:tcPr>
            <w:tcW w:w="4005" w:type="dxa"/>
            <w:vAlign w:val="center"/>
          </w:tcPr>
          <w:p w14:paraId="40109ED1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58A981CE" w14:textId="343BAD79" w:rsidR="002C7AFE" w:rsidRPr="00EB3D1B" w:rsidRDefault="002A0CB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</w:t>
            </w:r>
            <w:r w:rsidR="000A7FE1">
              <w:rPr>
                <w:b/>
              </w:rPr>
              <w:t>,</w:t>
            </w:r>
            <w:r>
              <w:rPr>
                <w:b/>
              </w:rPr>
              <w:t>600 ppm</w:t>
            </w:r>
          </w:p>
        </w:tc>
      </w:tr>
      <w:tr w:rsidR="00707B80" w:rsidRPr="004C23F4" w14:paraId="3316FA32" w14:textId="77777777" w:rsidTr="00A55479">
        <w:trPr>
          <w:cantSplit/>
        </w:trPr>
        <w:tc>
          <w:tcPr>
            <w:tcW w:w="9026" w:type="dxa"/>
            <w:gridSpan w:val="2"/>
            <w:vAlign w:val="center"/>
          </w:tcPr>
          <w:p w14:paraId="216B793E" w14:textId="799ECC51" w:rsidR="00707B80" w:rsidRPr="00EB3D1B" w:rsidRDefault="00707B8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</w:t>
            </w:r>
            <w:r w:rsidRPr="00707B80">
              <w:rPr>
                <w:b/>
              </w:rPr>
              <w:t>s:</w:t>
            </w:r>
            <w:r w:rsidRPr="00707B80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68EE60E4EA7144CCADF498583DD25084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890C42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BA80D62" w14:textId="57C8678C" w:rsidR="006639B4" w:rsidRPr="004C23F4" w:rsidRDefault="00BF35BB" w:rsidP="000C139A">
      <w:pPr>
        <w:rPr>
          <w:rFonts w:cs="Arial"/>
        </w:rPr>
      </w:pPr>
      <w:r w:rsidRPr="00BF35BB">
        <w:rPr>
          <w:rFonts w:cs="Arial"/>
        </w:rPr>
        <w:t xml:space="preserve">A TWA of </w:t>
      </w:r>
      <w:r>
        <w:rPr>
          <w:rFonts w:cs="Arial"/>
        </w:rPr>
        <w:t>50</w:t>
      </w:r>
      <w:r w:rsidRPr="00BF35BB">
        <w:rPr>
          <w:rFonts w:cs="Arial"/>
        </w:rPr>
        <w:t xml:space="preserve"> ppm (</w:t>
      </w:r>
      <w:r>
        <w:rPr>
          <w:rFonts w:cs="Arial"/>
        </w:rPr>
        <w:t>152</w:t>
      </w:r>
      <w:r w:rsidRPr="00BF35BB">
        <w:rPr>
          <w:rFonts w:cs="Arial"/>
        </w:rPr>
        <w:t xml:space="preserve"> mg/m</w:t>
      </w:r>
      <w:r w:rsidRPr="00BF35BB">
        <w:rPr>
          <w:rFonts w:cs="Arial"/>
          <w:vertAlign w:val="superscript"/>
        </w:rPr>
        <w:t>3</w:t>
      </w:r>
      <w:r w:rsidRPr="00BF35BB">
        <w:rPr>
          <w:rFonts w:cs="Arial"/>
        </w:rPr>
        <w:t xml:space="preserve">) is </w:t>
      </w:r>
      <w:r w:rsidR="00842717">
        <w:rPr>
          <w:rFonts w:cs="Arial"/>
        </w:rPr>
        <w:t>recommended</w:t>
      </w:r>
      <w:r w:rsidR="00842717" w:rsidRPr="00BF35BB">
        <w:rPr>
          <w:rFonts w:cs="Arial"/>
        </w:rPr>
        <w:t xml:space="preserve"> </w:t>
      </w:r>
      <w:r w:rsidRPr="00BF35BB">
        <w:rPr>
          <w:rFonts w:cs="Arial"/>
        </w:rPr>
        <w:t>to protect for</w:t>
      </w:r>
      <w:r>
        <w:rPr>
          <w:rFonts w:cs="Arial"/>
        </w:rPr>
        <w:t xml:space="preserve"> local</w:t>
      </w:r>
      <w:r w:rsidRPr="00BF35BB">
        <w:rPr>
          <w:rFonts w:cs="Arial"/>
        </w:rPr>
        <w:t xml:space="preserve"> </w:t>
      </w:r>
      <w:r>
        <w:rPr>
          <w:rFonts w:cs="Arial"/>
        </w:rPr>
        <w:t xml:space="preserve">irritant effects and </w:t>
      </w:r>
      <w:r w:rsidR="00F4287B">
        <w:rPr>
          <w:rFonts w:cs="Arial"/>
        </w:rPr>
        <w:t>potential adverse central nervous system (CNS) effects</w:t>
      </w:r>
      <w:r w:rsidR="00F4287B" w:rsidRPr="00BF35BB">
        <w:rPr>
          <w:rFonts w:cs="Arial"/>
        </w:rPr>
        <w:t xml:space="preserve"> </w:t>
      </w:r>
      <w:r w:rsidRPr="00BF35BB">
        <w:rPr>
          <w:rFonts w:cs="Arial"/>
        </w:rPr>
        <w:t>in exposed workers</w:t>
      </w:r>
      <w:r>
        <w:rPr>
          <w:rFonts w:cs="Arial"/>
        </w:rPr>
        <w:t>.</w:t>
      </w:r>
    </w:p>
    <w:p w14:paraId="49160E1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45B711F" w14:textId="77777777" w:rsidR="00034B81" w:rsidRDefault="00AA0437" w:rsidP="006639B4">
      <w:pPr>
        <w:rPr>
          <w:rFonts w:cs="Arial"/>
        </w:rPr>
      </w:pPr>
      <w:r>
        <w:rPr>
          <w:rFonts w:cs="Arial"/>
        </w:rPr>
        <w:t>Isobutyl alcohol is used as a solvent</w:t>
      </w:r>
      <w:r w:rsidR="003B5CBE">
        <w:rPr>
          <w:rFonts w:cs="Arial"/>
        </w:rPr>
        <w:t xml:space="preserve"> </w:t>
      </w:r>
      <w:r>
        <w:rPr>
          <w:rFonts w:cs="Arial"/>
        </w:rPr>
        <w:t xml:space="preserve">and flavouring agent. </w:t>
      </w:r>
    </w:p>
    <w:p w14:paraId="6E26751E" w14:textId="66767BC0" w:rsidR="006639B4" w:rsidRDefault="00AA0437" w:rsidP="006639B4">
      <w:pPr>
        <w:rPr>
          <w:rFonts w:cs="Arial"/>
        </w:rPr>
      </w:pPr>
      <w:r>
        <w:rPr>
          <w:rFonts w:cs="Arial"/>
        </w:rPr>
        <w:t>Critic</w:t>
      </w:r>
      <w:r w:rsidR="003B5CBE">
        <w:rPr>
          <w:rFonts w:cs="Arial"/>
        </w:rPr>
        <w:t>al effects</w:t>
      </w:r>
      <w:r w:rsidR="00034B81">
        <w:rPr>
          <w:rFonts w:cs="Arial"/>
        </w:rPr>
        <w:t xml:space="preserve"> from exposure</w:t>
      </w:r>
      <w:r w:rsidR="003B5CBE">
        <w:rPr>
          <w:rFonts w:cs="Arial"/>
        </w:rPr>
        <w:t xml:space="preserve"> are local irritation </w:t>
      </w:r>
      <w:r>
        <w:rPr>
          <w:rFonts w:cs="Arial"/>
        </w:rPr>
        <w:t>and central nervous system depr</w:t>
      </w:r>
      <w:r w:rsidR="003B5CBE">
        <w:rPr>
          <w:rFonts w:cs="Arial"/>
        </w:rPr>
        <w:t>ession at higher concentrations</w:t>
      </w:r>
      <w:r>
        <w:rPr>
          <w:rFonts w:cs="Arial"/>
        </w:rPr>
        <w:t xml:space="preserve"> (</w:t>
      </w:r>
      <w:r w:rsidR="003B5CBE">
        <w:rPr>
          <w:rFonts w:cs="Arial"/>
        </w:rPr>
        <w:t xml:space="preserve">ACGIH, 2018; </w:t>
      </w:r>
      <w:r>
        <w:rPr>
          <w:rFonts w:cs="Arial"/>
        </w:rPr>
        <w:t>DFG, 2003).</w:t>
      </w:r>
    </w:p>
    <w:p w14:paraId="07440949" w14:textId="2B3B0719" w:rsidR="00AA0437" w:rsidRDefault="00AA0437" w:rsidP="006639B4">
      <w:pPr>
        <w:rPr>
          <w:rFonts w:cs="Arial"/>
        </w:rPr>
      </w:pPr>
      <w:r>
        <w:rPr>
          <w:rFonts w:cs="Arial"/>
        </w:rPr>
        <w:t xml:space="preserve">Human exposure data for the substance and the structurally related n-butyl alcohol isomer indicate the threshold for eye irritation is above 100 ppm (ACGIH, 2018; DFG, 2003). </w:t>
      </w:r>
      <w:r w:rsidR="00034B81">
        <w:rPr>
          <w:rFonts w:cs="Arial"/>
        </w:rPr>
        <w:t xml:space="preserve">No eye irritation was caused by </w:t>
      </w:r>
      <w:r w:rsidR="00034B81" w:rsidRPr="00D308F0">
        <w:rPr>
          <w:rFonts w:cs="Arial"/>
        </w:rPr>
        <w:t>repeat</w:t>
      </w:r>
      <w:r w:rsidR="00034B81">
        <w:rPr>
          <w:rFonts w:cs="Arial"/>
        </w:rPr>
        <w:t>ed</w:t>
      </w:r>
      <w:r w:rsidR="00034B81" w:rsidRPr="00D308F0">
        <w:rPr>
          <w:rFonts w:cs="Arial"/>
        </w:rPr>
        <w:t xml:space="preserve"> </w:t>
      </w:r>
      <w:r w:rsidR="00034B81">
        <w:rPr>
          <w:rFonts w:cs="Arial"/>
        </w:rPr>
        <w:t xml:space="preserve">eight-hour </w:t>
      </w:r>
      <w:r w:rsidR="00034B81" w:rsidRPr="00D308F0">
        <w:rPr>
          <w:rFonts w:cs="Arial"/>
        </w:rPr>
        <w:t>exposure</w:t>
      </w:r>
      <w:r w:rsidR="00034B81">
        <w:rPr>
          <w:rFonts w:cs="Arial"/>
        </w:rPr>
        <w:t xml:space="preserve"> at 100 ppm (ACGIH, 2018). </w:t>
      </w:r>
      <w:r>
        <w:rPr>
          <w:rFonts w:cs="Arial"/>
        </w:rPr>
        <w:t>The comp</w:t>
      </w:r>
      <w:r w:rsidR="00034B81">
        <w:rPr>
          <w:rFonts w:cs="Arial"/>
        </w:rPr>
        <w:t xml:space="preserve">ound has low systemic toxicity with a </w:t>
      </w:r>
      <w:r w:rsidR="00B24576">
        <w:rPr>
          <w:rFonts w:cs="Arial"/>
        </w:rPr>
        <w:t xml:space="preserve">NOAEC </w:t>
      </w:r>
      <w:r>
        <w:rPr>
          <w:rFonts w:cs="Arial"/>
        </w:rPr>
        <w:t xml:space="preserve">of 1,000 and 2,500 ppm reported for haematological changes and </w:t>
      </w:r>
      <w:r w:rsidR="00F85295">
        <w:rPr>
          <w:rFonts w:cs="Arial"/>
        </w:rPr>
        <w:t>neurotoxicity</w:t>
      </w:r>
      <w:r>
        <w:rPr>
          <w:rFonts w:cs="Arial"/>
        </w:rPr>
        <w:t xml:space="preserve">, respectively, </w:t>
      </w:r>
      <w:r w:rsidR="00034B81">
        <w:rPr>
          <w:rFonts w:cs="Arial"/>
        </w:rPr>
        <w:t>in</w:t>
      </w:r>
      <w:r>
        <w:rPr>
          <w:rFonts w:cs="Arial"/>
        </w:rPr>
        <w:t xml:space="preserve"> a thirteen</w:t>
      </w:r>
      <w:r w:rsidR="00842717">
        <w:rPr>
          <w:rFonts w:cs="Arial"/>
        </w:rPr>
        <w:t>-</w:t>
      </w:r>
      <w:r>
        <w:rPr>
          <w:rFonts w:cs="Arial"/>
        </w:rPr>
        <w:t xml:space="preserve">week inhalation study </w:t>
      </w:r>
      <w:r w:rsidR="00034B81">
        <w:rPr>
          <w:rFonts w:cs="Arial"/>
        </w:rPr>
        <w:t>of</w:t>
      </w:r>
      <w:r>
        <w:rPr>
          <w:rFonts w:cs="Arial"/>
        </w:rPr>
        <w:t xml:space="preserve"> rats (</w:t>
      </w:r>
      <w:r w:rsidR="00C03A7C">
        <w:rPr>
          <w:rFonts w:cs="Arial"/>
        </w:rPr>
        <w:t>DFG, 2003; OECD, 2004).</w:t>
      </w:r>
      <w:r w:rsidR="006D45C0" w:rsidRPr="006D45C0">
        <w:rPr>
          <w:rFonts w:cs="Arial"/>
        </w:rPr>
        <w:t xml:space="preserve"> </w:t>
      </w:r>
      <w:r w:rsidR="006D45C0">
        <w:rPr>
          <w:rFonts w:cs="Arial"/>
        </w:rPr>
        <w:t>ACGIH (2018) assign a TLV-TWA of 50 ppm to minimise eye and skin irritation</w:t>
      </w:r>
      <w:r w:rsidR="00240C05">
        <w:rPr>
          <w:rFonts w:cs="Arial"/>
        </w:rPr>
        <w:t xml:space="preserve"> based on human data</w:t>
      </w:r>
      <w:r w:rsidR="006D45C0">
        <w:rPr>
          <w:rFonts w:cs="Arial"/>
        </w:rPr>
        <w:t>.</w:t>
      </w:r>
      <w:r w:rsidR="00762313">
        <w:rPr>
          <w:rFonts w:cs="Arial"/>
        </w:rPr>
        <w:t xml:space="preserve"> DFG (2003) </w:t>
      </w:r>
      <w:r w:rsidR="00F14AA7">
        <w:rPr>
          <w:rFonts w:cs="Arial"/>
        </w:rPr>
        <w:t>derived</w:t>
      </w:r>
      <w:r w:rsidR="00034B81">
        <w:rPr>
          <w:rFonts w:cs="Arial"/>
        </w:rPr>
        <w:t xml:space="preserve"> the recommended</w:t>
      </w:r>
      <w:r w:rsidR="00F14AA7">
        <w:rPr>
          <w:rFonts w:cs="Arial"/>
        </w:rPr>
        <w:t xml:space="preserve"> </w:t>
      </w:r>
      <w:r w:rsidR="00762313">
        <w:rPr>
          <w:rFonts w:cs="Arial"/>
        </w:rPr>
        <w:t xml:space="preserve">MAK value based on analogy to </w:t>
      </w:r>
      <w:r w:rsidR="00762313" w:rsidRPr="00762313">
        <w:rPr>
          <w:rFonts w:cs="Arial"/>
        </w:rPr>
        <w:t>1-butyl alcohol</w:t>
      </w:r>
      <w:r w:rsidR="00762313">
        <w:rPr>
          <w:rFonts w:cs="Arial"/>
        </w:rPr>
        <w:t>.</w:t>
      </w:r>
    </w:p>
    <w:p w14:paraId="48D46CF9" w14:textId="4B8872F3" w:rsidR="00C03A7C" w:rsidRDefault="00B24576" w:rsidP="006639B4">
      <w:pPr>
        <w:rPr>
          <w:rFonts w:cs="Arial"/>
        </w:rPr>
      </w:pPr>
      <w:r>
        <w:rPr>
          <w:rFonts w:cs="Arial"/>
        </w:rPr>
        <w:t>Insufficient e</w:t>
      </w:r>
      <w:r w:rsidR="00C03A7C">
        <w:rPr>
          <w:rFonts w:cs="Arial"/>
        </w:rPr>
        <w:t>vidence for carcinogenicity</w:t>
      </w:r>
      <w:r w:rsidR="00F85295">
        <w:rPr>
          <w:rFonts w:cs="Arial"/>
        </w:rPr>
        <w:t xml:space="preserve"> </w:t>
      </w:r>
      <w:r>
        <w:rPr>
          <w:rFonts w:cs="Arial"/>
        </w:rPr>
        <w:t>based on two carcinogenicity studies</w:t>
      </w:r>
      <w:r w:rsidR="00C03A7C">
        <w:rPr>
          <w:rFonts w:cs="Arial"/>
        </w:rPr>
        <w:t xml:space="preserve"> </w:t>
      </w:r>
      <w:r>
        <w:rPr>
          <w:rFonts w:cs="Arial"/>
        </w:rPr>
        <w:t xml:space="preserve">in rats exposed by gavage and subcutaneous injections </w:t>
      </w:r>
      <w:r w:rsidR="00BC4EDD">
        <w:rPr>
          <w:rFonts w:cs="Arial"/>
        </w:rPr>
        <w:t xml:space="preserve">in rats </w:t>
      </w:r>
      <w:r w:rsidR="00C03A7C">
        <w:rPr>
          <w:rFonts w:cs="Arial"/>
        </w:rPr>
        <w:t>(ACGIH, 2018</w:t>
      </w:r>
      <w:r w:rsidR="00F85295">
        <w:rPr>
          <w:rFonts w:cs="Arial"/>
        </w:rPr>
        <w:t>; DFG, 2003).</w:t>
      </w:r>
      <w:r w:rsidR="006D45C0">
        <w:rPr>
          <w:rFonts w:cs="Arial"/>
        </w:rPr>
        <w:t xml:space="preserve">  </w:t>
      </w:r>
    </w:p>
    <w:p w14:paraId="2C263BB1" w14:textId="22E53C8B" w:rsidR="00C03A7C" w:rsidRPr="004C23F4" w:rsidRDefault="00390E6F" w:rsidP="006639B4">
      <w:pPr>
        <w:rPr>
          <w:rFonts w:cs="Arial"/>
        </w:rPr>
      </w:pPr>
      <w:r>
        <w:rPr>
          <w:rFonts w:cs="Arial"/>
        </w:rPr>
        <w:t>Based on the</w:t>
      </w:r>
      <w:r w:rsidR="00C03A7C">
        <w:rPr>
          <w:rFonts w:cs="Arial"/>
        </w:rPr>
        <w:t xml:space="preserve"> weight of </w:t>
      </w:r>
      <w:r>
        <w:rPr>
          <w:rFonts w:cs="Arial"/>
        </w:rPr>
        <w:t xml:space="preserve">available </w:t>
      </w:r>
      <w:r w:rsidR="00C03A7C">
        <w:rPr>
          <w:rFonts w:cs="Arial"/>
        </w:rPr>
        <w:t xml:space="preserve">evidence, the current TWA of 50 ppm is retained and expected to be </w:t>
      </w:r>
      <w:r w:rsidR="00034B81">
        <w:rPr>
          <w:rFonts w:cs="Arial"/>
        </w:rPr>
        <w:t>protective of local irritant</w:t>
      </w:r>
      <w:r w:rsidR="00C03A7C">
        <w:rPr>
          <w:rFonts w:cs="Arial"/>
        </w:rPr>
        <w:t xml:space="preserve"> effects </w:t>
      </w:r>
      <w:r w:rsidR="00034B81">
        <w:rPr>
          <w:rFonts w:cs="Arial"/>
        </w:rPr>
        <w:t xml:space="preserve">and </w:t>
      </w:r>
      <w:r w:rsidR="00C03A7C">
        <w:rPr>
          <w:rFonts w:cs="Arial"/>
        </w:rPr>
        <w:t xml:space="preserve">potential </w:t>
      </w:r>
      <w:r w:rsidR="00842717">
        <w:rPr>
          <w:rFonts w:cs="Arial"/>
        </w:rPr>
        <w:t>CNS</w:t>
      </w:r>
      <w:r w:rsidR="00C03A7C">
        <w:rPr>
          <w:rFonts w:cs="Arial"/>
        </w:rPr>
        <w:t xml:space="preserve"> depres</w:t>
      </w:r>
      <w:r>
        <w:rPr>
          <w:rFonts w:cs="Arial"/>
        </w:rPr>
        <w:t xml:space="preserve">sion </w:t>
      </w:r>
      <w:r w:rsidR="00F4287B">
        <w:rPr>
          <w:rFonts w:cs="Arial"/>
        </w:rPr>
        <w:t xml:space="preserve">observed in rats </w:t>
      </w:r>
      <w:r w:rsidR="00034B81">
        <w:rPr>
          <w:rFonts w:cs="Arial"/>
        </w:rPr>
        <w:t>at</w:t>
      </w:r>
      <w:r w:rsidR="00F4287B">
        <w:rPr>
          <w:rFonts w:cs="Arial"/>
        </w:rPr>
        <w:t xml:space="preserve"> higher concentrations </w:t>
      </w:r>
      <w:r>
        <w:rPr>
          <w:rFonts w:cs="Arial"/>
        </w:rPr>
        <w:t>(ACGIH, 2018; DFG, 2003).</w:t>
      </w:r>
    </w:p>
    <w:p w14:paraId="54680306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E1A6C17" w14:textId="32C32981" w:rsidR="002A0CB9" w:rsidRDefault="002A0CB9" w:rsidP="002A0CB9">
      <w:pPr>
        <w:rPr>
          <w:rFonts w:cs="Arial"/>
        </w:rPr>
      </w:pPr>
      <w:r>
        <w:rPr>
          <w:rFonts w:cs="Arial"/>
        </w:rPr>
        <w:t xml:space="preserve">Not classified as a carcinogen according to the Globally Harmonized System of Classification and Labelling </w:t>
      </w:r>
      <w:r w:rsidR="009C0443">
        <w:rPr>
          <w:rFonts w:cs="Arial"/>
        </w:rPr>
        <w:t xml:space="preserve">of </w:t>
      </w:r>
      <w:r>
        <w:rPr>
          <w:rFonts w:cs="Arial"/>
        </w:rPr>
        <w:t xml:space="preserve">Chemicals (GHS). </w:t>
      </w:r>
    </w:p>
    <w:p w14:paraId="16B192B0" w14:textId="21797505" w:rsidR="002A0CB9" w:rsidRDefault="002A0CB9" w:rsidP="002A0CB9">
      <w:pPr>
        <w:rPr>
          <w:rFonts w:cs="Arial"/>
        </w:rPr>
      </w:pPr>
      <w:r>
        <w:rPr>
          <w:rFonts w:cs="Arial"/>
        </w:rPr>
        <w:lastRenderedPageBreak/>
        <w:t xml:space="preserve">Not classified as a skin </w:t>
      </w:r>
      <w:r w:rsidR="009C0443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355525BB" w14:textId="002F01D9" w:rsidR="002A0CB9" w:rsidRDefault="00842717" w:rsidP="002A0CB9">
      <w:pPr>
        <w:rPr>
          <w:rFonts w:cs="Arial"/>
        </w:rPr>
      </w:pPr>
      <w:r>
        <w:rPr>
          <w:rFonts w:cs="Arial"/>
        </w:rPr>
        <w:t>There are i</w:t>
      </w:r>
      <w:r w:rsidR="002A0CB9">
        <w:rPr>
          <w:rFonts w:cs="Arial"/>
        </w:rPr>
        <w:t xml:space="preserve">nsufficient </w:t>
      </w:r>
      <w:r>
        <w:rPr>
          <w:rFonts w:cs="Arial"/>
        </w:rPr>
        <w:t xml:space="preserve">data </w:t>
      </w:r>
      <w:r w:rsidR="002A0CB9">
        <w:rPr>
          <w:rFonts w:cs="Arial"/>
        </w:rPr>
        <w:t>to recommend a skin notation.</w:t>
      </w:r>
    </w:p>
    <w:p w14:paraId="3ED920BD" w14:textId="32772318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AC9CF0C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B18D7C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184E0FE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31AADA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8F12A53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1B85DBE" w14:textId="6F9640A5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A0CB9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A0CB9">
                  <w:t>TWA: 50 ppm (152 mg/m</w:t>
                </w:r>
                <w:r w:rsidR="002A0CB9" w:rsidRPr="002A0CB9">
                  <w:rPr>
                    <w:vertAlign w:val="superscript"/>
                  </w:rPr>
                  <w:t>3</w:t>
                </w:r>
                <w:r w:rsidR="002A0CB9">
                  <w:t>)</w:t>
                </w:r>
              </w:sdtContent>
            </w:sdt>
          </w:p>
        </w:tc>
      </w:tr>
      <w:tr w:rsidR="00C978F0" w:rsidRPr="00DA352E" w14:paraId="5AAE6B4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6F185F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0C4575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056E60C" w14:textId="54B7891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A0CB9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A0CB9">
                  <w:t>TLV-TWA: 50 ppm (152 mg/m</w:t>
                </w:r>
                <w:r w:rsidR="002A0CB9" w:rsidRPr="002A0CB9">
                  <w:rPr>
                    <w:vertAlign w:val="superscript"/>
                  </w:rPr>
                  <w:t>3</w:t>
                </w:r>
                <w:r w:rsidR="002A0CB9">
                  <w:t>)</w:t>
                </w:r>
              </w:sdtContent>
            </w:sdt>
          </w:p>
        </w:tc>
      </w:tr>
      <w:tr w:rsidR="00C978F0" w:rsidRPr="00DA352E" w14:paraId="12782EA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B3F69B8" w14:textId="77777777" w:rsidR="00C978F0" w:rsidRDefault="007D7AB9" w:rsidP="003365A5">
            <w:pPr>
              <w:pStyle w:val="Tabletextprimarysource"/>
            </w:pPr>
            <w:r>
              <w:t xml:space="preserve">TLV-TWA intended to minimise potential for irritation of eyes and skin. Evidence for </w:t>
            </w:r>
            <w:proofErr w:type="spellStart"/>
            <w:r>
              <w:t>tumorigenicity</w:t>
            </w:r>
            <w:proofErr w:type="spellEnd"/>
            <w:r>
              <w:t xml:space="preserve"> in rats receiving repeat gavage or subcutaneous injections; administration routes not considered relevant to workplace conditions and carcinogenicity notation therefore currently withheld. Insufficient data to recommend a STEL or notations for skin absorption or sensitisation.</w:t>
            </w:r>
          </w:p>
          <w:p w14:paraId="544AB2B7" w14:textId="398CB152" w:rsidR="007D7AB9" w:rsidRDefault="007D7AB9" w:rsidP="003365A5">
            <w:pPr>
              <w:pStyle w:val="Tabletextprimarysource"/>
            </w:pPr>
            <w:r>
              <w:t>Summary of data:</w:t>
            </w:r>
          </w:p>
          <w:p w14:paraId="657B7ABE" w14:textId="3049906C" w:rsidR="004B38A9" w:rsidRDefault="004B38A9" w:rsidP="003365A5">
            <w:pPr>
              <w:pStyle w:val="Tabletextprimarysource"/>
            </w:pPr>
            <w:r>
              <w:t xml:space="preserve">No reports of dizziness, auditory impairment, or other vestibular disorders exist. TLV-TWA is expected to be sufficiently protective of </w:t>
            </w:r>
            <w:r w:rsidR="000A7FE1">
              <w:t>potential eye and skin irritation that may occur above 100</w:t>
            </w:r>
            <w:r w:rsidR="0070240D">
              <w:t> </w:t>
            </w:r>
            <w:r w:rsidR="000A7FE1">
              <w:t>ppm or on skin contact, respectively</w:t>
            </w:r>
            <w:r w:rsidR="00F23785">
              <w:t xml:space="preserve"> (no further explanation on derivation of TLV-TWA)</w:t>
            </w:r>
            <w:r w:rsidR="000A7FE1">
              <w:t>.</w:t>
            </w:r>
          </w:p>
          <w:p w14:paraId="2D5C7C56" w14:textId="5C2068AE" w:rsidR="007D7AB9" w:rsidRDefault="007D7AB9" w:rsidP="003365A5">
            <w:pPr>
              <w:pStyle w:val="Tabletextprimarysource"/>
            </w:pPr>
            <w:r>
              <w:t>Human data:</w:t>
            </w:r>
          </w:p>
          <w:p w14:paraId="2CFBC0A9" w14:textId="7F79B480" w:rsidR="004B38A9" w:rsidRDefault="00823CF4" w:rsidP="00DA1365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>Slight erythema and hyperaemia</w:t>
            </w:r>
            <w:r w:rsidR="004B38A9">
              <w:t xml:space="preserve"> when applied to skin (no further details provided)</w:t>
            </w:r>
          </w:p>
          <w:p w14:paraId="7B0E7D92" w14:textId="5347C025" w:rsidR="004B38A9" w:rsidRDefault="004B38A9" w:rsidP="00DA1365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 xml:space="preserve">100 ppm over 8 h in repeat exposure study </w:t>
            </w:r>
            <w:r w:rsidR="00034B81">
              <w:t xml:space="preserve">did not cause eye irritation </w:t>
            </w:r>
            <w:r>
              <w:t>(no further details provided)</w:t>
            </w:r>
            <w:r w:rsidR="00842717">
              <w:t>.</w:t>
            </w:r>
          </w:p>
          <w:p w14:paraId="7C4D4BA0" w14:textId="77777777" w:rsidR="007D7AB9" w:rsidRDefault="007D7AB9" w:rsidP="003365A5">
            <w:pPr>
              <w:pStyle w:val="Tabletextprimarysource"/>
            </w:pPr>
            <w:r>
              <w:t>Animal data:</w:t>
            </w:r>
          </w:p>
          <w:p w14:paraId="3017C7E7" w14:textId="3764AD2F" w:rsidR="007D7AB9" w:rsidRDefault="007D7AB9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Lethal at 8,000 ppm (rats, 4 h); slightly more toxic than 1-butyl alcohol, which </w:t>
            </w:r>
            <w:r w:rsidR="00842717">
              <w:t xml:space="preserve">is </w:t>
            </w:r>
            <w:r>
              <w:t>not lethal at this concentration</w:t>
            </w:r>
          </w:p>
          <w:p w14:paraId="172296F1" w14:textId="77777777" w:rsidR="007D7AB9" w:rsidRDefault="007D7AB9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3,750 mg/kg (rabbits)</w:t>
            </w:r>
          </w:p>
          <w:p w14:paraId="0873C616" w14:textId="1EAC19C1" w:rsidR="007D7AB9" w:rsidRDefault="007D7AB9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Moderate to </w:t>
            </w:r>
            <w:r w:rsidR="000A7FE1">
              <w:t>severe eye irritation when applied directly</w:t>
            </w:r>
            <w:r>
              <w:t>, no permanent corneal damage reported</w:t>
            </w:r>
            <w:r w:rsidR="000A7FE1">
              <w:t xml:space="preserve"> (rabbits)</w:t>
            </w:r>
          </w:p>
          <w:p w14:paraId="6836C92E" w14:textId="77777777" w:rsidR="007D7AB9" w:rsidRDefault="007D7AB9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Single oral dose (not specified) was lethal after several days (not specified)</w:t>
            </w:r>
            <w:r w:rsidR="00C069F7">
              <w:t xml:space="preserve"> in rats; liver degeneration observed</w:t>
            </w:r>
          </w:p>
          <w:p w14:paraId="24D09DD0" w14:textId="0D0A1368" w:rsidR="00C069F7" w:rsidRDefault="00CA3665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No significant </w:t>
            </w:r>
            <w:r w:rsidR="00303C42">
              <w:t xml:space="preserve">effects at 2,125 ppm in </w:t>
            </w:r>
            <w:r w:rsidR="00CC29D5">
              <w:t xml:space="preserve">2 separate </w:t>
            </w:r>
            <w:r w:rsidR="00303C42">
              <w:t>repeat inhalation stud</w:t>
            </w:r>
            <w:r w:rsidR="00CC29D5">
              <w:t>ies</w:t>
            </w:r>
            <w:r w:rsidR="00303C42">
              <w:t xml:space="preserve"> (mice, 9.25</w:t>
            </w:r>
            <w:r w:rsidR="00CC29D5">
              <w:t> </w:t>
            </w:r>
            <w:r w:rsidR="00303C42">
              <w:t xml:space="preserve">h/exposure, total 223 h); </w:t>
            </w:r>
            <w:r w:rsidR="00823CF4">
              <w:t>no mortality when repeatedly narcotised at 6,400 ppm over 136 h total exposure</w:t>
            </w:r>
          </w:p>
          <w:p w14:paraId="576F9747" w14:textId="3B43B110" w:rsidR="00823CF4" w:rsidRDefault="00823CF4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Higher incidence of malignant tumours e.g. forestomach, liver carcinomas and leukaemia at </w:t>
            </w:r>
            <w:r w:rsidR="00C043B9">
              <w:t>150 mg/kg</w:t>
            </w:r>
            <w:r>
              <w:t xml:space="preserve"> (gavage) or </w:t>
            </w:r>
            <w:r w:rsidR="00C043B9">
              <w:t>0.05 mL/kg</w:t>
            </w:r>
            <w:r>
              <w:t xml:space="preserve"> (subcutaneous injection) in lifetime </w:t>
            </w:r>
            <w:r w:rsidR="00D20A63">
              <w:t>carcinogenicity</w:t>
            </w:r>
            <w:r>
              <w:t xml:space="preserve"> studies (rats, n=19-24, 2 times/wk</w:t>
            </w:r>
            <w:r w:rsidR="00C03A7C">
              <w:t>, lifetime</w:t>
            </w:r>
            <w:r>
              <w:t>)</w:t>
            </w:r>
          </w:p>
          <w:p w14:paraId="73959EA8" w14:textId="77777777" w:rsidR="00823CF4" w:rsidRDefault="00823CF4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Positive mutagenicity </w:t>
            </w:r>
            <w:r>
              <w:rPr>
                <w:i/>
              </w:rPr>
              <w:t>in vitro</w:t>
            </w:r>
            <w:r>
              <w:t xml:space="preserve"> in bacteria without metabolic activation</w:t>
            </w:r>
          </w:p>
          <w:p w14:paraId="617E9994" w14:textId="77777777" w:rsidR="004B38A9" w:rsidRDefault="00823CF4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No ADME data presented</w:t>
            </w:r>
            <w:r w:rsidR="009C0443">
              <w:t>.</w:t>
            </w:r>
          </w:p>
          <w:p w14:paraId="17577D8C" w14:textId="0F30E2EF" w:rsidR="0070240D" w:rsidRPr="00DA352E" w:rsidRDefault="0070240D" w:rsidP="0070240D">
            <w:pPr>
              <w:pStyle w:val="Tabletextprimarysource"/>
              <w:ind w:left="717"/>
            </w:pPr>
          </w:p>
        </w:tc>
      </w:tr>
      <w:tr w:rsidR="00C978F0" w:rsidRPr="00DA352E" w14:paraId="0E0E016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A207B2" w14:textId="576879C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A0CB9">
                  <w:t>1969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24B68">
                  <w:t>MAK: 100 ppm (310 mg/m</w:t>
                </w:r>
                <w:r w:rsidR="00B24B68" w:rsidRPr="00B24B68">
                  <w:rPr>
                    <w:vertAlign w:val="superscript"/>
                  </w:rPr>
                  <w:t>3</w:t>
                </w:r>
                <w:r w:rsidR="00B24B68">
                  <w:t>)</w:t>
                </w:r>
              </w:sdtContent>
            </w:sdt>
          </w:p>
        </w:tc>
      </w:tr>
      <w:tr w:rsidR="00C978F0" w:rsidRPr="00DA352E" w14:paraId="38E899AB" w14:textId="77777777" w:rsidTr="00FE0E43">
        <w:trPr>
          <w:gridAfter w:val="1"/>
          <w:wAfter w:w="8" w:type="pct"/>
        </w:trPr>
        <w:tc>
          <w:tcPr>
            <w:tcW w:w="0" w:type="pct"/>
          </w:tcPr>
          <w:p w14:paraId="658F524C" w14:textId="77777777" w:rsidR="000A7FE1" w:rsidRDefault="000A7FE1" w:rsidP="003365A5">
            <w:pPr>
              <w:pStyle w:val="Tabletextprimarysource"/>
            </w:pPr>
            <w:r>
              <w:t>Summary of additional data:</w:t>
            </w:r>
          </w:p>
          <w:p w14:paraId="2B2DDDA6" w14:textId="6F40AFF8" w:rsidR="00775B55" w:rsidRDefault="00F07631" w:rsidP="003365A5">
            <w:pPr>
              <w:pStyle w:val="Tabletextprimarysource"/>
            </w:pPr>
            <w:r>
              <w:t>Original MAK based</w:t>
            </w:r>
            <w:r w:rsidR="00D20A63">
              <w:t xml:space="preserve"> on </w:t>
            </w:r>
            <w:r w:rsidR="00034B81">
              <w:t>ACGIH (1969)</w:t>
            </w:r>
            <w:r w:rsidR="00D20A63">
              <w:t xml:space="preserve"> recommendation and </w:t>
            </w:r>
            <w:r>
              <w:t xml:space="preserve">provisionally retained to protect for local irritation and potential </w:t>
            </w:r>
            <w:r w:rsidR="00842717">
              <w:t>CNS</w:t>
            </w:r>
            <w:r>
              <w:t xml:space="preserve"> depression. MAK is supported by analogy to 1-butyl alcohol, which is expected to act similarly and is more extensively reviewed.</w:t>
            </w:r>
            <w:r w:rsidR="00D20A63">
              <w:t xml:space="preserve"> </w:t>
            </w:r>
            <w:r w:rsidR="00F85295">
              <w:t xml:space="preserve">Transient </w:t>
            </w:r>
            <w:r w:rsidR="00842717">
              <w:t>CNS</w:t>
            </w:r>
            <w:r w:rsidR="00F85295">
              <w:t xml:space="preserve"> depression above 250</w:t>
            </w:r>
            <w:r w:rsidR="00F23785">
              <w:t> </w:t>
            </w:r>
            <w:r w:rsidR="00F85295">
              <w:t xml:space="preserve">ppm in a repeat inhalation study with rats is only considered in the assignment of the peak limitation category. </w:t>
            </w:r>
            <w:r w:rsidR="00D20A63">
              <w:t>Skin notation not warranted due to low effective dose delivery from skin absorption. Very small number of positive sensitisation results in humans do not warrant a sensitiser notation. Insufficient data to recommend a carcinogenicity notation.</w:t>
            </w:r>
          </w:p>
          <w:p w14:paraId="4C8880ED" w14:textId="35BB4746" w:rsidR="00775B55" w:rsidRDefault="00775B55" w:rsidP="003365A5">
            <w:pPr>
              <w:pStyle w:val="Tabletextprimarysource"/>
            </w:pPr>
            <w:r>
              <w:t>Human data:</w:t>
            </w:r>
          </w:p>
          <w:p w14:paraId="40D5414D" w14:textId="59924E65" w:rsidR="00775B55" w:rsidRDefault="000773B3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lastRenderedPageBreak/>
              <w:t>Penetration rate through human skin calculated as 1.78 mg/cm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Arial"/>
              </w:rPr>
              <w:t>≡</w:t>
            </w:r>
            <w:r>
              <w:t>0.2 mg/cm</w:t>
            </w:r>
            <w:r>
              <w:rPr>
                <w:vertAlign w:val="superscript"/>
              </w:rPr>
              <w:t>2</w:t>
            </w:r>
            <w:r>
              <w:t>/h for saturated aqueous solution</w:t>
            </w:r>
          </w:p>
          <w:p w14:paraId="5CD6505C" w14:textId="0B64DBEB" w:rsidR="000773B3" w:rsidRDefault="000773B3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Plasma half-life: 1.45 h when co-administered with ethyl alcohol in volunteer study (n=6)</w:t>
            </w:r>
          </w:p>
          <w:p w14:paraId="375587EF" w14:textId="68A41AB2" w:rsidR="00E4244F" w:rsidRDefault="00E4244F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Poorly documented studies indicate critical effects are like those of 1-butyl alcohol, e.g. adverse corneal effects (concentration and duration not specified)</w:t>
            </w:r>
          </w:p>
          <w:p w14:paraId="2AAA9C92" w14:textId="1233C3CA" w:rsidR="00E4244F" w:rsidRDefault="00E4244F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Potential cross-reactions in sensitisation studies with individuals allergic to ethyl alcohol</w:t>
            </w:r>
          </w:p>
          <w:p w14:paraId="5E69B499" w14:textId="5A129014" w:rsidR="00E4244F" w:rsidRDefault="00842717" w:rsidP="00DA1365">
            <w:pPr>
              <w:pStyle w:val="Tabletextprimarysource"/>
              <w:numPr>
                <w:ilvl w:val="1"/>
                <w:numId w:val="1"/>
              </w:numPr>
              <w:ind w:left="1077" w:hanging="283"/>
            </w:pPr>
            <w:r>
              <w:t>limited</w:t>
            </w:r>
            <w:r w:rsidR="00D20A63">
              <w:t xml:space="preserve"> p</w:t>
            </w:r>
            <w:r w:rsidR="00E4244F">
              <w:t>ositive skin sensitisation</w:t>
            </w:r>
            <w:r w:rsidR="00D20A63">
              <w:t xml:space="preserve"> results</w:t>
            </w:r>
            <w:r w:rsidR="00E4244F">
              <w:t xml:space="preserve"> </w:t>
            </w:r>
            <w:r w:rsidR="00D20A63">
              <w:t xml:space="preserve">do not warrant </w:t>
            </w:r>
            <w:r w:rsidR="00E4244F">
              <w:t>sensitiser notation</w:t>
            </w:r>
          </w:p>
          <w:p w14:paraId="0CD5E978" w14:textId="77777777" w:rsidR="00775B55" w:rsidRDefault="00775B55" w:rsidP="003365A5">
            <w:pPr>
              <w:pStyle w:val="Tabletextprimarysource"/>
            </w:pPr>
            <w:r>
              <w:t>Animal data:</w:t>
            </w:r>
          </w:p>
          <w:p w14:paraId="281C4F27" w14:textId="675C65FF" w:rsidR="00F07631" w:rsidRDefault="00F07631" w:rsidP="00F07631">
            <w:pPr>
              <w:pStyle w:val="Tabletextprimarysource"/>
              <w:numPr>
                <w:ilvl w:val="0"/>
                <w:numId w:val="1"/>
              </w:numPr>
            </w:pPr>
            <w:r>
              <w:t>Absorbed substance is distributed evenly in body and likely oxidised metabolically to the corresponding carboxylic acid</w:t>
            </w:r>
          </w:p>
          <w:p w14:paraId="09DCA122" w14:textId="0448F524" w:rsidR="00F07631" w:rsidRDefault="00842717" w:rsidP="00DA1365">
            <w:pPr>
              <w:pStyle w:val="Tabletextprimarysource"/>
              <w:numPr>
                <w:ilvl w:val="1"/>
                <w:numId w:val="1"/>
              </w:numPr>
              <w:ind w:left="1077" w:hanging="283"/>
            </w:pPr>
            <w:proofErr w:type="spellStart"/>
            <w:r>
              <w:t>i</w:t>
            </w:r>
            <w:r w:rsidR="00F07631">
              <w:t>rritational</w:t>
            </w:r>
            <w:proofErr w:type="spellEnd"/>
            <w:r w:rsidR="00F07631">
              <w:t xml:space="preserve"> effects caused by receptor interactions </w:t>
            </w:r>
            <w:r w:rsidR="00D20A63">
              <w:t>at sensory nerve endings;</w:t>
            </w:r>
            <w:r w:rsidR="00F07631">
              <w:t xml:space="preserve"> </w:t>
            </w:r>
            <w:r>
              <w:t xml:space="preserve">CNS </w:t>
            </w:r>
            <w:r w:rsidR="00F07631">
              <w:t>effects caused by neuronal membrane disruptions</w:t>
            </w:r>
          </w:p>
          <w:p w14:paraId="21FB3260" w14:textId="565812F0" w:rsidR="00E4244F" w:rsidRDefault="00E4244F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5,100–8,660 ppm (rats, mice, rabbits, guinea pigs, duration not specified)</w:t>
            </w:r>
          </w:p>
          <w:p w14:paraId="0BDB7375" w14:textId="7DF1270A" w:rsidR="00E4244F" w:rsidRDefault="00842717" w:rsidP="00DA1365">
            <w:pPr>
              <w:pStyle w:val="Tabletextprimarysource"/>
              <w:numPr>
                <w:ilvl w:val="1"/>
                <w:numId w:val="1"/>
              </w:numPr>
              <w:ind w:left="1077" w:hanging="283"/>
            </w:pPr>
            <w:r>
              <w:t xml:space="preserve">respiratory </w:t>
            </w:r>
            <w:r w:rsidR="00E4244F">
              <w:t>tract irritation at 5,000 ppm (rats, guinea pigs, 4 h)</w:t>
            </w:r>
          </w:p>
          <w:p w14:paraId="776B56D6" w14:textId="277396FB" w:rsidR="00E4244F" w:rsidRDefault="00842717" w:rsidP="00DA1365">
            <w:pPr>
              <w:pStyle w:val="Tabletextprimarysource"/>
              <w:numPr>
                <w:ilvl w:val="1"/>
                <w:numId w:val="1"/>
              </w:numPr>
              <w:ind w:left="1077" w:hanging="283"/>
            </w:pPr>
            <w:r>
              <w:t xml:space="preserve">central </w:t>
            </w:r>
            <w:r w:rsidR="00E4244F">
              <w:t xml:space="preserve">nervous effects, reduced lymphocytes in bone marrow, and hepatocyte changes observed 3 d </w:t>
            </w:r>
            <w:r w:rsidR="00D20A63">
              <w:t xml:space="preserve">after </w:t>
            </w:r>
            <w:r w:rsidR="00E4244F">
              <w:t>exposure</w:t>
            </w:r>
            <w:r w:rsidR="00392A8B">
              <w:t xml:space="preserve"> to 5,000–8,000 ppm</w:t>
            </w:r>
          </w:p>
          <w:p w14:paraId="344F9AAA" w14:textId="1873E7D7" w:rsidR="00392A8B" w:rsidRDefault="00392A8B" w:rsidP="00DA1365">
            <w:pPr>
              <w:pStyle w:val="Tabletextprimarysource"/>
              <w:numPr>
                <w:ilvl w:val="1"/>
                <w:numId w:val="1"/>
              </w:numPr>
              <w:ind w:left="1077" w:hanging="283"/>
            </w:pPr>
            <w:r>
              <w:t>reduced bone marrow lymphocytes observed at 430 ppm</w:t>
            </w:r>
          </w:p>
          <w:p w14:paraId="4D1F6BF2" w14:textId="3191CF9D" w:rsidR="00392A8B" w:rsidRDefault="00842717" w:rsidP="00DA1365">
            <w:pPr>
              <w:pStyle w:val="Tabletextprimarysource"/>
              <w:numPr>
                <w:ilvl w:val="1"/>
                <w:numId w:val="1"/>
              </w:numPr>
              <w:ind w:left="1077" w:hanging="283"/>
            </w:pPr>
            <w:r>
              <w:t xml:space="preserve">changed </w:t>
            </w:r>
            <w:r w:rsidR="00392A8B">
              <w:t>respiration rate at 32 ppm</w:t>
            </w:r>
          </w:p>
          <w:p w14:paraId="2A56E591" w14:textId="4D0E8CE3" w:rsidR="00392A8B" w:rsidRDefault="00392A8B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Median respiratory depression (RD</w:t>
            </w:r>
            <w:r>
              <w:rPr>
                <w:vertAlign w:val="subscript"/>
              </w:rPr>
              <w:t>50</w:t>
            </w:r>
            <w:r>
              <w:t>): 1,818 ppm (mice, 5 min)</w:t>
            </w:r>
          </w:p>
          <w:p w14:paraId="58720E08" w14:textId="41D68FD4" w:rsidR="00775B55" w:rsidRDefault="00071139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2,500–4,200 mg/kg (rabbit</w:t>
            </w:r>
            <w:r w:rsidR="00FE0E43">
              <w:t>, dermal</w:t>
            </w:r>
            <w:r>
              <w:t>)</w:t>
            </w:r>
          </w:p>
          <w:p w14:paraId="45651D55" w14:textId="7F2BBEBC" w:rsidR="00C15BBC" w:rsidRDefault="00C15BBC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No effects on offspring at 3,300 ppm (rats, rabbits</w:t>
            </w:r>
            <w:r w:rsidR="00C043B9">
              <w:t>, 6 h/d, last 9–12 d of gestation</w:t>
            </w:r>
            <w:r>
              <w:t>)</w:t>
            </w:r>
          </w:p>
          <w:p w14:paraId="251D5596" w14:textId="0040D9D2" w:rsidR="0070240D" w:rsidRDefault="00DB12D4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Reversible </w:t>
            </w:r>
            <w:r w:rsidR="00FE0E43">
              <w:t>CNS</w:t>
            </w:r>
            <w:r>
              <w:t xml:space="preserve"> impairment in s</w:t>
            </w:r>
            <w:r w:rsidR="004C137B">
              <w:t>ub</w:t>
            </w:r>
            <w:r w:rsidR="006F08DF">
              <w:t>-</w:t>
            </w:r>
            <w:r w:rsidR="004C137B">
              <w:t>chronic inhalation stud</w:t>
            </w:r>
            <w:r>
              <w:t>ies</w:t>
            </w:r>
            <w:r w:rsidR="004C137B">
              <w:t xml:space="preserve"> with exposure groups</w:t>
            </w:r>
            <w:r>
              <w:t xml:space="preserve"> </w:t>
            </w:r>
          </w:p>
          <w:p w14:paraId="0F98AEB8" w14:textId="466B8014" w:rsidR="00C15BBC" w:rsidRDefault="00DB12D4" w:rsidP="0070240D">
            <w:pPr>
              <w:pStyle w:val="Tabletextprimarysource"/>
              <w:ind w:left="717"/>
            </w:pPr>
            <w:r>
              <w:t>250–</w:t>
            </w:r>
            <w:r w:rsidR="004C137B">
              <w:t>3,000 ppm (rats, 6 h/d, 5</w:t>
            </w:r>
            <w:r w:rsidR="009C0443">
              <w:t xml:space="preserve"> </w:t>
            </w:r>
            <w:r w:rsidR="004C137B">
              <w:t>d/wk, 2 wk</w:t>
            </w:r>
            <w:r>
              <w:t xml:space="preserve"> or 90 d)</w:t>
            </w:r>
            <w:r w:rsidR="004C137B">
              <w:t>;</w:t>
            </w:r>
          </w:p>
          <w:p w14:paraId="61B36613" w14:textId="726C3406" w:rsidR="004C137B" w:rsidRDefault="00FE0E43" w:rsidP="00DA1365">
            <w:pPr>
              <w:pStyle w:val="Tabletextprimarysource"/>
              <w:numPr>
                <w:ilvl w:val="1"/>
                <w:numId w:val="1"/>
              </w:numPr>
              <w:ind w:left="1077" w:hanging="283"/>
            </w:pPr>
            <w:r>
              <w:t xml:space="preserve">reduced </w:t>
            </w:r>
            <w:r w:rsidR="004C137B">
              <w:t>sensitivity to external stimuli at 750 ppm; laboured breathing at higher concentrations; no changes in behavioural assessment post-exposure</w:t>
            </w:r>
          </w:p>
          <w:p w14:paraId="14422B9D" w14:textId="61245ED3" w:rsidR="004C137B" w:rsidRDefault="00FE0E43" w:rsidP="00DA1365">
            <w:pPr>
              <w:pStyle w:val="Tabletextprimarysource"/>
              <w:numPr>
                <w:ilvl w:val="1"/>
                <w:numId w:val="1"/>
              </w:numPr>
              <w:ind w:left="1077" w:hanging="283"/>
            </w:pPr>
            <w:r>
              <w:t xml:space="preserve">similar </w:t>
            </w:r>
            <w:r w:rsidR="004C137B">
              <w:t xml:space="preserve">findings in 90-d exposure study; only observed effect was higher erythrocyte count in females exposed to 2,500 ppm, not considered toxicologically relevant </w:t>
            </w:r>
          </w:p>
          <w:p w14:paraId="4A3785CF" w14:textId="3B060AB8" w:rsidR="004C137B" w:rsidRDefault="00FE0E43" w:rsidP="00DA1365">
            <w:pPr>
              <w:pStyle w:val="Tabletextprimarysource"/>
              <w:numPr>
                <w:ilvl w:val="1"/>
                <w:numId w:val="1"/>
              </w:numPr>
              <w:ind w:left="1077" w:hanging="283"/>
            </w:pPr>
            <w:r>
              <w:t>a</w:t>
            </w:r>
            <w:r w:rsidR="004C137B">
              <w:t xml:space="preserve">gency concludes that, except for reversible </w:t>
            </w:r>
            <w:r w:rsidR="00C03A7C">
              <w:t xml:space="preserve">non-specific </w:t>
            </w:r>
            <w:r>
              <w:t>CNS</w:t>
            </w:r>
            <w:r w:rsidR="00F07631">
              <w:t xml:space="preserve"> </w:t>
            </w:r>
            <w:r w:rsidR="004C137B">
              <w:t>depr</w:t>
            </w:r>
            <w:r w:rsidR="00F07631">
              <w:t>ession &gt;250 ppm</w:t>
            </w:r>
            <w:r w:rsidR="004C137B">
              <w:t>, no exposure-related effects were observed in either study</w:t>
            </w:r>
          </w:p>
          <w:p w14:paraId="45C5BED7" w14:textId="77777777" w:rsidR="00F07631" w:rsidRDefault="00F07631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NOAEL of 1,450 mg/kg in repeat feeding study (rats, drinking water, 90 d)</w:t>
            </w:r>
          </w:p>
          <w:p w14:paraId="682EA596" w14:textId="77777777" w:rsidR="00F07631" w:rsidRDefault="00C043B9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in presence or absence of metabolic activation in bacteria; positive </w:t>
            </w:r>
            <w:r>
              <w:rPr>
                <w:i/>
              </w:rPr>
              <w:t xml:space="preserve">in vitro </w:t>
            </w:r>
            <w:r>
              <w:t>result cited in ACGIH (2018) occurred only at cytotoxic concentrations (0.7%)</w:t>
            </w:r>
          </w:p>
          <w:p w14:paraId="27A3D20A" w14:textId="77777777" w:rsidR="00AA0437" w:rsidRDefault="00D20A63" w:rsidP="00DA1365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Carcinogenicity studies presented in ACGIH (2018) not considered for evaluation due to exposure near maximally tolerated dose, and insufficient documentation and analysis.</w:t>
            </w:r>
          </w:p>
          <w:p w14:paraId="4A584F57" w14:textId="6BAEB006" w:rsidR="0070240D" w:rsidRPr="00DA352E" w:rsidRDefault="0070240D" w:rsidP="0070240D">
            <w:pPr>
              <w:pStyle w:val="Tabletextprimarysource"/>
              <w:ind w:left="717"/>
            </w:pPr>
          </w:p>
        </w:tc>
      </w:tr>
      <w:tr w:rsidR="00C978F0" w:rsidRPr="00DA352E" w14:paraId="3A669FA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5BFF86" w14:textId="0C88023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24B6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24B68">
                  <w:t>NA</w:t>
                </w:r>
                <w:proofErr w:type="spellEnd"/>
              </w:sdtContent>
            </w:sdt>
          </w:p>
        </w:tc>
      </w:tr>
      <w:tr w:rsidR="00C978F0" w:rsidRPr="00DA352E" w14:paraId="7F032CA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E08B48D" w14:textId="5C204120" w:rsidR="00C978F0" w:rsidRPr="00DA352E" w:rsidRDefault="00B24B68" w:rsidP="003365A5">
            <w:pPr>
              <w:pStyle w:val="Tabletextprimarysource"/>
            </w:pPr>
            <w:r>
              <w:t>No report</w:t>
            </w:r>
            <w:r w:rsidR="009C0443">
              <w:t>.</w:t>
            </w:r>
          </w:p>
        </w:tc>
      </w:tr>
      <w:tr w:rsidR="00DA352E" w:rsidRPr="00DA352E" w14:paraId="627CA01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7D43185" w14:textId="382B5D0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24B6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24B68">
                  <w:t>NA</w:t>
                </w:r>
                <w:proofErr w:type="spellEnd"/>
              </w:sdtContent>
            </w:sdt>
          </w:p>
        </w:tc>
      </w:tr>
      <w:tr w:rsidR="00DA352E" w:rsidRPr="00DA352E" w14:paraId="18C4955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2169E52" w14:textId="0C72D871" w:rsidR="00DA352E" w:rsidRPr="00DA352E" w:rsidRDefault="00B24B68" w:rsidP="003365A5">
            <w:pPr>
              <w:pStyle w:val="Tabletextprimarysource"/>
            </w:pPr>
            <w:r>
              <w:t>No report</w:t>
            </w:r>
            <w:r w:rsidR="009C0443">
              <w:t>.</w:t>
            </w:r>
          </w:p>
        </w:tc>
      </w:tr>
      <w:tr w:rsidR="00DA352E" w:rsidRPr="00DA352E" w14:paraId="68C8003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8A122FC" w14:textId="4F9D87E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24B6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B24B68">
                  <w:t>NA</w:t>
                </w:r>
                <w:proofErr w:type="spellEnd"/>
              </w:sdtContent>
            </w:sdt>
          </w:p>
        </w:tc>
      </w:tr>
      <w:tr w:rsidR="00DA352E" w:rsidRPr="00DA352E" w14:paraId="12CBAFB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BBD9360" w14:textId="2CE61B81" w:rsidR="00DA352E" w:rsidRPr="00DA352E" w:rsidRDefault="00B24B68" w:rsidP="003365A5">
            <w:pPr>
              <w:pStyle w:val="Tabletextprimarysource"/>
            </w:pPr>
            <w:r>
              <w:t>No report</w:t>
            </w:r>
            <w:r w:rsidR="009C0443">
              <w:t>.</w:t>
            </w:r>
          </w:p>
        </w:tc>
      </w:tr>
    </w:tbl>
    <w:p w14:paraId="2B206076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4966BF" w:rsidRPr="00263255" w14:paraId="45C5CDD4" w14:textId="77777777" w:rsidTr="00FE0E43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14216111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5F95869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65A3325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4D68BA74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38D7490" w14:textId="77777777" w:rsidTr="00FE0E43">
        <w:trPr>
          <w:cantSplit/>
        </w:trPr>
        <w:tc>
          <w:tcPr>
            <w:tcW w:w="1492" w:type="dxa"/>
          </w:tcPr>
          <w:p w14:paraId="5076281D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2" w:type="dxa"/>
          </w:tcPr>
          <w:p w14:paraId="5FEDC22A" w14:textId="41B612D3" w:rsidR="004966BF" w:rsidRPr="00CE617F" w:rsidRDefault="0002313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B12D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F3EB919" w14:textId="1D8039B3" w:rsidR="004966BF" w:rsidRPr="004C23F4" w:rsidRDefault="00DB12D4" w:rsidP="00717D45">
            <w:pPr>
              <w:pStyle w:val="Tablefont"/>
            </w:pPr>
            <w:r>
              <w:t>2002</w:t>
            </w:r>
          </w:p>
        </w:tc>
        <w:tc>
          <w:tcPr>
            <w:tcW w:w="6451" w:type="dxa"/>
          </w:tcPr>
          <w:p w14:paraId="644FC6E0" w14:textId="7C2AFA37" w:rsidR="004966BF" w:rsidRPr="00DB12D4" w:rsidRDefault="00DB12D4" w:rsidP="00717D45">
            <w:pPr>
              <w:pStyle w:val="Tablefont"/>
            </w:pPr>
            <w:r>
              <w:t>8</w:t>
            </w:r>
            <w:r w:rsidR="009C0443">
              <w:t xml:space="preserve"> </w:t>
            </w:r>
            <w:r>
              <w:t xml:space="preserve">h TWA: </w:t>
            </w:r>
            <w:r w:rsidRPr="00DB12D4">
              <w:t xml:space="preserve">50 </w:t>
            </w:r>
            <w:r>
              <w:t>ppm (</w:t>
            </w:r>
            <w:r w:rsidRPr="00DB12D4">
              <w:t>154</w:t>
            </w:r>
            <w:r>
              <w:t>mg/m</w:t>
            </w:r>
            <w:r>
              <w:rPr>
                <w:vertAlign w:val="superscript"/>
              </w:rPr>
              <w:t>3</w:t>
            </w:r>
            <w:r>
              <w:t>); 15</w:t>
            </w:r>
            <w:r w:rsidR="009C0443">
              <w:t xml:space="preserve"> </w:t>
            </w:r>
            <w:r>
              <w:t>min STEL:</w:t>
            </w:r>
            <w:r w:rsidRPr="00DB12D4">
              <w:t xml:space="preserve"> 75</w:t>
            </w:r>
            <w:r>
              <w:t xml:space="preserve"> ppm (</w:t>
            </w:r>
            <w:r w:rsidRPr="00DB12D4">
              <w:t>231</w:t>
            </w:r>
            <w:r>
              <w:t xml:space="preserve"> mg/m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4966BF" w:rsidRPr="004C23F4" w14:paraId="0B29FEA4" w14:textId="77777777" w:rsidTr="00FE0E43">
        <w:trPr>
          <w:cantSplit/>
        </w:trPr>
        <w:tc>
          <w:tcPr>
            <w:tcW w:w="1492" w:type="dxa"/>
          </w:tcPr>
          <w:p w14:paraId="674666FE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12EA04DA" w14:textId="5E545E04" w:rsidR="004966BF" w:rsidRPr="00CE617F" w:rsidRDefault="0002313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F65B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6C8EC39" w14:textId="6CAD3EAF" w:rsidR="004966BF" w:rsidRPr="004C23F4" w:rsidRDefault="00BF35B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1" w:type="dxa"/>
          </w:tcPr>
          <w:p w14:paraId="46607C9D" w14:textId="73D25139" w:rsidR="004966BF" w:rsidRDefault="0036248D" w:rsidP="0036248D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="00352E3E" w:rsidRPr="00352E3E">
              <w:rPr>
                <w:rStyle w:val="checkbox"/>
                <w:rFonts w:ascii="Arial" w:hAnsi="Arial" w:cs="Arial"/>
              </w:rPr>
              <w:t xml:space="preserve">ritical health effects </w:t>
            </w:r>
            <w:r>
              <w:rPr>
                <w:rStyle w:val="checkbox"/>
                <w:rFonts w:ascii="Arial" w:hAnsi="Arial" w:cs="Arial"/>
              </w:rPr>
              <w:t>are</w:t>
            </w:r>
            <w:r w:rsidR="00352E3E" w:rsidRPr="00352E3E">
              <w:rPr>
                <w:rStyle w:val="checkbox"/>
                <w:rFonts w:ascii="Arial" w:hAnsi="Arial" w:cs="Arial"/>
              </w:rPr>
              <w:t xml:space="preserve"> local </w:t>
            </w:r>
            <w:r>
              <w:rPr>
                <w:rStyle w:val="checkbox"/>
                <w:rFonts w:ascii="Arial" w:hAnsi="Arial" w:cs="Arial"/>
              </w:rPr>
              <w:t xml:space="preserve">irritation </w:t>
            </w:r>
            <w:r w:rsidR="00352E3E" w:rsidRPr="00352E3E">
              <w:rPr>
                <w:rStyle w:val="checkbox"/>
                <w:rFonts w:ascii="Arial" w:hAnsi="Arial" w:cs="Arial"/>
              </w:rPr>
              <w:t xml:space="preserve">effects and intoxication </w:t>
            </w:r>
            <w:r>
              <w:rPr>
                <w:rStyle w:val="checkbox"/>
                <w:rFonts w:ascii="Arial" w:hAnsi="Arial" w:cs="Arial"/>
              </w:rPr>
              <w:t>at</w:t>
            </w:r>
            <w:r w:rsidR="00352E3E" w:rsidRPr="00352E3E">
              <w:rPr>
                <w:rStyle w:val="checkbox"/>
                <w:rFonts w:ascii="Arial" w:hAnsi="Arial" w:cs="Arial"/>
              </w:rPr>
              <w:t xml:space="preserve"> high</w:t>
            </w:r>
            <w:r>
              <w:rPr>
                <w:rStyle w:val="checkbox"/>
                <w:rFonts w:ascii="Arial" w:hAnsi="Arial" w:cs="Arial"/>
              </w:rPr>
              <w:t>er</w:t>
            </w:r>
            <w:r w:rsidR="00352E3E" w:rsidRPr="00352E3E">
              <w:rPr>
                <w:rStyle w:val="checkbox"/>
                <w:rFonts w:ascii="Arial" w:hAnsi="Arial" w:cs="Arial"/>
              </w:rPr>
              <w:t xml:space="preserve"> concentrations </w:t>
            </w:r>
          </w:p>
          <w:p w14:paraId="551B160E" w14:textId="578A4ADF" w:rsidR="00352E3E" w:rsidRPr="00071139" w:rsidRDefault="0036248D" w:rsidP="00717D45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Not expected to be genotoxic</w:t>
            </w:r>
            <w:r w:rsidR="009C0443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6A1EDBA7" w14:textId="77777777" w:rsidTr="00FE0E43">
        <w:trPr>
          <w:cantSplit/>
        </w:trPr>
        <w:tc>
          <w:tcPr>
            <w:tcW w:w="1492" w:type="dxa"/>
          </w:tcPr>
          <w:p w14:paraId="1C98AA71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2" w:type="dxa"/>
          </w:tcPr>
          <w:p w14:paraId="27CF650E" w14:textId="2BC17A5B" w:rsidR="004966BF" w:rsidRPr="00CE617F" w:rsidRDefault="0002313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52E3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A647FCF" w14:textId="5E10A72B" w:rsidR="004966BF" w:rsidRPr="004C23F4" w:rsidRDefault="00352E3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51" w:type="dxa"/>
          </w:tcPr>
          <w:p w14:paraId="5D21AE5E" w14:textId="556FA288" w:rsidR="004966BF" w:rsidRDefault="00E82078" w:rsidP="00E82078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Carcinogenicity assessment incomplete</w:t>
            </w:r>
          </w:p>
          <w:p w14:paraId="4948FE04" w14:textId="17CE0E50" w:rsidR="00E82078" w:rsidRDefault="00E82078" w:rsidP="00E82078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 w:rsidRPr="00E82078">
              <w:rPr>
                <w:rStyle w:val="checkbox"/>
                <w:rFonts w:ascii="Arial" w:hAnsi="Arial" w:cs="Arial"/>
              </w:rPr>
              <w:t>Animal toxicity studies indicate butyl alcohol may produce liver/ kidney effects and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E82078">
              <w:rPr>
                <w:rStyle w:val="checkbox"/>
                <w:rFonts w:ascii="Arial" w:hAnsi="Arial" w:cs="Arial"/>
              </w:rPr>
              <w:t>d</w:t>
            </w:r>
            <w:r>
              <w:rPr>
                <w:rStyle w:val="checkbox"/>
                <w:rFonts w:ascii="Arial" w:hAnsi="Arial" w:cs="Arial"/>
              </w:rPr>
              <w:t>ecreased red blood cell numbers</w:t>
            </w:r>
          </w:p>
          <w:p w14:paraId="7715F771" w14:textId="06DBC1BB" w:rsidR="00E82078" w:rsidRDefault="00E82078" w:rsidP="00E82078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Ataxia and </w:t>
            </w:r>
            <w:proofErr w:type="spellStart"/>
            <w:r>
              <w:rPr>
                <w:rStyle w:val="checkbox"/>
                <w:rFonts w:ascii="Arial" w:hAnsi="Arial" w:cs="Arial"/>
              </w:rPr>
              <w:t>hypoactivity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observed in repeat oral dose study at 1,000 mg/kg/d (rats, 13 wk);</w:t>
            </w:r>
          </w:p>
          <w:p w14:paraId="5C880B1A" w14:textId="785736DD" w:rsidR="00E82078" w:rsidRPr="004C23F4" w:rsidRDefault="00E82078" w:rsidP="00FE0E43">
            <w:pPr>
              <w:pStyle w:val="Tabletextprimarysource"/>
              <w:numPr>
                <w:ilvl w:val="1"/>
                <w:numId w:val="1"/>
              </w:numPr>
              <w:ind w:left="1012" w:hanging="283"/>
              <w:rPr>
                <w:rStyle w:val="checkbox"/>
                <w:rFonts w:ascii="Arial" w:hAnsi="Arial" w:cs="Arial"/>
              </w:rPr>
            </w:pPr>
            <w:r w:rsidRPr="00FE0E43">
              <w:t>NOAEL</w:t>
            </w:r>
            <w:r>
              <w:rPr>
                <w:rStyle w:val="checkbox"/>
                <w:rFonts w:ascii="Arial" w:hAnsi="Arial" w:cs="Arial"/>
              </w:rPr>
              <w:t>: 316 mg/kg/d</w:t>
            </w:r>
            <w:r w:rsidR="009C0443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6AC42DE9" w14:textId="77777777" w:rsidTr="00FE0E43">
        <w:trPr>
          <w:cantSplit/>
        </w:trPr>
        <w:tc>
          <w:tcPr>
            <w:tcW w:w="1492" w:type="dxa"/>
          </w:tcPr>
          <w:p w14:paraId="3CDD957F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2" w:type="dxa"/>
          </w:tcPr>
          <w:p w14:paraId="1BBCFE55" w14:textId="340DAD89" w:rsidR="004966BF" w:rsidRPr="00CE617F" w:rsidRDefault="0002313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8207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C75CA83" w14:textId="4CE02C65" w:rsidR="004966BF" w:rsidRPr="004C23F4" w:rsidRDefault="00E8207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1" w:type="dxa"/>
          </w:tcPr>
          <w:p w14:paraId="0AD9CB82" w14:textId="7BBDA7F6" w:rsidR="004966BF" w:rsidRDefault="0012578C" w:rsidP="0012578C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carcinogenicity data available</w:t>
            </w:r>
          </w:p>
          <w:p w14:paraId="6698A7E2" w14:textId="5A5CB1FE" w:rsidR="0012578C" w:rsidRDefault="0012578C" w:rsidP="0012578C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Not considered systemically toxic below local irritation threshold</w:t>
            </w:r>
            <w:r w:rsidR="00E82078">
              <w:rPr>
                <w:rStyle w:val="checkbox"/>
                <w:rFonts w:ascii="Arial" w:hAnsi="Arial" w:cs="Arial"/>
              </w:rPr>
              <w:t xml:space="preserve"> of 100 ppm</w:t>
            </w:r>
          </w:p>
          <w:p w14:paraId="0DE6CFF2" w14:textId="65D3EDA3" w:rsidR="0012578C" w:rsidRPr="004C23F4" w:rsidRDefault="00E82078" w:rsidP="00FE0E43">
            <w:pPr>
              <w:pStyle w:val="Tabletextprimarysource"/>
              <w:numPr>
                <w:ilvl w:val="1"/>
                <w:numId w:val="1"/>
              </w:numPr>
              <w:ind w:left="1012" w:hanging="283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Derived no-effect-</w:t>
            </w:r>
            <w:r w:rsidR="0012578C">
              <w:rPr>
                <w:rStyle w:val="checkbox"/>
                <w:rFonts w:ascii="Arial" w:hAnsi="Arial" w:cs="Arial"/>
              </w:rPr>
              <w:t>level</w:t>
            </w:r>
            <w:r>
              <w:rPr>
                <w:rStyle w:val="checkbox"/>
                <w:rFonts w:ascii="Arial" w:hAnsi="Arial" w:cs="Arial"/>
              </w:rPr>
              <w:t xml:space="preserve"> (DNEL)</w:t>
            </w:r>
            <w:r w:rsidR="0012578C">
              <w:rPr>
                <w:rStyle w:val="checkbox"/>
                <w:rFonts w:ascii="Arial" w:hAnsi="Arial" w:cs="Arial"/>
              </w:rPr>
              <w:t xml:space="preserve"> of 100 ppm adopted from </w:t>
            </w:r>
            <w:r w:rsidR="0012578C" w:rsidRPr="00FE0E43">
              <w:t>DFG</w:t>
            </w:r>
            <w:r w:rsidR="0012578C">
              <w:rPr>
                <w:rStyle w:val="checkbox"/>
                <w:rFonts w:ascii="Arial" w:hAnsi="Arial" w:cs="Arial"/>
              </w:rPr>
              <w:t xml:space="preserve"> MAK values for isobutyl alcohol (</w:t>
            </w:r>
            <w:r>
              <w:rPr>
                <w:rStyle w:val="checkbox"/>
                <w:rFonts w:ascii="Arial" w:hAnsi="Arial" w:cs="Arial"/>
              </w:rPr>
              <w:t xml:space="preserve">DFG, </w:t>
            </w:r>
            <w:r w:rsidR="0012578C">
              <w:rPr>
                <w:rStyle w:val="checkbox"/>
                <w:rFonts w:ascii="Arial" w:hAnsi="Arial" w:cs="Arial"/>
              </w:rPr>
              <w:t>2003) and by analogy to 1-butyl alcohol (</w:t>
            </w:r>
            <w:r>
              <w:rPr>
                <w:rStyle w:val="checkbox"/>
                <w:rFonts w:ascii="Arial" w:hAnsi="Arial" w:cs="Arial"/>
              </w:rPr>
              <w:t xml:space="preserve">DFG, </w:t>
            </w:r>
            <w:r w:rsidR="0012578C">
              <w:rPr>
                <w:rStyle w:val="checkbox"/>
                <w:rFonts w:ascii="Arial" w:hAnsi="Arial" w:cs="Arial"/>
              </w:rPr>
              <w:t>2000)</w:t>
            </w:r>
            <w:r w:rsidR="009C0443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4995B4AF" w14:textId="77777777" w:rsidTr="00FE0E43">
        <w:trPr>
          <w:cantSplit/>
        </w:trPr>
        <w:tc>
          <w:tcPr>
            <w:tcW w:w="1492" w:type="dxa"/>
          </w:tcPr>
          <w:p w14:paraId="032229ED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2" w:type="dxa"/>
          </w:tcPr>
          <w:p w14:paraId="50AF1A53" w14:textId="01F74936" w:rsidR="004966BF" w:rsidRPr="00CE617F" w:rsidRDefault="0002313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F65B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891C8F4" w14:textId="3F7531EF" w:rsidR="004966BF" w:rsidRPr="004C23F4" w:rsidRDefault="00BF65B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2004</w:t>
            </w:r>
          </w:p>
        </w:tc>
        <w:tc>
          <w:tcPr>
            <w:tcW w:w="6451" w:type="dxa"/>
          </w:tcPr>
          <w:p w14:paraId="07916628" w14:textId="0AAD8038" w:rsidR="00BF65B9" w:rsidRPr="00BF65B9" w:rsidRDefault="00BF65B9" w:rsidP="00BF65B9">
            <w:pPr>
              <w:pStyle w:val="Tablefont"/>
              <w:numPr>
                <w:ilvl w:val="0"/>
                <w:numId w:val="1"/>
              </w:numPr>
              <w:rPr>
                <w:rFonts w:cs="Arial"/>
                <w:i/>
              </w:rPr>
            </w:pPr>
            <w:r>
              <w:rPr>
                <w:rFonts w:cs="Arial"/>
              </w:rPr>
              <w:t xml:space="preserve">Not considered genotoxic </w:t>
            </w:r>
            <w:r>
              <w:rPr>
                <w:rFonts w:cs="Arial"/>
                <w:i/>
              </w:rPr>
              <w:t xml:space="preserve">in vitro </w:t>
            </w:r>
            <w:r>
              <w:rPr>
                <w:rFonts w:cs="Arial"/>
              </w:rPr>
              <w:t xml:space="preserve">or </w:t>
            </w:r>
            <w:r>
              <w:rPr>
                <w:rFonts w:cs="Arial"/>
                <w:i/>
              </w:rPr>
              <w:t>in vivo</w:t>
            </w:r>
          </w:p>
          <w:p w14:paraId="2FED1154" w14:textId="61C85D40" w:rsidR="00352E3E" w:rsidRDefault="00352E3E" w:rsidP="00BF65B9">
            <w:pPr>
              <w:pStyle w:val="Tablefont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90</w:t>
            </w:r>
            <w:r w:rsidR="0068047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 inhalation study</w:t>
            </w:r>
            <w:r w:rsidR="00BF65B9">
              <w:rPr>
                <w:rFonts w:cs="Arial"/>
              </w:rPr>
              <w:t>, also</w:t>
            </w:r>
            <w:r>
              <w:rPr>
                <w:rFonts w:cs="Arial"/>
              </w:rPr>
              <w:t xml:space="preserve"> presented in </w:t>
            </w:r>
            <w:r w:rsidR="00C03A7C">
              <w:rPr>
                <w:rFonts w:cs="Arial"/>
              </w:rPr>
              <w:t>DFG</w:t>
            </w:r>
            <w:r>
              <w:rPr>
                <w:rFonts w:cs="Arial"/>
              </w:rPr>
              <w:t xml:space="preserve"> (</w:t>
            </w:r>
            <w:r w:rsidR="00C03A7C">
              <w:rPr>
                <w:rFonts w:cs="Arial"/>
              </w:rPr>
              <w:t>2003</w:t>
            </w:r>
            <w:r>
              <w:rPr>
                <w:rFonts w:cs="Arial"/>
              </w:rPr>
              <w:t>)</w:t>
            </w:r>
            <w:r w:rsidR="00BF65B9">
              <w:rPr>
                <w:rFonts w:cs="Arial"/>
              </w:rPr>
              <w:t xml:space="preserve">, reported NOAEL: </w:t>
            </w:r>
            <w:r w:rsidRPr="00352E3E">
              <w:rPr>
                <w:rFonts w:cs="Arial"/>
              </w:rPr>
              <w:t xml:space="preserve">1,000 </w:t>
            </w:r>
            <w:r w:rsidR="00BF65B9">
              <w:rPr>
                <w:rFonts w:cs="Arial"/>
              </w:rPr>
              <w:t>ppm for</w:t>
            </w:r>
            <w:r w:rsidRPr="00352E3E">
              <w:rPr>
                <w:rFonts w:cs="Arial"/>
              </w:rPr>
              <w:t xml:space="preserve"> </w:t>
            </w:r>
            <w:r w:rsidR="00BF65B9">
              <w:rPr>
                <w:rFonts w:cs="Arial"/>
              </w:rPr>
              <w:t>haematological changes, and NOAEL: 2,500</w:t>
            </w:r>
            <w:r w:rsidR="009C0443">
              <w:rPr>
                <w:rFonts w:cs="Arial"/>
              </w:rPr>
              <w:t xml:space="preserve"> </w:t>
            </w:r>
            <w:r w:rsidR="00BF65B9">
              <w:rPr>
                <w:rFonts w:cs="Arial"/>
              </w:rPr>
              <w:t>ppm for neurotoxicity</w:t>
            </w:r>
          </w:p>
          <w:p w14:paraId="3BD73193" w14:textId="0E507B55" w:rsidR="00DB12D4" w:rsidRPr="004C23F4" w:rsidRDefault="00BF65B9" w:rsidP="00BF65B9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No parental systemic, reproductive effects, or neonatal toxicity at 2,500 ppm in 2</w:t>
            </w:r>
            <w:r w:rsidR="00DB12D4" w:rsidRPr="00DB12D4">
              <w:rPr>
                <w:rFonts w:cs="Arial"/>
              </w:rPr>
              <w:t xml:space="preserve">-generation reproductive toxicity study </w:t>
            </w:r>
            <w:r>
              <w:rPr>
                <w:rFonts w:cs="Arial"/>
              </w:rPr>
              <w:t>(mice)</w:t>
            </w:r>
            <w:r w:rsidR="009C0443">
              <w:rPr>
                <w:rFonts w:cs="Arial"/>
              </w:rPr>
              <w:t>.</w:t>
            </w:r>
          </w:p>
        </w:tc>
      </w:tr>
      <w:tr w:rsidR="004966BF" w:rsidRPr="004C23F4" w14:paraId="6762465B" w14:textId="77777777" w:rsidTr="00FE0E43">
        <w:trPr>
          <w:cantSplit/>
        </w:trPr>
        <w:tc>
          <w:tcPr>
            <w:tcW w:w="1492" w:type="dxa"/>
          </w:tcPr>
          <w:p w14:paraId="0F418714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5FE7B426" w14:textId="34222FB5" w:rsidR="004966BF" w:rsidRDefault="0002313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B12D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6F7043F" w14:textId="202C7081" w:rsidR="004966BF" w:rsidRPr="004C23F4" w:rsidRDefault="00DB12D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1" w:type="dxa"/>
          </w:tcPr>
          <w:p w14:paraId="5D6ADB0C" w14:textId="0760F649" w:rsidR="004966BF" w:rsidRPr="004C23F4" w:rsidRDefault="00DB12D4" w:rsidP="00DA1365">
            <w:pPr>
              <w:pStyle w:val="Tablefont"/>
              <w:numPr>
                <w:ilvl w:val="0"/>
                <w:numId w:val="3"/>
              </w:numPr>
              <w:rPr>
                <w:rStyle w:val="checkbox"/>
                <w:rFonts w:ascii="Arial" w:hAnsi="Arial" w:cs="Arial"/>
              </w:rPr>
            </w:pPr>
            <w:r w:rsidRPr="00DB12D4">
              <w:rPr>
                <w:rStyle w:val="checkbox"/>
                <w:rFonts w:ascii="Arial" w:hAnsi="Arial" w:cs="Arial"/>
              </w:rPr>
              <w:t>IDLH based on acute inhalation toxicity data in animals</w:t>
            </w:r>
            <w:r w:rsidR="00644F6D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5840B1E1" w14:textId="2F635CBB" w:rsidR="007E2A4B" w:rsidRDefault="007E2A4B" w:rsidP="00FE0E43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117C82CC" w14:textId="77777777" w:rsidTr="00BF65B9">
        <w:trPr>
          <w:trHeight w:val="454"/>
          <w:tblHeader/>
        </w:trPr>
        <w:tc>
          <w:tcPr>
            <w:tcW w:w="6603" w:type="dxa"/>
            <w:vAlign w:val="center"/>
          </w:tcPr>
          <w:p w14:paraId="44F4DC08" w14:textId="77777777" w:rsidR="002E0D61" w:rsidRDefault="00B1422A" w:rsidP="00FE0E43">
            <w:pPr>
              <w:pStyle w:val="Tablefont"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00A9E9D7" w14:textId="3C8FB728" w:rsidR="002E0D61" w:rsidRDefault="00BF65B9" w:rsidP="00FE0E43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758B5D2" w14:textId="77777777" w:rsidTr="00BF65B9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35F44D79" w14:textId="543F55E4" w:rsidR="008A36CF" w:rsidRPr="006901A2" w:rsidRDefault="00BF65B9" w:rsidP="00FE0E43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784CDA1E" w14:textId="77777777" w:rsidR="008A36CF" w:rsidRDefault="008A36CF" w:rsidP="00FE0E43">
            <w:pPr>
              <w:pStyle w:val="Tablefont"/>
              <w:keepLines/>
              <w:spacing w:before="40" w:after="40"/>
            </w:pPr>
          </w:p>
        </w:tc>
      </w:tr>
    </w:tbl>
    <w:bookmarkEnd w:id="1"/>
    <w:p w14:paraId="6AEA1CD6" w14:textId="77777777" w:rsidR="00687890" w:rsidRPr="004C23F4" w:rsidRDefault="00B479A9" w:rsidP="00680472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604D36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2612F1C" w14:textId="77777777" w:rsidR="00687890" w:rsidRPr="004C23F4" w:rsidRDefault="00687890" w:rsidP="00FE0E43">
            <w:pPr>
              <w:pStyle w:val="Tableheader"/>
              <w:keepNext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5591844" w14:textId="77777777" w:rsidR="00687890" w:rsidRPr="004C23F4" w:rsidRDefault="00687890" w:rsidP="00FE0E43">
            <w:pPr>
              <w:pStyle w:val="Tableheader"/>
              <w:keepNext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EE51DEF" w14:textId="77777777" w:rsidTr="00812887">
        <w:trPr>
          <w:cantSplit/>
        </w:trPr>
        <w:tc>
          <w:tcPr>
            <w:tcW w:w="3227" w:type="dxa"/>
          </w:tcPr>
          <w:p w14:paraId="122EE313" w14:textId="77777777" w:rsidR="004079B4" w:rsidRPr="004C23F4" w:rsidRDefault="00084513" w:rsidP="00FE0E43">
            <w:pPr>
              <w:pStyle w:val="Tablefont"/>
              <w:keepNext/>
            </w:pPr>
            <w:r w:rsidRPr="004C23F4">
              <w:t>SWA</w:t>
            </w:r>
          </w:p>
        </w:tc>
        <w:tc>
          <w:tcPr>
            <w:tcW w:w="6015" w:type="dxa"/>
          </w:tcPr>
          <w:p w14:paraId="2BC9FC69" w14:textId="5EADCD1E" w:rsidR="00687890" w:rsidRPr="00DD2F9B" w:rsidRDefault="00B24B68" w:rsidP="00FE0E43">
            <w:pPr>
              <w:pStyle w:val="Tablefont"/>
              <w:keepNext/>
            </w:pPr>
            <w:r w:rsidRPr="00B24B68">
              <w:t>—</w:t>
            </w:r>
          </w:p>
        </w:tc>
      </w:tr>
      <w:tr w:rsidR="007925F0" w:rsidRPr="004C23F4" w14:paraId="73CEDA92" w14:textId="77777777" w:rsidTr="00812887">
        <w:trPr>
          <w:cantSplit/>
        </w:trPr>
        <w:tc>
          <w:tcPr>
            <w:tcW w:w="3227" w:type="dxa"/>
          </w:tcPr>
          <w:p w14:paraId="36BA5934" w14:textId="77777777" w:rsidR="004079B4" w:rsidRPr="004C23F4" w:rsidRDefault="007925F0" w:rsidP="00FE0E43">
            <w:pPr>
              <w:pStyle w:val="Tablefont"/>
              <w:keepNext/>
            </w:pPr>
            <w:r>
              <w:t>HCIS</w:t>
            </w:r>
          </w:p>
        </w:tc>
        <w:tc>
          <w:tcPr>
            <w:tcW w:w="6015" w:type="dxa"/>
          </w:tcPr>
          <w:p w14:paraId="25FCF1A4" w14:textId="57AEA366" w:rsidR="007925F0" w:rsidRPr="00DD2F9B" w:rsidRDefault="00B24B68" w:rsidP="00FE0E43">
            <w:pPr>
              <w:pStyle w:val="Tablefont"/>
              <w:keepNext/>
            </w:pPr>
            <w:r w:rsidRPr="00B24B68">
              <w:t>—</w:t>
            </w:r>
          </w:p>
        </w:tc>
      </w:tr>
      <w:tr w:rsidR="00AF483F" w:rsidRPr="004C23F4" w14:paraId="3D5E7163" w14:textId="77777777" w:rsidTr="00812887">
        <w:trPr>
          <w:cantSplit/>
        </w:trPr>
        <w:tc>
          <w:tcPr>
            <w:tcW w:w="3227" w:type="dxa"/>
          </w:tcPr>
          <w:p w14:paraId="61A40381" w14:textId="77777777" w:rsidR="00AF483F" w:rsidRPr="004C23F4" w:rsidRDefault="00AF483F" w:rsidP="00FE0E43">
            <w:pPr>
              <w:pStyle w:val="Tablefont"/>
              <w:keepNext/>
            </w:pPr>
            <w:r>
              <w:t>NICNAS</w:t>
            </w:r>
          </w:p>
        </w:tc>
        <w:tc>
          <w:tcPr>
            <w:tcW w:w="6015" w:type="dxa"/>
          </w:tcPr>
          <w:p w14:paraId="6C275E6D" w14:textId="585A7BEF" w:rsidR="00AF483F" w:rsidRPr="00DD2F9B" w:rsidRDefault="00B24B68" w:rsidP="00FE0E43">
            <w:pPr>
              <w:pStyle w:val="Tablefont"/>
              <w:keepNext/>
            </w:pPr>
            <w:r w:rsidRPr="00B24B68">
              <w:t>—</w:t>
            </w:r>
          </w:p>
        </w:tc>
      </w:tr>
      <w:tr w:rsidR="00687890" w:rsidRPr="004C23F4" w14:paraId="35454292" w14:textId="77777777" w:rsidTr="00812887">
        <w:trPr>
          <w:cantSplit/>
        </w:trPr>
        <w:tc>
          <w:tcPr>
            <w:tcW w:w="3227" w:type="dxa"/>
          </w:tcPr>
          <w:p w14:paraId="6B30AB1E" w14:textId="77777777" w:rsidR="004079B4" w:rsidRPr="004C23F4" w:rsidRDefault="00687890" w:rsidP="00FE0E43">
            <w:pPr>
              <w:pStyle w:val="Tablefont"/>
              <w:keepNext/>
            </w:pPr>
            <w:r w:rsidRPr="004C23F4">
              <w:t>EU Annex</w:t>
            </w:r>
          </w:p>
        </w:tc>
        <w:tc>
          <w:tcPr>
            <w:tcW w:w="6015" w:type="dxa"/>
          </w:tcPr>
          <w:p w14:paraId="45219B07" w14:textId="0382E4E3" w:rsidR="00687890" w:rsidRPr="00DD2F9B" w:rsidRDefault="00BF35BB" w:rsidP="00FE0E43">
            <w:pPr>
              <w:pStyle w:val="Tablefont"/>
              <w:keepNext/>
            </w:pPr>
            <w:r>
              <w:t>—</w:t>
            </w:r>
          </w:p>
        </w:tc>
      </w:tr>
      <w:tr w:rsidR="00E41A26" w:rsidRPr="004C23F4" w14:paraId="4E78FA33" w14:textId="77777777" w:rsidTr="00812887">
        <w:trPr>
          <w:cantSplit/>
        </w:trPr>
        <w:tc>
          <w:tcPr>
            <w:tcW w:w="3227" w:type="dxa"/>
          </w:tcPr>
          <w:p w14:paraId="3D17AB83" w14:textId="77777777" w:rsidR="00E41A26" w:rsidRDefault="00E41A26" w:rsidP="00FE0E43">
            <w:pPr>
              <w:pStyle w:val="Tablefont"/>
              <w:keepNext/>
            </w:pPr>
            <w:r>
              <w:t>ECHA</w:t>
            </w:r>
          </w:p>
        </w:tc>
        <w:tc>
          <w:tcPr>
            <w:tcW w:w="6015" w:type="dxa"/>
          </w:tcPr>
          <w:p w14:paraId="501B9D93" w14:textId="5881310B" w:rsidR="00E41A26" w:rsidRPr="00DD2F9B" w:rsidRDefault="00B24B68" w:rsidP="00FE0E43">
            <w:pPr>
              <w:pStyle w:val="Tablefont"/>
              <w:keepNext/>
            </w:pPr>
            <w:r w:rsidRPr="00B24B68">
              <w:t>—</w:t>
            </w:r>
          </w:p>
        </w:tc>
      </w:tr>
      <w:tr w:rsidR="002E0D61" w:rsidRPr="004C23F4" w14:paraId="0D22FA01" w14:textId="77777777" w:rsidTr="00812887">
        <w:trPr>
          <w:cantSplit/>
        </w:trPr>
        <w:tc>
          <w:tcPr>
            <w:tcW w:w="3227" w:type="dxa"/>
          </w:tcPr>
          <w:p w14:paraId="122362A7" w14:textId="77777777" w:rsidR="004079B4" w:rsidRPr="004C23F4" w:rsidRDefault="002E0D61" w:rsidP="00FE0E43">
            <w:pPr>
              <w:pStyle w:val="Tablefont"/>
              <w:keepNext/>
            </w:pPr>
            <w:r>
              <w:t>ACGIH</w:t>
            </w:r>
          </w:p>
        </w:tc>
        <w:tc>
          <w:tcPr>
            <w:tcW w:w="6015" w:type="dxa"/>
          </w:tcPr>
          <w:p w14:paraId="728C5843" w14:textId="571D5DCD" w:rsidR="002E0D61" w:rsidRPr="00DD2F9B" w:rsidRDefault="00B24B68" w:rsidP="00FE0E43">
            <w:pPr>
              <w:pStyle w:val="Tablefont"/>
              <w:keepNext/>
            </w:pPr>
            <w:r w:rsidRPr="00B24B68">
              <w:t>—</w:t>
            </w:r>
          </w:p>
        </w:tc>
      </w:tr>
      <w:tr w:rsidR="002E0D61" w:rsidRPr="004C23F4" w14:paraId="04B49318" w14:textId="77777777" w:rsidTr="00812887">
        <w:trPr>
          <w:cantSplit/>
        </w:trPr>
        <w:tc>
          <w:tcPr>
            <w:tcW w:w="3227" w:type="dxa"/>
          </w:tcPr>
          <w:p w14:paraId="11DDAEFD" w14:textId="77777777" w:rsidR="004079B4" w:rsidRPr="004C23F4" w:rsidRDefault="002E0D61" w:rsidP="00FE0E43">
            <w:pPr>
              <w:pStyle w:val="Tablefont"/>
              <w:keepNext/>
            </w:pPr>
            <w:r>
              <w:t>DFG</w:t>
            </w:r>
          </w:p>
        </w:tc>
        <w:tc>
          <w:tcPr>
            <w:tcW w:w="6015" w:type="dxa"/>
          </w:tcPr>
          <w:p w14:paraId="008EE35A" w14:textId="52BB5E3F" w:rsidR="002E0D61" w:rsidRPr="00DD2F9B" w:rsidRDefault="00B24B68" w:rsidP="00FE0E43">
            <w:pPr>
              <w:pStyle w:val="Tablefont"/>
              <w:keepNext/>
            </w:pPr>
            <w:r w:rsidRPr="00B24B68">
              <w:t>—</w:t>
            </w:r>
          </w:p>
        </w:tc>
      </w:tr>
      <w:tr w:rsidR="002E0D61" w:rsidRPr="004C23F4" w14:paraId="7767F742" w14:textId="77777777" w:rsidTr="00812887">
        <w:trPr>
          <w:cantSplit/>
        </w:trPr>
        <w:tc>
          <w:tcPr>
            <w:tcW w:w="3227" w:type="dxa"/>
          </w:tcPr>
          <w:p w14:paraId="1E7BB752" w14:textId="77777777" w:rsidR="004079B4" w:rsidRPr="004C23F4" w:rsidRDefault="002E0D61" w:rsidP="00FE0E43">
            <w:pPr>
              <w:pStyle w:val="Tablefont"/>
              <w:keepNext/>
            </w:pPr>
            <w:r>
              <w:t>SCOEL</w:t>
            </w:r>
          </w:p>
        </w:tc>
        <w:tc>
          <w:tcPr>
            <w:tcW w:w="6015" w:type="dxa"/>
          </w:tcPr>
          <w:p w14:paraId="0B347B39" w14:textId="30D1FAD5" w:rsidR="002E0D61" w:rsidRPr="00DD2F9B" w:rsidRDefault="00B24B68" w:rsidP="00FE0E43">
            <w:pPr>
              <w:pStyle w:val="Tablefont"/>
              <w:keepNext/>
            </w:pPr>
            <w:r>
              <w:t>NA</w:t>
            </w:r>
          </w:p>
        </w:tc>
      </w:tr>
      <w:tr w:rsidR="002E0D61" w:rsidRPr="004C23F4" w14:paraId="09DB089A" w14:textId="77777777" w:rsidTr="00812887">
        <w:trPr>
          <w:cantSplit/>
        </w:trPr>
        <w:tc>
          <w:tcPr>
            <w:tcW w:w="3227" w:type="dxa"/>
          </w:tcPr>
          <w:p w14:paraId="6A859459" w14:textId="77777777" w:rsidR="004079B4" w:rsidRDefault="002E0D61" w:rsidP="00FE0E43">
            <w:pPr>
              <w:pStyle w:val="Tablefont"/>
              <w:keepNext/>
            </w:pPr>
            <w:r>
              <w:t>HCOTN</w:t>
            </w:r>
          </w:p>
        </w:tc>
        <w:tc>
          <w:tcPr>
            <w:tcW w:w="6015" w:type="dxa"/>
          </w:tcPr>
          <w:p w14:paraId="21991C2F" w14:textId="1042C84B" w:rsidR="002E0D61" w:rsidRPr="00DD2F9B" w:rsidRDefault="00B24B68" w:rsidP="00FE0E43">
            <w:pPr>
              <w:pStyle w:val="Tablefont"/>
              <w:keepNext/>
            </w:pPr>
            <w:r>
              <w:t>NA</w:t>
            </w:r>
          </w:p>
        </w:tc>
      </w:tr>
      <w:tr w:rsidR="00386093" w:rsidRPr="004C23F4" w14:paraId="277299AA" w14:textId="77777777" w:rsidTr="00812887">
        <w:trPr>
          <w:cantSplit/>
        </w:trPr>
        <w:tc>
          <w:tcPr>
            <w:tcW w:w="3227" w:type="dxa"/>
          </w:tcPr>
          <w:p w14:paraId="32E5A109" w14:textId="77777777" w:rsidR="004079B4" w:rsidRDefault="00386093" w:rsidP="00FE0E43">
            <w:pPr>
              <w:pStyle w:val="Tablefont"/>
              <w:keepNext/>
            </w:pPr>
            <w:r>
              <w:t>IARC</w:t>
            </w:r>
          </w:p>
        </w:tc>
        <w:tc>
          <w:tcPr>
            <w:tcW w:w="6015" w:type="dxa"/>
          </w:tcPr>
          <w:p w14:paraId="2E5FACBD" w14:textId="5BB19EC7" w:rsidR="00386093" w:rsidRPr="00DD2F9B" w:rsidRDefault="00B24B68" w:rsidP="00FE0E43">
            <w:pPr>
              <w:pStyle w:val="Tablefont"/>
              <w:keepNext/>
            </w:pPr>
            <w:r>
              <w:t>NA</w:t>
            </w:r>
          </w:p>
        </w:tc>
      </w:tr>
      <w:tr w:rsidR="00386093" w:rsidRPr="004C23F4" w14:paraId="03887E08" w14:textId="77777777" w:rsidTr="00812887">
        <w:trPr>
          <w:cantSplit/>
        </w:trPr>
        <w:tc>
          <w:tcPr>
            <w:tcW w:w="3227" w:type="dxa"/>
          </w:tcPr>
          <w:p w14:paraId="727DE1C7" w14:textId="77777777" w:rsidR="004079B4" w:rsidRDefault="00386093" w:rsidP="00680472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24B7305" w14:textId="129E4546" w:rsidR="00386093" w:rsidRPr="00DD2F9B" w:rsidRDefault="00B24B68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2657AC02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C6E9DE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0D89880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AAD2E5F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1BB353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807"/>
              <w:gridCol w:w="618"/>
              <w:gridCol w:w="567"/>
              <w:gridCol w:w="3818"/>
            </w:tblGrid>
            <w:tr w:rsidR="00AA0437" w:rsidRPr="00AA0437" w14:paraId="5726F093" w14:textId="77777777" w:rsidTr="00AA0437">
              <w:trPr>
                <w:trHeight w:val="229"/>
              </w:trPr>
              <w:tc>
                <w:tcPr>
                  <w:tcW w:w="3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E36FAF" w14:textId="77777777" w:rsidR="00AA0437" w:rsidRPr="00AA0437" w:rsidRDefault="00AA0437" w:rsidP="00AA04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408A4F" w14:textId="77777777" w:rsidR="00AA0437" w:rsidRPr="00AA0437" w:rsidRDefault="00AA0437" w:rsidP="00AA04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06A462" w14:textId="77777777" w:rsidR="00AA0437" w:rsidRPr="00AA0437" w:rsidRDefault="00AA0437" w:rsidP="00AA04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DD1978" w14:textId="77777777" w:rsidR="00AA0437" w:rsidRPr="00AA0437" w:rsidRDefault="00AA0437" w:rsidP="00AA04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A0437" w:rsidRPr="00AA0437" w14:paraId="57BFF02B" w14:textId="77777777" w:rsidTr="00AA0437">
              <w:trPr>
                <w:trHeight w:val="229"/>
              </w:trPr>
              <w:tc>
                <w:tcPr>
                  <w:tcW w:w="3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E82B65" w14:textId="77777777" w:rsidR="00AA0437" w:rsidRPr="00AA0437" w:rsidRDefault="00AA0437" w:rsidP="00AA04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D57C0F" w14:textId="77777777" w:rsidR="00AA0437" w:rsidRPr="00AA0437" w:rsidRDefault="00AA0437" w:rsidP="00AA04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053864" w14:textId="77777777" w:rsidR="00AA0437" w:rsidRPr="00AA0437" w:rsidRDefault="00AA0437" w:rsidP="00AA04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515893" w14:textId="77777777" w:rsidR="00AA0437" w:rsidRPr="00AA0437" w:rsidRDefault="00AA0437" w:rsidP="00AA04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A0437" w:rsidRPr="00AA0437" w14:paraId="74854C03" w14:textId="77777777" w:rsidTr="00AA0437">
              <w:trPr>
                <w:trHeight w:val="229"/>
              </w:trPr>
              <w:tc>
                <w:tcPr>
                  <w:tcW w:w="3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6D89B1" w14:textId="77777777" w:rsidR="00AA0437" w:rsidRPr="00AA0437" w:rsidRDefault="00AA0437" w:rsidP="00AA04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4856F7" w14:textId="77777777" w:rsidR="00AA0437" w:rsidRPr="00AA0437" w:rsidRDefault="00AA0437" w:rsidP="00AA04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3D31C0" w14:textId="77777777" w:rsidR="00AA0437" w:rsidRPr="00AA0437" w:rsidRDefault="00AA0437" w:rsidP="00AA04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AA5B81" w14:textId="77777777" w:rsidR="00AA0437" w:rsidRPr="00AA0437" w:rsidRDefault="00AA0437" w:rsidP="00AA04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A0437" w:rsidRPr="00AA0437" w14:paraId="4F382EB7" w14:textId="77777777" w:rsidTr="00AA0437">
              <w:trPr>
                <w:trHeight w:val="229"/>
              </w:trPr>
              <w:tc>
                <w:tcPr>
                  <w:tcW w:w="3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C1FB83" w14:textId="77777777" w:rsidR="00AA0437" w:rsidRPr="00AA0437" w:rsidRDefault="00AA0437" w:rsidP="00AA04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DAA424" w14:textId="77777777" w:rsidR="00AA0437" w:rsidRPr="00AA0437" w:rsidRDefault="00AA0437" w:rsidP="00AA04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D79A7F" w14:textId="77777777" w:rsidR="00AA0437" w:rsidRPr="00AA0437" w:rsidRDefault="00AA0437" w:rsidP="00AA04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4ED46D" w14:textId="77777777" w:rsidR="00AA0437" w:rsidRPr="00AA0437" w:rsidRDefault="00AA0437" w:rsidP="00AA04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A0437" w:rsidRPr="00AA0437" w14:paraId="0F223C76" w14:textId="77777777" w:rsidTr="00AA0437">
              <w:trPr>
                <w:trHeight w:val="229"/>
              </w:trPr>
              <w:tc>
                <w:tcPr>
                  <w:tcW w:w="3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650982" w14:textId="77777777" w:rsidR="00AA0437" w:rsidRPr="00AA0437" w:rsidRDefault="00AA0437" w:rsidP="00AA04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2A90B2" w14:textId="77777777" w:rsidR="00AA0437" w:rsidRPr="00AA0437" w:rsidRDefault="00AA0437" w:rsidP="00AA04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FE0004" w14:textId="77777777" w:rsidR="00AA0437" w:rsidRPr="00AA0437" w:rsidRDefault="00AA0437" w:rsidP="00AA04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535CF6" w14:textId="77777777" w:rsidR="00AA0437" w:rsidRPr="00AA0437" w:rsidRDefault="00AA0437" w:rsidP="00AA04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A0437" w:rsidRPr="00AA0437" w14:paraId="23758C8B" w14:textId="77777777" w:rsidTr="00AA0437">
              <w:trPr>
                <w:trHeight w:val="229"/>
              </w:trPr>
              <w:tc>
                <w:tcPr>
                  <w:tcW w:w="3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762E58" w14:textId="77777777" w:rsidR="00AA0437" w:rsidRPr="00AA0437" w:rsidRDefault="00AA0437" w:rsidP="00AA04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3DCB7A4" w14:textId="77777777" w:rsidR="00AA0437" w:rsidRPr="00AA0437" w:rsidRDefault="00AA0437" w:rsidP="00AA04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7DE7F8" w14:textId="77777777" w:rsidR="00AA0437" w:rsidRPr="00AA0437" w:rsidRDefault="00AA0437" w:rsidP="00AA04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38E351" w14:textId="77777777" w:rsidR="00AA0437" w:rsidRPr="00AA0437" w:rsidRDefault="00AA0437" w:rsidP="00AA043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A0437" w:rsidRPr="00AA0437" w14:paraId="4C659F89" w14:textId="77777777" w:rsidTr="00AA0437">
              <w:trPr>
                <w:trHeight w:val="229"/>
              </w:trPr>
              <w:tc>
                <w:tcPr>
                  <w:tcW w:w="3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9D7C79" w14:textId="77777777" w:rsidR="00AA0437" w:rsidRPr="00AA0437" w:rsidRDefault="00AA0437" w:rsidP="00AA04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BD0ED8" w14:textId="77777777" w:rsidR="00AA0437" w:rsidRPr="00AA0437" w:rsidRDefault="00AA0437" w:rsidP="00AA043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EF22B2" w14:textId="77777777" w:rsidR="00AA0437" w:rsidRPr="00AA0437" w:rsidRDefault="00AA0437" w:rsidP="00AA043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1309A4" w14:textId="77777777" w:rsidR="00AA0437" w:rsidRPr="00AA0437" w:rsidRDefault="00AA0437" w:rsidP="00AA043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A0437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insufficient data to assign a skin notation</w:t>
                  </w:r>
                </w:p>
              </w:tc>
            </w:tr>
          </w:tbl>
          <w:p w14:paraId="005F43DD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65F4BD0B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A821D4E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9053D3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90A483C" w14:textId="33A5234F" w:rsidR="00EB3D1B" w:rsidRDefault="00B24B68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CAB2EAC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D8D71A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E2A67B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BD961E5" w14:textId="78FCAB70" w:rsidR="001B79E5" w:rsidRDefault="00B24B68" w:rsidP="001B79E5">
                <w:pPr>
                  <w:pStyle w:val="Tablefont"/>
                </w:pPr>
                <w:r w:rsidRPr="00B24B68">
                  <w:t>74.12</w:t>
                </w:r>
              </w:p>
            </w:tc>
          </w:sdtContent>
        </w:sdt>
      </w:tr>
      <w:tr w:rsidR="00A31D99" w:rsidRPr="004C23F4" w14:paraId="27F69DB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64CBC06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8D61529" w14:textId="6F44AD3E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B24B68">
                  <w:t>3.03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B24B68">
                  <w:t>0.330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9B0C4C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B0D247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23C9870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99F95BB" w14:textId="77777777" w:rsidTr="00EA6243">
        <w:trPr>
          <w:cantSplit/>
        </w:trPr>
        <w:tc>
          <w:tcPr>
            <w:tcW w:w="4077" w:type="dxa"/>
            <w:vAlign w:val="center"/>
          </w:tcPr>
          <w:p w14:paraId="3D7AA43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4FAEE95" w14:textId="7EE4F443" w:rsidR="00687890" w:rsidRPr="004C23F4" w:rsidRDefault="00DB12D4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5129A8EB" w14:textId="77777777" w:rsidTr="00EA6243">
        <w:trPr>
          <w:cantSplit/>
        </w:trPr>
        <w:tc>
          <w:tcPr>
            <w:tcW w:w="4077" w:type="dxa"/>
            <w:vAlign w:val="center"/>
          </w:tcPr>
          <w:p w14:paraId="0A400B57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5FFCB5E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814EE1F" w14:textId="77777777" w:rsidTr="00EA6243">
        <w:trPr>
          <w:cantSplit/>
        </w:trPr>
        <w:tc>
          <w:tcPr>
            <w:tcW w:w="4077" w:type="dxa"/>
            <w:vAlign w:val="center"/>
          </w:tcPr>
          <w:p w14:paraId="46421C0F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13B395F" w14:textId="77777777" w:rsidR="00E06F40" w:rsidRPr="00A006A0" w:rsidRDefault="0002313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5FFD170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6323498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21275AD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9394C54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CE3CE6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F186B48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6D88E9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A7286E3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6AD65CB" w14:textId="69C48BB1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42FF924" w14:textId="2F254674" w:rsidR="00B24B68" w:rsidRDefault="00B24B68" w:rsidP="00084859">
      <w:r w:rsidRPr="002022B6">
        <w:t>Deutsche Forschungsgemeinschaft (DFG)</w:t>
      </w:r>
      <w:r>
        <w:t xml:space="preserve"> (2003) </w:t>
      </w:r>
      <w:r w:rsidRPr="00B24B68">
        <w:t>Isobutyl alcohol</w:t>
      </w:r>
      <w:r>
        <w:t xml:space="preserve"> – MAK value documentation.</w:t>
      </w:r>
    </w:p>
    <w:p w14:paraId="0ABC5849" w14:textId="78E08F27" w:rsidR="00E82078" w:rsidRDefault="00E82078" w:rsidP="00084859">
      <w:r w:rsidRPr="00E82078">
        <w:t>Deutsche Forschungsgemeinschaft (DFG) (2000) n-Butyl alcohol – MAK value documentation</w:t>
      </w:r>
      <w:r>
        <w:t>.</w:t>
      </w:r>
    </w:p>
    <w:p w14:paraId="7FD146B6" w14:textId="29E0059A" w:rsidR="00B24B68" w:rsidRDefault="00E82078" w:rsidP="00084859">
      <w:r>
        <w:t>E</w:t>
      </w:r>
      <w:r w:rsidR="00B24B68">
        <w:t xml:space="preserve">uropean Chemicals Agency (ECHA) (2019) </w:t>
      </w:r>
      <w:r w:rsidRPr="00E82078">
        <w:t>2-methylpropan-1-ol</w:t>
      </w:r>
      <w:r w:rsidR="00B24B68">
        <w:t xml:space="preserve"> – REACH assessment.</w:t>
      </w:r>
    </w:p>
    <w:p w14:paraId="05E633C6" w14:textId="639309DE" w:rsidR="00B24B68" w:rsidRDefault="00B24B68" w:rsidP="00084859">
      <w:r w:rsidRPr="002022B6">
        <w:t>National Industrial Chemicals Notification and Assessment Scheme (NICNAS)</w:t>
      </w:r>
      <w:r>
        <w:t xml:space="preserve"> (2013) </w:t>
      </w:r>
      <w:r w:rsidRPr="00B24B68">
        <w:t>1-Propanol, 2-methyl</w:t>
      </w:r>
      <w:r w:rsidRPr="0071660C">
        <w:t xml:space="preserve">: Human health </w:t>
      </w:r>
      <w:r w:rsidRPr="00B24B68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65433ED7" w14:textId="77777777" w:rsidR="00680472" w:rsidRDefault="00680472" w:rsidP="00680472">
      <w:r w:rsidRPr="00E819F5">
        <w:t>Organisation for Economic Cooperation and Development (OECD) (</w:t>
      </w:r>
      <w:r>
        <w:t>2004</w:t>
      </w:r>
      <w:r w:rsidRPr="00E819F5">
        <w:t xml:space="preserve">) SIDS initial assessment profile – </w:t>
      </w:r>
      <w:proofErr w:type="spellStart"/>
      <w:r>
        <w:t>Isobutanol</w:t>
      </w:r>
      <w:proofErr w:type="spellEnd"/>
      <w:r>
        <w:t>.</w:t>
      </w:r>
    </w:p>
    <w:p w14:paraId="0928B614" w14:textId="77777777" w:rsidR="00680472" w:rsidRDefault="00680472" w:rsidP="00680472">
      <w:pPr>
        <w:rPr>
          <w:color w:val="000000"/>
        </w:rPr>
      </w:pPr>
      <w:r w:rsidRPr="00E461B8">
        <w:rPr>
          <w:color w:val="000000"/>
        </w:rPr>
        <w:t>Tenth Adaptation to Technical Progress Commission Regulation (EU Annex)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79DDE186" w14:textId="77777777" w:rsidR="00680472" w:rsidRPr="00BF35BB" w:rsidRDefault="00680472" w:rsidP="00680472">
      <w:pPr>
        <w:rPr>
          <w:color w:val="000000"/>
        </w:rPr>
      </w:pPr>
      <w:r w:rsidRPr="00D86E03">
        <w:t>UK Health and Safety Executive</w:t>
      </w:r>
      <w:r>
        <w:t xml:space="preserve"> (HSE) (2002) </w:t>
      </w:r>
      <w:r w:rsidRPr="00485AE6">
        <w:t>EH40/2005 Workplace exposure limits</w:t>
      </w:r>
      <w:r>
        <w:t>.</w:t>
      </w:r>
    </w:p>
    <w:p w14:paraId="2639EFBD" w14:textId="77777777" w:rsidR="00680472" w:rsidRPr="00351FE0" w:rsidRDefault="00680472" w:rsidP="00680472">
      <w:r>
        <w:t xml:space="preserve">US Environmental Protection Authority (US EPA) (1987)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Isobutyl alcohol.</w:t>
      </w:r>
    </w:p>
    <w:p w14:paraId="478335F2" w14:textId="6AA13C8A" w:rsidR="00B24B68" w:rsidRDefault="00B24B68" w:rsidP="00084859">
      <w:r w:rsidRPr="00D86E03">
        <w:t>US National Institute for Occupational Safety and Health (NIOSH)</w:t>
      </w:r>
      <w:r>
        <w:t xml:space="preserve"> (</w:t>
      </w:r>
      <w:r w:rsidRPr="00B24B68">
        <w:t>1994</w:t>
      </w:r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B24B68">
        <w:t>Isobutyl alcohol</w:t>
      </w:r>
      <w:r>
        <w:t>.</w:t>
      </w:r>
    </w:p>
    <w:p w14:paraId="30E2C226" w14:textId="551EE3F1" w:rsidR="00E82078" w:rsidRPr="00351FE0" w:rsidRDefault="00E82078" w:rsidP="00084859"/>
    <w:sectPr w:rsidR="00E82078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E978D1" w16cid:durableId="21A629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0177A" w14:textId="77777777" w:rsidR="006240DE" w:rsidRDefault="006240DE" w:rsidP="00F43AD5">
      <w:pPr>
        <w:spacing w:after="0" w:line="240" w:lineRule="auto"/>
      </w:pPr>
      <w:r>
        <w:separator/>
      </w:r>
    </w:p>
  </w:endnote>
  <w:endnote w:type="continuationSeparator" w:id="0">
    <w:p w14:paraId="16B04BE9" w14:textId="77777777" w:rsidR="006240DE" w:rsidRDefault="006240D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E32FA" w14:textId="77777777" w:rsidR="00023138" w:rsidRDefault="00023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087F6A0" w14:textId="5C4FB7A0" w:rsidR="00C03A7C" w:rsidRDefault="00C03A7C" w:rsidP="0034744C">
        <w:pPr>
          <w:pStyle w:val="Footer"/>
          <w:rPr>
            <w:sz w:val="18"/>
            <w:szCs w:val="18"/>
          </w:rPr>
        </w:pPr>
        <w:r w:rsidRPr="002A0CB9">
          <w:rPr>
            <w:b/>
            <w:sz w:val="18"/>
            <w:szCs w:val="18"/>
          </w:rPr>
          <w:t>Isobutyl alcohol</w:t>
        </w:r>
        <w:r>
          <w:rPr>
            <w:b/>
            <w:sz w:val="18"/>
            <w:szCs w:val="18"/>
          </w:rPr>
          <w:t xml:space="preserve"> (</w:t>
        </w:r>
        <w:r w:rsidRPr="002A0CB9">
          <w:rPr>
            <w:b/>
            <w:sz w:val="18"/>
            <w:szCs w:val="18"/>
          </w:rPr>
          <w:t>78-83-1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7B0D0DD8" w14:textId="60991AD5" w:rsidR="00C03A7C" w:rsidRPr="00F43AD5" w:rsidRDefault="00C03A7C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023138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C80C2" w14:textId="77777777" w:rsidR="00023138" w:rsidRDefault="00023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48691" w14:textId="77777777" w:rsidR="006240DE" w:rsidRDefault="006240DE" w:rsidP="00F43AD5">
      <w:pPr>
        <w:spacing w:after="0" w:line="240" w:lineRule="auto"/>
      </w:pPr>
      <w:r>
        <w:separator/>
      </w:r>
    </w:p>
  </w:footnote>
  <w:footnote w:type="continuationSeparator" w:id="0">
    <w:p w14:paraId="19E11F95" w14:textId="77777777" w:rsidR="006240DE" w:rsidRDefault="006240D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5F3BB" w14:textId="77777777" w:rsidR="00023138" w:rsidRDefault="00023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D6104" w14:textId="2D02EBD9" w:rsidR="00023138" w:rsidRDefault="00023138" w:rsidP="00023138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630157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593DBA0" wp14:editId="696D9BE7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049B8" w14:textId="37AF8154" w:rsidR="00C03A7C" w:rsidRPr="00023138" w:rsidRDefault="00C03A7C" w:rsidP="00023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0A6B" w14:textId="77777777" w:rsidR="00023138" w:rsidRDefault="000231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FCC4D" w14:textId="3BF99923" w:rsidR="00023138" w:rsidRDefault="00023138" w:rsidP="00023138">
    <w:pPr>
      <w:pStyle w:val="Header"/>
      <w:jc w:val="right"/>
    </w:pPr>
    <w:sdt>
      <w:sdtPr>
        <w:id w:val="-1747879062"/>
        <w:docPartObj>
          <w:docPartGallery w:val="Watermarks"/>
          <w:docPartUnique/>
        </w:docPartObj>
      </w:sdtPr>
      <w:sdtContent>
        <w:r>
          <w:pict w14:anchorId="5B6130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A83C230" wp14:editId="41322671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EB051" w14:textId="77777777" w:rsidR="00C03A7C" w:rsidRDefault="00C03A7C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311"/>
    <w:multiLevelType w:val="hybridMultilevel"/>
    <w:tmpl w:val="90BA9EB8"/>
    <w:lvl w:ilvl="0" w:tplc="3DD69E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34FD7"/>
    <w:multiLevelType w:val="hybridMultilevel"/>
    <w:tmpl w:val="42CC0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66A66"/>
    <w:multiLevelType w:val="hybridMultilevel"/>
    <w:tmpl w:val="CC1CCE16"/>
    <w:lvl w:ilvl="0" w:tplc="569AD2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3138"/>
    <w:rsid w:val="00032B88"/>
    <w:rsid w:val="00034B81"/>
    <w:rsid w:val="00046DF5"/>
    <w:rsid w:val="00052060"/>
    <w:rsid w:val="0005574A"/>
    <w:rsid w:val="00055FE1"/>
    <w:rsid w:val="00056EC2"/>
    <w:rsid w:val="00060B48"/>
    <w:rsid w:val="00067F32"/>
    <w:rsid w:val="00071139"/>
    <w:rsid w:val="00071807"/>
    <w:rsid w:val="000773B3"/>
    <w:rsid w:val="000803E1"/>
    <w:rsid w:val="00084513"/>
    <w:rsid w:val="00084859"/>
    <w:rsid w:val="00092D94"/>
    <w:rsid w:val="000A7FE1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578C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7D17"/>
    <w:rsid w:val="00240C05"/>
    <w:rsid w:val="00244AD1"/>
    <w:rsid w:val="002463BC"/>
    <w:rsid w:val="002465CE"/>
    <w:rsid w:val="0025734A"/>
    <w:rsid w:val="00263255"/>
    <w:rsid w:val="00276494"/>
    <w:rsid w:val="00277B0C"/>
    <w:rsid w:val="002A0CB9"/>
    <w:rsid w:val="002B1A2C"/>
    <w:rsid w:val="002C34F2"/>
    <w:rsid w:val="002C58FF"/>
    <w:rsid w:val="002C7AFE"/>
    <w:rsid w:val="002D05D2"/>
    <w:rsid w:val="002E0D61"/>
    <w:rsid w:val="002E4C7B"/>
    <w:rsid w:val="00303C42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2E3E"/>
    <w:rsid w:val="0035412B"/>
    <w:rsid w:val="003567A8"/>
    <w:rsid w:val="0036248D"/>
    <w:rsid w:val="00362895"/>
    <w:rsid w:val="00370DBF"/>
    <w:rsid w:val="00386093"/>
    <w:rsid w:val="003904A4"/>
    <w:rsid w:val="00390E6F"/>
    <w:rsid w:val="00391841"/>
    <w:rsid w:val="00391B6D"/>
    <w:rsid w:val="00392A8B"/>
    <w:rsid w:val="00394922"/>
    <w:rsid w:val="003A0E32"/>
    <w:rsid w:val="003A2B94"/>
    <w:rsid w:val="003B387D"/>
    <w:rsid w:val="003B5CBE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38A9"/>
    <w:rsid w:val="004C137B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0DE"/>
    <w:rsid w:val="00624C4E"/>
    <w:rsid w:val="00625200"/>
    <w:rsid w:val="00625DA7"/>
    <w:rsid w:val="006363A8"/>
    <w:rsid w:val="00636DB7"/>
    <w:rsid w:val="00644F6D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0472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45C0"/>
    <w:rsid w:val="006D79EA"/>
    <w:rsid w:val="006E5D05"/>
    <w:rsid w:val="006F08DF"/>
    <w:rsid w:val="00701053"/>
    <w:rsid w:val="00701507"/>
    <w:rsid w:val="0070240D"/>
    <w:rsid w:val="00707B80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2313"/>
    <w:rsid w:val="00765F14"/>
    <w:rsid w:val="00770E31"/>
    <w:rsid w:val="00775B55"/>
    <w:rsid w:val="007770F1"/>
    <w:rsid w:val="00783FB1"/>
    <w:rsid w:val="00785CDD"/>
    <w:rsid w:val="00791847"/>
    <w:rsid w:val="007925F0"/>
    <w:rsid w:val="007939B3"/>
    <w:rsid w:val="0079509C"/>
    <w:rsid w:val="00796708"/>
    <w:rsid w:val="007A076C"/>
    <w:rsid w:val="007B1B42"/>
    <w:rsid w:val="007C30EB"/>
    <w:rsid w:val="007D7AB9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3CF4"/>
    <w:rsid w:val="00826F21"/>
    <w:rsid w:val="00834CC8"/>
    <w:rsid w:val="00835E00"/>
    <w:rsid w:val="00837113"/>
    <w:rsid w:val="008414E4"/>
    <w:rsid w:val="00842717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3B46"/>
    <w:rsid w:val="009971C2"/>
    <w:rsid w:val="009A1254"/>
    <w:rsid w:val="009B2FF2"/>
    <w:rsid w:val="009B380C"/>
    <w:rsid w:val="009B4843"/>
    <w:rsid w:val="009B6543"/>
    <w:rsid w:val="009C04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587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A0437"/>
    <w:rsid w:val="00AB2672"/>
    <w:rsid w:val="00AB2817"/>
    <w:rsid w:val="00AB43C4"/>
    <w:rsid w:val="00AC32E7"/>
    <w:rsid w:val="00AC3A9F"/>
    <w:rsid w:val="00AC6D2F"/>
    <w:rsid w:val="00AE2745"/>
    <w:rsid w:val="00AE2F64"/>
    <w:rsid w:val="00AE3E1B"/>
    <w:rsid w:val="00AF42CB"/>
    <w:rsid w:val="00AF483F"/>
    <w:rsid w:val="00AF5E07"/>
    <w:rsid w:val="00AF5F06"/>
    <w:rsid w:val="00B00A25"/>
    <w:rsid w:val="00B1422A"/>
    <w:rsid w:val="00B1765C"/>
    <w:rsid w:val="00B213C4"/>
    <w:rsid w:val="00B24576"/>
    <w:rsid w:val="00B24B68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4EDD"/>
    <w:rsid w:val="00BD499F"/>
    <w:rsid w:val="00BD56DE"/>
    <w:rsid w:val="00BF2406"/>
    <w:rsid w:val="00BF35BB"/>
    <w:rsid w:val="00BF65B9"/>
    <w:rsid w:val="00C03A7C"/>
    <w:rsid w:val="00C043B9"/>
    <w:rsid w:val="00C069F7"/>
    <w:rsid w:val="00C06E43"/>
    <w:rsid w:val="00C15BBC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6B0C"/>
    <w:rsid w:val="00C850A0"/>
    <w:rsid w:val="00C85A86"/>
    <w:rsid w:val="00C9172B"/>
    <w:rsid w:val="00C978F0"/>
    <w:rsid w:val="00CA3665"/>
    <w:rsid w:val="00CA58FE"/>
    <w:rsid w:val="00CB1CB1"/>
    <w:rsid w:val="00CB6BC1"/>
    <w:rsid w:val="00CB6CB8"/>
    <w:rsid w:val="00CC1A68"/>
    <w:rsid w:val="00CC2123"/>
    <w:rsid w:val="00CC29D5"/>
    <w:rsid w:val="00CD2BFD"/>
    <w:rsid w:val="00CD655F"/>
    <w:rsid w:val="00CE5AD6"/>
    <w:rsid w:val="00CE617F"/>
    <w:rsid w:val="00CE78EF"/>
    <w:rsid w:val="00D048F7"/>
    <w:rsid w:val="00D0517E"/>
    <w:rsid w:val="00D140FC"/>
    <w:rsid w:val="00D20A63"/>
    <w:rsid w:val="00D21D8C"/>
    <w:rsid w:val="00D308F0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1365"/>
    <w:rsid w:val="00DA352E"/>
    <w:rsid w:val="00DB12D4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244F"/>
    <w:rsid w:val="00E46BCB"/>
    <w:rsid w:val="00E51CAF"/>
    <w:rsid w:val="00E60F04"/>
    <w:rsid w:val="00E62AAC"/>
    <w:rsid w:val="00E67C2F"/>
    <w:rsid w:val="00E67EF5"/>
    <w:rsid w:val="00E804EA"/>
    <w:rsid w:val="00E80A71"/>
    <w:rsid w:val="00E81ABB"/>
    <w:rsid w:val="00E82078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07631"/>
    <w:rsid w:val="00F10C97"/>
    <w:rsid w:val="00F11C71"/>
    <w:rsid w:val="00F14AA7"/>
    <w:rsid w:val="00F16019"/>
    <w:rsid w:val="00F20E68"/>
    <w:rsid w:val="00F22093"/>
    <w:rsid w:val="00F236DF"/>
    <w:rsid w:val="00F23785"/>
    <w:rsid w:val="00F4287B"/>
    <w:rsid w:val="00F43AD5"/>
    <w:rsid w:val="00F4402E"/>
    <w:rsid w:val="00F56DD0"/>
    <w:rsid w:val="00F6491C"/>
    <w:rsid w:val="00F67BBB"/>
    <w:rsid w:val="00F85295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0E43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BF3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5B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5BB"/>
    <w:rPr>
      <w:szCs w:val="20"/>
    </w:rPr>
  </w:style>
  <w:style w:type="paragraph" w:styleId="Revision">
    <w:name w:val="Revision"/>
    <w:hidden/>
    <w:uiPriority w:val="99"/>
    <w:semiHidden/>
    <w:rsid w:val="00FE0E4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68EE60E4EA7144CCADF498583DD2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EBBD4-BEC9-4D9B-9335-0CDEE1F2A355}"/>
      </w:docPartPr>
      <w:docPartBody>
        <w:p w:rsidR="006A4653" w:rsidRDefault="002447E1" w:rsidP="002447E1">
          <w:pPr>
            <w:pStyle w:val="68EE60E4EA7144CCADF498583DD25084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C6380"/>
    <w:rsid w:val="002447E1"/>
    <w:rsid w:val="00660016"/>
    <w:rsid w:val="006A4653"/>
    <w:rsid w:val="00A30F84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7E1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9130CBBC0972470C95F2FB2E3ABCDAC8">
    <w:name w:val="9130CBBC0972470C95F2FB2E3ABCDAC8"/>
    <w:rsid w:val="000C6380"/>
  </w:style>
  <w:style w:type="paragraph" w:customStyle="1" w:styleId="19B437294FB94659A2E73D1C939B12E5">
    <w:name w:val="19B437294FB94659A2E73D1C939B12E5"/>
    <w:rsid w:val="000C6380"/>
  </w:style>
  <w:style w:type="paragraph" w:customStyle="1" w:styleId="7A54F6677E994A999AF76BE5E219B64B">
    <w:name w:val="7A54F6677E994A999AF76BE5E219B64B"/>
    <w:rsid w:val="000C6380"/>
  </w:style>
  <w:style w:type="paragraph" w:customStyle="1" w:styleId="8EF8892686BE4229BD068D574B59645C">
    <w:name w:val="8EF8892686BE4229BD068D574B59645C"/>
    <w:rsid w:val="000C6380"/>
  </w:style>
  <w:style w:type="paragraph" w:customStyle="1" w:styleId="E7CBAA337C7E4C46B7EE2EBF3D465774">
    <w:name w:val="E7CBAA337C7E4C46B7EE2EBF3D465774"/>
    <w:rsid w:val="000C6380"/>
  </w:style>
  <w:style w:type="paragraph" w:customStyle="1" w:styleId="40B1367CF63841E694C4713660F1E5E0">
    <w:name w:val="40B1367CF63841E694C4713660F1E5E0"/>
    <w:rsid w:val="000C6380"/>
  </w:style>
  <w:style w:type="paragraph" w:customStyle="1" w:styleId="1ADCF1F691484D1AA7ED47AD8CD516D6">
    <w:name w:val="1ADCF1F691484D1AA7ED47AD8CD516D6"/>
    <w:rsid w:val="000C6380"/>
  </w:style>
  <w:style w:type="paragraph" w:customStyle="1" w:styleId="4F60E5D74A974447882E474876CD47D4">
    <w:name w:val="4F60E5D74A974447882E474876CD47D4"/>
    <w:rsid w:val="000C6380"/>
  </w:style>
  <w:style w:type="paragraph" w:customStyle="1" w:styleId="7BA3AD4CA40245309F6AC45BD867BD7A">
    <w:name w:val="7BA3AD4CA40245309F6AC45BD867BD7A"/>
    <w:rsid w:val="000C6380"/>
  </w:style>
  <w:style w:type="paragraph" w:customStyle="1" w:styleId="D14B1D0B884C4078A61AE63D1280D3DE">
    <w:name w:val="D14B1D0B884C4078A61AE63D1280D3DE"/>
    <w:rsid w:val="00A30F84"/>
  </w:style>
  <w:style w:type="paragraph" w:customStyle="1" w:styleId="68EE60E4EA7144CCADF498583DD25084">
    <w:name w:val="68EE60E4EA7144CCADF498583DD25084"/>
    <w:rsid w:val="00244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29D75-DB45-4BF6-9812-9BD7FD80B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CF186F-389C-443F-BD6A-3151FEDF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EDD785CF.dotm</Template>
  <TotalTime>824</TotalTime>
  <Pages>7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19</cp:revision>
  <cp:lastPrinted>2018-10-22T22:41:00Z</cp:lastPrinted>
  <dcterms:created xsi:type="dcterms:W3CDTF">2019-09-04T04:51:00Z</dcterms:created>
  <dcterms:modified xsi:type="dcterms:W3CDTF">2020-01-15T03:34:00Z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