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675A41A7" w14:textId="77777777" w:rsidR="00BD499F" w:rsidRPr="004C23F4" w:rsidRDefault="002021CE" w:rsidP="00B40C60">
          <w:pPr>
            <w:pStyle w:val="Heading1"/>
            <w:jc w:val="center"/>
            <w:rPr>
              <w:rFonts w:ascii="Arial" w:hAnsi="Arial" w:cs="Arial"/>
            </w:rPr>
          </w:pPr>
          <w:r w:rsidRPr="002021CE">
            <w:rPr>
              <w:rFonts w:ascii="Arial" w:hAnsi="Arial" w:cs="Arial"/>
            </w:rPr>
            <w:t>Isophorone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0"/>
        <w:gridCol w:w="5046"/>
      </w:tblGrid>
      <w:tr w:rsidR="00F43AD5" w:rsidRPr="004C23F4" w14:paraId="4A578518" w14:textId="77777777" w:rsidTr="00B76A41">
        <w:trPr>
          <w:cantSplit/>
          <w:tblHeader/>
        </w:trPr>
        <w:tc>
          <w:tcPr>
            <w:tcW w:w="4077" w:type="dxa"/>
          </w:tcPr>
          <w:p w14:paraId="0C958D2C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60557ADE" w14:textId="77777777" w:rsidR="00F43AD5" w:rsidRPr="00717D45" w:rsidRDefault="002021CE" w:rsidP="00B76A41">
            <w:pPr>
              <w:pStyle w:val="Tablefont"/>
            </w:pPr>
            <w:r w:rsidRPr="002021CE">
              <w:t>78-59-1</w:t>
            </w:r>
          </w:p>
        </w:tc>
      </w:tr>
      <w:tr w:rsidR="00F43AD5" w:rsidRPr="004C23F4" w14:paraId="37C53DCE" w14:textId="77777777" w:rsidTr="00B76A41">
        <w:trPr>
          <w:cantSplit/>
        </w:trPr>
        <w:tc>
          <w:tcPr>
            <w:tcW w:w="4077" w:type="dxa"/>
          </w:tcPr>
          <w:p w14:paraId="1A99B985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166EE7F4" w14:textId="77777777" w:rsidR="00F43AD5" w:rsidRPr="00717D45" w:rsidRDefault="002021CE" w:rsidP="00B76A41">
            <w:pPr>
              <w:pStyle w:val="Tablefont"/>
            </w:pPr>
            <w:proofErr w:type="spellStart"/>
            <w:r>
              <w:t>Isoacetophorone</w:t>
            </w:r>
            <w:proofErr w:type="spellEnd"/>
            <w:r>
              <w:t xml:space="preserve">, </w:t>
            </w:r>
            <w:proofErr w:type="spellStart"/>
            <w:r>
              <w:t>isoforon</w:t>
            </w:r>
            <w:proofErr w:type="spellEnd"/>
            <w:r>
              <w:t xml:space="preserve">, </w:t>
            </w:r>
            <w:r>
              <w:rPr>
                <w:rFonts w:cs="Arial"/>
              </w:rPr>
              <w:t>α</w:t>
            </w:r>
            <w:r>
              <w:t>-</w:t>
            </w:r>
            <w:proofErr w:type="spellStart"/>
            <w:r>
              <w:t>isophorone</w:t>
            </w:r>
            <w:proofErr w:type="spellEnd"/>
            <w:r>
              <w:t xml:space="preserve">, </w:t>
            </w:r>
            <w:r w:rsidR="00DD5D06">
              <w:br/>
            </w:r>
            <w:r>
              <w:t>3,5,5-t</w:t>
            </w:r>
            <w:r w:rsidR="00E30587">
              <w:t>rimethyl-2-cyclohexen-1-one</w:t>
            </w:r>
          </w:p>
        </w:tc>
      </w:tr>
      <w:tr w:rsidR="00F43AD5" w:rsidRPr="004C23F4" w14:paraId="3DFDFEEE" w14:textId="77777777" w:rsidTr="00B76A41">
        <w:trPr>
          <w:cantSplit/>
        </w:trPr>
        <w:tc>
          <w:tcPr>
            <w:tcW w:w="4077" w:type="dxa"/>
          </w:tcPr>
          <w:p w14:paraId="24E0CA39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5EBAC3FF" w14:textId="77777777" w:rsidR="00F43AD5" w:rsidRPr="00717D45" w:rsidRDefault="00E30587" w:rsidP="00B76A41">
            <w:pPr>
              <w:pStyle w:val="Tablefont"/>
            </w:pPr>
            <w:r>
              <w:t>C</w:t>
            </w:r>
            <w:r w:rsidRPr="00E30587">
              <w:rPr>
                <w:vertAlign w:val="subscript"/>
              </w:rPr>
              <w:t>9</w:t>
            </w:r>
            <w:r>
              <w:t>H</w:t>
            </w:r>
            <w:r w:rsidRPr="00E30587">
              <w:rPr>
                <w:vertAlign w:val="subscript"/>
              </w:rPr>
              <w:t>14</w:t>
            </w:r>
            <w:r>
              <w:t>O</w:t>
            </w:r>
          </w:p>
        </w:tc>
      </w:tr>
      <w:tr w:rsidR="00F43AD5" w:rsidRPr="004C23F4" w14:paraId="72D62072" w14:textId="77777777" w:rsidTr="00B76A41">
        <w:trPr>
          <w:cantSplit/>
        </w:trPr>
        <w:tc>
          <w:tcPr>
            <w:tcW w:w="4077" w:type="dxa"/>
          </w:tcPr>
          <w:p w14:paraId="5429BC83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6031D570" w14:textId="77777777" w:rsidR="00F43AD5" w:rsidRPr="00E30587" w:rsidRDefault="00E30587" w:rsidP="00B76A41">
            <w:pPr>
              <w:pStyle w:val="Tablerowheading"/>
              <w:rPr>
                <w:b w:val="0"/>
              </w:rPr>
            </w:pPr>
            <w:r w:rsidRPr="00E30587">
              <w:rPr>
                <w:b w:val="0"/>
              </w:rPr>
              <w:t>—</w:t>
            </w:r>
          </w:p>
        </w:tc>
      </w:tr>
    </w:tbl>
    <w:p w14:paraId="1BA7B1CC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0C1E48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575D3D58" w14:textId="77777777" w:rsidTr="00237FBC">
        <w:trPr>
          <w:cantSplit/>
          <w:tblHeader/>
        </w:trPr>
        <w:tc>
          <w:tcPr>
            <w:tcW w:w="4005" w:type="dxa"/>
            <w:vAlign w:val="center"/>
          </w:tcPr>
          <w:p w14:paraId="0B5CA6AB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7C72B380" w14:textId="77777777" w:rsidR="002C7AFE" w:rsidRPr="00EB3D1B" w:rsidRDefault="00DD70DE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4EFE46B0" w14:textId="77777777" w:rsidTr="00237FBC">
        <w:trPr>
          <w:cantSplit/>
        </w:trPr>
        <w:tc>
          <w:tcPr>
            <w:tcW w:w="4005" w:type="dxa"/>
            <w:vAlign w:val="center"/>
          </w:tcPr>
          <w:p w14:paraId="2F073EF3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4406ABEC" w14:textId="77777777" w:rsidR="002C7AFE" w:rsidRPr="00EB3D1B" w:rsidRDefault="00DD70DE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18BE597D" w14:textId="77777777" w:rsidTr="00237FBC">
        <w:trPr>
          <w:cantSplit/>
        </w:trPr>
        <w:tc>
          <w:tcPr>
            <w:tcW w:w="4005" w:type="dxa"/>
            <w:vAlign w:val="center"/>
          </w:tcPr>
          <w:p w14:paraId="0BEAB27F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45CE5C79" w14:textId="77777777" w:rsidR="002C7AFE" w:rsidRPr="00DD70DE" w:rsidRDefault="00DD70DE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5 ppm (28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14:paraId="3A30CBDB" w14:textId="77777777" w:rsidTr="00237FBC">
        <w:trPr>
          <w:cantSplit/>
        </w:trPr>
        <w:tc>
          <w:tcPr>
            <w:tcW w:w="4005" w:type="dxa"/>
          </w:tcPr>
          <w:p w14:paraId="597BC77B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7CA0A6ED" w14:textId="77777777" w:rsidR="002C7AFE" w:rsidRPr="00EB3D1B" w:rsidRDefault="00DD70DE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Carc. 2</w:t>
            </w:r>
          </w:p>
        </w:tc>
      </w:tr>
      <w:tr w:rsidR="002C7AFE" w:rsidRPr="004C23F4" w14:paraId="6187F78E" w14:textId="77777777" w:rsidTr="00237FBC">
        <w:trPr>
          <w:cantSplit/>
        </w:trPr>
        <w:tc>
          <w:tcPr>
            <w:tcW w:w="4005" w:type="dxa"/>
            <w:vAlign w:val="center"/>
          </w:tcPr>
          <w:p w14:paraId="7D0970D7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6E3AD19A" w14:textId="77777777" w:rsidR="002C7AFE" w:rsidRPr="00EB3D1B" w:rsidRDefault="00E30587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200 ppm</w:t>
            </w:r>
          </w:p>
        </w:tc>
      </w:tr>
      <w:tr w:rsidR="00237FBC" w:rsidRPr="004C23F4" w14:paraId="489E6F93" w14:textId="77777777" w:rsidTr="00D77F76">
        <w:trPr>
          <w:cantSplit/>
        </w:trPr>
        <w:tc>
          <w:tcPr>
            <w:tcW w:w="9026" w:type="dxa"/>
            <w:gridSpan w:val="2"/>
            <w:vAlign w:val="center"/>
          </w:tcPr>
          <w:p w14:paraId="3830F11B" w14:textId="77777777" w:rsidR="00237FBC" w:rsidRPr="00EB3D1B" w:rsidRDefault="00237FBC" w:rsidP="00017C82">
            <w:pPr>
              <w:pStyle w:val="Tablefont"/>
              <w:rPr>
                <w:b/>
              </w:rPr>
            </w:pPr>
            <w:r w:rsidRPr="00237FBC">
              <w:rPr>
                <w:b/>
              </w:rPr>
              <w:t>Sampling and analysis:</w:t>
            </w:r>
            <w:r w:rsidRPr="00237FBC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0A86911499BA40C9AF2CDFCD8D89CC89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012B4148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737429B1" w14:textId="77777777" w:rsidR="006639B4" w:rsidRPr="004C23F4" w:rsidRDefault="00DD70DE" w:rsidP="000C139A">
      <w:pPr>
        <w:rPr>
          <w:rFonts w:cs="Arial"/>
        </w:rPr>
      </w:pPr>
      <w:r w:rsidRPr="00DD70DE">
        <w:rPr>
          <w:rFonts w:cs="Arial"/>
        </w:rPr>
        <w:t xml:space="preserve">A peak limitation of </w:t>
      </w:r>
      <w:r>
        <w:rPr>
          <w:rFonts w:cs="Arial"/>
        </w:rPr>
        <w:t xml:space="preserve">5 </w:t>
      </w:r>
      <w:r w:rsidRPr="00DD70DE">
        <w:rPr>
          <w:rFonts w:cs="Arial"/>
        </w:rPr>
        <w:t>ppm (</w:t>
      </w:r>
      <w:r>
        <w:rPr>
          <w:rFonts w:cs="Arial"/>
        </w:rPr>
        <w:t xml:space="preserve">28 </w:t>
      </w:r>
      <w:r w:rsidRPr="00DD70DE">
        <w:rPr>
          <w:rFonts w:cs="Arial"/>
        </w:rPr>
        <w:t>mg/m</w:t>
      </w:r>
      <w:r w:rsidRPr="00DD70DE">
        <w:rPr>
          <w:rFonts w:cs="Arial"/>
          <w:vertAlign w:val="superscript"/>
        </w:rPr>
        <w:t>3</w:t>
      </w:r>
      <w:r w:rsidRPr="00DD70DE">
        <w:rPr>
          <w:rFonts w:cs="Arial"/>
        </w:rPr>
        <w:t xml:space="preserve">) is recommended to protect for </w:t>
      </w:r>
      <w:r w:rsidR="00DD5D06">
        <w:rPr>
          <w:rFonts w:cs="Arial"/>
        </w:rPr>
        <w:t xml:space="preserve">acute </w:t>
      </w:r>
      <w:r w:rsidRPr="00DD70DE">
        <w:rPr>
          <w:rFonts w:cs="Arial"/>
        </w:rPr>
        <w:t xml:space="preserve">eye and </w:t>
      </w:r>
      <w:r>
        <w:rPr>
          <w:rFonts w:cs="Arial"/>
        </w:rPr>
        <w:t xml:space="preserve">upper </w:t>
      </w:r>
      <w:r w:rsidRPr="00DD70DE">
        <w:rPr>
          <w:rFonts w:cs="Arial"/>
        </w:rPr>
        <w:t>respiratory tract irritation</w:t>
      </w:r>
      <w:r w:rsidR="00DD5D06">
        <w:rPr>
          <w:rFonts w:cs="Arial"/>
        </w:rPr>
        <w:t>,</w:t>
      </w:r>
      <w:r>
        <w:rPr>
          <w:rFonts w:cs="Arial"/>
        </w:rPr>
        <w:t xml:space="preserve"> nausea and fatigue </w:t>
      </w:r>
      <w:r w:rsidRPr="00DD70DE">
        <w:rPr>
          <w:rFonts w:cs="Arial"/>
        </w:rPr>
        <w:t>in exposed workers.</w:t>
      </w:r>
    </w:p>
    <w:p w14:paraId="4A705088" w14:textId="77777777" w:rsidR="00C7155E" w:rsidRPr="004C23F4" w:rsidRDefault="00F10C97" w:rsidP="003365A5">
      <w:pPr>
        <w:pStyle w:val="Heading2"/>
      </w:pPr>
      <w:r>
        <w:t>Discussion and conclusions</w:t>
      </w:r>
    </w:p>
    <w:p w14:paraId="51CE3FB5" w14:textId="77777777" w:rsidR="00DD5D06" w:rsidRDefault="003E5156" w:rsidP="006639B4">
      <w:pPr>
        <w:rPr>
          <w:rFonts w:cs="Arial"/>
        </w:rPr>
      </w:pPr>
      <w:proofErr w:type="spellStart"/>
      <w:r>
        <w:rPr>
          <w:rFonts w:cs="Arial"/>
        </w:rPr>
        <w:t>Isophorone</w:t>
      </w:r>
      <w:proofErr w:type="spellEnd"/>
      <w:r>
        <w:rPr>
          <w:rFonts w:cs="Arial"/>
        </w:rPr>
        <w:t xml:space="preserve"> is used as a solvent and intermediate in pesticide production.</w:t>
      </w:r>
      <w:r w:rsidR="00856071">
        <w:rPr>
          <w:rFonts w:cs="Arial"/>
        </w:rPr>
        <w:t xml:space="preserve"> </w:t>
      </w:r>
    </w:p>
    <w:p w14:paraId="706ED579" w14:textId="03E6F854" w:rsidR="00DD5D06" w:rsidRDefault="00856071" w:rsidP="006639B4">
      <w:pPr>
        <w:rPr>
          <w:rFonts w:cs="Arial"/>
        </w:rPr>
      </w:pPr>
      <w:r>
        <w:rPr>
          <w:rFonts w:cs="Arial"/>
        </w:rPr>
        <w:t xml:space="preserve">Critical effects </w:t>
      </w:r>
      <w:r w:rsidR="00E365E2">
        <w:rPr>
          <w:rFonts w:cs="Arial"/>
        </w:rPr>
        <w:t xml:space="preserve">of exposure </w:t>
      </w:r>
      <w:r>
        <w:rPr>
          <w:rFonts w:cs="Arial"/>
        </w:rPr>
        <w:t xml:space="preserve">are </w:t>
      </w:r>
      <w:r w:rsidR="00E365E2">
        <w:rPr>
          <w:rFonts w:cs="Arial"/>
        </w:rPr>
        <w:t>eye</w:t>
      </w:r>
      <w:r>
        <w:rPr>
          <w:rFonts w:cs="Arial"/>
        </w:rPr>
        <w:t xml:space="preserve">, nose and throat </w:t>
      </w:r>
      <w:r w:rsidR="00E365E2">
        <w:rPr>
          <w:rFonts w:cs="Arial"/>
        </w:rPr>
        <w:t xml:space="preserve">irritation </w:t>
      </w:r>
      <w:r>
        <w:rPr>
          <w:rFonts w:cs="Arial"/>
        </w:rPr>
        <w:t>and at higher concentrations, nausea, malaise and fatigue.</w:t>
      </w:r>
      <w:r w:rsidR="00DD5D06">
        <w:rPr>
          <w:rFonts w:cs="Arial"/>
        </w:rPr>
        <w:t xml:space="preserve"> </w:t>
      </w:r>
      <w:r>
        <w:rPr>
          <w:rFonts w:cs="Arial"/>
        </w:rPr>
        <w:t xml:space="preserve">Workplace concentrations </w:t>
      </w:r>
      <w:r w:rsidR="00966618">
        <w:rPr>
          <w:rFonts w:cs="Arial"/>
        </w:rPr>
        <w:t>between</w:t>
      </w:r>
      <w:r>
        <w:rPr>
          <w:rFonts w:cs="Arial"/>
        </w:rPr>
        <w:t xml:space="preserve"> 5</w:t>
      </w:r>
      <w:r w:rsidR="00966618">
        <w:rPr>
          <w:rFonts w:cs="Arial"/>
        </w:rPr>
        <w:t xml:space="preserve"> and 8</w:t>
      </w:r>
      <w:r>
        <w:rPr>
          <w:rFonts w:cs="Arial"/>
        </w:rPr>
        <w:t xml:space="preserve"> ppm have been associated with complaints of nasal </w:t>
      </w:r>
      <w:r w:rsidR="00966618">
        <w:rPr>
          <w:rFonts w:cs="Arial"/>
        </w:rPr>
        <w:t xml:space="preserve">irritation and pre-narcotic symptoms such as </w:t>
      </w:r>
      <w:r w:rsidR="00CB4DD9">
        <w:rPr>
          <w:rFonts w:cs="Arial"/>
        </w:rPr>
        <w:t>malaise and fatigue</w:t>
      </w:r>
      <w:r w:rsidR="00DD5D06">
        <w:rPr>
          <w:rFonts w:cs="Arial"/>
        </w:rPr>
        <w:t>. These results are consistent with those reported in</w:t>
      </w:r>
      <w:r w:rsidR="00CB4DD9">
        <w:rPr>
          <w:rFonts w:cs="Arial"/>
        </w:rPr>
        <w:t xml:space="preserve"> volunteer acute inhalation studies (ACGIH, 2018, Nordic Council, 1991). The severity of symptoms increases rapidly with </w:t>
      </w:r>
      <w:r w:rsidR="00E365E2">
        <w:rPr>
          <w:rFonts w:cs="Arial"/>
        </w:rPr>
        <w:t xml:space="preserve">increased </w:t>
      </w:r>
      <w:r w:rsidR="00CB4DD9">
        <w:rPr>
          <w:rFonts w:cs="Arial"/>
        </w:rPr>
        <w:t>concentration</w:t>
      </w:r>
      <w:r w:rsidR="00E365E2">
        <w:rPr>
          <w:rFonts w:cs="Arial"/>
        </w:rPr>
        <w:t xml:space="preserve"> with</w:t>
      </w:r>
      <w:r w:rsidR="00CB4DD9">
        <w:rPr>
          <w:rFonts w:cs="Arial"/>
        </w:rPr>
        <w:t xml:space="preserve"> the maximal tolerable exposure</w:t>
      </w:r>
      <w:r w:rsidR="00966618">
        <w:rPr>
          <w:rFonts w:cs="Arial"/>
        </w:rPr>
        <w:t xml:space="preserve"> in humans</w:t>
      </w:r>
      <w:r w:rsidR="00CB4DD9">
        <w:rPr>
          <w:rFonts w:cs="Arial"/>
        </w:rPr>
        <w:t xml:space="preserve"> over </w:t>
      </w:r>
      <w:r w:rsidR="00E81A90">
        <w:rPr>
          <w:rFonts w:cs="Arial"/>
        </w:rPr>
        <w:t>eight</w:t>
      </w:r>
      <w:r w:rsidR="00CB4DD9">
        <w:rPr>
          <w:rFonts w:cs="Arial"/>
        </w:rPr>
        <w:t xml:space="preserve"> hours </w:t>
      </w:r>
      <w:r w:rsidR="00966618">
        <w:rPr>
          <w:rFonts w:cs="Arial"/>
        </w:rPr>
        <w:t xml:space="preserve">reported </w:t>
      </w:r>
      <w:r w:rsidR="00E365E2">
        <w:rPr>
          <w:rFonts w:cs="Arial"/>
        </w:rPr>
        <w:t>as</w:t>
      </w:r>
      <w:r w:rsidR="00CB4DD9">
        <w:rPr>
          <w:rFonts w:cs="Arial"/>
        </w:rPr>
        <w:t xml:space="preserve"> 10 ppm</w:t>
      </w:r>
      <w:r w:rsidR="00DD5D06">
        <w:rPr>
          <w:rFonts w:cs="Arial"/>
        </w:rPr>
        <w:t xml:space="preserve">. This concentration is </w:t>
      </w:r>
      <w:r w:rsidR="00CC68D0">
        <w:rPr>
          <w:rFonts w:cs="Arial"/>
        </w:rPr>
        <w:t xml:space="preserve">also </w:t>
      </w:r>
      <w:r w:rsidR="00DD5D06">
        <w:rPr>
          <w:rFonts w:cs="Arial"/>
        </w:rPr>
        <w:t>associated with reports of</w:t>
      </w:r>
      <w:r w:rsidR="00966618">
        <w:rPr>
          <w:rFonts w:cs="Arial"/>
        </w:rPr>
        <w:t xml:space="preserve"> fatigue</w:t>
      </w:r>
      <w:r w:rsidR="00DD5D06">
        <w:rPr>
          <w:rFonts w:cs="Arial"/>
        </w:rPr>
        <w:t>.</w:t>
      </w:r>
      <w:r w:rsidR="00966618">
        <w:rPr>
          <w:rFonts w:cs="Arial"/>
        </w:rPr>
        <w:t xml:space="preserve"> </w:t>
      </w:r>
      <w:r w:rsidR="00DD5D06">
        <w:rPr>
          <w:rFonts w:cs="Arial"/>
        </w:rPr>
        <w:t>At</w:t>
      </w:r>
      <w:r w:rsidR="00AF2747">
        <w:rPr>
          <w:rFonts w:cs="Arial"/>
        </w:rPr>
        <w:t xml:space="preserve"> </w:t>
      </w:r>
      <w:r w:rsidR="00966618">
        <w:rPr>
          <w:rFonts w:cs="Arial"/>
        </w:rPr>
        <w:t>25</w:t>
      </w:r>
      <w:r w:rsidR="00E81A90">
        <w:rPr>
          <w:rFonts w:cs="Arial"/>
        </w:rPr>
        <w:t xml:space="preserve"> </w:t>
      </w:r>
      <w:r w:rsidR="00CB4DD9">
        <w:rPr>
          <w:rFonts w:cs="Arial"/>
        </w:rPr>
        <w:t>ppm</w:t>
      </w:r>
      <w:r w:rsidR="00DD5D06">
        <w:rPr>
          <w:rFonts w:cs="Arial"/>
        </w:rPr>
        <w:t>,</w:t>
      </w:r>
      <w:r w:rsidR="00CB4DD9">
        <w:rPr>
          <w:rFonts w:cs="Arial"/>
        </w:rPr>
        <w:t xml:space="preserve"> immediate local irritation </w:t>
      </w:r>
      <w:r w:rsidR="00DD5D06">
        <w:rPr>
          <w:rFonts w:cs="Arial"/>
        </w:rPr>
        <w:t xml:space="preserve">is reported </w:t>
      </w:r>
      <w:r w:rsidR="00CB4DD9">
        <w:rPr>
          <w:rFonts w:cs="Arial"/>
        </w:rPr>
        <w:t xml:space="preserve">(ACGIH, 2018). </w:t>
      </w:r>
    </w:p>
    <w:p w14:paraId="6700712D" w14:textId="4F6DEC49" w:rsidR="00856071" w:rsidRDefault="00CB4DD9" w:rsidP="006639B4">
      <w:pPr>
        <w:rPr>
          <w:rFonts w:cs="Arial"/>
        </w:rPr>
      </w:pPr>
      <w:r>
        <w:rPr>
          <w:rFonts w:cs="Arial"/>
        </w:rPr>
        <w:t xml:space="preserve">In view of the </w:t>
      </w:r>
      <w:r w:rsidR="00966618">
        <w:rPr>
          <w:rFonts w:cs="Arial"/>
        </w:rPr>
        <w:t>sensitivity</w:t>
      </w:r>
      <w:r>
        <w:rPr>
          <w:rFonts w:cs="Arial"/>
        </w:rPr>
        <w:t xml:space="preserve"> of </w:t>
      </w:r>
      <w:r w:rsidR="00DD5D06">
        <w:rPr>
          <w:rFonts w:cs="Arial"/>
        </w:rPr>
        <w:t>irritation</w:t>
      </w:r>
      <w:r w:rsidR="00966618">
        <w:rPr>
          <w:rFonts w:cs="Arial"/>
        </w:rPr>
        <w:t xml:space="preserve"> and pre-narcotic endpoints</w:t>
      </w:r>
      <w:r w:rsidR="00DD5D06">
        <w:rPr>
          <w:rFonts w:cs="Arial"/>
        </w:rPr>
        <w:t xml:space="preserve"> and the suggested steep dose-response curve</w:t>
      </w:r>
      <w:r w:rsidR="00966618">
        <w:rPr>
          <w:rFonts w:cs="Arial"/>
        </w:rPr>
        <w:t>,</w:t>
      </w:r>
      <w:r w:rsidR="00E365E2">
        <w:rPr>
          <w:rFonts w:cs="Arial"/>
        </w:rPr>
        <w:t xml:space="preserve"> it is recommended that</w:t>
      </w:r>
      <w:r>
        <w:rPr>
          <w:rFonts w:cs="Arial"/>
        </w:rPr>
        <w:t xml:space="preserve"> </w:t>
      </w:r>
      <w:r w:rsidR="00DD5D06">
        <w:rPr>
          <w:rFonts w:cs="Arial"/>
        </w:rPr>
        <w:t>the</w:t>
      </w:r>
      <w:r w:rsidR="00966618">
        <w:rPr>
          <w:rFonts w:cs="Arial"/>
        </w:rPr>
        <w:t xml:space="preserve"> peak limitation </w:t>
      </w:r>
      <w:r w:rsidR="00DD5D06">
        <w:rPr>
          <w:rFonts w:cs="Arial"/>
        </w:rPr>
        <w:t xml:space="preserve">of 5 ppm </w:t>
      </w:r>
      <w:r w:rsidR="00DD5D06" w:rsidRPr="00550317">
        <w:rPr>
          <w:rFonts w:cs="Arial"/>
          <w:szCs w:val="20"/>
        </w:rPr>
        <w:t xml:space="preserve">(28 </w:t>
      </w:r>
      <w:r w:rsidR="00DD5D06" w:rsidRPr="00CC68D0">
        <w:rPr>
          <w:rFonts w:cs="Arial"/>
          <w:szCs w:val="20"/>
        </w:rPr>
        <w:t>mg/m</w:t>
      </w:r>
      <w:r w:rsidR="00DD5D06" w:rsidRPr="00CC68D0">
        <w:rPr>
          <w:rFonts w:cs="Arial"/>
          <w:szCs w:val="20"/>
          <w:vertAlign w:val="superscript"/>
        </w:rPr>
        <w:t>3</w:t>
      </w:r>
      <w:r w:rsidR="00DD5D06" w:rsidRPr="00550317">
        <w:rPr>
          <w:rFonts w:cs="Arial"/>
          <w:szCs w:val="20"/>
        </w:rPr>
        <w:t>)</w:t>
      </w:r>
      <w:r w:rsidR="00DD5D06">
        <w:rPr>
          <w:rFonts w:cs="Arial"/>
        </w:rPr>
        <w:t xml:space="preserve"> </w:t>
      </w:r>
      <w:r w:rsidR="00450958">
        <w:rPr>
          <w:rFonts w:cs="Arial"/>
        </w:rPr>
        <w:t>be retained</w:t>
      </w:r>
      <w:r w:rsidR="00966618">
        <w:rPr>
          <w:rFonts w:cs="Arial"/>
        </w:rPr>
        <w:t>.</w:t>
      </w:r>
      <w:r w:rsidR="00CC68D0">
        <w:rPr>
          <w:rFonts w:cs="Arial"/>
        </w:rPr>
        <w:t xml:space="preserve"> </w:t>
      </w:r>
      <w:r w:rsidR="00E365E2">
        <w:rPr>
          <w:rFonts w:cs="Arial"/>
        </w:rPr>
        <w:t>A</w:t>
      </w:r>
      <w:r w:rsidR="00CC68D0">
        <w:rPr>
          <w:rFonts w:cs="Arial"/>
        </w:rPr>
        <w:t xml:space="preserve"> peak limitation is expected to protect for adverse effects in exposed workers.  </w:t>
      </w:r>
    </w:p>
    <w:p w14:paraId="1702ACAF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5CA7672D" w14:textId="77777777" w:rsidR="00E30587" w:rsidRDefault="002A339C" w:rsidP="00E30587">
      <w:pPr>
        <w:rPr>
          <w:rFonts w:cs="Arial"/>
        </w:rPr>
      </w:pPr>
      <w:r w:rsidRPr="002A339C">
        <w:rPr>
          <w:rFonts w:cs="Arial"/>
        </w:rPr>
        <w:t xml:space="preserve">Classified as a category </w:t>
      </w:r>
      <w:r>
        <w:rPr>
          <w:rFonts w:cs="Arial"/>
        </w:rPr>
        <w:t>2</w:t>
      </w:r>
      <w:r w:rsidRPr="002A339C">
        <w:rPr>
          <w:rFonts w:cs="Arial"/>
        </w:rPr>
        <w:t xml:space="preserve"> carcinogen according to the Globally Harmonized System of Classification a</w:t>
      </w:r>
      <w:r>
        <w:rPr>
          <w:rFonts w:cs="Arial"/>
        </w:rPr>
        <w:t>nd Labelling of Chemicals (GHS</w:t>
      </w:r>
      <w:r w:rsidR="00E30587">
        <w:rPr>
          <w:rFonts w:cs="Arial"/>
        </w:rPr>
        <w:t xml:space="preserve">). </w:t>
      </w:r>
      <w:r w:rsidR="00DD5D06">
        <w:rPr>
          <w:rFonts w:cs="Arial"/>
        </w:rPr>
        <w:t>Renal carcinogenicity is demonstrated in male rats, which warrants a category 2 carcinogenicity notation. However, this effect is attributed to species-specific metabolism that has questionable relevance to human exposure (ACGIH, 2018; OECD, 2003).</w:t>
      </w:r>
    </w:p>
    <w:p w14:paraId="1D2E0CA1" w14:textId="77777777" w:rsidR="00E30587" w:rsidRDefault="00E30587" w:rsidP="00E30587">
      <w:pPr>
        <w:rPr>
          <w:rFonts w:cs="Arial"/>
        </w:rPr>
      </w:pPr>
      <w:r>
        <w:rPr>
          <w:rFonts w:cs="Arial"/>
        </w:rPr>
        <w:t>Not classified as a skin</w:t>
      </w:r>
      <w:r w:rsidR="00E81A90">
        <w:rPr>
          <w:rFonts w:cs="Arial"/>
        </w:rPr>
        <w:t xml:space="preserve"> sensitiser</w:t>
      </w:r>
      <w:r>
        <w:rPr>
          <w:rFonts w:cs="Arial"/>
        </w:rPr>
        <w:t xml:space="preserve"> or respiratory sensitiser according to the GHS.</w:t>
      </w:r>
    </w:p>
    <w:p w14:paraId="0AA749D1" w14:textId="77777777" w:rsidR="00E30587" w:rsidRDefault="000B119F" w:rsidP="00E30587">
      <w:pPr>
        <w:rPr>
          <w:rFonts w:cs="Arial"/>
        </w:rPr>
      </w:pPr>
      <w:r>
        <w:rPr>
          <w:rFonts w:cs="Arial"/>
        </w:rPr>
        <w:lastRenderedPageBreak/>
        <w:t xml:space="preserve">There </w:t>
      </w:r>
      <w:r w:rsidR="00644E94">
        <w:rPr>
          <w:rFonts w:cs="Arial"/>
        </w:rPr>
        <w:t xml:space="preserve">are </w:t>
      </w:r>
      <w:r>
        <w:rPr>
          <w:rFonts w:cs="Arial"/>
        </w:rPr>
        <w:t>i</w:t>
      </w:r>
      <w:r w:rsidR="00E30587">
        <w:rPr>
          <w:rFonts w:cs="Arial"/>
        </w:rPr>
        <w:t xml:space="preserve">nsufficient </w:t>
      </w:r>
      <w:r>
        <w:rPr>
          <w:rFonts w:cs="Arial"/>
        </w:rPr>
        <w:t xml:space="preserve">data </w:t>
      </w:r>
      <w:r w:rsidR="00E30587">
        <w:rPr>
          <w:rFonts w:cs="Arial"/>
        </w:rPr>
        <w:t>to recommend a skin notation.</w:t>
      </w:r>
    </w:p>
    <w:p w14:paraId="4EC79BC9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5AB04516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37573961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640EEB65" w14:textId="77777777" w:rsidTr="00DD5D06">
        <w:trPr>
          <w:gridAfter w:val="1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284116A8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04146024" w14:textId="77777777" w:rsidTr="00DD5D06">
        <w:tc>
          <w:tcPr>
            <w:tcW w:w="5000" w:type="pct"/>
            <w:gridSpan w:val="2"/>
            <w:shd w:val="clear" w:color="auto" w:fill="F2F2F2" w:themeFill="background1" w:themeFillShade="F2"/>
          </w:tcPr>
          <w:p w14:paraId="2B695CA8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E30587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E30587">
                  <w:t>Peak limitation: 5 ppm (28 mg/m</w:t>
                </w:r>
                <w:r w:rsidR="00E30587" w:rsidRPr="00E30587">
                  <w:rPr>
                    <w:vertAlign w:val="superscript"/>
                  </w:rPr>
                  <w:t>3</w:t>
                </w:r>
                <w:r w:rsidR="00E30587">
                  <w:t>)</w:t>
                </w:r>
              </w:sdtContent>
            </w:sdt>
          </w:p>
        </w:tc>
      </w:tr>
      <w:tr w:rsidR="00C978F0" w:rsidRPr="00DA352E" w14:paraId="014EF84D" w14:textId="77777777" w:rsidTr="00DD5D06">
        <w:trPr>
          <w:gridAfter w:val="1"/>
          <w:wAfter w:w="8" w:type="pct"/>
        </w:trPr>
        <w:tc>
          <w:tcPr>
            <w:tcW w:w="4992" w:type="pct"/>
          </w:tcPr>
          <w:p w14:paraId="1CB90704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698B7D82" w14:textId="77777777" w:rsidTr="00DD5D06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4D985F43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E30587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E30587">
                  <w:t>TLV-</w:t>
                </w:r>
                <w:r w:rsidR="00960AB1">
                  <w:t>Ceiling</w:t>
                </w:r>
                <w:r w:rsidR="00E30587">
                  <w:t>: 5 ppm (28 mg/m</w:t>
                </w:r>
                <w:r w:rsidR="00E30587" w:rsidRPr="00E30587">
                  <w:rPr>
                    <w:vertAlign w:val="superscript"/>
                  </w:rPr>
                  <w:t>3</w:t>
                </w:r>
                <w:r w:rsidR="00E30587">
                  <w:t>)</w:t>
                </w:r>
              </w:sdtContent>
            </w:sdt>
          </w:p>
        </w:tc>
      </w:tr>
      <w:tr w:rsidR="00C978F0" w:rsidRPr="00DA352E" w14:paraId="5CDAAAE6" w14:textId="77777777" w:rsidTr="00DD5D06">
        <w:trPr>
          <w:gridAfter w:val="1"/>
          <w:wAfter w:w="8" w:type="pct"/>
        </w:trPr>
        <w:tc>
          <w:tcPr>
            <w:tcW w:w="4992" w:type="pct"/>
          </w:tcPr>
          <w:p w14:paraId="275AC64F" w14:textId="77777777" w:rsidR="00DD5D06" w:rsidRDefault="003E5156" w:rsidP="003365A5">
            <w:pPr>
              <w:pStyle w:val="Tabletextprimarysource"/>
            </w:pPr>
            <w:r>
              <w:t>TLV-</w:t>
            </w:r>
            <w:r w:rsidR="00960AB1">
              <w:t>Ceiling</w:t>
            </w:r>
            <w:r>
              <w:t xml:space="preserve"> intended to protect for irritation of the eyes, nose and throat, nausea, malaise and fatigue. </w:t>
            </w:r>
          </w:p>
          <w:p w14:paraId="6076959F" w14:textId="77777777" w:rsidR="00C978F0" w:rsidRDefault="00E11A79" w:rsidP="003365A5">
            <w:pPr>
              <w:pStyle w:val="Tabletextprimarysource"/>
            </w:pPr>
            <w:r>
              <w:t>Assigned as a c</w:t>
            </w:r>
            <w:r w:rsidR="003E5156">
              <w:t>onfirmed animal carcinogen with unknown relevance to humans.</w:t>
            </w:r>
          </w:p>
          <w:p w14:paraId="4056D532" w14:textId="77777777" w:rsidR="003E5156" w:rsidRDefault="003E5156" w:rsidP="003365A5">
            <w:pPr>
              <w:pStyle w:val="Tabletextprimarysource"/>
            </w:pPr>
            <w:r>
              <w:t>Summary of data:</w:t>
            </w:r>
          </w:p>
          <w:p w14:paraId="5E3DB03C" w14:textId="77777777" w:rsidR="00DD5D06" w:rsidRDefault="004E4372" w:rsidP="003365A5">
            <w:pPr>
              <w:pStyle w:val="Tabletextprimarysource"/>
            </w:pPr>
            <w:r>
              <w:t xml:space="preserve">TLV-Ceiling based </w:t>
            </w:r>
            <w:r w:rsidR="000B119F">
              <w:t>on</w:t>
            </w:r>
            <w:r>
              <w:t xml:space="preserve"> 5–8 ppm associated with fatigue and malaise and</w:t>
            </w:r>
            <w:r w:rsidR="00DD5D06">
              <w:t xml:space="preserve"> no complaints at</w:t>
            </w:r>
            <w:r>
              <w:t xml:space="preserve"> 1–4 ppm</w:t>
            </w:r>
            <w:r w:rsidR="00E11A79">
              <w:t xml:space="preserve">. </w:t>
            </w:r>
          </w:p>
          <w:p w14:paraId="7F9EDC2A" w14:textId="77777777" w:rsidR="00DD5D06" w:rsidRDefault="00E11A79" w:rsidP="003365A5">
            <w:pPr>
              <w:pStyle w:val="Tabletextprimarysource"/>
            </w:pPr>
            <w:r>
              <w:t xml:space="preserve">Equivocal evidence for carcinogenicity reported in rats disregarded by agency due to established rat-specific metabolism that results in nephropathy. </w:t>
            </w:r>
          </w:p>
          <w:p w14:paraId="0C712674" w14:textId="77777777" w:rsidR="003E5156" w:rsidRDefault="00E11A79" w:rsidP="003365A5">
            <w:pPr>
              <w:pStyle w:val="Tabletextprimarysource"/>
            </w:pPr>
            <w:r>
              <w:t xml:space="preserve">Genotoxicity studies do not indicate a genotoxic mechanism of action for the observed carcinogenicity in rats. </w:t>
            </w:r>
          </w:p>
          <w:p w14:paraId="6BDCF8E5" w14:textId="77777777" w:rsidR="003E5156" w:rsidRDefault="003E5156" w:rsidP="003365A5">
            <w:pPr>
              <w:pStyle w:val="Tabletextprimarysource"/>
            </w:pPr>
            <w:r>
              <w:t>Human data:</w:t>
            </w:r>
          </w:p>
          <w:p w14:paraId="17455158" w14:textId="35E3C003" w:rsidR="00DD5D06" w:rsidRDefault="006A3CAF" w:rsidP="003E5156">
            <w:pPr>
              <w:pStyle w:val="Tabletextprimarysource"/>
              <w:numPr>
                <w:ilvl w:val="0"/>
                <w:numId w:val="1"/>
              </w:numPr>
            </w:pPr>
            <w:r>
              <w:t>Eye nose and throat irritation at 40–400 ppm</w:t>
            </w:r>
            <w:r w:rsidR="00F70D73">
              <w:t>:</w:t>
            </w:r>
            <w:r>
              <w:t xml:space="preserve"> </w:t>
            </w:r>
          </w:p>
          <w:p w14:paraId="594E6307" w14:textId="77777777" w:rsidR="003E5156" w:rsidRDefault="00960AB1" w:rsidP="00DD5D06">
            <w:pPr>
              <w:pStyle w:val="Tabletextprimarysource"/>
              <w:numPr>
                <w:ilvl w:val="1"/>
                <w:numId w:val="1"/>
              </w:numPr>
              <w:ind w:left="1154" w:hanging="425"/>
            </w:pPr>
            <w:r>
              <w:t xml:space="preserve">nausea, headache, dizziness, inebriation and sensation of suffocation at 200 and </w:t>
            </w:r>
            <w:r w:rsidR="00DD5D06">
              <w:t>400 </w:t>
            </w:r>
            <w:r>
              <w:t>ppm (no further details provided)</w:t>
            </w:r>
          </w:p>
          <w:p w14:paraId="2F39D704" w14:textId="7EE9384B" w:rsidR="00960AB1" w:rsidRDefault="00960AB1" w:rsidP="003E5156">
            <w:pPr>
              <w:pStyle w:val="Tabletextprimarysource"/>
              <w:numPr>
                <w:ilvl w:val="0"/>
                <w:numId w:val="1"/>
              </w:numPr>
            </w:pPr>
            <w:r>
              <w:t>Irritating to eyes, nose and throat at 25 ppm in unconditioned volunteers (15 min)</w:t>
            </w:r>
            <w:r w:rsidR="00F70D73">
              <w:t>:</w:t>
            </w:r>
          </w:p>
          <w:p w14:paraId="58FA7544" w14:textId="77777777" w:rsidR="00DD5D06" w:rsidRDefault="000B119F" w:rsidP="000B119F">
            <w:pPr>
              <w:pStyle w:val="Tabletextprimarysource"/>
              <w:numPr>
                <w:ilvl w:val="1"/>
                <w:numId w:val="1"/>
              </w:numPr>
              <w:ind w:left="1154" w:hanging="425"/>
            </w:pPr>
            <w:r>
              <w:t xml:space="preserve">highest </w:t>
            </w:r>
            <w:r w:rsidR="00960AB1">
              <w:t>tolerable level for 8 h was 10 ppm</w:t>
            </w:r>
          </w:p>
          <w:p w14:paraId="1B71901E" w14:textId="77777777" w:rsidR="00DD5D06" w:rsidRDefault="00960AB1" w:rsidP="000B119F">
            <w:pPr>
              <w:pStyle w:val="Tabletextprimarysource"/>
              <w:numPr>
                <w:ilvl w:val="1"/>
                <w:numId w:val="1"/>
              </w:numPr>
              <w:ind w:left="1154" w:hanging="425"/>
            </w:pPr>
            <w:r>
              <w:t>inadequate for preventing fatigue</w:t>
            </w:r>
          </w:p>
          <w:p w14:paraId="6EB27D47" w14:textId="77777777" w:rsidR="00960AB1" w:rsidRDefault="00960AB1" w:rsidP="000B119F">
            <w:pPr>
              <w:pStyle w:val="Tabletextprimarysource"/>
              <w:numPr>
                <w:ilvl w:val="1"/>
                <w:numId w:val="1"/>
              </w:numPr>
              <w:ind w:left="1154" w:hanging="425"/>
            </w:pPr>
            <w:r>
              <w:t>1–4 ppm did not receive complaints (no further details provided)</w:t>
            </w:r>
            <w:r w:rsidR="000B119F">
              <w:t>.</w:t>
            </w:r>
          </w:p>
          <w:p w14:paraId="507CF757" w14:textId="77777777" w:rsidR="003E5156" w:rsidRDefault="003E5156" w:rsidP="003365A5">
            <w:pPr>
              <w:pStyle w:val="Tabletextprimarysource"/>
            </w:pPr>
            <w:r>
              <w:t>Animal data:</w:t>
            </w:r>
          </w:p>
          <w:p w14:paraId="6529A9D5" w14:textId="77777777" w:rsidR="003E5156" w:rsidRDefault="003E5156" w:rsidP="003E5156">
            <w:pPr>
              <w:pStyle w:val="Tabletextprimarysource"/>
              <w:numPr>
                <w:ilvl w:val="0"/>
                <w:numId w:val="1"/>
              </w:numPr>
            </w:pPr>
            <w:r>
              <w:t>LC</w:t>
            </w:r>
            <w:r>
              <w:rPr>
                <w:vertAlign w:val="subscript"/>
              </w:rPr>
              <w:t>LO</w:t>
            </w:r>
            <w:r>
              <w:t xml:space="preserve">: 885 ppm (rats, 8 h); mucosal irritation, pulmonary inflammation and </w:t>
            </w:r>
            <w:r w:rsidR="000B119F">
              <w:t xml:space="preserve">CNS </w:t>
            </w:r>
            <w:r>
              <w:t>depression reported, death occurs from narcosis</w:t>
            </w:r>
          </w:p>
          <w:p w14:paraId="0A65396F" w14:textId="550CBE2F" w:rsidR="003E5156" w:rsidRDefault="003E5156" w:rsidP="003E5156">
            <w:pPr>
              <w:pStyle w:val="Tabletextprimarysource"/>
              <w:numPr>
                <w:ilvl w:val="0"/>
                <w:numId w:val="1"/>
              </w:numPr>
            </w:pPr>
            <w:r>
              <w:t>Oral LD</w:t>
            </w:r>
            <w:r>
              <w:rPr>
                <w:vertAlign w:val="subscript"/>
              </w:rPr>
              <w:t>50</w:t>
            </w:r>
            <w:r>
              <w:t xml:space="preserve">: 2,100–2,700 mg/kg (rats); </w:t>
            </w:r>
            <w:r w:rsidR="00DD5D06">
              <w:t xml:space="preserve">GIT </w:t>
            </w:r>
            <w:r>
              <w:t>inflammations and congestion of lungs, adrenals, pancreas and kidneys</w:t>
            </w:r>
            <w:r w:rsidR="002873FC">
              <w:t xml:space="preserve"> </w:t>
            </w:r>
          </w:p>
          <w:p w14:paraId="6858FDC3" w14:textId="77777777" w:rsidR="003E5156" w:rsidRDefault="003E5156" w:rsidP="003E5156">
            <w:pPr>
              <w:pStyle w:val="Tabletextprimarysource"/>
              <w:numPr>
                <w:ilvl w:val="0"/>
                <w:numId w:val="1"/>
              </w:numPr>
            </w:pPr>
            <w:r>
              <w:t>LD</w:t>
            </w:r>
            <w:r>
              <w:rPr>
                <w:vertAlign w:val="subscript"/>
              </w:rPr>
              <w:t>50</w:t>
            </w:r>
            <w:r>
              <w:t>: 1,390 mg/kg (rabbits, 24 h</w:t>
            </w:r>
            <w:r w:rsidR="000B119F">
              <w:t>, dermal</w:t>
            </w:r>
            <w:r>
              <w:t>)</w:t>
            </w:r>
          </w:p>
          <w:p w14:paraId="390C02A6" w14:textId="6D7BB507" w:rsidR="00D24B8B" w:rsidRDefault="00D24B8B" w:rsidP="003E5156">
            <w:pPr>
              <w:pStyle w:val="Tabletextprimarysource"/>
              <w:numPr>
                <w:ilvl w:val="0"/>
                <w:numId w:val="1"/>
              </w:numPr>
            </w:pPr>
            <w:r>
              <w:t>Eye and skin irritation in sub</w:t>
            </w:r>
            <w:r w:rsidR="009C349B">
              <w:t>-</w:t>
            </w:r>
            <w:r>
              <w:t>chronic inhalation study at 500 ppm (rats, n=10/sex, 8 h/d, 5</w:t>
            </w:r>
            <w:r w:rsidR="00E81A90">
              <w:t xml:space="preserve"> </w:t>
            </w:r>
            <w:r>
              <w:t>d/</w:t>
            </w:r>
            <w:proofErr w:type="spellStart"/>
            <w:r>
              <w:t>wk</w:t>
            </w:r>
            <w:proofErr w:type="spellEnd"/>
            <w:r>
              <w:t>, 4–6</w:t>
            </w:r>
            <w:r w:rsidR="00E81A90">
              <w:t xml:space="preserve"> </w:t>
            </w:r>
            <w:proofErr w:type="spellStart"/>
            <w:r>
              <w:t>mo</w:t>
            </w:r>
            <w:proofErr w:type="spellEnd"/>
            <w:r>
              <w:t xml:space="preserve">); only </w:t>
            </w:r>
            <w:r w:rsidR="009C349B">
              <w:t xml:space="preserve">one </w:t>
            </w:r>
            <w:r>
              <w:t xml:space="preserve">concentration tested, </w:t>
            </w:r>
            <w:r w:rsidR="009C349B">
              <w:t xml:space="preserve">three </w:t>
            </w:r>
            <w:r>
              <w:t>deaths occurred</w:t>
            </w:r>
          </w:p>
          <w:p w14:paraId="1CCE67DC" w14:textId="6A1EE7C0" w:rsidR="003E5156" w:rsidRDefault="00A42BDD" w:rsidP="003E5156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Dose-dependent mortality and reduced </w:t>
            </w:r>
            <w:r w:rsidR="00D24B8B">
              <w:t>growth in sub</w:t>
            </w:r>
            <w:r w:rsidR="009C349B">
              <w:t>-</w:t>
            </w:r>
            <w:r w:rsidR="00D24B8B">
              <w:t>chronic inhalation study with impure substance, treatment range: 25–500 ppm (rats, guinea pigs, 8 h/d, 5 d/wk, 6 wk)</w:t>
            </w:r>
            <w:r w:rsidR="00F70D73">
              <w:t>:</w:t>
            </w:r>
          </w:p>
          <w:p w14:paraId="35731653" w14:textId="77777777" w:rsidR="00D24B8B" w:rsidRDefault="000B119F" w:rsidP="000B119F">
            <w:pPr>
              <w:pStyle w:val="Tabletextprimarysource"/>
              <w:numPr>
                <w:ilvl w:val="1"/>
                <w:numId w:val="1"/>
              </w:numPr>
              <w:ind w:left="1154" w:hanging="425"/>
            </w:pPr>
            <w:r>
              <w:t>m</w:t>
            </w:r>
            <w:r w:rsidR="00D24B8B">
              <w:t>ortality increased at 100 ppm; severe injury to lungs and kidneys in necropsy</w:t>
            </w:r>
          </w:p>
          <w:p w14:paraId="1B2C38DC" w14:textId="77777777" w:rsidR="00D24B8B" w:rsidRDefault="000B119F" w:rsidP="000B119F">
            <w:pPr>
              <w:pStyle w:val="Tabletextprimarysource"/>
              <w:numPr>
                <w:ilvl w:val="1"/>
                <w:numId w:val="1"/>
              </w:numPr>
              <w:ind w:left="1154" w:hanging="425"/>
            </w:pPr>
            <w:r>
              <w:t>n</w:t>
            </w:r>
            <w:r w:rsidR="00D24B8B">
              <w:t>on-dose-dependent incidence of liver, lun</w:t>
            </w:r>
            <w:r w:rsidR="00462AA7">
              <w:t>g</w:t>
            </w:r>
            <w:r w:rsidR="00D24B8B">
              <w:t xml:space="preserve"> and kidney congestion in survivors</w:t>
            </w:r>
          </w:p>
          <w:p w14:paraId="0A8E0713" w14:textId="54AD66D3" w:rsidR="00DD5D06" w:rsidRDefault="00215F59" w:rsidP="00D24B8B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Systemic irritant as shown by no </w:t>
            </w:r>
            <w:r w:rsidR="00CB4DD9">
              <w:t>change</w:t>
            </w:r>
            <w:r>
              <w:t xml:space="preserve"> in leukocyte count following </w:t>
            </w:r>
            <w:proofErr w:type="spellStart"/>
            <w:r>
              <w:t>adrenalectomy</w:t>
            </w:r>
            <w:proofErr w:type="spellEnd"/>
            <w:r>
              <w:t xml:space="preserve"> and exposure </w:t>
            </w:r>
            <w:r w:rsidR="00DD5D06">
              <w:t>at</w:t>
            </w:r>
            <w:r>
              <w:t xml:space="preserve"> 67–90 ppm (rats)</w:t>
            </w:r>
            <w:r w:rsidR="00F70D73">
              <w:t>:</w:t>
            </w:r>
          </w:p>
          <w:p w14:paraId="05B20B65" w14:textId="77777777" w:rsidR="00D24B8B" w:rsidRDefault="00215F59" w:rsidP="00DD5D06">
            <w:pPr>
              <w:pStyle w:val="Tabletextprimarysource"/>
              <w:numPr>
                <w:ilvl w:val="1"/>
                <w:numId w:val="1"/>
              </w:numPr>
              <w:ind w:left="1154" w:hanging="425"/>
            </w:pPr>
            <w:r>
              <w:t xml:space="preserve">reduction in leukocytes observed at these concentrations prior to </w:t>
            </w:r>
            <w:proofErr w:type="spellStart"/>
            <w:r>
              <w:t>adrenalectomy</w:t>
            </w:r>
            <w:proofErr w:type="spellEnd"/>
          </w:p>
          <w:p w14:paraId="1A6BCA9B" w14:textId="77777777" w:rsidR="00215F59" w:rsidRDefault="00215F59" w:rsidP="00D24B8B">
            <w:pPr>
              <w:pStyle w:val="Tabletextprimarysource"/>
              <w:numPr>
                <w:ilvl w:val="0"/>
                <w:numId w:val="1"/>
              </w:numPr>
            </w:pPr>
            <w:r>
              <w:t>Eye and nose irritation at 250 ppm in chronic inhalation study (rats, 8 h/d, 5 d/</w:t>
            </w:r>
            <w:proofErr w:type="spellStart"/>
            <w:r>
              <w:t>wk</w:t>
            </w:r>
            <w:proofErr w:type="spellEnd"/>
            <w:r>
              <w:t xml:space="preserve">, 18 </w:t>
            </w:r>
            <w:proofErr w:type="spellStart"/>
            <w:r>
              <w:t>mo</w:t>
            </w:r>
            <w:proofErr w:type="spellEnd"/>
            <w:r>
              <w:t>)</w:t>
            </w:r>
          </w:p>
          <w:p w14:paraId="34485687" w14:textId="788D4419" w:rsidR="00215F59" w:rsidRDefault="006A3CAF" w:rsidP="00D24B8B">
            <w:pPr>
              <w:pStyle w:val="Tabletextprimarysource"/>
              <w:numPr>
                <w:ilvl w:val="0"/>
                <w:numId w:val="1"/>
              </w:numPr>
            </w:pPr>
            <w:r>
              <w:t>Dose-dependent i</w:t>
            </w:r>
            <w:r w:rsidR="00215F59">
              <w:t>ncrease in renal tumours</w:t>
            </w:r>
            <w:r>
              <w:t xml:space="preserve"> and nephropathy</w:t>
            </w:r>
            <w:r w:rsidR="00215F59">
              <w:t xml:space="preserve"> </w:t>
            </w:r>
            <w:r>
              <w:t xml:space="preserve">at 250 and 500 mg/kg/d in chronic gavage </w:t>
            </w:r>
            <w:r w:rsidR="00A42BDD">
              <w:t xml:space="preserve">studies </w:t>
            </w:r>
            <w:r>
              <w:t>(rats, mice, n=50/sex, 5 d/wk, 2 yr)</w:t>
            </w:r>
            <w:r w:rsidR="00F70D73">
              <w:t>:</w:t>
            </w:r>
            <w:r>
              <w:t xml:space="preserve"> </w:t>
            </w:r>
          </w:p>
          <w:p w14:paraId="562C580D" w14:textId="77777777" w:rsidR="006A3CAF" w:rsidRDefault="000B119F" w:rsidP="00AF2747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>i</w:t>
            </w:r>
            <w:r w:rsidR="006A3CAF">
              <w:t>ncreased mineralisation in male rats, but decreased in females</w:t>
            </w:r>
          </w:p>
          <w:p w14:paraId="7E3AD0D9" w14:textId="77777777" w:rsidR="003E5156" w:rsidRDefault="006A3CAF" w:rsidP="006A3CAF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 evidence </w:t>
            </w:r>
            <w:r w:rsidR="000B119F">
              <w:t>of</w:t>
            </w:r>
            <w:r>
              <w:t xml:space="preserve"> adverse reproductive or developmental effects at 500 ppm in repeat inhalation study (rats, 6 h/d, 5 d/</w:t>
            </w:r>
            <w:proofErr w:type="spellStart"/>
            <w:r>
              <w:t>wk</w:t>
            </w:r>
            <w:proofErr w:type="spellEnd"/>
            <w:r>
              <w:t xml:space="preserve">, 3 </w:t>
            </w:r>
            <w:proofErr w:type="spellStart"/>
            <w:r>
              <w:t>mo</w:t>
            </w:r>
            <w:proofErr w:type="spellEnd"/>
            <w:r>
              <w:t>)</w:t>
            </w:r>
          </w:p>
          <w:p w14:paraId="316B04C7" w14:textId="77777777" w:rsidR="006A3CAF" w:rsidRDefault="006A3CAF" w:rsidP="006A3CAF">
            <w:pPr>
              <w:pStyle w:val="Tabletextprimarysource"/>
              <w:numPr>
                <w:ilvl w:val="0"/>
                <w:numId w:val="1"/>
              </w:numPr>
            </w:pPr>
            <w:r>
              <w:lastRenderedPageBreak/>
              <w:t xml:space="preserve">No evidence for teratogenicity in repeat inhalation study treatment range 25–115 ppm (rats, 6 h/d, gestation d 6–15); 115 ppm caused reduced maternal </w:t>
            </w:r>
            <w:proofErr w:type="spellStart"/>
            <w:r>
              <w:t>bw</w:t>
            </w:r>
            <w:proofErr w:type="spellEnd"/>
            <w:r>
              <w:t xml:space="preserve"> and food intake</w:t>
            </w:r>
          </w:p>
          <w:p w14:paraId="71A30827" w14:textId="77777777" w:rsidR="006A3CAF" w:rsidRPr="009C349B" w:rsidRDefault="006A3CAF" w:rsidP="006A3CAF">
            <w:pPr>
              <w:pStyle w:val="Tabletextprimarysource"/>
              <w:numPr>
                <w:ilvl w:val="0"/>
                <w:numId w:val="1"/>
              </w:numPr>
              <w:rPr>
                <w:lang w:val="it-IT"/>
              </w:rPr>
            </w:pPr>
            <w:r w:rsidRPr="009C349B">
              <w:rPr>
                <w:lang w:val="it-IT"/>
              </w:rPr>
              <w:t>Non-</w:t>
            </w:r>
            <w:r w:rsidRPr="00D523FC">
              <w:t xml:space="preserve">mutagenic </w:t>
            </w:r>
            <w:r w:rsidRPr="009C349B">
              <w:rPr>
                <w:i/>
                <w:lang w:val="it-IT"/>
              </w:rPr>
              <w:t xml:space="preserve">in vitro </w:t>
            </w:r>
            <w:r w:rsidRPr="009C349B">
              <w:rPr>
                <w:lang w:val="it-IT"/>
              </w:rPr>
              <w:t xml:space="preserve">and </w:t>
            </w:r>
            <w:r w:rsidRPr="009C349B">
              <w:rPr>
                <w:i/>
                <w:lang w:val="it-IT"/>
              </w:rPr>
              <w:t>in vivo</w:t>
            </w:r>
          </w:p>
          <w:p w14:paraId="167CB369" w14:textId="77777777" w:rsidR="006A3CAF" w:rsidRDefault="006A3CAF" w:rsidP="006A3CAF">
            <w:pPr>
              <w:pStyle w:val="Tabletextprimarysource"/>
              <w:numPr>
                <w:ilvl w:val="0"/>
                <w:numId w:val="1"/>
              </w:numPr>
            </w:pPr>
            <w:r>
              <w:t>Inhalational dose distributed to kidneys, adrenals, liver, pancreas and brain</w:t>
            </w:r>
            <w:r w:rsidR="00E81A90">
              <w:t>.</w:t>
            </w:r>
          </w:p>
          <w:p w14:paraId="48FB84B5" w14:textId="77777777" w:rsidR="00DD5D06" w:rsidRDefault="00DD5D06" w:rsidP="003365A5">
            <w:pPr>
              <w:pStyle w:val="Tabletextprimarysource"/>
            </w:pPr>
          </w:p>
          <w:p w14:paraId="741EEB1E" w14:textId="77777777" w:rsidR="003E5156" w:rsidRDefault="003E5156" w:rsidP="003365A5">
            <w:pPr>
              <w:pStyle w:val="Tabletextprimarysource"/>
            </w:pPr>
            <w:r>
              <w:t>Insufficient data to recommend a TLV-STEL or notations for skin absorption and sensitisation.</w:t>
            </w:r>
          </w:p>
          <w:p w14:paraId="612ED628" w14:textId="77777777" w:rsidR="008D7D2A" w:rsidRPr="00DA352E" w:rsidRDefault="008D7D2A" w:rsidP="003365A5">
            <w:pPr>
              <w:pStyle w:val="Tabletextprimarysource"/>
            </w:pPr>
          </w:p>
        </w:tc>
      </w:tr>
      <w:tr w:rsidR="00C978F0" w:rsidRPr="00DA352E" w14:paraId="31B71682" w14:textId="77777777" w:rsidTr="00DD5D06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4BDB28BF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E30587">
                  <w:t>2014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E30587">
                  <w:t>MAK: 2 ppm (11 mg/m</w:t>
                </w:r>
                <w:r w:rsidR="00E30587" w:rsidRPr="00E30587">
                  <w:rPr>
                    <w:vertAlign w:val="superscript"/>
                  </w:rPr>
                  <w:t>3</w:t>
                </w:r>
                <w:r w:rsidR="00E30587">
                  <w:t>)</w:t>
                </w:r>
              </w:sdtContent>
            </w:sdt>
          </w:p>
        </w:tc>
      </w:tr>
      <w:tr w:rsidR="00C978F0" w:rsidRPr="00DA352E" w14:paraId="6F26ABBA" w14:textId="77777777" w:rsidTr="00DD5D06">
        <w:trPr>
          <w:gridAfter w:val="1"/>
          <w:wAfter w:w="8" w:type="pct"/>
        </w:trPr>
        <w:tc>
          <w:tcPr>
            <w:tcW w:w="4992" w:type="pct"/>
          </w:tcPr>
          <w:p w14:paraId="57E73B03" w14:textId="77777777" w:rsidR="00C978F0" w:rsidRDefault="00F17B5E" w:rsidP="003365A5">
            <w:pPr>
              <w:pStyle w:val="Tabletextprimarysource"/>
            </w:pPr>
            <w:r>
              <w:t xml:space="preserve">Only a </w:t>
            </w:r>
            <w:r w:rsidR="003B2FA5">
              <w:t xml:space="preserve">2014 </w:t>
            </w:r>
            <w:r>
              <w:t xml:space="preserve">substance review </w:t>
            </w:r>
            <w:r w:rsidR="003B2FA5">
              <w:t xml:space="preserve">document </w:t>
            </w:r>
            <w:r>
              <w:t>and 1977 MAK documentation were retrievable</w:t>
            </w:r>
            <w:r w:rsidR="003B2FA5">
              <w:t xml:space="preserve"> during the current evaluation.</w:t>
            </w:r>
          </w:p>
          <w:p w14:paraId="5CCFCE5C" w14:textId="77777777" w:rsidR="00F17B5E" w:rsidRDefault="00F17B5E" w:rsidP="003365A5">
            <w:pPr>
              <w:pStyle w:val="Tabletextprimarysource"/>
            </w:pPr>
            <w:r>
              <w:t xml:space="preserve">Summary of additional data (from 1977 </w:t>
            </w:r>
            <w:r w:rsidR="003B2FA5">
              <w:t xml:space="preserve">MAK </w:t>
            </w:r>
            <w:r>
              <w:t>documentation):</w:t>
            </w:r>
          </w:p>
          <w:p w14:paraId="2B2C8B52" w14:textId="77777777" w:rsidR="00E11A79" w:rsidRDefault="00E11A79" w:rsidP="003365A5">
            <w:pPr>
              <w:pStyle w:val="Tabletextprimarysource"/>
            </w:pPr>
            <w:r>
              <w:t>Human data:</w:t>
            </w:r>
          </w:p>
          <w:p w14:paraId="66E991D8" w14:textId="77777777" w:rsidR="00E11A79" w:rsidRDefault="003B2FA5" w:rsidP="00E11A79">
            <w:pPr>
              <w:pStyle w:val="Tabletextprimarysource"/>
              <w:numPr>
                <w:ilvl w:val="0"/>
                <w:numId w:val="1"/>
              </w:numPr>
            </w:pPr>
            <w:r>
              <w:t>Volunteer inhalation study (n=96, 5 min) reported</w:t>
            </w:r>
            <w:r w:rsidR="00DD5D06">
              <w:t>:</w:t>
            </w:r>
          </w:p>
          <w:p w14:paraId="298CE921" w14:textId="77777777" w:rsidR="003B2FA5" w:rsidRDefault="000B119F" w:rsidP="000B119F">
            <w:pPr>
              <w:pStyle w:val="Tabletextprimarysource"/>
              <w:numPr>
                <w:ilvl w:val="1"/>
                <w:numId w:val="1"/>
              </w:numPr>
              <w:ind w:left="1154" w:hanging="425"/>
            </w:pPr>
            <w:r>
              <w:t>m</w:t>
            </w:r>
            <w:r w:rsidR="003B2FA5">
              <w:t>alaise and 40% odour perception at 10 ppm</w:t>
            </w:r>
          </w:p>
          <w:p w14:paraId="1DD872C7" w14:textId="77777777" w:rsidR="003B2FA5" w:rsidRDefault="000B119F" w:rsidP="000B119F">
            <w:pPr>
              <w:pStyle w:val="Tabletextprimarysource"/>
              <w:numPr>
                <w:ilvl w:val="1"/>
                <w:numId w:val="1"/>
              </w:numPr>
              <w:ind w:left="1154" w:hanging="425"/>
            </w:pPr>
            <w:r>
              <w:t>i</w:t>
            </w:r>
            <w:r w:rsidR="003B2FA5">
              <w:t>rritating to eyes, nose and throat and 70% odour perception at 25</w:t>
            </w:r>
            <w:r w:rsidR="00E81A90">
              <w:t xml:space="preserve"> </w:t>
            </w:r>
            <w:r w:rsidR="003B2FA5">
              <w:t>ppm</w:t>
            </w:r>
          </w:p>
          <w:p w14:paraId="13B80354" w14:textId="77777777" w:rsidR="003B2FA5" w:rsidRDefault="000B119F" w:rsidP="000B119F">
            <w:pPr>
              <w:pStyle w:val="Tabletextprimarysource"/>
              <w:numPr>
                <w:ilvl w:val="1"/>
                <w:numId w:val="1"/>
              </w:numPr>
              <w:ind w:left="1154" w:hanging="425"/>
            </w:pPr>
            <w:r>
              <w:t>p</w:t>
            </w:r>
            <w:r w:rsidR="003B2FA5">
              <w:t>re-narcotic symptoms at 40–85 ppm</w:t>
            </w:r>
          </w:p>
          <w:p w14:paraId="1564687D" w14:textId="77777777" w:rsidR="003B2FA5" w:rsidRDefault="000B119F" w:rsidP="000B119F">
            <w:pPr>
              <w:pStyle w:val="Tabletextprimarysource"/>
              <w:numPr>
                <w:ilvl w:val="1"/>
                <w:numId w:val="1"/>
              </w:numPr>
              <w:ind w:left="1154" w:hanging="425"/>
            </w:pPr>
            <w:r>
              <w:t>s</w:t>
            </w:r>
            <w:r w:rsidR="003B2FA5">
              <w:t>evere eye and respiratory tract irritation at 400 ppm</w:t>
            </w:r>
          </w:p>
          <w:p w14:paraId="48093503" w14:textId="77777777" w:rsidR="003B2FA5" w:rsidRDefault="000B119F" w:rsidP="000B119F">
            <w:pPr>
              <w:pStyle w:val="Tabletextprimarysource"/>
              <w:numPr>
                <w:ilvl w:val="1"/>
                <w:numId w:val="1"/>
              </w:numPr>
              <w:ind w:left="1154" w:hanging="425"/>
            </w:pPr>
            <w:r>
              <w:t>c</w:t>
            </w:r>
            <w:r w:rsidR="003B2FA5">
              <w:t>orneal damage was transient (no further details provided)</w:t>
            </w:r>
          </w:p>
          <w:p w14:paraId="2443975F" w14:textId="1F554E28" w:rsidR="00CB4DD9" w:rsidRPr="00CB4DD9" w:rsidRDefault="00CB4DD9" w:rsidP="00CB4DD9">
            <w:pPr>
              <w:pStyle w:val="Tabletextprimarysource"/>
              <w:numPr>
                <w:ilvl w:val="0"/>
                <w:numId w:val="1"/>
              </w:numPr>
            </w:pPr>
            <w:r>
              <w:rPr>
                <w:rFonts w:cs="Arial"/>
                <w:color w:val="1C1D1E"/>
                <w:shd w:val="clear" w:color="auto" w:fill="FFFFFF"/>
              </w:rPr>
              <w:t>No exposure-related complaints at workplace air concentrations of 1</w:t>
            </w:r>
            <w:r w:rsidR="00E81A90">
              <w:rPr>
                <w:rFonts w:cs="Arial"/>
                <w:color w:val="1C1D1E"/>
                <w:shd w:val="clear" w:color="auto" w:fill="FFFFFF"/>
              </w:rPr>
              <w:t>–</w:t>
            </w:r>
            <w:r>
              <w:rPr>
                <w:rFonts w:cs="Arial"/>
                <w:color w:val="1C1D1E"/>
                <w:shd w:val="clear" w:color="auto" w:fill="FFFFFF"/>
              </w:rPr>
              <w:t>4 ppm</w:t>
            </w:r>
            <w:r w:rsidR="0030608C">
              <w:rPr>
                <w:rFonts w:cs="Arial"/>
                <w:color w:val="1C1D1E"/>
                <w:shd w:val="clear" w:color="auto" w:fill="FFFFFF"/>
              </w:rPr>
              <w:t>:</w:t>
            </w:r>
            <w:r>
              <w:rPr>
                <w:rFonts w:cs="Arial"/>
                <w:color w:val="1C1D1E"/>
                <w:shd w:val="clear" w:color="auto" w:fill="FFFFFF"/>
              </w:rPr>
              <w:t xml:space="preserve"> </w:t>
            </w:r>
          </w:p>
          <w:p w14:paraId="5012E4D6" w14:textId="77777777" w:rsidR="00CB4DD9" w:rsidRDefault="000B119F" w:rsidP="000B119F">
            <w:pPr>
              <w:pStyle w:val="Tabletextprimarysource"/>
              <w:numPr>
                <w:ilvl w:val="1"/>
                <w:numId w:val="1"/>
              </w:numPr>
              <w:ind w:left="1154" w:hanging="425"/>
            </w:pPr>
            <w:proofErr w:type="gramStart"/>
            <w:r>
              <w:rPr>
                <w:rFonts w:cs="Arial"/>
                <w:color w:val="1C1D1E"/>
                <w:shd w:val="clear" w:color="auto" w:fill="FFFFFF"/>
              </w:rPr>
              <w:t>f</w:t>
            </w:r>
            <w:r w:rsidR="00CB4DD9">
              <w:rPr>
                <w:rFonts w:cs="Arial"/>
                <w:color w:val="1C1D1E"/>
                <w:shd w:val="clear" w:color="auto" w:fill="FFFFFF"/>
              </w:rPr>
              <w:t>atigue</w:t>
            </w:r>
            <w:proofErr w:type="gramEnd"/>
            <w:r w:rsidR="00CB4DD9">
              <w:rPr>
                <w:rFonts w:cs="Arial"/>
                <w:color w:val="1C1D1E"/>
                <w:shd w:val="clear" w:color="auto" w:fill="FFFFFF"/>
              </w:rPr>
              <w:t xml:space="preserve"> and discomfort at 5</w:t>
            </w:r>
            <w:r w:rsidR="00E81A90">
              <w:rPr>
                <w:rFonts w:cs="Arial"/>
                <w:color w:val="1C1D1E"/>
                <w:shd w:val="clear" w:color="auto" w:fill="FFFFFF"/>
              </w:rPr>
              <w:t>–</w:t>
            </w:r>
            <w:r w:rsidR="00CB4DD9">
              <w:rPr>
                <w:rFonts w:cs="Arial"/>
                <w:color w:val="1C1D1E"/>
                <w:shd w:val="clear" w:color="auto" w:fill="FFFFFF"/>
              </w:rPr>
              <w:t>8 ppm after 1 mo</w:t>
            </w:r>
            <w:r>
              <w:rPr>
                <w:rFonts w:cs="Arial"/>
                <w:color w:val="1C1D1E"/>
                <w:shd w:val="clear" w:color="auto" w:fill="FFFFFF"/>
              </w:rPr>
              <w:t>.</w:t>
            </w:r>
          </w:p>
          <w:p w14:paraId="7FE1D0F6" w14:textId="77777777" w:rsidR="00F17B5E" w:rsidRDefault="00E11A79" w:rsidP="003365A5">
            <w:pPr>
              <w:pStyle w:val="Tabletextprimarysource"/>
            </w:pPr>
            <w:r>
              <w:t>Animal data:</w:t>
            </w:r>
          </w:p>
          <w:p w14:paraId="151A6ACD" w14:textId="77777777" w:rsidR="003B2FA5" w:rsidRDefault="00E11A79" w:rsidP="003B2FA5">
            <w:pPr>
              <w:pStyle w:val="Tabletextprimarysource"/>
              <w:numPr>
                <w:ilvl w:val="0"/>
                <w:numId w:val="1"/>
              </w:numPr>
            </w:pPr>
            <w:r>
              <w:t>Substance is narcotic, damages kidneys upon cumulative intake, absorbed rapidly in the lungs and excreted in urine following metabolic oxidation</w:t>
            </w:r>
          </w:p>
          <w:p w14:paraId="317FF0A6" w14:textId="5AF6D8C2" w:rsidR="003B2FA5" w:rsidRDefault="003B2FA5" w:rsidP="003B2FA5">
            <w:pPr>
              <w:pStyle w:val="Tabletextprimarysource"/>
              <w:numPr>
                <w:ilvl w:val="0"/>
                <w:numId w:val="1"/>
              </w:numPr>
            </w:pPr>
            <w:r>
              <w:t>Sub</w:t>
            </w:r>
            <w:r w:rsidR="00A42BDD">
              <w:t>-</w:t>
            </w:r>
            <w:r>
              <w:t>chronic inhalation study (also cited in ACGIH, 2018) reported NOAE</w:t>
            </w:r>
            <w:r w:rsidR="00DD5D06">
              <w:t>C</w:t>
            </w:r>
            <w:r>
              <w:t xml:space="preserve"> of 25 ppm for histopathological changes in kidneys and liver (rats, guinea pigs, 8 h/d, 5 d/wk, 6 wk)</w:t>
            </w:r>
            <w:r w:rsidR="00E81A90">
              <w:t>.</w:t>
            </w:r>
          </w:p>
          <w:p w14:paraId="143FD04C" w14:textId="77777777" w:rsidR="00DD5D06" w:rsidRPr="00DA352E" w:rsidRDefault="00DD5D06" w:rsidP="00DD5D06">
            <w:pPr>
              <w:pStyle w:val="Tabletextprimarysource"/>
            </w:pPr>
          </w:p>
        </w:tc>
      </w:tr>
      <w:tr w:rsidR="00C978F0" w:rsidRPr="00DA352E" w14:paraId="7100A05E" w14:textId="77777777" w:rsidTr="00DD5D06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399700A6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E3058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E30587">
                  <w:t>NA</w:t>
                </w:r>
                <w:proofErr w:type="spellEnd"/>
              </w:sdtContent>
            </w:sdt>
          </w:p>
        </w:tc>
      </w:tr>
      <w:tr w:rsidR="00C978F0" w:rsidRPr="00DA352E" w14:paraId="04D0BAB1" w14:textId="77777777" w:rsidTr="00DD5D06">
        <w:trPr>
          <w:gridAfter w:val="1"/>
          <w:wAfter w:w="8" w:type="pct"/>
        </w:trPr>
        <w:tc>
          <w:tcPr>
            <w:tcW w:w="4992" w:type="pct"/>
          </w:tcPr>
          <w:p w14:paraId="40151B9A" w14:textId="77777777" w:rsidR="00C978F0" w:rsidRPr="00DA352E" w:rsidRDefault="00E30587" w:rsidP="003365A5">
            <w:pPr>
              <w:pStyle w:val="Tabletextprimarysource"/>
            </w:pPr>
            <w:r>
              <w:t>No report</w:t>
            </w:r>
            <w:r w:rsidR="00E81A90">
              <w:t>.</w:t>
            </w:r>
          </w:p>
        </w:tc>
      </w:tr>
      <w:tr w:rsidR="00DA352E" w:rsidRPr="00DA352E" w14:paraId="705C96C0" w14:textId="77777777" w:rsidTr="00DD5D06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5696C050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E3058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E30587">
                  <w:t>NA</w:t>
                </w:r>
                <w:proofErr w:type="spellEnd"/>
              </w:sdtContent>
            </w:sdt>
          </w:p>
        </w:tc>
      </w:tr>
      <w:tr w:rsidR="00DA352E" w:rsidRPr="00DA352E" w14:paraId="26BBBF77" w14:textId="77777777" w:rsidTr="00DD5D06">
        <w:trPr>
          <w:gridAfter w:val="1"/>
          <w:wAfter w:w="8" w:type="pct"/>
        </w:trPr>
        <w:tc>
          <w:tcPr>
            <w:tcW w:w="4992" w:type="pct"/>
          </w:tcPr>
          <w:p w14:paraId="2B102DDA" w14:textId="77777777" w:rsidR="00DA352E" w:rsidRPr="00DA352E" w:rsidRDefault="00E30587" w:rsidP="003365A5">
            <w:pPr>
              <w:pStyle w:val="Tabletextprimarysource"/>
            </w:pPr>
            <w:r>
              <w:t>No report</w:t>
            </w:r>
            <w:r w:rsidR="00E81A90">
              <w:t>.</w:t>
            </w:r>
          </w:p>
        </w:tc>
      </w:tr>
      <w:tr w:rsidR="00DA352E" w:rsidRPr="00DA352E" w14:paraId="07C0C38E" w14:textId="77777777" w:rsidTr="00DD5D06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0BAD05B6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E3058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E30587">
                  <w:t>NA</w:t>
                </w:r>
                <w:proofErr w:type="spellEnd"/>
              </w:sdtContent>
            </w:sdt>
          </w:p>
        </w:tc>
      </w:tr>
      <w:tr w:rsidR="00DA352E" w:rsidRPr="00DA352E" w14:paraId="6352F47E" w14:textId="77777777" w:rsidTr="00DD5D06">
        <w:trPr>
          <w:gridAfter w:val="1"/>
          <w:wAfter w:w="8" w:type="pct"/>
        </w:trPr>
        <w:tc>
          <w:tcPr>
            <w:tcW w:w="4992" w:type="pct"/>
          </w:tcPr>
          <w:p w14:paraId="091AC70D" w14:textId="77777777" w:rsidR="00DA352E" w:rsidRPr="00DA352E" w:rsidRDefault="00E30587" w:rsidP="003365A5">
            <w:pPr>
              <w:pStyle w:val="Tabletextprimarysource"/>
            </w:pPr>
            <w:r>
              <w:t>No report</w:t>
            </w:r>
            <w:r w:rsidR="00E81A90">
              <w:t>.</w:t>
            </w:r>
          </w:p>
        </w:tc>
      </w:tr>
    </w:tbl>
    <w:p w14:paraId="007A7D83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2"/>
        <w:gridCol w:w="422"/>
        <w:gridCol w:w="661"/>
        <w:gridCol w:w="6451"/>
      </w:tblGrid>
      <w:tr w:rsidR="00AC2B81" w:rsidRPr="00263255" w14:paraId="3451C02F" w14:textId="77777777" w:rsidTr="000B119F">
        <w:trPr>
          <w:cantSplit/>
          <w:trHeight w:val="393"/>
          <w:tblHeader/>
        </w:trPr>
        <w:tc>
          <w:tcPr>
            <w:tcW w:w="1492" w:type="dxa"/>
            <w:shd w:val="clear" w:color="auto" w:fill="BFBFBF" w:themeFill="background1" w:themeFillShade="BF"/>
            <w:vAlign w:val="center"/>
          </w:tcPr>
          <w:p w14:paraId="762DC81A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14:paraId="55629285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419BCE1C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1" w:type="dxa"/>
            <w:shd w:val="clear" w:color="auto" w:fill="BFBFBF" w:themeFill="background1" w:themeFillShade="BF"/>
            <w:vAlign w:val="center"/>
          </w:tcPr>
          <w:p w14:paraId="113EE131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AC2B81" w:rsidRPr="004C23F4" w14:paraId="784448D6" w14:textId="77777777" w:rsidTr="000B119F">
        <w:trPr>
          <w:cantSplit/>
        </w:trPr>
        <w:tc>
          <w:tcPr>
            <w:tcW w:w="1492" w:type="dxa"/>
          </w:tcPr>
          <w:p w14:paraId="3F46AB6F" w14:textId="77777777" w:rsidR="004966BF" w:rsidRPr="004C23F4" w:rsidRDefault="004966BF" w:rsidP="00224EE2">
            <w:pPr>
              <w:pStyle w:val="Tablefont"/>
            </w:pPr>
            <w:r>
              <w:t>HSE</w:t>
            </w:r>
          </w:p>
        </w:tc>
        <w:tc>
          <w:tcPr>
            <w:tcW w:w="422" w:type="dxa"/>
          </w:tcPr>
          <w:p w14:paraId="152B8B6E" w14:textId="77777777" w:rsidR="004966BF" w:rsidRPr="00CE617F" w:rsidRDefault="005D5D9E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382551732"/>
                <w:placeholder>
                  <w:docPart w:val="8DD754E365844A4E82EC69A07E229629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9B5883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4290C717" w14:textId="77777777" w:rsidR="004966BF" w:rsidRPr="004C23F4" w:rsidRDefault="009B5883" w:rsidP="00717D45">
            <w:pPr>
              <w:pStyle w:val="Tablefont"/>
            </w:pPr>
            <w:r>
              <w:t>2002</w:t>
            </w:r>
          </w:p>
        </w:tc>
        <w:tc>
          <w:tcPr>
            <w:tcW w:w="6451" w:type="dxa"/>
          </w:tcPr>
          <w:p w14:paraId="473285D0" w14:textId="77777777" w:rsidR="004966BF" w:rsidRPr="009B5883" w:rsidRDefault="009B5883" w:rsidP="00DD5D06">
            <w:pPr>
              <w:pStyle w:val="Tablefont"/>
              <w:numPr>
                <w:ilvl w:val="0"/>
                <w:numId w:val="1"/>
              </w:numPr>
            </w:pPr>
            <w:r>
              <w:t>15</w:t>
            </w:r>
            <w:r w:rsidR="00E81A90">
              <w:t xml:space="preserve"> </w:t>
            </w:r>
            <w:r>
              <w:t>min STEL: 5 ppm (29 mg/m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</w:tr>
      <w:tr w:rsidR="00AC2B81" w:rsidRPr="004C23F4" w14:paraId="173B8E96" w14:textId="77777777" w:rsidTr="000B119F">
        <w:trPr>
          <w:cantSplit/>
        </w:trPr>
        <w:tc>
          <w:tcPr>
            <w:tcW w:w="1492" w:type="dxa"/>
          </w:tcPr>
          <w:p w14:paraId="6EAB367F" w14:textId="77777777" w:rsidR="004966BF" w:rsidRPr="004C23F4" w:rsidRDefault="004966BF" w:rsidP="00224EE2">
            <w:pPr>
              <w:pStyle w:val="Tablefont"/>
            </w:pPr>
            <w:r>
              <w:lastRenderedPageBreak/>
              <w:t>NICNAS</w:t>
            </w:r>
          </w:p>
        </w:tc>
        <w:tc>
          <w:tcPr>
            <w:tcW w:w="422" w:type="dxa"/>
          </w:tcPr>
          <w:p w14:paraId="3956909C" w14:textId="77777777" w:rsidR="004966BF" w:rsidRPr="00CE617F" w:rsidRDefault="005D5D9E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856071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48F68EDB" w14:textId="77777777" w:rsidR="004966BF" w:rsidRPr="004C23F4" w:rsidRDefault="00856071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2013</w:t>
            </w:r>
          </w:p>
        </w:tc>
        <w:tc>
          <w:tcPr>
            <w:tcW w:w="6451" w:type="dxa"/>
          </w:tcPr>
          <w:p w14:paraId="35D34DC3" w14:textId="77777777" w:rsidR="009B5883" w:rsidRDefault="009B5883" w:rsidP="009B5883">
            <w:pPr>
              <w:pStyle w:val="Tablefont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Eye irritation in volunteers at 25 ppm (n=12, 15 min)</w:t>
            </w:r>
          </w:p>
          <w:p w14:paraId="065B0264" w14:textId="77777777" w:rsidR="004966BF" w:rsidRDefault="009B5883" w:rsidP="009B5883">
            <w:pPr>
              <w:pStyle w:val="Tablefont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LC</w:t>
            </w:r>
            <w:r>
              <w:rPr>
                <w:rStyle w:val="checkbox"/>
                <w:rFonts w:ascii="Arial" w:hAnsi="Arial" w:cs="Arial"/>
                <w:vertAlign w:val="subscript"/>
              </w:rPr>
              <w:t>50</w:t>
            </w:r>
            <w:r>
              <w:rPr>
                <w:rStyle w:val="checkbox"/>
                <w:rFonts w:ascii="Arial" w:hAnsi="Arial" w:cs="Arial"/>
              </w:rPr>
              <w:t>: 1,240 ppm (rats, duration not specified)</w:t>
            </w:r>
          </w:p>
          <w:p w14:paraId="6C7773EB" w14:textId="77777777" w:rsidR="009B5883" w:rsidRDefault="009B5883" w:rsidP="009B5883">
            <w:pPr>
              <w:pStyle w:val="Tablefont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Non-irritating to rabbit skin (4 h, semi-occlusive patch)</w:t>
            </w:r>
          </w:p>
          <w:p w14:paraId="3DA6E40D" w14:textId="77777777" w:rsidR="009B5883" w:rsidRDefault="009B5883" w:rsidP="009B5883">
            <w:pPr>
              <w:pStyle w:val="Tablefont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Non-sensitising in standardised maximisation test (guinea pigs, no further information provided)</w:t>
            </w:r>
          </w:p>
          <w:p w14:paraId="46878CEE" w14:textId="4AE66537" w:rsidR="009B5883" w:rsidRDefault="00AC2B81" w:rsidP="009B5883">
            <w:pPr>
              <w:pStyle w:val="Tablefont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Transient nasal bleeding, changed haematological parameters and </w:t>
            </w:r>
            <w:proofErr w:type="spellStart"/>
            <w:r>
              <w:rPr>
                <w:rStyle w:val="checkbox"/>
                <w:rFonts w:ascii="Arial" w:hAnsi="Arial" w:cs="Arial"/>
              </w:rPr>
              <w:t>bw</w:t>
            </w:r>
            <w:proofErr w:type="spellEnd"/>
            <w:r>
              <w:rPr>
                <w:rStyle w:val="checkbox"/>
                <w:rFonts w:ascii="Arial" w:hAnsi="Arial" w:cs="Arial"/>
              </w:rPr>
              <w:t xml:space="preserve"> decrease at 44 ppm in sub</w:t>
            </w:r>
            <w:r w:rsidR="00A42BDD">
              <w:rPr>
                <w:rStyle w:val="checkbox"/>
                <w:rFonts w:ascii="Arial" w:hAnsi="Arial" w:cs="Arial"/>
              </w:rPr>
              <w:t>-</w:t>
            </w:r>
            <w:r>
              <w:rPr>
                <w:rStyle w:val="checkbox"/>
                <w:rFonts w:ascii="Arial" w:hAnsi="Arial" w:cs="Arial"/>
              </w:rPr>
              <w:t>chronic inhalation study (rats, 6 h/d, 5 d/wk, 4</w:t>
            </w:r>
            <w:r w:rsidR="00E81A90">
              <w:rPr>
                <w:rStyle w:val="checkbox"/>
                <w:rFonts w:ascii="Arial" w:hAnsi="Arial" w:cs="Arial"/>
              </w:rPr>
              <w:t xml:space="preserve"> </w:t>
            </w:r>
            <w:r>
              <w:rPr>
                <w:rStyle w:val="checkbox"/>
                <w:rFonts w:ascii="Arial" w:hAnsi="Arial" w:cs="Arial"/>
              </w:rPr>
              <w:t>wk)</w:t>
            </w:r>
          </w:p>
          <w:p w14:paraId="593667DE" w14:textId="77777777" w:rsidR="00AC2B81" w:rsidRPr="009B5883" w:rsidRDefault="00AC2B81" w:rsidP="009B5883">
            <w:pPr>
              <w:pStyle w:val="Tablefont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Not expected to be genotoxic based on weight of evidence</w:t>
            </w:r>
            <w:r w:rsidR="00E81A90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AC2B81" w:rsidRPr="004C23F4" w14:paraId="54EFB62C" w14:textId="77777777" w:rsidTr="000B119F">
        <w:trPr>
          <w:cantSplit/>
        </w:trPr>
        <w:tc>
          <w:tcPr>
            <w:tcW w:w="1492" w:type="dxa"/>
          </w:tcPr>
          <w:p w14:paraId="62D9C949" w14:textId="77777777" w:rsidR="004966BF" w:rsidRPr="004C23F4" w:rsidRDefault="004966BF" w:rsidP="00224EE2">
            <w:pPr>
              <w:pStyle w:val="Tablefont"/>
            </w:pPr>
            <w:r>
              <w:t>Nordic Council</w:t>
            </w:r>
          </w:p>
        </w:tc>
        <w:tc>
          <w:tcPr>
            <w:tcW w:w="422" w:type="dxa"/>
          </w:tcPr>
          <w:p w14:paraId="580BE995" w14:textId="77777777" w:rsidR="004966BF" w:rsidRPr="00CE617F" w:rsidRDefault="005D5D9E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30487844"/>
                <w:placeholder>
                  <w:docPart w:val="CA68404C5F6B4780904F09DAAE62489A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EB56DA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C0CE0D4" w14:textId="77777777" w:rsidR="004966BF" w:rsidRPr="004C23F4" w:rsidRDefault="00EB56DA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1991</w:t>
            </w:r>
          </w:p>
        </w:tc>
        <w:tc>
          <w:tcPr>
            <w:tcW w:w="6451" w:type="dxa"/>
          </w:tcPr>
          <w:p w14:paraId="751A0DD6" w14:textId="77777777" w:rsidR="00EB56DA" w:rsidRDefault="00EB56DA" w:rsidP="00EB56DA">
            <w:pPr>
              <w:pStyle w:val="Tablefont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Critical effect is mucous membrane irritation</w:t>
            </w:r>
          </w:p>
          <w:p w14:paraId="0391CF5F" w14:textId="77777777" w:rsidR="00EB56DA" w:rsidRDefault="00EB56DA" w:rsidP="00EB56DA">
            <w:pPr>
              <w:pStyle w:val="Tablefont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15</w:t>
            </w:r>
            <w:r w:rsidR="00DD5D06">
              <w:rPr>
                <w:rStyle w:val="checkbox"/>
                <w:rFonts w:ascii="Arial" w:hAnsi="Arial" w:cs="Arial"/>
              </w:rPr>
              <w:t xml:space="preserve"> </w:t>
            </w:r>
            <w:r>
              <w:rPr>
                <w:rStyle w:val="checkbox"/>
                <w:rFonts w:ascii="Arial" w:hAnsi="Arial" w:cs="Arial"/>
              </w:rPr>
              <w:t xml:space="preserve">min exposures at 8 ppm </w:t>
            </w:r>
            <w:r w:rsidR="00DD70DE">
              <w:rPr>
                <w:rStyle w:val="checkbox"/>
                <w:rFonts w:ascii="Arial" w:hAnsi="Arial" w:cs="Arial"/>
              </w:rPr>
              <w:t>cause nasal irritation</w:t>
            </w:r>
          </w:p>
          <w:p w14:paraId="0BCD101C" w14:textId="77777777" w:rsidR="004966BF" w:rsidRPr="004C23F4" w:rsidRDefault="00AC2B81" w:rsidP="00EB56DA">
            <w:pPr>
              <w:pStyle w:val="Tablefont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Unlikely to have genotoxic potential</w:t>
            </w:r>
            <w:r w:rsidR="00E81A90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AC2B81" w:rsidRPr="004C23F4" w14:paraId="3FA1E68A" w14:textId="77777777" w:rsidTr="000B119F">
        <w:trPr>
          <w:cantSplit/>
        </w:trPr>
        <w:tc>
          <w:tcPr>
            <w:tcW w:w="1492" w:type="dxa"/>
          </w:tcPr>
          <w:p w14:paraId="0B2C9213" w14:textId="77777777" w:rsidR="004966BF" w:rsidRPr="004C23F4" w:rsidRDefault="004966BF" w:rsidP="00224EE2">
            <w:pPr>
              <w:pStyle w:val="Tablefont"/>
            </w:pPr>
            <w:r>
              <w:t>OECD</w:t>
            </w:r>
          </w:p>
        </w:tc>
        <w:tc>
          <w:tcPr>
            <w:tcW w:w="422" w:type="dxa"/>
          </w:tcPr>
          <w:p w14:paraId="47EC9F72" w14:textId="77777777" w:rsidR="004966BF" w:rsidRPr="00CE617F" w:rsidRDefault="005D5D9E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491947220"/>
                <w:placeholder>
                  <w:docPart w:val="320A77D155374054996F168A20882C2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EB56DA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BADA943" w14:textId="77777777" w:rsidR="004966BF" w:rsidRPr="004C23F4" w:rsidRDefault="00EB56DA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2003</w:t>
            </w:r>
          </w:p>
        </w:tc>
        <w:tc>
          <w:tcPr>
            <w:tcW w:w="6451" w:type="dxa"/>
          </w:tcPr>
          <w:p w14:paraId="304348CE" w14:textId="77777777" w:rsidR="004966BF" w:rsidRDefault="00EB56DA" w:rsidP="00DD5D06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EB56DA">
              <w:rPr>
                <w:rFonts w:cs="Arial"/>
              </w:rPr>
              <w:t xml:space="preserve">ositive result </w:t>
            </w:r>
            <w:r>
              <w:rPr>
                <w:rFonts w:cs="Arial"/>
              </w:rPr>
              <w:t>in 1</w:t>
            </w:r>
            <w:r w:rsidRPr="00EB56DA">
              <w:rPr>
                <w:rFonts w:cs="Arial"/>
              </w:rPr>
              <w:t xml:space="preserve"> mouse lymphoma assay,</w:t>
            </w:r>
            <w:r>
              <w:rPr>
                <w:rFonts w:cs="Arial"/>
              </w:rPr>
              <w:t xml:space="preserve"> but</w:t>
            </w:r>
            <w:r w:rsidRPr="00EB56DA">
              <w:rPr>
                <w:rFonts w:cs="Arial"/>
              </w:rPr>
              <w:t xml:space="preserve"> majority of </w:t>
            </w:r>
            <w:r w:rsidRPr="00EB56DA">
              <w:rPr>
                <w:rFonts w:cs="Arial"/>
                <w:i/>
              </w:rPr>
              <w:t>in</w:t>
            </w:r>
            <w:r w:rsidRPr="00EB56DA">
              <w:rPr>
                <w:rFonts w:cs="Arial"/>
              </w:rPr>
              <w:t xml:space="preserve"> </w:t>
            </w:r>
            <w:r w:rsidRPr="00EB56DA">
              <w:rPr>
                <w:rFonts w:cs="Arial"/>
                <w:i/>
              </w:rPr>
              <w:t>vitro</w:t>
            </w:r>
            <w:r>
              <w:rPr>
                <w:rFonts w:cs="Arial"/>
              </w:rPr>
              <w:t xml:space="preserve"> and </w:t>
            </w:r>
            <w:r>
              <w:rPr>
                <w:rFonts w:cs="Arial"/>
                <w:i/>
              </w:rPr>
              <w:t>in vivo</w:t>
            </w:r>
            <w:r w:rsidRPr="00EB56DA">
              <w:rPr>
                <w:rFonts w:cs="Arial"/>
              </w:rPr>
              <w:t xml:space="preserve"> genotoxicity </w:t>
            </w:r>
            <w:r w:rsidR="000B119F">
              <w:rPr>
                <w:rFonts w:cs="Arial"/>
              </w:rPr>
              <w:t>‘</w:t>
            </w:r>
            <w:r>
              <w:rPr>
                <w:rFonts w:cs="Arial"/>
              </w:rPr>
              <w:t>clearly</w:t>
            </w:r>
            <w:r w:rsidRPr="00EB56DA">
              <w:rPr>
                <w:rFonts w:cs="Arial"/>
              </w:rPr>
              <w:t xml:space="preserve"> negative</w:t>
            </w:r>
            <w:r w:rsidR="000B119F">
              <w:rPr>
                <w:rFonts w:cs="Arial"/>
              </w:rPr>
              <w:t>’</w:t>
            </w:r>
            <w:r>
              <w:rPr>
                <w:rFonts w:cs="Arial"/>
              </w:rPr>
              <w:t>; therefore, not considered mutagenic</w:t>
            </w:r>
          </w:p>
          <w:p w14:paraId="204CDC08" w14:textId="77777777" w:rsidR="00DD70DE" w:rsidRPr="004C23F4" w:rsidRDefault="00DD70DE" w:rsidP="00DD5D06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Fonts w:cs="Arial"/>
              </w:rPr>
              <w:t>K</w:t>
            </w:r>
            <w:r w:rsidRPr="00DD70DE">
              <w:rPr>
                <w:rFonts w:cs="Arial"/>
              </w:rPr>
              <w:t xml:space="preserve">idney tumours </w:t>
            </w:r>
            <w:r>
              <w:rPr>
                <w:rFonts w:cs="Arial"/>
              </w:rPr>
              <w:t>observed in chronic gavage study with rats (also cited by ACGIH, 2018) are</w:t>
            </w:r>
            <w:r w:rsidRPr="00DD70DE">
              <w:rPr>
                <w:rFonts w:cs="Arial"/>
              </w:rPr>
              <w:t xml:space="preserve"> attributed to </w:t>
            </w:r>
            <w:r>
              <w:rPr>
                <w:rFonts w:cs="Arial"/>
              </w:rPr>
              <w:t>male rat-specific</w:t>
            </w:r>
            <w:r w:rsidRPr="00DD70DE">
              <w:rPr>
                <w:rFonts w:cs="Arial"/>
              </w:rPr>
              <w:t xml:space="preserve"> α2u-globulin associated mechanism</w:t>
            </w:r>
            <w:r>
              <w:rPr>
                <w:rFonts w:cs="Arial"/>
              </w:rPr>
              <w:t xml:space="preserve">; </w:t>
            </w:r>
            <w:r w:rsidRPr="00DD70DE">
              <w:rPr>
                <w:rFonts w:cs="Arial"/>
              </w:rPr>
              <w:t>observed nephropathy is therefore irrelevant to other species</w:t>
            </w:r>
            <w:r w:rsidR="00E81A90">
              <w:rPr>
                <w:rFonts w:cs="Arial"/>
              </w:rPr>
              <w:t>.</w:t>
            </w:r>
          </w:p>
        </w:tc>
      </w:tr>
      <w:tr w:rsidR="00AC2B81" w:rsidRPr="004C23F4" w14:paraId="10BBFF91" w14:textId="77777777" w:rsidTr="000B119F">
        <w:trPr>
          <w:cantSplit/>
        </w:trPr>
        <w:tc>
          <w:tcPr>
            <w:tcW w:w="1492" w:type="dxa"/>
          </w:tcPr>
          <w:p w14:paraId="4116087C" w14:textId="77777777" w:rsidR="004966BF" w:rsidRDefault="004966BF" w:rsidP="00224EE2">
            <w:pPr>
              <w:pStyle w:val="Tablefont"/>
            </w:pPr>
            <w:r>
              <w:t>US NIOSH</w:t>
            </w:r>
          </w:p>
        </w:tc>
        <w:tc>
          <w:tcPr>
            <w:tcW w:w="422" w:type="dxa"/>
          </w:tcPr>
          <w:p w14:paraId="05505A69" w14:textId="77777777" w:rsidR="004966BF" w:rsidRDefault="005D5D9E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EA51C8540A4D4F0A9062F5B1698DCBB0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AC2B81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76A92E0E" w14:textId="77777777" w:rsidR="004966BF" w:rsidRPr="004C23F4" w:rsidRDefault="00AC2B81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1994</w:t>
            </w:r>
          </w:p>
        </w:tc>
        <w:tc>
          <w:tcPr>
            <w:tcW w:w="6451" w:type="dxa"/>
          </w:tcPr>
          <w:p w14:paraId="5358CCF7" w14:textId="77777777" w:rsidR="004966BF" w:rsidRPr="004C23F4" w:rsidRDefault="00AC2B81" w:rsidP="0030608C">
            <w:pPr>
              <w:pStyle w:val="Tablefont"/>
              <w:numPr>
                <w:ilvl w:val="0"/>
                <w:numId w:val="2"/>
              </w:numPr>
              <w:rPr>
                <w:rStyle w:val="checkbox"/>
                <w:rFonts w:ascii="Arial" w:hAnsi="Arial" w:cs="Arial"/>
              </w:rPr>
            </w:pPr>
            <w:r w:rsidRPr="00AC2B81">
              <w:rPr>
                <w:rFonts w:cs="Arial"/>
              </w:rPr>
              <w:t>IDLH based on acute inhalation toxicity data in humans</w:t>
            </w:r>
            <w:r>
              <w:rPr>
                <w:rFonts w:cs="Arial"/>
              </w:rPr>
              <w:t xml:space="preserve"> and animals</w:t>
            </w:r>
            <w:r w:rsidR="00E81A90">
              <w:rPr>
                <w:rFonts w:cs="Arial"/>
              </w:rPr>
              <w:t>.</w:t>
            </w:r>
          </w:p>
        </w:tc>
      </w:tr>
    </w:tbl>
    <w:bookmarkEnd w:id="0"/>
    <w:p w14:paraId="17481D5E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28B81A6A" w14:textId="77777777" w:rsidTr="00EB56DA">
        <w:trPr>
          <w:trHeight w:val="454"/>
          <w:tblHeader/>
        </w:trPr>
        <w:tc>
          <w:tcPr>
            <w:tcW w:w="6603" w:type="dxa"/>
            <w:vAlign w:val="center"/>
          </w:tcPr>
          <w:p w14:paraId="449B61C2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18023BAD" w14:textId="77777777" w:rsidR="002E0D61" w:rsidRDefault="00EB56DA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5B45BE3B" w14:textId="77777777" w:rsidTr="00EB56DA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39DA21AF" w14:textId="77777777" w:rsidR="008A36CF" w:rsidRPr="006901A2" w:rsidRDefault="00EB56DA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004B13DD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1D9FB913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0C236FD8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138BD563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7685F561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2B56FFD4" w14:textId="77777777" w:rsidTr="00812887">
        <w:trPr>
          <w:cantSplit/>
        </w:trPr>
        <w:tc>
          <w:tcPr>
            <w:tcW w:w="3227" w:type="dxa"/>
          </w:tcPr>
          <w:p w14:paraId="468670A2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2E9BD56A" w14:textId="77777777" w:rsidR="00687890" w:rsidRPr="00DD2F9B" w:rsidRDefault="00BB35E5" w:rsidP="00DD2F9B">
            <w:pPr>
              <w:pStyle w:val="Tablefont"/>
            </w:pPr>
            <w:r w:rsidRPr="00BB35E5">
              <w:t>Carc. 2</w:t>
            </w:r>
          </w:p>
        </w:tc>
      </w:tr>
      <w:tr w:rsidR="007925F0" w:rsidRPr="004C23F4" w14:paraId="06B5E674" w14:textId="77777777" w:rsidTr="00812887">
        <w:trPr>
          <w:cantSplit/>
        </w:trPr>
        <w:tc>
          <w:tcPr>
            <w:tcW w:w="3227" w:type="dxa"/>
          </w:tcPr>
          <w:p w14:paraId="43A123F5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7ED53D6" w14:textId="77777777" w:rsidR="007925F0" w:rsidRPr="00DD2F9B" w:rsidRDefault="00BB35E5" w:rsidP="00DD2F9B">
            <w:pPr>
              <w:pStyle w:val="Tablefont"/>
            </w:pPr>
            <w:r w:rsidRPr="00BB35E5">
              <w:t>Carcinogenicity – category 2</w:t>
            </w:r>
          </w:p>
        </w:tc>
      </w:tr>
      <w:tr w:rsidR="00AF483F" w:rsidRPr="004C23F4" w14:paraId="6C7A7914" w14:textId="77777777" w:rsidTr="00812887">
        <w:trPr>
          <w:cantSplit/>
        </w:trPr>
        <w:tc>
          <w:tcPr>
            <w:tcW w:w="3227" w:type="dxa"/>
          </w:tcPr>
          <w:p w14:paraId="0B569BFA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14AA8344" w14:textId="77777777" w:rsidR="00AF483F" w:rsidRPr="00DD2F9B" w:rsidRDefault="00BB35E5" w:rsidP="00DD2F9B">
            <w:pPr>
              <w:pStyle w:val="Tablefont"/>
            </w:pPr>
            <w:r w:rsidRPr="00BB35E5">
              <w:t>Carc. Cat 3</w:t>
            </w:r>
          </w:p>
        </w:tc>
      </w:tr>
      <w:tr w:rsidR="00687890" w:rsidRPr="004C23F4" w14:paraId="77648D8F" w14:textId="77777777" w:rsidTr="00812887">
        <w:trPr>
          <w:cantSplit/>
        </w:trPr>
        <w:tc>
          <w:tcPr>
            <w:tcW w:w="3227" w:type="dxa"/>
          </w:tcPr>
          <w:p w14:paraId="3183E901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2C8EA534" w14:textId="77777777" w:rsidR="00687890" w:rsidRPr="00DD2F9B" w:rsidRDefault="00BB35E5" w:rsidP="00DD2F9B">
            <w:pPr>
              <w:pStyle w:val="Tablefont"/>
            </w:pPr>
            <w:r w:rsidRPr="00BB35E5">
              <w:t>Carcinogenicity – category 2</w:t>
            </w:r>
          </w:p>
        </w:tc>
      </w:tr>
      <w:tr w:rsidR="00E41A26" w:rsidRPr="004C23F4" w14:paraId="05C3FA07" w14:textId="77777777" w:rsidTr="00812887">
        <w:trPr>
          <w:cantSplit/>
        </w:trPr>
        <w:tc>
          <w:tcPr>
            <w:tcW w:w="3227" w:type="dxa"/>
          </w:tcPr>
          <w:p w14:paraId="6797A6B3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3FE315B1" w14:textId="77777777" w:rsidR="00E41A26" w:rsidRPr="00DD2F9B" w:rsidRDefault="00BB35E5" w:rsidP="00DD2F9B">
            <w:pPr>
              <w:pStyle w:val="Tablefont"/>
            </w:pPr>
            <w:r w:rsidRPr="00BB35E5">
              <w:t>Carc. 2</w:t>
            </w:r>
          </w:p>
        </w:tc>
      </w:tr>
      <w:tr w:rsidR="002E0D61" w:rsidRPr="004C23F4" w14:paraId="7B3F9E0A" w14:textId="77777777" w:rsidTr="00812887">
        <w:trPr>
          <w:cantSplit/>
        </w:trPr>
        <w:tc>
          <w:tcPr>
            <w:tcW w:w="3227" w:type="dxa"/>
          </w:tcPr>
          <w:p w14:paraId="4A5B8009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334BBA87" w14:textId="77777777" w:rsidR="002E0D61" w:rsidRPr="00DD2F9B" w:rsidRDefault="00BB35E5" w:rsidP="00DD2F9B">
            <w:pPr>
              <w:pStyle w:val="Tablefont"/>
            </w:pPr>
            <w:r w:rsidRPr="00BB35E5">
              <w:t>Carcinogenicity – A3</w:t>
            </w:r>
          </w:p>
        </w:tc>
      </w:tr>
      <w:tr w:rsidR="002E0D61" w:rsidRPr="004C23F4" w14:paraId="17E51617" w14:textId="77777777" w:rsidTr="00812887">
        <w:trPr>
          <w:cantSplit/>
        </w:trPr>
        <w:tc>
          <w:tcPr>
            <w:tcW w:w="3227" w:type="dxa"/>
          </w:tcPr>
          <w:p w14:paraId="529ECD08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312C9F39" w14:textId="77777777" w:rsidR="002E0D61" w:rsidRPr="00DD2F9B" w:rsidRDefault="00BB35E5" w:rsidP="00DD2F9B">
            <w:pPr>
              <w:pStyle w:val="Tablefont"/>
            </w:pPr>
            <w:r w:rsidRPr="00BB35E5">
              <w:t>Carcinogenicity – 3B</w:t>
            </w:r>
          </w:p>
        </w:tc>
      </w:tr>
      <w:tr w:rsidR="002E0D61" w:rsidRPr="004C23F4" w14:paraId="7C7B6216" w14:textId="77777777" w:rsidTr="00812887">
        <w:trPr>
          <w:cantSplit/>
        </w:trPr>
        <w:tc>
          <w:tcPr>
            <w:tcW w:w="3227" w:type="dxa"/>
          </w:tcPr>
          <w:p w14:paraId="4A8D35AA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26509546" w14:textId="77777777" w:rsidR="002E0D61" w:rsidRPr="00DD2F9B" w:rsidRDefault="00BB35E5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73480AC" w14:textId="77777777" w:rsidTr="00812887">
        <w:trPr>
          <w:cantSplit/>
        </w:trPr>
        <w:tc>
          <w:tcPr>
            <w:tcW w:w="3227" w:type="dxa"/>
          </w:tcPr>
          <w:p w14:paraId="246EE705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4DA17C90" w14:textId="77777777" w:rsidR="002E0D61" w:rsidRPr="00DD2F9B" w:rsidRDefault="00BB35E5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AB65800" w14:textId="77777777" w:rsidTr="00812887">
        <w:trPr>
          <w:cantSplit/>
        </w:trPr>
        <w:tc>
          <w:tcPr>
            <w:tcW w:w="3227" w:type="dxa"/>
          </w:tcPr>
          <w:p w14:paraId="44391097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5C3E3CFB" w14:textId="77777777" w:rsidR="00386093" w:rsidRPr="00DD2F9B" w:rsidRDefault="00BB35E5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2182F37E" w14:textId="77777777" w:rsidTr="00812887">
        <w:trPr>
          <w:cantSplit/>
        </w:trPr>
        <w:tc>
          <w:tcPr>
            <w:tcW w:w="3227" w:type="dxa"/>
          </w:tcPr>
          <w:p w14:paraId="205AEAA4" w14:textId="77777777" w:rsidR="004079B4" w:rsidRDefault="00386093" w:rsidP="00F4402E">
            <w:pPr>
              <w:pStyle w:val="Tablefont"/>
              <w:keepNext/>
            </w:pPr>
            <w:r>
              <w:lastRenderedPageBreak/>
              <w:t>US NIOSH</w:t>
            </w:r>
          </w:p>
        </w:tc>
        <w:tc>
          <w:tcPr>
            <w:tcW w:w="6015" w:type="dxa"/>
          </w:tcPr>
          <w:p w14:paraId="5AE86BF8" w14:textId="77777777" w:rsidR="00386093" w:rsidRPr="00DD2F9B" w:rsidRDefault="00BB35E5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37C3FFEA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753D975C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1BB7A972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6E49F14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358AD9C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6FEC3275" w14:textId="77777777" w:rsidR="00932DCE" w:rsidRPr="004C23F4" w:rsidRDefault="00856071" w:rsidP="00F9496B">
            <w:pPr>
              <w:pStyle w:val="Tablefont"/>
            </w:pPr>
            <w:r>
              <w:t xml:space="preserve">Insufficient data to assign a </w:t>
            </w:r>
            <w:r w:rsidR="00E81A90">
              <w:t xml:space="preserve">skin </w:t>
            </w:r>
            <w:r>
              <w:t>notation</w:t>
            </w:r>
            <w:r w:rsidR="00DD5D06">
              <w:t>.</w:t>
            </w:r>
          </w:p>
        </w:tc>
      </w:tr>
    </w:tbl>
    <w:bookmarkEnd w:id="3"/>
    <w:p w14:paraId="0C09244C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45582294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55C23D4B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17B63D3E" w14:textId="77777777" w:rsidR="00EB3D1B" w:rsidRDefault="00BB35E5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6133644D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0DEB82EE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B9BC454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71C782A2" w14:textId="77777777" w:rsidR="001B79E5" w:rsidRDefault="00BB35E5" w:rsidP="001B79E5">
                <w:pPr>
                  <w:pStyle w:val="Tablefont"/>
                </w:pPr>
                <w:r w:rsidRPr="00BB35E5">
                  <w:t>138.21</w:t>
                </w:r>
              </w:p>
            </w:tc>
          </w:sdtContent>
        </w:sdt>
      </w:tr>
      <w:tr w:rsidR="00A31D99" w:rsidRPr="004C23F4" w14:paraId="719785F1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F0AA487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76568E21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BB35E5">
                  <w:t>5.71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C1584C">
                  <w:t>0.175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0844103D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CFA556D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AAC1F93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1254BAAD" w14:textId="77777777" w:rsidTr="00EA6243">
        <w:trPr>
          <w:cantSplit/>
        </w:trPr>
        <w:tc>
          <w:tcPr>
            <w:tcW w:w="4077" w:type="dxa"/>
            <w:vAlign w:val="center"/>
          </w:tcPr>
          <w:p w14:paraId="362FB2BA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EE856BF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57E8910" w14:textId="77777777" w:rsidTr="00EA6243">
        <w:trPr>
          <w:cantSplit/>
        </w:trPr>
        <w:tc>
          <w:tcPr>
            <w:tcW w:w="4077" w:type="dxa"/>
            <w:vAlign w:val="center"/>
          </w:tcPr>
          <w:p w14:paraId="578A37CB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C8B4262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2E6167CC" w14:textId="77777777" w:rsidTr="00EA6243">
        <w:trPr>
          <w:cantSplit/>
        </w:trPr>
        <w:tc>
          <w:tcPr>
            <w:tcW w:w="4077" w:type="dxa"/>
            <w:vAlign w:val="center"/>
          </w:tcPr>
          <w:p w14:paraId="525CEE2C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5229F323" w14:textId="77777777" w:rsidR="00E06F40" w:rsidRPr="00A006A0" w:rsidRDefault="005D5D9E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69D7CE0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0D21FE38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1707E957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258F7FAE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7A2623AB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6C22732C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00A94E1B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24334A5D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5EB89EBC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6BAE810A" w14:textId="77777777" w:rsidR="00C1584C" w:rsidRDefault="00C1584C" w:rsidP="00084859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0C1E48">
        <w:t>1977</w:t>
      </w:r>
      <w:r>
        <w:t xml:space="preserve">) </w:t>
      </w:r>
      <w:proofErr w:type="spellStart"/>
      <w:r w:rsidRPr="00C1584C">
        <w:t>Isophoron</w:t>
      </w:r>
      <w:proofErr w:type="spellEnd"/>
      <w:r w:rsidR="000C1E48">
        <w:t xml:space="preserve"> – MAK value documentation, German language edition.</w:t>
      </w:r>
    </w:p>
    <w:p w14:paraId="2099484F" w14:textId="77777777" w:rsidR="00C1584C" w:rsidRDefault="00C1584C" w:rsidP="00C1584C">
      <w:r>
        <w:t xml:space="preserve">European </w:t>
      </w:r>
      <w:r w:rsidR="003411E4">
        <w:t xml:space="preserve">Chemicals Agency (ECHA) (2019) </w:t>
      </w:r>
      <w:r w:rsidR="003411E4" w:rsidRPr="003411E4">
        <w:t>3</w:t>
      </w:r>
      <w:proofErr w:type="gramStart"/>
      <w:r w:rsidR="003411E4" w:rsidRPr="003411E4">
        <w:t>,5,5</w:t>
      </w:r>
      <w:proofErr w:type="gramEnd"/>
      <w:r w:rsidR="003411E4" w:rsidRPr="003411E4">
        <w:t>-trimethylcyclohex-2-enone</w:t>
      </w:r>
      <w:r w:rsidR="003411E4">
        <w:t xml:space="preserve"> </w:t>
      </w:r>
      <w:r>
        <w:t>– REACH assessment.</w:t>
      </w:r>
    </w:p>
    <w:p w14:paraId="3377B2ED" w14:textId="77777777" w:rsidR="00E81A90" w:rsidRDefault="00E81A90" w:rsidP="00C1584C">
      <w:r w:rsidRPr="0035432C">
        <w:t>European Parliament and of the Council on classification, labelling and packaging of substances and mixtures (the CLP Regulation).</w:t>
      </w:r>
    </w:p>
    <w:p w14:paraId="1217F8BB" w14:textId="77777777" w:rsidR="00CC22DC" w:rsidRDefault="00CC22DC" w:rsidP="00CC22DC">
      <w:r w:rsidRPr="002022B6">
        <w:t>National Industrial Chemicals Notification and Assessment Scheme (NICNAS)</w:t>
      </w:r>
      <w:r>
        <w:t xml:space="preserve"> (</w:t>
      </w:r>
      <w:r w:rsidRPr="00C1584C">
        <w:t>2013</w:t>
      </w:r>
      <w:r>
        <w:t xml:space="preserve">) </w:t>
      </w:r>
      <w:r w:rsidRPr="00C1584C">
        <w:t>2-Cyclohexen-1-one, 3</w:t>
      </w:r>
      <w:proofErr w:type="gramStart"/>
      <w:r w:rsidRPr="00C1584C">
        <w:t>,5,5</w:t>
      </w:r>
      <w:proofErr w:type="gramEnd"/>
      <w:r w:rsidRPr="00C1584C">
        <w:t>-trimethyl</w:t>
      </w:r>
      <w:r w:rsidRPr="0071660C">
        <w:t xml:space="preserve">: Human health </w:t>
      </w:r>
      <w:r w:rsidRPr="00C1584C">
        <w:t>tier II</w:t>
      </w:r>
      <w:r>
        <w:t xml:space="preserve"> </w:t>
      </w:r>
      <w:r w:rsidRPr="0071660C">
        <w:t>assessment</w:t>
      </w:r>
      <w:r>
        <w:t xml:space="preserve"> – IMAP report.</w:t>
      </w:r>
    </w:p>
    <w:p w14:paraId="3CADCE1D" w14:textId="77777777" w:rsidR="00CC22DC" w:rsidRDefault="00CC22DC" w:rsidP="00C1584C">
      <w:r w:rsidRPr="002022B6">
        <w:lastRenderedPageBreak/>
        <w:t>Nordic Expert Group for Criteria Documentation of Health Risks of Chemicals</w:t>
      </w:r>
      <w:r>
        <w:t xml:space="preserve"> (1991) S-171 </w:t>
      </w:r>
      <w:proofErr w:type="spellStart"/>
      <w:r>
        <w:t>Isophorone</w:t>
      </w:r>
      <w:proofErr w:type="spellEnd"/>
      <w:r>
        <w:t>. NR 1991 84</w:t>
      </w:r>
      <w:r w:rsidRPr="000A11D8">
        <w:t>.</w:t>
      </w:r>
    </w:p>
    <w:p w14:paraId="72C90081" w14:textId="77777777" w:rsidR="00C1584C" w:rsidRPr="00351FE0" w:rsidRDefault="00CC22DC" w:rsidP="00084859">
      <w:r w:rsidRPr="00E819F5">
        <w:t>Organisation for Economic Cooperation and Development (OECD) (</w:t>
      </w:r>
      <w:r>
        <w:t>2003</w:t>
      </w:r>
      <w:r w:rsidRPr="00E819F5">
        <w:t xml:space="preserve">) SIDS initial assessment profile – </w:t>
      </w:r>
      <w:r>
        <w:t>3</w:t>
      </w:r>
      <w:proofErr w:type="gramStart"/>
      <w:r>
        <w:t>,5,5</w:t>
      </w:r>
      <w:proofErr w:type="gramEnd"/>
      <w:r>
        <w:t>-trimethylcyclohex-2-enone (</w:t>
      </w:r>
      <w:proofErr w:type="spellStart"/>
      <w:r>
        <w:t>Isophorone</w:t>
      </w:r>
      <w:proofErr w:type="spellEnd"/>
      <w:r>
        <w:t>)</w:t>
      </w:r>
      <w:r w:rsidRPr="00E819F5">
        <w:t>.</w:t>
      </w:r>
    </w:p>
    <w:p w14:paraId="24254A21" w14:textId="77777777" w:rsidR="000B119F" w:rsidRDefault="000B119F" w:rsidP="000B119F">
      <w:pPr>
        <w:rPr>
          <w:color w:val="000000"/>
        </w:rPr>
      </w:pPr>
      <w:r w:rsidRPr="00E461B8">
        <w:rPr>
          <w:color w:val="000000"/>
        </w:rPr>
        <w:t>Tenth Adaptation to Technical Progress Commission Regulation (EU Annex) No 2017/776 amending, for the purposes of its adaptation to technical and scientific progress, Regulation (EC) No 1272/2008 of the European Parliament and of the Council on classification, labelling and packaging of substances and mixtures (the CLP Regulation).</w:t>
      </w:r>
    </w:p>
    <w:p w14:paraId="459991CE" w14:textId="77777777" w:rsidR="00E81A90" w:rsidRPr="00CC22DC" w:rsidRDefault="00E81A90" w:rsidP="00E81A90">
      <w:pPr>
        <w:rPr>
          <w:color w:val="000000"/>
        </w:rPr>
      </w:pPr>
      <w:r w:rsidRPr="00D86E03">
        <w:t>UK Health and Safety Executive</w:t>
      </w:r>
      <w:r>
        <w:t xml:space="preserve"> (HSE) (2002) </w:t>
      </w:r>
      <w:r w:rsidRPr="00485AE6">
        <w:t>EH40/2005 Workplace exposure limits</w:t>
      </w:r>
      <w:r>
        <w:t>.</w:t>
      </w:r>
    </w:p>
    <w:p w14:paraId="2F7B600F" w14:textId="77777777" w:rsidR="00E81A90" w:rsidRDefault="00E81A90" w:rsidP="00E81A90">
      <w:r w:rsidRPr="00D86E03">
        <w:t>US National Institute for Occupational Safety and Health (NIOSH)</w:t>
      </w:r>
      <w:r>
        <w:t xml:space="preserve"> (1994) </w:t>
      </w:r>
      <w:proofErr w:type="gramStart"/>
      <w:r>
        <w:t>Immediately</w:t>
      </w:r>
      <w:proofErr w:type="gramEnd"/>
      <w:r>
        <w:t xml:space="preserve"> dangerous to life or health concentrations – </w:t>
      </w:r>
      <w:proofErr w:type="spellStart"/>
      <w:r w:rsidRPr="00A55FDD">
        <w:t>Isophorone</w:t>
      </w:r>
      <w:proofErr w:type="spellEnd"/>
      <w:r>
        <w:t>.</w:t>
      </w:r>
    </w:p>
    <w:p w14:paraId="2B20D938" w14:textId="77777777" w:rsidR="00DD70DE" w:rsidRPr="00351FE0" w:rsidRDefault="00DD70DE"/>
    <w:sectPr w:rsidR="00DD70DE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9C64BA" w16cid:durableId="219A05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DD605" w14:textId="77777777" w:rsidR="002B1CE5" w:rsidRDefault="002B1CE5" w:rsidP="00F43AD5">
      <w:pPr>
        <w:spacing w:after="0" w:line="240" w:lineRule="auto"/>
      </w:pPr>
      <w:r>
        <w:separator/>
      </w:r>
    </w:p>
  </w:endnote>
  <w:endnote w:type="continuationSeparator" w:id="0">
    <w:p w14:paraId="02A0FC2A" w14:textId="77777777" w:rsidR="002B1CE5" w:rsidRDefault="002B1CE5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B6790" w14:textId="77777777" w:rsidR="005D5D9E" w:rsidRDefault="005D5D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D2FC542" w14:textId="77777777" w:rsidR="008A36CF" w:rsidRDefault="00E30587" w:rsidP="0034744C">
        <w:pPr>
          <w:pStyle w:val="Footer"/>
          <w:rPr>
            <w:sz w:val="18"/>
            <w:szCs w:val="18"/>
          </w:rPr>
        </w:pPr>
        <w:proofErr w:type="spellStart"/>
        <w:r w:rsidRPr="00E30587">
          <w:rPr>
            <w:b/>
            <w:sz w:val="18"/>
            <w:szCs w:val="18"/>
          </w:rPr>
          <w:t>Isophorone</w:t>
        </w:r>
        <w:proofErr w:type="spellEnd"/>
        <w:r w:rsidR="008A36CF">
          <w:rPr>
            <w:b/>
            <w:sz w:val="18"/>
            <w:szCs w:val="18"/>
          </w:rPr>
          <w:t xml:space="preserve"> (</w:t>
        </w:r>
        <w:r w:rsidRPr="00E30587">
          <w:rPr>
            <w:b/>
            <w:sz w:val="18"/>
            <w:szCs w:val="18"/>
          </w:rPr>
          <w:t>78-59-1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1CAF3471" w14:textId="6B31D73E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5D5D9E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B80AB" w14:textId="77777777" w:rsidR="005D5D9E" w:rsidRDefault="005D5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DEC05" w14:textId="77777777" w:rsidR="002B1CE5" w:rsidRDefault="002B1CE5" w:rsidP="00F43AD5">
      <w:pPr>
        <w:spacing w:after="0" w:line="240" w:lineRule="auto"/>
      </w:pPr>
      <w:r>
        <w:separator/>
      </w:r>
    </w:p>
  </w:footnote>
  <w:footnote w:type="continuationSeparator" w:id="0">
    <w:p w14:paraId="5656D54D" w14:textId="77777777" w:rsidR="002B1CE5" w:rsidRDefault="002B1CE5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4FEE5" w14:textId="77777777" w:rsidR="005D5D9E" w:rsidRDefault="005D5D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EF61D" w14:textId="77777777" w:rsidR="005D5D9E" w:rsidRDefault="005D5D9E" w:rsidP="005D5D9E">
    <w:pPr>
      <w:pStyle w:val="Header"/>
      <w:jc w:val="right"/>
    </w:pPr>
    <w:sdt>
      <w:sdtPr>
        <w:id w:val="-1921237273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4A6A4B7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41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0694B278" wp14:editId="118F69DB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702256" w14:textId="43590D91" w:rsidR="008A36CF" w:rsidRPr="005D5D9E" w:rsidRDefault="008A36CF" w:rsidP="005D5D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76E5C" w14:textId="77777777" w:rsidR="005D5D9E" w:rsidRDefault="005D5D9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FB8C1" w14:textId="77777777" w:rsidR="005D5D9E" w:rsidRDefault="005D5D9E" w:rsidP="005D5D9E">
    <w:pPr>
      <w:pStyle w:val="Header"/>
      <w:jc w:val="right"/>
    </w:pPr>
    <w:sdt>
      <w:sdtPr>
        <w:id w:val="500783333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26F48DB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42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155FB28F" wp14:editId="1351E7C0">
          <wp:extent cx="2938272" cy="594360"/>
          <wp:effectExtent l="0" t="0" r="0" b="0"/>
          <wp:docPr id="1" name="Picture 1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C72276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45C77"/>
    <w:multiLevelType w:val="hybridMultilevel"/>
    <w:tmpl w:val="29AAD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85B39"/>
    <w:multiLevelType w:val="hybridMultilevel"/>
    <w:tmpl w:val="77FA2F96"/>
    <w:lvl w:ilvl="0" w:tplc="E21AB0A0">
      <w:start w:val="8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119F"/>
    <w:rsid w:val="000B3E12"/>
    <w:rsid w:val="000B3E78"/>
    <w:rsid w:val="000B7B48"/>
    <w:rsid w:val="000C096D"/>
    <w:rsid w:val="000C139A"/>
    <w:rsid w:val="000C1E48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21CE"/>
    <w:rsid w:val="002046A6"/>
    <w:rsid w:val="00204956"/>
    <w:rsid w:val="00213640"/>
    <w:rsid w:val="00215F59"/>
    <w:rsid w:val="00221547"/>
    <w:rsid w:val="002216FC"/>
    <w:rsid w:val="00222533"/>
    <w:rsid w:val="00222F30"/>
    <w:rsid w:val="00224EE2"/>
    <w:rsid w:val="00227EC7"/>
    <w:rsid w:val="00237FBC"/>
    <w:rsid w:val="00244AD1"/>
    <w:rsid w:val="002463BC"/>
    <w:rsid w:val="002465CE"/>
    <w:rsid w:val="0025734A"/>
    <w:rsid w:val="00263255"/>
    <w:rsid w:val="00263BD9"/>
    <w:rsid w:val="00276494"/>
    <w:rsid w:val="00277B0C"/>
    <w:rsid w:val="002873FC"/>
    <w:rsid w:val="002A339C"/>
    <w:rsid w:val="002B1A2C"/>
    <w:rsid w:val="002B1CE5"/>
    <w:rsid w:val="002C34F2"/>
    <w:rsid w:val="002C58FF"/>
    <w:rsid w:val="002C7AFE"/>
    <w:rsid w:val="002D05D2"/>
    <w:rsid w:val="002E0D61"/>
    <w:rsid w:val="002E4C7B"/>
    <w:rsid w:val="0030608C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11E4"/>
    <w:rsid w:val="00347192"/>
    <w:rsid w:val="0034744C"/>
    <w:rsid w:val="00351FE0"/>
    <w:rsid w:val="00352615"/>
    <w:rsid w:val="003535DB"/>
    <w:rsid w:val="0035412B"/>
    <w:rsid w:val="003567A8"/>
    <w:rsid w:val="00362895"/>
    <w:rsid w:val="00370DBF"/>
    <w:rsid w:val="00383F0F"/>
    <w:rsid w:val="00386093"/>
    <w:rsid w:val="003904A4"/>
    <w:rsid w:val="00391841"/>
    <w:rsid w:val="00391B6D"/>
    <w:rsid w:val="00394922"/>
    <w:rsid w:val="003A0E32"/>
    <w:rsid w:val="003A2B94"/>
    <w:rsid w:val="003B2FA5"/>
    <w:rsid w:val="003B387D"/>
    <w:rsid w:val="003C0D58"/>
    <w:rsid w:val="003D4FA3"/>
    <w:rsid w:val="003E0807"/>
    <w:rsid w:val="003E5156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58"/>
    <w:rsid w:val="004509E2"/>
    <w:rsid w:val="004515EE"/>
    <w:rsid w:val="004529F0"/>
    <w:rsid w:val="00460A03"/>
    <w:rsid w:val="00462AA7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4372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0317"/>
    <w:rsid w:val="00551BD8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D5D9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44E94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A3CAF"/>
    <w:rsid w:val="006B160A"/>
    <w:rsid w:val="006B4E6C"/>
    <w:rsid w:val="006B50B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B6417"/>
    <w:rsid w:val="007C30EB"/>
    <w:rsid w:val="007E063C"/>
    <w:rsid w:val="007E2A4B"/>
    <w:rsid w:val="007E307D"/>
    <w:rsid w:val="007E6A4E"/>
    <w:rsid w:val="007E6C94"/>
    <w:rsid w:val="007E7443"/>
    <w:rsid w:val="007F1005"/>
    <w:rsid w:val="007F25E0"/>
    <w:rsid w:val="007F5328"/>
    <w:rsid w:val="00804F5A"/>
    <w:rsid w:val="00810C6D"/>
    <w:rsid w:val="00811CF7"/>
    <w:rsid w:val="00812887"/>
    <w:rsid w:val="00826F21"/>
    <w:rsid w:val="00834CC8"/>
    <w:rsid w:val="00835E00"/>
    <w:rsid w:val="00837113"/>
    <w:rsid w:val="008414E4"/>
    <w:rsid w:val="00843E21"/>
    <w:rsid w:val="0084508E"/>
    <w:rsid w:val="00856071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D7D2A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2052"/>
    <w:rsid w:val="00946044"/>
    <w:rsid w:val="0094660B"/>
    <w:rsid w:val="00946A33"/>
    <w:rsid w:val="0095260E"/>
    <w:rsid w:val="009578DD"/>
    <w:rsid w:val="00960AB1"/>
    <w:rsid w:val="00961124"/>
    <w:rsid w:val="009621B6"/>
    <w:rsid w:val="00966618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5883"/>
    <w:rsid w:val="009B6543"/>
    <w:rsid w:val="009C199D"/>
    <w:rsid w:val="009C278F"/>
    <w:rsid w:val="009C2B94"/>
    <w:rsid w:val="009C349B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42BDD"/>
    <w:rsid w:val="00A53681"/>
    <w:rsid w:val="00A55FDD"/>
    <w:rsid w:val="00A633D4"/>
    <w:rsid w:val="00A6461A"/>
    <w:rsid w:val="00A76B96"/>
    <w:rsid w:val="00A84504"/>
    <w:rsid w:val="00A8672F"/>
    <w:rsid w:val="00A93057"/>
    <w:rsid w:val="00A968B0"/>
    <w:rsid w:val="00AB2672"/>
    <w:rsid w:val="00AB2817"/>
    <w:rsid w:val="00AB43C4"/>
    <w:rsid w:val="00AC2B81"/>
    <w:rsid w:val="00AC32E7"/>
    <w:rsid w:val="00AC3A9F"/>
    <w:rsid w:val="00AC6D2F"/>
    <w:rsid w:val="00AE2745"/>
    <w:rsid w:val="00AE2F64"/>
    <w:rsid w:val="00AF2747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35E5"/>
    <w:rsid w:val="00BB612A"/>
    <w:rsid w:val="00BD499F"/>
    <w:rsid w:val="00BD56DE"/>
    <w:rsid w:val="00BF2406"/>
    <w:rsid w:val="00C06E43"/>
    <w:rsid w:val="00C1584C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4DD9"/>
    <w:rsid w:val="00CB6BC1"/>
    <w:rsid w:val="00CB6CB8"/>
    <w:rsid w:val="00CC1A68"/>
    <w:rsid w:val="00CC2123"/>
    <w:rsid w:val="00CC22DC"/>
    <w:rsid w:val="00CC68D0"/>
    <w:rsid w:val="00CD2BFD"/>
    <w:rsid w:val="00CE5AD6"/>
    <w:rsid w:val="00CE617F"/>
    <w:rsid w:val="00CE78EF"/>
    <w:rsid w:val="00D048F7"/>
    <w:rsid w:val="00D0517E"/>
    <w:rsid w:val="00D140FC"/>
    <w:rsid w:val="00D21D8C"/>
    <w:rsid w:val="00D24B8B"/>
    <w:rsid w:val="00D31357"/>
    <w:rsid w:val="00D33220"/>
    <w:rsid w:val="00D334D1"/>
    <w:rsid w:val="00D44C89"/>
    <w:rsid w:val="00D516CD"/>
    <w:rsid w:val="00D523FC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D5D06"/>
    <w:rsid w:val="00DD70DE"/>
    <w:rsid w:val="00DE2513"/>
    <w:rsid w:val="00DE26E8"/>
    <w:rsid w:val="00DF6F36"/>
    <w:rsid w:val="00E0084C"/>
    <w:rsid w:val="00E025AB"/>
    <w:rsid w:val="00E02B23"/>
    <w:rsid w:val="00E06F40"/>
    <w:rsid w:val="00E07CE8"/>
    <w:rsid w:val="00E11A79"/>
    <w:rsid w:val="00E26A07"/>
    <w:rsid w:val="00E30587"/>
    <w:rsid w:val="00E32595"/>
    <w:rsid w:val="00E365E2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1A90"/>
    <w:rsid w:val="00E82337"/>
    <w:rsid w:val="00E92499"/>
    <w:rsid w:val="00E949AF"/>
    <w:rsid w:val="00E96077"/>
    <w:rsid w:val="00EA0A06"/>
    <w:rsid w:val="00EA6243"/>
    <w:rsid w:val="00EA74AB"/>
    <w:rsid w:val="00EB3D1B"/>
    <w:rsid w:val="00EB56DA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17B5E"/>
    <w:rsid w:val="00F20E68"/>
    <w:rsid w:val="00F22093"/>
    <w:rsid w:val="00F236DF"/>
    <w:rsid w:val="00F43AD5"/>
    <w:rsid w:val="00F4402E"/>
    <w:rsid w:val="00F56DD0"/>
    <w:rsid w:val="00F6491C"/>
    <w:rsid w:val="00F67BBB"/>
    <w:rsid w:val="00F70D73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4:docId w14:val="18B8B508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9C34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49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49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49B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8DD754E365844A4E82EC69A07E229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DDB53-9FC4-45A7-A37C-FDECC7AE23CB}"/>
      </w:docPartPr>
      <w:docPartBody>
        <w:p w:rsidR="00D21A9F" w:rsidRDefault="00D21A9F">
          <w:pPr>
            <w:pStyle w:val="8DD754E365844A4E82EC69A07E229629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CA68404C5F6B4780904F09DAAE624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49F3A-3709-4B4B-A8CF-1DE054402F6A}"/>
      </w:docPartPr>
      <w:docPartBody>
        <w:p w:rsidR="00D21A9F" w:rsidRDefault="00D21A9F">
          <w:pPr>
            <w:pStyle w:val="CA68404C5F6B4780904F09DAAE62489A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320A77D155374054996F168A20882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C0181-19B2-490D-83F0-D85D1689E2A9}"/>
      </w:docPartPr>
      <w:docPartBody>
        <w:p w:rsidR="00D21A9F" w:rsidRDefault="00D21A9F">
          <w:pPr>
            <w:pStyle w:val="320A77D155374054996F168A20882C2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51C8540A4D4F0A9062F5B1698D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35A6-51B4-4D9C-B1D2-B881B06F755D}"/>
      </w:docPartPr>
      <w:docPartBody>
        <w:p w:rsidR="00D21A9F" w:rsidRDefault="00D21A9F">
          <w:pPr>
            <w:pStyle w:val="EA51C8540A4D4F0A9062F5B1698DCBB0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0A86911499BA40C9AF2CDFCD8D89C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5864F-0D0B-4ED7-98CB-33C22752C681}"/>
      </w:docPartPr>
      <w:docPartBody>
        <w:p w:rsidR="00EF47D0" w:rsidRDefault="000F7F44" w:rsidP="000F7F44">
          <w:pPr>
            <w:pStyle w:val="0A86911499BA40C9AF2CDFCD8D89CC89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F7F44"/>
    <w:rsid w:val="00403624"/>
    <w:rsid w:val="00440DB1"/>
    <w:rsid w:val="005F5437"/>
    <w:rsid w:val="00C267AD"/>
    <w:rsid w:val="00D21A9F"/>
    <w:rsid w:val="00E134D2"/>
    <w:rsid w:val="00EF47D0"/>
    <w:rsid w:val="00F7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7F44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4834DA2DE8FD49CD98DB13546998684A">
    <w:name w:val="4834DA2DE8FD49CD98DB13546998684A"/>
    <w:rsid w:val="00E134D2"/>
  </w:style>
  <w:style w:type="paragraph" w:customStyle="1" w:styleId="762861A9EF874C2A8CFA79A312C9AD1A">
    <w:name w:val="762861A9EF874C2A8CFA79A312C9AD1A"/>
    <w:rsid w:val="00E134D2"/>
  </w:style>
  <w:style w:type="paragraph" w:customStyle="1" w:styleId="85C80D06D58D4C2F8C21B4CFE0F52DE7">
    <w:name w:val="85C80D06D58D4C2F8C21B4CFE0F52DE7"/>
    <w:rsid w:val="00E134D2"/>
  </w:style>
  <w:style w:type="paragraph" w:customStyle="1" w:styleId="B37A011CBC974167BF237F09BB3DAEDA">
    <w:name w:val="B37A011CBC974167BF237F09BB3DAEDA"/>
    <w:rsid w:val="00E134D2"/>
  </w:style>
  <w:style w:type="paragraph" w:customStyle="1" w:styleId="5C60FCE056A64927B9FACFECD0CCFBE8">
    <w:name w:val="5C60FCE056A64927B9FACFECD0CCFBE8"/>
    <w:rsid w:val="00E134D2"/>
  </w:style>
  <w:style w:type="paragraph" w:customStyle="1" w:styleId="B8F317C4F05B40B59865158533A8EEED">
    <w:name w:val="B8F317C4F05B40B59865158533A8EEED"/>
    <w:rsid w:val="00E134D2"/>
  </w:style>
  <w:style w:type="paragraph" w:customStyle="1" w:styleId="D1049236DC09484892517D863868D5D5">
    <w:name w:val="D1049236DC09484892517D863868D5D5"/>
    <w:rsid w:val="00E134D2"/>
  </w:style>
  <w:style w:type="paragraph" w:customStyle="1" w:styleId="4C88DD69A3C547438AA0E1C7480E72F6">
    <w:name w:val="4C88DD69A3C547438AA0E1C7480E72F6"/>
    <w:rsid w:val="00F76D49"/>
  </w:style>
  <w:style w:type="paragraph" w:customStyle="1" w:styleId="A604E08AEC0D47B29F02FBEA16A5ECC6">
    <w:name w:val="A604E08AEC0D47B29F02FBEA16A5ECC6"/>
    <w:rsid w:val="00F76D49"/>
  </w:style>
  <w:style w:type="paragraph" w:customStyle="1" w:styleId="A528B1EF468E475E9A370AA8010A9146">
    <w:name w:val="A528B1EF468E475E9A370AA8010A9146"/>
    <w:rsid w:val="00403624"/>
  </w:style>
  <w:style w:type="paragraph" w:customStyle="1" w:styleId="82BC431AA69A41408570F88A13ACDAEF">
    <w:name w:val="82BC431AA69A41408570F88A13ACDAEF"/>
    <w:rsid w:val="00C267AD"/>
  </w:style>
  <w:style w:type="paragraph" w:customStyle="1" w:styleId="D320A853A7444FA1B77B508A05BE159D">
    <w:name w:val="D320A853A7444FA1B77B508A05BE159D"/>
    <w:rsid w:val="00C267AD"/>
  </w:style>
  <w:style w:type="paragraph" w:customStyle="1" w:styleId="544805AF7B054177A46A128EE130B288">
    <w:name w:val="544805AF7B054177A46A128EE130B288"/>
    <w:rsid w:val="00C267AD"/>
  </w:style>
  <w:style w:type="paragraph" w:customStyle="1" w:styleId="0A86911499BA40C9AF2CDFCD8D89CC89">
    <w:name w:val="0A86911499BA40C9AF2CDFCD8D89CC89"/>
    <w:rsid w:val="000F7F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FD3B4-E5FF-44D0-A85D-1656AEB7AF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691693-FE4F-416F-B2D2-F5E6A793F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C30FBE-5EFF-4748-BCF1-33DE481E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372D0221.dotm</Template>
  <TotalTime>534</TotalTime>
  <Pages>7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22</cp:revision>
  <cp:lastPrinted>2018-10-22T22:41:00Z</cp:lastPrinted>
  <dcterms:created xsi:type="dcterms:W3CDTF">2019-09-04T05:46:00Z</dcterms:created>
  <dcterms:modified xsi:type="dcterms:W3CDTF">2020-01-15T21:32:00Z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