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rsidR="00BD499F" w:rsidRPr="004C23F4" w:rsidRDefault="00A8284D" w:rsidP="00B40C60">
          <w:pPr>
            <w:pStyle w:val="Heading1"/>
            <w:jc w:val="center"/>
            <w:rPr>
              <w:rFonts w:ascii="Arial" w:hAnsi="Arial" w:cs="Arial"/>
            </w:rPr>
          </w:pPr>
          <w:r w:rsidRPr="00A8284D">
            <w:rPr>
              <w:rFonts w:ascii="Arial" w:hAnsi="Arial" w:cs="Arial"/>
            </w:rPr>
            <w:t>Isopropoxyethanol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4"/>
        <w:gridCol w:w="5042"/>
      </w:tblGrid>
      <w:tr w:rsidR="00F43AD5" w:rsidRPr="004C23F4" w:rsidTr="00B76A41">
        <w:trPr>
          <w:cantSplit/>
          <w:tblHeader/>
        </w:trPr>
        <w:tc>
          <w:tcPr>
            <w:tcW w:w="4077" w:type="dxa"/>
          </w:tcPr>
          <w:p w:rsidR="00F43AD5" w:rsidRPr="00921DE7" w:rsidRDefault="00CB1CB1" w:rsidP="00B76A41">
            <w:pPr>
              <w:pStyle w:val="Tablerowright"/>
            </w:pPr>
            <w:r w:rsidRPr="00921DE7">
              <w:t>CAS number:</w:t>
            </w:r>
          </w:p>
        </w:tc>
        <w:tc>
          <w:tcPr>
            <w:tcW w:w="5165" w:type="dxa"/>
          </w:tcPr>
          <w:p w:rsidR="00F43AD5" w:rsidRPr="00717D45" w:rsidRDefault="00A97DF5" w:rsidP="00B76A41">
            <w:pPr>
              <w:pStyle w:val="Tablefont"/>
            </w:pPr>
            <w:r w:rsidRPr="00A97DF5">
              <w:t>109-59-1</w:t>
            </w:r>
          </w:p>
        </w:tc>
      </w:tr>
      <w:tr w:rsidR="00F43AD5" w:rsidRPr="004C23F4" w:rsidTr="00B76A41">
        <w:trPr>
          <w:cantSplit/>
        </w:trPr>
        <w:tc>
          <w:tcPr>
            <w:tcW w:w="4077" w:type="dxa"/>
          </w:tcPr>
          <w:p w:rsidR="00F43AD5" w:rsidRPr="00921DE7" w:rsidRDefault="00CB1CB1" w:rsidP="00B76A41">
            <w:pPr>
              <w:pStyle w:val="Tablerowright"/>
            </w:pPr>
            <w:r w:rsidRPr="00921DE7">
              <w:t>Synonyms:</w:t>
            </w:r>
          </w:p>
        </w:tc>
        <w:tc>
          <w:tcPr>
            <w:tcW w:w="5165" w:type="dxa"/>
          </w:tcPr>
          <w:p w:rsidR="00F43AD5" w:rsidRPr="00717D45" w:rsidRDefault="005979ED" w:rsidP="00B76A41">
            <w:pPr>
              <w:pStyle w:val="Tablefont"/>
            </w:pPr>
            <w:r>
              <w:t xml:space="preserve">Ethylene glycol </w:t>
            </w:r>
            <w:proofErr w:type="spellStart"/>
            <w:r>
              <w:t>monoisopropyl</w:t>
            </w:r>
            <w:proofErr w:type="spellEnd"/>
            <w:r>
              <w:t xml:space="preserve"> ether, IPE, </w:t>
            </w:r>
            <w:r w:rsidR="00682F82">
              <w:br/>
            </w:r>
            <w:r w:rsidR="008E51D9">
              <w:t>i</w:t>
            </w:r>
            <w:r>
              <w:t xml:space="preserve">sopropyl </w:t>
            </w:r>
            <w:proofErr w:type="spellStart"/>
            <w:r w:rsidR="008E51D9">
              <w:t>c</w:t>
            </w:r>
            <w:r>
              <w:t>ellosolve</w:t>
            </w:r>
            <w:proofErr w:type="spellEnd"/>
            <w:r>
              <w:t>, isopropyl glycol</w:t>
            </w:r>
          </w:p>
        </w:tc>
      </w:tr>
      <w:tr w:rsidR="00F43AD5" w:rsidRPr="004C23F4" w:rsidTr="00B76A41">
        <w:trPr>
          <w:cantSplit/>
        </w:trPr>
        <w:tc>
          <w:tcPr>
            <w:tcW w:w="4077" w:type="dxa"/>
          </w:tcPr>
          <w:p w:rsidR="00F43AD5" w:rsidRPr="00921DE7" w:rsidRDefault="00CB1CB1" w:rsidP="00B76A41">
            <w:pPr>
              <w:pStyle w:val="Tablerowright"/>
            </w:pPr>
            <w:r w:rsidRPr="00921DE7">
              <w:t>Chemical formula:</w:t>
            </w:r>
          </w:p>
        </w:tc>
        <w:tc>
          <w:tcPr>
            <w:tcW w:w="5165" w:type="dxa"/>
          </w:tcPr>
          <w:p w:rsidR="00F43AD5" w:rsidRPr="00717D45" w:rsidRDefault="005979ED" w:rsidP="00B76A41">
            <w:pPr>
              <w:pStyle w:val="Tablefont"/>
            </w:pPr>
            <w:r>
              <w:t>C</w:t>
            </w:r>
            <w:r w:rsidRPr="005979ED">
              <w:rPr>
                <w:vertAlign w:val="subscript"/>
              </w:rPr>
              <w:t>5</w:t>
            </w:r>
            <w:r>
              <w:t>H</w:t>
            </w:r>
            <w:r w:rsidRPr="005979ED">
              <w:rPr>
                <w:vertAlign w:val="subscript"/>
              </w:rPr>
              <w:t>12</w:t>
            </w:r>
            <w:r>
              <w:t>O</w:t>
            </w:r>
            <w:r w:rsidRPr="005979ED">
              <w:rPr>
                <w:vertAlign w:val="subscript"/>
              </w:rPr>
              <w:t>2</w:t>
            </w:r>
          </w:p>
        </w:tc>
      </w:tr>
      <w:tr w:rsidR="00F43AD5" w:rsidRPr="004C23F4" w:rsidTr="00B76A41">
        <w:trPr>
          <w:cantSplit/>
        </w:trPr>
        <w:tc>
          <w:tcPr>
            <w:tcW w:w="4077" w:type="dxa"/>
          </w:tcPr>
          <w:p w:rsidR="00F43AD5" w:rsidRPr="00921DE7" w:rsidRDefault="00CB1CB1" w:rsidP="00B76A41">
            <w:pPr>
              <w:pStyle w:val="Tablerowright"/>
            </w:pPr>
            <w:r w:rsidRPr="00921DE7">
              <w:t>Structural formula:</w:t>
            </w:r>
          </w:p>
        </w:tc>
        <w:tc>
          <w:tcPr>
            <w:tcW w:w="5165" w:type="dxa"/>
          </w:tcPr>
          <w:p w:rsidR="00F43AD5" w:rsidRPr="005979ED" w:rsidRDefault="005979ED" w:rsidP="00B76A41">
            <w:pPr>
              <w:pStyle w:val="Tablerowheading"/>
              <w:rPr>
                <w:b w:val="0"/>
              </w:rPr>
            </w:pPr>
            <w:r w:rsidRPr="005979ED">
              <w:rPr>
                <w:b w:val="0"/>
              </w:rPr>
              <w:t>—</w:t>
            </w:r>
          </w:p>
        </w:tc>
      </w:tr>
    </w:tbl>
    <w:p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4257E3">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5"/>
        <w:gridCol w:w="5021"/>
      </w:tblGrid>
      <w:tr w:rsidR="002C7AFE" w:rsidRPr="004C23F4" w:rsidTr="008F458C">
        <w:trPr>
          <w:cantSplit/>
          <w:tblHeader/>
        </w:trPr>
        <w:tc>
          <w:tcPr>
            <w:tcW w:w="4005" w:type="dxa"/>
            <w:vAlign w:val="center"/>
          </w:tcPr>
          <w:p w:rsidR="002C7AFE" w:rsidRPr="002C58FF" w:rsidRDefault="00921DE7" w:rsidP="00921DE7">
            <w:pPr>
              <w:pStyle w:val="Tablerowright"/>
            </w:pPr>
            <w:r>
              <w:t>TWA:</w:t>
            </w:r>
          </w:p>
        </w:tc>
        <w:tc>
          <w:tcPr>
            <w:tcW w:w="5021" w:type="dxa"/>
          </w:tcPr>
          <w:p w:rsidR="002C7AFE" w:rsidRPr="00EB3D1B" w:rsidRDefault="00C71A3E" w:rsidP="00017C82">
            <w:pPr>
              <w:pStyle w:val="Tablefont"/>
              <w:rPr>
                <w:b/>
              </w:rPr>
            </w:pPr>
            <w:r w:rsidRPr="00C71A3E">
              <w:rPr>
                <w:b/>
              </w:rPr>
              <w:t>10 ppm (43 mg/m</w:t>
            </w:r>
            <w:r w:rsidRPr="00C71A3E">
              <w:rPr>
                <w:b/>
                <w:vertAlign w:val="superscript"/>
              </w:rPr>
              <w:t>3</w:t>
            </w:r>
            <w:r w:rsidRPr="00C71A3E">
              <w:rPr>
                <w:b/>
              </w:rPr>
              <w:t>)</w:t>
            </w:r>
          </w:p>
        </w:tc>
      </w:tr>
      <w:tr w:rsidR="002C7AFE" w:rsidRPr="004C23F4" w:rsidTr="008F458C">
        <w:trPr>
          <w:cantSplit/>
        </w:trPr>
        <w:tc>
          <w:tcPr>
            <w:tcW w:w="4005" w:type="dxa"/>
            <w:vAlign w:val="center"/>
          </w:tcPr>
          <w:p w:rsidR="002C7AFE" w:rsidRPr="002C58FF" w:rsidRDefault="002C7AFE" w:rsidP="00921DE7">
            <w:pPr>
              <w:pStyle w:val="Tablerowright"/>
            </w:pPr>
            <w:r w:rsidRPr="002C58FF">
              <w:t>STEL</w:t>
            </w:r>
            <w:r w:rsidR="00921DE7">
              <w:t>:</w:t>
            </w:r>
          </w:p>
        </w:tc>
        <w:tc>
          <w:tcPr>
            <w:tcW w:w="5021" w:type="dxa"/>
          </w:tcPr>
          <w:p w:rsidR="002C7AFE" w:rsidRPr="00EB3D1B" w:rsidRDefault="00C71A3E" w:rsidP="00017C82">
            <w:pPr>
              <w:pStyle w:val="Tablefont"/>
              <w:rPr>
                <w:b/>
              </w:rPr>
            </w:pPr>
            <w:r>
              <w:rPr>
                <w:b/>
              </w:rPr>
              <w:t>—</w:t>
            </w:r>
          </w:p>
        </w:tc>
      </w:tr>
      <w:tr w:rsidR="002C7AFE" w:rsidRPr="004C23F4" w:rsidTr="008F458C">
        <w:trPr>
          <w:cantSplit/>
        </w:trPr>
        <w:tc>
          <w:tcPr>
            <w:tcW w:w="4005" w:type="dxa"/>
            <w:vAlign w:val="center"/>
          </w:tcPr>
          <w:p w:rsidR="002C7AFE" w:rsidRPr="002C58FF" w:rsidRDefault="00921DE7" w:rsidP="00921DE7">
            <w:pPr>
              <w:pStyle w:val="Tablerowright"/>
            </w:pPr>
            <w:r>
              <w:t>Peak limitation:</w:t>
            </w:r>
          </w:p>
        </w:tc>
        <w:tc>
          <w:tcPr>
            <w:tcW w:w="5021" w:type="dxa"/>
          </w:tcPr>
          <w:p w:rsidR="002C7AFE" w:rsidRPr="00EB3D1B" w:rsidRDefault="00C71A3E" w:rsidP="00017C82">
            <w:pPr>
              <w:pStyle w:val="Tablefont"/>
              <w:rPr>
                <w:b/>
              </w:rPr>
            </w:pPr>
            <w:r>
              <w:rPr>
                <w:b/>
              </w:rPr>
              <w:t>—</w:t>
            </w:r>
          </w:p>
        </w:tc>
      </w:tr>
      <w:tr w:rsidR="002C7AFE" w:rsidRPr="004C23F4" w:rsidTr="008F458C">
        <w:trPr>
          <w:cantSplit/>
        </w:trPr>
        <w:tc>
          <w:tcPr>
            <w:tcW w:w="4005" w:type="dxa"/>
          </w:tcPr>
          <w:p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21" w:type="dxa"/>
          </w:tcPr>
          <w:p w:rsidR="002C7AFE" w:rsidRPr="00EB3D1B" w:rsidRDefault="00C71A3E" w:rsidP="008A36CF">
            <w:pPr>
              <w:pStyle w:val="Tablefont"/>
              <w:rPr>
                <w:b/>
              </w:rPr>
            </w:pPr>
            <w:r>
              <w:rPr>
                <w:b/>
              </w:rPr>
              <w:t>Sk.</w:t>
            </w:r>
          </w:p>
        </w:tc>
      </w:tr>
      <w:tr w:rsidR="002C7AFE" w:rsidRPr="004C23F4" w:rsidTr="008F458C">
        <w:trPr>
          <w:cantSplit/>
        </w:trPr>
        <w:tc>
          <w:tcPr>
            <w:tcW w:w="4005" w:type="dxa"/>
            <w:vAlign w:val="center"/>
          </w:tcPr>
          <w:p w:rsidR="00F10C97" w:rsidRPr="002C58FF" w:rsidRDefault="00921DE7" w:rsidP="009F04D2">
            <w:pPr>
              <w:pStyle w:val="Tablerowright"/>
            </w:pPr>
            <w:r>
              <w:t>IDLH:</w:t>
            </w:r>
          </w:p>
        </w:tc>
        <w:tc>
          <w:tcPr>
            <w:tcW w:w="5021" w:type="dxa"/>
          </w:tcPr>
          <w:p w:rsidR="002C7AFE" w:rsidRPr="00EB3D1B" w:rsidRDefault="005979ED" w:rsidP="00017C82">
            <w:pPr>
              <w:pStyle w:val="Tablefont"/>
              <w:rPr>
                <w:b/>
              </w:rPr>
            </w:pPr>
            <w:r w:rsidRPr="005979ED">
              <w:rPr>
                <w:b/>
              </w:rPr>
              <w:t>—</w:t>
            </w:r>
          </w:p>
        </w:tc>
      </w:tr>
      <w:tr w:rsidR="008F458C" w:rsidRPr="004C23F4" w:rsidTr="0083453B">
        <w:trPr>
          <w:cantSplit/>
        </w:trPr>
        <w:tc>
          <w:tcPr>
            <w:tcW w:w="9026" w:type="dxa"/>
            <w:gridSpan w:val="2"/>
            <w:vAlign w:val="center"/>
          </w:tcPr>
          <w:p w:rsidR="008F458C" w:rsidRPr="00C71A3E" w:rsidRDefault="008F458C" w:rsidP="00017C82">
            <w:pPr>
              <w:pStyle w:val="Tablefont"/>
            </w:pPr>
            <w:r w:rsidRPr="00E82B18">
              <w:rPr>
                <w:b/>
              </w:rPr>
              <w:t>Sampling and analysis:</w:t>
            </w:r>
            <w:r w:rsidRPr="00EC521E">
              <w:rPr>
                <w:rStyle w:val="WESstatus"/>
                <w:color w:val="auto"/>
              </w:rPr>
              <w:t xml:space="preserve"> </w:t>
            </w:r>
            <w:sdt>
              <w:sdtPr>
                <w:rPr>
                  <w:rStyle w:val="WESstatus"/>
                  <w:color w:val="auto"/>
                </w:rPr>
                <w:id w:val="-2105258949"/>
                <w:placeholder>
                  <w:docPart w:val="CDB6A1692F1343A289293B1F68CB630E"/>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9518CE">
                  <w:rPr>
                    <w:rStyle w:val="WESstatus"/>
                    <w:color w:val="auto"/>
                  </w:rPr>
                  <w:t xml:space="preserve">The recommended value is quantifiable through available sampling and analysis techniques. </w:t>
                </w:r>
              </w:sdtContent>
            </w:sdt>
          </w:p>
        </w:tc>
      </w:tr>
    </w:tbl>
    <w:p w:rsidR="00CB1CB1" w:rsidRPr="003365A5" w:rsidRDefault="00F10C97" w:rsidP="003365A5">
      <w:pPr>
        <w:pStyle w:val="Heading2"/>
      </w:pPr>
      <w:r>
        <w:t>Recommendation and basis for workplace exposure standard</w:t>
      </w:r>
    </w:p>
    <w:p w:rsidR="006639B4" w:rsidRPr="004C23F4" w:rsidRDefault="004257E3" w:rsidP="000C139A">
      <w:pPr>
        <w:rPr>
          <w:rFonts w:cs="Arial"/>
        </w:rPr>
      </w:pPr>
      <w:r w:rsidRPr="004257E3">
        <w:rPr>
          <w:rFonts w:cs="Arial"/>
        </w:rPr>
        <w:t xml:space="preserve">A TWA of </w:t>
      </w:r>
      <w:r>
        <w:rPr>
          <w:rFonts w:cs="Arial"/>
        </w:rPr>
        <w:t>10</w:t>
      </w:r>
      <w:r w:rsidRPr="004257E3">
        <w:rPr>
          <w:rFonts w:cs="Arial"/>
        </w:rPr>
        <w:t xml:space="preserve"> ppm (</w:t>
      </w:r>
      <w:r>
        <w:rPr>
          <w:rFonts w:cs="Arial"/>
        </w:rPr>
        <w:t>43</w:t>
      </w:r>
      <w:r w:rsidRPr="004257E3">
        <w:rPr>
          <w:rFonts w:cs="Arial"/>
        </w:rPr>
        <w:t xml:space="preserve"> mg/m</w:t>
      </w:r>
      <w:r w:rsidRPr="004257E3">
        <w:rPr>
          <w:rFonts w:cs="Arial"/>
          <w:vertAlign w:val="superscript"/>
        </w:rPr>
        <w:t>3</w:t>
      </w:r>
      <w:r w:rsidRPr="004257E3">
        <w:rPr>
          <w:rFonts w:cs="Arial"/>
        </w:rPr>
        <w:t xml:space="preserve">) is </w:t>
      </w:r>
      <w:r>
        <w:rPr>
          <w:rFonts w:cs="Arial"/>
        </w:rPr>
        <w:t>recommended</w:t>
      </w:r>
      <w:r w:rsidRPr="004257E3">
        <w:rPr>
          <w:rFonts w:cs="Arial"/>
        </w:rPr>
        <w:t xml:space="preserve"> to protect for </w:t>
      </w:r>
      <w:r w:rsidR="00C71A3E">
        <w:rPr>
          <w:rFonts w:cs="Arial"/>
        </w:rPr>
        <w:t xml:space="preserve">adverse </w:t>
      </w:r>
      <w:r>
        <w:rPr>
          <w:rFonts w:cs="Arial"/>
        </w:rPr>
        <w:t xml:space="preserve">haemolytic </w:t>
      </w:r>
      <w:r w:rsidR="00682F82">
        <w:rPr>
          <w:rFonts w:cs="Arial"/>
        </w:rPr>
        <w:t xml:space="preserve">(blood cell) </w:t>
      </w:r>
      <w:r>
        <w:rPr>
          <w:rFonts w:cs="Arial"/>
        </w:rPr>
        <w:t>effects</w:t>
      </w:r>
      <w:r w:rsidRPr="004257E3">
        <w:rPr>
          <w:rFonts w:cs="Arial"/>
        </w:rPr>
        <w:t xml:space="preserve"> in exposed workers</w:t>
      </w:r>
      <w:r>
        <w:rPr>
          <w:rFonts w:cs="Arial"/>
        </w:rPr>
        <w:t>.</w:t>
      </w:r>
    </w:p>
    <w:p w:rsidR="00C7155E" w:rsidRPr="004C23F4" w:rsidRDefault="00F10C97" w:rsidP="003365A5">
      <w:pPr>
        <w:pStyle w:val="Heading2"/>
      </w:pPr>
      <w:r>
        <w:t>Discussion and conclusions</w:t>
      </w:r>
    </w:p>
    <w:p w:rsidR="00682F82" w:rsidRDefault="00024FA1" w:rsidP="006639B4">
      <w:pPr>
        <w:rPr>
          <w:rFonts w:cs="Arial"/>
        </w:rPr>
      </w:pPr>
      <w:proofErr w:type="spellStart"/>
      <w:r>
        <w:rPr>
          <w:rFonts w:cs="Arial"/>
        </w:rPr>
        <w:t>Isopropoxyethanol</w:t>
      </w:r>
      <w:proofErr w:type="spellEnd"/>
      <w:r>
        <w:rPr>
          <w:rFonts w:cs="Arial"/>
        </w:rPr>
        <w:t xml:space="preserve"> is used as a solvent </w:t>
      </w:r>
      <w:r w:rsidR="00BA7040">
        <w:rPr>
          <w:rFonts w:cs="Arial"/>
        </w:rPr>
        <w:t>for</w:t>
      </w:r>
      <w:r>
        <w:rPr>
          <w:rFonts w:cs="Arial"/>
        </w:rPr>
        <w:t xml:space="preserve"> latex paints, resin coatings, and textile dyes. </w:t>
      </w:r>
    </w:p>
    <w:p w:rsidR="00861ABD" w:rsidRDefault="00024FA1" w:rsidP="006639B4">
      <w:pPr>
        <w:rPr>
          <w:rFonts w:cs="Arial"/>
        </w:rPr>
      </w:pPr>
      <w:r>
        <w:rPr>
          <w:rFonts w:cs="Arial"/>
        </w:rPr>
        <w:t>Critical effects</w:t>
      </w:r>
      <w:r w:rsidR="00BA7040">
        <w:rPr>
          <w:rFonts w:cs="Arial"/>
        </w:rPr>
        <w:t xml:space="preserve"> of exposure</w:t>
      </w:r>
      <w:r>
        <w:rPr>
          <w:rFonts w:cs="Arial"/>
        </w:rPr>
        <w:t xml:space="preserve"> are </w:t>
      </w:r>
      <w:r w:rsidR="002242D6">
        <w:rPr>
          <w:rFonts w:cs="Arial"/>
        </w:rPr>
        <w:t xml:space="preserve">haemolytic </w:t>
      </w:r>
      <w:r>
        <w:rPr>
          <w:rFonts w:cs="Arial"/>
        </w:rPr>
        <w:t xml:space="preserve">disorders </w:t>
      </w:r>
      <w:r>
        <w:t>including erythrocyte osmotic fragility, haemoglobinuria and anaemia as observed in animals.</w:t>
      </w:r>
      <w:r w:rsidR="00682F82">
        <w:rPr>
          <w:rFonts w:cs="Arial"/>
        </w:rPr>
        <w:t xml:space="preserve"> </w:t>
      </w:r>
      <w:r w:rsidR="002242D6">
        <w:rPr>
          <w:rFonts w:cs="Arial"/>
        </w:rPr>
        <w:t xml:space="preserve">No substance-specific human exposure data are available. A NOAEL of 30 ppm for haemolytic endpoints is presented in rats with a corresponding LOAEL of </w:t>
      </w:r>
      <w:r w:rsidR="00682F82">
        <w:rPr>
          <w:rFonts w:cs="Arial"/>
        </w:rPr>
        <w:t>100 </w:t>
      </w:r>
      <w:r w:rsidR="002242D6">
        <w:rPr>
          <w:rFonts w:cs="Arial"/>
        </w:rPr>
        <w:t xml:space="preserve">ppm (DFG, 2018). </w:t>
      </w:r>
      <w:r w:rsidR="006717DA">
        <w:rPr>
          <w:rFonts w:cs="Arial"/>
        </w:rPr>
        <w:t>Rats are more susceptible to these endpoints than humans (ACGIH, 2018; DFG, 2018, ECHA, 2019)</w:t>
      </w:r>
      <w:r w:rsidR="000D0F5C">
        <w:rPr>
          <w:rFonts w:cs="Arial"/>
        </w:rPr>
        <w:t xml:space="preserve">. </w:t>
      </w:r>
    </w:p>
    <w:p w:rsidR="00024FA1" w:rsidRDefault="000D0F5C" w:rsidP="006639B4">
      <w:pPr>
        <w:rPr>
          <w:rFonts w:cs="Arial"/>
        </w:rPr>
      </w:pPr>
      <w:r>
        <w:rPr>
          <w:rFonts w:cs="Arial"/>
        </w:rPr>
        <w:t>The TWA of 10 ppm is based on</w:t>
      </w:r>
      <w:r w:rsidR="006717DA">
        <w:rPr>
          <w:rFonts w:cs="Arial"/>
        </w:rPr>
        <w:t xml:space="preserve"> the NOAEL of 30 ppm </w:t>
      </w:r>
      <w:r>
        <w:rPr>
          <w:rFonts w:cs="Arial"/>
        </w:rPr>
        <w:t xml:space="preserve">in rats </w:t>
      </w:r>
      <w:r w:rsidR="00EF2BC6">
        <w:rPr>
          <w:rFonts w:cs="Arial"/>
        </w:rPr>
        <w:t>reported from a sub</w:t>
      </w:r>
      <w:r w:rsidR="00BA7040">
        <w:rPr>
          <w:rFonts w:cs="Arial"/>
        </w:rPr>
        <w:t xml:space="preserve"> </w:t>
      </w:r>
      <w:r w:rsidR="00EF2BC6">
        <w:rPr>
          <w:rFonts w:cs="Arial"/>
        </w:rPr>
        <w:t>chronic inhalation study</w:t>
      </w:r>
      <w:r w:rsidR="0051392B">
        <w:rPr>
          <w:rFonts w:cs="Arial"/>
        </w:rPr>
        <w:t xml:space="preserve"> (DFG, 2018)</w:t>
      </w:r>
      <w:r w:rsidR="00EF2BC6">
        <w:rPr>
          <w:rFonts w:cs="Arial"/>
        </w:rPr>
        <w:t>. This NOAEL</w:t>
      </w:r>
      <w:r>
        <w:rPr>
          <w:rFonts w:cs="Arial"/>
        </w:rPr>
        <w:t xml:space="preserve"> </w:t>
      </w:r>
      <w:r w:rsidR="00861ABD">
        <w:rPr>
          <w:rFonts w:cs="Arial"/>
        </w:rPr>
        <w:t xml:space="preserve">has been </w:t>
      </w:r>
      <w:r w:rsidR="006717DA">
        <w:rPr>
          <w:rFonts w:cs="Arial"/>
        </w:rPr>
        <w:t xml:space="preserve">halved </w:t>
      </w:r>
      <w:r w:rsidR="00EF2BC6">
        <w:rPr>
          <w:rFonts w:cs="Arial"/>
        </w:rPr>
        <w:t xml:space="preserve">to account for translation between animals and humans </w:t>
      </w:r>
      <w:r w:rsidR="006717DA">
        <w:rPr>
          <w:rFonts w:cs="Arial"/>
        </w:rPr>
        <w:t>and rounded down</w:t>
      </w:r>
      <w:r>
        <w:rPr>
          <w:rFonts w:cs="Arial"/>
        </w:rPr>
        <w:t xml:space="preserve"> </w:t>
      </w:r>
      <w:r w:rsidR="00682F82">
        <w:rPr>
          <w:rFonts w:cs="Arial"/>
        </w:rPr>
        <w:t xml:space="preserve">as presented by </w:t>
      </w:r>
      <w:r>
        <w:rPr>
          <w:rFonts w:cs="Arial"/>
        </w:rPr>
        <w:t xml:space="preserve">DFG </w:t>
      </w:r>
      <w:r w:rsidR="00682F82">
        <w:rPr>
          <w:rFonts w:cs="Arial"/>
        </w:rPr>
        <w:t>(</w:t>
      </w:r>
      <w:r>
        <w:rPr>
          <w:rFonts w:cs="Arial"/>
        </w:rPr>
        <w:t>2018)</w:t>
      </w:r>
      <w:r w:rsidR="006717DA">
        <w:rPr>
          <w:rFonts w:cs="Arial"/>
        </w:rPr>
        <w:t>.</w:t>
      </w:r>
      <w:r w:rsidR="00EF2BC6">
        <w:rPr>
          <w:rFonts w:cs="Arial"/>
        </w:rPr>
        <w:t xml:space="preserve"> This approach is considered appropriate noting that rats are more sensitive than humans to haemolytic endpoints.</w:t>
      </w:r>
      <w:r>
        <w:rPr>
          <w:rFonts w:cs="Arial"/>
        </w:rPr>
        <w:t xml:space="preserve"> </w:t>
      </w:r>
    </w:p>
    <w:p w:rsidR="004529F0" w:rsidRPr="004C23F4" w:rsidRDefault="004529F0" w:rsidP="004529F0">
      <w:pPr>
        <w:pStyle w:val="Heading2"/>
      </w:pPr>
      <w:r>
        <w:t>Recommendation for notations</w:t>
      </w:r>
    </w:p>
    <w:p w:rsidR="005979ED" w:rsidRDefault="005979ED" w:rsidP="005979ED">
      <w:pPr>
        <w:rPr>
          <w:rFonts w:cs="Arial"/>
        </w:rPr>
      </w:pPr>
      <w:r>
        <w:rPr>
          <w:rFonts w:cs="Arial"/>
        </w:rPr>
        <w:t xml:space="preserve">Not classified as a carcinogen according to the Globally Harmonized System of Classification and Labelling </w:t>
      </w:r>
      <w:r w:rsidR="00534C4E">
        <w:rPr>
          <w:rFonts w:cs="Arial"/>
        </w:rPr>
        <w:t xml:space="preserve">of </w:t>
      </w:r>
      <w:r>
        <w:rPr>
          <w:rFonts w:cs="Arial"/>
        </w:rPr>
        <w:t xml:space="preserve">Chemicals (GHS). </w:t>
      </w:r>
    </w:p>
    <w:p w:rsidR="005979ED" w:rsidRDefault="005979ED" w:rsidP="005979ED">
      <w:pPr>
        <w:rPr>
          <w:rFonts w:cs="Arial"/>
        </w:rPr>
      </w:pPr>
      <w:r>
        <w:rPr>
          <w:rFonts w:cs="Arial"/>
        </w:rPr>
        <w:t xml:space="preserve">Not classified as a skin </w:t>
      </w:r>
      <w:r w:rsidR="00534C4E">
        <w:rPr>
          <w:rFonts w:cs="Arial"/>
        </w:rPr>
        <w:t xml:space="preserve">sensitiser </w:t>
      </w:r>
      <w:r>
        <w:rPr>
          <w:rFonts w:cs="Arial"/>
        </w:rPr>
        <w:t>or respiratory sensitiser according to the GHS.</w:t>
      </w:r>
    </w:p>
    <w:p w:rsidR="009518CE" w:rsidRPr="004C23F4" w:rsidRDefault="009518CE" w:rsidP="009518CE">
      <w:pPr>
        <w:rPr>
          <w:rFonts w:cs="Arial"/>
        </w:rPr>
      </w:pPr>
      <w:r>
        <w:rPr>
          <w:rFonts w:cs="Arial"/>
        </w:rPr>
        <w:t xml:space="preserve">A skin notation is recommended based on </w:t>
      </w:r>
      <w:r>
        <w:rPr>
          <w:rFonts w:cs="Arial"/>
          <w:i/>
        </w:rPr>
        <w:t>in vitro</w:t>
      </w:r>
      <w:r>
        <w:rPr>
          <w:rFonts w:cs="Arial"/>
        </w:rPr>
        <w:t xml:space="preserve"> studies with human skin that indicate an appreciable amount of the substance may be absorbed relative to the inhalational burden if the TWA is observed. This is supported by a relatively low acute dermal LD</w:t>
      </w:r>
      <w:r>
        <w:rPr>
          <w:rFonts w:cs="Arial"/>
          <w:vertAlign w:val="subscript"/>
        </w:rPr>
        <w:t>50</w:t>
      </w:r>
      <w:r>
        <w:rPr>
          <w:rFonts w:cs="Arial"/>
        </w:rPr>
        <w:t xml:space="preserve"> in rabbits (DFG, 2018).</w:t>
      </w:r>
    </w:p>
    <w:p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rsidR="0034744C" w:rsidRPr="004C23F4" w:rsidRDefault="005E6979" w:rsidP="005E6979">
      <w:pPr>
        <w:pStyle w:val="Heading1"/>
        <w:rPr>
          <w:rFonts w:ascii="Arial" w:hAnsi="Arial" w:cs="Arial"/>
        </w:rPr>
      </w:pPr>
      <w:r w:rsidRPr="004C23F4">
        <w:rPr>
          <w:rFonts w:ascii="Arial" w:hAnsi="Arial" w:cs="Arial"/>
        </w:rPr>
        <w:lastRenderedPageBreak/>
        <w:t>Appendix</w:t>
      </w:r>
    </w:p>
    <w:p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rsidTr="00DE26E8">
        <w:trPr>
          <w:gridAfter w:val="1"/>
          <w:wAfter w:w="8" w:type="pct"/>
          <w:cantSplit/>
          <w:trHeight w:val="393"/>
          <w:tblHeader/>
        </w:trPr>
        <w:tc>
          <w:tcPr>
            <w:tcW w:w="4992" w:type="pct"/>
            <w:shd w:val="clear" w:color="auto" w:fill="BFBFBF" w:themeFill="background1" w:themeFillShade="BF"/>
            <w:vAlign w:val="center"/>
          </w:tcPr>
          <w:p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rsidTr="00DE26E8">
        <w:trPr>
          <w:cantSplit/>
        </w:trPr>
        <w:tc>
          <w:tcPr>
            <w:tcW w:w="5000" w:type="pct"/>
            <w:gridSpan w:val="2"/>
            <w:shd w:val="clear" w:color="auto" w:fill="F2F2F2" w:themeFill="background1" w:themeFillShade="F2"/>
          </w:tcPr>
          <w:p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5979ED">
                  <w:t>1991</w:t>
                </w:r>
              </w:sdtContent>
            </w:sdt>
            <w:r w:rsidRPr="003365A5">
              <w:tab/>
            </w:r>
            <w:r>
              <w:tab/>
            </w:r>
            <w:sdt>
              <w:sdtPr>
                <w:alias w:val="SWA WES"/>
                <w:tag w:val="SWA WES"/>
                <w:id w:val="857077202"/>
                <w:placeholder>
                  <w:docPart w:val="81CFEC2FDBC5451289F394E66D92D1A0"/>
                </w:placeholder>
              </w:sdtPr>
              <w:sdtEndPr/>
              <w:sdtContent>
                <w:r w:rsidR="005979ED">
                  <w:t>TWA: 25 ppm (106 mg/m</w:t>
                </w:r>
                <w:r w:rsidR="005979ED" w:rsidRPr="005979ED">
                  <w:rPr>
                    <w:vertAlign w:val="superscript"/>
                  </w:rPr>
                  <w:t>3</w:t>
                </w:r>
                <w:r w:rsidR="005979ED">
                  <w:t>)</w:t>
                </w:r>
              </w:sdtContent>
            </w:sdt>
          </w:p>
        </w:tc>
      </w:tr>
      <w:tr w:rsidR="00C978F0" w:rsidRPr="00DA352E" w:rsidTr="00DE26E8">
        <w:trPr>
          <w:gridAfter w:val="1"/>
          <w:wAfter w:w="8" w:type="pct"/>
          <w:cantSplit/>
        </w:trPr>
        <w:tc>
          <w:tcPr>
            <w:tcW w:w="4992" w:type="pct"/>
          </w:tcPr>
          <w:p w:rsidR="00C978F0" w:rsidRPr="00DA352E" w:rsidRDefault="00C978F0" w:rsidP="003365A5">
            <w:pPr>
              <w:pStyle w:val="Tabletextprimarysource"/>
            </w:pP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5979ED">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5979ED">
                  <w:t>TLV-TWA: 25 ppm (106 mg/m</w:t>
                </w:r>
                <w:r w:rsidR="005979ED" w:rsidRPr="005979ED">
                  <w:rPr>
                    <w:vertAlign w:val="superscript"/>
                  </w:rPr>
                  <w:t>3</w:t>
                </w:r>
                <w:r w:rsidR="005979ED">
                  <w:t>)</w:t>
                </w:r>
              </w:sdtContent>
            </w:sdt>
          </w:p>
        </w:tc>
      </w:tr>
      <w:tr w:rsidR="00C978F0" w:rsidRPr="00DA352E" w:rsidTr="00DE26E8">
        <w:trPr>
          <w:gridAfter w:val="1"/>
          <w:wAfter w:w="8" w:type="pct"/>
          <w:cantSplit/>
        </w:trPr>
        <w:tc>
          <w:tcPr>
            <w:tcW w:w="4992" w:type="pct"/>
          </w:tcPr>
          <w:p w:rsidR="00C978F0" w:rsidRDefault="00024FA1" w:rsidP="003365A5">
            <w:pPr>
              <w:pStyle w:val="Tabletextprimarysource"/>
            </w:pPr>
            <w:r>
              <w:t xml:space="preserve">TLV-TWA intended to minimise potential for blood disorders including erythrocyte osmotic fragility, haemoglobinuria and anaemia. </w:t>
            </w:r>
          </w:p>
          <w:p w:rsidR="00024FA1" w:rsidRDefault="00024FA1" w:rsidP="003365A5">
            <w:pPr>
              <w:pStyle w:val="Tabletextprimarysource"/>
            </w:pPr>
            <w:r>
              <w:t>Summary of data:</w:t>
            </w:r>
          </w:p>
          <w:p w:rsidR="00024FA1" w:rsidRDefault="00D57F4E" w:rsidP="003365A5">
            <w:pPr>
              <w:pStyle w:val="Tabletextprimarysource"/>
            </w:pPr>
            <w:r>
              <w:t>TLV-TWA derivation not presented, but expected to be protective of haemolytic effects in exposed workers based on available studies with rats.</w:t>
            </w:r>
          </w:p>
          <w:p w:rsidR="00024FA1" w:rsidRDefault="00024FA1" w:rsidP="003365A5">
            <w:pPr>
              <w:pStyle w:val="Tabletextprimarysource"/>
            </w:pPr>
            <w:r>
              <w:t>Human data:</w:t>
            </w:r>
          </w:p>
          <w:p w:rsidR="00024FA1" w:rsidRDefault="004102B4" w:rsidP="00024FA1">
            <w:pPr>
              <w:pStyle w:val="Tabletextprimarysource"/>
              <w:numPr>
                <w:ilvl w:val="0"/>
                <w:numId w:val="2"/>
              </w:numPr>
            </w:pPr>
            <w:r>
              <w:t>Less susceptible than rats to haemolytic action of glycol ethers (no further information provided)</w:t>
            </w:r>
            <w:r w:rsidR="00534C4E">
              <w:t>.</w:t>
            </w:r>
          </w:p>
          <w:p w:rsidR="004102B4" w:rsidRDefault="004102B4" w:rsidP="004102B4">
            <w:pPr>
              <w:pStyle w:val="Tabletextprimarysource"/>
            </w:pPr>
            <w:r>
              <w:t>Animal data:</w:t>
            </w:r>
          </w:p>
          <w:p w:rsidR="004102B4" w:rsidRDefault="004102B4" w:rsidP="004102B4">
            <w:pPr>
              <w:pStyle w:val="Tabletextprimarysource"/>
              <w:numPr>
                <w:ilvl w:val="0"/>
                <w:numId w:val="1"/>
              </w:numPr>
            </w:pPr>
            <w:r>
              <w:t>Metabolised to the corresponding carboxylic acid (no further information provided)</w:t>
            </w:r>
          </w:p>
          <w:p w:rsidR="00024FA1" w:rsidRDefault="00024FA1" w:rsidP="00024FA1">
            <w:pPr>
              <w:pStyle w:val="Tabletextprimarysource"/>
              <w:numPr>
                <w:ilvl w:val="0"/>
                <w:numId w:val="1"/>
              </w:numPr>
            </w:pPr>
            <w:r>
              <w:t xml:space="preserve">No adverse effects noted at 32 ppm in acute inhalation study (rats, 4 h); significant erythrocyte osmotic fragility at 62 ppm, 2-butoxyethanol </w:t>
            </w:r>
            <w:r w:rsidR="004102B4">
              <w:t>showed the same toxicity</w:t>
            </w:r>
          </w:p>
          <w:p w:rsidR="00682F82" w:rsidRDefault="004102B4" w:rsidP="00024FA1">
            <w:pPr>
              <w:pStyle w:val="Tabletextprimarysource"/>
              <w:numPr>
                <w:ilvl w:val="0"/>
                <w:numId w:val="1"/>
              </w:numPr>
            </w:pPr>
            <w:r>
              <w:t>Haemoglobinuria, anaemia an</w:t>
            </w:r>
            <w:r w:rsidR="00C075A4">
              <w:t>d</w:t>
            </w:r>
            <w:r>
              <w:t xml:space="preserve"> pulmonary congestion at 1,000 ppm in repeat inhalation study (rats, 6 h, 15 exposures)</w:t>
            </w:r>
          </w:p>
          <w:p w:rsidR="004102B4" w:rsidRDefault="004102B4" w:rsidP="0051392B">
            <w:pPr>
              <w:pStyle w:val="Tabletextprimarysource"/>
              <w:numPr>
                <w:ilvl w:val="1"/>
                <w:numId w:val="1"/>
              </w:numPr>
              <w:ind w:left="1094" w:hanging="357"/>
            </w:pPr>
            <w:r>
              <w:t>effects transient at 300 ppm</w:t>
            </w:r>
          </w:p>
          <w:p w:rsidR="004102B4" w:rsidRDefault="004102B4" w:rsidP="0051392B">
            <w:pPr>
              <w:pStyle w:val="Tabletextprimarysource"/>
              <w:numPr>
                <w:ilvl w:val="1"/>
                <w:numId w:val="1"/>
              </w:numPr>
              <w:ind w:left="1094" w:hanging="357"/>
            </w:pPr>
            <w:r>
              <w:t>NOAEL: 100 ppm</w:t>
            </w:r>
          </w:p>
          <w:p w:rsidR="004102B4" w:rsidRDefault="004102B4" w:rsidP="004102B4">
            <w:pPr>
              <w:pStyle w:val="Tabletextprimarysource"/>
              <w:numPr>
                <w:ilvl w:val="0"/>
                <w:numId w:val="1"/>
              </w:numPr>
            </w:pPr>
            <w:r>
              <w:t xml:space="preserve">No overt signs of toxicity at 200, 50, or 25 ppm in </w:t>
            </w:r>
            <w:proofErr w:type="spellStart"/>
            <w:r>
              <w:t>subchronic</w:t>
            </w:r>
            <w:proofErr w:type="spellEnd"/>
            <w:r>
              <w:t xml:space="preserve"> inhalation study (4 species including dogs, 6 h/d, 26 wk); changes to haematological parameters, including erythrocyte osmotic fragility, dose dependent in some species but minimal at 25</w:t>
            </w:r>
            <w:r w:rsidR="00534C4E">
              <w:t xml:space="preserve"> </w:t>
            </w:r>
            <w:r>
              <w:t>ppm (no further details provided)</w:t>
            </w:r>
            <w:r w:rsidR="00534C4E">
              <w:t>.</w:t>
            </w:r>
          </w:p>
          <w:p w:rsidR="00861ABD" w:rsidRDefault="00861ABD" w:rsidP="003365A5">
            <w:pPr>
              <w:pStyle w:val="Tabletextprimarysource"/>
            </w:pPr>
          </w:p>
          <w:p w:rsidR="009518CE" w:rsidRDefault="00024FA1" w:rsidP="003365A5">
            <w:pPr>
              <w:pStyle w:val="Tabletextprimarysource"/>
            </w:pPr>
            <w:r>
              <w:t>Insufficient data to recommend a TLV-STEL or notations for carcinogenicity and sensitisation.</w:t>
            </w:r>
            <w:r w:rsidR="009518CE">
              <w:t xml:space="preserve"> </w:t>
            </w:r>
          </w:p>
          <w:p w:rsidR="00024FA1" w:rsidRDefault="009518CE" w:rsidP="003365A5">
            <w:pPr>
              <w:pStyle w:val="Tabletextprimarysource"/>
            </w:pPr>
            <w:r>
              <w:t>A skin notation is recommended by analogy to 2-butoxyethanol, for which adverse systemic effects are reported following dermal application in rabbits.</w:t>
            </w:r>
          </w:p>
          <w:p w:rsidR="00861ABD" w:rsidRPr="00DA352E" w:rsidRDefault="00861ABD" w:rsidP="003365A5">
            <w:pPr>
              <w:pStyle w:val="Tabletextprimarysource"/>
            </w:pP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5979ED">
                  <w:t>2018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5979ED">
                  <w:t>MAK: 10 ppm (43 mg/m</w:t>
                </w:r>
                <w:r w:rsidR="005979ED" w:rsidRPr="005979ED">
                  <w:rPr>
                    <w:vertAlign w:val="superscript"/>
                  </w:rPr>
                  <w:t>3</w:t>
                </w:r>
                <w:r w:rsidR="005979ED">
                  <w:t>)</w:t>
                </w:r>
              </w:sdtContent>
            </w:sdt>
          </w:p>
        </w:tc>
      </w:tr>
      <w:tr w:rsidR="00C978F0" w:rsidRPr="00DA352E" w:rsidTr="009518CE">
        <w:trPr>
          <w:gridAfter w:val="1"/>
          <w:wAfter w:w="8" w:type="pct"/>
        </w:trPr>
        <w:tc>
          <w:tcPr>
            <w:tcW w:w="0" w:type="pct"/>
          </w:tcPr>
          <w:p w:rsidR="00C978F0" w:rsidRDefault="00942D3E" w:rsidP="003365A5">
            <w:pPr>
              <w:pStyle w:val="Tabletextprimarysource"/>
            </w:pPr>
            <w:r>
              <w:t>Irritation of the respiratory tract is assumed based on positive eye irritation in rabbits. Haemolytic critical effect in rats considered less relevant to human exposures. MAK based on a NOAEL of 30</w:t>
            </w:r>
            <w:r w:rsidR="00861ABD">
              <w:t> </w:t>
            </w:r>
            <w:r>
              <w:t xml:space="preserve">ppm </w:t>
            </w:r>
            <w:r w:rsidR="00AA756C">
              <w:t>and</w:t>
            </w:r>
            <w:r>
              <w:t xml:space="preserve"> corresponding L</w:t>
            </w:r>
            <w:r w:rsidR="00BA7040">
              <w:t>OA</w:t>
            </w:r>
            <w:r>
              <w:t>EL of 100 ppm for slight haemolytic effects</w:t>
            </w:r>
            <w:r w:rsidR="00BA7040">
              <w:t xml:space="preserve"> from a </w:t>
            </w:r>
            <w:r>
              <w:t>sub</w:t>
            </w:r>
            <w:r w:rsidR="00BA7040">
              <w:t xml:space="preserve"> </w:t>
            </w:r>
            <w:r>
              <w:t>chronic inhalation study</w:t>
            </w:r>
            <w:r w:rsidR="00BA7040">
              <w:t xml:space="preserve"> of rats</w:t>
            </w:r>
            <w:r>
              <w:t xml:space="preserve">. </w:t>
            </w:r>
            <w:r w:rsidR="009823E4">
              <w:t>The NOAEL is halved to account for translation from experimental conditions to the workplace and rounded down to arrive at the recommended value of 10 ppm. The value is expected to be pr</w:t>
            </w:r>
            <w:r w:rsidR="00BA7040">
              <w:t>otective of potential irritant</w:t>
            </w:r>
            <w:r w:rsidR="009823E4">
              <w:t xml:space="preserve"> effects based on the </w:t>
            </w:r>
            <w:r>
              <w:t>structurally related 2-butoxyethanol</w:t>
            </w:r>
            <w:r w:rsidR="00BA7040">
              <w:t xml:space="preserve"> (MAK of </w:t>
            </w:r>
            <w:r>
              <w:t>10 ppm based on a LOAEL</w:t>
            </w:r>
            <w:r w:rsidR="009823E4">
              <w:t xml:space="preserve"> </w:t>
            </w:r>
            <w:r>
              <w:t xml:space="preserve">of 31 ppm </w:t>
            </w:r>
            <w:r w:rsidR="009823E4">
              <w:t xml:space="preserve">for nasal irritation </w:t>
            </w:r>
            <w:r>
              <w:t>in a 2</w:t>
            </w:r>
            <w:r w:rsidR="00534C4E">
              <w:t xml:space="preserve"> </w:t>
            </w:r>
            <w:r>
              <w:t>yr inhalation study in rats</w:t>
            </w:r>
            <w:r w:rsidR="00BA7040">
              <w:t>)</w:t>
            </w:r>
            <w:r>
              <w:t>.</w:t>
            </w:r>
          </w:p>
          <w:p w:rsidR="00D57F4E" w:rsidRPr="00D57F4E" w:rsidRDefault="00D57F4E" w:rsidP="003365A5">
            <w:pPr>
              <w:pStyle w:val="Tabletextprimarysource"/>
            </w:pPr>
            <w:r>
              <w:t xml:space="preserve">A skin notation is recommended based on </w:t>
            </w:r>
            <w:r>
              <w:rPr>
                <w:i/>
              </w:rPr>
              <w:t>in vitro</w:t>
            </w:r>
            <w:r>
              <w:t xml:space="preserve"> skin penetration calculations that indicate dermal exposure contributes significantly to total exposure if the MAK is observed.</w:t>
            </w:r>
          </w:p>
          <w:p w:rsidR="00942D3E" w:rsidRDefault="003E70EE" w:rsidP="003365A5">
            <w:pPr>
              <w:pStyle w:val="Tabletextprimarysource"/>
            </w:pPr>
            <w:r>
              <w:t>Human data:</w:t>
            </w:r>
          </w:p>
          <w:p w:rsidR="003E70EE" w:rsidRDefault="00193F15" w:rsidP="003E70EE">
            <w:pPr>
              <w:pStyle w:val="Tabletextprimarysource"/>
              <w:numPr>
                <w:ilvl w:val="0"/>
                <w:numId w:val="1"/>
              </w:numPr>
            </w:pPr>
            <w:r w:rsidRPr="00193F15">
              <w:rPr>
                <w:i/>
              </w:rPr>
              <w:t>In vitro</w:t>
            </w:r>
            <w:r>
              <w:t xml:space="preserve"> dermal flux through human skin (undiluted): 240 µg/cm</w:t>
            </w:r>
            <w:r>
              <w:rPr>
                <w:vertAlign w:val="superscript"/>
              </w:rPr>
              <w:t>2</w:t>
            </w:r>
            <w:r>
              <w:t>/h</w:t>
            </w:r>
            <w:r w:rsidR="00534C4E">
              <w:t>.</w:t>
            </w:r>
          </w:p>
          <w:p w:rsidR="00942D3E" w:rsidRDefault="00942D3E" w:rsidP="003365A5">
            <w:pPr>
              <w:pStyle w:val="Tabletextprimarysource"/>
            </w:pPr>
            <w:r>
              <w:t>Animal data:</w:t>
            </w:r>
          </w:p>
          <w:p w:rsidR="002A163C" w:rsidRDefault="002A163C" w:rsidP="00942D3E">
            <w:pPr>
              <w:pStyle w:val="Tabletextprimarysource"/>
              <w:numPr>
                <w:ilvl w:val="0"/>
                <w:numId w:val="1"/>
              </w:numPr>
            </w:pPr>
            <w:r>
              <w:lastRenderedPageBreak/>
              <w:t>LD</w:t>
            </w:r>
            <w:r>
              <w:rPr>
                <w:vertAlign w:val="subscript"/>
              </w:rPr>
              <w:t>50</w:t>
            </w:r>
            <w:r>
              <w:t>: 1,445 mg/kg (rabbits</w:t>
            </w:r>
            <w:r w:rsidR="009518CE">
              <w:t>, dermal</w:t>
            </w:r>
            <w:r>
              <w:t>)</w:t>
            </w:r>
          </w:p>
          <w:p w:rsidR="00942D3E" w:rsidRDefault="00942D3E" w:rsidP="00942D3E">
            <w:pPr>
              <w:pStyle w:val="Tabletextprimarysource"/>
              <w:numPr>
                <w:ilvl w:val="0"/>
                <w:numId w:val="1"/>
              </w:numPr>
            </w:pPr>
            <w:r>
              <w:t>Nose irritation observed in 3</w:t>
            </w:r>
            <w:r w:rsidR="00534C4E">
              <w:t xml:space="preserve"> </w:t>
            </w:r>
            <w:r>
              <w:t>wk inhalation study (rats</w:t>
            </w:r>
            <w:r w:rsidR="009518CE">
              <w:t>) (</w:t>
            </w:r>
            <w:r>
              <w:t>also cited in ACGIH, 2018)</w:t>
            </w:r>
          </w:p>
          <w:p w:rsidR="002A163C" w:rsidRDefault="002A163C" w:rsidP="002A163C">
            <w:pPr>
              <w:pStyle w:val="Tabletextprimarysource"/>
              <w:numPr>
                <w:ilvl w:val="0"/>
                <w:numId w:val="1"/>
              </w:numPr>
            </w:pPr>
            <w:r>
              <w:t>Reversible iritis and corneal damage when applied undiluted to eye (rabbit); 7 d recovery</w:t>
            </w:r>
          </w:p>
          <w:p w:rsidR="002A163C" w:rsidRDefault="002A163C" w:rsidP="002A163C">
            <w:pPr>
              <w:pStyle w:val="Tabletextprimarysource"/>
              <w:numPr>
                <w:ilvl w:val="0"/>
                <w:numId w:val="1"/>
              </w:numPr>
            </w:pPr>
            <w:r>
              <w:t>Non-sensitising in poorly documented maximisation test; no positive reactions (n=20) to challenge of 1% solution (no further details provided)</w:t>
            </w:r>
          </w:p>
          <w:p w:rsidR="00AA756C" w:rsidRDefault="00AA756C" w:rsidP="002A163C">
            <w:pPr>
              <w:pStyle w:val="Tabletextprimarysource"/>
              <w:numPr>
                <w:ilvl w:val="0"/>
                <w:numId w:val="1"/>
              </w:numPr>
            </w:pPr>
            <w:proofErr w:type="spellStart"/>
            <w:r>
              <w:t>Haemopoietic</w:t>
            </w:r>
            <w:proofErr w:type="spellEnd"/>
            <w:r>
              <w:t xml:space="preserve"> changes and haemolytic anaemia </w:t>
            </w:r>
            <w:r w:rsidR="00C075A4">
              <w:t xml:space="preserve">at 142 ppm in </w:t>
            </w:r>
            <w:proofErr w:type="spellStart"/>
            <w:r w:rsidR="00C075A4">
              <w:t>subchronic</w:t>
            </w:r>
            <w:proofErr w:type="spellEnd"/>
            <w:r w:rsidR="00C075A4">
              <w:t xml:space="preserve"> inhalation study (rats, 6 h/d, 5 d/wk, 28 d); no NOAEL determined</w:t>
            </w:r>
            <w:r w:rsidR="00861ABD">
              <w:t>:</w:t>
            </w:r>
          </w:p>
          <w:p w:rsidR="00C075A4" w:rsidRDefault="00C075A4" w:rsidP="0051392B">
            <w:pPr>
              <w:pStyle w:val="Tabletextprimarysource"/>
              <w:numPr>
                <w:ilvl w:val="1"/>
                <w:numId w:val="1"/>
              </w:numPr>
              <w:ind w:left="1094" w:hanging="357"/>
            </w:pPr>
            <w:r>
              <w:t xml:space="preserve">follow-up study with lower concentration range 10–100 ppm determined </w:t>
            </w:r>
            <w:r>
              <w:br/>
              <w:t>NOAEL: 30 ppm and LOAEL: 100 ppm for slight haemolytic effects</w:t>
            </w:r>
          </w:p>
          <w:p w:rsidR="00C075A4" w:rsidRDefault="00C075A4" w:rsidP="00C075A4">
            <w:pPr>
              <w:pStyle w:val="Tabletextprimarysource"/>
              <w:numPr>
                <w:ilvl w:val="0"/>
                <w:numId w:val="1"/>
              </w:numPr>
            </w:pPr>
            <w:r>
              <w:t xml:space="preserve">Pulmonary congestion at 300 ppm in repeat inhalation study (rats, 6 h/d, 5 d/wk, 3 wk, </w:t>
            </w:r>
            <w:r w:rsidR="009518CE">
              <w:t xml:space="preserve">as </w:t>
            </w:r>
            <w:r>
              <w:t xml:space="preserve">cited by ACGIH, 2018); nasal irritation noted at 1,000 ppm </w:t>
            </w:r>
          </w:p>
          <w:p w:rsidR="002A163C" w:rsidRDefault="002A163C" w:rsidP="002A163C">
            <w:pPr>
              <w:pStyle w:val="Tabletextprimarysource"/>
              <w:numPr>
                <w:ilvl w:val="0"/>
                <w:numId w:val="1"/>
              </w:numPr>
            </w:pPr>
            <w:r>
              <w:t xml:space="preserve">NOAEL: 600 ppm (highest tested dose) for foetal toxicity (rats, 6 h/d, </w:t>
            </w:r>
            <w:r w:rsidR="00EF2BC6">
              <w:t>GD</w:t>
            </w:r>
            <w:r>
              <w:t xml:space="preserve"> 6–15)</w:t>
            </w:r>
          </w:p>
          <w:p w:rsidR="002A163C" w:rsidRDefault="002A163C" w:rsidP="002A163C">
            <w:pPr>
              <w:pStyle w:val="Tabletextprimarysource"/>
              <w:numPr>
                <w:ilvl w:val="0"/>
                <w:numId w:val="1"/>
              </w:numPr>
            </w:pPr>
            <w:r>
              <w:t>NOAEL: 125 mg/kg/d for fertility in standardised reproductive gavage study (rats, duration not specified)</w:t>
            </w:r>
          </w:p>
          <w:p w:rsidR="002A163C" w:rsidRDefault="00D57F4E" w:rsidP="002A163C">
            <w:pPr>
              <w:pStyle w:val="Tabletextprimarysource"/>
              <w:numPr>
                <w:ilvl w:val="0"/>
                <w:numId w:val="1"/>
              </w:numPr>
            </w:pPr>
            <w:r>
              <w:t xml:space="preserve">Non-mutagenic </w:t>
            </w:r>
            <w:r>
              <w:rPr>
                <w:i/>
              </w:rPr>
              <w:t>in vitro</w:t>
            </w:r>
            <w:r>
              <w:t xml:space="preserve">, no </w:t>
            </w:r>
            <w:r>
              <w:rPr>
                <w:i/>
              </w:rPr>
              <w:t xml:space="preserve">in vivo </w:t>
            </w:r>
            <w:r>
              <w:t>studies available</w:t>
            </w:r>
            <w:r w:rsidR="00534C4E">
              <w:t>.</w:t>
            </w:r>
          </w:p>
          <w:p w:rsidR="00861ABD" w:rsidRDefault="00861ABD" w:rsidP="00D57F4E">
            <w:pPr>
              <w:pStyle w:val="Tabletextprimarysource"/>
            </w:pPr>
          </w:p>
          <w:p w:rsidR="00942D3E" w:rsidRDefault="00D57F4E" w:rsidP="00D57F4E">
            <w:pPr>
              <w:pStyle w:val="Tabletextprimarysource"/>
            </w:pPr>
            <w:r>
              <w:t>Insufficient data to recommend notations for carcinogenicity or sensitisation.</w:t>
            </w:r>
          </w:p>
          <w:p w:rsidR="00861ABD" w:rsidRPr="00DA352E" w:rsidRDefault="00861ABD" w:rsidP="00D57F4E">
            <w:pPr>
              <w:pStyle w:val="Tabletextprimarysource"/>
            </w:pP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5979ED">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5979ED">
                  <w:t>NA</w:t>
                </w:r>
                <w:proofErr w:type="spellEnd"/>
              </w:sdtContent>
            </w:sdt>
          </w:p>
        </w:tc>
      </w:tr>
      <w:tr w:rsidR="00C978F0" w:rsidRPr="00DA352E" w:rsidTr="00DE26E8">
        <w:trPr>
          <w:gridAfter w:val="1"/>
          <w:wAfter w:w="8" w:type="pct"/>
          <w:cantSplit/>
        </w:trPr>
        <w:tc>
          <w:tcPr>
            <w:tcW w:w="4992" w:type="pct"/>
          </w:tcPr>
          <w:p w:rsidR="00C978F0" w:rsidRPr="00DA352E" w:rsidRDefault="005979ED" w:rsidP="003365A5">
            <w:pPr>
              <w:pStyle w:val="Tabletextprimarysource"/>
            </w:pPr>
            <w:r>
              <w:t>No report</w:t>
            </w:r>
            <w:r w:rsidR="00534C4E">
              <w:t>.</w:t>
            </w:r>
          </w:p>
        </w:tc>
      </w:tr>
      <w:tr w:rsidR="00DA352E" w:rsidRPr="00DA352E" w:rsidTr="00DE26E8">
        <w:trPr>
          <w:gridAfter w:val="1"/>
          <w:wAfter w:w="8" w:type="pct"/>
          <w:cantSplit/>
        </w:trPr>
        <w:tc>
          <w:tcPr>
            <w:tcW w:w="4992" w:type="pct"/>
            <w:shd w:val="clear" w:color="auto" w:fill="F2F2F2" w:themeFill="background1" w:themeFillShade="F2"/>
          </w:tcPr>
          <w:p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5979ED">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5979ED">
                  <w:t>NA</w:t>
                </w:r>
                <w:proofErr w:type="spellEnd"/>
              </w:sdtContent>
            </w:sdt>
          </w:p>
        </w:tc>
      </w:tr>
      <w:tr w:rsidR="00DA352E" w:rsidRPr="00DA352E" w:rsidTr="00DE26E8">
        <w:trPr>
          <w:gridAfter w:val="1"/>
          <w:wAfter w:w="8" w:type="pct"/>
          <w:cantSplit/>
        </w:trPr>
        <w:tc>
          <w:tcPr>
            <w:tcW w:w="4992" w:type="pct"/>
          </w:tcPr>
          <w:p w:rsidR="00DA352E" w:rsidRPr="00DA352E" w:rsidRDefault="005979ED" w:rsidP="003365A5">
            <w:pPr>
              <w:pStyle w:val="Tabletextprimarysource"/>
            </w:pPr>
            <w:r>
              <w:t>No report</w:t>
            </w:r>
            <w:r w:rsidR="00534C4E">
              <w:t>.</w:t>
            </w:r>
          </w:p>
        </w:tc>
      </w:tr>
      <w:tr w:rsidR="00DA352E" w:rsidRPr="00DA352E" w:rsidTr="00DE26E8">
        <w:trPr>
          <w:gridAfter w:val="1"/>
          <w:wAfter w:w="8" w:type="pct"/>
          <w:cantSplit/>
        </w:trPr>
        <w:tc>
          <w:tcPr>
            <w:tcW w:w="4992" w:type="pct"/>
            <w:shd w:val="clear" w:color="auto" w:fill="F2F2F2" w:themeFill="background1" w:themeFillShade="F2"/>
          </w:tcPr>
          <w:p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5979ED">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5979ED">
                  <w:t>NA</w:t>
                </w:r>
                <w:proofErr w:type="spellEnd"/>
              </w:sdtContent>
            </w:sdt>
          </w:p>
        </w:tc>
      </w:tr>
      <w:tr w:rsidR="00DA352E" w:rsidRPr="00DA352E" w:rsidTr="00DE26E8">
        <w:trPr>
          <w:gridAfter w:val="1"/>
          <w:wAfter w:w="8" w:type="pct"/>
          <w:cantSplit/>
        </w:trPr>
        <w:tc>
          <w:tcPr>
            <w:tcW w:w="4992" w:type="pct"/>
          </w:tcPr>
          <w:p w:rsidR="00DA352E" w:rsidRPr="00DA352E" w:rsidRDefault="005979ED" w:rsidP="003365A5">
            <w:pPr>
              <w:pStyle w:val="Tabletextprimarysource"/>
            </w:pPr>
            <w:r>
              <w:t>No report</w:t>
            </w:r>
            <w:r w:rsidR="00534C4E">
              <w:t>.</w:t>
            </w:r>
          </w:p>
        </w:tc>
      </w:tr>
    </w:tbl>
    <w:p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3"/>
        <w:gridCol w:w="421"/>
        <w:gridCol w:w="661"/>
        <w:gridCol w:w="6461"/>
      </w:tblGrid>
      <w:tr w:rsidR="004966BF" w:rsidRPr="00263255" w:rsidTr="009518CE">
        <w:trPr>
          <w:cantSplit/>
          <w:trHeight w:val="393"/>
          <w:tblHeader/>
        </w:trPr>
        <w:tc>
          <w:tcPr>
            <w:tcW w:w="1483" w:type="dxa"/>
            <w:shd w:val="clear" w:color="auto" w:fill="BFBFBF" w:themeFill="background1" w:themeFillShade="BF"/>
            <w:vAlign w:val="center"/>
          </w:tcPr>
          <w:p w:rsidR="004966BF" w:rsidRPr="00263255" w:rsidRDefault="004966BF" w:rsidP="00263255">
            <w:pPr>
              <w:pStyle w:val="Tableheader"/>
            </w:pPr>
            <w:r w:rsidRPr="00263255">
              <w:t>Source</w:t>
            </w:r>
          </w:p>
        </w:tc>
        <w:tc>
          <w:tcPr>
            <w:tcW w:w="421" w:type="dxa"/>
            <w:shd w:val="clear" w:color="auto" w:fill="BFBFBF" w:themeFill="background1" w:themeFillShade="BF"/>
            <w:vAlign w:val="center"/>
          </w:tcPr>
          <w:p w:rsidR="004966BF" w:rsidRPr="00263255" w:rsidRDefault="004966BF" w:rsidP="00263255">
            <w:pPr>
              <w:pStyle w:val="Tableheader"/>
            </w:pPr>
          </w:p>
        </w:tc>
        <w:tc>
          <w:tcPr>
            <w:tcW w:w="661" w:type="dxa"/>
            <w:shd w:val="clear" w:color="auto" w:fill="BFBFBF" w:themeFill="background1" w:themeFillShade="BF"/>
            <w:vAlign w:val="center"/>
          </w:tcPr>
          <w:p w:rsidR="004966BF" w:rsidRPr="00263255" w:rsidRDefault="004966BF" w:rsidP="00263255">
            <w:pPr>
              <w:pStyle w:val="Tableheader"/>
            </w:pPr>
            <w:r>
              <w:t>Year</w:t>
            </w:r>
          </w:p>
        </w:tc>
        <w:tc>
          <w:tcPr>
            <w:tcW w:w="6461" w:type="dxa"/>
            <w:shd w:val="clear" w:color="auto" w:fill="BFBFBF" w:themeFill="background1" w:themeFillShade="BF"/>
            <w:vAlign w:val="center"/>
          </w:tcPr>
          <w:p w:rsidR="004966BF" w:rsidRPr="00263255" w:rsidRDefault="004966BF" w:rsidP="00263255">
            <w:pPr>
              <w:pStyle w:val="Tableheader"/>
            </w:pPr>
            <w:r>
              <w:t>Additional information</w:t>
            </w:r>
          </w:p>
        </w:tc>
      </w:tr>
      <w:tr w:rsidR="004966BF" w:rsidRPr="004C23F4" w:rsidTr="009518CE">
        <w:trPr>
          <w:cantSplit/>
        </w:trPr>
        <w:tc>
          <w:tcPr>
            <w:tcW w:w="1483" w:type="dxa"/>
          </w:tcPr>
          <w:p w:rsidR="004966BF" w:rsidRPr="004C23F4" w:rsidRDefault="004966BF" w:rsidP="00224EE2">
            <w:pPr>
              <w:pStyle w:val="Tablefont"/>
            </w:pPr>
            <w:r>
              <w:t>NICNAS</w:t>
            </w:r>
          </w:p>
        </w:tc>
        <w:tc>
          <w:tcPr>
            <w:tcW w:w="421" w:type="dxa"/>
          </w:tcPr>
          <w:p w:rsidR="004966BF" w:rsidRPr="00CE617F" w:rsidRDefault="00C36835"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2242D6">
                  <w:rPr>
                    <w:rStyle w:val="checkbox"/>
                  </w:rPr>
                  <w:t></w:t>
                </w:r>
              </w:sdtContent>
            </w:sdt>
          </w:p>
        </w:tc>
        <w:tc>
          <w:tcPr>
            <w:tcW w:w="661" w:type="dxa"/>
          </w:tcPr>
          <w:p w:rsidR="004966BF" w:rsidRPr="004C23F4" w:rsidRDefault="002242D6" w:rsidP="00717D45">
            <w:pPr>
              <w:pStyle w:val="Tablefont"/>
              <w:rPr>
                <w:rStyle w:val="checkbox"/>
                <w:rFonts w:ascii="Arial" w:hAnsi="Arial" w:cs="Arial"/>
              </w:rPr>
            </w:pPr>
            <w:r>
              <w:rPr>
                <w:rStyle w:val="checkbox"/>
                <w:rFonts w:ascii="Arial" w:hAnsi="Arial" w:cs="Arial"/>
              </w:rPr>
              <w:t>2013</w:t>
            </w:r>
          </w:p>
        </w:tc>
        <w:tc>
          <w:tcPr>
            <w:tcW w:w="6461" w:type="dxa"/>
          </w:tcPr>
          <w:p w:rsidR="004966BF" w:rsidRDefault="004956BE" w:rsidP="0051392B">
            <w:pPr>
              <w:pStyle w:val="Tablefont"/>
              <w:numPr>
                <w:ilvl w:val="0"/>
                <w:numId w:val="1"/>
              </w:numPr>
              <w:spacing w:before="60" w:after="60"/>
              <w:ind w:left="714" w:hanging="357"/>
              <w:rPr>
                <w:rStyle w:val="checkbox"/>
                <w:rFonts w:ascii="Arial" w:hAnsi="Arial" w:cs="Arial"/>
              </w:rPr>
            </w:pPr>
            <w:r>
              <w:rPr>
                <w:rStyle w:val="checkbox"/>
                <w:rFonts w:ascii="Arial" w:hAnsi="Arial" w:cs="Arial"/>
              </w:rPr>
              <w:t xml:space="preserve">Grouped with </w:t>
            </w:r>
            <w:proofErr w:type="spellStart"/>
            <w:r>
              <w:rPr>
                <w:rStyle w:val="checkbox"/>
                <w:rFonts w:ascii="Arial" w:hAnsi="Arial" w:cs="Arial"/>
              </w:rPr>
              <w:t>isopropoxyethyl</w:t>
            </w:r>
            <w:proofErr w:type="spellEnd"/>
            <w:r>
              <w:rPr>
                <w:rStyle w:val="checkbox"/>
                <w:rFonts w:ascii="Arial" w:hAnsi="Arial" w:cs="Arial"/>
              </w:rPr>
              <w:t xml:space="preserve"> acetate due to limited data for </w:t>
            </w:r>
            <w:r w:rsidR="00DC31D0">
              <w:rPr>
                <w:rStyle w:val="checkbox"/>
                <w:rFonts w:ascii="Arial" w:hAnsi="Arial" w:cs="Arial"/>
              </w:rPr>
              <w:t>corresponding alcohol; acetate is expected to be rapidly metabolised to alcohol and justifies grouping rationale</w:t>
            </w:r>
          </w:p>
          <w:p w:rsidR="00DC31D0" w:rsidRDefault="00DC31D0" w:rsidP="0051392B">
            <w:pPr>
              <w:pStyle w:val="Tablefont"/>
              <w:numPr>
                <w:ilvl w:val="0"/>
                <w:numId w:val="1"/>
              </w:numPr>
              <w:spacing w:before="60" w:after="60"/>
              <w:ind w:left="714" w:hanging="357"/>
              <w:rPr>
                <w:rStyle w:val="checkbox"/>
                <w:rFonts w:ascii="Arial" w:hAnsi="Arial" w:cs="Arial"/>
              </w:rPr>
            </w:pPr>
            <w:r>
              <w:rPr>
                <w:rStyle w:val="checkbox"/>
                <w:rFonts w:ascii="Arial" w:hAnsi="Arial" w:cs="Arial"/>
              </w:rPr>
              <w:t>Moderate acute toxicity from dermal exposure</w:t>
            </w:r>
          </w:p>
          <w:p w:rsidR="00DC31D0" w:rsidRDefault="00DC31D0" w:rsidP="0051392B">
            <w:pPr>
              <w:pStyle w:val="Tablefont"/>
              <w:numPr>
                <w:ilvl w:val="0"/>
                <w:numId w:val="1"/>
              </w:numPr>
              <w:spacing w:before="60" w:after="60"/>
              <w:ind w:left="714" w:hanging="357"/>
              <w:rPr>
                <w:rStyle w:val="checkbox"/>
                <w:rFonts w:ascii="Arial" w:hAnsi="Arial" w:cs="Arial"/>
              </w:rPr>
            </w:pPr>
            <w:r>
              <w:rPr>
                <w:rStyle w:val="checkbox"/>
                <w:rFonts w:ascii="Arial" w:hAnsi="Arial" w:cs="Arial"/>
              </w:rPr>
              <w:t>2</w:t>
            </w:r>
            <w:r w:rsidRPr="00DC31D0">
              <w:rPr>
                <w:rStyle w:val="checkbox"/>
                <w:rFonts w:ascii="Arial" w:hAnsi="Arial" w:cs="Arial"/>
              </w:rPr>
              <w:t xml:space="preserve"> carcinogenicity </w:t>
            </w:r>
            <w:r>
              <w:rPr>
                <w:rStyle w:val="checkbox"/>
                <w:rFonts w:ascii="Arial" w:hAnsi="Arial" w:cs="Arial"/>
              </w:rPr>
              <w:t>2</w:t>
            </w:r>
            <w:r w:rsidR="00534C4E">
              <w:rPr>
                <w:rStyle w:val="checkbox"/>
                <w:rFonts w:ascii="Arial" w:hAnsi="Arial" w:cs="Arial"/>
              </w:rPr>
              <w:t xml:space="preserve"> </w:t>
            </w:r>
            <w:r>
              <w:rPr>
                <w:rStyle w:val="checkbox"/>
                <w:rFonts w:ascii="Arial" w:hAnsi="Arial" w:cs="Arial"/>
              </w:rPr>
              <w:t xml:space="preserve">yr inhalation </w:t>
            </w:r>
            <w:r w:rsidRPr="00DC31D0">
              <w:rPr>
                <w:rStyle w:val="checkbox"/>
                <w:rFonts w:ascii="Arial" w:hAnsi="Arial" w:cs="Arial"/>
              </w:rPr>
              <w:t xml:space="preserve">studies </w:t>
            </w:r>
            <w:r>
              <w:rPr>
                <w:rStyle w:val="checkbox"/>
                <w:rFonts w:ascii="Arial" w:hAnsi="Arial" w:cs="Arial"/>
              </w:rPr>
              <w:t xml:space="preserve">(rats, </w:t>
            </w:r>
            <w:r w:rsidRPr="00DC31D0">
              <w:rPr>
                <w:rStyle w:val="checkbox"/>
                <w:rFonts w:ascii="Arial" w:hAnsi="Arial" w:cs="Arial"/>
              </w:rPr>
              <w:t>mice</w:t>
            </w:r>
            <w:r>
              <w:rPr>
                <w:rStyle w:val="checkbox"/>
                <w:rFonts w:ascii="Arial" w:hAnsi="Arial" w:cs="Arial"/>
              </w:rPr>
              <w:t xml:space="preserve">) with </w:t>
            </w:r>
            <w:r w:rsidRPr="00DC31D0">
              <w:rPr>
                <w:rStyle w:val="checkbox"/>
                <w:rFonts w:ascii="Arial" w:hAnsi="Arial" w:cs="Arial"/>
              </w:rPr>
              <w:t>2-butoxyethanol</w:t>
            </w:r>
            <w:r>
              <w:rPr>
                <w:rStyle w:val="checkbox"/>
                <w:rFonts w:ascii="Arial" w:hAnsi="Arial" w:cs="Arial"/>
              </w:rPr>
              <w:t xml:space="preserve"> reported s</w:t>
            </w:r>
            <w:r w:rsidRPr="00DC31D0">
              <w:rPr>
                <w:rStyle w:val="checkbox"/>
                <w:rFonts w:ascii="Arial" w:hAnsi="Arial" w:cs="Arial"/>
              </w:rPr>
              <w:t xml:space="preserve">ignificant increase in the incidence of liver sarcomas </w:t>
            </w:r>
            <w:r>
              <w:rPr>
                <w:rStyle w:val="checkbox"/>
                <w:rFonts w:ascii="Arial" w:hAnsi="Arial" w:cs="Arial"/>
              </w:rPr>
              <w:t xml:space="preserve">in male mice, </w:t>
            </w:r>
            <w:r w:rsidRPr="00DC31D0">
              <w:rPr>
                <w:rStyle w:val="checkbox"/>
                <w:rFonts w:ascii="Arial" w:hAnsi="Arial" w:cs="Arial"/>
              </w:rPr>
              <w:t>forestomach tumours ob</w:t>
            </w:r>
            <w:r>
              <w:rPr>
                <w:rStyle w:val="checkbox"/>
                <w:rFonts w:ascii="Arial" w:hAnsi="Arial" w:cs="Arial"/>
              </w:rPr>
              <w:t>served in female mice</w:t>
            </w:r>
            <w:r w:rsidR="00861ABD">
              <w:rPr>
                <w:rStyle w:val="checkbox"/>
                <w:rFonts w:ascii="Arial" w:hAnsi="Arial" w:cs="Arial"/>
              </w:rPr>
              <w:t>:</w:t>
            </w:r>
          </w:p>
          <w:p w:rsidR="00DC31D0" w:rsidRPr="00DC31D0" w:rsidRDefault="00DC31D0" w:rsidP="0051392B">
            <w:pPr>
              <w:pStyle w:val="Tablefont"/>
              <w:numPr>
                <w:ilvl w:val="1"/>
                <w:numId w:val="1"/>
              </w:numPr>
              <w:spacing w:before="60" w:after="60"/>
              <w:ind w:left="1094" w:hanging="357"/>
              <w:rPr>
                <w:rStyle w:val="checkbox"/>
                <w:rFonts w:ascii="Arial" w:hAnsi="Arial" w:cs="Arial"/>
              </w:rPr>
            </w:pPr>
            <w:r w:rsidRPr="00DC31D0">
              <w:rPr>
                <w:rStyle w:val="checkbox"/>
                <w:rFonts w:ascii="Arial" w:hAnsi="Arial" w:cs="Arial"/>
              </w:rPr>
              <w:t xml:space="preserve">several international reviews of this data </w:t>
            </w:r>
            <w:r>
              <w:rPr>
                <w:rStyle w:val="checkbox"/>
                <w:rFonts w:ascii="Arial" w:hAnsi="Arial" w:cs="Arial"/>
              </w:rPr>
              <w:t>consider these results</w:t>
            </w:r>
            <w:r w:rsidRPr="00DC31D0">
              <w:rPr>
                <w:rStyle w:val="checkbox"/>
                <w:rFonts w:ascii="Arial" w:hAnsi="Arial" w:cs="Arial"/>
              </w:rPr>
              <w:t xml:space="preserve"> </w:t>
            </w:r>
            <w:r>
              <w:rPr>
                <w:rStyle w:val="checkbox"/>
                <w:rFonts w:ascii="Arial" w:hAnsi="Arial" w:cs="Arial"/>
              </w:rPr>
              <w:t>ir</w:t>
            </w:r>
            <w:r w:rsidRPr="00DC31D0">
              <w:rPr>
                <w:rStyle w:val="checkbox"/>
                <w:rFonts w:ascii="Arial" w:hAnsi="Arial" w:cs="Arial"/>
              </w:rPr>
              <w:t xml:space="preserve">relevant to humans 2-butoxyethanol </w:t>
            </w:r>
            <w:r w:rsidR="002242D6">
              <w:rPr>
                <w:rStyle w:val="checkbox"/>
                <w:rFonts w:ascii="Arial" w:hAnsi="Arial" w:cs="Arial"/>
              </w:rPr>
              <w:t>therefore</w:t>
            </w:r>
            <w:r w:rsidRPr="00DC31D0">
              <w:rPr>
                <w:rStyle w:val="checkbox"/>
                <w:rFonts w:ascii="Arial" w:hAnsi="Arial" w:cs="Arial"/>
              </w:rPr>
              <w:t xml:space="preserve"> not considered a human carcinoge</w:t>
            </w:r>
            <w:r>
              <w:rPr>
                <w:rStyle w:val="checkbox"/>
                <w:rFonts w:ascii="Arial" w:hAnsi="Arial" w:cs="Arial"/>
              </w:rPr>
              <w:t>n</w:t>
            </w:r>
          </w:p>
          <w:p w:rsidR="00DC31D0" w:rsidRDefault="002242D6" w:rsidP="0051392B">
            <w:pPr>
              <w:pStyle w:val="Tablefont"/>
              <w:numPr>
                <w:ilvl w:val="1"/>
                <w:numId w:val="1"/>
              </w:numPr>
              <w:spacing w:before="60" w:after="60"/>
              <w:ind w:left="1094" w:hanging="357"/>
              <w:rPr>
                <w:rStyle w:val="checkbox"/>
                <w:rFonts w:ascii="Arial" w:hAnsi="Arial" w:cs="Arial"/>
              </w:rPr>
            </w:pPr>
            <w:r>
              <w:rPr>
                <w:rStyle w:val="checkbox"/>
                <w:rFonts w:ascii="Arial" w:hAnsi="Arial" w:cs="Arial"/>
              </w:rPr>
              <w:t>due to expected similar</w:t>
            </w:r>
            <w:r w:rsidR="00DC31D0" w:rsidRPr="00DC31D0">
              <w:rPr>
                <w:rStyle w:val="checkbox"/>
                <w:rFonts w:ascii="Arial" w:hAnsi="Arial" w:cs="Arial"/>
              </w:rPr>
              <w:t xml:space="preserve"> mode of action</w:t>
            </w:r>
            <w:r>
              <w:rPr>
                <w:rStyle w:val="checkbox"/>
                <w:rFonts w:ascii="Arial" w:hAnsi="Arial" w:cs="Arial"/>
              </w:rPr>
              <w:t xml:space="preserve"> of </w:t>
            </w:r>
            <w:proofErr w:type="spellStart"/>
            <w:r>
              <w:rPr>
                <w:rStyle w:val="checkbox"/>
                <w:rFonts w:ascii="Arial" w:hAnsi="Arial" w:cs="Arial"/>
              </w:rPr>
              <w:t>isopropoxyethanol</w:t>
            </w:r>
            <w:proofErr w:type="spellEnd"/>
            <w:r>
              <w:rPr>
                <w:rStyle w:val="checkbox"/>
                <w:rFonts w:ascii="Arial" w:hAnsi="Arial" w:cs="Arial"/>
              </w:rPr>
              <w:t>,</w:t>
            </w:r>
            <w:r w:rsidR="00DC31D0" w:rsidRPr="00DC31D0">
              <w:rPr>
                <w:rStyle w:val="checkbox"/>
                <w:rFonts w:ascii="Arial" w:hAnsi="Arial" w:cs="Arial"/>
              </w:rPr>
              <w:t xml:space="preserve"> 2-butoxyethanol is considered a suitable analogue for </w:t>
            </w:r>
            <w:r>
              <w:rPr>
                <w:rStyle w:val="checkbox"/>
                <w:rFonts w:ascii="Arial" w:hAnsi="Arial" w:cs="Arial"/>
              </w:rPr>
              <w:t>carcinogenicity endpoint</w:t>
            </w:r>
          </w:p>
          <w:p w:rsidR="00193F15" w:rsidRPr="002242D6" w:rsidRDefault="00193F15" w:rsidP="0051392B">
            <w:pPr>
              <w:pStyle w:val="Tablefont"/>
              <w:numPr>
                <w:ilvl w:val="0"/>
                <w:numId w:val="1"/>
              </w:numPr>
              <w:spacing w:before="60" w:after="60"/>
              <w:ind w:left="714" w:hanging="357"/>
              <w:rPr>
                <w:rStyle w:val="checkbox"/>
                <w:rFonts w:ascii="Arial" w:hAnsi="Arial" w:cs="Arial"/>
              </w:rPr>
            </w:pPr>
            <w:r>
              <w:rPr>
                <w:rFonts w:cs="Arial"/>
                <w:color w:val="262626"/>
              </w:rPr>
              <w:t xml:space="preserve">Substances in group are not considered genotoxic; supported by negative results for </w:t>
            </w:r>
            <w:proofErr w:type="spellStart"/>
            <w:r>
              <w:rPr>
                <w:rFonts w:cs="Arial"/>
                <w:color w:val="262626"/>
              </w:rPr>
              <w:t>isopropoxyethanol</w:t>
            </w:r>
            <w:proofErr w:type="spellEnd"/>
            <w:r>
              <w:rPr>
                <w:rFonts w:cs="Arial"/>
                <w:color w:val="262626"/>
              </w:rPr>
              <w:t xml:space="preserve"> </w:t>
            </w:r>
            <w:r w:rsidRPr="00193F15">
              <w:rPr>
                <w:rFonts w:cs="Arial"/>
                <w:i/>
                <w:color w:val="262626"/>
              </w:rPr>
              <w:t>in</w:t>
            </w:r>
            <w:r>
              <w:rPr>
                <w:rFonts w:cs="Arial"/>
                <w:color w:val="262626"/>
              </w:rPr>
              <w:t xml:space="preserve"> </w:t>
            </w:r>
            <w:r w:rsidRPr="00193F15">
              <w:rPr>
                <w:rFonts w:cs="Arial"/>
                <w:i/>
                <w:color w:val="262626"/>
              </w:rPr>
              <w:t>vitro</w:t>
            </w:r>
            <w:r>
              <w:rPr>
                <w:rFonts w:cs="Arial"/>
                <w:color w:val="262626"/>
              </w:rPr>
              <w:t xml:space="preserve"> in bacteria</w:t>
            </w:r>
            <w:r w:rsidR="00534C4E">
              <w:rPr>
                <w:rFonts w:cs="Arial"/>
                <w:color w:val="262626"/>
              </w:rPr>
              <w:t>.</w:t>
            </w:r>
          </w:p>
        </w:tc>
      </w:tr>
      <w:tr w:rsidR="004966BF" w:rsidRPr="004C23F4" w:rsidTr="009518CE">
        <w:trPr>
          <w:cantSplit/>
        </w:trPr>
        <w:tc>
          <w:tcPr>
            <w:tcW w:w="1483" w:type="dxa"/>
          </w:tcPr>
          <w:p w:rsidR="004966BF" w:rsidRPr="004C23F4" w:rsidRDefault="004966BF" w:rsidP="00224EE2">
            <w:pPr>
              <w:pStyle w:val="Tablefont"/>
            </w:pPr>
            <w:r>
              <w:lastRenderedPageBreak/>
              <w:t>ECHA</w:t>
            </w:r>
          </w:p>
        </w:tc>
        <w:tc>
          <w:tcPr>
            <w:tcW w:w="421" w:type="dxa"/>
          </w:tcPr>
          <w:p w:rsidR="004966BF" w:rsidRPr="00CE617F" w:rsidRDefault="00C36835"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2C14A8">
                  <w:rPr>
                    <w:rStyle w:val="checkbox"/>
                  </w:rPr>
                  <w:t></w:t>
                </w:r>
              </w:sdtContent>
            </w:sdt>
          </w:p>
        </w:tc>
        <w:tc>
          <w:tcPr>
            <w:tcW w:w="661" w:type="dxa"/>
          </w:tcPr>
          <w:p w:rsidR="004966BF" w:rsidRPr="004C23F4" w:rsidRDefault="002C14A8" w:rsidP="00717D45">
            <w:pPr>
              <w:pStyle w:val="Tablefont"/>
              <w:rPr>
                <w:rStyle w:val="checkbox"/>
                <w:rFonts w:ascii="Arial" w:hAnsi="Arial" w:cs="Arial"/>
              </w:rPr>
            </w:pPr>
            <w:r>
              <w:rPr>
                <w:rStyle w:val="checkbox"/>
                <w:rFonts w:ascii="Arial" w:hAnsi="Arial" w:cs="Arial"/>
              </w:rPr>
              <w:t>2019</w:t>
            </w:r>
          </w:p>
        </w:tc>
        <w:tc>
          <w:tcPr>
            <w:tcW w:w="6461" w:type="dxa"/>
          </w:tcPr>
          <w:p w:rsidR="00337578" w:rsidRDefault="00337578" w:rsidP="0051392B">
            <w:pPr>
              <w:pStyle w:val="Tablefont"/>
              <w:numPr>
                <w:ilvl w:val="0"/>
                <w:numId w:val="1"/>
              </w:numPr>
              <w:spacing w:before="60" w:after="60"/>
              <w:ind w:left="714" w:hanging="357"/>
              <w:rPr>
                <w:rFonts w:cs="Arial"/>
              </w:rPr>
            </w:pPr>
            <w:r>
              <w:rPr>
                <w:rFonts w:cs="Arial"/>
              </w:rPr>
              <w:t xml:space="preserve">NOAEL: 100 ppm for reduced maternal </w:t>
            </w:r>
            <w:proofErr w:type="spellStart"/>
            <w:r>
              <w:rPr>
                <w:rFonts w:cs="Arial"/>
              </w:rPr>
              <w:t>bw</w:t>
            </w:r>
            <w:proofErr w:type="spellEnd"/>
            <w:r>
              <w:rPr>
                <w:rFonts w:cs="Arial"/>
              </w:rPr>
              <w:t xml:space="preserve"> and uterine weight, and haematological changes in 2 developmental studies with 2-butoxyethanol (rats, rabbits, </w:t>
            </w:r>
            <w:r w:rsidR="00EF2BC6">
              <w:rPr>
                <w:rFonts w:cs="Arial"/>
              </w:rPr>
              <w:t>GD</w:t>
            </w:r>
            <w:r>
              <w:rPr>
                <w:rFonts w:cs="Arial"/>
              </w:rPr>
              <w:t xml:space="preserve"> 6–15 for rats or 6–18 for rabbits)</w:t>
            </w:r>
          </w:p>
          <w:p w:rsidR="00337578" w:rsidRDefault="006B055F" w:rsidP="0051392B">
            <w:pPr>
              <w:pStyle w:val="Tablefont"/>
              <w:numPr>
                <w:ilvl w:val="0"/>
                <w:numId w:val="1"/>
              </w:numPr>
              <w:spacing w:before="60" w:after="60"/>
              <w:ind w:left="714" w:hanging="357"/>
              <w:rPr>
                <w:rFonts w:cs="Arial"/>
              </w:rPr>
            </w:pPr>
            <w:r w:rsidRPr="006B055F">
              <w:rPr>
                <w:rFonts w:cs="Arial"/>
              </w:rPr>
              <w:t xml:space="preserve">NOAELs of 100ppm for developmental toxicity </w:t>
            </w:r>
            <w:r w:rsidR="00337578">
              <w:rPr>
                <w:rFonts w:cs="Arial"/>
              </w:rPr>
              <w:t>used as starting point for long-term DNEL</w:t>
            </w:r>
          </w:p>
          <w:p w:rsidR="004966BF" w:rsidRDefault="00337578" w:rsidP="0051392B">
            <w:pPr>
              <w:pStyle w:val="Tablefont"/>
              <w:numPr>
                <w:ilvl w:val="0"/>
                <w:numId w:val="1"/>
              </w:numPr>
              <w:spacing w:before="60" w:after="60"/>
              <w:ind w:left="714" w:hanging="357"/>
              <w:rPr>
                <w:rFonts w:cs="Arial"/>
              </w:rPr>
            </w:pPr>
            <w:r>
              <w:rPr>
                <w:rFonts w:cs="Arial"/>
              </w:rPr>
              <w:t xml:space="preserve">Derivation accounts for haemolytic effects observed in rats, less pronounced in humans; overall factor of 6 applied to arrive at DNEL of </w:t>
            </w:r>
            <w:r w:rsidR="002C14A8">
              <w:rPr>
                <w:rFonts w:cs="Arial"/>
              </w:rPr>
              <w:t>17 ppm</w:t>
            </w:r>
          </w:p>
          <w:p w:rsidR="002C14A8" w:rsidRPr="004C23F4" w:rsidRDefault="002C14A8" w:rsidP="0051392B">
            <w:pPr>
              <w:pStyle w:val="Tablefont"/>
              <w:numPr>
                <w:ilvl w:val="0"/>
                <w:numId w:val="1"/>
              </w:numPr>
              <w:spacing w:before="60" w:after="60"/>
              <w:ind w:left="714" w:hanging="357"/>
              <w:rPr>
                <w:rStyle w:val="checkbox"/>
                <w:rFonts w:ascii="Arial" w:hAnsi="Arial" w:cs="Arial"/>
              </w:rPr>
            </w:pPr>
            <w:r>
              <w:rPr>
                <w:rFonts w:cs="Arial"/>
              </w:rPr>
              <w:t>Short-term DNEL of 42 ppm calculated by extrapolation of long-term DNEL</w:t>
            </w:r>
            <w:r w:rsidR="00534C4E">
              <w:rPr>
                <w:rFonts w:cs="Arial"/>
              </w:rPr>
              <w:t>.</w:t>
            </w:r>
          </w:p>
        </w:tc>
      </w:tr>
      <w:tr w:rsidR="004966BF" w:rsidRPr="004C23F4" w:rsidTr="009518CE">
        <w:trPr>
          <w:cantSplit/>
        </w:trPr>
        <w:tc>
          <w:tcPr>
            <w:tcW w:w="1483" w:type="dxa"/>
          </w:tcPr>
          <w:p w:rsidR="004966BF" w:rsidRPr="004C23F4" w:rsidRDefault="004966BF" w:rsidP="00224EE2">
            <w:pPr>
              <w:pStyle w:val="Tablefont"/>
            </w:pPr>
            <w:r>
              <w:t>OECD</w:t>
            </w:r>
          </w:p>
        </w:tc>
        <w:tc>
          <w:tcPr>
            <w:tcW w:w="421" w:type="dxa"/>
          </w:tcPr>
          <w:p w:rsidR="004966BF" w:rsidRPr="00CE617F" w:rsidRDefault="00C36835"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4257E3">
                  <w:rPr>
                    <w:rStyle w:val="checkbox"/>
                  </w:rPr>
                  <w:t></w:t>
                </w:r>
              </w:sdtContent>
            </w:sdt>
          </w:p>
        </w:tc>
        <w:tc>
          <w:tcPr>
            <w:tcW w:w="661" w:type="dxa"/>
          </w:tcPr>
          <w:p w:rsidR="004966BF" w:rsidRPr="004C23F4" w:rsidRDefault="004257E3" w:rsidP="00717D45">
            <w:pPr>
              <w:pStyle w:val="Tablefont"/>
              <w:rPr>
                <w:rStyle w:val="checkbox"/>
                <w:rFonts w:ascii="Arial" w:hAnsi="Arial" w:cs="Arial"/>
              </w:rPr>
            </w:pPr>
            <w:r>
              <w:rPr>
                <w:rStyle w:val="checkbox"/>
                <w:rFonts w:ascii="Arial" w:hAnsi="Arial" w:cs="Arial"/>
              </w:rPr>
              <w:t>2009</w:t>
            </w:r>
          </w:p>
        </w:tc>
        <w:tc>
          <w:tcPr>
            <w:tcW w:w="6461" w:type="dxa"/>
          </w:tcPr>
          <w:p w:rsidR="004966BF" w:rsidRDefault="004257E3" w:rsidP="0051392B">
            <w:pPr>
              <w:pStyle w:val="Tablefont"/>
              <w:numPr>
                <w:ilvl w:val="0"/>
                <w:numId w:val="1"/>
              </w:numPr>
              <w:spacing w:before="60" w:after="60"/>
              <w:ind w:left="714" w:hanging="357"/>
            </w:pPr>
            <w:r>
              <w:t xml:space="preserve">Major occupational exposure routes are inhalation and dermal </w:t>
            </w:r>
          </w:p>
          <w:p w:rsidR="004257E3" w:rsidRPr="004257E3" w:rsidRDefault="004257E3" w:rsidP="0051392B">
            <w:pPr>
              <w:pStyle w:val="Tablefont"/>
              <w:numPr>
                <w:ilvl w:val="0"/>
                <w:numId w:val="1"/>
              </w:numPr>
              <w:spacing w:before="60" w:after="60"/>
              <w:ind w:left="714" w:hanging="357"/>
              <w:rPr>
                <w:rFonts w:cs="Arial"/>
              </w:rPr>
            </w:pPr>
            <w:r>
              <w:t xml:space="preserve">Non-mutagenic </w:t>
            </w:r>
            <w:r>
              <w:rPr>
                <w:i/>
              </w:rPr>
              <w:t xml:space="preserve">in </w:t>
            </w:r>
            <w:r w:rsidRPr="004257E3">
              <w:t>vitro</w:t>
            </w:r>
            <w:r>
              <w:t xml:space="preserve"> in bacteria and Chinese hamster ovarian cells without metabolic activation; these negative results </w:t>
            </w:r>
            <w:r>
              <w:rPr>
                <w:i/>
              </w:rPr>
              <w:t xml:space="preserve">in vitro </w:t>
            </w:r>
            <w:r>
              <w:t xml:space="preserve">preclude necessity for </w:t>
            </w:r>
            <w:r>
              <w:rPr>
                <w:i/>
              </w:rPr>
              <w:t xml:space="preserve">in vivo </w:t>
            </w:r>
            <w:r>
              <w:t>testing</w:t>
            </w:r>
            <w:r w:rsidR="00861ABD">
              <w:t>:</w:t>
            </w:r>
          </w:p>
          <w:p w:rsidR="004257E3" w:rsidRPr="004C23F4" w:rsidRDefault="009518CE" w:rsidP="0051392B">
            <w:pPr>
              <w:pStyle w:val="Tablefont"/>
              <w:numPr>
                <w:ilvl w:val="1"/>
                <w:numId w:val="1"/>
              </w:numPr>
              <w:spacing w:before="60" w:after="60"/>
              <w:ind w:left="1094" w:hanging="357"/>
              <w:rPr>
                <w:rStyle w:val="checkbox"/>
                <w:rFonts w:ascii="Arial" w:hAnsi="Arial" w:cs="Arial"/>
              </w:rPr>
            </w:pPr>
            <w:proofErr w:type="gramStart"/>
            <w:r>
              <w:t>s</w:t>
            </w:r>
            <w:r w:rsidR="004257E3">
              <w:t>ubstance</w:t>
            </w:r>
            <w:proofErr w:type="gramEnd"/>
            <w:r w:rsidR="004257E3">
              <w:t xml:space="preserve"> therefore considered non-genotoxic </w:t>
            </w:r>
            <w:r w:rsidR="004257E3" w:rsidRPr="004257E3">
              <w:rPr>
                <w:i/>
              </w:rPr>
              <w:t>in</w:t>
            </w:r>
            <w:r w:rsidR="004257E3">
              <w:t xml:space="preserve"> </w:t>
            </w:r>
            <w:r w:rsidR="004257E3" w:rsidRPr="004257E3">
              <w:rPr>
                <w:i/>
              </w:rPr>
              <w:t>vitro</w:t>
            </w:r>
            <w:r w:rsidR="00534C4E">
              <w:t>.</w:t>
            </w:r>
          </w:p>
        </w:tc>
      </w:tr>
    </w:tbl>
    <w:bookmarkEnd w:id="0"/>
    <w:p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rsidTr="004257E3">
        <w:trPr>
          <w:trHeight w:val="454"/>
          <w:tblHeader/>
        </w:trPr>
        <w:tc>
          <w:tcPr>
            <w:tcW w:w="6603" w:type="dxa"/>
            <w:vAlign w:val="center"/>
          </w:tcPr>
          <w:p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rsidR="002E0D61" w:rsidRDefault="00193F15" w:rsidP="00C3091E">
                <w:pPr>
                  <w:pStyle w:val="Tablefont"/>
                  <w:keepNext/>
                  <w:keepLines/>
                  <w:spacing w:before="40" w:after="40"/>
                </w:pPr>
                <w:r>
                  <w:t>No</w:t>
                </w:r>
              </w:p>
            </w:tc>
          </w:sdtContent>
        </w:sdt>
      </w:tr>
      <w:tr w:rsidR="008A36CF" w:rsidTr="004257E3">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rsidR="008A36CF" w:rsidRPr="006901A2" w:rsidRDefault="004257E3" w:rsidP="008A36CF">
                <w:pPr>
                  <w:pStyle w:val="Tablefont"/>
                  <w:keepNext/>
                  <w:keepLines/>
                  <w:spacing w:before="40" w:after="40"/>
                  <w:rPr>
                    <w:b/>
                  </w:rPr>
                </w:pPr>
                <w:r>
                  <w:rPr>
                    <w:b/>
                  </w:rPr>
                  <w:t>The chemical is not a non-threshold based genotoxic carcinogen.</w:t>
                </w:r>
              </w:p>
            </w:tc>
          </w:sdtContent>
        </w:sdt>
        <w:tc>
          <w:tcPr>
            <w:tcW w:w="2423" w:type="dxa"/>
            <w:vAlign w:val="center"/>
          </w:tcPr>
          <w:p w:rsidR="008A36CF" w:rsidRDefault="008A36CF" w:rsidP="008A36CF">
            <w:pPr>
              <w:pStyle w:val="Tablefont"/>
              <w:keepNext/>
              <w:keepLines/>
              <w:spacing w:before="40" w:after="40"/>
            </w:pPr>
          </w:p>
        </w:tc>
      </w:tr>
    </w:tbl>
    <w:bookmarkEnd w:id="1"/>
    <w:p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rsidTr="00812887">
        <w:trPr>
          <w:cantSplit/>
          <w:tblHeader/>
        </w:trPr>
        <w:tc>
          <w:tcPr>
            <w:tcW w:w="3227" w:type="dxa"/>
            <w:shd w:val="clear" w:color="auto" w:fill="BFBFBF" w:themeFill="background1" w:themeFillShade="BF"/>
            <w:vAlign w:val="center"/>
          </w:tcPr>
          <w:p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rsidR="00687890" w:rsidRPr="004C23F4" w:rsidRDefault="00687890" w:rsidP="00F4402E">
            <w:pPr>
              <w:pStyle w:val="Tableheader"/>
              <w:tabs>
                <w:tab w:val="right" w:pos="5272"/>
              </w:tabs>
            </w:pPr>
            <w:r w:rsidRPr="004C23F4">
              <w:t>Notations</w:t>
            </w:r>
            <w:r w:rsidR="003A2B94">
              <w:tab/>
            </w:r>
          </w:p>
        </w:tc>
      </w:tr>
      <w:tr w:rsidR="00687890" w:rsidRPr="004C23F4" w:rsidTr="00812887">
        <w:trPr>
          <w:cantSplit/>
        </w:trPr>
        <w:tc>
          <w:tcPr>
            <w:tcW w:w="3227" w:type="dxa"/>
          </w:tcPr>
          <w:p w:rsidR="004079B4" w:rsidRPr="004C23F4" w:rsidRDefault="00084513" w:rsidP="00F4402E">
            <w:pPr>
              <w:pStyle w:val="Tablefont"/>
            </w:pPr>
            <w:r w:rsidRPr="004C23F4">
              <w:t>SWA</w:t>
            </w:r>
          </w:p>
        </w:tc>
        <w:tc>
          <w:tcPr>
            <w:tcW w:w="6015" w:type="dxa"/>
          </w:tcPr>
          <w:p w:rsidR="00687890" w:rsidRPr="00DD2F9B" w:rsidRDefault="00277BFD" w:rsidP="00DD2F9B">
            <w:pPr>
              <w:pStyle w:val="Tablefont"/>
            </w:pPr>
            <w:r w:rsidRPr="00277BFD">
              <w:t>—</w:t>
            </w:r>
          </w:p>
        </w:tc>
      </w:tr>
      <w:tr w:rsidR="007925F0" w:rsidRPr="004C23F4" w:rsidTr="00812887">
        <w:trPr>
          <w:cantSplit/>
        </w:trPr>
        <w:tc>
          <w:tcPr>
            <w:tcW w:w="3227" w:type="dxa"/>
          </w:tcPr>
          <w:p w:rsidR="004079B4" w:rsidRPr="004C23F4" w:rsidRDefault="007925F0" w:rsidP="00F4402E">
            <w:pPr>
              <w:pStyle w:val="Tablefont"/>
            </w:pPr>
            <w:r>
              <w:t>HCIS</w:t>
            </w:r>
          </w:p>
        </w:tc>
        <w:tc>
          <w:tcPr>
            <w:tcW w:w="6015" w:type="dxa"/>
          </w:tcPr>
          <w:p w:rsidR="007925F0" w:rsidRPr="00DD2F9B" w:rsidRDefault="00304A27" w:rsidP="00DD2F9B">
            <w:pPr>
              <w:pStyle w:val="Tablefont"/>
            </w:pPr>
            <w:r w:rsidRPr="00277BFD">
              <w:t>—</w:t>
            </w:r>
          </w:p>
        </w:tc>
      </w:tr>
      <w:tr w:rsidR="00AF483F" w:rsidRPr="004C23F4" w:rsidTr="00812887">
        <w:trPr>
          <w:cantSplit/>
        </w:trPr>
        <w:tc>
          <w:tcPr>
            <w:tcW w:w="3227" w:type="dxa"/>
          </w:tcPr>
          <w:p w:rsidR="00AF483F" w:rsidRPr="004C23F4" w:rsidRDefault="00AF483F" w:rsidP="00F4402E">
            <w:pPr>
              <w:pStyle w:val="Tablefont"/>
            </w:pPr>
            <w:r>
              <w:t>NICNAS</w:t>
            </w:r>
          </w:p>
        </w:tc>
        <w:tc>
          <w:tcPr>
            <w:tcW w:w="6015" w:type="dxa"/>
          </w:tcPr>
          <w:p w:rsidR="00AF483F" w:rsidRPr="00DD2F9B" w:rsidRDefault="00304A27" w:rsidP="00DD2F9B">
            <w:pPr>
              <w:pStyle w:val="Tablefont"/>
            </w:pPr>
            <w:r w:rsidRPr="00277BFD">
              <w:t>—</w:t>
            </w:r>
          </w:p>
        </w:tc>
      </w:tr>
      <w:tr w:rsidR="00687890" w:rsidRPr="004C23F4" w:rsidTr="00812887">
        <w:trPr>
          <w:cantSplit/>
        </w:trPr>
        <w:tc>
          <w:tcPr>
            <w:tcW w:w="3227" w:type="dxa"/>
          </w:tcPr>
          <w:p w:rsidR="004079B4" w:rsidRPr="004C23F4" w:rsidRDefault="00687890" w:rsidP="00F4402E">
            <w:pPr>
              <w:pStyle w:val="Tablefont"/>
            </w:pPr>
            <w:r w:rsidRPr="004C23F4">
              <w:t>EU Annex</w:t>
            </w:r>
          </w:p>
        </w:tc>
        <w:tc>
          <w:tcPr>
            <w:tcW w:w="6015" w:type="dxa"/>
          </w:tcPr>
          <w:p w:rsidR="00687890" w:rsidRPr="00DD2F9B" w:rsidRDefault="00FA3AAA" w:rsidP="00DD2F9B">
            <w:pPr>
              <w:pStyle w:val="Tablefont"/>
            </w:pPr>
            <w:r>
              <w:t>—</w:t>
            </w:r>
          </w:p>
        </w:tc>
      </w:tr>
      <w:tr w:rsidR="00E41A26" w:rsidRPr="004C23F4" w:rsidTr="00812887">
        <w:trPr>
          <w:cantSplit/>
        </w:trPr>
        <w:tc>
          <w:tcPr>
            <w:tcW w:w="3227" w:type="dxa"/>
          </w:tcPr>
          <w:p w:rsidR="00E41A26" w:rsidRDefault="00E41A26" w:rsidP="00F4402E">
            <w:pPr>
              <w:pStyle w:val="Tablefont"/>
            </w:pPr>
            <w:r>
              <w:t>ECHA</w:t>
            </w:r>
          </w:p>
        </w:tc>
        <w:tc>
          <w:tcPr>
            <w:tcW w:w="6015" w:type="dxa"/>
          </w:tcPr>
          <w:p w:rsidR="00E41A26" w:rsidRPr="00DD2F9B" w:rsidRDefault="00304A27" w:rsidP="00DD2F9B">
            <w:pPr>
              <w:pStyle w:val="Tablefont"/>
            </w:pPr>
            <w:r w:rsidRPr="00277BFD">
              <w:t>—</w:t>
            </w:r>
          </w:p>
        </w:tc>
      </w:tr>
      <w:tr w:rsidR="002E0D61" w:rsidRPr="004C23F4" w:rsidTr="00812887">
        <w:trPr>
          <w:cantSplit/>
        </w:trPr>
        <w:tc>
          <w:tcPr>
            <w:tcW w:w="3227" w:type="dxa"/>
          </w:tcPr>
          <w:p w:rsidR="004079B4" w:rsidRPr="004C23F4" w:rsidRDefault="002E0D61" w:rsidP="00F4402E">
            <w:pPr>
              <w:pStyle w:val="Tablefont"/>
            </w:pPr>
            <w:r>
              <w:t>ACGIH</w:t>
            </w:r>
          </w:p>
        </w:tc>
        <w:tc>
          <w:tcPr>
            <w:tcW w:w="6015" w:type="dxa"/>
          </w:tcPr>
          <w:p w:rsidR="002E0D61" w:rsidRPr="00DD2F9B" w:rsidRDefault="00304A27" w:rsidP="00DD2F9B">
            <w:pPr>
              <w:pStyle w:val="Tablefont"/>
            </w:pPr>
            <w:r w:rsidRPr="00304A27">
              <w:t>Skin</w:t>
            </w:r>
          </w:p>
        </w:tc>
      </w:tr>
      <w:tr w:rsidR="002E0D61" w:rsidRPr="004C23F4" w:rsidTr="00812887">
        <w:trPr>
          <w:cantSplit/>
        </w:trPr>
        <w:tc>
          <w:tcPr>
            <w:tcW w:w="3227" w:type="dxa"/>
          </w:tcPr>
          <w:p w:rsidR="004079B4" w:rsidRPr="004C23F4" w:rsidRDefault="002E0D61" w:rsidP="00F4402E">
            <w:pPr>
              <w:pStyle w:val="Tablefont"/>
            </w:pPr>
            <w:r>
              <w:t>DFG</w:t>
            </w:r>
          </w:p>
        </w:tc>
        <w:tc>
          <w:tcPr>
            <w:tcW w:w="6015" w:type="dxa"/>
          </w:tcPr>
          <w:p w:rsidR="002E0D61" w:rsidRPr="00DD2F9B" w:rsidRDefault="00304A27" w:rsidP="00DD2F9B">
            <w:pPr>
              <w:pStyle w:val="Tablefont"/>
            </w:pPr>
            <w:r w:rsidRPr="00304A27">
              <w:t>H (skin)</w:t>
            </w:r>
          </w:p>
        </w:tc>
      </w:tr>
      <w:tr w:rsidR="002E0D61" w:rsidRPr="004C23F4" w:rsidTr="00812887">
        <w:trPr>
          <w:cantSplit/>
        </w:trPr>
        <w:tc>
          <w:tcPr>
            <w:tcW w:w="3227" w:type="dxa"/>
          </w:tcPr>
          <w:p w:rsidR="004079B4" w:rsidRPr="004C23F4" w:rsidRDefault="002E0D61" w:rsidP="00F4402E">
            <w:pPr>
              <w:pStyle w:val="Tablefont"/>
            </w:pPr>
            <w:r>
              <w:t>SCOEL</w:t>
            </w:r>
          </w:p>
        </w:tc>
        <w:tc>
          <w:tcPr>
            <w:tcW w:w="6015" w:type="dxa"/>
          </w:tcPr>
          <w:p w:rsidR="002E0D61" w:rsidRPr="00DD2F9B" w:rsidRDefault="00304A27" w:rsidP="00DD2F9B">
            <w:pPr>
              <w:pStyle w:val="Tablefont"/>
            </w:pPr>
            <w:r>
              <w:t>NA</w:t>
            </w:r>
          </w:p>
        </w:tc>
      </w:tr>
      <w:tr w:rsidR="002E0D61" w:rsidRPr="004C23F4" w:rsidTr="00812887">
        <w:trPr>
          <w:cantSplit/>
        </w:trPr>
        <w:tc>
          <w:tcPr>
            <w:tcW w:w="3227" w:type="dxa"/>
          </w:tcPr>
          <w:p w:rsidR="004079B4" w:rsidRDefault="002E0D61" w:rsidP="00F4402E">
            <w:pPr>
              <w:pStyle w:val="Tablefont"/>
            </w:pPr>
            <w:r>
              <w:t>HCOTN</w:t>
            </w:r>
          </w:p>
        </w:tc>
        <w:tc>
          <w:tcPr>
            <w:tcW w:w="6015" w:type="dxa"/>
          </w:tcPr>
          <w:p w:rsidR="002E0D61" w:rsidRPr="00DD2F9B" w:rsidRDefault="00304A27" w:rsidP="00DD2F9B">
            <w:pPr>
              <w:pStyle w:val="Tablefont"/>
            </w:pPr>
            <w:r>
              <w:t>NA</w:t>
            </w:r>
          </w:p>
        </w:tc>
      </w:tr>
      <w:tr w:rsidR="00386093" w:rsidRPr="004C23F4" w:rsidTr="00812887">
        <w:trPr>
          <w:cantSplit/>
        </w:trPr>
        <w:tc>
          <w:tcPr>
            <w:tcW w:w="3227" w:type="dxa"/>
          </w:tcPr>
          <w:p w:rsidR="004079B4" w:rsidRDefault="00386093" w:rsidP="00F4402E">
            <w:pPr>
              <w:pStyle w:val="Tablefont"/>
            </w:pPr>
            <w:r>
              <w:t>IARC</w:t>
            </w:r>
          </w:p>
        </w:tc>
        <w:tc>
          <w:tcPr>
            <w:tcW w:w="6015" w:type="dxa"/>
          </w:tcPr>
          <w:p w:rsidR="00386093" w:rsidRPr="00DD2F9B" w:rsidRDefault="00304A27" w:rsidP="00DD2F9B">
            <w:pPr>
              <w:pStyle w:val="Tablefont"/>
            </w:pPr>
            <w:r>
              <w:t>NA</w:t>
            </w:r>
          </w:p>
        </w:tc>
      </w:tr>
      <w:tr w:rsidR="00386093" w:rsidRPr="004C23F4" w:rsidTr="00812887">
        <w:trPr>
          <w:cantSplit/>
        </w:trPr>
        <w:tc>
          <w:tcPr>
            <w:tcW w:w="3227" w:type="dxa"/>
          </w:tcPr>
          <w:p w:rsidR="004079B4" w:rsidRDefault="00386093" w:rsidP="00F4402E">
            <w:pPr>
              <w:pStyle w:val="Tablefont"/>
              <w:keepNext/>
            </w:pPr>
            <w:r>
              <w:t>US NIOSH</w:t>
            </w:r>
          </w:p>
        </w:tc>
        <w:tc>
          <w:tcPr>
            <w:tcW w:w="6015" w:type="dxa"/>
          </w:tcPr>
          <w:p w:rsidR="00386093" w:rsidRPr="00DD2F9B" w:rsidRDefault="00304A27" w:rsidP="00D87570">
            <w:pPr>
              <w:pStyle w:val="Tablefont"/>
              <w:keepNext/>
            </w:pPr>
            <w:r>
              <w:t>NA</w:t>
            </w:r>
          </w:p>
        </w:tc>
      </w:tr>
    </w:tbl>
    <w:bookmarkEnd w:id="2"/>
    <w:p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rsidR="00474E33" w:rsidRDefault="00474E33" w:rsidP="00474E33">
      <w:pPr>
        <w:pStyle w:val="Heading3"/>
      </w:pPr>
      <w:r>
        <w:lastRenderedPageBreak/>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rsidTr="00EA6243">
        <w:trPr>
          <w:cantSplit/>
          <w:tblHeader/>
        </w:trPr>
        <w:tc>
          <w:tcPr>
            <w:tcW w:w="5000" w:type="pct"/>
            <w:shd w:val="clear" w:color="auto" w:fill="BFBFBF" w:themeFill="background1" w:themeFillShade="BF"/>
            <w:vAlign w:val="center"/>
          </w:tcPr>
          <w:p w:rsidR="00932DCE" w:rsidRPr="004C23F4" w:rsidRDefault="00932DCE" w:rsidP="00F4402E">
            <w:pPr>
              <w:pStyle w:val="Tableheader"/>
              <w:keepNext/>
              <w:tabs>
                <w:tab w:val="right" w:pos="8800"/>
              </w:tabs>
            </w:pPr>
            <w:bookmarkStart w:id="3" w:name="SkinNot"/>
            <w:r>
              <w:t>Calculation</w:t>
            </w:r>
            <w:r w:rsidR="00177CA1">
              <w:tab/>
            </w:r>
          </w:p>
        </w:tc>
      </w:tr>
      <w:tr w:rsidR="00932DCE" w:rsidRPr="004C23F4" w:rsidTr="00EA6243">
        <w:trPr>
          <w:cantSplit/>
          <w:tblHeader/>
        </w:trPr>
        <w:tc>
          <w:tcPr>
            <w:tcW w:w="5000" w:type="pct"/>
            <w:vAlign w:val="center"/>
          </w:tcPr>
          <w:tbl>
            <w:tblPr>
              <w:tblW w:w="8810" w:type="dxa"/>
              <w:tblLook w:val="04A0" w:firstRow="1" w:lastRow="0" w:firstColumn="1" w:lastColumn="0" w:noHBand="0" w:noVBand="1"/>
            </w:tblPr>
            <w:tblGrid>
              <w:gridCol w:w="4001"/>
              <w:gridCol w:w="522"/>
              <w:gridCol w:w="547"/>
              <w:gridCol w:w="3740"/>
            </w:tblGrid>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Adverse effects in human case study:</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 </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Dermal LD</w:t>
                  </w:r>
                  <w:r w:rsidRPr="004257E3">
                    <w:rPr>
                      <w:rFonts w:ascii="Segoe UI" w:eastAsia="Times New Roman" w:hAnsi="Segoe UI" w:cs="Segoe UI"/>
                      <w:color w:val="000000"/>
                      <w:sz w:val="18"/>
                      <w:szCs w:val="18"/>
                      <w:vertAlign w:val="subscript"/>
                      <w:lang w:eastAsia="en-AU"/>
                    </w:rPr>
                    <w:t>50</w:t>
                  </w:r>
                  <w:r w:rsidRPr="004257E3">
                    <w:rPr>
                      <w:rFonts w:ascii="Segoe UI" w:eastAsia="Times New Roman" w:hAnsi="Segoe UI" w:cs="Segoe UI"/>
                      <w:color w:val="000000"/>
                      <w:sz w:val="18"/>
                      <w:szCs w:val="18"/>
                      <w:lang w:eastAsia="en-AU"/>
                    </w:rPr>
                    <w:t xml:space="preserve"> ≤1000 mg/kg:</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no</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 </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Dermal repeat-dose NOAEL ≤200 mg/kg:</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 </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Dermal LD</w:t>
                  </w:r>
                  <w:r w:rsidRPr="004257E3">
                    <w:rPr>
                      <w:rFonts w:ascii="Segoe UI" w:eastAsia="Times New Roman" w:hAnsi="Segoe UI" w:cs="Segoe UI"/>
                      <w:color w:val="000000"/>
                      <w:sz w:val="18"/>
                      <w:szCs w:val="18"/>
                      <w:vertAlign w:val="subscript"/>
                      <w:lang w:eastAsia="en-AU"/>
                    </w:rPr>
                    <w:t>50</w:t>
                  </w:r>
                  <w:r w:rsidRPr="004257E3">
                    <w:rPr>
                      <w:rFonts w:ascii="Segoe UI" w:eastAsia="Times New Roman" w:hAnsi="Segoe UI" w:cs="Segoe UI"/>
                      <w:color w:val="000000"/>
                      <w:sz w:val="18"/>
                      <w:szCs w:val="18"/>
                      <w:lang w:eastAsia="en-AU"/>
                    </w:rPr>
                    <w:t>/Inhalation LD</w:t>
                  </w:r>
                  <w:r w:rsidRPr="004257E3">
                    <w:rPr>
                      <w:rFonts w:ascii="Segoe UI" w:eastAsia="Times New Roman" w:hAnsi="Segoe UI" w:cs="Segoe UI"/>
                      <w:color w:val="000000"/>
                      <w:sz w:val="18"/>
                      <w:szCs w:val="18"/>
                      <w:vertAlign w:val="subscript"/>
                      <w:lang w:eastAsia="en-AU"/>
                    </w:rPr>
                    <w:t>50</w:t>
                  </w:r>
                  <w:r w:rsidRPr="004257E3">
                    <w:rPr>
                      <w:rFonts w:ascii="Segoe UI" w:eastAsia="Times New Roman" w:hAnsi="Segoe UI" w:cs="Segoe UI"/>
                      <w:color w:val="000000"/>
                      <w:sz w:val="18"/>
                      <w:szCs w:val="18"/>
                      <w:lang w:eastAsia="en-AU"/>
                    </w:rPr>
                    <w:t xml:space="preserve"> &lt;10:</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 </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i/>
                      <w:iCs/>
                      <w:color w:val="000000"/>
                      <w:sz w:val="18"/>
                      <w:szCs w:val="18"/>
                      <w:lang w:eastAsia="en-AU"/>
                    </w:rPr>
                  </w:pPr>
                  <w:r w:rsidRPr="004257E3">
                    <w:rPr>
                      <w:rFonts w:ascii="Segoe UI" w:eastAsia="Times New Roman" w:hAnsi="Segoe UI" w:cs="Segoe UI"/>
                      <w:i/>
                      <w:iCs/>
                      <w:color w:val="000000"/>
                      <w:sz w:val="18"/>
                      <w:szCs w:val="18"/>
                      <w:lang w:eastAsia="en-AU"/>
                    </w:rPr>
                    <w:t>In vivo</w:t>
                  </w:r>
                  <w:r w:rsidRPr="004257E3">
                    <w:rPr>
                      <w:rFonts w:ascii="Segoe UI" w:eastAsia="Times New Roman" w:hAnsi="Segoe UI" w:cs="Segoe UI"/>
                      <w:color w:val="000000"/>
                      <w:sz w:val="18"/>
                      <w:szCs w:val="18"/>
                      <w:lang w:eastAsia="en-AU"/>
                    </w:rPr>
                    <w:t xml:space="preserve"> dermal absorption rate &gt;10%:</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 </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Estimated dermal exposure at WES &gt;10%:</w:t>
                  </w:r>
                </w:p>
              </w:tc>
              <w:tc>
                <w:tcPr>
                  <w:tcW w:w="522" w:type="dxa"/>
                  <w:tcBorders>
                    <w:top w:val="nil"/>
                    <w:left w:val="nil"/>
                    <w:bottom w:val="nil"/>
                    <w:right w:val="nil"/>
                  </w:tcBorders>
                  <w:shd w:val="clear" w:color="000000" w:fill="FFEB9C"/>
                  <w:noWrap/>
                  <w:vAlign w:val="center"/>
                  <w:hideMark/>
                </w:tcPr>
                <w:p w:rsidR="004257E3" w:rsidRPr="004257E3" w:rsidRDefault="004257E3" w:rsidP="004257E3">
                  <w:pPr>
                    <w:spacing w:after="0" w:line="240" w:lineRule="auto"/>
                    <w:jc w:val="center"/>
                    <w:rPr>
                      <w:rFonts w:ascii="Segoe UI" w:eastAsia="Times New Roman" w:hAnsi="Segoe UI" w:cs="Segoe UI"/>
                      <w:color w:val="9C6500"/>
                      <w:sz w:val="18"/>
                      <w:szCs w:val="18"/>
                      <w:lang w:eastAsia="en-AU"/>
                    </w:rPr>
                  </w:pPr>
                  <w:r w:rsidRPr="004257E3">
                    <w:rPr>
                      <w:rFonts w:ascii="Segoe UI" w:eastAsia="Times New Roman" w:hAnsi="Segoe UI" w:cs="Segoe UI"/>
                      <w:color w:val="9C6500"/>
                      <w:sz w:val="18"/>
                      <w:szCs w:val="18"/>
                      <w:lang w:eastAsia="en-AU"/>
                    </w:rPr>
                    <w:t>yes</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2.00</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r>
            <w:tr w:rsidR="004257E3" w:rsidRPr="004257E3" w:rsidTr="004257E3">
              <w:trPr>
                <w:trHeight w:val="117"/>
              </w:trPr>
              <w:tc>
                <w:tcPr>
                  <w:tcW w:w="4006"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22"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center"/>
                    <w:rPr>
                      <w:rFonts w:ascii="Segoe UI" w:eastAsia="Times New Roman" w:hAnsi="Segoe UI" w:cs="Segoe UI"/>
                      <w:color w:val="000000"/>
                      <w:sz w:val="18"/>
                      <w:szCs w:val="18"/>
                      <w:lang w:eastAsia="en-AU"/>
                    </w:rPr>
                  </w:pPr>
                  <w:r w:rsidRPr="004257E3">
                    <w:rPr>
                      <w:rFonts w:ascii="Segoe UI" w:eastAsia="Times New Roman" w:hAnsi="Segoe UI" w:cs="Segoe UI"/>
                      <w:color w:val="000000"/>
                      <w:sz w:val="18"/>
                      <w:szCs w:val="18"/>
                      <w:lang w:eastAsia="en-AU"/>
                    </w:rPr>
                    <w:t> </w:t>
                  </w:r>
                </w:p>
              </w:tc>
              <w:tc>
                <w:tcPr>
                  <w:tcW w:w="538"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jc w:val="right"/>
                    <w:rPr>
                      <w:rFonts w:ascii="Segoe UI" w:eastAsia="Times New Roman" w:hAnsi="Segoe UI" w:cs="Segoe UI"/>
                      <w:color w:val="C5D9F1"/>
                      <w:sz w:val="18"/>
                      <w:szCs w:val="18"/>
                      <w:lang w:eastAsia="en-AU"/>
                    </w:rPr>
                  </w:pPr>
                  <w:r w:rsidRPr="004257E3">
                    <w:rPr>
                      <w:rFonts w:ascii="Segoe UI" w:eastAsia="Times New Roman" w:hAnsi="Segoe UI" w:cs="Segoe UI"/>
                      <w:color w:val="C5D9F1"/>
                      <w:sz w:val="18"/>
                      <w:szCs w:val="18"/>
                      <w:lang w:eastAsia="en-AU"/>
                    </w:rPr>
                    <w:t>2</w:t>
                  </w:r>
                </w:p>
              </w:tc>
              <w:tc>
                <w:tcPr>
                  <w:tcW w:w="3744" w:type="dxa"/>
                  <w:tcBorders>
                    <w:top w:val="nil"/>
                    <w:left w:val="nil"/>
                    <w:bottom w:val="nil"/>
                    <w:right w:val="nil"/>
                  </w:tcBorders>
                  <w:shd w:val="clear" w:color="000000" w:fill="C5D9F1"/>
                  <w:noWrap/>
                  <w:vAlign w:val="center"/>
                  <w:hideMark/>
                </w:tcPr>
                <w:p w:rsidR="004257E3" w:rsidRPr="004257E3" w:rsidRDefault="004257E3" w:rsidP="004257E3">
                  <w:pPr>
                    <w:spacing w:after="0" w:line="240" w:lineRule="auto"/>
                    <w:rPr>
                      <w:rFonts w:ascii="Segoe UI" w:eastAsia="Times New Roman" w:hAnsi="Segoe UI" w:cs="Segoe UI"/>
                      <w:b/>
                      <w:bCs/>
                      <w:color w:val="000000"/>
                      <w:sz w:val="18"/>
                      <w:szCs w:val="18"/>
                      <w:lang w:eastAsia="en-AU"/>
                    </w:rPr>
                  </w:pPr>
                  <w:r w:rsidRPr="004257E3">
                    <w:rPr>
                      <w:rFonts w:ascii="Segoe UI" w:eastAsia="Times New Roman" w:hAnsi="Segoe UI" w:cs="Segoe UI"/>
                      <w:b/>
                      <w:bCs/>
                      <w:color w:val="000000"/>
                      <w:sz w:val="18"/>
                      <w:szCs w:val="18"/>
                      <w:lang w:eastAsia="en-AU"/>
                    </w:rPr>
                    <w:t>insufficient data to assign a skin notation</w:t>
                  </w:r>
                </w:p>
              </w:tc>
            </w:tr>
          </w:tbl>
          <w:p w:rsidR="00932DCE" w:rsidRPr="004C23F4" w:rsidRDefault="00932DCE" w:rsidP="00F9496B">
            <w:pPr>
              <w:pStyle w:val="Tablefont"/>
            </w:pPr>
          </w:p>
        </w:tc>
      </w:tr>
    </w:tbl>
    <w:bookmarkEnd w:id="3"/>
    <w:p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rsidTr="00610F2E">
        <w:trPr>
          <w:trHeight w:val="454"/>
          <w:tblHeader/>
        </w:trPr>
        <w:tc>
          <w:tcPr>
            <w:tcW w:w="4361" w:type="dxa"/>
            <w:vAlign w:val="center"/>
          </w:tcPr>
          <w:p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rsidR="00EB3D1B" w:rsidRDefault="00304A27" w:rsidP="00EB3D1B">
                <w:pPr>
                  <w:pStyle w:val="Tablefont"/>
                </w:pPr>
                <w:r>
                  <w:t>No</w:t>
                </w:r>
              </w:p>
            </w:tc>
          </w:sdtContent>
        </w:sdt>
      </w:tr>
    </w:tbl>
    <w:p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rsidTr="00EA6243">
        <w:trPr>
          <w:cantSplit/>
          <w:tblHeader/>
        </w:trPr>
        <w:tc>
          <w:tcPr>
            <w:tcW w:w="4077" w:type="dxa"/>
            <w:vAlign w:val="center"/>
          </w:tcPr>
          <w:p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rsidR="001B79E5" w:rsidRDefault="00304A27" w:rsidP="001B79E5">
                <w:pPr>
                  <w:pStyle w:val="Tablefont"/>
                </w:pPr>
                <w:r w:rsidRPr="00304A27">
                  <w:t>‎104.15</w:t>
                </w:r>
              </w:p>
            </w:tc>
          </w:sdtContent>
        </w:sdt>
      </w:tr>
      <w:tr w:rsidR="00A31D99" w:rsidRPr="004C23F4" w:rsidTr="00EA6243">
        <w:trPr>
          <w:cantSplit/>
          <w:tblHeader/>
        </w:trPr>
        <w:tc>
          <w:tcPr>
            <w:tcW w:w="4077" w:type="dxa"/>
            <w:vAlign w:val="center"/>
          </w:tcPr>
          <w:p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rsidR="00A31D99" w:rsidRDefault="00A0643F" w:rsidP="00A174CC">
            <w:pPr>
              <w:pStyle w:val="Tablefont"/>
            </w:pPr>
            <w:r>
              <w:t xml:space="preserve">1 ppm = </w:t>
            </w:r>
            <w:sdt>
              <w:sdtPr>
                <w:id w:val="-371151491"/>
                <w:placeholder>
                  <w:docPart w:val="A7231FB73EFF4B2B92EB3BD21C0CEA01"/>
                </w:placeholder>
              </w:sdtPr>
              <w:sdtEndPr/>
              <w:sdtContent>
                <w:r w:rsidR="00304A27">
                  <w:t>4.25</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304A27">
                  <w:t>0.235</w:t>
                </w:r>
              </w:sdtContent>
            </w:sdt>
            <w:r>
              <w:t xml:space="preserve"> ppm</w:t>
            </w:r>
          </w:p>
        </w:tc>
      </w:tr>
      <w:tr w:rsidR="00687890" w:rsidRPr="004C23F4" w:rsidTr="00EA6243">
        <w:trPr>
          <w:cantSplit/>
          <w:tblHeader/>
        </w:trPr>
        <w:tc>
          <w:tcPr>
            <w:tcW w:w="4077" w:type="dxa"/>
            <w:vAlign w:val="center"/>
          </w:tcPr>
          <w:p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rsidTr="00EA6243">
        <w:trPr>
          <w:cantSplit/>
        </w:trPr>
        <w:tc>
          <w:tcPr>
            <w:tcW w:w="4077" w:type="dxa"/>
            <w:vAlign w:val="center"/>
          </w:tcPr>
          <w:p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rsidTr="00EA6243">
        <w:trPr>
          <w:cantSplit/>
        </w:trPr>
        <w:tc>
          <w:tcPr>
            <w:tcW w:w="4077" w:type="dxa"/>
            <w:vAlign w:val="center"/>
          </w:tcPr>
          <w:p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rsidTr="00EA6243">
        <w:trPr>
          <w:cantSplit/>
        </w:trPr>
        <w:tc>
          <w:tcPr>
            <w:tcW w:w="4077" w:type="dxa"/>
            <w:vAlign w:val="center"/>
          </w:tcPr>
          <w:p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rsidR="00E06F40" w:rsidRPr="00A006A0" w:rsidRDefault="00C36835"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rsidTr="00F053FA">
        <w:trPr>
          <w:tblHeader/>
        </w:trPr>
        <w:tc>
          <w:tcPr>
            <w:tcW w:w="4077" w:type="dxa"/>
            <w:shd w:val="clear" w:color="auto" w:fill="BFBFBF" w:themeFill="background1" w:themeFillShade="BF"/>
            <w:vAlign w:val="center"/>
          </w:tcPr>
          <w:p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rsidR="00224EE2" w:rsidRPr="004C23F4" w:rsidRDefault="00224EE2" w:rsidP="00EB3D1B">
            <w:pPr>
              <w:pStyle w:val="Tableheader"/>
              <w:keepNext/>
              <w:keepLines/>
            </w:pPr>
            <w:r>
              <w:t>Standard</w:t>
            </w:r>
          </w:p>
        </w:tc>
      </w:tr>
      <w:tr w:rsidR="007F1005" w:rsidRPr="004C23F4" w:rsidTr="00F053FA">
        <w:trPr>
          <w:tblHeader/>
        </w:trPr>
        <w:sdt>
          <w:sdtPr>
            <w:id w:val="-25557549"/>
            <w:placeholder>
              <w:docPart w:val="2BF891C0AB704CDAB9BC6E80D556473F"/>
            </w:placeholder>
            <w:showingPlcHdr/>
            <w:text/>
          </w:sdtPr>
          <w:sdtEndPr/>
          <w:sdtContent>
            <w:tc>
              <w:tcPr>
                <w:tcW w:w="4077" w:type="dxa"/>
                <w:vAlign w:val="center"/>
              </w:tcPr>
              <w:p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rsidR="007F1005" w:rsidRPr="004C23F4" w:rsidRDefault="007F1005" w:rsidP="00EB3D1B">
            <w:pPr>
              <w:pStyle w:val="Tablefont"/>
              <w:keepLines/>
            </w:pPr>
          </w:p>
        </w:tc>
      </w:tr>
    </w:tbl>
    <w:bookmarkEnd w:id="4"/>
    <w:p w:rsidR="00F87D92" w:rsidRDefault="00F87D92" w:rsidP="00EF7F78">
      <w:pPr>
        <w:pStyle w:val="Heading2"/>
        <w:tabs>
          <w:tab w:val="right" w:pos="8505"/>
        </w:tabs>
      </w:pPr>
      <w:r>
        <w:t>References</w:t>
      </w:r>
      <w:r w:rsidR="00EF7F78">
        <w:tab/>
      </w:r>
    </w:p>
    <w:p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rsidR="00304A27" w:rsidRDefault="00304A27" w:rsidP="00084859">
      <w:r w:rsidRPr="002022B6">
        <w:t xml:space="preserve">Deutsche </w:t>
      </w:r>
      <w:proofErr w:type="spellStart"/>
      <w:r w:rsidRPr="002022B6">
        <w:t>Forschungsgemeinschaft</w:t>
      </w:r>
      <w:proofErr w:type="spellEnd"/>
      <w:r w:rsidRPr="002022B6">
        <w:t xml:space="preserve"> (DFG)</w:t>
      </w:r>
      <w:r>
        <w:t xml:space="preserve"> (2018) </w:t>
      </w:r>
      <w:proofErr w:type="spellStart"/>
      <w:r w:rsidRPr="00304A27">
        <w:t>Isopropoxyethanol</w:t>
      </w:r>
      <w:proofErr w:type="spellEnd"/>
      <w:r>
        <w:t xml:space="preserve"> – MAK value documentation.</w:t>
      </w:r>
    </w:p>
    <w:p w:rsidR="00304A27" w:rsidRDefault="00304A27" w:rsidP="00084859">
      <w:r>
        <w:t xml:space="preserve">European Chemicals Agency (ECHA) (2019) </w:t>
      </w:r>
      <w:proofErr w:type="spellStart"/>
      <w:r w:rsidRPr="00304A27">
        <w:t>Isopropoxyethanol</w:t>
      </w:r>
      <w:proofErr w:type="spellEnd"/>
      <w:r>
        <w:t xml:space="preserve"> – REACH assessment.</w:t>
      </w:r>
    </w:p>
    <w:p w:rsidR="00534C4E" w:rsidRPr="00351FE0" w:rsidRDefault="00534C4E" w:rsidP="00534C4E">
      <w:r w:rsidRPr="002022B6">
        <w:t>National Industrial Chemicals Notification and Assessment Scheme (NICNAS)</w:t>
      </w:r>
      <w:r>
        <w:t xml:space="preserve"> (</w:t>
      </w:r>
      <w:r w:rsidRPr="00304A27">
        <w:t>2013</w:t>
      </w:r>
      <w:r>
        <w:t xml:space="preserve">) </w:t>
      </w:r>
      <w:r w:rsidRPr="00304A27">
        <w:t>2-(1-methylethoxy)</w:t>
      </w:r>
      <w:r w:rsidR="00F93022">
        <w:t xml:space="preserve"> </w:t>
      </w:r>
      <w:r w:rsidRPr="00304A27">
        <w:t>ethanol and its acetate</w:t>
      </w:r>
      <w:r w:rsidRPr="0071660C">
        <w:t xml:space="preserve">: Human health </w:t>
      </w:r>
      <w:r w:rsidRPr="00304A27">
        <w:t>tier II</w:t>
      </w:r>
      <w:r>
        <w:t xml:space="preserve"> </w:t>
      </w:r>
      <w:r w:rsidRPr="0071660C">
        <w:t>assessment</w:t>
      </w:r>
      <w:r>
        <w:t xml:space="preserve"> – IMAP report.</w:t>
      </w:r>
    </w:p>
    <w:p w:rsidR="00534C4E" w:rsidRDefault="00534C4E" w:rsidP="00534C4E">
      <w:r w:rsidRPr="003D3D8D">
        <w:t>Organisation for Economic Cooperation and Development (OECD) (</w:t>
      </w:r>
      <w:r>
        <w:t>2009</w:t>
      </w:r>
      <w:r w:rsidRPr="003D3D8D">
        <w:t>) SIDS initial assessment profile – 2-(1-methylethoxy)</w:t>
      </w:r>
      <w:r w:rsidR="00F93022">
        <w:t xml:space="preserve"> </w:t>
      </w:r>
      <w:r w:rsidRPr="003D3D8D">
        <w:t>ethanol</w:t>
      </w:r>
      <w:r>
        <w:t>.</w:t>
      </w:r>
    </w:p>
    <w:p w:rsidR="00304A27" w:rsidRPr="00351FE0" w:rsidRDefault="00FA3AAA" w:rsidP="00084859">
      <w:r w:rsidRPr="00E461B8">
        <w:rPr>
          <w:color w:val="000000"/>
        </w:rPr>
        <w:t xml:space="preserve">Tenth Adaptation to Technical Progress Commission Regulation (EU Annex) No 2017/776 amending, for the purposes of its adaptation to technical and scientific progress, Regulation (EC) No 1272/2008 </w:t>
      </w:r>
      <w:r w:rsidRPr="00E461B8">
        <w:rPr>
          <w:color w:val="000000"/>
        </w:rPr>
        <w:lastRenderedPageBreak/>
        <w:t>of the European Parliament and of the Council on classification, labelling and packaging of substances and mixtures (the CLP Regulation).</w:t>
      </w:r>
    </w:p>
    <w:sectPr w:rsidR="00304A27"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FC" w:rsidRDefault="00B03EFC" w:rsidP="00F43AD5">
      <w:pPr>
        <w:spacing w:after="0" w:line="240" w:lineRule="auto"/>
      </w:pPr>
      <w:r>
        <w:separator/>
      </w:r>
    </w:p>
  </w:endnote>
  <w:endnote w:type="continuationSeparator" w:id="0">
    <w:p w:rsidR="00B03EFC" w:rsidRDefault="00B03EFC"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rsidR="005979ED" w:rsidRPr="005979ED" w:rsidRDefault="005979ED" w:rsidP="005979ED">
        <w:pPr>
          <w:pStyle w:val="Footer"/>
          <w:rPr>
            <w:b/>
            <w:sz w:val="18"/>
            <w:szCs w:val="18"/>
          </w:rPr>
        </w:pPr>
      </w:p>
      <w:p w:rsidR="008A36CF" w:rsidRDefault="005979ED" w:rsidP="005979ED">
        <w:pPr>
          <w:pStyle w:val="Footer"/>
          <w:rPr>
            <w:sz w:val="18"/>
            <w:szCs w:val="18"/>
          </w:rPr>
        </w:pPr>
        <w:proofErr w:type="spellStart"/>
        <w:r w:rsidRPr="005979ED">
          <w:rPr>
            <w:b/>
            <w:sz w:val="18"/>
            <w:szCs w:val="18"/>
          </w:rPr>
          <w:t>Isopropoxyethanol</w:t>
        </w:r>
        <w:proofErr w:type="spellEnd"/>
        <w:r w:rsidR="008A36CF">
          <w:rPr>
            <w:b/>
            <w:sz w:val="18"/>
            <w:szCs w:val="18"/>
          </w:rPr>
          <w:t xml:space="preserve"> (</w:t>
        </w:r>
        <w:r w:rsidRPr="005979ED">
          <w:rPr>
            <w:b/>
            <w:sz w:val="18"/>
            <w:szCs w:val="18"/>
          </w:rPr>
          <w:t>109-59-1</w:t>
        </w:r>
        <w:proofErr w:type="gramStart"/>
        <w:r w:rsidR="008A36CF">
          <w:rPr>
            <w:b/>
            <w:sz w:val="18"/>
            <w:szCs w:val="18"/>
          </w:rPr>
          <w:t>)</w:t>
        </w:r>
        <w:proofErr w:type="gramEnd"/>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36835">
          <w:rPr>
            <w:noProof/>
            <w:sz w:val="18"/>
            <w:szCs w:val="18"/>
          </w:rPr>
          <w:t>2</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FC" w:rsidRDefault="00B03EFC" w:rsidP="00F43AD5">
      <w:pPr>
        <w:spacing w:after="0" w:line="240" w:lineRule="auto"/>
      </w:pPr>
      <w:r>
        <w:separator/>
      </w:r>
    </w:p>
  </w:footnote>
  <w:footnote w:type="continuationSeparator" w:id="0">
    <w:p w:rsidR="00B03EFC" w:rsidRDefault="00B03EFC"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rsidP="00C36835">
    <w:pPr>
      <w:pStyle w:val="Header"/>
      <w:jc w:val="right"/>
    </w:pPr>
    <w:sdt>
      <w:sdtPr>
        <w:id w:val="-1921237273"/>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7F3318C" wp14:editId="17C06DC7">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p w:rsidR="008A36CF" w:rsidRPr="00C36835" w:rsidRDefault="008A36CF" w:rsidP="00C36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35" w:rsidRDefault="00C36835" w:rsidP="00C36835">
    <w:pPr>
      <w:pStyle w:val="Header"/>
      <w:jc w:val="right"/>
    </w:pPr>
    <w:sdt>
      <w:sdtPr>
        <w:id w:val="105785071"/>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7F3318C" wp14:editId="17C06DC7">
          <wp:extent cx="2938272" cy="594360"/>
          <wp:effectExtent l="0" t="0" r="0" b="0"/>
          <wp:docPr id="1" name="Picture 1"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p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04E2"/>
    <w:multiLevelType w:val="hybridMultilevel"/>
    <w:tmpl w:val="F30A60DC"/>
    <w:lvl w:ilvl="0" w:tplc="8450530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1E2335"/>
    <w:multiLevelType w:val="hybridMultilevel"/>
    <w:tmpl w:val="D0BEB956"/>
    <w:lvl w:ilvl="0" w:tplc="4AC872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24FA1"/>
    <w:rsid w:val="00032B88"/>
    <w:rsid w:val="00046DF5"/>
    <w:rsid w:val="00050B10"/>
    <w:rsid w:val="00052060"/>
    <w:rsid w:val="0005574A"/>
    <w:rsid w:val="00055FE1"/>
    <w:rsid w:val="00056EC2"/>
    <w:rsid w:val="00060B48"/>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D0F5C"/>
    <w:rsid w:val="000D291C"/>
    <w:rsid w:val="000E5A54"/>
    <w:rsid w:val="000E63D3"/>
    <w:rsid w:val="000E67CF"/>
    <w:rsid w:val="0010461E"/>
    <w:rsid w:val="00106FAA"/>
    <w:rsid w:val="00113443"/>
    <w:rsid w:val="001269A7"/>
    <w:rsid w:val="00131092"/>
    <w:rsid w:val="00140E6A"/>
    <w:rsid w:val="00146545"/>
    <w:rsid w:val="00146B75"/>
    <w:rsid w:val="0015266D"/>
    <w:rsid w:val="0015288A"/>
    <w:rsid w:val="00160F47"/>
    <w:rsid w:val="00177CA1"/>
    <w:rsid w:val="00183823"/>
    <w:rsid w:val="00183942"/>
    <w:rsid w:val="00193F15"/>
    <w:rsid w:val="001A009E"/>
    <w:rsid w:val="001A1287"/>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2D6"/>
    <w:rsid w:val="00224EE2"/>
    <w:rsid w:val="00227EC7"/>
    <w:rsid w:val="00244AD1"/>
    <w:rsid w:val="002463BC"/>
    <w:rsid w:val="002465CE"/>
    <w:rsid w:val="0025734A"/>
    <w:rsid w:val="00263255"/>
    <w:rsid w:val="00276494"/>
    <w:rsid w:val="00277B0C"/>
    <w:rsid w:val="00277BFD"/>
    <w:rsid w:val="002A163C"/>
    <w:rsid w:val="002B1A2C"/>
    <w:rsid w:val="002C14A8"/>
    <w:rsid w:val="002C34F2"/>
    <w:rsid w:val="002C58FF"/>
    <w:rsid w:val="002C7AFE"/>
    <w:rsid w:val="002D05D2"/>
    <w:rsid w:val="002E0D61"/>
    <w:rsid w:val="002E4C7B"/>
    <w:rsid w:val="00304A27"/>
    <w:rsid w:val="0030740C"/>
    <w:rsid w:val="00315833"/>
    <w:rsid w:val="003215EE"/>
    <w:rsid w:val="003224BF"/>
    <w:rsid w:val="003241A8"/>
    <w:rsid w:val="003253F0"/>
    <w:rsid w:val="003337DA"/>
    <w:rsid w:val="00334EFB"/>
    <w:rsid w:val="00335CDE"/>
    <w:rsid w:val="003365A5"/>
    <w:rsid w:val="00337578"/>
    <w:rsid w:val="00347192"/>
    <w:rsid w:val="0034744C"/>
    <w:rsid w:val="00351FE0"/>
    <w:rsid w:val="00352615"/>
    <w:rsid w:val="0035412B"/>
    <w:rsid w:val="003567A8"/>
    <w:rsid w:val="00362895"/>
    <w:rsid w:val="00370DBF"/>
    <w:rsid w:val="00386093"/>
    <w:rsid w:val="003904A4"/>
    <w:rsid w:val="00391841"/>
    <w:rsid w:val="00391B6D"/>
    <w:rsid w:val="00394922"/>
    <w:rsid w:val="003A0E32"/>
    <w:rsid w:val="003A2B94"/>
    <w:rsid w:val="003B387D"/>
    <w:rsid w:val="003C0D58"/>
    <w:rsid w:val="003D3D8D"/>
    <w:rsid w:val="003D4FA3"/>
    <w:rsid w:val="003E0807"/>
    <w:rsid w:val="003E51FB"/>
    <w:rsid w:val="003E6B39"/>
    <w:rsid w:val="003E70EE"/>
    <w:rsid w:val="003F07E1"/>
    <w:rsid w:val="004030BC"/>
    <w:rsid w:val="00403F7D"/>
    <w:rsid w:val="00406785"/>
    <w:rsid w:val="004079B4"/>
    <w:rsid w:val="004102B4"/>
    <w:rsid w:val="00417A56"/>
    <w:rsid w:val="00420957"/>
    <w:rsid w:val="00422A10"/>
    <w:rsid w:val="004257E3"/>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527A"/>
    <w:rsid w:val="004956BE"/>
    <w:rsid w:val="004966BF"/>
    <w:rsid w:val="00497984"/>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1392B"/>
    <w:rsid w:val="005142C4"/>
    <w:rsid w:val="0051509C"/>
    <w:rsid w:val="005272E2"/>
    <w:rsid w:val="0053108F"/>
    <w:rsid w:val="00532B56"/>
    <w:rsid w:val="00534B10"/>
    <w:rsid w:val="00534C4E"/>
    <w:rsid w:val="005446A2"/>
    <w:rsid w:val="00544D2F"/>
    <w:rsid w:val="00551BD8"/>
    <w:rsid w:val="00581055"/>
    <w:rsid w:val="00591E38"/>
    <w:rsid w:val="005979ED"/>
    <w:rsid w:val="005A19C5"/>
    <w:rsid w:val="005A3034"/>
    <w:rsid w:val="005A462D"/>
    <w:rsid w:val="005B253B"/>
    <w:rsid w:val="005B771D"/>
    <w:rsid w:val="005C5D16"/>
    <w:rsid w:val="005D3193"/>
    <w:rsid w:val="005D4A6E"/>
    <w:rsid w:val="005E6979"/>
    <w:rsid w:val="005E75CB"/>
    <w:rsid w:val="006013C1"/>
    <w:rsid w:val="0060669E"/>
    <w:rsid w:val="00610F2E"/>
    <w:rsid w:val="00611399"/>
    <w:rsid w:val="00624C4E"/>
    <w:rsid w:val="00625200"/>
    <w:rsid w:val="006363A8"/>
    <w:rsid w:val="00636DB7"/>
    <w:rsid w:val="00650905"/>
    <w:rsid w:val="006532ED"/>
    <w:rsid w:val="006549F2"/>
    <w:rsid w:val="006567B7"/>
    <w:rsid w:val="00657BFB"/>
    <w:rsid w:val="0066333C"/>
    <w:rsid w:val="006639B4"/>
    <w:rsid w:val="006650FE"/>
    <w:rsid w:val="006717DA"/>
    <w:rsid w:val="0067305D"/>
    <w:rsid w:val="00677D9B"/>
    <w:rsid w:val="00682F82"/>
    <w:rsid w:val="006867F3"/>
    <w:rsid w:val="00687890"/>
    <w:rsid w:val="006901A2"/>
    <w:rsid w:val="00690368"/>
    <w:rsid w:val="0069079C"/>
    <w:rsid w:val="00690B53"/>
    <w:rsid w:val="00695B72"/>
    <w:rsid w:val="006B055F"/>
    <w:rsid w:val="006B160A"/>
    <w:rsid w:val="006B4E6C"/>
    <w:rsid w:val="006B50B6"/>
    <w:rsid w:val="006D79EA"/>
    <w:rsid w:val="006E5D05"/>
    <w:rsid w:val="00701053"/>
    <w:rsid w:val="00701507"/>
    <w:rsid w:val="00714021"/>
    <w:rsid w:val="00716A0F"/>
    <w:rsid w:val="00717D45"/>
    <w:rsid w:val="007208F7"/>
    <w:rsid w:val="007218AF"/>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4F5A"/>
    <w:rsid w:val="00810C6D"/>
    <w:rsid w:val="0081185C"/>
    <w:rsid w:val="00812887"/>
    <w:rsid w:val="00826F21"/>
    <w:rsid w:val="00834CC8"/>
    <w:rsid w:val="00835E00"/>
    <w:rsid w:val="00837113"/>
    <w:rsid w:val="008414E4"/>
    <w:rsid w:val="00843E21"/>
    <w:rsid w:val="0084508E"/>
    <w:rsid w:val="00857A8A"/>
    <w:rsid w:val="00861ABD"/>
    <w:rsid w:val="008630EE"/>
    <w:rsid w:val="00864D13"/>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51D9"/>
    <w:rsid w:val="008E7B64"/>
    <w:rsid w:val="008F458C"/>
    <w:rsid w:val="008F5DCD"/>
    <w:rsid w:val="00900951"/>
    <w:rsid w:val="009118A6"/>
    <w:rsid w:val="009134A2"/>
    <w:rsid w:val="00916909"/>
    <w:rsid w:val="00916EC0"/>
    <w:rsid w:val="00920467"/>
    <w:rsid w:val="00921DE7"/>
    <w:rsid w:val="0093041A"/>
    <w:rsid w:val="00930714"/>
    <w:rsid w:val="00931B03"/>
    <w:rsid w:val="009323B9"/>
    <w:rsid w:val="00932DCE"/>
    <w:rsid w:val="0093327E"/>
    <w:rsid w:val="00934028"/>
    <w:rsid w:val="0093760E"/>
    <w:rsid w:val="00942D3E"/>
    <w:rsid w:val="00946044"/>
    <w:rsid w:val="0094660B"/>
    <w:rsid w:val="00946A33"/>
    <w:rsid w:val="009518CE"/>
    <w:rsid w:val="0095260E"/>
    <w:rsid w:val="009578DD"/>
    <w:rsid w:val="00961124"/>
    <w:rsid w:val="009621B6"/>
    <w:rsid w:val="00974F2D"/>
    <w:rsid w:val="00977524"/>
    <w:rsid w:val="00977E88"/>
    <w:rsid w:val="009823E4"/>
    <w:rsid w:val="00984920"/>
    <w:rsid w:val="0099303A"/>
    <w:rsid w:val="009971C2"/>
    <w:rsid w:val="009A1254"/>
    <w:rsid w:val="009B2FF2"/>
    <w:rsid w:val="009B380C"/>
    <w:rsid w:val="009B3CEE"/>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284D"/>
    <w:rsid w:val="00A84504"/>
    <w:rsid w:val="00A8672F"/>
    <w:rsid w:val="00A93057"/>
    <w:rsid w:val="00A968B0"/>
    <w:rsid w:val="00A97DF5"/>
    <w:rsid w:val="00AA756C"/>
    <w:rsid w:val="00AB2672"/>
    <w:rsid w:val="00AB2817"/>
    <w:rsid w:val="00AB43C4"/>
    <w:rsid w:val="00AC32E7"/>
    <w:rsid w:val="00AC3A9F"/>
    <w:rsid w:val="00AC6D2F"/>
    <w:rsid w:val="00AE2745"/>
    <w:rsid w:val="00AE2F64"/>
    <w:rsid w:val="00AF42CB"/>
    <w:rsid w:val="00AF483F"/>
    <w:rsid w:val="00AF5E07"/>
    <w:rsid w:val="00AF5F06"/>
    <w:rsid w:val="00B00A25"/>
    <w:rsid w:val="00B03EFC"/>
    <w:rsid w:val="00B1422A"/>
    <w:rsid w:val="00B1765C"/>
    <w:rsid w:val="00B213C4"/>
    <w:rsid w:val="00B40C60"/>
    <w:rsid w:val="00B479A9"/>
    <w:rsid w:val="00B52EDF"/>
    <w:rsid w:val="00B71188"/>
    <w:rsid w:val="00B76A41"/>
    <w:rsid w:val="00B87D4C"/>
    <w:rsid w:val="00B93646"/>
    <w:rsid w:val="00BA0B38"/>
    <w:rsid w:val="00BA1DBB"/>
    <w:rsid w:val="00BA4510"/>
    <w:rsid w:val="00BA529A"/>
    <w:rsid w:val="00BA7040"/>
    <w:rsid w:val="00BB612A"/>
    <w:rsid w:val="00BD3D19"/>
    <w:rsid w:val="00BD499F"/>
    <w:rsid w:val="00BD56DE"/>
    <w:rsid w:val="00BF2406"/>
    <w:rsid w:val="00C06E43"/>
    <w:rsid w:val="00C075A4"/>
    <w:rsid w:val="00C16315"/>
    <w:rsid w:val="00C3091E"/>
    <w:rsid w:val="00C36835"/>
    <w:rsid w:val="00C40FF1"/>
    <w:rsid w:val="00C419E2"/>
    <w:rsid w:val="00C5020E"/>
    <w:rsid w:val="00C57452"/>
    <w:rsid w:val="00C61EDF"/>
    <w:rsid w:val="00C6239D"/>
    <w:rsid w:val="00C6594B"/>
    <w:rsid w:val="00C67FFB"/>
    <w:rsid w:val="00C7155E"/>
    <w:rsid w:val="00C71A3E"/>
    <w:rsid w:val="00C71D1E"/>
    <w:rsid w:val="00C71D7D"/>
    <w:rsid w:val="00C74833"/>
    <w:rsid w:val="00C850A0"/>
    <w:rsid w:val="00C85A86"/>
    <w:rsid w:val="00C978F0"/>
    <w:rsid w:val="00CA58FE"/>
    <w:rsid w:val="00CB1CB1"/>
    <w:rsid w:val="00CB6BC1"/>
    <w:rsid w:val="00CB6CB8"/>
    <w:rsid w:val="00CC1A68"/>
    <w:rsid w:val="00CC2123"/>
    <w:rsid w:val="00CD2BFD"/>
    <w:rsid w:val="00CE5AD6"/>
    <w:rsid w:val="00CE617F"/>
    <w:rsid w:val="00CE78EF"/>
    <w:rsid w:val="00D048F7"/>
    <w:rsid w:val="00D0517E"/>
    <w:rsid w:val="00D140FC"/>
    <w:rsid w:val="00D21D8C"/>
    <w:rsid w:val="00D31357"/>
    <w:rsid w:val="00D33220"/>
    <w:rsid w:val="00D334D1"/>
    <w:rsid w:val="00D44C89"/>
    <w:rsid w:val="00D516CD"/>
    <w:rsid w:val="00D57F4E"/>
    <w:rsid w:val="00D668E6"/>
    <w:rsid w:val="00D70670"/>
    <w:rsid w:val="00D74D80"/>
    <w:rsid w:val="00D76624"/>
    <w:rsid w:val="00D87570"/>
    <w:rsid w:val="00D91CB9"/>
    <w:rsid w:val="00D97989"/>
    <w:rsid w:val="00D97D8D"/>
    <w:rsid w:val="00DA352E"/>
    <w:rsid w:val="00DC31D0"/>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2BC6"/>
    <w:rsid w:val="00EF303E"/>
    <w:rsid w:val="00EF3A40"/>
    <w:rsid w:val="00EF7F78"/>
    <w:rsid w:val="00F01B08"/>
    <w:rsid w:val="00F01C4D"/>
    <w:rsid w:val="00F053FA"/>
    <w:rsid w:val="00F10C97"/>
    <w:rsid w:val="00F11C71"/>
    <w:rsid w:val="00F16019"/>
    <w:rsid w:val="00F20E68"/>
    <w:rsid w:val="00F22093"/>
    <w:rsid w:val="00F236DF"/>
    <w:rsid w:val="00F43AD5"/>
    <w:rsid w:val="00F4402E"/>
    <w:rsid w:val="00F56DD0"/>
    <w:rsid w:val="00F6491C"/>
    <w:rsid w:val="00F67BBB"/>
    <w:rsid w:val="00F87D92"/>
    <w:rsid w:val="00F90AA7"/>
    <w:rsid w:val="00F92498"/>
    <w:rsid w:val="00F93022"/>
    <w:rsid w:val="00F9496B"/>
    <w:rsid w:val="00F970C9"/>
    <w:rsid w:val="00FA06A8"/>
    <w:rsid w:val="00FA3AAA"/>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4257E3"/>
    <w:rPr>
      <w:sz w:val="16"/>
      <w:szCs w:val="16"/>
    </w:rPr>
  </w:style>
  <w:style w:type="paragraph" w:styleId="CommentText">
    <w:name w:val="annotation text"/>
    <w:basedOn w:val="Normal"/>
    <w:link w:val="CommentTextChar"/>
    <w:uiPriority w:val="99"/>
    <w:semiHidden/>
    <w:unhideWhenUsed/>
    <w:rsid w:val="004257E3"/>
    <w:pPr>
      <w:spacing w:line="240" w:lineRule="auto"/>
    </w:pPr>
    <w:rPr>
      <w:szCs w:val="20"/>
    </w:rPr>
  </w:style>
  <w:style w:type="character" w:customStyle="1" w:styleId="CommentTextChar">
    <w:name w:val="Comment Text Char"/>
    <w:basedOn w:val="DefaultParagraphFont"/>
    <w:link w:val="CommentText"/>
    <w:uiPriority w:val="99"/>
    <w:semiHidden/>
    <w:rsid w:val="004257E3"/>
    <w:rPr>
      <w:szCs w:val="20"/>
    </w:rPr>
  </w:style>
  <w:style w:type="paragraph" w:styleId="Revision">
    <w:name w:val="Revision"/>
    <w:hidden/>
    <w:uiPriority w:val="99"/>
    <w:semiHidden/>
    <w:rsid w:val="009518CE"/>
    <w:pPr>
      <w:spacing w:after="0" w:line="240" w:lineRule="auto"/>
    </w:pPr>
  </w:style>
  <w:style w:type="paragraph" w:styleId="CommentSubject">
    <w:name w:val="annotation subject"/>
    <w:basedOn w:val="CommentText"/>
    <w:next w:val="CommentText"/>
    <w:link w:val="CommentSubjectChar"/>
    <w:uiPriority w:val="99"/>
    <w:semiHidden/>
    <w:unhideWhenUsed/>
    <w:rsid w:val="00861ABD"/>
    <w:rPr>
      <w:b/>
      <w:bCs/>
    </w:rPr>
  </w:style>
  <w:style w:type="character" w:customStyle="1" w:styleId="CommentSubjectChar">
    <w:name w:val="Comment Subject Char"/>
    <w:basedOn w:val="CommentTextChar"/>
    <w:link w:val="CommentSubject"/>
    <w:uiPriority w:val="99"/>
    <w:semiHidden/>
    <w:rsid w:val="00861AB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80236">
      <w:bodyDiv w:val="1"/>
      <w:marLeft w:val="0"/>
      <w:marRight w:val="0"/>
      <w:marTop w:val="0"/>
      <w:marBottom w:val="0"/>
      <w:divBdr>
        <w:top w:val="none" w:sz="0" w:space="0" w:color="auto"/>
        <w:left w:val="none" w:sz="0" w:space="0" w:color="auto"/>
        <w:bottom w:val="none" w:sz="0" w:space="0" w:color="auto"/>
        <w:right w:val="none" w:sz="0" w:space="0" w:color="auto"/>
      </w:divBdr>
    </w:div>
    <w:div w:id="1847133816">
      <w:bodyDiv w:val="1"/>
      <w:marLeft w:val="0"/>
      <w:marRight w:val="0"/>
      <w:marTop w:val="0"/>
      <w:marBottom w:val="0"/>
      <w:divBdr>
        <w:top w:val="none" w:sz="0" w:space="0" w:color="auto"/>
        <w:left w:val="none" w:sz="0" w:space="0" w:color="auto"/>
        <w:bottom w:val="none" w:sz="0" w:space="0" w:color="auto"/>
        <w:right w:val="none" w:sz="0" w:space="0" w:color="auto"/>
      </w:divBdr>
    </w:div>
    <w:div w:id="18472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CDB6A1692F1343A289293B1F68CB630E"/>
        <w:category>
          <w:name w:val="General"/>
          <w:gallery w:val="placeholder"/>
        </w:category>
        <w:types>
          <w:type w:val="bbPlcHdr"/>
        </w:types>
        <w:behaviors>
          <w:behavior w:val="content"/>
        </w:behaviors>
        <w:guid w:val="{6C7A8EFB-6374-44BC-B5BC-086BEB24524D}"/>
      </w:docPartPr>
      <w:docPartBody>
        <w:p w:rsidR="00A671A3" w:rsidRDefault="007C00DA" w:rsidP="007C00DA">
          <w:pPr>
            <w:pStyle w:val="CDB6A1692F1343A289293B1F68CB630E"/>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175CB0"/>
    <w:rsid w:val="00476E6F"/>
    <w:rsid w:val="007C00DA"/>
    <w:rsid w:val="008225DD"/>
    <w:rsid w:val="00A671A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0DA"/>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AF156816B624415E9696D407D05A6EB0">
    <w:name w:val="AF156816B624415E9696D407D05A6EB0"/>
    <w:rsid w:val="00476E6F"/>
  </w:style>
  <w:style w:type="paragraph" w:customStyle="1" w:styleId="1A67BE649FDE4681B232A43922ED8B4D">
    <w:name w:val="1A67BE649FDE4681B232A43922ED8B4D"/>
    <w:rsid w:val="00476E6F"/>
  </w:style>
  <w:style w:type="paragraph" w:customStyle="1" w:styleId="E1872559F5564CCA889D7CF94B191A36">
    <w:name w:val="E1872559F5564CCA889D7CF94B191A36"/>
    <w:rsid w:val="00476E6F"/>
  </w:style>
  <w:style w:type="paragraph" w:customStyle="1" w:styleId="285820878F87448F80610862AAA5A946">
    <w:name w:val="285820878F87448F80610862AAA5A946"/>
    <w:rsid w:val="00476E6F"/>
  </w:style>
  <w:style w:type="paragraph" w:customStyle="1" w:styleId="89B89F85D278479A9D68DD3EF47172F9">
    <w:name w:val="89B89F85D278479A9D68DD3EF47172F9"/>
    <w:rsid w:val="00476E6F"/>
  </w:style>
  <w:style w:type="paragraph" w:customStyle="1" w:styleId="5D0CFCB720A94435BB1C5BBBB6FCFA18">
    <w:name w:val="5D0CFCB720A94435BB1C5BBBB6FCFA18"/>
    <w:rsid w:val="00476E6F"/>
  </w:style>
  <w:style w:type="paragraph" w:customStyle="1" w:styleId="89FEF09247B441D686F4275D28AED0A2">
    <w:name w:val="89FEF09247B441D686F4275D28AED0A2"/>
    <w:rsid w:val="00476E6F"/>
  </w:style>
  <w:style w:type="paragraph" w:customStyle="1" w:styleId="74317D559FCA401A9734B00AB9AB89AA">
    <w:name w:val="74317D559FCA401A9734B00AB9AB89AA"/>
    <w:rsid w:val="00175CB0"/>
  </w:style>
  <w:style w:type="paragraph" w:customStyle="1" w:styleId="CDB6A1692F1343A289293B1F68CB630E">
    <w:name w:val="CDB6A1692F1343A289293B1F68CB630E"/>
    <w:rsid w:val="007C0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3670E-CBA7-4B34-B873-8C0C938DF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4.xml><?xml version="1.0" encoding="utf-8"?>
<ds:datastoreItem xmlns:ds="http://schemas.openxmlformats.org/officeDocument/2006/customXml" ds:itemID="{E11F24B1-1E34-4839-9E69-1F8A1ADE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372D0221.dotm</Template>
  <TotalTime>386</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18</cp:revision>
  <cp:lastPrinted>2018-10-22T22:41:00Z</cp:lastPrinted>
  <dcterms:created xsi:type="dcterms:W3CDTF">2019-09-04T06:57:00Z</dcterms:created>
  <dcterms:modified xsi:type="dcterms:W3CDTF">2020-01-15T21:32:00Z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