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9E9B40D" w14:textId="77777777" w:rsidR="00BD499F" w:rsidRPr="004C23F4" w:rsidRDefault="003236DB" w:rsidP="00B40C60">
          <w:pPr>
            <w:pStyle w:val="Heading1"/>
            <w:jc w:val="center"/>
            <w:rPr>
              <w:rFonts w:ascii="Arial" w:hAnsi="Arial" w:cs="Arial"/>
            </w:rPr>
          </w:pPr>
          <w:r w:rsidRPr="003236DB">
            <w:rPr>
              <w:rFonts w:ascii="Arial" w:hAnsi="Arial" w:cs="Arial"/>
            </w:rPr>
            <w:t>Isopropyl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64546434" w14:textId="77777777" w:rsidTr="00B76A41">
        <w:trPr>
          <w:cantSplit/>
          <w:tblHeader/>
        </w:trPr>
        <w:tc>
          <w:tcPr>
            <w:tcW w:w="4077" w:type="dxa"/>
          </w:tcPr>
          <w:p w14:paraId="45AD582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61A91B4" w14:textId="77777777" w:rsidR="00F43AD5" w:rsidRPr="00717D45" w:rsidRDefault="003236DB" w:rsidP="00B76A41">
            <w:pPr>
              <w:pStyle w:val="Tablefont"/>
            </w:pPr>
            <w:r w:rsidRPr="003236DB">
              <w:t>67-63-0</w:t>
            </w:r>
          </w:p>
        </w:tc>
      </w:tr>
      <w:tr w:rsidR="00F43AD5" w:rsidRPr="00DC49E6" w14:paraId="7325A8EA" w14:textId="77777777" w:rsidTr="00B76A41">
        <w:trPr>
          <w:cantSplit/>
        </w:trPr>
        <w:tc>
          <w:tcPr>
            <w:tcW w:w="4077" w:type="dxa"/>
          </w:tcPr>
          <w:p w14:paraId="1495197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6FF1717" w14:textId="77777777" w:rsidR="00F43AD5" w:rsidRPr="00DC49E6" w:rsidRDefault="00BB63D0" w:rsidP="00B76A41">
            <w:pPr>
              <w:pStyle w:val="Tablefont"/>
              <w:rPr>
                <w:lang w:val="it-IT"/>
              </w:rPr>
            </w:pPr>
            <w:r w:rsidRPr="00DC49E6">
              <w:rPr>
                <w:lang w:val="it-IT"/>
              </w:rPr>
              <w:t>Isopropanol, 2-propanol, n-propan-2-ol</w:t>
            </w:r>
          </w:p>
        </w:tc>
      </w:tr>
      <w:tr w:rsidR="00F43AD5" w:rsidRPr="004C23F4" w14:paraId="729CA41C" w14:textId="77777777" w:rsidTr="00B76A41">
        <w:trPr>
          <w:cantSplit/>
        </w:trPr>
        <w:tc>
          <w:tcPr>
            <w:tcW w:w="4077" w:type="dxa"/>
          </w:tcPr>
          <w:p w14:paraId="06CE17D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B7640B2" w14:textId="77777777" w:rsidR="00F43AD5" w:rsidRPr="00717D45" w:rsidRDefault="00BB63D0" w:rsidP="00B76A41">
            <w:pPr>
              <w:pStyle w:val="Tablefont"/>
            </w:pPr>
            <w:r w:rsidRPr="00BB63D0">
              <w:t>C</w:t>
            </w:r>
            <w:r w:rsidRPr="00BB63D0">
              <w:rPr>
                <w:vertAlign w:val="subscript"/>
              </w:rPr>
              <w:t>3</w:t>
            </w:r>
            <w:r w:rsidRPr="00BB63D0">
              <w:t>H</w:t>
            </w:r>
            <w:r w:rsidRPr="00BB63D0">
              <w:rPr>
                <w:vertAlign w:val="subscript"/>
              </w:rPr>
              <w:t>8</w:t>
            </w:r>
            <w:r w:rsidRPr="00BB63D0">
              <w:t>O</w:t>
            </w:r>
          </w:p>
        </w:tc>
      </w:tr>
      <w:tr w:rsidR="00F43AD5" w:rsidRPr="004C23F4" w14:paraId="4CD3F6FF" w14:textId="77777777" w:rsidTr="00B76A41">
        <w:trPr>
          <w:cantSplit/>
        </w:trPr>
        <w:tc>
          <w:tcPr>
            <w:tcW w:w="4077" w:type="dxa"/>
          </w:tcPr>
          <w:p w14:paraId="7E50AFE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878C96B" w14:textId="77777777" w:rsidR="00F43AD5" w:rsidRPr="00BB63D0" w:rsidRDefault="00BB63D0" w:rsidP="00B76A41">
            <w:pPr>
              <w:pStyle w:val="Tablerowheading"/>
              <w:rPr>
                <w:b w:val="0"/>
              </w:rPr>
            </w:pPr>
            <w:r w:rsidRPr="00BB63D0">
              <w:rPr>
                <w:b w:val="0"/>
              </w:rPr>
              <w:t>—</w:t>
            </w:r>
          </w:p>
        </w:tc>
      </w:tr>
    </w:tbl>
    <w:p w14:paraId="7AB7687A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A2CE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9"/>
        <w:gridCol w:w="5027"/>
      </w:tblGrid>
      <w:tr w:rsidR="002C7AFE" w:rsidRPr="004C23F4" w14:paraId="48CC6381" w14:textId="77777777" w:rsidTr="008C1B5B">
        <w:trPr>
          <w:cantSplit/>
          <w:tblHeader/>
        </w:trPr>
        <w:tc>
          <w:tcPr>
            <w:tcW w:w="3999" w:type="dxa"/>
            <w:vAlign w:val="center"/>
          </w:tcPr>
          <w:p w14:paraId="69301A5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7" w:type="dxa"/>
          </w:tcPr>
          <w:p w14:paraId="756F458F" w14:textId="77777777" w:rsidR="002C7AFE" w:rsidRPr="00EB3D1B" w:rsidRDefault="00CD500A" w:rsidP="00017C82">
            <w:pPr>
              <w:pStyle w:val="Tablefont"/>
              <w:rPr>
                <w:b/>
              </w:rPr>
            </w:pPr>
            <w:r w:rsidRPr="00CD500A">
              <w:rPr>
                <w:b/>
              </w:rPr>
              <w:t>200 ppm (491 mg/m</w:t>
            </w:r>
            <w:r w:rsidRPr="00CD500A">
              <w:rPr>
                <w:b/>
                <w:vertAlign w:val="superscript"/>
              </w:rPr>
              <w:t>3</w:t>
            </w:r>
            <w:r w:rsidRPr="00CD500A">
              <w:rPr>
                <w:b/>
              </w:rPr>
              <w:t>)</w:t>
            </w:r>
          </w:p>
        </w:tc>
      </w:tr>
      <w:tr w:rsidR="002C7AFE" w:rsidRPr="004C23F4" w14:paraId="42346853" w14:textId="77777777" w:rsidTr="008C1B5B">
        <w:trPr>
          <w:cantSplit/>
        </w:trPr>
        <w:tc>
          <w:tcPr>
            <w:tcW w:w="3999" w:type="dxa"/>
            <w:vAlign w:val="center"/>
          </w:tcPr>
          <w:p w14:paraId="64121CB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7" w:type="dxa"/>
          </w:tcPr>
          <w:p w14:paraId="25E44B95" w14:textId="77777777" w:rsidR="002C7AFE" w:rsidRPr="00EB3D1B" w:rsidRDefault="00CD500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</w:t>
            </w:r>
            <w:r w:rsidRPr="00CD500A">
              <w:rPr>
                <w:b/>
              </w:rPr>
              <w:t>00 ppm (984 mg/m</w:t>
            </w:r>
            <w:r w:rsidRPr="00CD500A">
              <w:rPr>
                <w:b/>
                <w:vertAlign w:val="superscript"/>
              </w:rPr>
              <w:t>3</w:t>
            </w:r>
            <w:r w:rsidRPr="00CD500A">
              <w:rPr>
                <w:b/>
              </w:rPr>
              <w:t>)</w:t>
            </w:r>
          </w:p>
        </w:tc>
      </w:tr>
      <w:tr w:rsidR="002C7AFE" w:rsidRPr="004C23F4" w14:paraId="3A41AFF3" w14:textId="77777777" w:rsidTr="008C1B5B">
        <w:trPr>
          <w:cantSplit/>
        </w:trPr>
        <w:tc>
          <w:tcPr>
            <w:tcW w:w="3999" w:type="dxa"/>
            <w:vAlign w:val="center"/>
          </w:tcPr>
          <w:p w14:paraId="6F92FFC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7" w:type="dxa"/>
          </w:tcPr>
          <w:p w14:paraId="756B8E5E" w14:textId="77777777" w:rsidR="002C7AFE" w:rsidRPr="00EB3D1B" w:rsidRDefault="00CD500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ADF5CFC" w14:textId="77777777" w:rsidTr="008C1B5B">
        <w:trPr>
          <w:cantSplit/>
        </w:trPr>
        <w:tc>
          <w:tcPr>
            <w:tcW w:w="3999" w:type="dxa"/>
          </w:tcPr>
          <w:p w14:paraId="0507C43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7" w:type="dxa"/>
          </w:tcPr>
          <w:p w14:paraId="16000C2A" w14:textId="77777777" w:rsidR="002C7AFE" w:rsidRPr="00EB3D1B" w:rsidRDefault="00CD500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752475B" w14:textId="77777777" w:rsidTr="008C1B5B">
        <w:trPr>
          <w:cantSplit/>
        </w:trPr>
        <w:tc>
          <w:tcPr>
            <w:tcW w:w="3999" w:type="dxa"/>
            <w:vAlign w:val="center"/>
          </w:tcPr>
          <w:p w14:paraId="05FEEC18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7" w:type="dxa"/>
          </w:tcPr>
          <w:p w14:paraId="1FB3FF35" w14:textId="77777777" w:rsidR="002C7AFE" w:rsidRPr="00EB3D1B" w:rsidRDefault="00BB63D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30090F">
              <w:rPr>
                <w:b/>
              </w:rPr>
              <w:t>,</w:t>
            </w:r>
            <w:r>
              <w:rPr>
                <w:b/>
              </w:rPr>
              <w:t>000 ppm</w:t>
            </w:r>
          </w:p>
        </w:tc>
      </w:tr>
      <w:tr w:rsidR="008C1B5B" w:rsidRPr="004C23F4" w14:paraId="2888DC3F" w14:textId="77777777" w:rsidTr="00B51C46">
        <w:trPr>
          <w:cantSplit/>
        </w:trPr>
        <w:tc>
          <w:tcPr>
            <w:tcW w:w="9026" w:type="dxa"/>
            <w:gridSpan w:val="2"/>
            <w:vAlign w:val="center"/>
          </w:tcPr>
          <w:p w14:paraId="0A884341" w14:textId="77777777" w:rsidR="008C1B5B" w:rsidRPr="00EB3D1B" w:rsidRDefault="008C1B5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 w:rsidRPr="008C1B5B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9040C54BB524E2ABF111A6EFAF4E67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576293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118E685" w14:textId="2E02B738" w:rsidR="008C1B5B" w:rsidRDefault="00AA2CE5" w:rsidP="000C139A">
      <w:pPr>
        <w:rPr>
          <w:rFonts w:cs="Arial"/>
        </w:rPr>
      </w:pPr>
      <w:r w:rsidRPr="00AA2CE5">
        <w:rPr>
          <w:rFonts w:cs="Arial"/>
        </w:rPr>
        <w:t xml:space="preserve">A TWA of </w:t>
      </w:r>
      <w:r>
        <w:rPr>
          <w:rFonts w:cs="Arial"/>
        </w:rPr>
        <w:t>200</w:t>
      </w:r>
      <w:r w:rsidRPr="00AA2CE5">
        <w:rPr>
          <w:rFonts w:cs="Arial"/>
        </w:rPr>
        <w:t xml:space="preserve"> ppm (</w:t>
      </w:r>
      <w:r>
        <w:rPr>
          <w:rFonts w:cs="Arial"/>
        </w:rPr>
        <w:t>491</w:t>
      </w:r>
      <w:r w:rsidRPr="00AA2CE5">
        <w:rPr>
          <w:rFonts w:cs="Arial"/>
        </w:rPr>
        <w:t xml:space="preserve"> mg/m</w:t>
      </w:r>
      <w:r w:rsidRPr="00AA2CE5">
        <w:rPr>
          <w:rFonts w:cs="Arial"/>
          <w:vertAlign w:val="superscript"/>
        </w:rPr>
        <w:t>3</w:t>
      </w:r>
      <w:r w:rsidRPr="00AA2CE5">
        <w:rPr>
          <w:rFonts w:cs="Arial"/>
        </w:rPr>
        <w:t xml:space="preserve">) is recommended </w:t>
      </w:r>
      <w:r>
        <w:rPr>
          <w:rFonts w:cs="Arial"/>
        </w:rPr>
        <w:t xml:space="preserve">to protect for eye and upper respiratory tract irritation </w:t>
      </w:r>
      <w:r w:rsidRPr="00AA2CE5">
        <w:rPr>
          <w:rFonts w:cs="Arial"/>
        </w:rPr>
        <w:t>in exposed workers</w:t>
      </w:r>
      <w:r>
        <w:rPr>
          <w:rFonts w:cs="Arial"/>
        </w:rPr>
        <w:t xml:space="preserve">. </w:t>
      </w:r>
    </w:p>
    <w:p w14:paraId="73506297" w14:textId="77777777" w:rsidR="006639B4" w:rsidRPr="004C23F4" w:rsidRDefault="00AA2CE5" w:rsidP="000C139A">
      <w:pPr>
        <w:rPr>
          <w:rFonts w:cs="Arial"/>
        </w:rPr>
      </w:pPr>
      <w:r w:rsidRPr="00AA2CE5">
        <w:rPr>
          <w:rFonts w:cs="Arial"/>
        </w:rPr>
        <w:t xml:space="preserve">A STEL of </w:t>
      </w:r>
      <w:r>
        <w:rPr>
          <w:rFonts w:cs="Arial"/>
        </w:rPr>
        <w:t>400</w:t>
      </w:r>
      <w:r w:rsidRPr="00AA2CE5">
        <w:rPr>
          <w:rFonts w:cs="Arial"/>
        </w:rPr>
        <w:t xml:space="preserve"> ppm (</w:t>
      </w:r>
      <w:r>
        <w:rPr>
          <w:rFonts w:cs="Arial"/>
        </w:rPr>
        <w:t>984</w:t>
      </w:r>
      <w:r w:rsidR="008C1B5B">
        <w:rPr>
          <w:rFonts w:cs="Arial"/>
        </w:rPr>
        <w:t xml:space="preserve"> </w:t>
      </w:r>
      <w:r w:rsidRPr="00AA2CE5">
        <w:rPr>
          <w:rFonts w:cs="Arial"/>
        </w:rPr>
        <w:t>mg/m</w:t>
      </w:r>
      <w:r w:rsidRPr="00AA2CE5">
        <w:rPr>
          <w:rFonts w:cs="Arial"/>
          <w:vertAlign w:val="superscript"/>
        </w:rPr>
        <w:t>3</w:t>
      </w:r>
      <w:r w:rsidRPr="00AA2CE5">
        <w:rPr>
          <w:rFonts w:cs="Arial"/>
        </w:rPr>
        <w:t xml:space="preserve">) is recommended to protect for </w:t>
      </w:r>
      <w:r w:rsidR="00CD500A">
        <w:rPr>
          <w:rFonts w:cs="Arial"/>
        </w:rPr>
        <w:t>acute nasal irritation</w:t>
      </w:r>
      <w:r w:rsidR="0014238C">
        <w:rPr>
          <w:rFonts w:cs="Arial"/>
        </w:rPr>
        <w:t xml:space="preserve"> in exposed workers</w:t>
      </w:r>
      <w:r w:rsidR="00CD500A">
        <w:rPr>
          <w:rFonts w:cs="Arial"/>
        </w:rPr>
        <w:t>.</w:t>
      </w:r>
    </w:p>
    <w:p w14:paraId="6DE338B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1046421" w14:textId="3ED5DD18" w:rsidR="0014238C" w:rsidRDefault="0052362F" w:rsidP="006639B4">
      <w:pPr>
        <w:rPr>
          <w:rFonts w:cs="Arial"/>
        </w:rPr>
      </w:pPr>
      <w:r>
        <w:rPr>
          <w:rFonts w:cs="Arial"/>
        </w:rPr>
        <w:t xml:space="preserve">Isopropyl alcohol is used as a solvent, </w:t>
      </w:r>
      <w:r w:rsidR="00D67677">
        <w:rPr>
          <w:rFonts w:cs="Arial"/>
        </w:rPr>
        <w:t xml:space="preserve">a </w:t>
      </w:r>
      <w:r>
        <w:rPr>
          <w:rFonts w:cs="Arial"/>
        </w:rPr>
        <w:t xml:space="preserve">disinfectant, </w:t>
      </w:r>
      <w:r w:rsidR="00D67677">
        <w:rPr>
          <w:rFonts w:cs="Arial"/>
        </w:rPr>
        <w:t xml:space="preserve">as an </w:t>
      </w:r>
      <w:r>
        <w:rPr>
          <w:rFonts w:cs="Arial"/>
        </w:rPr>
        <w:t xml:space="preserve">ingredient in </w:t>
      </w:r>
      <w:r w:rsidR="00272DE3">
        <w:rPr>
          <w:rFonts w:cs="Arial"/>
        </w:rPr>
        <w:t xml:space="preserve">consumer </w:t>
      </w:r>
      <w:r>
        <w:rPr>
          <w:rFonts w:cs="Arial"/>
        </w:rPr>
        <w:t xml:space="preserve">cosmetics and </w:t>
      </w:r>
      <w:r w:rsidR="00D67677">
        <w:rPr>
          <w:rFonts w:cs="Arial"/>
        </w:rPr>
        <w:t xml:space="preserve">as </w:t>
      </w:r>
      <w:r>
        <w:rPr>
          <w:rFonts w:cs="Arial"/>
        </w:rPr>
        <w:t xml:space="preserve">raw material in chemical manufacture. </w:t>
      </w:r>
    </w:p>
    <w:p w14:paraId="7FF9F92C" w14:textId="53EA8485" w:rsidR="00CD3682" w:rsidRDefault="0052362F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D67677">
        <w:rPr>
          <w:rFonts w:cs="Arial"/>
        </w:rPr>
        <w:t xml:space="preserve">of exposure </w:t>
      </w:r>
      <w:r>
        <w:rPr>
          <w:rFonts w:cs="Arial"/>
        </w:rPr>
        <w:t>are irritation of the eyes, nose</w:t>
      </w:r>
      <w:r w:rsidR="0014238C">
        <w:rPr>
          <w:rFonts w:cs="Arial"/>
        </w:rPr>
        <w:t xml:space="preserve"> and</w:t>
      </w:r>
      <w:r>
        <w:rPr>
          <w:rFonts w:cs="Arial"/>
        </w:rPr>
        <w:t xml:space="preserve"> throat</w:t>
      </w:r>
      <w:r w:rsidR="00CD3682">
        <w:rPr>
          <w:rFonts w:cs="Arial"/>
        </w:rPr>
        <w:t xml:space="preserve"> as </w:t>
      </w:r>
      <w:r w:rsidR="00E8070E">
        <w:rPr>
          <w:rFonts w:cs="Arial"/>
        </w:rPr>
        <w:t>observed</w:t>
      </w:r>
      <w:r w:rsidR="00CD3682">
        <w:rPr>
          <w:rFonts w:cs="Arial"/>
        </w:rPr>
        <w:t xml:space="preserve"> in volunteers and workers</w:t>
      </w:r>
      <w:r w:rsidR="00E8070E">
        <w:rPr>
          <w:rFonts w:cs="Arial"/>
        </w:rPr>
        <w:t xml:space="preserve"> (ACGIH, 2018; DFG, 2018)</w:t>
      </w:r>
      <w:r>
        <w:rPr>
          <w:rFonts w:cs="Arial"/>
        </w:rPr>
        <w:t>.</w:t>
      </w:r>
      <w:r w:rsidR="0014238C">
        <w:rPr>
          <w:rFonts w:cs="Arial"/>
        </w:rPr>
        <w:t xml:space="preserve"> </w:t>
      </w:r>
      <w:r w:rsidR="00CD3682">
        <w:rPr>
          <w:rFonts w:cs="Arial"/>
        </w:rPr>
        <w:t>A range of NOAE</w:t>
      </w:r>
      <w:r w:rsidR="005734F3">
        <w:rPr>
          <w:rFonts w:cs="Arial"/>
        </w:rPr>
        <w:t>C</w:t>
      </w:r>
      <w:r w:rsidR="00CD3682">
        <w:rPr>
          <w:rFonts w:cs="Arial"/>
        </w:rPr>
        <w:t xml:space="preserve">s between 150 and 190 ppm for eye and upper respiratory tract irritation </w:t>
      </w:r>
      <w:r w:rsidR="00D67677">
        <w:rPr>
          <w:rFonts w:cs="Arial"/>
        </w:rPr>
        <w:t>is</w:t>
      </w:r>
      <w:r w:rsidR="00E8070E">
        <w:rPr>
          <w:rFonts w:cs="Arial"/>
        </w:rPr>
        <w:t xml:space="preserve"> </w:t>
      </w:r>
      <w:r w:rsidR="00DE2874">
        <w:rPr>
          <w:rFonts w:cs="Arial"/>
        </w:rPr>
        <w:t>presented</w:t>
      </w:r>
      <w:r w:rsidR="00E8070E">
        <w:rPr>
          <w:rFonts w:cs="Arial"/>
        </w:rPr>
        <w:t xml:space="preserve"> in volunteer studies</w:t>
      </w:r>
      <w:r w:rsidR="00CD3682">
        <w:rPr>
          <w:rFonts w:cs="Arial"/>
        </w:rPr>
        <w:t xml:space="preserve">, which </w:t>
      </w:r>
      <w:r w:rsidR="00E8070E">
        <w:rPr>
          <w:rFonts w:cs="Arial"/>
        </w:rPr>
        <w:t>is</w:t>
      </w:r>
      <w:r w:rsidR="00CD3682">
        <w:rPr>
          <w:rFonts w:cs="Arial"/>
        </w:rPr>
        <w:t xml:space="preserve"> supported </w:t>
      </w:r>
      <w:r w:rsidR="00E8070E">
        <w:rPr>
          <w:rFonts w:cs="Arial"/>
        </w:rPr>
        <w:t xml:space="preserve">by a </w:t>
      </w:r>
      <w:r w:rsidR="00CD3682">
        <w:rPr>
          <w:rFonts w:cs="Arial"/>
        </w:rPr>
        <w:t>NOAE</w:t>
      </w:r>
      <w:r w:rsidR="005734F3">
        <w:rPr>
          <w:rFonts w:cs="Arial"/>
        </w:rPr>
        <w:t>C</w:t>
      </w:r>
      <w:r w:rsidR="00CD3682">
        <w:rPr>
          <w:rFonts w:cs="Arial"/>
        </w:rPr>
        <w:t xml:space="preserve"> of 227</w:t>
      </w:r>
      <w:r w:rsidR="00DE2874">
        <w:rPr>
          <w:rFonts w:cs="Arial"/>
        </w:rPr>
        <w:t> </w:t>
      </w:r>
      <w:r w:rsidR="00CD3682">
        <w:rPr>
          <w:rFonts w:cs="Arial"/>
        </w:rPr>
        <w:t xml:space="preserve">ppm reported for chronically exposed workers (DFG, 2018). Mild upper respiratory tract irritation </w:t>
      </w:r>
      <w:r w:rsidR="00D67677">
        <w:rPr>
          <w:rFonts w:cs="Arial"/>
        </w:rPr>
        <w:t>is</w:t>
      </w:r>
      <w:r w:rsidR="00CD3682">
        <w:rPr>
          <w:rFonts w:cs="Arial"/>
        </w:rPr>
        <w:t xml:space="preserve"> </w:t>
      </w:r>
      <w:r w:rsidR="00D60B89">
        <w:rPr>
          <w:rFonts w:cs="Arial"/>
        </w:rPr>
        <w:t xml:space="preserve">reported </w:t>
      </w:r>
      <w:r w:rsidR="00CD3682">
        <w:rPr>
          <w:rFonts w:cs="Arial"/>
        </w:rPr>
        <w:t>in volunteers during short exposures at approximately 400 ppm (ACGIH, 2018; NICNAS,</w:t>
      </w:r>
      <w:r w:rsidR="00303A2B">
        <w:rPr>
          <w:rFonts w:cs="Arial"/>
        </w:rPr>
        <w:t> </w:t>
      </w:r>
      <w:r w:rsidR="00CD3682">
        <w:rPr>
          <w:rFonts w:cs="Arial"/>
        </w:rPr>
        <w:t>2013). Bioaccumulation or dermal absorption are unlikely under workplace conditions (DFG,</w:t>
      </w:r>
      <w:r w:rsidR="00303A2B">
        <w:rPr>
          <w:rFonts w:cs="Arial"/>
        </w:rPr>
        <w:t> </w:t>
      </w:r>
      <w:r w:rsidR="00CD3682">
        <w:rPr>
          <w:rFonts w:cs="Arial"/>
        </w:rPr>
        <w:t>2018).</w:t>
      </w:r>
    </w:p>
    <w:p w14:paraId="7CE3447A" w14:textId="24AC633E" w:rsidR="0052362F" w:rsidRPr="004C23F4" w:rsidRDefault="00CD3682" w:rsidP="006639B4">
      <w:pPr>
        <w:rPr>
          <w:rFonts w:cs="Arial"/>
        </w:rPr>
      </w:pPr>
      <w:r>
        <w:rPr>
          <w:rFonts w:cs="Arial"/>
        </w:rPr>
        <w:t>T</w:t>
      </w:r>
      <w:r w:rsidR="00606CEC">
        <w:rPr>
          <w:rFonts w:cs="Arial"/>
        </w:rPr>
        <w:t xml:space="preserve">he </w:t>
      </w:r>
      <w:r w:rsidR="00D67677">
        <w:rPr>
          <w:rFonts w:cs="Arial"/>
        </w:rPr>
        <w:t xml:space="preserve">recommended </w:t>
      </w:r>
      <w:r w:rsidR="0052362F">
        <w:rPr>
          <w:rFonts w:cs="Arial"/>
        </w:rPr>
        <w:t>TWA</w:t>
      </w:r>
      <w:r w:rsidR="00606CEC">
        <w:rPr>
          <w:rFonts w:cs="Arial"/>
        </w:rPr>
        <w:t xml:space="preserve"> of 200 ppm</w:t>
      </w:r>
      <w:r w:rsidR="00D67677">
        <w:rPr>
          <w:rFonts w:cs="Arial"/>
        </w:rPr>
        <w:t>,</w:t>
      </w:r>
      <w:r w:rsidR="0052362F">
        <w:rPr>
          <w:rFonts w:cs="Arial"/>
        </w:rPr>
        <w:t xml:space="preserve"> </w:t>
      </w:r>
      <w:r w:rsidR="00D67677">
        <w:rPr>
          <w:rFonts w:cs="Arial"/>
        </w:rPr>
        <w:t xml:space="preserve">as derived </w:t>
      </w:r>
      <w:r w:rsidR="00DC49E6">
        <w:rPr>
          <w:rFonts w:cs="Arial"/>
        </w:rPr>
        <w:t>by ACGIH (2018)</w:t>
      </w:r>
      <w:r w:rsidR="00D67677">
        <w:rPr>
          <w:rFonts w:cs="Arial"/>
        </w:rPr>
        <w:t xml:space="preserve">, </w:t>
      </w:r>
      <w:r w:rsidR="0052362F">
        <w:rPr>
          <w:rFonts w:cs="Arial"/>
        </w:rPr>
        <w:t xml:space="preserve">is </w:t>
      </w:r>
      <w:r>
        <w:rPr>
          <w:rFonts w:cs="Arial"/>
        </w:rPr>
        <w:t>considered protective of irrita</w:t>
      </w:r>
      <w:r w:rsidR="00D67677">
        <w:rPr>
          <w:rFonts w:cs="Arial"/>
        </w:rPr>
        <w:t>n</w:t>
      </w:r>
      <w:r>
        <w:rPr>
          <w:rFonts w:cs="Arial"/>
        </w:rPr>
        <w:t xml:space="preserve">t effects based on the </w:t>
      </w:r>
      <w:r w:rsidR="00DC49E6">
        <w:rPr>
          <w:rFonts w:cs="Arial"/>
        </w:rPr>
        <w:t xml:space="preserve">range of </w:t>
      </w:r>
      <w:r>
        <w:rPr>
          <w:rFonts w:cs="Arial"/>
        </w:rPr>
        <w:t>NOAE</w:t>
      </w:r>
      <w:r w:rsidR="005734F3">
        <w:rPr>
          <w:rFonts w:cs="Arial"/>
        </w:rPr>
        <w:t>C</w:t>
      </w:r>
      <w:r w:rsidR="00D67677">
        <w:rPr>
          <w:rFonts w:cs="Arial"/>
        </w:rPr>
        <w:t>s</w:t>
      </w:r>
      <w:r>
        <w:rPr>
          <w:rFonts w:cs="Arial"/>
        </w:rPr>
        <w:t xml:space="preserve"> reported in</w:t>
      </w:r>
      <w:r w:rsidR="00E8070E">
        <w:rPr>
          <w:rFonts w:cs="Arial"/>
        </w:rPr>
        <w:t xml:space="preserve"> studies of</w:t>
      </w:r>
      <w:r>
        <w:rPr>
          <w:rFonts w:cs="Arial"/>
        </w:rPr>
        <w:t xml:space="preserve"> volunteer</w:t>
      </w:r>
      <w:r w:rsidR="00E8070E">
        <w:rPr>
          <w:rFonts w:cs="Arial"/>
        </w:rPr>
        <w:t>s</w:t>
      </w:r>
      <w:r>
        <w:rPr>
          <w:rFonts w:cs="Arial"/>
        </w:rPr>
        <w:t xml:space="preserve"> and worker</w:t>
      </w:r>
      <w:r w:rsidR="00E8070E">
        <w:rPr>
          <w:rFonts w:cs="Arial"/>
        </w:rPr>
        <w:t>s</w:t>
      </w:r>
      <w:r>
        <w:rPr>
          <w:rFonts w:cs="Arial"/>
        </w:rPr>
        <w:t xml:space="preserve">. </w:t>
      </w:r>
      <w:r w:rsidR="00167E81">
        <w:rPr>
          <w:rFonts w:cs="Arial"/>
        </w:rPr>
        <w:t xml:space="preserve">DFG (1996) derived the same MAK value by </w:t>
      </w:r>
      <w:r w:rsidR="0014244B">
        <w:rPr>
          <w:rFonts w:cs="Arial"/>
        </w:rPr>
        <w:t xml:space="preserve">applying a </w:t>
      </w:r>
      <w:r w:rsidR="00167E81">
        <w:rPr>
          <w:rFonts w:cs="Arial"/>
        </w:rPr>
        <w:t xml:space="preserve">different approach. </w:t>
      </w:r>
      <w:r>
        <w:rPr>
          <w:rFonts w:cs="Arial"/>
        </w:rPr>
        <w:t xml:space="preserve">The recommended STEL of 400 ppm is expected to be protective of peak exposures </w:t>
      </w:r>
      <w:r w:rsidR="00E8070E">
        <w:rPr>
          <w:rFonts w:cs="Arial"/>
        </w:rPr>
        <w:t>associated with the onset of</w:t>
      </w:r>
      <w:r>
        <w:rPr>
          <w:rFonts w:cs="Arial"/>
        </w:rPr>
        <w:t xml:space="preserve"> upper respiratory tract </w:t>
      </w:r>
      <w:proofErr w:type="gramStart"/>
      <w:r>
        <w:rPr>
          <w:rFonts w:cs="Arial"/>
        </w:rPr>
        <w:t>irritation</w:t>
      </w:r>
      <w:proofErr w:type="gramEnd"/>
      <w:r>
        <w:rPr>
          <w:rFonts w:cs="Arial"/>
        </w:rPr>
        <w:t xml:space="preserve"> in volunteers</w:t>
      </w:r>
      <w:r w:rsidR="00E8070E">
        <w:rPr>
          <w:rFonts w:cs="Arial"/>
        </w:rPr>
        <w:t>.</w:t>
      </w:r>
    </w:p>
    <w:p w14:paraId="35C6E466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A34DC12" w14:textId="77777777" w:rsidR="003236DB" w:rsidRDefault="003236DB" w:rsidP="003236DB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8C1B5B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48EB6F29" w14:textId="77777777" w:rsidR="003236DB" w:rsidRDefault="003236DB" w:rsidP="003236DB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8C1B5B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0B1462D2" w14:textId="35A6150C" w:rsidR="005E6979" w:rsidRPr="004C23F4" w:rsidRDefault="0052362F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52362F">
        <w:rPr>
          <w:rFonts w:cs="Arial"/>
        </w:rPr>
        <w:t xml:space="preserve">A skin notation is not </w:t>
      </w:r>
      <w:r w:rsidR="0014238C">
        <w:rPr>
          <w:rFonts w:cs="Arial"/>
        </w:rPr>
        <w:t>recommend</w:t>
      </w:r>
      <w:r w:rsidRPr="0052362F">
        <w:rPr>
          <w:rFonts w:cs="Arial"/>
        </w:rPr>
        <w:t>ed based on the available evidence.</w:t>
      </w:r>
    </w:p>
    <w:p w14:paraId="281FCD7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71AD48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58D7D4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B59228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85EE6F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0D46B8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B63D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B63D0">
                  <w:t>TWA: 400 ppm (983 mg/m</w:t>
                </w:r>
                <w:r w:rsidR="00BB63D0" w:rsidRPr="00BB63D0">
                  <w:rPr>
                    <w:vertAlign w:val="superscript"/>
                  </w:rPr>
                  <w:t>3</w:t>
                </w:r>
                <w:r w:rsidR="00BB63D0">
                  <w:t>); STEL: 500 ppm (1</w:t>
                </w:r>
                <w:r w:rsidR="00972433">
                  <w:t>,</w:t>
                </w:r>
                <w:r w:rsidR="00BB63D0">
                  <w:t>230 mg/m</w:t>
                </w:r>
                <w:r w:rsidR="00BB63D0" w:rsidRPr="00BB63D0">
                  <w:rPr>
                    <w:vertAlign w:val="superscript"/>
                  </w:rPr>
                  <w:t>3</w:t>
                </w:r>
                <w:r w:rsidR="00BB63D0">
                  <w:t>)</w:t>
                </w:r>
              </w:sdtContent>
            </w:sdt>
          </w:p>
        </w:tc>
      </w:tr>
      <w:tr w:rsidR="00C978F0" w:rsidRPr="00DA352E" w14:paraId="486E495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CFA809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42B391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009A46" w14:textId="77777777" w:rsidR="00C978F0" w:rsidRPr="00DA352E" w:rsidRDefault="00DA352E" w:rsidP="0097243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B63D0">
                  <w:t>2006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B63D0">
                  <w:t>TLV-TWA: 200 ppm (491 mg/m</w:t>
                </w:r>
                <w:r w:rsidR="00BB63D0" w:rsidRPr="00BB63D0">
                  <w:rPr>
                    <w:vertAlign w:val="superscript"/>
                  </w:rPr>
                  <w:t>3</w:t>
                </w:r>
                <w:r w:rsidR="00BB63D0">
                  <w:t>); TLV-STEL: 400 ppm (984 mg/m</w:t>
                </w:r>
                <w:r w:rsidR="00BB63D0" w:rsidRPr="00BB63D0">
                  <w:rPr>
                    <w:vertAlign w:val="superscript"/>
                  </w:rPr>
                  <w:t>3</w:t>
                </w:r>
                <w:r w:rsidR="00BB63D0">
                  <w:t>)</w:t>
                </w:r>
              </w:sdtContent>
            </w:sdt>
          </w:p>
        </w:tc>
      </w:tr>
      <w:tr w:rsidR="00C978F0" w:rsidRPr="00DA352E" w14:paraId="45705582" w14:textId="77777777" w:rsidTr="0014238C">
        <w:trPr>
          <w:gridAfter w:val="1"/>
          <w:wAfter w:w="8" w:type="pct"/>
        </w:trPr>
        <w:tc>
          <w:tcPr>
            <w:tcW w:w="4992" w:type="pct"/>
          </w:tcPr>
          <w:p w14:paraId="5939C9AC" w14:textId="157AE707" w:rsidR="0014238C" w:rsidRDefault="00972433" w:rsidP="003365A5">
            <w:pPr>
              <w:pStyle w:val="Tabletextprimarysource"/>
            </w:pPr>
            <w:r>
              <w:t xml:space="preserve">TLV-TWA and TLV-STEL intended to protect for irritation of mucous membranes, </w:t>
            </w:r>
            <w:r w:rsidR="0014238C">
              <w:t>CNS</w:t>
            </w:r>
            <w:r>
              <w:t xml:space="preserve"> depression, and </w:t>
            </w:r>
            <w:r w:rsidR="0014238C">
              <w:t xml:space="preserve">at </w:t>
            </w:r>
            <w:r>
              <w:t xml:space="preserve">high concentrations, narcosis. </w:t>
            </w:r>
          </w:p>
          <w:p w14:paraId="18FAACAB" w14:textId="77777777" w:rsidR="0014238C" w:rsidRDefault="00972433" w:rsidP="003365A5">
            <w:pPr>
              <w:pStyle w:val="Tabletextprimarysource"/>
            </w:pPr>
            <w:r>
              <w:t xml:space="preserve">Not classified as a human carcinogen based on negative results in animal studies and confounding evidence in available epidemiological studies. </w:t>
            </w:r>
          </w:p>
          <w:p w14:paraId="63BEE626" w14:textId="77777777" w:rsidR="00C978F0" w:rsidRDefault="00972433" w:rsidP="003365A5">
            <w:pPr>
              <w:pStyle w:val="Tabletextprimarysource"/>
            </w:pPr>
            <w:r>
              <w:t xml:space="preserve">Skin notation not warranted due to low skin permeability. </w:t>
            </w:r>
          </w:p>
          <w:p w14:paraId="2D902B54" w14:textId="77777777" w:rsidR="00972433" w:rsidRDefault="00972433" w:rsidP="003365A5">
            <w:pPr>
              <w:pStyle w:val="Tabletextprimarysource"/>
            </w:pPr>
            <w:r>
              <w:t>Summary of data:</w:t>
            </w:r>
          </w:p>
          <w:p w14:paraId="0EDB0218" w14:textId="72728F10" w:rsidR="0014238C" w:rsidRDefault="003A03FB" w:rsidP="003365A5">
            <w:pPr>
              <w:pStyle w:val="Tabletextprimarysource"/>
            </w:pPr>
            <w:r>
              <w:t xml:space="preserve">TLV recommendations based on </w:t>
            </w:r>
            <w:r w:rsidR="00AB0A67">
              <w:t xml:space="preserve">a combination of a </w:t>
            </w:r>
            <w:r>
              <w:t xml:space="preserve">LOAEL of 400 ppm for mild eye, nose, and throat irritation </w:t>
            </w:r>
            <w:r w:rsidR="00E178B4">
              <w:t>i</w:t>
            </w:r>
            <w:r>
              <w:t>n humans</w:t>
            </w:r>
            <w:r w:rsidR="00AB0A67">
              <w:t>; a NOAEL of 500 ppm</w:t>
            </w:r>
            <w:r w:rsidR="00E178B4">
              <w:t xml:space="preserve"> for chronic renal disease</w:t>
            </w:r>
            <w:r w:rsidR="00AB0A67">
              <w:t xml:space="preserve"> in rodents; and a sub</w:t>
            </w:r>
            <w:r w:rsidR="00DC49E6">
              <w:t>-</w:t>
            </w:r>
            <w:r w:rsidR="00AB0A67">
              <w:t>chronic LOAEL of 500 ppm for upper respiratory tract irritation with a corresponding NOAEL of 100</w:t>
            </w:r>
            <w:r w:rsidR="00DC49E6">
              <w:t> </w:t>
            </w:r>
            <w:r w:rsidR="00AB0A67">
              <w:t xml:space="preserve">ppm. </w:t>
            </w:r>
          </w:p>
          <w:p w14:paraId="02EC1EA0" w14:textId="77777777" w:rsidR="003A03FB" w:rsidRDefault="00AB0A67" w:rsidP="003365A5">
            <w:pPr>
              <w:pStyle w:val="Tabletextprimarysource"/>
            </w:pPr>
            <w:r>
              <w:t>Major metabolite, acetone, can potentiate exposures to chlorinated solvents.</w:t>
            </w:r>
          </w:p>
          <w:p w14:paraId="375F93AD" w14:textId="77777777" w:rsidR="00BA4191" w:rsidRDefault="00BA4191" w:rsidP="00BA4191">
            <w:pPr>
              <w:pStyle w:val="Tabletextprimarysource"/>
            </w:pPr>
            <w:r>
              <w:t>Human data:</w:t>
            </w:r>
          </w:p>
          <w:p w14:paraId="68B12C7D" w14:textId="5AD96968" w:rsidR="00DF2661" w:rsidRDefault="00DF2661" w:rsidP="0014238C">
            <w:pPr>
              <w:pStyle w:val="Tabletextprimarysource"/>
              <w:numPr>
                <w:ilvl w:val="0"/>
                <w:numId w:val="4"/>
              </w:numPr>
              <w:ind w:left="714" w:hanging="357"/>
            </w:pPr>
            <w:r>
              <w:t>Odour threshold: 11 ppm for naïve volunteers, 39 ppm in acclimated volunteers</w:t>
            </w:r>
            <w:r w:rsidR="00303A2B">
              <w:t>:</w:t>
            </w:r>
          </w:p>
          <w:p w14:paraId="7004A3AE" w14:textId="77777777" w:rsidR="00DF2661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n</w:t>
            </w:r>
            <w:r w:rsidR="00DF2661">
              <w:t>asal irritation threshold &gt;400 ppm, nasal congestion begins at 400 ppm</w:t>
            </w:r>
          </w:p>
          <w:p w14:paraId="7D08361B" w14:textId="77777777" w:rsidR="00921B74" w:rsidRDefault="00E178B4" w:rsidP="0014238C">
            <w:pPr>
              <w:pStyle w:val="Tabletextprimarysource"/>
              <w:numPr>
                <w:ilvl w:val="0"/>
                <w:numId w:val="4"/>
              </w:numPr>
              <w:ind w:left="714" w:hanging="357"/>
            </w:pPr>
            <w:r>
              <w:t>Poisoning occurred at 20 mL ingestion; inferred lethal oral dose 240 mL</w:t>
            </w:r>
          </w:p>
          <w:p w14:paraId="3F10993A" w14:textId="26FDADDE" w:rsidR="00E178B4" w:rsidRDefault="00E178B4" w:rsidP="0014238C">
            <w:pPr>
              <w:pStyle w:val="Tabletextprimarysource"/>
              <w:numPr>
                <w:ilvl w:val="0"/>
                <w:numId w:val="4"/>
              </w:numPr>
              <w:ind w:left="714" w:hanging="357"/>
            </w:pPr>
            <w:r>
              <w:t>High concentrations cause ataxia, oliguria, kidney failure and death from respiratory failure</w:t>
            </w:r>
          </w:p>
          <w:p w14:paraId="7AD323CD" w14:textId="6D03EB92" w:rsidR="00E178B4" w:rsidRDefault="00616479" w:rsidP="0014238C">
            <w:pPr>
              <w:pStyle w:val="Tabletextprimarysource"/>
              <w:numPr>
                <w:ilvl w:val="0"/>
                <w:numId w:val="4"/>
              </w:numPr>
              <w:ind w:left="714" w:hanging="357"/>
            </w:pPr>
            <w:r>
              <w:t>Epidemiological studies</w:t>
            </w:r>
            <w:r w:rsidR="00DD0199">
              <w:t xml:space="preserve"> of production plant workers </w:t>
            </w:r>
            <w:r>
              <w:t>in the 1940</w:t>
            </w:r>
            <w:r w:rsidR="0014238C">
              <w:t>s-</w:t>
            </w:r>
            <w:r>
              <w:t xml:space="preserve">80s </w:t>
            </w:r>
            <w:r w:rsidR="00DD0199">
              <w:t>(n=</w:t>
            </w:r>
            <w:r>
              <w:t xml:space="preserve">262 and </w:t>
            </w:r>
            <w:r w:rsidR="00DD0199">
              <w:t>1</w:t>
            </w:r>
            <w:r w:rsidR="008C1B5B">
              <w:t>,</w:t>
            </w:r>
            <w:r w:rsidR="00DD0199">
              <w:t xml:space="preserve">031) </w:t>
            </w:r>
            <w:r>
              <w:t>could not associate</w:t>
            </w:r>
            <w:r w:rsidR="00DD0199">
              <w:t xml:space="preserve"> excess risk of respiratory cancers due to isopropyl alcohol due to confounding exposures to acid mists and by-products with known carcinogenic potential</w:t>
            </w:r>
            <w:r w:rsidR="005E3474">
              <w:t>.</w:t>
            </w:r>
          </w:p>
          <w:p w14:paraId="11117898" w14:textId="77777777" w:rsidR="00972433" w:rsidRDefault="003A03FB" w:rsidP="00606CEC">
            <w:pPr>
              <w:pStyle w:val="Tabletextprimarysource"/>
            </w:pPr>
            <w:r>
              <w:t>Animal data:</w:t>
            </w:r>
          </w:p>
          <w:p w14:paraId="664C2247" w14:textId="4A713CA5" w:rsidR="003A03FB" w:rsidRDefault="003A03FB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2E4853">
              <w:t>&gt;</w:t>
            </w:r>
            <w:r>
              <w:t xml:space="preserve">12,000 ppm (rats, 4 h); lethal </w:t>
            </w:r>
            <w:r w:rsidR="005E3474">
              <w:t>&gt;</w:t>
            </w:r>
            <w:r>
              <w:t>8 h</w:t>
            </w:r>
          </w:p>
          <w:p w14:paraId="11CBED70" w14:textId="77777777" w:rsidR="003A03FB" w:rsidRDefault="003A03FB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Ataxia, prostration, and narcosis at 3,250 ppm (mice, 460 min)</w:t>
            </w:r>
          </w:p>
          <w:p w14:paraId="5760ADE3" w14:textId="732C56E7" w:rsidR="0014238C" w:rsidRDefault="003A03FB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Upper respiratory tract and eye irr</w:t>
            </w:r>
            <w:r w:rsidR="00E178B4">
              <w:t xml:space="preserve">itation at 400–800 ppm (unspecified species or </w:t>
            </w:r>
            <w:r>
              <w:t>duration)</w:t>
            </w:r>
            <w:r w:rsidR="00303A2B">
              <w:t>:</w:t>
            </w:r>
            <w:r>
              <w:t xml:space="preserve"> </w:t>
            </w:r>
          </w:p>
          <w:p w14:paraId="32FBD341" w14:textId="77777777" w:rsidR="003A03FB" w:rsidRDefault="003A03FB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NOAEL of 500 ppm for reduced motor activity (rats, 6 h)</w:t>
            </w:r>
          </w:p>
          <w:p w14:paraId="01E42CC6" w14:textId="6EB3178D" w:rsidR="003A03FB" w:rsidRDefault="003A03FB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Median respiratory depression (RD</w:t>
            </w:r>
            <w:r>
              <w:rPr>
                <w:vertAlign w:val="subscript"/>
              </w:rPr>
              <w:t>50</w:t>
            </w:r>
            <w:r>
              <w:t>): 5,000–17,693 ppm (mice, 5–10 min)</w:t>
            </w:r>
            <w:r w:rsidR="00303A2B">
              <w:t>:</w:t>
            </w:r>
          </w:p>
          <w:p w14:paraId="29965856" w14:textId="77777777" w:rsidR="003A03FB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c</w:t>
            </w:r>
            <w:r w:rsidR="003A03FB">
              <w:t>orresponding TLV calculated at 150–530 ppm</w:t>
            </w:r>
          </w:p>
          <w:p w14:paraId="07C79BC3" w14:textId="1C9B7EA9" w:rsidR="00BA4191" w:rsidRDefault="00BA4191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Metabolic saturation at </w:t>
            </w:r>
            <w:r>
              <w:rPr>
                <w:rFonts w:cs="Arial"/>
              </w:rPr>
              <w:t>≈</w:t>
            </w:r>
            <w:r w:rsidR="00921B74">
              <w:t xml:space="preserve">700 ppm </w:t>
            </w:r>
            <w:r w:rsidR="00E178B4">
              <w:t xml:space="preserve">in blood </w:t>
            </w:r>
            <w:r w:rsidR="00921B74">
              <w:t>(rats</w:t>
            </w:r>
            <w:r w:rsidR="002E4853">
              <w:t>,</w:t>
            </w:r>
            <w:r w:rsidR="00E178B4">
              <w:t xml:space="preserve"> exposed to 5,000 ppm</w:t>
            </w:r>
            <w:r w:rsidR="00921B74">
              <w:t xml:space="preserve">); peak blood concentration </w:t>
            </w:r>
            <w:r w:rsidR="00E178B4">
              <w:t xml:space="preserve">reached </w:t>
            </w:r>
            <w:r w:rsidR="002E4853">
              <w:t xml:space="preserve">at </w:t>
            </w:r>
            <w:r w:rsidR="00E178B4">
              <w:t>6</w:t>
            </w:r>
            <w:r w:rsidR="00921B74">
              <w:t xml:space="preserve"> h</w:t>
            </w:r>
            <w:r w:rsidR="00E178B4">
              <w:t>, circulating levels decreased to 75 ppm after further 6 h</w:t>
            </w:r>
            <w:r w:rsidR="00303A2B">
              <w:t>:</w:t>
            </w:r>
          </w:p>
          <w:p w14:paraId="0FAF3B05" w14:textId="77777777" w:rsidR="00E178B4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b</w:t>
            </w:r>
            <w:r w:rsidR="00E178B4">
              <w:t>lood half-time 0.6–2 h (mice, rats)</w:t>
            </w:r>
          </w:p>
          <w:p w14:paraId="5077E49D" w14:textId="77777777" w:rsidR="003A03FB" w:rsidRDefault="00AB0A67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Tolerance acquired after 7 </w:t>
            </w:r>
            <w:proofErr w:type="spellStart"/>
            <w:r>
              <w:t>mo</w:t>
            </w:r>
            <w:proofErr w:type="spellEnd"/>
            <w:r>
              <w:t xml:space="preserve"> in repeat feeding study (dogs, 4% in drinking water)</w:t>
            </w:r>
          </w:p>
          <w:p w14:paraId="228A44E9" w14:textId="45C05E55" w:rsidR="00231084" w:rsidRDefault="00231084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Sub</w:t>
            </w:r>
            <w:r w:rsidR="00DC49E6">
              <w:t>-</w:t>
            </w:r>
            <w:r>
              <w:t xml:space="preserve">chronic </w:t>
            </w:r>
            <w:r w:rsidR="00E70744">
              <w:t xml:space="preserve">and chronic </w:t>
            </w:r>
            <w:r>
              <w:t>inhal</w:t>
            </w:r>
            <w:r w:rsidR="00E70744">
              <w:t>ation studies</w:t>
            </w:r>
            <w:r>
              <w:t xml:space="preserve"> with </w:t>
            </w:r>
            <w:r w:rsidR="00E70744">
              <w:t>treatment range: 100–</w:t>
            </w:r>
            <w:r>
              <w:t>5,000 ppm (rats, mice, 6 h/d, 5 d/</w:t>
            </w:r>
            <w:proofErr w:type="spellStart"/>
            <w:r>
              <w:t>wk</w:t>
            </w:r>
            <w:proofErr w:type="spellEnd"/>
            <w:r>
              <w:t xml:space="preserve">, 13 </w:t>
            </w:r>
            <w:proofErr w:type="spellStart"/>
            <w:r>
              <w:t>wk</w:t>
            </w:r>
            <w:proofErr w:type="spellEnd"/>
            <w:r w:rsidR="00E70744">
              <w:t xml:space="preserve"> or 2 </w:t>
            </w:r>
            <w:proofErr w:type="spellStart"/>
            <w:r w:rsidR="00E70744">
              <w:t>yr</w:t>
            </w:r>
            <w:proofErr w:type="spellEnd"/>
            <w:r>
              <w:t>) reported</w:t>
            </w:r>
            <w:r w:rsidR="00303A2B">
              <w:t>:</w:t>
            </w:r>
          </w:p>
          <w:p w14:paraId="2D826B5F" w14:textId="77777777" w:rsidR="0014238C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i</w:t>
            </w:r>
            <w:r w:rsidR="00231084">
              <w:t xml:space="preserve">ncreased </w:t>
            </w:r>
            <w:proofErr w:type="spellStart"/>
            <w:r w:rsidR="00231084">
              <w:t>bw</w:t>
            </w:r>
            <w:proofErr w:type="spellEnd"/>
            <w:r w:rsidR="00231084">
              <w:t xml:space="preserve"> gain and narcosis </w:t>
            </w:r>
            <w:r w:rsidR="001407AC">
              <w:rPr>
                <w:rFonts w:cs="Arial"/>
              </w:rPr>
              <w:t xml:space="preserve">at </w:t>
            </w:r>
            <w:r w:rsidR="00231084">
              <w:t>1,500 ppm; recovery from narcosis within minutes after exposure cessation</w:t>
            </w:r>
          </w:p>
          <w:p w14:paraId="7F5DF559" w14:textId="5DCC4D13" w:rsidR="00231084" w:rsidRDefault="00E7074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kidney damage in males at 5,000 ppm</w:t>
            </w:r>
            <w:r w:rsidR="001407AC">
              <w:t xml:space="preserve"> (13 </w:t>
            </w:r>
            <w:proofErr w:type="spellStart"/>
            <w:r w:rsidR="001407AC">
              <w:t>wk</w:t>
            </w:r>
            <w:proofErr w:type="spellEnd"/>
            <w:r w:rsidR="001407AC">
              <w:t>)</w:t>
            </w:r>
          </w:p>
          <w:p w14:paraId="529A4F5E" w14:textId="77777777" w:rsidR="00E70744" w:rsidRDefault="00E7074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LOAEL: 500 ppm for nasal encrustation; NOAEL: 100 ppm</w:t>
            </w:r>
            <w:r w:rsidR="001407AC">
              <w:t xml:space="preserve"> (13 </w:t>
            </w:r>
            <w:proofErr w:type="spellStart"/>
            <w:r w:rsidR="001407AC">
              <w:t>wk</w:t>
            </w:r>
            <w:proofErr w:type="spellEnd"/>
            <w:r w:rsidR="001407AC">
              <w:t>)</w:t>
            </w:r>
          </w:p>
          <w:p w14:paraId="04E3A2B1" w14:textId="77777777" w:rsidR="001407AC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c</w:t>
            </w:r>
            <w:r w:rsidR="001407AC">
              <w:t xml:space="preserve">hronic renal disease </w:t>
            </w:r>
            <w:r w:rsidR="00616479">
              <w:t xml:space="preserve">and sedation </w:t>
            </w:r>
            <w:r w:rsidR="001407AC">
              <w:t xml:space="preserve">at 2,500 ppm (2 </w:t>
            </w:r>
            <w:proofErr w:type="spellStart"/>
            <w:r w:rsidR="001407AC">
              <w:t>yr</w:t>
            </w:r>
            <w:proofErr w:type="spellEnd"/>
            <w:r w:rsidR="001407AC">
              <w:t xml:space="preserve">); NOAEL: 500 ppm (2 </w:t>
            </w:r>
            <w:proofErr w:type="spellStart"/>
            <w:r w:rsidR="001407AC">
              <w:t>yr</w:t>
            </w:r>
            <w:proofErr w:type="spellEnd"/>
            <w:r w:rsidR="001407AC">
              <w:t>)</w:t>
            </w:r>
          </w:p>
          <w:p w14:paraId="2BE5161A" w14:textId="7FEFAAF5" w:rsidR="001407AC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n</w:t>
            </w:r>
            <w:r w:rsidR="001407AC">
              <w:t>o evidence for carcinogenicity in both sub</w:t>
            </w:r>
            <w:r w:rsidR="00DC49E6">
              <w:t>-</w:t>
            </w:r>
            <w:r w:rsidR="001407AC">
              <w:t>chronic and chronic studies</w:t>
            </w:r>
          </w:p>
          <w:p w14:paraId="0E8DA6F6" w14:textId="5D50A787" w:rsidR="00BA4191" w:rsidRDefault="00BA4191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lastRenderedPageBreak/>
              <w:t xml:space="preserve">NOAEL: 3,500 ppm for teratogenicity; LOAEL: 7,000 ppm in inhalational developmental study (rats, 7 h/d, </w:t>
            </w:r>
            <w:r w:rsidR="0014238C">
              <w:t>GD</w:t>
            </w:r>
            <w:r>
              <w:t xml:space="preserve"> 1–19); values agree with extrapolated air concentrations from comparable repeat oral dose studies </w:t>
            </w:r>
          </w:p>
          <w:p w14:paraId="6B4AD1BA" w14:textId="77777777" w:rsidR="00E178B4" w:rsidRDefault="001407AC" w:rsidP="0014238C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Non-genotoxic </w:t>
            </w:r>
            <w:r w:rsidR="00BA4191">
              <w:t>in standard short-term assays</w:t>
            </w:r>
            <w:r w:rsidR="008C1B5B">
              <w:t>.</w:t>
            </w:r>
          </w:p>
          <w:p w14:paraId="305CCCC6" w14:textId="77777777" w:rsidR="0014238C" w:rsidRDefault="0014238C" w:rsidP="00483799">
            <w:pPr>
              <w:pStyle w:val="Tabletextprimarysource"/>
            </w:pPr>
          </w:p>
          <w:p w14:paraId="732899AC" w14:textId="77777777" w:rsidR="00E70744" w:rsidRDefault="00E178B4" w:rsidP="00483799">
            <w:pPr>
              <w:pStyle w:val="Tabletextprimarysource"/>
            </w:pPr>
            <w:r>
              <w:t>Insufficient data to assign a sensitiser notation.</w:t>
            </w:r>
          </w:p>
          <w:p w14:paraId="779C6234" w14:textId="77777777" w:rsidR="0014238C" w:rsidRPr="00DA352E" w:rsidRDefault="0014238C" w:rsidP="00483799">
            <w:pPr>
              <w:pStyle w:val="Tabletextprimarysource"/>
            </w:pPr>
          </w:p>
        </w:tc>
      </w:tr>
      <w:tr w:rsidR="00C978F0" w:rsidRPr="00DA352E" w14:paraId="216B7B5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8D365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B63D0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B63D0">
                  <w:t xml:space="preserve">MAK: </w:t>
                </w:r>
                <w:r w:rsidR="00A83189">
                  <w:t>200 ppm (500 mg/m</w:t>
                </w:r>
                <w:r w:rsidR="00A83189" w:rsidRPr="00A83189">
                  <w:rPr>
                    <w:vertAlign w:val="superscript"/>
                  </w:rPr>
                  <w:t>3</w:t>
                </w:r>
                <w:r w:rsidR="00A83189">
                  <w:t>)</w:t>
                </w:r>
              </w:sdtContent>
            </w:sdt>
          </w:p>
        </w:tc>
      </w:tr>
      <w:tr w:rsidR="00C978F0" w:rsidRPr="00DA352E" w14:paraId="2767ED8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6734C9" w14:textId="77777777" w:rsidR="00616479" w:rsidRDefault="00616479" w:rsidP="00616479">
            <w:pPr>
              <w:pStyle w:val="Tabletextprimarysource"/>
              <w:tabs>
                <w:tab w:val="left" w:pos="1935"/>
              </w:tabs>
            </w:pPr>
            <w:r>
              <w:t>Summary of additional information:</w:t>
            </w:r>
          </w:p>
          <w:p w14:paraId="1960DE3F" w14:textId="77777777" w:rsidR="0014238C" w:rsidRDefault="00616479" w:rsidP="00616479">
            <w:pPr>
              <w:pStyle w:val="Tabletextprimarysource"/>
              <w:tabs>
                <w:tab w:val="left" w:pos="1935"/>
              </w:tabs>
            </w:pPr>
            <w:r>
              <w:t xml:space="preserve">MAK intended to protect for critical narcotic effect and derived from a LOAEL of 2,500 ppm for </w:t>
            </w:r>
            <w:r w:rsidR="002A18F8">
              <w:t>narcosis</w:t>
            </w:r>
            <w:r>
              <w:t xml:space="preserve"> in chronically exposed rats. A corresponding NOAEL is calculated by applying a factor of 3 to arrive at 833 ppm, </w:t>
            </w:r>
            <w:r w:rsidR="00483799">
              <w:t>an additional factor of 4 is applied and rounded down to account for translation to human exposure and for increased respiratory volume to afford the MAK of 200</w:t>
            </w:r>
            <w:r w:rsidR="008C1B5B">
              <w:t xml:space="preserve"> </w:t>
            </w:r>
            <w:r w:rsidR="00483799">
              <w:t>ppm.</w:t>
            </w:r>
            <w:r w:rsidR="00F732DE">
              <w:t xml:space="preserve"> </w:t>
            </w:r>
          </w:p>
          <w:p w14:paraId="343AE334" w14:textId="77777777" w:rsidR="00483799" w:rsidRDefault="00F732DE" w:rsidP="00616479">
            <w:pPr>
              <w:pStyle w:val="Tabletextprimarysource"/>
              <w:tabs>
                <w:tab w:val="left" w:pos="1935"/>
              </w:tabs>
            </w:pPr>
            <w:r>
              <w:t>Skin and sensitiser notations not considered necessary due to low dermal absorption rate and low potential for sensitisation in humans, respectively.</w:t>
            </w:r>
          </w:p>
          <w:p w14:paraId="522B0896" w14:textId="77777777" w:rsidR="00483799" w:rsidRDefault="00483799" w:rsidP="00616479">
            <w:pPr>
              <w:pStyle w:val="Tabletextprimarysource"/>
              <w:tabs>
                <w:tab w:val="left" w:pos="1935"/>
              </w:tabs>
            </w:pPr>
            <w:r>
              <w:t>Human data:</w:t>
            </w:r>
          </w:p>
          <w:p w14:paraId="57F537A6" w14:textId="30730030" w:rsidR="0014238C" w:rsidRDefault="00483799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 xml:space="preserve">Male workers exposed </w:t>
            </w:r>
            <w:r w:rsidR="0014238C">
              <w:t>at</w:t>
            </w:r>
            <w:r>
              <w:t xml:space="preserve"> 260 ppm had no substance in the circulation</w:t>
            </w:r>
            <w:r w:rsidR="00303A2B">
              <w:t>:</w:t>
            </w:r>
            <w:r>
              <w:t xml:space="preserve"> </w:t>
            </w:r>
          </w:p>
          <w:p w14:paraId="7564B2AB" w14:textId="0F294DAE" w:rsidR="0014238C" w:rsidRDefault="00483799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up to 15.6 mg/L of acetone present in blood</w:t>
            </w:r>
          </w:p>
          <w:p w14:paraId="33274262" w14:textId="3E95CFF2" w:rsidR="00082668" w:rsidRDefault="00082668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in females, up to 10</w:t>
            </w:r>
            <w:r w:rsidR="008C1B5B">
              <w:t xml:space="preserve"> </w:t>
            </w:r>
            <w:r>
              <w:t>mg/L isopropyl alcohol reported in blood and 40 mg/L acetone at end of shift</w:t>
            </w:r>
          </w:p>
          <w:p w14:paraId="042A719D" w14:textId="7E8BE2A7" w:rsidR="00082668" w:rsidRDefault="00082668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>Excreted primarily in exhaled air, substance half-life: 2.5–6.4 h, acetone half-life: 11</w:t>
            </w:r>
            <w:r w:rsidR="00580C14">
              <w:t>–</w:t>
            </w:r>
            <w:r>
              <w:t>22.4 h</w:t>
            </w:r>
          </w:p>
          <w:p w14:paraId="6B553680" w14:textId="1457588C" w:rsidR="00483799" w:rsidRDefault="00082668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>Mean blood concentrations of isopropyl alcohol, acetone or ethyl alcohol did not increase during occlusive volunteer patch test (males, n=14, 1 h)</w:t>
            </w:r>
          </w:p>
          <w:p w14:paraId="3F18BB9E" w14:textId="77777777" w:rsidR="001065DB" w:rsidRDefault="001065DB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 xml:space="preserve">No exposure-related effects </w:t>
            </w:r>
            <w:r w:rsidR="005E3474">
              <w:rPr>
                <w:rFonts w:cs="Arial"/>
              </w:rPr>
              <w:t>≤</w:t>
            </w:r>
            <w:r>
              <w:t xml:space="preserve">227 ppm in </w:t>
            </w:r>
            <w:r w:rsidR="005E3474">
              <w:t xml:space="preserve">worker </w:t>
            </w:r>
            <w:r>
              <w:t>ca</w:t>
            </w:r>
            <w:r w:rsidR="005E3474">
              <w:t>se study</w:t>
            </w:r>
            <w:r>
              <w:t xml:space="preserve"> (females, n=60, up to 17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32E284A0" w14:textId="3877E0BB" w:rsidR="0014238C" w:rsidRDefault="001065DB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>No signs of eye irritation, reduced lung function or nasal inflammation at 150 ppm in volunteer inhalation study (males, females, n=28, 2–3 h)</w:t>
            </w:r>
            <w:r w:rsidR="00303A2B">
              <w:t>:</w:t>
            </w:r>
          </w:p>
          <w:p w14:paraId="3706BB01" w14:textId="44075B8C" w:rsidR="001065DB" w:rsidRDefault="002A18F8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 xml:space="preserve">some </w:t>
            </w:r>
            <w:r w:rsidR="001065DB">
              <w:t xml:space="preserve">irritation, likely due to odour perception, scored 15/100 </w:t>
            </w:r>
            <w:r>
              <w:t>in</w:t>
            </w:r>
            <w:r w:rsidR="001065DB">
              <w:t xml:space="preserve"> average volunteer responses</w:t>
            </w:r>
          </w:p>
          <w:p w14:paraId="1840D6C7" w14:textId="77777777" w:rsidR="001065DB" w:rsidRDefault="001065DB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 xml:space="preserve">No substance-related </w:t>
            </w:r>
            <w:r w:rsidR="00266521">
              <w:t>effects</w:t>
            </w:r>
            <w:r>
              <w:t xml:space="preserve"> at 35 or 190 ppm in </w:t>
            </w:r>
            <w:r w:rsidR="00266521">
              <w:t>inhalation</w:t>
            </w:r>
            <w:r>
              <w:t xml:space="preserve"> study (males, n=24, 4</w:t>
            </w:r>
            <w:r w:rsidR="008C1B5B">
              <w:t xml:space="preserve"> </w:t>
            </w:r>
            <w:r>
              <w:t>h)</w:t>
            </w:r>
          </w:p>
          <w:p w14:paraId="0A7C59BA" w14:textId="77777777" w:rsidR="001065DB" w:rsidRDefault="00266521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>Worker case study (n=21) reported impaired balance at personal exposure 6–73 ppm, but could not be reproduced in follow-up study; not included in MAK evaluation due to small study size</w:t>
            </w:r>
            <w:r w:rsidR="005E3474">
              <w:t>.</w:t>
            </w:r>
          </w:p>
          <w:p w14:paraId="5F8AE858" w14:textId="77777777" w:rsidR="00483799" w:rsidRDefault="00483799" w:rsidP="00616479">
            <w:pPr>
              <w:pStyle w:val="Tabletextprimarysource"/>
              <w:tabs>
                <w:tab w:val="left" w:pos="1935"/>
              </w:tabs>
            </w:pPr>
            <w:r>
              <w:t>Animal data:</w:t>
            </w:r>
          </w:p>
          <w:p w14:paraId="6F006583" w14:textId="5FC9B939" w:rsidR="00483799" w:rsidRDefault="00266521" w:rsidP="0014238C">
            <w:pPr>
              <w:pStyle w:val="Tabletextprimarysource"/>
              <w:numPr>
                <w:ilvl w:val="0"/>
                <w:numId w:val="1"/>
              </w:numPr>
              <w:tabs>
                <w:tab w:val="left" w:pos="1935"/>
              </w:tabs>
              <w:ind w:left="717"/>
            </w:pPr>
            <w:r>
              <w:t>Chronic inhalation study with treatment range: 100–5,000 ppm (rats, mice, 6 h/d, 5 d/</w:t>
            </w:r>
            <w:proofErr w:type="spellStart"/>
            <w:r>
              <w:t>wk</w:t>
            </w:r>
            <w:proofErr w:type="spellEnd"/>
            <w:r>
              <w:t xml:space="preserve">, </w:t>
            </w:r>
            <w:r w:rsidR="0014238C">
              <w:t>2 </w:t>
            </w:r>
            <w:proofErr w:type="spellStart"/>
            <w:r>
              <w:t>yr</w:t>
            </w:r>
            <w:proofErr w:type="spellEnd"/>
            <w:r>
              <w:t>, also cited by ACGIH, 2018) reported</w:t>
            </w:r>
            <w:r w:rsidR="00303A2B">
              <w:t>:</w:t>
            </w:r>
          </w:p>
          <w:p w14:paraId="7D4341DB" w14:textId="0D7F0BD8" w:rsidR="00266521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r>
              <w:t>i</w:t>
            </w:r>
            <w:r w:rsidR="00266521">
              <w:t>ncreased testes weight in rats and decreased teste</w:t>
            </w:r>
            <w:r w:rsidR="0014238C">
              <w:t>s</w:t>
            </w:r>
            <w:r w:rsidR="00266521">
              <w:t xml:space="preserve"> weight in mice at 500 ppm, statistically significant at 2,500 ppm</w:t>
            </w:r>
          </w:p>
          <w:p w14:paraId="184264B9" w14:textId="77777777" w:rsidR="00810B4B" w:rsidRDefault="005E3474" w:rsidP="005734F3">
            <w:pPr>
              <w:pStyle w:val="Tabletextprimarysource"/>
              <w:numPr>
                <w:ilvl w:val="1"/>
                <w:numId w:val="4"/>
              </w:numPr>
              <w:ind w:left="1094" w:hanging="357"/>
            </w:pPr>
            <w:proofErr w:type="gramStart"/>
            <w:r>
              <w:t>i</w:t>
            </w:r>
            <w:r w:rsidR="00810B4B">
              <w:t>nterstitial</w:t>
            </w:r>
            <w:proofErr w:type="gramEnd"/>
            <w:r w:rsidR="00810B4B">
              <w:t xml:space="preserve"> hyperplasia in testes at 2,500 ppm </w:t>
            </w:r>
            <w:r w:rsidR="00562F16">
              <w:t>dismissed</w:t>
            </w:r>
            <w:r w:rsidR="00810B4B">
              <w:t xml:space="preserve"> due to low incidence and not considered evidence for carcinogenic activity</w:t>
            </w:r>
            <w:r w:rsidR="006E020A">
              <w:t>.</w:t>
            </w:r>
          </w:p>
          <w:p w14:paraId="461ED1EB" w14:textId="77777777" w:rsidR="0014238C" w:rsidRPr="00DA352E" w:rsidRDefault="0014238C" w:rsidP="0014238C">
            <w:pPr>
              <w:pStyle w:val="Tabletextprimarysource"/>
            </w:pPr>
          </w:p>
        </w:tc>
      </w:tr>
      <w:tr w:rsidR="00C978F0" w:rsidRPr="00DA352E" w14:paraId="361CC5A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0F2C2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318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83189">
                  <w:t>NA</w:t>
                </w:r>
                <w:proofErr w:type="spellEnd"/>
              </w:sdtContent>
            </w:sdt>
          </w:p>
        </w:tc>
      </w:tr>
      <w:tr w:rsidR="00C978F0" w:rsidRPr="00DA352E" w14:paraId="4F26F77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D78571" w14:textId="77777777" w:rsidR="00C978F0" w:rsidRPr="00DA352E" w:rsidRDefault="00A83189" w:rsidP="003365A5">
            <w:pPr>
              <w:pStyle w:val="Tabletextprimarysource"/>
            </w:pPr>
            <w:r>
              <w:t>No report</w:t>
            </w:r>
            <w:r w:rsidR="008C1B5B">
              <w:t>.</w:t>
            </w:r>
          </w:p>
        </w:tc>
      </w:tr>
      <w:tr w:rsidR="00DA352E" w:rsidRPr="00DA352E" w14:paraId="6681591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4F1ACD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8318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83189">
                  <w:t>NA</w:t>
                </w:r>
                <w:proofErr w:type="spellEnd"/>
              </w:sdtContent>
            </w:sdt>
          </w:p>
        </w:tc>
      </w:tr>
      <w:tr w:rsidR="00DA352E" w:rsidRPr="00DA352E" w14:paraId="26C9077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B430FFD" w14:textId="77777777" w:rsidR="00DA352E" w:rsidRPr="00DA352E" w:rsidRDefault="00A83189" w:rsidP="003365A5">
            <w:pPr>
              <w:pStyle w:val="Tabletextprimarysource"/>
            </w:pPr>
            <w:r>
              <w:t>No report</w:t>
            </w:r>
            <w:r w:rsidR="008C1B5B">
              <w:t>.</w:t>
            </w:r>
          </w:p>
        </w:tc>
      </w:tr>
      <w:tr w:rsidR="00DA352E" w:rsidRPr="00DA352E" w14:paraId="20ED48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930670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8318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83189">
                  <w:t>NA</w:t>
                </w:r>
                <w:proofErr w:type="spellEnd"/>
              </w:sdtContent>
            </w:sdt>
          </w:p>
        </w:tc>
      </w:tr>
      <w:tr w:rsidR="00DA352E" w:rsidRPr="00DA352E" w14:paraId="212E679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079D67" w14:textId="77777777" w:rsidR="00DA352E" w:rsidRPr="00DA352E" w:rsidRDefault="00A83189" w:rsidP="003365A5">
            <w:pPr>
              <w:pStyle w:val="Tabletextprimarysource"/>
            </w:pPr>
            <w:r>
              <w:t>No report</w:t>
            </w:r>
            <w:r w:rsidR="008C1B5B">
              <w:t>.</w:t>
            </w:r>
          </w:p>
        </w:tc>
      </w:tr>
    </w:tbl>
    <w:p w14:paraId="0C49BACB" w14:textId="77777777" w:rsidR="00A20751" w:rsidRPr="004C23F4" w:rsidRDefault="00A20751" w:rsidP="008C1B5B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66929CB6" w14:textId="77777777" w:rsidTr="005E3474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38FBF8A" w14:textId="77777777" w:rsidR="004966BF" w:rsidRPr="00263255" w:rsidRDefault="004966BF" w:rsidP="005E3474">
            <w:pPr>
              <w:pStyle w:val="Tableheader"/>
              <w:keepNext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3CB3B0AE" w14:textId="77777777" w:rsidR="004966BF" w:rsidRPr="00263255" w:rsidRDefault="004966BF" w:rsidP="005E3474">
            <w:pPr>
              <w:pStyle w:val="Tableheader"/>
              <w:keepNext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48DC8BE" w14:textId="77777777" w:rsidR="004966BF" w:rsidRPr="00263255" w:rsidRDefault="004966BF" w:rsidP="005E3474">
            <w:pPr>
              <w:pStyle w:val="Tableheader"/>
              <w:keepNext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5E5B1071" w14:textId="77777777" w:rsidR="004966BF" w:rsidRPr="00263255" w:rsidRDefault="004966BF" w:rsidP="005E3474">
            <w:pPr>
              <w:pStyle w:val="Tableheader"/>
              <w:keepNext/>
            </w:pPr>
            <w:r>
              <w:t>Additional information</w:t>
            </w:r>
          </w:p>
        </w:tc>
      </w:tr>
      <w:tr w:rsidR="004966BF" w:rsidRPr="004C23F4" w14:paraId="6FF37E63" w14:textId="77777777" w:rsidTr="005E3474">
        <w:trPr>
          <w:cantSplit/>
        </w:trPr>
        <w:tc>
          <w:tcPr>
            <w:tcW w:w="1492" w:type="dxa"/>
          </w:tcPr>
          <w:p w14:paraId="2192CDE8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17F20451" w14:textId="77777777" w:rsidR="004966BF" w:rsidRPr="00CE617F" w:rsidRDefault="00260DA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C13F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A9C5265" w14:textId="77777777" w:rsidR="004966BF" w:rsidRPr="004C23F4" w:rsidRDefault="008C13F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1A11C4A9" w14:textId="77777777" w:rsidR="004966BF" w:rsidRDefault="008C13F9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 w:rsidRPr="008C13F9">
              <w:rPr>
                <w:rFonts w:cs="Arial"/>
              </w:rPr>
              <w:t xml:space="preserve">Mild irritation of the eyes, nose and throat reported </w:t>
            </w:r>
            <w:r>
              <w:rPr>
                <w:rFonts w:cs="Arial"/>
              </w:rPr>
              <w:t>in</w:t>
            </w:r>
            <w:r w:rsidRPr="008C13F9">
              <w:rPr>
                <w:rFonts w:cs="Arial"/>
              </w:rPr>
              <w:t xml:space="preserve"> humans </w:t>
            </w:r>
            <w:r>
              <w:rPr>
                <w:rFonts w:cs="Arial"/>
              </w:rPr>
              <w:t>at 400</w:t>
            </w:r>
            <w:r w:rsidR="008C1B5B">
              <w:rPr>
                <w:rFonts w:cs="Arial"/>
              </w:rPr>
              <w:t xml:space="preserve"> </w:t>
            </w:r>
            <w:r w:rsidRPr="008C13F9">
              <w:rPr>
                <w:rFonts w:cs="Arial"/>
              </w:rPr>
              <w:t xml:space="preserve">ppm </w:t>
            </w:r>
            <w:r>
              <w:rPr>
                <w:rFonts w:cs="Arial"/>
              </w:rPr>
              <w:t>(</w:t>
            </w:r>
            <w:r w:rsidRPr="008C13F9">
              <w:rPr>
                <w:rFonts w:cs="Arial"/>
              </w:rPr>
              <w:t>3–5 min</w:t>
            </w:r>
            <w:r>
              <w:rPr>
                <w:rFonts w:cs="Arial"/>
              </w:rPr>
              <w:t>)</w:t>
            </w:r>
          </w:p>
          <w:p w14:paraId="36B24450" w14:textId="77777777" w:rsidR="008C13F9" w:rsidRPr="004C23F4" w:rsidRDefault="008C13F9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S</w:t>
            </w:r>
            <w:r w:rsidRPr="008C13F9">
              <w:rPr>
                <w:rFonts w:cs="Arial"/>
              </w:rPr>
              <w:t xml:space="preserve">evere irritation and corneal abrasion </w:t>
            </w:r>
            <w:r>
              <w:rPr>
                <w:rFonts w:cs="Arial"/>
              </w:rPr>
              <w:t>from direct contact with the liquid</w:t>
            </w:r>
            <w:r w:rsidR="008C1B5B">
              <w:rPr>
                <w:rFonts w:cs="Arial"/>
              </w:rPr>
              <w:t>.</w:t>
            </w:r>
          </w:p>
        </w:tc>
      </w:tr>
      <w:tr w:rsidR="004966BF" w:rsidRPr="004C23F4" w14:paraId="57A1FB41" w14:textId="77777777" w:rsidTr="005E3474">
        <w:trPr>
          <w:cantSplit/>
        </w:trPr>
        <w:tc>
          <w:tcPr>
            <w:tcW w:w="1492" w:type="dxa"/>
          </w:tcPr>
          <w:p w14:paraId="6B44872F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2" w:type="dxa"/>
          </w:tcPr>
          <w:p w14:paraId="3F031394" w14:textId="77777777" w:rsidR="004966BF" w:rsidRPr="00CE617F" w:rsidRDefault="00260DA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02F3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412F831" w14:textId="77777777" w:rsidR="004966BF" w:rsidRPr="004C23F4" w:rsidRDefault="00302F3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51" w:type="dxa"/>
          </w:tcPr>
          <w:p w14:paraId="16C8716E" w14:textId="77777777" w:rsidR="004966BF" w:rsidRDefault="0030090F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50% of absorbed dose excreted via urine and exhaled air in humans</w:t>
            </w:r>
          </w:p>
          <w:p w14:paraId="22B445BB" w14:textId="77777777" w:rsidR="0030090F" w:rsidRPr="00DC49E6" w:rsidRDefault="00302F3B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val="it-IT"/>
              </w:rPr>
            </w:pPr>
            <w:r w:rsidRPr="00DC49E6">
              <w:rPr>
                <w:rStyle w:val="checkbox"/>
                <w:rFonts w:ascii="Arial" w:hAnsi="Arial" w:cs="Arial"/>
                <w:lang w:val="it-IT"/>
              </w:rPr>
              <w:t>Non-</w:t>
            </w:r>
            <w:r w:rsidRPr="00DC49E6">
              <w:rPr>
                <w:rStyle w:val="checkbox"/>
                <w:rFonts w:ascii="Arial" w:hAnsi="Arial" w:cs="Arial"/>
              </w:rPr>
              <w:t xml:space="preserve">genotoxic </w:t>
            </w:r>
            <w:r w:rsidRPr="00DC49E6">
              <w:rPr>
                <w:rStyle w:val="checkbox"/>
                <w:rFonts w:ascii="Arial" w:hAnsi="Arial" w:cs="Arial"/>
                <w:i/>
                <w:lang w:val="it-IT"/>
              </w:rPr>
              <w:t>in vitro</w:t>
            </w:r>
            <w:r w:rsidRPr="00DC49E6">
              <w:rPr>
                <w:rStyle w:val="checkbox"/>
                <w:rFonts w:ascii="Arial" w:hAnsi="Arial" w:cs="Arial"/>
                <w:lang w:val="it-IT"/>
              </w:rPr>
              <w:t xml:space="preserve"> or </w:t>
            </w:r>
            <w:r w:rsidRPr="00DC49E6">
              <w:rPr>
                <w:rStyle w:val="checkbox"/>
                <w:rFonts w:ascii="Arial" w:hAnsi="Arial" w:cs="Arial"/>
                <w:i/>
                <w:lang w:val="it-IT"/>
              </w:rPr>
              <w:t>in vivo</w:t>
            </w:r>
          </w:p>
          <w:p w14:paraId="78E3D652" w14:textId="77777777" w:rsidR="00302F3B" w:rsidRPr="004C23F4" w:rsidRDefault="00302F3B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I</w:t>
            </w:r>
            <w:r w:rsidRPr="00302F3B">
              <w:rPr>
                <w:rFonts w:cs="Arial"/>
              </w:rPr>
              <w:t>nadequate evidence for the carcinog</w:t>
            </w:r>
            <w:r>
              <w:rPr>
                <w:rFonts w:cs="Arial"/>
              </w:rPr>
              <w:t>enicity of isopropanol in humans and experimental animals</w:t>
            </w:r>
            <w:r w:rsidR="008C1B5B">
              <w:rPr>
                <w:rFonts w:cs="Arial"/>
              </w:rPr>
              <w:t>.</w:t>
            </w:r>
          </w:p>
        </w:tc>
      </w:tr>
      <w:tr w:rsidR="004966BF" w:rsidRPr="004C23F4" w14:paraId="5DAA72AC" w14:textId="77777777" w:rsidTr="005E3474">
        <w:trPr>
          <w:cantSplit/>
        </w:trPr>
        <w:tc>
          <w:tcPr>
            <w:tcW w:w="1492" w:type="dxa"/>
          </w:tcPr>
          <w:p w14:paraId="7C30C301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75B5E7C2" w14:textId="77777777" w:rsidR="004966BF" w:rsidRPr="00CE617F" w:rsidRDefault="00260DA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0090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E88FAFB" w14:textId="77777777" w:rsidR="004966BF" w:rsidRPr="004C23F4" w:rsidRDefault="0030090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1" w:type="dxa"/>
          </w:tcPr>
          <w:p w14:paraId="4811529D" w14:textId="6EE9454B" w:rsidR="004966BF" w:rsidRDefault="0030090F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13</w:t>
            </w:r>
            <w:r w:rsidR="008C1B5B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and 2</w:t>
            </w:r>
            <w:r w:rsidR="008C1B5B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inhalation studies (also cited in ACGIH, 2018; DFG, 2018) used to calculate DNEL; DNEL calculated in alignment with DFG MAK derivation</w:t>
            </w:r>
          </w:p>
          <w:p w14:paraId="5B9B2C4C" w14:textId="77777777" w:rsidR="008C13F9" w:rsidRDefault="008C13F9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5E3474">
              <w:rPr>
                <w:rStyle w:val="checkbox"/>
                <w:rFonts w:ascii="Arial" w:hAnsi="Arial" w:cs="Arial"/>
              </w:rPr>
              <w:t>: 12,890 mg/kg (rabbit, dermal)</w:t>
            </w:r>
          </w:p>
          <w:p w14:paraId="6AFF4296" w14:textId="77777777" w:rsidR="0030090F" w:rsidRPr="004C23F4" w:rsidRDefault="0030090F" w:rsidP="005734F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Non-genotoxic based on negative results </w:t>
            </w:r>
            <w:r>
              <w:rPr>
                <w:rStyle w:val="checkbox"/>
                <w:rFonts w:ascii="Arial" w:hAnsi="Arial" w:cs="Arial"/>
                <w:i/>
              </w:rPr>
              <w:t>in vitro</w:t>
            </w:r>
            <w:r>
              <w:rPr>
                <w:rStyle w:val="checkbox"/>
                <w:rFonts w:ascii="Arial" w:hAnsi="Arial" w:cs="Arial"/>
              </w:rPr>
              <w:t xml:space="preserve"> and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 w:rsidR="008C1B5B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6EFE05D3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9C03ACD" w14:textId="77777777" w:rsidTr="008C13F9">
        <w:trPr>
          <w:trHeight w:val="454"/>
          <w:tblHeader/>
        </w:trPr>
        <w:tc>
          <w:tcPr>
            <w:tcW w:w="6603" w:type="dxa"/>
            <w:vAlign w:val="center"/>
          </w:tcPr>
          <w:p w14:paraId="22326B9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3561DC2" w14:textId="77777777" w:rsidR="002E0D61" w:rsidRDefault="008C13F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0891FD3" w14:textId="77777777" w:rsidTr="008C13F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E9C7B19" w14:textId="77777777" w:rsidR="008A36CF" w:rsidRPr="006901A2" w:rsidRDefault="008C13F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42B69D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4796A1A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D9B3F1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8C3EF0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FB7148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3668202" w14:textId="77777777" w:rsidTr="00812887">
        <w:trPr>
          <w:cantSplit/>
        </w:trPr>
        <w:tc>
          <w:tcPr>
            <w:tcW w:w="3227" w:type="dxa"/>
          </w:tcPr>
          <w:p w14:paraId="47D0D44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6BE615" w14:textId="77777777" w:rsidR="00687890" w:rsidRPr="00DD2F9B" w:rsidRDefault="00A83189" w:rsidP="00DD2F9B">
            <w:pPr>
              <w:pStyle w:val="Tablefont"/>
            </w:pPr>
            <w:r w:rsidRPr="00A83189">
              <w:t>—</w:t>
            </w:r>
          </w:p>
        </w:tc>
      </w:tr>
      <w:tr w:rsidR="007925F0" w:rsidRPr="004C23F4" w14:paraId="16FFCFEC" w14:textId="77777777" w:rsidTr="00812887">
        <w:trPr>
          <w:cantSplit/>
        </w:trPr>
        <w:tc>
          <w:tcPr>
            <w:tcW w:w="3227" w:type="dxa"/>
          </w:tcPr>
          <w:p w14:paraId="5E963A0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43DEED2" w14:textId="77777777" w:rsidR="007925F0" w:rsidRPr="00DD2F9B" w:rsidRDefault="00A83189" w:rsidP="00DD2F9B">
            <w:pPr>
              <w:pStyle w:val="Tablefont"/>
            </w:pPr>
            <w:r w:rsidRPr="00A83189">
              <w:t>—</w:t>
            </w:r>
          </w:p>
        </w:tc>
      </w:tr>
      <w:tr w:rsidR="00AF483F" w:rsidRPr="004C23F4" w14:paraId="73B98168" w14:textId="77777777" w:rsidTr="00812887">
        <w:trPr>
          <w:cantSplit/>
        </w:trPr>
        <w:tc>
          <w:tcPr>
            <w:tcW w:w="3227" w:type="dxa"/>
          </w:tcPr>
          <w:p w14:paraId="6ED85E3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DA31069" w14:textId="77777777" w:rsidR="00AF483F" w:rsidRPr="00DD2F9B" w:rsidRDefault="00A83189" w:rsidP="00DD2F9B">
            <w:pPr>
              <w:pStyle w:val="Tablefont"/>
            </w:pPr>
            <w:r w:rsidRPr="00A83189">
              <w:t>—</w:t>
            </w:r>
          </w:p>
        </w:tc>
      </w:tr>
      <w:tr w:rsidR="00687890" w:rsidRPr="004C23F4" w14:paraId="74910D7E" w14:textId="77777777" w:rsidTr="00812887">
        <w:trPr>
          <w:cantSplit/>
        </w:trPr>
        <w:tc>
          <w:tcPr>
            <w:tcW w:w="3227" w:type="dxa"/>
          </w:tcPr>
          <w:p w14:paraId="2EA656F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E62EFA9" w14:textId="77777777" w:rsidR="00687890" w:rsidRPr="00DD2F9B" w:rsidRDefault="00F732DE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2E6B709C" w14:textId="77777777" w:rsidTr="00812887">
        <w:trPr>
          <w:cantSplit/>
        </w:trPr>
        <w:tc>
          <w:tcPr>
            <w:tcW w:w="3227" w:type="dxa"/>
          </w:tcPr>
          <w:p w14:paraId="7BBF989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04D3EB6" w14:textId="77777777" w:rsidR="00E41A26" w:rsidRPr="00DD2F9B" w:rsidRDefault="00F732D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2C6B842" w14:textId="77777777" w:rsidTr="00812887">
        <w:trPr>
          <w:cantSplit/>
        </w:trPr>
        <w:tc>
          <w:tcPr>
            <w:tcW w:w="3227" w:type="dxa"/>
          </w:tcPr>
          <w:p w14:paraId="6ACBD5C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8D44779" w14:textId="77777777" w:rsidR="002E0D61" w:rsidRPr="00DD2F9B" w:rsidRDefault="00A83189" w:rsidP="00DD2F9B">
            <w:pPr>
              <w:pStyle w:val="Tablefont"/>
            </w:pPr>
            <w:r w:rsidRPr="00A83189">
              <w:t>Carcinogenicity – A4</w:t>
            </w:r>
          </w:p>
        </w:tc>
      </w:tr>
      <w:tr w:rsidR="002E0D61" w:rsidRPr="004C23F4" w14:paraId="49ADB63F" w14:textId="77777777" w:rsidTr="00812887">
        <w:trPr>
          <w:cantSplit/>
        </w:trPr>
        <w:tc>
          <w:tcPr>
            <w:tcW w:w="3227" w:type="dxa"/>
          </w:tcPr>
          <w:p w14:paraId="4C97AAD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1830041" w14:textId="77777777" w:rsidR="002E0D61" w:rsidRPr="00DD2F9B" w:rsidRDefault="00A83189" w:rsidP="00DD2F9B">
            <w:pPr>
              <w:pStyle w:val="Tablefont"/>
            </w:pPr>
            <w:r w:rsidRPr="00A83189">
              <w:t>—</w:t>
            </w:r>
          </w:p>
        </w:tc>
      </w:tr>
      <w:tr w:rsidR="002E0D61" w:rsidRPr="004C23F4" w14:paraId="519167FC" w14:textId="77777777" w:rsidTr="00812887">
        <w:trPr>
          <w:cantSplit/>
        </w:trPr>
        <w:tc>
          <w:tcPr>
            <w:tcW w:w="3227" w:type="dxa"/>
          </w:tcPr>
          <w:p w14:paraId="283579D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68EDBC2" w14:textId="77777777" w:rsidR="002E0D61" w:rsidRPr="00DD2F9B" w:rsidRDefault="00A8318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33617DF" w14:textId="77777777" w:rsidTr="00812887">
        <w:trPr>
          <w:cantSplit/>
        </w:trPr>
        <w:tc>
          <w:tcPr>
            <w:tcW w:w="3227" w:type="dxa"/>
          </w:tcPr>
          <w:p w14:paraId="524F057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C9174AE" w14:textId="77777777" w:rsidR="002E0D61" w:rsidRPr="00DD2F9B" w:rsidRDefault="00A8318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9653B4E" w14:textId="77777777" w:rsidTr="00812887">
        <w:trPr>
          <w:cantSplit/>
        </w:trPr>
        <w:tc>
          <w:tcPr>
            <w:tcW w:w="3227" w:type="dxa"/>
          </w:tcPr>
          <w:p w14:paraId="3D3E85A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2992D22" w14:textId="77777777" w:rsidR="00386093" w:rsidRPr="00DD2F9B" w:rsidRDefault="00A83189" w:rsidP="00DD2F9B">
            <w:pPr>
              <w:pStyle w:val="Tablefont"/>
            </w:pPr>
            <w:r w:rsidRPr="00A83189">
              <w:t>Carcinogenicity – Group 3</w:t>
            </w:r>
          </w:p>
        </w:tc>
      </w:tr>
      <w:tr w:rsidR="00386093" w:rsidRPr="004C23F4" w14:paraId="121690A6" w14:textId="77777777" w:rsidTr="00812887">
        <w:trPr>
          <w:cantSplit/>
        </w:trPr>
        <w:tc>
          <w:tcPr>
            <w:tcW w:w="3227" w:type="dxa"/>
          </w:tcPr>
          <w:p w14:paraId="6BA103E3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1B1F1287" w14:textId="77777777" w:rsidR="00386093" w:rsidRPr="00DD2F9B" w:rsidRDefault="00A8318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6B7EE5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93F8F1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0991B1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6615F7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357F06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225" w:type="dxa"/>
              <w:tblLook w:val="04A0" w:firstRow="1" w:lastRow="0" w:firstColumn="1" w:lastColumn="0" w:noHBand="0" w:noVBand="1"/>
            </w:tblPr>
            <w:tblGrid>
              <w:gridCol w:w="3658"/>
              <w:gridCol w:w="1085"/>
              <w:gridCol w:w="1085"/>
              <w:gridCol w:w="2982"/>
            </w:tblGrid>
            <w:tr w:rsidR="008C13F9" w:rsidRPr="008C13F9" w14:paraId="2A352E12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B15C15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266ED8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770673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3F232C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1F91B70A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352F58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6635C2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2937CF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4EBC12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0B771550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27AC76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0FFCB0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5DD344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7E9DC2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67442631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795EDF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3995C9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3414C3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0D6763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7DD3C77E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7A0EDA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988DFF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8C5072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F6F2F7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531CFC77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991DD7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1A9EB1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46C11F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6B8D6A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13F9" w:rsidRPr="008C13F9" w14:paraId="4CC94883" w14:textId="77777777" w:rsidTr="008C13F9">
              <w:trPr>
                <w:trHeight w:val="231"/>
              </w:trPr>
              <w:tc>
                <w:tcPr>
                  <w:tcW w:w="3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0E3CB8" w14:textId="77777777" w:rsidR="008C13F9" w:rsidRPr="008C13F9" w:rsidRDefault="008C13F9" w:rsidP="008C13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3C305E" w14:textId="77777777" w:rsidR="008C13F9" w:rsidRPr="008C13F9" w:rsidRDefault="008C13F9" w:rsidP="008C13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18519A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FF576A" w14:textId="77777777" w:rsidR="008C13F9" w:rsidRPr="008C13F9" w:rsidRDefault="008C13F9" w:rsidP="008C13F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13F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60EF9C9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FAE703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5DA5415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212DA4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84D6EEC" w14:textId="77777777" w:rsidR="00EB3D1B" w:rsidRDefault="005E3474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27C90FE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342C22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7750F6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0DDAD01" w14:textId="77777777" w:rsidR="001B79E5" w:rsidRDefault="00A83189" w:rsidP="001B79E5">
                <w:pPr>
                  <w:pStyle w:val="Tablefont"/>
                </w:pPr>
                <w:r w:rsidRPr="00A83189">
                  <w:t>60.1</w:t>
                </w:r>
                <w:r>
                  <w:t>0</w:t>
                </w:r>
              </w:p>
            </w:tc>
          </w:sdtContent>
        </w:sdt>
      </w:tr>
      <w:tr w:rsidR="00A31D99" w:rsidRPr="004C23F4" w14:paraId="3E379B2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31E196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4C1146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81210">
                  <w:t>2.46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81210">
                  <w:t>0.4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0E14EE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648707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10BAF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91BE11F" w14:textId="77777777" w:rsidTr="00EA6243">
        <w:trPr>
          <w:cantSplit/>
        </w:trPr>
        <w:tc>
          <w:tcPr>
            <w:tcW w:w="4077" w:type="dxa"/>
            <w:vAlign w:val="center"/>
          </w:tcPr>
          <w:p w14:paraId="7E9CBE1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E35982D" w14:textId="77777777" w:rsidR="00687890" w:rsidRPr="004C23F4" w:rsidRDefault="008C13F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F4C9A5D" w14:textId="77777777" w:rsidTr="00EA6243">
        <w:trPr>
          <w:cantSplit/>
        </w:trPr>
        <w:tc>
          <w:tcPr>
            <w:tcW w:w="4077" w:type="dxa"/>
            <w:vAlign w:val="center"/>
          </w:tcPr>
          <w:p w14:paraId="4D9835E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57EDD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9F2FFD6" w14:textId="77777777" w:rsidTr="00EA6243">
        <w:trPr>
          <w:cantSplit/>
        </w:trPr>
        <w:tc>
          <w:tcPr>
            <w:tcW w:w="4077" w:type="dxa"/>
            <w:vAlign w:val="center"/>
          </w:tcPr>
          <w:p w14:paraId="78CAB74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3E6024D" w14:textId="77777777" w:rsidR="00E06F40" w:rsidRPr="00A006A0" w:rsidRDefault="00260DA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2433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A4DB9F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40D859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2E4111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26FBF5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803FB68" w14:textId="77777777" w:rsidTr="00F053FA">
        <w:trPr>
          <w:tblHeader/>
        </w:trPr>
        <w:tc>
          <w:tcPr>
            <w:tcW w:w="4077" w:type="dxa"/>
            <w:vAlign w:val="center"/>
          </w:tcPr>
          <w:p w14:paraId="35C9CE4A" w14:textId="77777777" w:rsidR="007F1005" w:rsidRPr="004C23F4" w:rsidRDefault="00260DA1" w:rsidP="008A2FD3">
            <w:pPr>
              <w:pStyle w:val="Tablefont"/>
              <w:keepLines/>
            </w:pPr>
            <w:sdt>
              <w:sdtPr>
                <w:id w:val="-25557549"/>
                <w:placeholder>
                  <w:docPart w:val="2BF891C0AB704CDAB9BC6E80D556473F"/>
                </w:placeholder>
                <w:showingPlcHdr/>
                <w:text/>
              </w:sdtPr>
              <w:sdtEndPr/>
              <w:sdtContent>
                <w:r w:rsidR="008A2FD3" w:rsidRPr="004C23F4">
                  <w:rPr>
                    <w:rStyle w:val="PlaceholderText"/>
                    <w:rFonts w:cs="Arial"/>
                  </w:rPr>
                  <w:t>Click here to enter year</w:t>
                </w:r>
              </w:sdtContent>
            </w:sdt>
          </w:p>
        </w:tc>
        <w:tc>
          <w:tcPr>
            <w:tcW w:w="5165" w:type="dxa"/>
            <w:vAlign w:val="center"/>
          </w:tcPr>
          <w:p w14:paraId="19FBB2B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BD0B851" w14:textId="77777777" w:rsidR="00F87D92" w:rsidRDefault="00F87D92" w:rsidP="008C1B5B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13BFF14" w14:textId="77777777" w:rsidR="007F1005" w:rsidRDefault="006650FE" w:rsidP="005E3474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5B55B49" w14:textId="77777777" w:rsidR="008A0DB7" w:rsidRDefault="008A0DB7" w:rsidP="005E3474">
      <w:pPr>
        <w:keepNext/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30090F">
        <w:t>2018</w:t>
      </w:r>
      <w:r>
        <w:t xml:space="preserve">) </w:t>
      </w:r>
      <w:r w:rsidR="0030090F">
        <w:t>2-propanol</w:t>
      </w:r>
      <w:r>
        <w:t xml:space="preserve"> – MAK value documentation</w:t>
      </w:r>
      <w:r w:rsidR="0030090F">
        <w:t>, German language edition</w:t>
      </w:r>
      <w:r>
        <w:t>.</w:t>
      </w:r>
    </w:p>
    <w:p w14:paraId="597BE220" w14:textId="77777777" w:rsidR="0030090F" w:rsidRDefault="0030090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(1996) 2-propanol – MAK value documentation, German language edition.</w:t>
      </w:r>
    </w:p>
    <w:p w14:paraId="009EC0F7" w14:textId="77777777" w:rsidR="00F732DE" w:rsidRDefault="00F732DE" w:rsidP="00084859">
      <w:r>
        <w:t>European Chemicals Agency (ECHA) (2019) Propan-2-ol – REACH assessment.</w:t>
      </w:r>
    </w:p>
    <w:p w14:paraId="655D8750" w14:textId="77777777" w:rsidR="008A0DB7" w:rsidRDefault="008A0DB7" w:rsidP="00084859">
      <w:r w:rsidRPr="002022B6">
        <w:lastRenderedPageBreak/>
        <w:t>International Agency for Research on Cancer</w:t>
      </w:r>
      <w:r>
        <w:t xml:space="preserve"> (IARC) (</w:t>
      </w:r>
      <w:r w:rsidRPr="008A0DB7">
        <w:t>1999</w:t>
      </w:r>
      <w:r>
        <w:t xml:space="preserve">) </w:t>
      </w:r>
      <w:r w:rsidRPr="008A0DB7">
        <w:t>Isopropyl alcohol</w:t>
      </w:r>
      <w:r>
        <w:t>. IARC Monographs on the evaluation of the carcinogenic risk to humans</w:t>
      </w:r>
      <w:r w:rsidR="0030090F">
        <w:t>, volume 71</w:t>
      </w:r>
      <w:r>
        <w:t>.</w:t>
      </w:r>
    </w:p>
    <w:p w14:paraId="501D021F" w14:textId="77777777" w:rsidR="008A0DB7" w:rsidRDefault="008A0DB7" w:rsidP="00084859">
      <w:r w:rsidRPr="002022B6">
        <w:t>National Industrial Chemicals Notification and Assessment Scheme (NICNAS)</w:t>
      </w:r>
      <w:r>
        <w:t xml:space="preserve"> (</w:t>
      </w:r>
      <w:r w:rsidRPr="008A0DB7">
        <w:t>2013</w:t>
      </w:r>
      <w:r>
        <w:t xml:space="preserve">) </w:t>
      </w:r>
      <w:r w:rsidRPr="008A0DB7">
        <w:t>2-Propanol</w:t>
      </w:r>
      <w:r w:rsidRPr="0071660C">
        <w:t xml:space="preserve">: Human health </w:t>
      </w:r>
      <w:r w:rsidRPr="008A0DB7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03E74073" w14:textId="77777777" w:rsidR="008A0DB7" w:rsidRPr="00351FE0" w:rsidRDefault="008A0DB7" w:rsidP="00084859">
      <w:r w:rsidRPr="00D86E03">
        <w:t>US National Institute for Occupational Safety and Health (NIOSH)</w:t>
      </w:r>
      <w:r>
        <w:t xml:space="preserve"> (</w:t>
      </w:r>
      <w:r w:rsidRPr="008A0DB7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8A0DB7">
        <w:t>Isopropyl alcohol</w:t>
      </w:r>
      <w:r>
        <w:t>.</w:t>
      </w:r>
    </w:p>
    <w:sectPr w:rsidR="008A0DB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2CB9" w14:textId="77777777" w:rsidR="00B017DE" w:rsidRDefault="00B017DE" w:rsidP="00F43AD5">
      <w:pPr>
        <w:spacing w:after="0" w:line="240" w:lineRule="auto"/>
      </w:pPr>
      <w:r>
        <w:separator/>
      </w:r>
    </w:p>
  </w:endnote>
  <w:endnote w:type="continuationSeparator" w:id="0">
    <w:p w14:paraId="0A5052CA" w14:textId="77777777" w:rsidR="00B017DE" w:rsidRDefault="00B017D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CDFF" w14:textId="77777777" w:rsidR="00496C8F" w:rsidRDefault="0049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7799261" w14:textId="77777777" w:rsidR="008A36CF" w:rsidRDefault="00BB63D0" w:rsidP="0034744C">
        <w:pPr>
          <w:pStyle w:val="Footer"/>
          <w:rPr>
            <w:sz w:val="18"/>
            <w:szCs w:val="18"/>
          </w:rPr>
        </w:pPr>
        <w:r w:rsidRPr="00BB63D0">
          <w:rPr>
            <w:b/>
            <w:sz w:val="18"/>
            <w:szCs w:val="18"/>
          </w:rPr>
          <w:t>Isopropyl alcohol</w:t>
        </w:r>
        <w:r w:rsidR="008A36CF">
          <w:rPr>
            <w:b/>
            <w:sz w:val="18"/>
            <w:szCs w:val="18"/>
          </w:rPr>
          <w:t xml:space="preserve"> (</w:t>
        </w:r>
        <w:r w:rsidRPr="00BB63D0">
          <w:rPr>
            <w:b/>
            <w:sz w:val="18"/>
            <w:szCs w:val="18"/>
          </w:rPr>
          <w:t>67-63-0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DF143F1" w14:textId="2B2E072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60DA1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8A72" w14:textId="77777777" w:rsidR="00496C8F" w:rsidRDefault="00496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2E718" w14:textId="77777777" w:rsidR="00B017DE" w:rsidRDefault="00B017DE" w:rsidP="00F43AD5">
      <w:pPr>
        <w:spacing w:after="0" w:line="240" w:lineRule="auto"/>
      </w:pPr>
      <w:r>
        <w:separator/>
      </w:r>
    </w:p>
  </w:footnote>
  <w:footnote w:type="continuationSeparator" w:id="0">
    <w:p w14:paraId="142E069D" w14:textId="77777777" w:rsidR="00B017DE" w:rsidRDefault="00B017D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D897" w14:textId="77777777" w:rsidR="00496C8F" w:rsidRDefault="00496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4162" w14:textId="77777777" w:rsidR="00B56500" w:rsidRDefault="00260DA1" w:rsidP="00B56500">
    <w:pPr>
      <w:pStyle w:val="Header"/>
      <w:jc w:val="right"/>
    </w:pPr>
    <w:sdt>
      <w:sdtPr>
        <w:id w:val="-1921237273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63080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6500">
      <w:rPr>
        <w:noProof/>
        <w:lang w:eastAsia="en-AU"/>
      </w:rPr>
      <w:drawing>
        <wp:inline distT="0" distB="0" distL="0" distR="0" wp14:anchorId="76DF1DBF" wp14:editId="68851DB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DA695" w14:textId="1A3CB676" w:rsidR="008A36CF" w:rsidRPr="00B56500" w:rsidRDefault="008A36CF" w:rsidP="00B56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DF9B" w14:textId="77777777" w:rsidR="00496C8F" w:rsidRDefault="00496C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EF75" w14:textId="77777777" w:rsidR="00B56500" w:rsidRDefault="00260DA1" w:rsidP="00B56500">
    <w:pPr>
      <w:pStyle w:val="Header"/>
      <w:jc w:val="right"/>
    </w:pPr>
    <w:sdt>
      <w:sdtPr>
        <w:id w:val="95714327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4F9830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6500">
      <w:rPr>
        <w:noProof/>
        <w:lang w:eastAsia="en-AU"/>
      </w:rPr>
      <w:drawing>
        <wp:inline distT="0" distB="0" distL="0" distR="0" wp14:anchorId="05CA47A1" wp14:editId="3C2AA316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ADA67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451"/>
    <w:multiLevelType w:val="hybridMultilevel"/>
    <w:tmpl w:val="0F28C902"/>
    <w:lvl w:ilvl="0" w:tplc="0AEA157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4DD"/>
    <w:multiLevelType w:val="hybridMultilevel"/>
    <w:tmpl w:val="D96A3EF8"/>
    <w:lvl w:ilvl="0" w:tplc="76E00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32D3"/>
    <w:multiLevelType w:val="hybridMultilevel"/>
    <w:tmpl w:val="D1D2DAA8"/>
    <w:lvl w:ilvl="0" w:tplc="8DDA58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6B44"/>
    <w:multiLevelType w:val="hybridMultilevel"/>
    <w:tmpl w:val="0F3002FA"/>
    <w:lvl w:ilvl="0" w:tplc="6654FF7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926"/>
    <w:multiLevelType w:val="hybridMultilevel"/>
    <w:tmpl w:val="CE86927E"/>
    <w:lvl w:ilvl="0" w:tplc="AAAE5EB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2668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04E4"/>
    <w:rsid w:val="0010461E"/>
    <w:rsid w:val="001065DB"/>
    <w:rsid w:val="00106FAA"/>
    <w:rsid w:val="00113443"/>
    <w:rsid w:val="001269A7"/>
    <w:rsid w:val="00131092"/>
    <w:rsid w:val="00135EE2"/>
    <w:rsid w:val="001407AC"/>
    <w:rsid w:val="00140E6A"/>
    <w:rsid w:val="0014238C"/>
    <w:rsid w:val="0014244B"/>
    <w:rsid w:val="00146545"/>
    <w:rsid w:val="00146B75"/>
    <w:rsid w:val="0015266D"/>
    <w:rsid w:val="0015288A"/>
    <w:rsid w:val="00160F47"/>
    <w:rsid w:val="00167E81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1084"/>
    <w:rsid w:val="00244AD1"/>
    <w:rsid w:val="002463BC"/>
    <w:rsid w:val="002465CE"/>
    <w:rsid w:val="0025734A"/>
    <w:rsid w:val="00260DA1"/>
    <w:rsid w:val="00263255"/>
    <w:rsid w:val="00266521"/>
    <w:rsid w:val="00272DE3"/>
    <w:rsid w:val="00276494"/>
    <w:rsid w:val="00277B0C"/>
    <w:rsid w:val="002A18F8"/>
    <w:rsid w:val="002B0F74"/>
    <w:rsid w:val="002B1A2C"/>
    <w:rsid w:val="002C34F2"/>
    <w:rsid w:val="002C58FF"/>
    <w:rsid w:val="002C7AFE"/>
    <w:rsid w:val="002D05D2"/>
    <w:rsid w:val="002E0D61"/>
    <w:rsid w:val="002E4853"/>
    <w:rsid w:val="002E4C7B"/>
    <w:rsid w:val="0030090F"/>
    <w:rsid w:val="00302F3B"/>
    <w:rsid w:val="00303A2B"/>
    <w:rsid w:val="0030740C"/>
    <w:rsid w:val="00315833"/>
    <w:rsid w:val="003215EE"/>
    <w:rsid w:val="003224BF"/>
    <w:rsid w:val="003236DB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5E8B"/>
    <w:rsid w:val="00370DBF"/>
    <w:rsid w:val="00386093"/>
    <w:rsid w:val="003904A4"/>
    <w:rsid w:val="00391841"/>
    <w:rsid w:val="00391B6D"/>
    <w:rsid w:val="00394922"/>
    <w:rsid w:val="003A03FB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3799"/>
    <w:rsid w:val="00485BFD"/>
    <w:rsid w:val="004867A2"/>
    <w:rsid w:val="004873F2"/>
    <w:rsid w:val="00490D4C"/>
    <w:rsid w:val="00493A35"/>
    <w:rsid w:val="0049527A"/>
    <w:rsid w:val="004966BF"/>
    <w:rsid w:val="00496C8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62DC"/>
    <w:rsid w:val="0052362F"/>
    <w:rsid w:val="005272E2"/>
    <w:rsid w:val="0053108F"/>
    <w:rsid w:val="00532B56"/>
    <w:rsid w:val="00534B10"/>
    <w:rsid w:val="005446A2"/>
    <w:rsid w:val="00544D2F"/>
    <w:rsid w:val="00551BD8"/>
    <w:rsid w:val="00562F16"/>
    <w:rsid w:val="005734F3"/>
    <w:rsid w:val="00580C14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3474"/>
    <w:rsid w:val="005E6979"/>
    <w:rsid w:val="005E75CB"/>
    <w:rsid w:val="006013C1"/>
    <w:rsid w:val="0060669E"/>
    <w:rsid w:val="00606CEC"/>
    <w:rsid w:val="00610F2E"/>
    <w:rsid w:val="00611399"/>
    <w:rsid w:val="0061647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020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57E00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B4B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FED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0DB7"/>
    <w:rsid w:val="008A2FD3"/>
    <w:rsid w:val="008A36CF"/>
    <w:rsid w:val="008A3BC4"/>
    <w:rsid w:val="008B403C"/>
    <w:rsid w:val="008B7983"/>
    <w:rsid w:val="008C13F9"/>
    <w:rsid w:val="008C1B5B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B74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2433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3189"/>
    <w:rsid w:val="00A84504"/>
    <w:rsid w:val="00A8672F"/>
    <w:rsid w:val="00A93057"/>
    <w:rsid w:val="00A9531E"/>
    <w:rsid w:val="00A968B0"/>
    <w:rsid w:val="00AA2CE5"/>
    <w:rsid w:val="00AB0A67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17DE"/>
    <w:rsid w:val="00B1422A"/>
    <w:rsid w:val="00B1765C"/>
    <w:rsid w:val="00B213C4"/>
    <w:rsid w:val="00B40C60"/>
    <w:rsid w:val="00B479A9"/>
    <w:rsid w:val="00B52EDF"/>
    <w:rsid w:val="00B56500"/>
    <w:rsid w:val="00B71188"/>
    <w:rsid w:val="00B76A41"/>
    <w:rsid w:val="00B81210"/>
    <w:rsid w:val="00B87D4C"/>
    <w:rsid w:val="00B93646"/>
    <w:rsid w:val="00BA0B38"/>
    <w:rsid w:val="00BA1DBB"/>
    <w:rsid w:val="00BA4191"/>
    <w:rsid w:val="00BA4277"/>
    <w:rsid w:val="00BA4510"/>
    <w:rsid w:val="00BA529A"/>
    <w:rsid w:val="00BB612A"/>
    <w:rsid w:val="00BB63D0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6CA5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3682"/>
    <w:rsid w:val="00CD500A"/>
    <w:rsid w:val="00CE5AD6"/>
    <w:rsid w:val="00CE617F"/>
    <w:rsid w:val="00CE78EF"/>
    <w:rsid w:val="00D048F7"/>
    <w:rsid w:val="00D0517E"/>
    <w:rsid w:val="00D13D46"/>
    <w:rsid w:val="00D140FC"/>
    <w:rsid w:val="00D21D8C"/>
    <w:rsid w:val="00D31357"/>
    <w:rsid w:val="00D33220"/>
    <w:rsid w:val="00D334D1"/>
    <w:rsid w:val="00D44C89"/>
    <w:rsid w:val="00D516CD"/>
    <w:rsid w:val="00D60B89"/>
    <w:rsid w:val="00D668E6"/>
    <w:rsid w:val="00D67677"/>
    <w:rsid w:val="00D70670"/>
    <w:rsid w:val="00D74D80"/>
    <w:rsid w:val="00D76624"/>
    <w:rsid w:val="00D87570"/>
    <w:rsid w:val="00D91CB9"/>
    <w:rsid w:val="00D97989"/>
    <w:rsid w:val="00D97D8D"/>
    <w:rsid w:val="00DA352E"/>
    <w:rsid w:val="00DC49E6"/>
    <w:rsid w:val="00DC7694"/>
    <w:rsid w:val="00DD0199"/>
    <w:rsid w:val="00DD1BF6"/>
    <w:rsid w:val="00DD2F9B"/>
    <w:rsid w:val="00DE2513"/>
    <w:rsid w:val="00DE26E8"/>
    <w:rsid w:val="00DE2874"/>
    <w:rsid w:val="00DF2661"/>
    <w:rsid w:val="00DF6F36"/>
    <w:rsid w:val="00E0084C"/>
    <w:rsid w:val="00E025AB"/>
    <w:rsid w:val="00E02B23"/>
    <w:rsid w:val="00E06F40"/>
    <w:rsid w:val="00E07CE8"/>
    <w:rsid w:val="00E178B4"/>
    <w:rsid w:val="00E26A07"/>
    <w:rsid w:val="00E30A96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744"/>
    <w:rsid w:val="00E73738"/>
    <w:rsid w:val="00E804EA"/>
    <w:rsid w:val="00E8070E"/>
    <w:rsid w:val="00E80A71"/>
    <w:rsid w:val="00E82337"/>
    <w:rsid w:val="00E92499"/>
    <w:rsid w:val="00E949AF"/>
    <w:rsid w:val="00E96077"/>
    <w:rsid w:val="00EA0A06"/>
    <w:rsid w:val="00EA6243"/>
    <w:rsid w:val="00EA74AB"/>
    <w:rsid w:val="00EB3297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32DE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3B4E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C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CE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E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9040C54BB524E2ABF111A6EFAF4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F2F1-FAB4-4D6E-82A2-8AFDCED1D893}"/>
      </w:docPartPr>
      <w:docPartBody>
        <w:p w:rsidR="00FE6187" w:rsidRDefault="008A01D6" w:rsidP="008A01D6">
          <w:pPr>
            <w:pStyle w:val="59040C54BB524E2ABF111A6EFAF4E67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A28A5"/>
    <w:rsid w:val="000B4D8C"/>
    <w:rsid w:val="00846E58"/>
    <w:rsid w:val="008A01D6"/>
    <w:rsid w:val="00A918D8"/>
    <w:rsid w:val="00D21A9F"/>
    <w:rsid w:val="00F77C11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1D6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10CD0811E714F4381ECDB0FC759DB2B">
    <w:name w:val="210CD0811E714F4381ECDB0FC759DB2B"/>
    <w:rsid w:val="00F77C11"/>
  </w:style>
  <w:style w:type="paragraph" w:customStyle="1" w:styleId="9DD5A28C98914680A4DEC3DC09BD9C16">
    <w:name w:val="9DD5A28C98914680A4DEC3DC09BD9C16"/>
    <w:rsid w:val="00F77C11"/>
  </w:style>
  <w:style w:type="paragraph" w:customStyle="1" w:styleId="23B7D7D668E64D02BFF2D90DAA3E66A4">
    <w:name w:val="23B7D7D668E64D02BFF2D90DAA3E66A4"/>
    <w:rsid w:val="00F77C11"/>
  </w:style>
  <w:style w:type="paragraph" w:customStyle="1" w:styleId="7BB77491105E488F8FA48DBEE2E0F148">
    <w:name w:val="7BB77491105E488F8FA48DBEE2E0F148"/>
    <w:rsid w:val="00F77C11"/>
  </w:style>
  <w:style w:type="paragraph" w:customStyle="1" w:styleId="0C1A45F7FC864696A5CB95AD19EB323B">
    <w:name w:val="0C1A45F7FC864696A5CB95AD19EB323B"/>
    <w:rsid w:val="00F77C11"/>
  </w:style>
  <w:style w:type="paragraph" w:customStyle="1" w:styleId="7B64A3B0372944DE947A698CBFB528A3">
    <w:name w:val="7B64A3B0372944DE947A698CBFB528A3"/>
    <w:rsid w:val="00F77C11"/>
  </w:style>
  <w:style w:type="paragraph" w:customStyle="1" w:styleId="050EC894B37F4D7DB44FFB1FAB3DDBE8">
    <w:name w:val="050EC894B37F4D7DB44FFB1FAB3DDBE8"/>
    <w:rsid w:val="00F77C11"/>
  </w:style>
  <w:style w:type="paragraph" w:customStyle="1" w:styleId="352022B39D244CE3835C9DB677F7B831">
    <w:name w:val="352022B39D244CE3835C9DB677F7B831"/>
    <w:rsid w:val="00F77C11"/>
  </w:style>
  <w:style w:type="paragraph" w:customStyle="1" w:styleId="4045204CD8C241109F4A4DC75E4198E2">
    <w:name w:val="4045204CD8C241109F4A4DC75E4198E2"/>
    <w:rsid w:val="00F77C11"/>
  </w:style>
  <w:style w:type="paragraph" w:customStyle="1" w:styleId="27EEB48CB4EC485BBB621C82491964AE">
    <w:name w:val="27EEB48CB4EC485BBB621C82491964AE"/>
    <w:rsid w:val="00A918D8"/>
  </w:style>
  <w:style w:type="paragraph" w:customStyle="1" w:styleId="59040C54BB524E2ABF111A6EFAF4E67A">
    <w:name w:val="59040C54BB524E2ABF111A6EFAF4E67A"/>
    <w:rsid w:val="008A0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23D6-25A4-440B-9CB7-216B4C0A0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AC1F2-6704-4949-A6B4-F6717C09C8F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f54d604-3e62-4e70-ba33-9e9084b96a6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888D17-BDAF-46E3-B645-716DA5003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7AA88-3513-4227-87C7-AF23EB18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372D0221.dotm</Template>
  <TotalTime>0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2019-12-05T04:26:00Z</dcterms:created>
  <dcterms:modified xsi:type="dcterms:W3CDTF">2020-01-15T21:47:00Z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