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CC800" w14:textId="77777777" w:rsidR="00BD499F" w:rsidRPr="004C23F4" w:rsidRDefault="0041081F" w:rsidP="00B40C60">
      <w:pPr>
        <w:pStyle w:val="Heading1"/>
        <w:jc w:val="center"/>
        <w:rPr>
          <w:rFonts w:ascii="Arial" w:hAnsi="Arial" w:cs="Arial"/>
        </w:rPr>
      </w:pPr>
      <w:sdt>
        <w:sdtPr>
          <w:rPr>
            <w:rFonts w:cs="Arial"/>
          </w:rPr>
          <w:alias w:val="NameofChemical"/>
          <w:tag w:val="NameofChemical"/>
          <w:id w:val="1425919599"/>
          <w:lock w:val="sdtLocked"/>
          <w:placeholder>
            <w:docPart w:val="CE1736E50B02464986D1BEC8B7ACDE96"/>
          </w:placeholder>
          <w:text/>
        </w:sdtPr>
        <w:sdtEndPr/>
        <w:sdtContent>
          <w:r w:rsidR="005A6D51" w:rsidRPr="005A6D51">
            <w:rPr>
              <w:rFonts w:cs="Arial"/>
            </w:rPr>
            <w:t>isopropyl ether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76"/>
        <w:gridCol w:w="5050"/>
      </w:tblGrid>
      <w:tr w:rsidR="00F43AD5" w:rsidRPr="004C23F4" w14:paraId="20C58AD2" w14:textId="77777777" w:rsidTr="00B76A41">
        <w:trPr>
          <w:cantSplit/>
          <w:tblHeader/>
        </w:trPr>
        <w:tc>
          <w:tcPr>
            <w:tcW w:w="4077" w:type="dxa"/>
          </w:tcPr>
          <w:p w14:paraId="7151AB6C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652A3F26" w14:textId="77777777" w:rsidR="00F43AD5" w:rsidRPr="00717D45" w:rsidRDefault="00B6420B" w:rsidP="00B76A41">
            <w:pPr>
              <w:pStyle w:val="Tablefont"/>
            </w:pPr>
            <w:r>
              <w:t>108-20-3</w:t>
            </w:r>
          </w:p>
        </w:tc>
      </w:tr>
      <w:tr w:rsidR="00F43AD5" w:rsidRPr="004C23F4" w14:paraId="7E8E190F" w14:textId="77777777" w:rsidTr="00B76A41">
        <w:trPr>
          <w:cantSplit/>
        </w:trPr>
        <w:tc>
          <w:tcPr>
            <w:tcW w:w="4077" w:type="dxa"/>
          </w:tcPr>
          <w:p w14:paraId="556B50FC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110EC451" w14:textId="77777777" w:rsidR="00F43AD5" w:rsidRPr="008325D0" w:rsidRDefault="00B6420B" w:rsidP="008325D0">
            <w:p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4"/>
                <w:szCs w:val="24"/>
                <w:lang w:val="en-US"/>
              </w:rPr>
            </w:pPr>
            <w:proofErr w:type="spellStart"/>
            <w:r>
              <w:t>Diisopropyl</w:t>
            </w:r>
            <w:proofErr w:type="spellEnd"/>
            <w:r>
              <w:t xml:space="preserve"> ether</w:t>
            </w:r>
            <w:r w:rsidR="008325D0">
              <w:t xml:space="preserve">, </w:t>
            </w:r>
            <w:r w:rsidR="008325D0" w:rsidRPr="008325D0">
              <w:t>2-isopropoxypropane, isopropyl ether, 2,2´-oxybispropane</w:t>
            </w:r>
          </w:p>
        </w:tc>
      </w:tr>
      <w:tr w:rsidR="00F43AD5" w:rsidRPr="004C23F4" w14:paraId="0737004F" w14:textId="77777777" w:rsidTr="00B76A41">
        <w:trPr>
          <w:cantSplit/>
        </w:trPr>
        <w:tc>
          <w:tcPr>
            <w:tcW w:w="4077" w:type="dxa"/>
          </w:tcPr>
          <w:p w14:paraId="2C645926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20BCD4A8" w14:textId="77777777" w:rsidR="00F43AD5" w:rsidRPr="00717D45" w:rsidRDefault="00B6420B" w:rsidP="00B76A41">
            <w:pPr>
              <w:pStyle w:val="Tablefont"/>
            </w:pPr>
            <w:r>
              <w:t>C</w:t>
            </w:r>
            <w:r w:rsidRPr="00B6420B">
              <w:rPr>
                <w:vertAlign w:val="subscript"/>
              </w:rPr>
              <w:t>6</w:t>
            </w:r>
            <w:r>
              <w:t>H</w:t>
            </w:r>
            <w:r w:rsidRPr="00B6420B">
              <w:rPr>
                <w:vertAlign w:val="subscript"/>
              </w:rPr>
              <w:t>14</w:t>
            </w:r>
            <w:r>
              <w:t>O</w:t>
            </w:r>
          </w:p>
        </w:tc>
      </w:tr>
      <w:tr w:rsidR="00F43AD5" w:rsidRPr="004C23F4" w14:paraId="13837D5E" w14:textId="77777777" w:rsidTr="00B76A41">
        <w:trPr>
          <w:cantSplit/>
        </w:trPr>
        <w:tc>
          <w:tcPr>
            <w:tcW w:w="4077" w:type="dxa"/>
          </w:tcPr>
          <w:p w14:paraId="641390EB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5DAB6661" w14:textId="77777777" w:rsidR="00F43AD5" w:rsidRPr="00B40C60" w:rsidRDefault="00B6420B" w:rsidP="00B76A41">
            <w:pPr>
              <w:pStyle w:val="Tablerowheading"/>
              <w:rPr>
                <w:b w:val="0"/>
              </w:rPr>
            </w:pPr>
            <w:r w:rsidRPr="00B6420B">
              <w:rPr>
                <w:b w:val="0"/>
              </w:rPr>
              <w:t>—</w:t>
            </w:r>
          </w:p>
        </w:tc>
      </w:tr>
    </w:tbl>
    <w:p w14:paraId="366D48BB" w14:textId="6D0E2AC3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9A013C">
            <w:rPr>
              <w:rStyle w:val="WESstatus"/>
            </w:rPr>
            <w:t>(interim)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1"/>
        <w:gridCol w:w="5015"/>
      </w:tblGrid>
      <w:tr w:rsidR="00B6420B" w:rsidRPr="004C23F4" w14:paraId="3CACA48B" w14:textId="77777777" w:rsidTr="00B6420B">
        <w:trPr>
          <w:cantSplit/>
          <w:tblHeader/>
        </w:trPr>
        <w:tc>
          <w:tcPr>
            <w:tcW w:w="4011" w:type="dxa"/>
            <w:vAlign w:val="center"/>
          </w:tcPr>
          <w:p w14:paraId="198BEFA6" w14:textId="77777777" w:rsidR="00B6420B" w:rsidRPr="002C58FF" w:rsidRDefault="00B6420B" w:rsidP="00B6420B">
            <w:pPr>
              <w:pStyle w:val="Tablerowright"/>
            </w:pPr>
            <w:r>
              <w:t>TWA:</w:t>
            </w:r>
          </w:p>
        </w:tc>
        <w:tc>
          <w:tcPr>
            <w:tcW w:w="5015" w:type="dxa"/>
          </w:tcPr>
          <w:p w14:paraId="2875723F" w14:textId="77777777" w:rsidR="00B6420B" w:rsidRPr="00B6420B" w:rsidRDefault="00D20616" w:rsidP="00B6420B">
            <w:pPr>
              <w:pStyle w:val="Tablerowheading"/>
            </w:pPr>
            <w:r>
              <w:t>250 ppm (1,040 mg/m</w:t>
            </w:r>
            <w:r w:rsidRPr="00B6420B">
              <w:rPr>
                <w:vertAlign w:val="superscript"/>
              </w:rPr>
              <w:t>3</w:t>
            </w:r>
            <w:r>
              <w:t>)</w:t>
            </w:r>
          </w:p>
        </w:tc>
      </w:tr>
      <w:tr w:rsidR="00B6420B" w:rsidRPr="004C23F4" w14:paraId="57A8676F" w14:textId="77777777" w:rsidTr="00B6420B">
        <w:trPr>
          <w:cantSplit/>
        </w:trPr>
        <w:tc>
          <w:tcPr>
            <w:tcW w:w="4011" w:type="dxa"/>
            <w:vAlign w:val="center"/>
          </w:tcPr>
          <w:p w14:paraId="4631312D" w14:textId="77777777" w:rsidR="00B6420B" w:rsidRPr="002C58FF" w:rsidRDefault="00B6420B" w:rsidP="00B6420B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5" w:type="dxa"/>
          </w:tcPr>
          <w:p w14:paraId="68386C87" w14:textId="77777777" w:rsidR="00B6420B" w:rsidRPr="00D20616" w:rsidRDefault="00D20616" w:rsidP="00B6420B">
            <w:pPr>
              <w:pStyle w:val="Tablerowheading"/>
            </w:pPr>
            <w:r>
              <w:t>310 ppm (1,300 mg/m</w:t>
            </w:r>
            <w:r w:rsidRPr="00B6420B">
              <w:rPr>
                <w:vertAlign w:val="superscript"/>
              </w:rPr>
              <w:t>3</w:t>
            </w:r>
            <w:r>
              <w:t>)</w:t>
            </w:r>
          </w:p>
        </w:tc>
      </w:tr>
      <w:tr w:rsidR="00B6420B" w:rsidRPr="004C23F4" w14:paraId="2EA7AD33" w14:textId="77777777" w:rsidTr="00B6420B">
        <w:trPr>
          <w:cantSplit/>
        </w:trPr>
        <w:tc>
          <w:tcPr>
            <w:tcW w:w="4011" w:type="dxa"/>
            <w:vAlign w:val="center"/>
          </w:tcPr>
          <w:p w14:paraId="7294F8D8" w14:textId="77777777" w:rsidR="00B6420B" w:rsidRPr="002C58FF" w:rsidRDefault="00B6420B" w:rsidP="00B6420B">
            <w:pPr>
              <w:pStyle w:val="Tablerowright"/>
            </w:pPr>
            <w:r>
              <w:t>Peak limitation:</w:t>
            </w:r>
          </w:p>
        </w:tc>
        <w:tc>
          <w:tcPr>
            <w:tcW w:w="5015" w:type="dxa"/>
          </w:tcPr>
          <w:p w14:paraId="581B6968" w14:textId="77777777" w:rsidR="00B6420B" w:rsidRPr="00B6420B" w:rsidRDefault="00B6420B" w:rsidP="00B6420B">
            <w:pPr>
              <w:pStyle w:val="Tablerowheading"/>
            </w:pPr>
            <w:r w:rsidRPr="00B6420B">
              <w:t>—</w:t>
            </w:r>
          </w:p>
        </w:tc>
      </w:tr>
      <w:tr w:rsidR="00B6420B" w:rsidRPr="004C23F4" w14:paraId="58631D49" w14:textId="77777777" w:rsidTr="00B6420B">
        <w:trPr>
          <w:cantSplit/>
        </w:trPr>
        <w:tc>
          <w:tcPr>
            <w:tcW w:w="4011" w:type="dxa"/>
          </w:tcPr>
          <w:p w14:paraId="71AC3F03" w14:textId="77777777" w:rsidR="00B6420B" w:rsidRPr="002C58FF" w:rsidRDefault="00B6420B" w:rsidP="00B6420B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5" w:type="dxa"/>
          </w:tcPr>
          <w:p w14:paraId="77FA4CD9" w14:textId="77777777" w:rsidR="00B6420B" w:rsidRPr="00B6420B" w:rsidRDefault="00B6420B" w:rsidP="00B6420B">
            <w:pPr>
              <w:pStyle w:val="Tablerowheading"/>
            </w:pPr>
            <w:r w:rsidRPr="00B6420B">
              <w:t>—</w:t>
            </w:r>
          </w:p>
        </w:tc>
      </w:tr>
      <w:tr w:rsidR="00B6420B" w:rsidRPr="004C23F4" w14:paraId="71B5A887" w14:textId="77777777" w:rsidTr="00B6420B">
        <w:trPr>
          <w:cantSplit/>
        </w:trPr>
        <w:tc>
          <w:tcPr>
            <w:tcW w:w="4011" w:type="dxa"/>
            <w:vAlign w:val="center"/>
          </w:tcPr>
          <w:p w14:paraId="6D676E7B" w14:textId="77777777" w:rsidR="00B6420B" w:rsidRPr="002C58FF" w:rsidRDefault="00B6420B" w:rsidP="00B6420B">
            <w:pPr>
              <w:pStyle w:val="Tablerowright"/>
            </w:pPr>
            <w:r>
              <w:t>IDLH:</w:t>
            </w:r>
          </w:p>
        </w:tc>
        <w:tc>
          <w:tcPr>
            <w:tcW w:w="5015" w:type="dxa"/>
          </w:tcPr>
          <w:p w14:paraId="34065347" w14:textId="77777777" w:rsidR="00B6420B" w:rsidRPr="00B6420B" w:rsidRDefault="00C2341B" w:rsidP="00B6420B">
            <w:pPr>
              <w:pStyle w:val="Tablerowheading"/>
            </w:pPr>
            <w:r>
              <w:t>1,400 ppm</w:t>
            </w:r>
          </w:p>
        </w:tc>
      </w:tr>
      <w:tr w:rsidR="00A767E2" w:rsidRPr="004C23F4" w14:paraId="1D29EC89" w14:textId="77777777" w:rsidTr="00A767E2">
        <w:trPr>
          <w:cantSplit/>
          <w:trHeight w:val="301"/>
        </w:trPr>
        <w:tc>
          <w:tcPr>
            <w:tcW w:w="9026" w:type="dxa"/>
            <w:gridSpan w:val="2"/>
            <w:vAlign w:val="center"/>
          </w:tcPr>
          <w:p w14:paraId="610F25CC" w14:textId="53856260" w:rsidR="00A767E2" w:rsidRPr="00A767E2" w:rsidRDefault="00A767E2" w:rsidP="00B6420B">
            <w:pPr>
              <w:pStyle w:val="Tablerowheading"/>
            </w:pPr>
            <w:r w:rsidRPr="00A767E2">
              <w:t>Sampling and analysis:</w:t>
            </w:r>
            <w:r w:rsidRPr="00A767E2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b w:val="0"/>
                  <w:color w:val="auto"/>
                </w:rPr>
                <w:id w:val="-2105258949"/>
                <w:placeholder>
                  <w:docPart w:val="05658942B1104A27A8A5C25F4905478C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121E66">
                  <w:rPr>
                    <w:rStyle w:val="WESstatus"/>
                    <w:b w:val="0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6C640D0C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63AC86AA" w14:textId="63600B4E" w:rsidR="005E0C10" w:rsidRDefault="00D20616" w:rsidP="00D20616">
      <w:pPr>
        <w:rPr>
          <w:rFonts w:cs="Arial"/>
        </w:rPr>
      </w:pPr>
      <w:r w:rsidRPr="00D20616">
        <w:rPr>
          <w:rFonts w:cs="Arial"/>
        </w:rPr>
        <w:t>A</w:t>
      </w:r>
      <w:r w:rsidR="00EC1AEF">
        <w:rPr>
          <w:rFonts w:cs="Arial"/>
        </w:rPr>
        <w:t xml:space="preserve">n interim </w:t>
      </w:r>
      <w:r w:rsidRPr="00D20616">
        <w:rPr>
          <w:rFonts w:cs="Arial"/>
        </w:rPr>
        <w:t xml:space="preserve">TWA of </w:t>
      </w:r>
      <w:r>
        <w:t>250 ppm (1,040 mg/m</w:t>
      </w:r>
      <w:r w:rsidRPr="00B6420B">
        <w:rPr>
          <w:vertAlign w:val="superscript"/>
        </w:rPr>
        <w:t>3</w:t>
      </w:r>
      <w:r>
        <w:t xml:space="preserve">) </w:t>
      </w:r>
      <w:r>
        <w:rPr>
          <w:rFonts w:cs="Arial"/>
        </w:rPr>
        <w:t>is recommended</w:t>
      </w:r>
      <w:r w:rsidRPr="00D20616">
        <w:rPr>
          <w:rFonts w:cs="Arial"/>
        </w:rPr>
        <w:t xml:space="preserve"> to protect for </w:t>
      </w:r>
      <w:r w:rsidRPr="00612AF7">
        <w:rPr>
          <w:rFonts w:cs="Arial"/>
        </w:rPr>
        <w:t>eye and mucous membrane irritation</w:t>
      </w:r>
      <w:r w:rsidRPr="00D20616">
        <w:rPr>
          <w:rFonts w:cs="Arial"/>
        </w:rPr>
        <w:t xml:space="preserve"> in exposed workers. </w:t>
      </w:r>
    </w:p>
    <w:p w14:paraId="555577EC" w14:textId="15D7ED9D" w:rsidR="006639B4" w:rsidRDefault="00D20616" w:rsidP="00D20616">
      <w:pPr>
        <w:rPr>
          <w:rFonts w:cs="Arial"/>
        </w:rPr>
      </w:pPr>
      <w:r w:rsidRPr="00D20616">
        <w:rPr>
          <w:rFonts w:cs="Arial"/>
        </w:rPr>
        <w:t xml:space="preserve">A STEL of </w:t>
      </w:r>
      <w:r>
        <w:t>310 ppm (1,300 mg/m</w:t>
      </w:r>
      <w:r w:rsidRPr="00B6420B">
        <w:rPr>
          <w:vertAlign w:val="superscript"/>
        </w:rPr>
        <w:t>3</w:t>
      </w:r>
      <w:r>
        <w:t xml:space="preserve">) </w:t>
      </w:r>
      <w:r w:rsidRPr="00D20616">
        <w:rPr>
          <w:rFonts w:cs="Arial"/>
        </w:rPr>
        <w:t xml:space="preserve">is recommended to protect for </w:t>
      </w:r>
      <w:r>
        <w:rPr>
          <w:rFonts w:cs="Arial"/>
        </w:rPr>
        <w:t xml:space="preserve">intoxication and </w:t>
      </w:r>
      <w:r w:rsidRPr="00612AF7">
        <w:rPr>
          <w:rFonts w:cs="Arial"/>
        </w:rPr>
        <w:t>depression</w:t>
      </w:r>
      <w:r w:rsidRPr="00D20616">
        <w:rPr>
          <w:rFonts w:cs="Arial"/>
        </w:rPr>
        <w:t xml:space="preserve"> in relation to acute exposures in exposed workers.</w:t>
      </w:r>
    </w:p>
    <w:p w14:paraId="17C34C8C" w14:textId="076425A3" w:rsidR="004F0A52" w:rsidRPr="004C23F4" w:rsidRDefault="004F0A52" w:rsidP="00D20616">
      <w:pPr>
        <w:rPr>
          <w:rFonts w:cs="Arial"/>
        </w:rPr>
      </w:pPr>
      <w:r w:rsidRPr="004F0A52">
        <w:rPr>
          <w:rFonts w:cs="Arial"/>
        </w:rPr>
        <w:t>A review of additional data sources is recommended at the next scheduled review.</w:t>
      </w:r>
    </w:p>
    <w:p w14:paraId="4AE68E99" w14:textId="77777777" w:rsidR="00C7155E" w:rsidRPr="004C23F4" w:rsidRDefault="00F10C97" w:rsidP="003365A5">
      <w:pPr>
        <w:pStyle w:val="Heading2"/>
      </w:pPr>
      <w:r>
        <w:t>Discussion and conclusions</w:t>
      </w:r>
    </w:p>
    <w:p w14:paraId="2B6BC5D9" w14:textId="77777777" w:rsidR="00EC1AEF" w:rsidRDefault="00760E99" w:rsidP="006639B4">
      <w:pPr>
        <w:rPr>
          <w:rFonts w:cs="Arial"/>
        </w:rPr>
      </w:pPr>
      <w:r w:rsidRPr="00760E99">
        <w:rPr>
          <w:rFonts w:cs="Arial"/>
        </w:rPr>
        <w:t>Isopropyl ether</w:t>
      </w:r>
      <w:r>
        <w:rPr>
          <w:rFonts w:cs="Arial"/>
        </w:rPr>
        <w:t xml:space="preserve"> is primarily used as a solvent. </w:t>
      </w:r>
    </w:p>
    <w:p w14:paraId="09F952B6" w14:textId="04CCF872" w:rsidR="006639B4" w:rsidRDefault="00CC1946" w:rsidP="006639B4">
      <w:pPr>
        <w:rPr>
          <w:rFonts w:cs="Arial"/>
        </w:rPr>
      </w:pPr>
      <w:r>
        <w:rPr>
          <w:rFonts w:cs="Arial"/>
        </w:rPr>
        <w:t>C</w:t>
      </w:r>
      <w:r w:rsidR="00612AF7" w:rsidRPr="00612AF7">
        <w:rPr>
          <w:rFonts w:cs="Arial"/>
        </w:rPr>
        <w:t xml:space="preserve">ritical effects </w:t>
      </w:r>
      <w:r w:rsidR="00EC1AEF">
        <w:rPr>
          <w:rFonts w:cs="Arial"/>
        </w:rPr>
        <w:t xml:space="preserve">of exposure </w:t>
      </w:r>
      <w:r w:rsidR="00612AF7" w:rsidRPr="00612AF7">
        <w:rPr>
          <w:rFonts w:cs="Arial"/>
        </w:rPr>
        <w:t>are eye and mucous membrane irritation</w:t>
      </w:r>
      <w:r w:rsidR="00612AF7">
        <w:rPr>
          <w:rFonts w:cs="Arial"/>
        </w:rPr>
        <w:t xml:space="preserve">. </w:t>
      </w:r>
    </w:p>
    <w:p w14:paraId="3CE6BC66" w14:textId="1B001326" w:rsidR="00ED5E5F" w:rsidRDefault="00AF5C00" w:rsidP="006639B4">
      <w:r>
        <w:rPr>
          <w:rFonts w:cs="Arial"/>
        </w:rPr>
        <w:t xml:space="preserve">Limited human exposure data are available. </w:t>
      </w:r>
      <w:r w:rsidR="00260D5A">
        <w:rPr>
          <w:rFonts w:cs="Arial"/>
        </w:rPr>
        <w:t>In human</w:t>
      </w:r>
      <w:r w:rsidR="00CC6D04">
        <w:rPr>
          <w:rFonts w:cs="Arial"/>
        </w:rPr>
        <w:t>s</w:t>
      </w:r>
      <w:r w:rsidR="00552D14">
        <w:rPr>
          <w:rFonts w:cs="Arial"/>
        </w:rPr>
        <w:t>,</w:t>
      </w:r>
      <w:r w:rsidR="00260D5A">
        <w:rPr>
          <w:rFonts w:cs="Arial"/>
        </w:rPr>
        <w:t xml:space="preserve"> exposures </w:t>
      </w:r>
      <w:r w:rsidR="00BA4D10">
        <w:rPr>
          <w:rFonts w:cs="Arial"/>
        </w:rPr>
        <w:t xml:space="preserve">at </w:t>
      </w:r>
      <w:r w:rsidR="00260D5A">
        <w:t xml:space="preserve">300 ppm </w:t>
      </w:r>
      <w:r w:rsidR="00552D14">
        <w:t xml:space="preserve">resulted in </w:t>
      </w:r>
      <w:r w:rsidR="00260D5A">
        <w:t>one in three</w:t>
      </w:r>
      <w:r w:rsidR="00D230CC">
        <w:t xml:space="preserve"> subjects</w:t>
      </w:r>
      <w:r w:rsidR="00260D5A">
        <w:t xml:space="preserve"> </w:t>
      </w:r>
      <w:r w:rsidR="00552D14">
        <w:t xml:space="preserve">reporting </w:t>
      </w:r>
      <w:r w:rsidR="00260D5A">
        <w:t>an unpleasant odour</w:t>
      </w:r>
      <w:r w:rsidR="00D230CC">
        <w:t xml:space="preserve">. Exposure at </w:t>
      </w:r>
      <w:r w:rsidR="00260D5A">
        <w:t>800 ppm resulted in eye and nose irritation (ACGIH 2018).</w:t>
      </w:r>
      <w:r w:rsidR="00260D5A" w:rsidRPr="00260D5A">
        <w:t xml:space="preserve"> </w:t>
      </w:r>
      <w:r w:rsidR="00260D5A">
        <w:t>DFG (2005) derived MAK partially</w:t>
      </w:r>
      <w:r w:rsidR="005836BC">
        <w:t xml:space="preserve"> from the </w:t>
      </w:r>
      <w:r w:rsidR="00AD579D">
        <w:t xml:space="preserve">NOAEC </w:t>
      </w:r>
      <w:r w:rsidR="00260D5A">
        <w:t>of 480 ppm in rats for local and systemic effects</w:t>
      </w:r>
      <w:r w:rsidR="005836BC">
        <w:t>;</w:t>
      </w:r>
      <w:r w:rsidR="00260D5A">
        <w:t xml:space="preserve"> the next highest concentration of 3,300 ppm only increased liver and kidney weights</w:t>
      </w:r>
      <w:r w:rsidR="005836BC">
        <w:t>.</w:t>
      </w:r>
      <w:r w:rsidR="00260D5A">
        <w:t xml:space="preserve"> </w:t>
      </w:r>
      <w:r w:rsidR="005836BC">
        <w:t>Therefore, g</w:t>
      </w:r>
      <w:r w:rsidR="00260D5A">
        <w:t xml:space="preserve">iven the concentration gap </w:t>
      </w:r>
      <w:r w:rsidR="00AD579D">
        <w:t xml:space="preserve">of about 10 fold </w:t>
      </w:r>
      <w:r w:rsidR="00260D5A">
        <w:t xml:space="preserve">and minor symptoms between the </w:t>
      </w:r>
      <w:r w:rsidR="00AD579D">
        <w:t xml:space="preserve">NOAEC </w:t>
      </w:r>
      <w:r w:rsidR="00260D5A">
        <w:t>and L</w:t>
      </w:r>
      <w:r w:rsidR="00AD579D">
        <w:t>OAEC</w:t>
      </w:r>
      <w:r w:rsidR="00260D5A">
        <w:t xml:space="preserve"> in this study</w:t>
      </w:r>
      <w:r w:rsidR="005836BC">
        <w:t>,</w:t>
      </w:r>
      <w:r w:rsidR="00260D5A">
        <w:t xml:space="preserve"> </w:t>
      </w:r>
      <w:r w:rsidR="005836BC">
        <w:t>it is</w:t>
      </w:r>
      <w:r w:rsidR="00260D5A">
        <w:t xml:space="preserve"> not considered sufficient evidence to lower the TWA.</w:t>
      </w:r>
    </w:p>
    <w:p w14:paraId="60C71898" w14:textId="3AB6D9F1" w:rsidR="00911592" w:rsidRPr="00911592" w:rsidRDefault="00911592" w:rsidP="006639B4">
      <w:r w:rsidRPr="005E0C10">
        <w:t xml:space="preserve">Given the absence of available long-term exposure data, </w:t>
      </w:r>
      <w:r w:rsidR="00D230CC">
        <w:t>an interim</w:t>
      </w:r>
      <w:r w:rsidRPr="005E0C10">
        <w:t xml:space="preserve"> TWA of 250 ppm is recommended to limit irritant effects based on the recommendation by ACGIH</w:t>
      </w:r>
      <w:r w:rsidR="00EF4A94">
        <w:t xml:space="preserve"> (2018)</w:t>
      </w:r>
      <w:r w:rsidRPr="005E0C10">
        <w:t xml:space="preserve">. Evidence of irritation in humans following short-term exposures </w:t>
      </w:r>
      <w:r w:rsidR="00EF4A94">
        <w:t>supports</w:t>
      </w:r>
      <w:r w:rsidR="00EF4A94" w:rsidRPr="005E0C10">
        <w:t xml:space="preserve"> </w:t>
      </w:r>
      <w:r w:rsidRPr="005E0C10">
        <w:t xml:space="preserve">the recommendation of </w:t>
      </w:r>
      <w:r w:rsidR="00D230CC">
        <w:t>a STEL at 310 </w:t>
      </w:r>
      <w:r w:rsidRPr="005E0C10">
        <w:t xml:space="preserve">ppm. A review of additional data sources is recommended at the next scheduled review to address the absence of chronic </w:t>
      </w:r>
      <w:r w:rsidR="004F0A52">
        <w:t xml:space="preserve">toxicological </w:t>
      </w:r>
      <w:r w:rsidRPr="005E0C10">
        <w:t xml:space="preserve">data. </w:t>
      </w:r>
    </w:p>
    <w:p w14:paraId="116BA1B8" w14:textId="77777777" w:rsidR="004529F0" w:rsidRPr="004C23F4" w:rsidRDefault="004529F0" w:rsidP="004529F0">
      <w:pPr>
        <w:pStyle w:val="Heading2"/>
      </w:pPr>
      <w:r>
        <w:lastRenderedPageBreak/>
        <w:t>Recommendation for notations</w:t>
      </w:r>
    </w:p>
    <w:p w14:paraId="6927BA2D" w14:textId="33436E83" w:rsidR="00B6420B" w:rsidRPr="00F03F29" w:rsidRDefault="00B6420B" w:rsidP="00B6420B">
      <w:pPr>
        <w:rPr>
          <w:rFonts w:cs="Arial"/>
        </w:rPr>
      </w:pPr>
      <w:r w:rsidRPr="00F03F29">
        <w:rPr>
          <w:rFonts w:cs="Arial"/>
        </w:rPr>
        <w:t>Not classified as a carcinogen according to the Globally Harmonized System of Classification and Labelling o</w:t>
      </w:r>
      <w:r w:rsidR="00AC6339">
        <w:rPr>
          <w:rFonts w:cs="Arial"/>
        </w:rPr>
        <w:t>f</w:t>
      </w:r>
      <w:r w:rsidRPr="00F03F29">
        <w:rPr>
          <w:rFonts w:cs="Arial"/>
        </w:rPr>
        <w:t xml:space="preserve"> Chemicals (GHS). </w:t>
      </w:r>
    </w:p>
    <w:p w14:paraId="341E423D" w14:textId="77777777" w:rsidR="00B6420B" w:rsidRPr="00F03F29" w:rsidRDefault="00B6420B" w:rsidP="00B6420B">
      <w:pPr>
        <w:rPr>
          <w:rFonts w:cs="Arial"/>
        </w:rPr>
      </w:pPr>
      <w:r w:rsidRPr="00F03F29">
        <w:rPr>
          <w:rFonts w:cs="Arial"/>
        </w:rPr>
        <w:t xml:space="preserve">Not classified as a skin </w:t>
      </w:r>
      <w:r w:rsidR="00AC6339" w:rsidRPr="00F03F29">
        <w:rPr>
          <w:rFonts w:cs="Arial"/>
        </w:rPr>
        <w:t xml:space="preserve">sensitiser </w:t>
      </w:r>
      <w:r w:rsidRPr="00F03F29">
        <w:rPr>
          <w:rFonts w:cs="Arial"/>
        </w:rPr>
        <w:t>or respiratory sensitiser according to the GHS.</w:t>
      </w:r>
    </w:p>
    <w:p w14:paraId="07DFFB99" w14:textId="77777777" w:rsidR="0025734A" w:rsidRPr="004C23F4" w:rsidRDefault="00F3722D">
      <w:pPr>
        <w:rPr>
          <w:rFonts w:cs="Arial"/>
        </w:rPr>
      </w:pPr>
      <w:r w:rsidRPr="00CB5F76">
        <w:rPr>
          <w:rFonts w:cs="Arial"/>
        </w:rPr>
        <w:t>A skin notation is not warranted based on the available evidence</w:t>
      </w:r>
      <w:r>
        <w:rPr>
          <w:rFonts w:cs="Arial"/>
        </w:rPr>
        <w:t>.</w:t>
      </w:r>
    </w:p>
    <w:p w14:paraId="36C3E377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13FA1FA1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7D9C1D54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45011897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691E2868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1E0E5B9C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56192787" w14:textId="7777777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B6420B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B6420B">
                  <w:t>TWA: 250 ppm (1,040 mg/m</w:t>
                </w:r>
                <w:r w:rsidR="00B6420B" w:rsidRPr="00B6420B">
                  <w:rPr>
                    <w:vertAlign w:val="superscript"/>
                  </w:rPr>
                  <w:t>3</w:t>
                </w:r>
                <w:r w:rsidR="00B6420B">
                  <w:t>); STEL: 310 ppm (1,300 mg/m</w:t>
                </w:r>
                <w:r w:rsidR="00B6420B" w:rsidRPr="00B6420B">
                  <w:rPr>
                    <w:vertAlign w:val="superscript"/>
                  </w:rPr>
                  <w:t>3</w:t>
                </w:r>
                <w:r w:rsidR="00B6420B">
                  <w:t>)</w:t>
                </w:r>
              </w:sdtContent>
            </w:sdt>
          </w:p>
        </w:tc>
      </w:tr>
      <w:tr w:rsidR="00C978F0" w:rsidRPr="00DA352E" w14:paraId="69919ADD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7DD22ED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1761AABD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1EEF60A" w14:textId="77777777" w:rsidR="00C978F0" w:rsidRPr="00DA352E" w:rsidRDefault="00DA352E" w:rsidP="008325D0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ind w:left="2847" w:hanging="2847"/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8325D0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B6420B">
                  <w:t>TLV-TWA: 250 ppm (1,040 mg/m</w:t>
                </w:r>
                <w:r w:rsidR="00B6420B" w:rsidRPr="00B6420B">
                  <w:rPr>
                    <w:vertAlign w:val="superscript"/>
                  </w:rPr>
                  <w:t>3</w:t>
                </w:r>
                <w:r w:rsidR="00B6420B">
                  <w:t xml:space="preserve">); </w:t>
                </w:r>
                <w:r w:rsidR="008325D0">
                  <w:t>TVL-</w:t>
                </w:r>
                <w:r w:rsidR="00B6420B">
                  <w:t>STEL: 310 ppm (1,300 mg/m</w:t>
                </w:r>
                <w:r w:rsidR="00B6420B" w:rsidRPr="00B6420B">
                  <w:rPr>
                    <w:vertAlign w:val="superscript"/>
                  </w:rPr>
                  <w:t>3</w:t>
                </w:r>
                <w:r w:rsidR="008325D0">
                  <w:t>)</w:t>
                </w:r>
              </w:sdtContent>
            </w:sdt>
          </w:p>
        </w:tc>
      </w:tr>
      <w:tr w:rsidR="00C978F0" w:rsidRPr="00DA352E" w14:paraId="2454DDFB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19D6F87" w14:textId="650DE136" w:rsidR="00260D5A" w:rsidRDefault="00260D5A" w:rsidP="00260D5A">
            <w:pPr>
              <w:pStyle w:val="Tabletextprimarysource"/>
            </w:pPr>
            <w:r>
              <w:t>TLV-TWA recommended to minimise the risk of eye and mucous membrane irritation in exposed workers</w:t>
            </w:r>
            <w:r w:rsidR="00A638D5">
              <w:t xml:space="preserve"> (derivation of TLV</w:t>
            </w:r>
            <w:r w:rsidR="0092615E">
              <w:t>-</w:t>
            </w:r>
            <w:r w:rsidR="00A638D5">
              <w:t>TWA not stated)</w:t>
            </w:r>
            <w:r>
              <w:t>.</w:t>
            </w:r>
          </w:p>
          <w:p w14:paraId="1FCC78F8" w14:textId="77777777" w:rsidR="00260D5A" w:rsidRDefault="00260D5A" w:rsidP="00260D5A">
            <w:pPr>
              <w:pStyle w:val="Tabletextprimarysource"/>
            </w:pPr>
            <w:r>
              <w:t>Summary of data:</w:t>
            </w:r>
          </w:p>
          <w:p w14:paraId="02497D4B" w14:textId="77777777" w:rsidR="00260D5A" w:rsidRDefault="00260D5A" w:rsidP="00260D5A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before="60" w:after="60"/>
              <w:ind w:left="360" w:hanging="360"/>
            </w:pPr>
            <w:r>
              <w:t>Human data:</w:t>
            </w:r>
          </w:p>
          <w:p w14:paraId="58584664" w14:textId="66B09F77" w:rsidR="00260D5A" w:rsidRDefault="001735A8" w:rsidP="001735A8">
            <w:pPr>
              <w:pStyle w:val="ListBullet"/>
              <w:numPr>
                <w:ilvl w:val="0"/>
                <w:numId w:val="11"/>
              </w:numPr>
              <w:spacing w:before="60" w:after="60"/>
              <w:ind w:left="714" w:hanging="357"/>
            </w:pPr>
            <w:r>
              <w:t>E</w:t>
            </w:r>
            <w:r w:rsidR="00260D5A">
              <w:t>xposure at 500 ppm for 15 min (inhalation) not considered irritating</w:t>
            </w:r>
            <w:r w:rsidR="000119C8">
              <w:t>:</w:t>
            </w:r>
          </w:p>
          <w:p w14:paraId="66EB5E01" w14:textId="7ED5DF1B" w:rsidR="001735A8" w:rsidRDefault="002433E9" w:rsidP="001735A8">
            <w:pPr>
              <w:pStyle w:val="ListBullet"/>
              <w:numPr>
                <w:ilvl w:val="0"/>
                <w:numId w:val="12"/>
              </w:numPr>
              <w:tabs>
                <w:tab w:val="left" w:pos="720"/>
              </w:tabs>
              <w:spacing w:before="60" w:after="60"/>
              <w:ind w:left="1094" w:hanging="357"/>
              <w:contextualSpacing w:val="0"/>
            </w:pPr>
            <w:r>
              <w:t xml:space="preserve">1/3 subjects reported an unpleasant odour </w:t>
            </w:r>
            <w:r w:rsidR="00260D5A">
              <w:t xml:space="preserve">at 300 ppm </w:t>
            </w:r>
          </w:p>
          <w:p w14:paraId="4D91413F" w14:textId="7E92F5C4" w:rsidR="00260D5A" w:rsidRDefault="00260D5A" w:rsidP="001735A8">
            <w:pPr>
              <w:pStyle w:val="ListBullet"/>
              <w:numPr>
                <w:ilvl w:val="0"/>
                <w:numId w:val="12"/>
              </w:numPr>
              <w:tabs>
                <w:tab w:val="left" w:pos="720"/>
              </w:tabs>
              <w:spacing w:before="60" w:after="60"/>
              <w:ind w:left="1094" w:hanging="357"/>
              <w:contextualSpacing w:val="0"/>
            </w:pPr>
            <w:r>
              <w:t>800 ppm for 5 min resulted in eye and nose irritation</w:t>
            </w:r>
          </w:p>
          <w:p w14:paraId="5880F357" w14:textId="77777777" w:rsidR="00260D5A" w:rsidRDefault="00260D5A" w:rsidP="001735A8">
            <w:pPr>
              <w:pStyle w:val="ListBullet"/>
              <w:numPr>
                <w:ilvl w:val="0"/>
                <w:numId w:val="11"/>
              </w:numPr>
              <w:spacing w:before="60" w:after="60"/>
              <w:ind w:left="714" w:hanging="357"/>
              <w:contextualSpacing w:val="0"/>
            </w:pPr>
            <w:r>
              <w:t>Odour reported as more irritating than ethyl ether.</w:t>
            </w:r>
          </w:p>
          <w:p w14:paraId="66042832" w14:textId="77777777" w:rsidR="00260D5A" w:rsidRDefault="00260D5A" w:rsidP="00260D5A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before="60" w:after="60"/>
              <w:ind w:left="360" w:hanging="360"/>
            </w:pPr>
            <w:r>
              <w:t>Animal data:</w:t>
            </w:r>
          </w:p>
          <w:p w14:paraId="4886ECF7" w14:textId="77777777" w:rsidR="00260D5A" w:rsidRDefault="00260D5A" w:rsidP="001735A8">
            <w:pPr>
              <w:pStyle w:val="ListBullet"/>
              <w:numPr>
                <w:ilvl w:val="0"/>
                <w:numId w:val="11"/>
              </w:numPr>
              <w:spacing w:before="60" w:after="60"/>
              <w:ind w:left="714" w:hanging="357"/>
              <w:contextualSpacing w:val="0"/>
            </w:pPr>
            <w:r>
              <w:t>LD</w:t>
            </w:r>
            <w:r>
              <w:rPr>
                <w:vertAlign w:val="subscript"/>
              </w:rPr>
              <w:t>50</w:t>
            </w:r>
            <w:r>
              <w:t>: 4.6–11.4 g/kg (rats, oral)</w:t>
            </w:r>
          </w:p>
          <w:p w14:paraId="7B3DA1A9" w14:textId="77777777" w:rsidR="00260D5A" w:rsidRDefault="00260D5A" w:rsidP="001735A8">
            <w:pPr>
              <w:pStyle w:val="ListBullet"/>
              <w:numPr>
                <w:ilvl w:val="0"/>
                <w:numId w:val="11"/>
              </w:numPr>
              <w:spacing w:before="60" w:after="60"/>
              <w:ind w:left="714" w:hanging="357"/>
              <w:contextualSpacing w:val="0"/>
            </w:pPr>
            <w:r>
              <w:t>Acute oral exposure symptoms include intoxication, respiratory failure caused by depressant action and fatality</w:t>
            </w:r>
          </w:p>
          <w:p w14:paraId="066FB9BF" w14:textId="77777777" w:rsidR="00260D5A" w:rsidRDefault="00260D5A" w:rsidP="001735A8">
            <w:pPr>
              <w:pStyle w:val="ListBullet"/>
              <w:numPr>
                <w:ilvl w:val="0"/>
                <w:numId w:val="11"/>
              </w:numPr>
              <w:spacing w:before="60" w:after="60"/>
              <w:ind w:left="714" w:hanging="357"/>
              <w:contextualSpacing w:val="0"/>
            </w:pPr>
            <w:r>
              <w:t>Exposure at 10,000 ppm (monkeys, rabbits, guinea pigs, 1 h, 20 d, inhalation) symptoms included intoxication and depression</w:t>
            </w:r>
          </w:p>
          <w:p w14:paraId="073596DA" w14:textId="2AAF092B" w:rsidR="00260D5A" w:rsidRDefault="009A013C" w:rsidP="001735A8">
            <w:pPr>
              <w:pStyle w:val="ListBullet"/>
              <w:numPr>
                <w:ilvl w:val="0"/>
                <w:numId w:val="11"/>
              </w:numPr>
              <w:spacing w:before="60" w:after="60"/>
              <w:ind w:left="714" w:hanging="357"/>
              <w:contextualSpacing w:val="0"/>
            </w:pPr>
            <w:r>
              <w:t>Exposure at</w:t>
            </w:r>
            <w:r w:rsidR="00260D5A">
              <w:t xml:space="preserve"> 1,000 ppm (monkeys, rabbits, guinea pigs, 3 h, 20 d, inhalation) </w:t>
            </w:r>
            <w:r>
              <w:t>produce no deleterious effects</w:t>
            </w:r>
          </w:p>
          <w:p w14:paraId="2DE8E118" w14:textId="77777777" w:rsidR="00260D5A" w:rsidRDefault="00260D5A" w:rsidP="001735A8">
            <w:pPr>
              <w:pStyle w:val="ListBullet"/>
              <w:numPr>
                <w:ilvl w:val="0"/>
                <w:numId w:val="11"/>
              </w:numPr>
              <w:spacing w:before="60" w:after="60"/>
              <w:ind w:left="714" w:hanging="357"/>
              <w:contextualSpacing w:val="0"/>
            </w:pPr>
            <w:r>
              <w:t>Dermal exposure reported to cause dermatitis.</w:t>
            </w:r>
          </w:p>
          <w:p w14:paraId="5A5A95F3" w14:textId="77777777" w:rsidR="00AD579D" w:rsidRDefault="00AD579D" w:rsidP="00260D5A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before="60" w:after="60"/>
              <w:ind w:left="360" w:hanging="360"/>
            </w:pPr>
          </w:p>
          <w:p w14:paraId="37233378" w14:textId="77777777" w:rsidR="00260D5A" w:rsidRDefault="00260D5A" w:rsidP="00260D5A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before="60" w:after="60"/>
              <w:ind w:left="360" w:hanging="360"/>
            </w:pPr>
            <w:r>
              <w:t>Insufficient data to recommend a skin, sensitiser or carcinogen notation.</w:t>
            </w:r>
          </w:p>
          <w:p w14:paraId="0035A057" w14:textId="3CFF86DB" w:rsidR="0050626F" w:rsidRPr="00DA352E" w:rsidRDefault="0050626F">
            <w:pPr>
              <w:pStyle w:val="ListBullet"/>
              <w:numPr>
                <w:ilvl w:val="0"/>
                <w:numId w:val="0"/>
              </w:numPr>
              <w:spacing w:before="60" w:after="60"/>
              <w:contextualSpacing w:val="0"/>
            </w:pPr>
          </w:p>
        </w:tc>
      </w:tr>
      <w:tr w:rsidR="00C978F0" w:rsidRPr="00DA352E" w14:paraId="0AA6A871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6D4BEC0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8325D0">
                  <w:t>2005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8325D0">
                  <w:t>MAK: 200 ppm (850 mg/m</w:t>
                </w:r>
                <w:r w:rsidR="008325D0" w:rsidRPr="008325D0">
                  <w:rPr>
                    <w:vertAlign w:val="superscript"/>
                  </w:rPr>
                  <w:t>3</w:t>
                </w:r>
                <w:r w:rsidR="008325D0">
                  <w:t>)</w:t>
                </w:r>
              </w:sdtContent>
            </w:sdt>
          </w:p>
        </w:tc>
      </w:tr>
      <w:tr w:rsidR="00C978F0" w:rsidRPr="00DA352E" w14:paraId="369138EC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6989E9D" w14:textId="2E79F028" w:rsidR="00D419B4" w:rsidRDefault="00AB5FDD" w:rsidP="00AC6339">
            <w:pPr>
              <w:pStyle w:val="Tabletextprimarysource"/>
            </w:pPr>
            <w:r w:rsidRPr="00AB5FDD">
              <w:t xml:space="preserve">Derivation of MAK </w:t>
            </w:r>
            <w:r w:rsidR="00121E66">
              <w:t>based on a NOEL of 480 ppm</w:t>
            </w:r>
            <w:r w:rsidRPr="00AB5FDD">
              <w:t xml:space="preserve"> for local and for systemic effects</w:t>
            </w:r>
            <w:r>
              <w:t xml:space="preserve"> and reports</w:t>
            </w:r>
            <w:r w:rsidR="00260D5A">
              <w:t xml:space="preserve"> of an unpleasant odour</w:t>
            </w:r>
            <w:r>
              <w:t xml:space="preserve"> at 300 ppm</w:t>
            </w:r>
            <w:r w:rsidR="001735A8">
              <w:t xml:space="preserve"> in humans</w:t>
            </w:r>
            <w:r w:rsidRPr="00AB5FDD">
              <w:t>.</w:t>
            </w:r>
          </w:p>
          <w:p w14:paraId="1809C348" w14:textId="77777777" w:rsidR="00D419B4" w:rsidRDefault="00D419B4" w:rsidP="00AC6339">
            <w:pPr>
              <w:pStyle w:val="Tabletextprimarysource"/>
            </w:pPr>
            <w:r>
              <w:t>Summary of additional data:</w:t>
            </w:r>
          </w:p>
          <w:p w14:paraId="49955741" w14:textId="557BFCA0" w:rsidR="00612AF7" w:rsidRDefault="004C607D" w:rsidP="001735A8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LC</w:t>
            </w:r>
            <w:r w:rsidRPr="004C607D">
              <w:rPr>
                <w:vertAlign w:val="subscript"/>
              </w:rPr>
              <w:t>50</w:t>
            </w:r>
            <w:r>
              <w:t>: 36</w:t>
            </w:r>
            <w:r w:rsidR="00AC6339">
              <w:t>,</w:t>
            </w:r>
            <w:r>
              <w:t>000 ppm (mice, 15 m</w:t>
            </w:r>
            <w:r w:rsidR="00121E66">
              <w:t>in</w:t>
            </w:r>
            <w:r>
              <w:t>)</w:t>
            </w:r>
          </w:p>
          <w:p w14:paraId="1CB6D005" w14:textId="377B6565" w:rsidR="001735A8" w:rsidRDefault="008922CF" w:rsidP="001735A8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Exposure at 480, 3,300 and 7100 ppm </w:t>
            </w:r>
            <w:r w:rsidR="004C607D">
              <w:t>(rats, 6 h/d, 5 d/wk, 90 d, inhalation)</w:t>
            </w:r>
            <w:r>
              <w:t>:</w:t>
            </w:r>
            <w:r w:rsidR="00ED5E5F">
              <w:t xml:space="preserve"> </w:t>
            </w:r>
          </w:p>
          <w:p w14:paraId="702512D5" w14:textId="334B83B3" w:rsidR="008922CF" w:rsidRDefault="008922CF" w:rsidP="008922CF">
            <w:pPr>
              <w:pStyle w:val="ListBullet"/>
              <w:numPr>
                <w:ilvl w:val="0"/>
                <w:numId w:val="13"/>
              </w:numPr>
              <w:spacing w:before="60" w:after="60"/>
              <w:contextualSpacing w:val="0"/>
            </w:pPr>
            <w:r>
              <w:t>no change in body weight</w:t>
            </w:r>
            <w:r w:rsidRPr="004C607D">
              <w:t xml:space="preserve">, </w:t>
            </w:r>
            <w:proofErr w:type="spellStart"/>
            <w:r w:rsidRPr="004C607D">
              <w:t>clinico</w:t>
            </w:r>
            <w:proofErr w:type="spellEnd"/>
            <w:r w:rsidRPr="004C607D">
              <w:t>-chemical parameters</w:t>
            </w:r>
            <w:r>
              <w:t xml:space="preserve">, </w:t>
            </w:r>
            <w:r w:rsidRPr="004C607D">
              <w:t>number of sperms and spermatids</w:t>
            </w:r>
            <w:r>
              <w:t xml:space="preserve">, </w:t>
            </w:r>
            <w:r w:rsidRPr="004C607D">
              <w:t>liver and kidney weights</w:t>
            </w:r>
            <w:r>
              <w:t>, h</w:t>
            </w:r>
            <w:r w:rsidRPr="004C607D">
              <w:t xml:space="preserve">istopathological </w:t>
            </w:r>
            <w:r>
              <w:t xml:space="preserve">effects in any of the group </w:t>
            </w:r>
          </w:p>
          <w:p w14:paraId="01413800" w14:textId="75D62396" w:rsidR="00D419B4" w:rsidRDefault="008922CF" w:rsidP="008922CF">
            <w:pPr>
              <w:pStyle w:val="ListBullet"/>
              <w:numPr>
                <w:ilvl w:val="0"/>
                <w:numId w:val="13"/>
              </w:numPr>
              <w:spacing w:before="60" w:after="60"/>
              <w:contextualSpacing w:val="0"/>
            </w:pPr>
            <w:r>
              <w:t>t</w:t>
            </w:r>
            <w:r w:rsidR="00ED5E5F">
              <w:t xml:space="preserve">he next highest concentration of 3,300 ppm </w:t>
            </w:r>
            <w:r w:rsidR="00EF4A94">
              <w:t xml:space="preserve">only </w:t>
            </w:r>
            <w:r w:rsidR="00ED5E5F">
              <w:t>increased liver and kidney weights in males</w:t>
            </w:r>
          </w:p>
          <w:p w14:paraId="61DF41E8" w14:textId="5EDBB139" w:rsidR="008922CF" w:rsidRDefault="008922CF" w:rsidP="008922CF">
            <w:pPr>
              <w:pStyle w:val="ListBullet"/>
              <w:numPr>
                <w:ilvl w:val="0"/>
                <w:numId w:val="13"/>
              </w:numPr>
              <w:spacing w:before="60" w:after="60"/>
              <w:contextualSpacing w:val="0"/>
            </w:pPr>
            <w:r>
              <w:t>NOEL 480 ppm for liver and kidney effects</w:t>
            </w:r>
          </w:p>
          <w:p w14:paraId="3E0E143E" w14:textId="2C1A7046" w:rsidR="004C607D" w:rsidRDefault="00D419B4" w:rsidP="001735A8">
            <w:pPr>
              <w:pStyle w:val="ListBullet"/>
              <w:spacing w:before="60" w:after="60"/>
              <w:ind w:left="714" w:hanging="357"/>
              <w:contextualSpacing w:val="0"/>
            </w:pPr>
            <w:r w:rsidRPr="00D419B4">
              <w:t xml:space="preserve">NOAEL: </w:t>
            </w:r>
            <w:r>
              <w:t>&gt;7,060</w:t>
            </w:r>
            <w:r w:rsidRPr="00D419B4">
              <w:t xml:space="preserve"> ppm (rats, 90 d, inhalation) for</w:t>
            </w:r>
            <w:r>
              <w:t xml:space="preserve"> </w:t>
            </w:r>
            <w:r w:rsidRPr="00D419B4">
              <w:t>neurotoxic effects</w:t>
            </w:r>
          </w:p>
          <w:p w14:paraId="3D2B69DD" w14:textId="7AF501B9" w:rsidR="004C607D" w:rsidRDefault="00D419B4" w:rsidP="001735A8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NOAEL: 430 ppm (rats, 6 h/d, gestation day 6</w:t>
            </w:r>
            <w:r w:rsidR="00AC6339">
              <w:t>–</w:t>
            </w:r>
            <w:r>
              <w:t xml:space="preserve">15, inhalation) for </w:t>
            </w:r>
            <w:r w:rsidRPr="00D419B4">
              <w:t>maternal and developmental toxicity</w:t>
            </w:r>
            <w:r w:rsidR="00612AF7">
              <w:t xml:space="preserve">, only one </w:t>
            </w:r>
            <w:r w:rsidR="00612AF7" w:rsidRPr="00612AF7">
              <w:t>usual finding</w:t>
            </w:r>
            <w:r w:rsidR="00612AF7">
              <w:t xml:space="preserve"> was reported at 3,095 ppm which could be considered a </w:t>
            </w:r>
            <w:r w:rsidR="00612AF7" w:rsidRPr="00612AF7">
              <w:t>skeletal variation</w:t>
            </w:r>
          </w:p>
          <w:p w14:paraId="179E1104" w14:textId="77777777" w:rsidR="004C607D" w:rsidRDefault="00D419B4" w:rsidP="001735A8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Negative results in mutagenic assays</w:t>
            </w:r>
            <w:r w:rsidR="00AC6339">
              <w:t>.</w:t>
            </w:r>
          </w:p>
          <w:p w14:paraId="45891256" w14:textId="414BE507" w:rsidR="0050626F" w:rsidRPr="00DA352E" w:rsidRDefault="0050626F" w:rsidP="00BA640C">
            <w:pPr>
              <w:pStyle w:val="ListBullet"/>
              <w:numPr>
                <w:ilvl w:val="0"/>
                <w:numId w:val="0"/>
              </w:numPr>
              <w:spacing w:before="60" w:after="60"/>
              <w:ind w:left="720"/>
              <w:contextualSpacing w:val="0"/>
            </w:pPr>
          </w:p>
        </w:tc>
      </w:tr>
      <w:tr w:rsidR="00C978F0" w:rsidRPr="00DA352E" w14:paraId="770EB006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C417ABD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1C055B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1C055B">
                  <w:t>NA</w:t>
                </w:r>
                <w:proofErr w:type="spellEnd"/>
              </w:sdtContent>
            </w:sdt>
          </w:p>
        </w:tc>
      </w:tr>
      <w:tr w:rsidR="00C978F0" w:rsidRPr="00DA352E" w14:paraId="20E9C92E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0983D0B1" w14:textId="77777777" w:rsidR="00C978F0" w:rsidRPr="00DA352E" w:rsidRDefault="001C055B" w:rsidP="003365A5">
            <w:pPr>
              <w:pStyle w:val="Tabletextprimarysource"/>
            </w:pPr>
            <w:r>
              <w:t>No report</w:t>
            </w:r>
            <w:r w:rsidR="00AC6339">
              <w:t>.</w:t>
            </w:r>
          </w:p>
        </w:tc>
      </w:tr>
      <w:tr w:rsidR="00DA352E" w:rsidRPr="00DA352E" w14:paraId="43A195FF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3D7AA00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1C055B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1C055B">
                  <w:t>NA</w:t>
                </w:r>
                <w:proofErr w:type="spellEnd"/>
              </w:sdtContent>
            </w:sdt>
          </w:p>
        </w:tc>
      </w:tr>
      <w:tr w:rsidR="00DA352E" w:rsidRPr="00DA352E" w14:paraId="1EBA6037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90422DE" w14:textId="77777777" w:rsidR="00DA352E" w:rsidRPr="00DA352E" w:rsidRDefault="001C055B" w:rsidP="003365A5">
            <w:pPr>
              <w:pStyle w:val="Tabletextprimarysource"/>
            </w:pPr>
            <w:r>
              <w:t>No report</w:t>
            </w:r>
            <w:r w:rsidR="00AC6339">
              <w:t>.</w:t>
            </w:r>
          </w:p>
        </w:tc>
      </w:tr>
      <w:tr w:rsidR="00DA352E" w:rsidRPr="00DA352E" w14:paraId="66566B71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F09CEFB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1C055B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proofErr w:type="spellStart"/>
                <w:r w:rsidR="001C055B">
                  <w:t>NA</w:t>
                </w:r>
                <w:proofErr w:type="spellEnd"/>
              </w:sdtContent>
            </w:sdt>
          </w:p>
        </w:tc>
      </w:tr>
      <w:tr w:rsidR="00DA352E" w:rsidRPr="00DA352E" w14:paraId="5F9D4410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C64BC6C" w14:textId="77777777" w:rsidR="00DA352E" w:rsidRPr="00DA352E" w:rsidRDefault="001C055B" w:rsidP="003365A5">
            <w:pPr>
              <w:pStyle w:val="Tabletextprimarysource"/>
            </w:pPr>
            <w:r>
              <w:t>No report</w:t>
            </w:r>
            <w:r w:rsidR="00AC6339">
              <w:t>.</w:t>
            </w:r>
          </w:p>
        </w:tc>
      </w:tr>
    </w:tbl>
    <w:p w14:paraId="2F4908EF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7"/>
        <w:gridCol w:w="424"/>
        <w:gridCol w:w="661"/>
        <w:gridCol w:w="6444"/>
      </w:tblGrid>
      <w:tr w:rsidR="004966BF" w:rsidRPr="00263255" w14:paraId="0AC8640B" w14:textId="77777777" w:rsidTr="00F03F29">
        <w:trPr>
          <w:cantSplit/>
          <w:trHeight w:val="393"/>
          <w:tblHeader/>
        </w:trPr>
        <w:tc>
          <w:tcPr>
            <w:tcW w:w="1497" w:type="dxa"/>
            <w:shd w:val="clear" w:color="auto" w:fill="BFBFBF" w:themeFill="background1" w:themeFillShade="BF"/>
            <w:vAlign w:val="center"/>
          </w:tcPr>
          <w:p w14:paraId="1FE87A9D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4" w:type="dxa"/>
            <w:shd w:val="clear" w:color="auto" w:fill="BFBFBF" w:themeFill="background1" w:themeFillShade="BF"/>
            <w:vAlign w:val="center"/>
          </w:tcPr>
          <w:p w14:paraId="34B49EF2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10426F73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44" w:type="dxa"/>
            <w:shd w:val="clear" w:color="auto" w:fill="BFBFBF" w:themeFill="background1" w:themeFillShade="BF"/>
            <w:vAlign w:val="center"/>
          </w:tcPr>
          <w:p w14:paraId="5FBA57D5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29CC3598" w14:textId="77777777" w:rsidTr="00F03F29">
        <w:trPr>
          <w:cantSplit/>
        </w:trPr>
        <w:tc>
          <w:tcPr>
            <w:tcW w:w="1497" w:type="dxa"/>
          </w:tcPr>
          <w:p w14:paraId="44B2AF6C" w14:textId="77777777" w:rsidR="004966BF" w:rsidRPr="004C23F4" w:rsidRDefault="004966BF" w:rsidP="00224EE2">
            <w:pPr>
              <w:pStyle w:val="Tablefont"/>
            </w:pPr>
            <w:r>
              <w:t>ECHA</w:t>
            </w:r>
          </w:p>
        </w:tc>
        <w:tc>
          <w:tcPr>
            <w:tcW w:w="424" w:type="dxa"/>
          </w:tcPr>
          <w:p w14:paraId="16008945" w14:textId="77777777" w:rsidR="004966BF" w:rsidRPr="00CE617F" w:rsidRDefault="0041081F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2066787458"/>
                <w:placeholder>
                  <w:docPart w:val="EA32968BF93744FAABC5FC124DBE04BD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AB5FDD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2D9ED709" w14:textId="77777777" w:rsidR="004966BF" w:rsidRPr="004C23F4" w:rsidRDefault="00AB5FDD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2011</w:t>
            </w:r>
          </w:p>
        </w:tc>
        <w:tc>
          <w:tcPr>
            <w:tcW w:w="6444" w:type="dxa"/>
          </w:tcPr>
          <w:p w14:paraId="41AC4C3C" w14:textId="55CC75BE" w:rsidR="004966BF" w:rsidRPr="00636B9A" w:rsidRDefault="00F3715E" w:rsidP="001735A8">
            <w:pPr>
              <w:pStyle w:val="ListBullet"/>
              <w:spacing w:before="60" w:after="60"/>
              <w:ind w:left="714" w:hanging="357"/>
              <w:contextualSpacing w:val="0"/>
            </w:pPr>
            <w:r w:rsidRPr="00636B9A">
              <w:t>LD</w:t>
            </w:r>
            <w:r w:rsidRPr="00F03F29">
              <w:rPr>
                <w:vertAlign w:val="subscript"/>
              </w:rPr>
              <w:t>50</w:t>
            </w:r>
            <w:r w:rsidRPr="00636B9A">
              <w:t>: &lt;2,000 mg/kg (rabbit, dermal)</w:t>
            </w:r>
          </w:p>
          <w:p w14:paraId="09F57D15" w14:textId="596F9296" w:rsidR="00F3715E" w:rsidRPr="00636B9A" w:rsidRDefault="00636B9A" w:rsidP="001735A8">
            <w:pPr>
              <w:pStyle w:val="ListBullet"/>
              <w:spacing w:before="60" w:after="60"/>
              <w:ind w:left="714" w:hanging="357"/>
              <w:contextualSpacing w:val="0"/>
            </w:pPr>
            <w:r w:rsidRPr="00636B9A">
              <w:t>Negative results in</w:t>
            </w:r>
            <w:r w:rsidR="00121E66">
              <w:t xml:space="preserve"> skin sensitis</w:t>
            </w:r>
            <w:r w:rsidR="00F3715E" w:rsidRPr="00636B9A">
              <w:t>er</w:t>
            </w:r>
            <w:r w:rsidRPr="00636B9A">
              <w:t xml:space="preserve"> study</w:t>
            </w:r>
            <w:r w:rsidR="00AC6339">
              <w:t>.</w:t>
            </w:r>
          </w:p>
        </w:tc>
      </w:tr>
      <w:tr w:rsidR="004966BF" w:rsidRPr="004C23F4" w14:paraId="1EA556A1" w14:textId="77777777" w:rsidTr="00F03F29">
        <w:trPr>
          <w:cantSplit/>
        </w:trPr>
        <w:tc>
          <w:tcPr>
            <w:tcW w:w="1497" w:type="dxa"/>
          </w:tcPr>
          <w:p w14:paraId="1A30CD15" w14:textId="637E9E37" w:rsidR="004966BF" w:rsidRDefault="004966BF" w:rsidP="00224EE2">
            <w:pPr>
              <w:pStyle w:val="Tablefont"/>
            </w:pPr>
            <w:r>
              <w:t>US NIOSH</w:t>
            </w:r>
          </w:p>
        </w:tc>
        <w:tc>
          <w:tcPr>
            <w:tcW w:w="424" w:type="dxa"/>
          </w:tcPr>
          <w:p w14:paraId="5D384F55" w14:textId="77777777" w:rsidR="004966BF" w:rsidRDefault="0041081F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814863282"/>
                <w:placeholder>
                  <w:docPart w:val="EA51C8540A4D4F0A9062F5B1698DCBB0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F03F29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54484C44" w14:textId="77777777" w:rsidR="004966BF" w:rsidRPr="004C23F4" w:rsidRDefault="00F03F29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1994</w:t>
            </w:r>
          </w:p>
        </w:tc>
        <w:tc>
          <w:tcPr>
            <w:tcW w:w="6444" w:type="dxa"/>
          </w:tcPr>
          <w:p w14:paraId="74A2A51E" w14:textId="77777777" w:rsidR="00F03F29" w:rsidRPr="00F03F29" w:rsidRDefault="00F03F29" w:rsidP="001735A8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/>
                <w:lang w:eastAsia="en-AU"/>
              </w:rPr>
            </w:pPr>
            <w:r w:rsidRPr="00636B9A">
              <w:t>L</w:t>
            </w:r>
            <w:r>
              <w:t>C</w:t>
            </w:r>
            <w:r w:rsidRPr="00F03F29">
              <w:rPr>
                <w:vertAlign w:val="subscript"/>
              </w:rPr>
              <w:t>50</w:t>
            </w:r>
            <w:r w:rsidRPr="00636B9A">
              <w:t xml:space="preserve">: </w:t>
            </w:r>
            <w:r>
              <w:t>28</w:t>
            </w:r>
            <w:r w:rsidRPr="00636B9A">
              <w:t>,</w:t>
            </w:r>
            <w:r>
              <w:t>486</w:t>
            </w:r>
            <w:r w:rsidRPr="00636B9A">
              <w:t xml:space="preserve"> </w:t>
            </w:r>
            <w:r>
              <w:t>ppm</w:t>
            </w:r>
            <w:r w:rsidRPr="00636B9A">
              <w:t xml:space="preserve"> (rabbit)</w:t>
            </w:r>
            <w:r w:rsidR="00AC6339">
              <w:t>.</w:t>
            </w:r>
          </w:p>
        </w:tc>
      </w:tr>
    </w:tbl>
    <w:bookmarkEnd w:id="0"/>
    <w:p w14:paraId="47F9132A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6B6D90AB" w14:textId="77777777" w:rsidTr="00F03F29">
        <w:trPr>
          <w:trHeight w:val="454"/>
          <w:tblHeader/>
        </w:trPr>
        <w:tc>
          <w:tcPr>
            <w:tcW w:w="6603" w:type="dxa"/>
            <w:vAlign w:val="center"/>
          </w:tcPr>
          <w:p w14:paraId="39610055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5956A10F" w14:textId="77777777" w:rsidR="002E0D61" w:rsidRDefault="00F03F29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6C605BB5" w14:textId="77777777" w:rsidTr="00F03F29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6553D041" w14:textId="77777777" w:rsidR="008A36CF" w:rsidRPr="006901A2" w:rsidRDefault="00F03F29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5B692940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1"/>
    <w:p w14:paraId="47AB1854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33635B0B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09D125D0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37A44121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78E6426E" w14:textId="77777777" w:rsidTr="00812887">
        <w:trPr>
          <w:cantSplit/>
        </w:trPr>
        <w:tc>
          <w:tcPr>
            <w:tcW w:w="3227" w:type="dxa"/>
          </w:tcPr>
          <w:p w14:paraId="05A8767D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2AD64372" w14:textId="77777777" w:rsidR="00687890" w:rsidRPr="00DD2F9B" w:rsidRDefault="00B6420B" w:rsidP="00DD2F9B">
            <w:pPr>
              <w:pStyle w:val="Tablefont"/>
            </w:pPr>
            <w:r>
              <w:t>NA</w:t>
            </w:r>
          </w:p>
        </w:tc>
      </w:tr>
      <w:tr w:rsidR="007925F0" w:rsidRPr="004C23F4" w14:paraId="64F14866" w14:textId="77777777" w:rsidTr="00812887">
        <w:trPr>
          <w:cantSplit/>
        </w:trPr>
        <w:tc>
          <w:tcPr>
            <w:tcW w:w="3227" w:type="dxa"/>
          </w:tcPr>
          <w:p w14:paraId="348F63E2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7BF79A8F" w14:textId="77777777" w:rsidR="007925F0" w:rsidRPr="00DD2F9B" w:rsidRDefault="00B6420B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3D3517DE" w14:textId="77777777" w:rsidTr="00812887">
        <w:trPr>
          <w:cantSplit/>
        </w:trPr>
        <w:tc>
          <w:tcPr>
            <w:tcW w:w="3227" w:type="dxa"/>
          </w:tcPr>
          <w:p w14:paraId="177352FD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3E4376E5" w14:textId="77777777" w:rsidR="00AF483F" w:rsidRPr="00DD2F9B" w:rsidRDefault="001C055B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55E2B0E7" w14:textId="77777777" w:rsidTr="00812887">
        <w:trPr>
          <w:cantSplit/>
        </w:trPr>
        <w:tc>
          <w:tcPr>
            <w:tcW w:w="3227" w:type="dxa"/>
          </w:tcPr>
          <w:p w14:paraId="38E16FF9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3B917282" w14:textId="77777777" w:rsidR="00687890" w:rsidRPr="00DD2F9B" w:rsidRDefault="001C055B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008C089D" w14:textId="77777777" w:rsidTr="00812887">
        <w:trPr>
          <w:cantSplit/>
        </w:trPr>
        <w:tc>
          <w:tcPr>
            <w:tcW w:w="3227" w:type="dxa"/>
          </w:tcPr>
          <w:p w14:paraId="74A9794A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249EF0E3" w14:textId="77777777" w:rsidR="00E41A26" w:rsidRPr="00DD2F9B" w:rsidRDefault="00C2341B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3BB8AF37" w14:textId="77777777" w:rsidTr="00812887">
        <w:trPr>
          <w:cantSplit/>
        </w:trPr>
        <w:tc>
          <w:tcPr>
            <w:tcW w:w="3227" w:type="dxa"/>
          </w:tcPr>
          <w:p w14:paraId="173321D7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1FA5EE6E" w14:textId="77777777" w:rsidR="002E0D61" w:rsidRPr="00DD2F9B" w:rsidRDefault="00B6420B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4BC0492F" w14:textId="77777777" w:rsidTr="00812887">
        <w:trPr>
          <w:cantSplit/>
        </w:trPr>
        <w:tc>
          <w:tcPr>
            <w:tcW w:w="3227" w:type="dxa"/>
          </w:tcPr>
          <w:p w14:paraId="3726AA7C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61671C94" w14:textId="77777777" w:rsidR="002E0D61" w:rsidRPr="00DD2F9B" w:rsidRDefault="001C055B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7BDA9005" w14:textId="77777777" w:rsidTr="00812887">
        <w:trPr>
          <w:cantSplit/>
        </w:trPr>
        <w:tc>
          <w:tcPr>
            <w:tcW w:w="3227" w:type="dxa"/>
          </w:tcPr>
          <w:p w14:paraId="2AC46DBC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4CB2A115" w14:textId="77777777" w:rsidR="002E0D61" w:rsidRPr="00DD2F9B" w:rsidRDefault="001C055B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06680EBE" w14:textId="77777777" w:rsidTr="00812887">
        <w:trPr>
          <w:cantSplit/>
        </w:trPr>
        <w:tc>
          <w:tcPr>
            <w:tcW w:w="3227" w:type="dxa"/>
          </w:tcPr>
          <w:p w14:paraId="0AD41784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0596D4A2" w14:textId="77777777" w:rsidR="002E0D61" w:rsidRPr="00DD2F9B" w:rsidRDefault="001C055B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166B6FA6" w14:textId="77777777" w:rsidTr="00812887">
        <w:trPr>
          <w:cantSplit/>
        </w:trPr>
        <w:tc>
          <w:tcPr>
            <w:tcW w:w="3227" w:type="dxa"/>
          </w:tcPr>
          <w:p w14:paraId="610A31DD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5F27D6E1" w14:textId="77777777" w:rsidR="00386093" w:rsidRPr="00DD2F9B" w:rsidRDefault="00C2341B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27038047" w14:textId="77777777" w:rsidTr="00812887">
        <w:trPr>
          <w:cantSplit/>
        </w:trPr>
        <w:tc>
          <w:tcPr>
            <w:tcW w:w="3227" w:type="dxa"/>
          </w:tcPr>
          <w:p w14:paraId="32A6FB16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4AFB5548" w14:textId="77777777" w:rsidR="00386093" w:rsidRPr="00DD2F9B" w:rsidRDefault="00C2341B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4C5CE475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22B52CFB" w14:textId="77777777" w:rsidR="00474E33" w:rsidRDefault="00474E33" w:rsidP="00474E33">
      <w:pPr>
        <w:pStyle w:val="Heading3"/>
      </w:pPr>
      <w:r>
        <w:lastRenderedPageBreak/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4A817BA2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1B8B4FCF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50B5AFC6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810" w:type="dxa"/>
              <w:tblLook w:val="04A0" w:firstRow="1" w:lastRow="0" w:firstColumn="1" w:lastColumn="0" w:noHBand="0" w:noVBand="1"/>
            </w:tblPr>
            <w:tblGrid>
              <w:gridCol w:w="3851"/>
              <w:gridCol w:w="810"/>
              <w:gridCol w:w="810"/>
              <w:gridCol w:w="3339"/>
            </w:tblGrid>
            <w:tr w:rsidR="00F03F29" w:rsidRPr="00F03F29" w14:paraId="3BEB5B3D" w14:textId="77777777" w:rsidTr="00F03F29">
              <w:trPr>
                <w:trHeight w:val="342"/>
              </w:trPr>
              <w:tc>
                <w:tcPr>
                  <w:tcW w:w="3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470E1F9" w14:textId="77777777" w:rsidR="00F03F29" w:rsidRPr="00F03F29" w:rsidRDefault="00F03F29" w:rsidP="00F03F2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F03F2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Adverse effects in human case study: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999EB6A" w14:textId="77777777" w:rsidR="00F03F29" w:rsidRPr="00F03F29" w:rsidRDefault="00F03F29" w:rsidP="00F03F2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F03F2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no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0E9392C" w14:textId="77777777" w:rsidR="00F03F29" w:rsidRPr="00F03F29" w:rsidRDefault="00F03F29" w:rsidP="00F03F2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F03F2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E430389" w14:textId="77777777" w:rsidR="00F03F29" w:rsidRPr="00F03F29" w:rsidRDefault="00F03F29" w:rsidP="00F03F2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F03F2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F03F29" w:rsidRPr="00F03F29" w14:paraId="3429B524" w14:textId="77777777" w:rsidTr="00F03F29">
              <w:trPr>
                <w:trHeight w:val="342"/>
              </w:trPr>
              <w:tc>
                <w:tcPr>
                  <w:tcW w:w="3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F18088A" w14:textId="77777777" w:rsidR="00F03F29" w:rsidRPr="00F03F29" w:rsidRDefault="00F03F29" w:rsidP="00F03F2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F03F2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Dermal LD</w:t>
                  </w:r>
                  <w:r w:rsidRPr="00F03F2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val="en-US"/>
                    </w:rPr>
                    <w:t>50</w:t>
                  </w:r>
                  <w:r w:rsidRPr="00F03F2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 xml:space="preserve"> ≤1000 mg/kg: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80C8254" w14:textId="77777777" w:rsidR="00F03F29" w:rsidRPr="00F03F29" w:rsidRDefault="00F03F29" w:rsidP="00F03F2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F03F2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no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2F0B572" w14:textId="77777777" w:rsidR="00F03F29" w:rsidRPr="00F03F29" w:rsidRDefault="00F03F29" w:rsidP="00F03F2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F03F2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76DA398" w14:textId="77777777" w:rsidR="00F03F29" w:rsidRPr="00F03F29" w:rsidRDefault="00F03F29" w:rsidP="00F03F2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F03F2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F03F29" w:rsidRPr="00F03F29" w14:paraId="41D5F43B" w14:textId="77777777" w:rsidTr="00F03F29">
              <w:trPr>
                <w:trHeight w:val="342"/>
              </w:trPr>
              <w:tc>
                <w:tcPr>
                  <w:tcW w:w="3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F170563" w14:textId="77777777" w:rsidR="00F03F29" w:rsidRPr="00F03F29" w:rsidRDefault="00F03F29" w:rsidP="00F03F2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F03F2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Dermal repeat-dose NOAEL ≤200 mg/kg: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1368299" w14:textId="77777777" w:rsidR="00F03F29" w:rsidRPr="00F03F29" w:rsidRDefault="00F03F29" w:rsidP="00F03F2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F03F2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33D2D67" w14:textId="77777777" w:rsidR="00F03F29" w:rsidRPr="00F03F29" w:rsidRDefault="00F03F29" w:rsidP="00F03F2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F03F2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D03B224" w14:textId="77777777" w:rsidR="00F03F29" w:rsidRPr="00F03F29" w:rsidRDefault="00F03F29" w:rsidP="00F03F2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F03F2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F03F29" w:rsidRPr="00F03F29" w14:paraId="23BE502D" w14:textId="77777777" w:rsidTr="00F03F29">
              <w:trPr>
                <w:trHeight w:val="342"/>
              </w:trPr>
              <w:tc>
                <w:tcPr>
                  <w:tcW w:w="3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8075DAA" w14:textId="77777777" w:rsidR="00F03F29" w:rsidRPr="00F03F29" w:rsidRDefault="00F03F29" w:rsidP="00F03F2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F03F2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Dermal LD</w:t>
                  </w:r>
                  <w:r w:rsidRPr="00F03F2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val="en-US"/>
                    </w:rPr>
                    <w:t>50</w:t>
                  </w:r>
                  <w:r w:rsidRPr="00F03F2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/Inhalation LD</w:t>
                  </w:r>
                  <w:r w:rsidRPr="00F03F2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val="en-US"/>
                    </w:rPr>
                    <w:t>50</w:t>
                  </w:r>
                  <w:r w:rsidRPr="00F03F2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 xml:space="preserve"> &lt;10: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DA1219E" w14:textId="77777777" w:rsidR="00F03F29" w:rsidRPr="00F03F29" w:rsidRDefault="00F03F29" w:rsidP="00F03F2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F03F2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9938298" w14:textId="77777777" w:rsidR="00F03F29" w:rsidRPr="00F03F29" w:rsidRDefault="00F03F29" w:rsidP="00F03F2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F03F2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B05ACAD" w14:textId="77777777" w:rsidR="00F03F29" w:rsidRPr="00F03F29" w:rsidRDefault="00F03F29" w:rsidP="00F03F2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F03F2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F03F29" w:rsidRPr="00F03F29" w14:paraId="1FA0D479" w14:textId="77777777" w:rsidTr="00F03F29">
              <w:trPr>
                <w:trHeight w:val="342"/>
              </w:trPr>
              <w:tc>
                <w:tcPr>
                  <w:tcW w:w="3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7169468" w14:textId="77777777" w:rsidR="00F03F29" w:rsidRPr="00F03F29" w:rsidRDefault="00F03F29" w:rsidP="00F03F2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</w:pPr>
                  <w:r w:rsidRPr="00F03F29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  <w:t>In vivo</w:t>
                  </w:r>
                  <w:r w:rsidRPr="00F03F2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 xml:space="preserve"> dermal absorption rate &gt;10%: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8482D41" w14:textId="77777777" w:rsidR="00F03F29" w:rsidRPr="00F03F29" w:rsidRDefault="00F03F29" w:rsidP="00F03F2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F03F2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3FCD76E" w14:textId="77777777" w:rsidR="00F03F29" w:rsidRPr="00F03F29" w:rsidRDefault="00F03F29" w:rsidP="00F03F2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F03F2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5E14F02" w14:textId="77777777" w:rsidR="00F03F29" w:rsidRPr="00F03F29" w:rsidRDefault="00F03F29" w:rsidP="00F03F2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F03F2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F03F29" w:rsidRPr="00F03F29" w14:paraId="29B6807F" w14:textId="77777777" w:rsidTr="00F03F29">
              <w:trPr>
                <w:trHeight w:val="342"/>
              </w:trPr>
              <w:tc>
                <w:tcPr>
                  <w:tcW w:w="3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803EA24" w14:textId="77777777" w:rsidR="00F03F29" w:rsidRPr="00F03F29" w:rsidRDefault="00F03F29" w:rsidP="00F03F2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F03F2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Estimated dermal exposure at WES &gt;10%: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93A4C28" w14:textId="77777777" w:rsidR="00F03F29" w:rsidRPr="00F03F29" w:rsidRDefault="00F03F29" w:rsidP="00F03F2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F03F2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C8875B8" w14:textId="77777777" w:rsidR="00F03F29" w:rsidRPr="00F03F29" w:rsidRDefault="00F03F29" w:rsidP="00F03F2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F03F2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A18EFDA" w14:textId="77777777" w:rsidR="00F03F29" w:rsidRPr="00F03F29" w:rsidRDefault="00F03F29" w:rsidP="00F03F2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F03F2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F03F29" w:rsidRPr="00F03F29" w14:paraId="41460A2F" w14:textId="77777777" w:rsidTr="00F03F29">
              <w:trPr>
                <w:trHeight w:val="342"/>
              </w:trPr>
              <w:tc>
                <w:tcPr>
                  <w:tcW w:w="3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96C5D2E" w14:textId="77777777" w:rsidR="00F03F29" w:rsidRPr="00F03F29" w:rsidRDefault="00F03F29" w:rsidP="00F03F2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F03F2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D3F8DC5" w14:textId="77777777" w:rsidR="00F03F29" w:rsidRPr="00F03F29" w:rsidRDefault="00F03F29" w:rsidP="00F03F2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F03F2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A2E9328" w14:textId="77777777" w:rsidR="00F03F29" w:rsidRPr="00F03F29" w:rsidRDefault="00F03F29" w:rsidP="00F03F2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F03F2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7D06881" w14:textId="77777777" w:rsidR="00F03F29" w:rsidRPr="00F03F29" w:rsidRDefault="00F03F29" w:rsidP="00F03F29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F03F29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a skin notation is not warranted</w:t>
                  </w:r>
                </w:p>
              </w:tc>
            </w:tr>
          </w:tbl>
          <w:p w14:paraId="37018770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3"/>
    <w:p w14:paraId="652521D5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6"/>
        <w:gridCol w:w="4760"/>
      </w:tblGrid>
      <w:tr w:rsidR="00EB3D1B" w14:paraId="00B187FD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5C8FDF97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16817D53" w14:textId="77777777" w:rsidR="00EB3D1B" w:rsidRDefault="00C2341B" w:rsidP="00EB3D1B">
                <w:pPr>
                  <w:pStyle w:val="Tablefont"/>
                </w:pPr>
                <w:r>
                  <w:t>Yes, based on LEL</w:t>
                </w:r>
              </w:p>
            </w:tc>
          </w:sdtContent>
        </w:sdt>
      </w:tr>
    </w:tbl>
    <w:p w14:paraId="35BA962E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0440887B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52202F10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37BA61A3" w14:textId="77777777" w:rsidR="001B79E5" w:rsidRDefault="00466E7F" w:rsidP="001B79E5">
                <w:pPr>
                  <w:pStyle w:val="Tablefont"/>
                </w:pPr>
                <w:r>
                  <w:t>102.18</w:t>
                </w:r>
              </w:p>
            </w:tc>
          </w:sdtContent>
        </w:sdt>
      </w:tr>
      <w:tr w:rsidR="00A31D99" w:rsidRPr="004C23F4" w14:paraId="14BB3BD7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3AC07721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04A6F96B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227996CE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6DF362E5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2D25E972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2C158FC4" w14:textId="77777777" w:rsidTr="00EA6243">
        <w:trPr>
          <w:cantSplit/>
        </w:trPr>
        <w:tc>
          <w:tcPr>
            <w:tcW w:w="4077" w:type="dxa"/>
            <w:vAlign w:val="center"/>
          </w:tcPr>
          <w:p w14:paraId="2D9B0EE4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0970131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7CADD7D7" w14:textId="77777777" w:rsidTr="00EA6243">
        <w:trPr>
          <w:cantSplit/>
        </w:trPr>
        <w:tc>
          <w:tcPr>
            <w:tcW w:w="4077" w:type="dxa"/>
            <w:vAlign w:val="center"/>
          </w:tcPr>
          <w:p w14:paraId="5239194F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738CD3FF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6D87C256" w14:textId="77777777" w:rsidTr="00EA6243">
        <w:trPr>
          <w:cantSplit/>
        </w:trPr>
        <w:tc>
          <w:tcPr>
            <w:tcW w:w="4077" w:type="dxa"/>
            <w:vAlign w:val="center"/>
          </w:tcPr>
          <w:p w14:paraId="343E5D33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578A3E60" w14:textId="77777777" w:rsidR="00E06F40" w:rsidRPr="00A006A0" w:rsidRDefault="0041081F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0C3758CD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53041C25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4256782E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0A4D5009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36C181B6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5FB89E17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4895D2B7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3899E4AE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02E6BE95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692A05A9" w14:textId="77777777" w:rsidR="00C2341B" w:rsidRDefault="00C2341B" w:rsidP="00C2341B">
      <w:r w:rsidRPr="002022B6">
        <w:t xml:space="preserve">Deutsche </w:t>
      </w:r>
      <w:proofErr w:type="spellStart"/>
      <w:r w:rsidRPr="002022B6">
        <w:t>Forschungsgemeinschaft</w:t>
      </w:r>
      <w:proofErr w:type="spellEnd"/>
      <w:r w:rsidRPr="002022B6">
        <w:t xml:space="preserve"> (DFG)</w:t>
      </w:r>
      <w:r>
        <w:t xml:space="preserve"> (2005) </w:t>
      </w:r>
      <w:proofErr w:type="spellStart"/>
      <w:r>
        <w:t>Diisopropyl</w:t>
      </w:r>
      <w:proofErr w:type="spellEnd"/>
      <w:r>
        <w:t xml:space="preserve"> ether – MAK value documentation.</w:t>
      </w:r>
    </w:p>
    <w:p w14:paraId="0C2812B2" w14:textId="77777777" w:rsidR="00AC6339" w:rsidRDefault="00AC6339" w:rsidP="00AC6339">
      <w:pPr>
        <w:rPr>
          <w:b/>
        </w:rPr>
      </w:pPr>
      <w:r>
        <w:t xml:space="preserve">European Chemicals Agency (ECHA) (2011) </w:t>
      </w:r>
      <w:proofErr w:type="spellStart"/>
      <w:r w:rsidRPr="00636B9A">
        <w:t>Diisopropyl</w:t>
      </w:r>
      <w:proofErr w:type="spellEnd"/>
      <w:r w:rsidRPr="00636B9A">
        <w:t xml:space="preserve"> ether</w:t>
      </w:r>
      <w:r>
        <w:t xml:space="preserve"> – REACH assessment.</w:t>
      </w:r>
    </w:p>
    <w:p w14:paraId="7861E92A" w14:textId="77777777" w:rsidR="00C2341B" w:rsidRDefault="00C2341B" w:rsidP="00C2341B">
      <w:pPr>
        <w:rPr>
          <w:b/>
        </w:rPr>
      </w:pPr>
      <w:r w:rsidRPr="00D86E03">
        <w:t>US National Institute for Occupational Safety and Health (NIOSH)</w:t>
      </w:r>
      <w:r>
        <w:t xml:space="preserve"> (1994) </w:t>
      </w:r>
      <w:proofErr w:type="gramStart"/>
      <w:r>
        <w:t>Immediately</w:t>
      </w:r>
      <w:proofErr w:type="gramEnd"/>
      <w:r>
        <w:t xml:space="preserve"> dangerous to life or health concentrations – isopropyl ether.</w:t>
      </w:r>
    </w:p>
    <w:p w14:paraId="6FDA96A2" w14:textId="77777777" w:rsidR="00C2341B" w:rsidRPr="00351FE0" w:rsidRDefault="00C2341B" w:rsidP="00084859"/>
    <w:sectPr w:rsidR="00C2341B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270BAB" w16cid:durableId="21B1F69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1F162" w14:textId="77777777" w:rsidR="006E2CE5" w:rsidRDefault="006E2CE5" w:rsidP="00F43AD5">
      <w:pPr>
        <w:spacing w:after="0" w:line="240" w:lineRule="auto"/>
      </w:pPr>
      <w:r>
        <w:separator/>
      </w:r>
    </w:p>
  </w:endnote>
  <w:endnote w:type="continuationSeparator" w:id="0">
    <w:p w14:paraId="675A7315" w14:textId="77777777" w:rsidR="006E2CE5" w:rsidRDefault="006E2CE5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9F125" w14:textId="77777777" w:rsidR="004421E1" w:rsidRDefault="004421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46023932" w14:textId="77777777" w:rsidR="008A36CF" w:rsidRDefault="00B6420B" w:rsidP="0034744C">
        <w:pPr>
          <w:pStyle w:val="Footer"/>
          <w:rPr>
            <w:sz w:val="18"/>
            <w:szCs w:val="18"/>
          </w:rPr>
        </w:pPr>
        <w:r>
          <w:rPr>
            <w:b/>
            <w:sz w:val="18"/>
            <w:szCs w:val="18"/>
          </w:rPr>
          <w:t>Isopropyl ether</w:t>
        </w:r>
        <w:r w:rsidR="008A36CF">
          <w:rPr>
            <w:b/>
            <w:sz w:val="18"/>
            <w:szCs w:val="18"/>
          </w:rPr>
          <w:t xml:space="preserve"> (</w:t>
        </w:r>
        <w:r>
          <w:rPr>
            <w:b/>
            <w:sz w:val="18"/>
            <w:szCs w:val="18"/>
          </w:rPr>
          <w:t>108-20-3</w:t>
        </w:r>
        <w:proofErr w:type="gramStart"/>
        <w:r w:rsidR="008A36CF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5E590968" w14:textId="61E90B7F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41081F">
          <w:rPr>
            <w:noProof/>
            <w:sz w:val="18"/>
            <w:szCs w:val="18"/>
          </w:rPr>
          <w:t>3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A356C" w14:textId="77777777" w:rsidR="004421E1" w:rsidRDefault="004421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04C35" w14:textId="77777777" w:rsidR="006E2CE5" w:rsidRDefault="006E2CE5" w:rsidP="00F43AD5">
      <w:pPr>
        <w:spacing w:after="0" w:line="240" w:lineRule="auto"/>
      </w:pPr>
      <w:r>
        <w:separator/>
      </w:r>
    </w:p>
  </w:footnote>
  <w:footnote w:type="continuationSeparator" w:id="0">
    <w:p w14:paraId="4406BB9A" w14:textId="77777777" w:rsidR="006E2CE5" w:rsidRDefault="006E2CE5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6EC88" w14:textId="77777777" w:rsidR="004421E1" w:rsidRDefault="004421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30A73" w14:textId="77777777" w:rsidR="0041081F" w:rsidRDefault="0041081F" w:rsidP="0041081F">
    <w:pPr>
      <w:pStyle w:val="Header"/>
      <w:jc w:val="right"/>
    </w:pPr>
    <w:sdt>
      <w:sdtPr>
        <w:id w:val="-1921237273"/>
        <w:docPartObj>
          <w:docPartGallery w:val="Watermarks"/>
          <w:docPartUnique/>
        </w:docPartObj>
      </w:sdtPr>
      <w:sdtContent>
        <w:r>
          <w:rPr>
            <w:noProof/>
            <w:lang w:val="en-US"/>
          </w:rPr>
          <w:pict w14:anchorId="4F3B5F4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8193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5C74A795" wp14:editId="024DD5C0">
          <wp:extent cx="2938272" cy="594360"/>
          <wp:effectExtent l="0" t="0" r="0" b="0"/>
          <wp:docPr id="2" name="Picture 2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FE9DB6" w14:textId="2879443B" w:rsidR="008A36CF" w:rsidRPr="0041081F" w:rsidRDefault="008A36CF" w:rsidP="004108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25B4B" w14:textId="77777777" w:rsidR="004421E1" w:rsidRDefault="004421E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A0798" w14:textId="77777777" w:rsidR="0041081F" w:rsidRDefault="0041081F" w:rsidP="0041081F">
    <w:pPr>
      <w:pStyle w:val="Header"/>
      <w:jc w:val="right"/>
    </w:pPr>
    <w:sdt>
      <w:sdtPr>
        <w:id w:val="-550688337"/>
        <w:docPartObj>
          <w:docPartGallery w:val="Watermarks"/>
          <w:docPartUnique/>
        </w:docPartObj>
      </w:sdtPr>
      <w:sdtContent>
        <w:r>
          <w:rPr>
            <w:noProof/>
            <w:lang w:val="en-US"/>
          </w:rPr>
          <w:pict w14:anchorId="7A10BFB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8194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1A022B16" wp14:editId="603BAECD">
          <wp:extent cx="2938272" cy="594360"/>
          <wp:effectExtent l="0" t="0" r="0" b="0"/>
          <wp:docPr id="1" name="Picture 1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E4A4E9" w14:textId="77777777" w:rsidR="008A36CF" w:rsidRDefault="008A36CF" w:rsidP="00F43AD5">
    <w:pPr>
      <w:pStyle w:val="Header"/>
      <w:jc w:val="right"/>
    </w:pPr>
    <w:bookmarkStart w:id="5" w:name="_GoBack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60603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DD0655"/>
    <w:multiLevelType w:val="hybridMultilevel"/>
    <w:tmpl w:val="125A56D0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B0D58ED"/>
    <w:multiLevelType w:val="hybridMultilevel"/>
    <w:tmpl w:val="A008DFA2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6128"/>
    <w:rsid w:val="00007B80"/>
    <w:rsid w:val="000119C8"/>
    <w:rsid w:val="00013A22"/>
    <w:rsid w:val="00014C3F"/>
    <w:rsid w:val="00017C82"/>
    <w:rsid w:val="00032B88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B0868"/>
    <w:rsid w:val="000B3E12"/>
    <w:rsid w:val="000B3E78"/>
    <w:rsid w:val="000B6589"/>
    <w:rsid w:val="000B7B48"/>
    <w:rsid w:val="000B7CFF"/>
    <w:rsid w:val="000C096D"/>
    <w:rsid w:val="000C139A"/>
    <w:rsid w:val="000C2053"/>
    <w:rsid w:val="000C248C"/>
    <w:rsid w:val="000D291C"/>
    <w:rsid w:val="000E5A54"/>
    <w:rsid w:val="000E63D3"/>
    <w:rsid w:val="000E67CF"/>
    <w:rsid w:val="0010461E"/>
    <w:rsid w:val="00106FAA"/>
    <w:rsid w:val="00113443"/>
    <w:rsid w:val="00121E66"/>
    <w:rsid w:val="001269A7"/>
    <w:rsid w:val="00131092"/>
    <w:rsid w:val="00140E6A"/>
    <w:rsid w:val="00146545"/>
    <w:rsid w:val="00146B75"/>
    <w:rsid w:val="0015266D"/>
    <w:rsid w:val="0015288A"/>
    <w:rsid w:val="00160F47"/>
    <w:rsid w:val="001735A8"/>
    <w:rsid w:val="00177CA1"/>
    <w:rsid w:val="00183823"/>
    <w:rsid w:val="00183942"/>
    <w:rsid w:val="001A009E"/>
    <w:rsid w:val="001A1287"/>
    <w:rsid w:val="001A3859"/>
    <w:rsid w:val="001A3C9D"/>
    <w:rsid w:val="001A43F8"/>
    <w:rsid w:val="001B79E5"/>
    <w:rsid w:val="001C055B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14754"/>
    <w:rsid w:val="00221547"/>
    <w:rsid w:val="002216FC"/>
    <w:rsid w:val="00222533"/>
    <w:rsid w:val="00222F30"/>
    <w:rsid w:val="00224EE2"/>
    <w:rsid w:val="00227EC7"/>
    <w:rsid w:val="002433E9"/>
    <w:rsid w:val="00244AD1"/>
    <w:rsid w:val="002463BC"/>
    <w:rsid w:val="002465CE"/>
    <w:rsid w:val="0025734A"/>
    <w:rsid w:val="00260D5A"/>
    <w:rsid w:val="00263255"/>
    <w:rsid w:val="00276494"/>
    <w:rsid w:val="00277B0C"/>
    <w:rsid w:val="002B1A2C"/>
    <w:rsid w:val="002C34F2"/>
    <w:rsid w:val="002C58FF"/>
    <w:rsid w:val="002C7AFE"/>
    <w:rsid w:val="002D05D2"/>
    <w:rsid w:val="002E0D61"/>
    <w:rsid w:val="002E4C7B"/>
    <w:rsid w:val="0030740C"/>
    <w:rsid w:val="00315833"/>
    <w:rsid w:val="003215EE"/>
    <w:rsid w:val="003224BF"/>
    <w:rsid w:val="003241A8"/>
    <w:rsid w:val="003246EC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D4FA3"/>
    <w:rsid w:val="003D58E4"/>
    <w:rsid w:val="003E0807"/>
    <w:rsid w:val="003E51FB"/>
    <w:rsid w:val="003E6B39"/>
    <w:rsid w:val="003F07E1"/>
    <w:rsid w:val="004030BC"/>
    <w:rsid w:val="00403F7D"/>
    <w:rsid w:val="00406785"/>
    <w:rsid w:val="004079B4"/>
    <w:rsid w:val="0041081F"/>
    <w:rsid w:val="00417A56"/>
    <w:rsid w:val="00420957"/>
    <w:rsid w:val="00422A10"/>
    <w:rsid w:val="00430179"/>
    <w:rsid w:val="004414B5"/>
    <w:rsid w:val="004421E1"/>
    <w:rsid w:val="00444482"/>
    <w:rsid w:val="00444B42"/>
    <w:rsid w:val="00445E44"/>
    <w:rsid w:val="00446AC5"/>
    <w:rsid w:val="004509E2"/>
    <w:rsid w:val="004515EE"/>
    <w:rsid w:val="004529F0"/>
    <w:rsid w:val="00453163"/>
    <w:rsid w:val="00460A03"/>
    <w:rsid w:val="00466E7F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A65ED"/>
    <w:rsid w:val="004C1E3F"/>
    <w:rsid w:val="004C23F4"/>
    <w:rsid w:val="004C3475"/>
    <w:rsid w:val="004C58B6"/>
    <w:rsid w:val="004C607D"/>
    <w:rsid w:val="004D16A3"/>
    <w:rsid w:val="004D4AA1"/>
    <w:rsid w:val="004D6D68"/>
    <w:rsid w:val="004E5EDD"/>
    <w:rsid w:val="004F0A52"/>
    <w:rsid w:val="004F448A"/>
    <w:rsid w:val="004F493D"/>
    <w:rsid w:val="004F65E8"/>
    <w:rsid w:val="0050005E"/>
    <w:rsid w:val="00502B88"/>
    <w:rsid w:val="0050626F"/>
    <w:rsid w:val="005142C4"/>
    <w:rsid w:val="0051509C"/>
    <w:rsid w:val="005272E2"/>
    <w:rsid w:val="0053108F"/>
    <w:rsid w:val="00532B56"/>
    <w:rsid w:val="00534B10"/>
    <w:rsid w:val="005446A2"/>
    <w:rsid w:val="00544D2F"/>
    <w:rsid w:val="00551BD8"/>
    <w:rsid w:val="00552D14"/>
    <w:rsid w:val="00581055"/>
    <w:rsid w:val="005836BC"/>
    <w:rsid w:val="00591E38"/>
    <w:rsid w:val="005A19C5"/>
    <w:rsid w:val="005A3034"/>
    <w:rsid w:val="005A462D"/>
    <w:rsid w:val="005A6D51"/>
    <w:rsid w:val="005B253B"/>
    <w:rsid w:val="005B771D"/>
    <w:rsid w:val="005C5D16"/>
    <w:rsid w:val="005D3193"/>
    <w:rsid w:val="005D4A6E"/>
    <w:rsid w:val="005E0C10"/>
    <w:rsid w:val="005E6979"/>
    <w:rsid w:val="005E75CB"/>
    <w:rsid w:val="006013C1"/>
    <w:rsid w:val="0060669E"/>
    <w:rsid w:val="00610F2E"/>
    <w:rsid w:val="00611399"/>
    <w:rsid w:val="00612AF7"/>
    <w:rsid w:val="00624C4E"/>
    <w:rsid w:val="00625200"/>
    <w:rsid w:val="0062727B"/>
    <w:rsid w:val="00631CC1"/>
    <w:rsid w:val="006363A8"/>
    <w:rsid w:val="00636B9A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97111"/>
    <w:rsid w:val="006B160A"/>
    <w:rsid w:val="006B4E6C"/>
    <w:rsid w:val="006B50B6"/>
    <w:rsid w:val="006D79EA"/>
    <w:rsid w:val="006E2CE5"/>
    <w:rsid w:val="006E5D05"/>
    <w:rsid w:val="00701053"/>
    <w:rsid w:val="00701507"/>
    <w:rsid w:val="00714021"/>
    <w:rsid w:val="00716A0F"/>
    <w:rsid w:val="00717D45"/>
    <w:rsid w:val="007208F7"/>
    <w:rsid w:val="007218AF"/>
    <w:rsid w:val="007365D1"/>
    <w:rsid w:val="00740E0E"/>
    <w:rsid w:val="00750212"/>
    <w:rsid w:val="00754779"/>
    <w:rsid w:val="0075716D"/>
    <w:rsid w:val="00760E99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325D0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922CF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E7B64"/>
    <w:rsid w:val="008F5DCD"/>
    <w:rsid w:val="00900951"/>
    <w:rsid w:val="00903423"/>
    <w:rsid w:val="00911592"/>
    <w:rsid w:val="009118A6"/>
    <w:rsid w:val="00916909"/>
    <w:rsid w:val="00916EC0"/>
    <w:rsid w:val="00920467"/>
    <w:rsid w:val="00921DE7"/>
    <w:rsid w:val="0092615E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AB4"/>
    <w:rsid w:val="00977E88"/>
    <w:rsid w:val="00984920"/>
    <w:rsid w:val="0099303A"/>
    <w:rsid w:val="009971C2"/>
    <w:rsid w:val="009A013C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874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3681"/>
    <w:rsid w:val="00A633D4"/>
    <w:rsid w:val="00A638D5"/>
    <w:rsid w:val="00A6461A"/>
    <w:rsid w:val="00A767E2"/>
    <w:rsid w:val="00A84504"/>
    <w:rsid w:val="00A8672F"/>
    <w:rsid w:val="00A93057"/>
    <w:rsid w:val="00A968B0"/>
    <w:rsid w:val="00AB2672"/>
    <w:rsid w:val="00AB2817"/>
    <w:rsid w:val="00AB43C4"/>
    <w:rsid w:val="00AB5FDD"/>
    <w:rsid w:val="00AC32E7"/>
    <w:rsid w:val="00AC3A9F"/>
    <w:rsid w:val="00AC6339"/>
    <w:rsid w:val="00AC6D2F"/>
    <w:rsid w:val="00AD579D"/>
    <w:rsid w:val="00AE2745"/>
    <w:rsid w:val="00AE2F64"/>
    <w:rsid w:val="00AF42CB"/>
    <w:rsid w:val="00AF483F"/>
    <w:rsid w:val="00AF5C00"/>
    <w:rsid w:val="00AF5E07"/>
    <w:rsid w:val="00AF5F06"/>
    <w:rsid w:val="00B00A25"/>
    <w:rsid w:val="00B1422A"/>
    <w:rsid w:val="00B1765C"/>
    <w:rsid w:val="00B213C4"/>
    <w:rsid w:val="00B40C60"/>
    <w:rsid w:val="00B479A9"/>
    <w:rsid w:val="00B52EDF"/>
    <w:rsid w:val="00B6420B"/>
    <w:rsid w:val="00B71188"/>
    <w:rsid w:val="00B76A41"/>
    <w:rsid w:val="00B87D4C"/>
    <w:rsid w:val="00B93646"/>
    <w:rsid w:val="00BA0B38"/>
    <w:rsid w:val="00BA1DBB"/>
    <w:rsid w:val="00BA4510"/>
    <w:rsid w:val="00BA4D10"/>
    <w:rsid w:val="00BA529A"/>
    <w:rsid w:val="00BA640C"/>
    <w:rsid w:val="00BB612A"/>
    <w:rsid w:val="00BD499F"/>
    <w:rsid w:val="00BD56DE"/>
    <w:rsid w:val="00BF2406"/>
    <w:rsid w:val="00C06E43"/>
    <w:rsid w:val="00C16315"/>
    <w:rsid w:val="00C2341B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0D2E"/>
    <w:rsid w:val="00C80E0D"/>
    <w:rsid w:val="00C850A0"/>
    <w:rsid w:val="00C85A86"/>
    <w:rsid w:val="00C978F0"/>
    <w:rsid w:val="00CA58FE"/>
    <w:rsid w:val="00CB1CB1"/>
    <w:rsid w:val="00CB6BC1"/>
    <w:rsid w:val="00CB6CB8"/>
    <w:rsid w:val="00CC1946"/>
    <w:rsid w:val="00CC1A68"/>
    <w:rsid w:val="00CC2123"/>
    <w:rsid w:val="00CC6D04"/>
    <w:rsid w:val="00CD2BFD"/>
    <w:rsid w:val="00CE5AD6"/>
    <w:rsid w:val="00CE617F"/>
    <w:rsid w:val="00CE78EF"/>
    <w:rsid w:val="00D048F7"/>
    <w:rsid w:val="00D0517E"/>
    <w:rsid w:val="00D140FC"/>
    <w:rsid w:val="00D20616"/>
    <w:rsid w:val="00D21D8C"/>
    <w:rsid w:val="00D230CC"/>
    <w:rsid w:val="00D31357"/>
    <w:rsid w:val="00D3166E"/>
    <w:rsid w:val="00D33220"/>
    <w:rsid w:val="00D334D1"/>
    <w:rsid w:val="00D419B4"/>
    <w:rsid w:val="00D44C89"/>
    <w:rsid w:val="00D516CD"/>
    <w:rsid w:val="00D668E6"/>
    <w:rsid w:val="00D70670"/>
    <w:rsid w:val="00D74D80"/>
    <w:rsid w:val="00D76624"/>
    <w:rsid w:val="00D87570"/>
    <w:rsid w:val="00D91CB9"/>
    <w:rsid w:val="00D97989"/>
    <w:rsid w:val="00D97D8D"/>
    <w:rsid w:val="00DA352E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6F40"/>
    <w:rsid w:val="00E07CE8"/>
    <w:rsid w:val="00E139D3"/>
    <w:rsid w:val="00E26A07"/>
    <w:rsid w:val="00E32595"/>
    <w:rsid w:val="00E37CFD"/>
    <w:rsid w:val="00E41A26"/>
    <w:rsid w:val="00E46BCB"/>
    <w:rsid w:val="00E51CAF"/>
    <w:rsid w:val="00E60F04"/>
    <w:rsid w:val="00E62AAC"/>
    <w:rsid w:val="00E67C2F"/>
    <w:rsid w:val="00E67EF5"/>
    <w:rsid w:val="00E704DD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C1AEF"/>
    <w:rsid w:val="00ED1D89"/>
    <w:rsid w:val="00ED5E5F"/>
    <w:rsid w:val="00ED66BC"/>
    <w:rsid w:val="00EF233A"/>
    <w:rsid w:val="00EF303E"/>
    <w:rsid w:val="00EF3A40"/>
    <w:rsid w:val="00EF4A94"/>
    <w:rsid w:val="00EF7F78"/>
    <w:rsid w:val="00F01B08"/>
    <w:rsid w:val="00F01C4D"/>
    <w:rsid w:val="00F03F29"/>
    <w:rsid w:val="00F053FA"/>
    <w:rsid w:val="00F10C97"/>
    <w:rsid w:val="00F11C71"/>
    <w:rsid w:val="00F16019"/>
    <w:rsid w:val="00F20E68"/>
    <w:rsid w:val="00F22093"/>
    <w:rsid w:val="00F236DF"/>
    <w:rsid w:val="00F3715E"/>
    <w:rsid w:val="00F3722D"/>
    <w:rsid w:val="00F43AD5"/>
    <w:rsid w:val="00F4402E"/>
    <w:rsid w:val="00F56DD0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C6B57"/>
    <w:rsid w:val="00FD1871"/>
    <w:rsid w:val="00FD3110"/>
    <w:rsid w:val="00FD68D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."/>
  <w:listSeparator w:val=","/>
  <w14:docId w14:val="667FB8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C2341B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paragraph" w:styleId="ListBullet">
    <w:name w:val="List Bullet"/>
    <w:basedOn w:val="Normal"/>
    <w:uiPriority w:val="99"/>
    <w:unhideWhenUsed/>
    <w:rsid w:val="000B6589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C63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633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633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3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6339"/>
    <w:rPr>
      <w:b/>
      <w:bCs/>
      <w:szCs w:val="20"/>
    </w:rPr>
  </w:style>
  <w:style w:type="paragraph" w:styleId="Revision">
    <w:name w:val="Revision"/>
    <w:hidden/>
    <w:uiPriority w:val="99"/>
    <w:semiHidden/>
    <w:rsid w:val="004531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32968BF93744FAABC5FC124DBE0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D2459-1556-46A4-AC27-2E79E2305DAC}"/>
      </w:docPartPr>
      <w:docPartBody>
        <w:p w:rsidR="00D21A9F" w:rsidRDefault="00D21A9F">
          <w:pPr>
            <w:pStyle w:val="EA32968BF93744FAABC5FC124DBE04BD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EA51C8540A4D4F0A9062F5B1698DC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D35A6-51B4-4D9C-B1D2-B881B06F755D}"/>
      </w:docPartPr>
      <w:docPartBody>
        <w:p w:rsidR="00D21A9F" w:rsidRDefault="00D21A9F">
          <w:pPr>
            <w:pStyle w:val="EA51C8540A4D4F0A9062F5B1698DCBB0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05658942B1104A27A8A5C25F49054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47685-94BD-40C6-9B8E-DCAC1C4BB4E1}"/>
      </w:docPartPr>
      <w:docPartBody>
        <w:p w:rsidR="007C4C61" w:rsidRDefault="00E51E3E" w:rsidP="00E51E3E">
          <w:pPr>
            <w:pStyle w:val="05658942B1104A27A8A5C25F4905478C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1407E4"/>
    <w:rsid w:val="00352B95"/>
    <w:rsid w:val="003D6640"/>
    <w:rsid w:val="007C4C61"/>
    <w:rsid w:val="008B743E"/>
    <w:rsid w:val="00D21A9F"/>
    <w:rsid w:val="00D434C6"/>
    <w:rsid w:val="00E5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6640"/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32B931D51B824A85A63A5CCFBDE558F0">
    <w:name w:val="32B931D51B824A85A63A5CCFBDE558F0"/>
    <w:rsid w:val="00352B95"/>
    <w:rPr>
      <w:lang w:val="en-US" w:eastAsia="en-US"/>
    </w:rPr>
  </w:style>
  <w:style w:type="paragraph" w:customStyle="1" w:styleId="7DE76CFBBB774E69AA1D234336EA337A">
    <w:name w:val="7DE76CFBBB774E69AA1D234336EA337A"/>
    <w:rsid w:val="00352B95"/>
    <w:rPr>
      <w:lang w:val="en-US" w:eastAsia="en-US"/>
    </w:rPr>
  </w:style>
  <w:style w:type="paragraph" w:customStyle="1" w:styleId="20C550BB182544A1A883AE02F334CF9B">
    <w:name w:val="20C550BB182544A1A883AE02F334CF9B"/>
    <w:rsid w:val="00352B95"/>
    <w:rPr>
      <w:lang w:val="en-US" w:eastAsia="en-US"/>
    </w:rPr>
  </w:style>
  <w:style w:type="paragraph" w:customStyle="1" w:styleId="DD55025BA0F34310BCE68F3038C991C8">
    <w:name w:val="DD55025BA0F34310BCE68F3038C991C8"/>
    <w:rsid w:val="00352B95"/>
    <w:rPr>
      <w:lang w:val="en-US" w:eastAsia="en-US"/>
    </w:rPr>
  </w:style>
  <w:style w:type="paragraph" w:customStyle="1" w:styleId="B2E3B81129174237885F447AF28C4FE9">
    <w:name w:val="B2E3B81129174237885F447AF28C4FE9"/>
    <w:rsid w:val="00352B95"/>
    <w:rPr>
      <w:lang w:val="en-US" w:eastAsia="en-US"/>
    </w:rPr>
  </w:style>
  <w:style w:type="paragraph" w:customStyle="1" w:styleId="796C388F49EF4BC88A113EB137225DAF">
    <w:name w:val="796C388F49EF4BC88A113EB137225DAF"/>
    <w:rsid w:val="00352B95"/>
    <w:rPr>
      <w:lang w:val="en-US" w:eastAsia="en-US"/>
    </w:rPr>
  </w:style>
  <w:style w:type="paragraph" w:customStyle="1" w:styleId="517FDA2C757045EA97C6251721ACF4E9">
    <w:name w:val="517FDA2C757045EA97C6251721ACF4E9"/>
    <w:rsid w:val="00352B95"/>
    <w:rPr>
      <w:lang w:val="en-US" w:eastAsia="en-US"/>
    </w:rPr>
  </w:style>
  <w:style w:type="paragraph" w:customStyle="1" w:styleId="D117345DE8FD43E8897FEC9359E57D2D">
    <w:name w:val="D117345DE8FD43E8897FEC9359E57D2D"/>
    <w:rsid w:val="00352B95"/>
    <w:rPr>
      <w:lang w:val="en-US" w:eastAsia="en-US"/>
    </w:rPr>
  </w:style>
  <w:style w:type="paragraph" w:customStyle="1" w:styleId="B74FB3A724684A488A5891F554553814">
    <w:name w:val="B74FB3A724684A488A5891F554553814"/>
    <w:rsid w:val="00D434C6"/>
    <w:rPr>
      <w:lang w:val="en-US" w:eastAsia="en-US"/>
    </w:rPr>
  </w:style>
  <w:style w:type="paragraph" w:customStyle="1" w:styleId="D4F347CB8A6A424FAB3FCCC50610C944">
    <w:name w:val="D4F347CB8A6A424FAB3FCCC50610C944"/>
    <w:rsid w:val="00D434C6"/>
    <w:rPr>
      <w:lang w:val="en-US" w:eastAsia="en-US"/>
    </w:rPr>
  </w:style>
  <w:style w:type="paragraph" w:customStyle="1" w:styleId="435A6984132D40D1ABA0516E4E4B269E">
    <w:name w:val="435A6984132D40D1ABA0516E4E4B269E"/>
    <w:rsid w:val="00E51E3E"/>
  </w:style>
  <w:style w:type="paragraph" w:customStyle="1" w:styleId="05658942B1104A27A8A5C25F4905478C">
    <w:name w:val="05658942B1104A27A8A5C25F4905478C"/>
    <w:rsid w:val="00E51E3E"/>
  </w:style>
  <w:style w:type="paragraph" w:customStyle="1" w:styleId="A2744F5FFC534BA2A898C393F1E3436C">
    <w:name w:val="A2744F5FFC534BA2A898C393F1E3436C"/>
    <w:rsid w:val="003D6640"/>
    <w:rPr>
      <w:lang w:val="en-US" w:eastAsia="en-US"/>
    </w:rPr>
  </w:style>
  <w:style w:type="paragraph" w:customStyle="1" w:styleId="8E771EDEE200451FA5D408A08A99091D">
    <w:name w:val="8E771EDEE200451FA5D408A08A99091D"/>
    <w:rsid w:val="003D6640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D2F1E-21D2-431D-9C42-DCE53E5221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217787-8D93-4267-AFA7-A5871A21E4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D99D0B-E114-43D1-9F30-3D52DCE82E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5E2C39-9044-4AD3-B80E-95509FA78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372D0221.dotm</Template>
  <TotalTime>0</TotalTime>
  <Pages>5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2019-12-16T05:51:00Z</dcterms:created>
  <dcterms:modified xsi:type="dcterms:W3CDTF">2020-01-15T21:33:00Z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