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F36C40D" w14:textId="64E0C60C" w:rsidR="00BD499F" w:rsidRPr="004C23F4" w:rsidRDefault="006E7D6A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Ketene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2"/>
        <w:gridCol w:w="5044"/>
      </w:tblGrid>
      <w:tr w:rsidR="00F43AD5" w:rsidRPr="004C23F4" w14:paraId="4CD229EA" w14:textId="77777777" w:rsidTr="00B76A41">
        <w:trPr>
          <w:cantSplit/>
          <w:tblHeader/>
        </w:trPr>
        <w:tc>
          <w:tcPr>
            <w:tcW w:w="4077" w:type="dxa"/>
          </w:tcPr>
          <w:p w14:paraId="130BF18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C3C9FFA" w14:textId="1829B179" w:rsidR="00F43AD5" w:rsidRPr="00717D45" w:rsidRDefault="003826F4" w:rsidP="00B76A41">
            <w:pPr>
              <w:pStyle w:val="Tablefont"/>
            </w:pPr>
            <w:r w:rsidRPr="003826F4">
              <w:t>463-51-4</w:t>
            </w:r>
          </w:p>
        </w:tc>
      </w:tr>
      <w:tr w:rsidR="00F43AD5" w:rsidRPr="004C23F4" w14:paraId="6977B21F" w14:textId="77777777" w:rsidTr="00B76A41">
        <w:trPr>
          <w:cantSplit/>
        </w:trPr>
        <w:tc>
          <w:tcPr>
            <w:tcW w:w="4077" w:type="dxa"/>
          </w:tcPr>
          <w:p w14:paraId="359EC5A8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27119B18" w14:textId="3CC2E56D" w:rsidR="00F43AD5" w:rsidRPr="00717D45" w:rsidRDefault="003826F4" w:rsidP="00B76A41">
            <w:pPr>
              <w:pStyle w:val="Tablefont"/>
            </w:pPr>
            <w:proofErr w:type="spellStart"/>
            <w:r>
              <w:t>Carbomethane</w:t>
            </w:r>
            <w:proofErr w:type="spellEnd"/>
            <w:r>
              <w:t xml:space="preserve">, </w:t>
            </w:r>
            <w:proofErr w:type="spellStart"/>
            <w:r>
              <w:t>ethenone</w:t>
            </w:r>
            <w:proofErr w:type="spellEnd"/>
          </w:p>
        </w:tc>
      </w:tr>
      <w:tr w:rsidR="00F43AD5" w:rsidRPr="004C23F4" w14:paraId="0A3031A0" w14:textId="77777777" w:rsidTr="00B76A41">
        <w:trPr>
          <w:cantSplit/>
        </w:trPr>
        <w:tc>
          <w:tcPr>
            <w:tcW w:w="4077" w:type="dxa"/>
          </w:tcPr>
          <w:p w14:paraId="2FF93743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6C9E3AE" w14:textId="4689ED52" w:rsidR="00F43AD5" w:rsidRPr="00717D45" w:rsidRDefault="003826F4" w:rsidP="00B76A41">
            <w:pPr>
              <w:pStyle w:val="Tablefont"/>
            </w:pPr>
            <w:r>
              <w:t>C</w:t>
            </w:r>
            <w:r w:rsidRPr="003826F4">
              <w:rPr>
                <w:vertAlign w:val="subscript"/>
              </w:rPr>
              <w:t>2</w:t>
            </w:r>
            <w:r>
              <w:t>H</w:t>
            </w:r>
            <w:r w:rsidRPr="003826F4">
              <w:rPr>
                <w:vertAlign w:val="subscript"/>
              </w:rPr>
              <w:t>2</w:t>
            </w:r>
            <w:r>
              <w:t>O</w:t>
            </w:r>
          </w:p>
        </w:tc>
      </w:tr>
      <w:tr w:rsidR="00F43AD5" w:rsidRPr="004C23F4" w14:paraId="3E617F65" w14:textId="77777777" w:rsidTr="00B76A41">
        <w:trPr>
          <w:cantSplit/>
        </w:trPr>
        <w:tc>
          <w:tcPr>
            <w:tcW w:w="4077" w:type="dxa"/>
          </w:tcPr>
          <w:p w14:paraId="75EC8F6E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0F4753AB" w14:textId="4B0FC57A" w:rsidR="00F43AD5" w:rsidRPr="003826F4" w:rsidRDefault="003826F4" w:rsidP="00B76A41">
            <w:pPr>
              <w:pStyle w:val="Tablerowheading"/>
              <w:rPr>
                <w:b w:val="0"/>
              </w:rPr>
            </w:pPr>
            <w:r w:rsidRPr="003826F4">
              <w:rPr>
                <w:b w:val="0"/>
              </w:rPr>
              <w:t>—</w:t>
            </w:r>
          </w:p>
        </w:tc>
      </w:tr>
    </w:tbl>
    <w:p w14:paraId="3D6108FA" w14:textId="2BE4534D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D437CF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6612CC39" w14:textId="77777777" w:rsidTr="001F75E5">
        <w:trPr>
          <w:cantSplit/>
          <w:tblHeader/>
        </w:trPr>
        <w:tc>
          <w:tcPr>
            <w:tcW w:w="4005" w:type="dxa"/>
            <w:vAlign w:val="center"/>
          </w:tcPr>
          <w:p w14:paraId="4EA23D0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410B3591" w14:textId="3EE98940" w:rsidR="002C7AFE" w:rsidRPr="00EB3D1B" w:rsidRDefault="004601FD" w:rsidP="00017C82">
            <w:pPr>
              <w:pStyle w:val="Tablefont"/>
              <w:rPr>
                <w:b/>
              </w:rPr>
            </w:pPr>
            <w:r w:rsidRPr="004601FD">
              <w:rPr>
                <w:b/>
              </w:rPr>
              <w:t>0.5 ppm (0.86 mg/m</w:t>
            </w:r>
            <w:r w:rsidRPr="004601FD">
              <w:rPr>
                <w:b/>
                <w:vertAlign w:val="superscript"/>
              </w:rPr>
              <w:t>3</w:t>
            </w:r>
            <w:r w:rsidRPr="004601FD">
              <w:rPr>
                <w:b/>
              </w:rPr>
              <w:t>)</w:t>
            </w:r>
          </w:p>
        </w:tc>
      </w:tr>
      <w:tr w:rsidR="002C7AFE" w:rsidRPr="004C23F4" w14:paraId="1E2FAE1D" w14:textId="77777777" w:rsidTr="001F75E5">
        <w:trPr>
          <w:cantSplit/>
        </w:trPr>
        <w:tc>
          <w:tcPr>
            <w:tcW w:w="4005" w:type="dxa"/>
            <w:vAlign w:val="center"/>
          </w:tcPr>
          <w:p w14:paraId="7A318AA8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59A15B12" w14:textId="07A6AA3E" w:rsidR="002C7AFE" w:rsidRPr="00EB3D1B" w:rsidRDefault="004601F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3F85F2F" w14:textId="77777777" w:rsidTr="001F75E5">
        <w:trPr>
          <w:cantSplit/>
        </w:trPr>
        <w:tc>
          <w:tcPr>
            <w:tcW w:w="4005" w:type="dxa"/>
            <w:vAlign w:val="center"/>
          </w:tcPr>
          <w:p w14:paraId="26374995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320E91B3" w14:textId="28F72D0A" w:rsidR="002C7AFE" w:rsidRPr="00EB3D1B" w:rsidRDefault="004601FD" w:rsidP="00017C82">
            <w:pPr>
              <w:pStyle w:val="Tablefont"/>
              <w:rPr>
                <w:b/>
              </w:rPr>
            </w:pPr>
            <w:r w:rsidRPr="004601FD">
              <w:rPr>
                <w:b/>
              </w:rPr>
              <w:t>1.5 ppm (2.6 mg/m</w:t>
            </w:r>
            <w:r w:rsidRPr="004601FD">
              <w:rPr>
                <w:b/>
                <w:vertAlign w:val="superscript"/>
              </w:rPr>
              <w:t>3</w:t>
            </w:r>
            <w:r w:rsidRPr="004601FD">
              <w:rPr>
                <w:b/>
              </w:rPr>
              <w:t>)</w:t>
            </w:r>
          </w:p>
        </w:tc>
      </w:tr>
      <w:tr w:rsidR="002C7AFE" w:rsidRPr="004C23F4" w14:paraId="04638B35" w14:textId="77777777" w:rsidTr="001F75E5">
        <w:trPr>
          <w:cantSplit/>
        </w:trPr>
        <w:tc>
          <w:tcPr>
            <w:tcW w:w="4005" w:type="dxa"/>
          </w:tcPr>
          <w:p w14:paraId="1A688224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3655607E" w14:textId="3A42ECD5" w:rsidR="002C7AFE" w:rsidRPr="00EB3D1B" w:rsidRDefault="004601FD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9D0516A" w14:textId="77777777" w:rsidTr="001F75E5">
        <w:trPr>
          <w:cantSplit/>
        </w:trPr>
        <w:tc>
          <w:tcPr>
            <w:tcW w:w="4005" w:type="dxa"/>
            <w:vAlign w:val="center"/>
          </w:tcPr>
          <w:p w14:paraId="79E02407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26D30E17" w14:textId="71BA89DC" w:rsidR="002C7AFE" w:rsidRPr="00EB3D1B" w:rsidRDefault="003826F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5 ppm </w:t>
            </w:r>
          </w:p>
        </w:tc>
      </w:tr>
      <w:tr w:rsidR="001F75E5" w:rsidRPr="004C23F4" w14:paraId="38660928" w14:textId="77777777" w:rsidTr="0071766B">
        <w:trPr>
          <w:cantSplit/>
        </w:trPr>
        <w:tc>
          <w:tcPr>
            <w:tcW w:w="9026" w:type="dxa"/>
            <w:gridSpan w:val="2"/>
            <w:vAlign w:val="center"/>
          </w:tcPr>
          <w:p w14:paraId="22A1E8A0" w14:textId="40DA961B" w:rsidR="001F75E5" w:rsidRPr="00EB3D1B" w:rsidRDefault="001F75E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Sampling and analy</w:t>
            </w:r>
            <w:r w:rsidRPr="001F75E5">
              <w:rPr>
                <w:b/>
              </w:rPr>
              <w:t>sis:</w:t>
            </w:r>
            <w:r w:rsidRPr="001F75E5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897325DDAFB148B28438C59FD027DED8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D7A24DD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3725891" w14:textId="15D41176" w:rsidR="00553C7D" w:rsidRDefault="0037773E" w:rsidP="000C139A">
      <w:pPr>
        <w:rPr>
          <w:rFonts w:cs="Arial"/>
        </w:rPr>
      </w:pPr>
      <w:r w:rsidRPr="0037773E">
        <w:rPr>
          <w:rFonts w:cs="Arial"/>
        </w:rPr>
        <w:t>A</w:t>
      </w:r>
      <w:r w:rsidR="002F6F62">
        <w:rPr>
          <w:rFonts w:cs="Arial"/>
        </w:rPr>
        <w:t>n interim</w:t>
      </w:r>
      <w:r w:rsidRPr="0037773E">
        <w:rPr>
          <w:rFonts w:cs="Arial"/>
        </w:rPr>
        <w:t xml:space="preserve"> TWA of </w:t>
      </w:r>
      <w:r>
        <w:rPr>
          <w:rFonts w:cs="Arial"/>
        </w:rPr>
        <w:t>0.5</w:t>
      </w:r>
      <w:r w:rsidRPr="0037773E">
        <w:rPr>
          <w:rFonts w:cs="Arial"/>
        </w:rPr>
        <w:t xml:space="preserve"> ppm (</w:t>
      </w:r>
      <w:r>
        <w:rPr>
          <w:rFonts w:cs="Arial"/>
        </w:rPr>
        <w:t>0.86</w:t>
      </w:r>
      <w:r w:rsidRPr="0037773E">
        <w:rPr>
          <w:rFonts w:cs="Arial"/>
        </w:rPr>
        <w:t xml:space="preserve"> mg/m</w:t>
      </w:r>
      <w:r w:rsidRPr="0037773E">
        <w:rPr>
          <w:rFonts w:cs="Arial"/>
          <w:vertAlign w:val="superscript"/>
        </w:rPr>
        <w:t>3</w:t>
      </w:r>
      <w:r w:rsidR="002F6F62">
        <w:rPr>
          <w:rFonts w:cs="Arial"/>
        </w:rPr>
        <w:t xml:space="preserve">) is recommended </w:t>
      </w:r>
      <w:r w:rsidRPr="0037773E">
        <w:rPr>
          <w:rFonts w:cs="Arial"/>
        </w:rPr>
        <w:t xml:space="preserve">to protect for </w:t>
      </w:r>
      <w:r w:rsidR="006A09E0">
        <w:rPr>
          <w:rFonts w:cs="Arial"/>
        </w:rPr>
        <w:t>irritant effects</w:t>
      </w:r>
      <w:r>
        <w:rPr>
          <w:rFonts w:cs="Arial"/>
        </w:rPr>
        <w:t xml:space="preserve"> </w:t>
      </w:r>
      <w:r w:rsidRPr="0037773E">
        <w:rPr>
          <w:rFonts w:cs="Arial"/>
        </w:rPr>
        <w:t xml:space="preserve">in exposed workers. </w:t>
      </w:r>
    </w:p>
    <w:p w14:paraId="11E50A41" w14:textId="1A820076" w:rsidR="006639B4" w:rsidRDefault="0037773E" w:rsidP="000C139A">
      <w:pPr>
        <w:rPr>
          <w:rFonts w:cs="Arial"/>
        </w:rPr>
      </w:pPr>
      <w:r>
        <w:rPr>
          <w:rFonts w:cs="Arial"/>
        </w:rPr>
        <w:t xml:space="preserve">A </w:t>
      </w:r>
      <w:r w:rsidR="005C5FE4">
        <w:rPr>
          <w:rFonts w:cs="Arial"/>
        </w:rPr>
        <w:t>peak limitation</w:t>
      </w:r>
      <w:r w:rsidRPr="0037773E">
        <w:rPr>
          <w:rFonts w:cs="Arial"/>
        </w:rPr>
        <w:t xml:space="preserve"> of </w:t>
      </w:r>
      <w:r>
        <w:rPr>
          <w:rFonts w:cs="Arial"/>
        </w:rPr>
        <w:t>1</w:t>
      </w:r>
      <w:r w:rsidR="005C5FE4">
        <w:rPr>
          <w:rFonts w:cs="Arial"/>
        </w:rPr>
        <w:t xml:space="preserve">.5 </w:t>
      </w:r>
      <w:r w:rsidRPr="0037773E">
        <w:rPr>
          <w:rFonts w:cs="Arial"/>
        </w:rPr>
        <w:t>ppm (</w:t>
      </w:r>
      <w:r w:rsidR="005C5FE4">
        <w:rPr>
          <w:rFonts w:cs="Arial"/>
        </w:rPr>
        <w:t>2.6</w:t>
      </w:r>
      <w:r w:rsidRPr="0037773E">
        <w:rPr>
          <w:rFonts w:cs="Arial"/>
        </w:rPr>
        <w:t xml:space="preserve"> mg/m</w:t>
      </w:r>
      <w:r w:rsidRPr="005C5FE4">
        <w:rPr>
          <w:rFonts w:cs="Arial"/>
          <w:vertAlign w:val="superscript"/>
        </w:rPr>
        <w:t>3</w:t>
      </w:r>
      <w:r w:rsidRPr="0037773E">
        <w:rPr>
          <w:rFonts w:cs="Arial"/>
        </w:rPr>
        <w:t xml:space="preserve">) is recommended to protect for </w:t>
      </w:r>
      <w:r w:rsidR="006A09E0">
        <w:rPr>
          <w:rFonts w:cs="Arial"/>
        </w:rPr>
        <w:t>lung</w:t>
      </w:r>
      <w:r w:rsidR="005C5FE4">
        <w:rPr>
          <w:rFonts w:cs="Arial"/>
        </w:rPr>
        <w:t xml:space="preserve"> damage</w:t>
      </w:r>
      <w:r w:rsidR="00553C7D">
        <w:rPr>
          <w:rFonts w:cs="Arial"/>
        </w:rPr>
        <w:t xml:space="preserve"> in acutely exposed workers</w:t>
      </w:r>
      <w:r w:rsidR="005C5FE4">
        <w:rPr>
          <w:rFonts w:cs="Arial"/>
        </w:rPr>
        <w:t>.</w:t>
      </w:r>
    </w:p>
    <w:p w14:paraId="71B77D79" w14:textId="77777777" w:rsidR="00D437CF" w:rsidRDefault="00D437CF" w:rsidP="00D437CF">
      <w:pPr>
        <w:rPr>
          <w:rFonts w:cs="Arial"/>
        </w:rPr>
      </w:pPr>
      <w:r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1AC71C88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72C9904" w14:textId="7B9A4CE5" w:rsidR="00174375" w:rsidRDefault="005C5FE4" w:rsidP="006639B4">
      <w:pPr>
        <w:rPr>
          <w:rFonts w:cs="Arial"/>
        </w:rPr>
      </w:pPr>
      <w:r>
        <w:rPr>
          <w:rFonts w:cs="Arial"/>
        </w:rPr>
        <w:t xml:space="preserve">Ketene is </w:t>
      </w:r>
      <w:r w:rsidR="003E399F">
        <w:rPr>
          <w:rFonts w:cs="Arial"/>
        </w:rPr>
        <w:t>a gas under standard conditions</w:t>
      </w:r>
      <w:r w:rsidR="003A3FC3">
        <w:rPr>
          <w:rFonts w:cs="Arial"/>
        </w:rPr>
        <w:t xml:space="preserve"> that polymerises readily. It is used</w:t>
      </w:r>
      <w:r w:rsidR="003E399F">
        <w:rPr>
          <w:rFonts w:cs="Arial"/>
        </w:rPr>
        <w:t xml:space="preserve"> as an intermediate</w:t>
      </w:r>
      <w:r w:rsidR="00B85BF0">
        <w:rPr>
          <w:rFonts w:cs="Arial"/>
        </w:rPr>
        <w:t xml:space="preserve"> in chemical manufacture.</w:t>
      </w:r>
      <w:r w:rsidR="00174375">
        <w:rPr>
          <w:rFonts w:cs="Arial"/>
        </w:rPr>
        <w:t xml:space="preserve"> Critical effects </w:t>
      </w:r>
      <w:r w:rsidR="002F6F62">
        <w:rPr>
          <w:rFonts w:cs="Arial"/>
        </w:rPr>
        <w:t xml:space="preserve">of exposure </w:t>
      </w:r>
      <w:r w:rsidR="00174375">
        <w:rPr>
          <w:rFonts w:cs="Arial"/>
        </w:rPr>
        <w:t>are respiratory tract and eye irritation, pulmonary oedema</w:t>
      </w:r>
      <w:r w:rsidR="006A09E0">
        <w:rPr>
          <w:rFonts w:cs="Arial"/>
        </w:rPr>
        <w:t>, and irreversible lung damage</w:t>
      </w:r>
      <w:r w:rsidR="00174375">
        <w:rPr>
          <w:rFonts w:cs="Arial"/>
        </w:rPr>
        <w:t>.</w:t>
      </w:r>
    </w:p>
    <w:p w14:paraId="6DA05AF3" w14:textId="77777777" w:rsidR="002F6F62" w:rsidRDefault="006A09E0" w:rsidP="006639B4">
      <w:pPr>
        <w:rPr>
          <w:rFonts w:cs="Arial"/>
        </w:rPr>
      </w:pPr>
      <w:r>
        <w:rPr>
          <w:rFonts w:cs="Arial"/>
        </w:rPr>
        <w:t>No human exposur</w:t>
      </w:r>
      <w:r w:rsidR="00D437CF">
        <w:rPr>
          <w:rFonts w:cs="Arial"/>
        </w:rPr>
        <w:t>e data are currently available and o</w:t>
      </w:r>
      <w:r>
        <w:rPr>
          <w:rFonts w:cs="Arial"/>
        </w:rPr>
        <w:t>ccupational exposure</w:t>
      </w:r>
      <w:r w:rsidR="00D437CF">
        <w:rPr>
          <w:rFonts w:cs="Arial"/>
        </w:rPr>
        <w:t>s are</w:t>
      </w:r>
      <w:r w:rsidR="003E399F">
        <w:rPr>
          <w:rFonts w:cs="Arial"/>
        </w:rPr>
        <w:t xml:space="preserve"> rare due to the</w:t>
      </w:r>
      <w:r>
        <w:rPr>
          <w:rFonts w:cs="Arial"/>
        </w:rPr>
        <w:t xml:space="preserve"> instability of the compound (HCOTN, 2001). </w:t>
      </w:r>
      <w:r w:rsidR="002F6F62">
        <w:rPr>
          <w:rFonts w:cs="Arial"/>
        </w:rPr>
        <w:t>A r</w:t>
      </w:r>
      <w:r w:rsidR="00174375">
        <w:rPr>
          <w:rFonts w:cs="Arial"/>
        </w:rPr>
        <w:t>epeat inhalation stud</w:t>
      </w:r>
      <w:r w:rsidR="002F6F62">
        <w:rPr>
          <w:rFonts w:cs="Arial"/>
        </w:rPr>
        <w:t>y</w:t>
      </w:r>
      <w:r w:rsidR="00174375">
        <w:rPr>
          <w:rFonts w:cs="Arial"/>
        </w:rPr>
        <w:t xml:space="preserve"> </w:t>
      </w:r>
      <w:r w:rsidR="00D437CF">
        <w:rPr>
          <w:rFonts w:cs="Arial"/>
        </w:rPr>
        <w:t>in</w:t>
      </w:r>
      <w:r w:rsidR="002F6F62">
        <w:rPr>
          <w:rFonts w:cs="Arial"/>
        </w:rPr>
        <w:t xml:space="preserve"> </w:t>
      </w:r>
      <w:r w:rsidR="00821CEA">
        <w:rPr>
          <w:rFonts w:cs="Arial"/>
        </w:rPr>
        <w:t>animal</w:t>
      </w:r>
      <w:r w:rsidR="00D437CF">
        <w:rPr>
          <w:rFonts w:cs="Arial"/>
        </w:rPr>
        <w:t>s</w:t>
      </w:r>
      <w:r w:rsidR="00821CEA">
        <w:rPr>
          <w:rFonts w:cs="Arial"/>
        </w:rPr>
        <w:t xml:space="preserve"> </w:t>
      </w:r>
      <w:r w:rsidR="002F6F62">
        <w:rPr>
          <w:rFonts w:cs="Arial"/>
        </w:rPr>
        <w:t xml:space="preserve">that </w:t>
      </w:r>
      <w:r w:rsidR="005C5FE4">
        <w:rPr>
          <w:rFonts w:cs="Arial"/>
        </w:rPr>
        <w:t>report</w:t>
      </w:r>
      <w:r w:rsidR="002F6F62">
        <w:rPr>
          <w:rFonts w:cs="Arial"/>
        </w:rPr>
        <w:t>s</w:t>
      </w:r>
      <w:r w:rsidR="00174375">
        <w:rPr>
          <w:rFonts w:cs="Arial"/>
        </w:rPr>
        <w:t xml:space="preserve"> </w:t>
      </w:r>
      <w:proofErr w:type="gramStart"/>
      <w:r w:rsidR="00091C4A">
        <w:rPr>
          <w:rFonts w:cs="Arial"/>
        </w:rPr>
        <w:t xml:space="preserve">a </w:t>
      </w:r>
      <w:r w:rsidR="002F6F62">
        <w:rPr>
          <w:rFonts w:cs="Arial"/>
        </w:rPr>
        <w:t xml:space="preserve"> NOAEC</w:t>
      </w:r>
      <w:proofErr w:type="gramEnd"/>
      <w:r w:rsidR="002F6F62">
        <w:rPr>
          <w:rFonts w:cs="Arial"/>
        </w:rPr>
        <w:t xml:space="preserve"> of 1 ppm and a LOAEC of 5 ppm for pulmonary damage </w:t>
      </w:r>
      <w:r w:rsidR="00174375">
        <w:rPr>
          <w:rFonts w:cs="Arial"/>
        </w:rPr>
        <w:t>(ACGIH, 2018</w:t>
      </w:r>
      <w:r>
        <w:rPr>
          <w:rFonts w:cs="Arial"/>
        </w:rPr>
        <w:t>)</w:t>
      </w:r>
      <w:r w:rsidR="00DA50EA">
        <w:rPr>
          <w:rFonts w:cs="Arial"/>
        </w:rPr>
        <w:t xml:space="preserve"> </w:t>
      </w:r>
      <w:r w:rsidR="000523C4">
        <w:rPr>
          <w:rFonts w:cs="Arial"/>
        </w:rPr>
        <w:t xml:space="preserve">is </w:t>
      </w:r>
      <w:r w:rsidR="00DA50EA">
        <w:rPr>
          <w:rFonts w:cs="Arial"/>
        </w:rPr>
        <w:t>considered unreliable by DFG (2003)</w:t>
      </w:r>
      <w:r w:rsidR="00387139">
        <w:rPr>
          <w:rFonts w:cs="Arial"/>
        </w:rPr>
        <w:t xml:space="preserve">. </w:t>
      </w:r>
    </w:p>
    <w:p w14:paraId="2D1C205B" w14:textId="77777777" w:rsidR="002F6F62" w:rsidRDefault="002F6F62" w:rsidP="002F6F62">
      <w:pPr>
        <w:rPr>
          <w:rFonts w:cs="Arial"/>
        </w:rPr>
      </w:pPr>
      <w:r>
        <w:rPr>
          <w:rFonts w:cs="Arial"/>
        </w:rPr>
        <w:t xml:space="preserve">Evidence for genotoxicity is limited to two equivocal studies (HCOTN, 2001). Increased risk for blood and lymph cancers in a small number of human case studies were insufficient to characterise carcinogenic potential (HCOTN, 2001). </w:t>
      </w:r>
    </w:p>
    <w:p w14:paraId="3CF69110" w14:textId="77777777" w:rsidR="002F6F62" w:rsidRDefault="00D437CF" w:rsidP="002F6F62">
      <w:pPr>
        <w:rPr>
          <w:rFonts w:cs="Arial"/>
        </w:rPr>
      </w:pPr>
      <w:r>
        <w:rPr>
          <w:rFonts w:cs="Arial"/>
        </w:rPr>
        <w:t>Based on animal studies</w:t>
      </w:r>
      <w:r w:rsidR="000B477F">
        <w:rPr>
          <w:rFonts w:cs="Arial"/>
        </w:rPr>
        <w:t>,</w:t>
      </w:r>
      <w:r>
        <w:rPr>
          <w:rFonts w:cs="Arial"/>
        </w:rPr>
        <w:t xml:space="preserve"> </w:t>
      </w:r>
      <w:r w:rsidR="002F6F62">
        <w:rPr>
          <w:rFonts w:cs="Arial"/>
        </w:rPr>
        <w:t>an interim</w:t>
      </w:r>
      <w:r w:rsidR="00B567C6">
        <w:rPr>
          <w:rFonts w:cs="Arial"/>
        </w:rPr>
        <w:t xml:space="preserve"> </w:t>
      </w:r>
      <w:r w:rsidR="000B477F">
        <w:rPr>
          <w:rFonts w:cs="Arial"/>
        </w:rPr>
        <w:t>TWA</w:t>
      </w:r>
      <w:r w:rsidR="00553C7D">
        <w:rPr>
          <w:rFonts w:cs="Arial"/>
        </w:rPr>
        <w:t xml:space="preserve"> of 0.5 ppm</w:t>
      </w:r>
      <w:r>
        <w:rPr>
          <w:rFonts w:cs="Arial"/>
        </w:rPr>
        <w:t xml:space="preserve"> </w:t>
      </w:r>
      <w:r w:rsidR="002F6F62">
        <w:rPr>
          <w:rFonts w:cs="Arial"/>
        </w:rPr>
        <w:t xml:space="preserve">and </w:t>
      </w:r>
      <w:r w:rsidR="000B477F">
        <w:rPr>
          <w:rFonts w:cs="Arial"/>
        </w:rPr>
        <w:t>a peak limitation</w:t>
      </w:r>
      <w:r w:rsidR="005C5FE4">
        <w:rPr>
          <w:rFonts w:cs="Arial"/>
        </w:rPr>
        <w:t xml:space="preserve"> </w:t>
      </w:r>
      <w:r w:rsidR="00821CEA">
        <w:rPr>
          <w:rFonts w:cs="Arial"/>
        </w:rPr>
        <w:t>of 1.5</w:t>
      </w:r>
      <w:r w:rsidR="00553C7D">
        <w:rPr>
          <w:rFonts w:cs="Arial"/>
        </w:rPr>
        <w:t> </w:t>
      </w:r>
      <w:r w:rsidR="00821CEA">
        <w:rPr>
          <w:rFonts w:cs="Arial"/>
        </w:rPr>
        <w:t>ppm</w:t>
      </w:r>
      <w:r>
        <w:rPr>
          <w:rFonts w:cs="Arial"/>
        </w:rPr>
        <w:t xml:space="preserve"> </w:t>
      </w:r>
      <w:r w:rsidR="002F6F62">
        <w:rPr>
          <w:rFonts w:cs="Arial"/>
        </w:rPr>
        <w:t>are</w:t>
      </w:r>
      <w:r w:rsidR="00B567C6">
        <w:rPr>
          <w:rFonts w:cs="Arial"/>
        </w:rPr>
        <w:t xml:space="preserve"> </w:t>
      </w:r>
      <w:r>
        <w:rPr>
          <w:rFonts w:cs="Arial"/>
        </w:rPr>
        <w:t xml:space="preserve">recommended. </w:t>
      </w:r>
      <w:r w:rsidR="002F6F62">
        <w:rPr>
          <w:rFonts w:cs="Arial"/>
        </w:rPr>
        <w:t xml:space="preserve">The recommended TWA is expected to be protective of irritation and oedema observed in animals above 1 ppm. The peak limitation of 1.5 ppm is expected to protect for irreversible pulmonary damage observed in mice at 5 ppm (ACGIH, 2018). </w:t>
      </w:r>
    </w:p>
    <w:p w14:paraId="030888FB" w14:textId="733BF7D2" w:rsidR="00D437CF" w:rsidRDefault="00D437CF" w:rsidP="006639B4">
      <w:pPr>
        <w:rPr>
          <w:rFonts w:cs="Arial"/>
        </w:rPr>
      </w:pPr>
      <w:r>
        <w:rPr>
          <w:rFonts w:cs="Arial"/>
        </w:rPr>
        <w:lastRenderedPageBreak/>
        <w:t>A STEL is not recommended</w:t>
      </w:r>
      <w:r w:rsidR="00821CEA">
        <w:rPr>
          <w:rFonts w:cs="Arial"/>
        </w:rPr>
        <w:t xml:space="preserve"> </w:t>
      </w:r>
      <w:r w:rsidR="005C5FE4">
        <w:rPr>
          <w:rFonts w:cs="Arial"/>
        </w:rPr>
        <w:t>due to the severity of acute symptoms</w:t>
      </w:r>
      <w:r>
        <w:rPr>
          <w:rFonts w:cs="Arial"/>
        </w:rPr>
        <w:t>. E</w:t>
      </w:r>
      <w:r w:rsidR="00821CEA">
        <w:rPr>
          <w:rFonts w:cs="Arial"/>
        </w:rPr>
        <w:t>xamination of additional</w:t>
      </w:r>
      <w:r w:rsidR="006A09E0">
        <w:rPr>
          <w:rFonts w:cs="Arial"/>
        </w:rPr>
        <w:t xml:space="preserve"> chronic and human exposure data should be </w:t>
      </w:r>
      <w:r w:rsidR="00821CEA">
        <w:rPr>
          <w:rFonts w:cs="Arial"/>
        </w:rPr>
        <w:t>prioritised</w:t>
      </w:r>
      <w:r w:rsidR="006A09E0">
        <w:rPr>
          <w:rFonts w:cs="Arial"/>
        </w:rPr>
        <w:t xml:space="preserve"> during subsequent reviews</w:t>
      </w:r>
      <w:r w:rsidR="000B477F">
        <w:rPr>
          <w:rFonts w:cs="Arial"/>
        </w:rPr>
        <w:t xml:space="preserve">. </w:t>
      </w:r>
    </w:p>
    <w:p w14:paraId="4D0BA328" w14:textId="77777777" w:rsidR="004529F0" w:rsidRPr="004C23F4" w:rsidRDefault="004529F0" w:rsidP="001A6D79">
      <w:pPr>
        <w:pStyle w:val="Heading2"/>
      </w:pPr>
      <w:r>
        <w:t>Recommendation for notations</w:t>
      </w:r>
    </w:p>
    <w:p w14:paraId="297FF424" w14:textId="0D609028" w:rsidR="003826F4" w:rsidRDefault="003826F4" w:rsidP="003C6167">
      <w:pPr>
        <w:keepNext/>
        <w:rPr>
          <w:rFonts w:cs="Arial"/>
        </w:rPr>
      </w:pPr>
      <w:r>
        <w:rPr>
          <w:rFonts w:cs="Arial"/>
        </w:rPr>
        <w:t>Not classified as a carcinogen according to the Globally Harmonized System of Classification and Labelling o</w:t>
      </w:r>
      <w:r w:rsidR="001A6D79">
        <w:rPr>
          <w:rFonts w:cs="Arial"/>
        </w:rPr>
        <w:t>f</w:t>
      </w:r>
      <w:r>
        <w:rPr>
          <w:rFonts w:cs="Arial"/>
        </w:rPr>
        <w:t xml:space="preserve"> Chemicals (GHS). </w:t>
      </w:r>
    </w:p>
    <w:p w14:paraId="2CC5DEB9" w14:textId="16D0D8D0" w:rsidR="003826F4" w:rsidRDefault="003826F4" w:rsidP="003C6167">
      <w:pPr>
        <w:keepNext/>
        <w:rPr>
          <w:rFonts w:cs="Arial"/>
        </w:rPr>
      </w:pPr>
      <w:r>
        <w:rPr>
          <w:rFonts w:cs="Arial"/>
        </w:rPr>
        <w:t xml:space="preserve">Not classified as a skin </w:t>
      </w:r>
      <w:r w:rsidR="001A6D79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14:paraId="3DFE2A49" w14:textId="19E9DD81" w:rsidR="003826F4" w:rsidRDefault="00124117" w:rsidP="003C6167">
      <w:pPr>
        <w:keepNext/>
        <w:rPr>
          <w:rFonts w:cs="Arial"/>
        </w:rPr>
      </w:pPr>
      <w:r>
        <w:rPr>
          <w:rFonts w:cs="Arial"/>
        </w:rPr>
        <w:t>There are i</w:t>
      </w:r>
      <w:r w:rsidR="003826F4">
        <w:rPr>
          <w:rFonts w:cs="Arial"/>
        </w:rPr>
        <w:t xml:space="preserve">nsufficient </w:t>
      </w:r>
      <w:r>
        <w:rPr>
          <w:rFonts w:cs="Arial"/>
        </w:rPr>
        <w:t>data</w:t>
      </w:r>
      <w:r w:rsidR="003826F4">
        <w:rPr>
          <w:rFonts w:cs="Arial"/>
        </w:rPr>
        <w:t xml:space="preserve"> to recommend a skin notation.</w:t>
      </w:r>
    </w:p>
    <w:p w14:paraId="6F1325F7" w14:textId="77777777" w:rsidR="0025734A" w:rsidRPr="004C23F4" w:rsidRDefault="0025734A">
      <w:pPr>
        <w:rPr>
          <w:rFonts w:cs="Arial"/>
        </w:rPr>
      </w:pPr>
    </w:p>
    <w:p w14:paraId="6156C30B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88560A6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FD9B07A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070E2859" w14:textId="77777777" w:rsidTr="00091C4A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D53E893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45ABDDE" w14:textId="77777777" w:rsidTr="00091C4A">
        <w:tc>
          <w:tcPr>
            <w:tcW w:w="5000" w:type="pct"/>
            <w:gridSpan w:val="2"/>
            <w:shd w:val="clear" w:color="auto" w:fill="F2F2F2" w:themeFill="background1" w:themeFillShade="F2"/>
          </w:tcPr>
          <w:p w14:paraId="452E82BF" w14:textId="6DD8DAA6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E7D6A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3826F4">
                  <w:t>TWA: 0.5 ppm (0.86 mg/m</w:t>
                </w:r>
                <w:r w:rsidR="003826F4" w:rsidRPr="003826F4">
                  <w:rPr>
                    <w:vertAlign w:val="superscript"/>
                  </w:rPr>
                  <w:t>3</w:t>
                </w:r>
                <w:r w:rsidR="003826F4">
                  <w:t>); STEL: 1.5 ppm (2.6 mg/m</w:t>
                </w:r>
                <w:r w:rsidR="003826F4" w:rsidRPr="003826F4">
                  <w:rPr>
                    <w:vertAlign w:val="superscript"/>
                  </w:rPr>
                  <w:t>3</w:t>
                </w:r>
                <w:r w:rsidR="003826F4">
                  <w:t>)</w:t>
                </w:r>
              </w:sdtContent>
            </w:sdt>
          </w:p>
        </w:tc>
      </w:tr>
      <w:tr w:rsidR="00C978F0" w:rsidRPr="00DA352E" w14:paraId="5CB1D3E3" w14:textId="77777777" w:rsidTr="00091C4A">
        <w:trPr>
          <w:gridAfter w:val="1"/>
          <w:wAfter w:w="8" w:type="pct"/>
        </w:trPr>
        <w:tc>
          <w:tcPr>
            <w:tcW w:w="4992" w:type="pct"/>
          </w:tcPr>
          <w:p w14:paraId="4832B761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DF46D72" w14:textId="77777777" w:rsidTr="00091C4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D1A8887" w14:textId="35926F8F" w:rsidR="00C978F0" w:rsidRPr="00DA352E" w:rsidRDefault="00DA352E" w:rsidP="00AC0D3B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jc w:val="center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E7D6A">
                  <w:t>2001</w:t>
                </w:r>
              </w:sdtContent>
            </w:sdt>
            <w:r w:rsidR="00916EC0" w:rsidRPr="003365A5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AC0D3B">
                  <w:t>TLV-TWA: 0.5 pp</w:t>
                </w:r>
                <w:r w:rsidR="00F44033">
                  <w:t>m</w:t>
                </w:r>
                <w:r w:rsidR="00AC0D3B">
                  <w:t xml:space="preserve"> (0.86 mg/m</w:t>
                </w:r>
                <w:r w:rsidR="00AC0D3B" w:rsidRPr="00AC0D3B">
                  <w:rPr>
                    <w:vertAlign w:val="superscript"/>
                  </w:rPr>
                  <w:t>3</w:t>
                </w:r>
                <w:r w:rsidR="00AC0D3B">
                  <w:t>); TLV-STEL: 1.5 ppm (2.6 mg/m</w:t>
                </w:r>
                <w:r w:rsidR="00AC0D3B" w:rsidRPr="00AC0D3B">
                  <w:rPr>
                    <w:vertAlign w:val="superscript"/>
                  </w:rPr>
                  <w:t>3</w:t>
                </w:r>
                <w:r w:rsidR="00AC0D3B">
                  <w:t>)</w:t>
                </w:r>
              </w:sdtContent>
            </w:sdt>
          </w:p>
        </w:tc>
      </w:tr>
      <w:tr w:rsidR="00C978F0" w:rsidRPr="00DA352E" w14:paraId="04F23ED9" w14:textId="77777777" w:rsidTr="00D437CF">
        <w:trPr>
          <w:gridAfter w:val="1"/>
          <w:wAfter w:w="8" w:type="pct"/>
          <w:cantSplit/>
        </w:trPr>
        <w:tc>
          <w:tcPr>
            <w:tcW w:w="4992" w:type="pct"/>
          </w:tcPr>
          <w:p w14:paraId="1770FF47" w14:textId="77777777" w:rsidR="00C978F0" w:rsidRDefault="00B85BF0" w:rsidP="003365A5">
            <w:pPr>
              <w:pStyle w:val="Tabletextprimarysource"/>
            </w:pPr>
            <w:r>
              <w:t>TLV-TWA and TLV-STEL intended to minimise potential respiratory tract irritation and pulmonary oedema. Insufficient data available to recommend notations for carcinogenicity, skin absorption, or sensitisation.</w:t>
            </w:r>
          </w:p>
          <w:p w14:paraId="77ED4086" w14:textId="06AF6F91" w:rsidR="00B85BF0" w:rsidRDefault="00B85BF0" w:rsidP="003365A5">
            <w:pPr>
              <w:pStyle w:val="Tabletextprimarysource"/>
            </w:pPr>
            <w:r>
              <w:t>Summary of data:</w:t>
            </w:r>
          </w:p>
          <w:p w14:paraId="1357CDD1" w14:textId="0F00915C" w:rsidR="00752B58" w:rsidRDefault="00752B58" w:rsidP="003365A5">
            <w:pPr>
              <w:pStyle w:val="Tabletextprimarysource"/>
            </w:pPr>
            <w:r>
              <w:t xml:space="preserve">Recommended TLV-TWA and TLV-STEL expected to be sufficiently low to protect for potential pulmonary oedema and respiratory tract irritation in workers. Thresholds derived from subchronic animal inhalation study that reported a NOAEL of 1 ppm for chronic lung injury, and by analogy to the similarly toxic phosgene. </w:t>
            </w:r>
          </w:p>
          <w:p w14:paraId="00B1C2F6" w14:textId="6AEFE8A8" w:rsidR="00B76C05" w:rsidRDefault="00B76C05" w:rsidP="003365A5">
            <w:pPr>
              <w:pStyle w:val="Tabletextprimarysource"/>
            </w:pPr>
            <w:r>
              <w:t>Human data:</w:t>
            </w:r>
          </w:p>
          <w:p w14:paraId="15FCF1A4" w14:textId="77777777" w:rsidR="00091C4A" w:rsidRDefault="00091C4A" w:rsidP="00091C4A">
            <w:pPr>
              <w:pStyle w:val="Tabletextprimarysource"/>
              <w:numPr>
                <w:ilvl w:val="0"/>
                <w:numId w:val="2"/>
              </w:numPr>
            </w:pPr>
            <w:r>
              <w:t>No chemical specific data</w:t>
            </w:r>
            <w:r w:rsidR="00B76C05">
              <w:t xml:space="preserve"> presented</w:t>
            </w:r>
            <w:r>
              <w:t xml:space="preserve">. </w:t>
            </w:r>
          </w:p>
          <w:p w14:paraId="4C362FB0" w14:textId="31CB8E8F" w:rsidR="00B76C05" w:rsidRPr="00091C4A" w:rsidRDefault="00091C4A" w:rsidP="00091C4A">
            <w:pPr>
              <w:pStyle w:val="Tabletextprimarysource"/>
              <w:numPr>
                <w:ilvl w:val="0"/>
                <w:numId w:val="2"/>
              </w:numPr>
            </w:pPr>
            <w:r w:rsidRPr="00091C4A">
              <w:t>By analogy to phosgene:</w:t>
            </w:r>
          </w:p>
          <w:p w14:paraId="74C9170B" w14:textId="77777777" w:rsidR="00091C4A" w:rsidRDefault="00091C4A" w:rsidP="00091C4A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phosgene formerly used as chemical warfare agent</w:t>
            </w:r>
          </w:p>
          <w:p w14:paraId="48C46148" w14:textId="28619786" w:rsidR="00752B58" w:rsidRDefault="00752B58" w:rsidP="00D437CF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TLV-TWA: 0.1 ppm (0.40 mg/m</w:t>
            </w:r>
            <w:r>
              <w:rPr>
                <w:vertAlign w:val="superscript"/>
              </w:rPr>
              <w:t>3</w:t>
            </w:r>
            <w:r>
              <w:t>) to protect for respiratory tract irritation and lung oedema</w:t>
            </w:r>
          </w:p>
          <w:p w14:paraId="04A9B6F5" w14:textId="23D530CB" w:rsidR="00B76C05" w:rsidRDefault="00B76C05" w:rsidP="00D437CF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500 ppm (1 min), 3 ppm (170 min), 30 ppm (17 min)</w:t>
            </w:r>
            <w:r w:rsidR="003C6167">
              <w:t>.</w:t>
            </w:r>
          </w:p>
          <w:p w14:paraId="5AD14A5A" w14:textId="77777777" w:rsidR="00B85BF0" w:rsidRDefault="00B85BF0" w:rsidP="003365A5">
            <w:pPr>
              <w:pStyle w:val="Tabletextprimarysource"/>
            </w:pPr>
            <w:r>
              <w:t>Animal data:</w:t>
            </w:r>
          </w:p>
          <w:p w14:paraId="4B707B71" w14:textId="77777777" w:rsidR="00B85BF0" w:rsidRDefault="00B85BF0" w:rsidP="00B85BF0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One of the most irritating gases to the respiratory tract with similar </w:t>
            </w:r>
            <w:r w:rsidR="006E7D6A">
              <w:t>toxicity and mechanism of action to phosgene</w:t>
            </w:r>
          </w:p>
          <w:p w14:paraId="1F54CD9C" w14:textId="3719754B" w:rsidR="006E7D6A" w:rsidRDefault="006E7D6A" w:rsidP="00B85BF0">
            <w:pPr>
              <w:pStyle w:val="Tabletextprimarysource"/>
              <w:numPr>
                <w:ilvl w:val="0"/>
                <w:numId w:val="1"/>
              </w:numPr>
            </w:pPr>
            <w:r>
              <w:t>Minimum lethal concentration (LC</w:t>
            </w:r>
            <w:r>
              <w:rPr>
                <w:vertAlign w:val="subscript"/>
              </w:rPr>
              <w:t>LO</w:t>
            </w:r>
            <w:r>
              <w:t>, 10 min)</w:t>
            </w:r>
            <w:r w:rsidR="007F0271">
              <w:t xml:space="preserve"> from acute inhalation study</w:t>
            </w:r>
            <w:r>
              <w:t>: 50 ppm (mice), 200 ppm (monkeys), 750</w:t>
            </w:r>
            <w:r w:rsidR="001A6D79">
              <w:t xml:space="preserve"> </w:t>
            </w:r>
            <w:r>
              <w:t>ppm (cats), 1,000 ppm (rabbits)</w:t>
            </w:r>
            <w:r w:rsidR="0097200B">
              <w:t>:</w:t>
            </w:r>
          </w:p>
          <w:p w14:paraId="583CD69F" w14:textId="3A094E67" w:rsidR="006E7D6A" w:rsidRDefault="003C6167" w:rsidP="00D437C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dyspnoea</w:t>
            </w:r>
            <w:r w:rsidR="006E7D6A">
              <w:t>, cyanosis, and severe respiratory damage with variable latency after exposure; pathologic effects localised to lungs showed congestion and oedema</w:t>
            </w:r>
          </w:p>
          <w:p w14:paraId="24CDC491" w14:textId="12118FC0" w:rsidR="006E7D6A" w:rsidRDefault="003C6167" w:rsidP="00D437C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c</w:t>
            </w:r>
            <w:r w:rsidR="006E7D6A">
              <w:t>ross-tolerance to other oedema-producing agents noted in mice</w:t>
            </w:r>
          </w:p>
          <w:p w14:paraId="4443254E" w14:textId="46C4736B" w:rsidR="006A25FA" w:rsidRDefault="006E7D6A" w:rsidP="00D437C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LOAEL: 5 ppm for physiological respons</w:t>
            </w:r>
            <w:r w:rsidR="006A25FA">
              <w:t>es may be associated with acquiring a tolerance</w:t>
            </w:r>
          </w:p>
          <w:p w14:paraId="7EA742B1" w14:textId="25ABA336" w:rsidR="006E7D6A" w:rsidRDefault="00387139" w:rsidP="006E7D6A">
            <w:pPr>
              <w:pStyle w:val="Tabletextprimarysource"/>
              <w:numPr>
                <w:ilvl w:val="0"/>
                <w:numId w:val="1"/>
              </w:numPr>
            </w:pPr>
            <w:r>
              <w:t>NOAEL for</w:t>
            </w:r>
            <w:r w:rsidR="006E7D6A">
              <w:t xml:space="preserve"> chronic </w:t>
            </w:r>
            <w:r>
              <w:t xml:space="preserve">pulmonary </w:t>
            </w:r>
            <w:r w:rsidR="006E7D6A">
              <w:t>injury at 1 ppm in inhalation study (several unspecified species, 6 h/d, 5 d/wk, 6 mo)</w:t>
            </w:r>
            <w:r w:rsidR="0097200B">
              <w:t>:</w:t>
            </w:r>
          </w:p>
          <w:p w14:paraId="63AB4B2E" w14:textId="798CB253" w:rsidR="006E7D6A" w:rsidRDefault="003C6167" w:rsidP="00D437C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s</w:t>
            </w:r>
            <w:r w:rsidR="006E7D6A">
              <w:t xml:space="preserve">imilar results in repeat exposure study (monkeys, 7 h/d, 55 exposures); </w:t>
            </w:r>
            <w:r w:rsidR="00387139">
              <w:t xml:space="preserve">however, </w:t>
            </w:r>
            <w:r w:rsidR="006E7D6A">
              <w:t>analytical uncertainties of study make its conclusions tentative</w:t>
            </w:r>
          </w:p>
          <w:p w14:paraId="34E9DA44" w14:textId="1261CAF9" w:rsidR="006E7D6A" w:rsidRDefault="006E7D6A" w:rsidP="006E7D6A">
            <w:pPr>
              <w:pStyle w:val="Tabletextprimarysource"/>
              <w:numPr>
                <w:ilvl w:val="0"/>
                <w:numId w:val="1"/>
              </w:numPr>
            </w:pPr>
            <w:r>
              <w:t>Fibrosis and emphysema may contribute to tolerance associated with chronic exposures</w:t>
            </w:r>
          </w:p>
          <w:p w14:paraId="4CB45CA4" w14:textId="2FB8A3FF" w:rsidR="00752B58" w:rsidRDefault="00752B58" w:rsidP="006E7D6A">
            <w:pPr>
              <w:pStyle w:val="Tabletextprimarysource"/>
              <w:numPr>
                <w:ilvl w:val="0"/>
                <w:numId w:val="1"/>
              </w:numPr>
            </w:pPr>
            <w:r>
              <w:t>No ADME or mutagenicity data presented.</w:t>
            </w:r>
          </w:p>
          <w:p w14:paraId="038C4FD4" w14:textId="5186B511" w:rsidR="00B76C05" w:rsidRPr="00B76C05" w:rsidRDefault="00B76C05" w:rsidP="00D437CF">
            <w:pPr>
              <w:pStyle w:val="Tabletextprimarysource"/>
              <w:rPr>
                <w:i/>
              </w:rPr>
            </w:pPr>
          </w:p>
          <w:p w14:paraId="6A0A7162" w14:textId="32534F4A" w:rsidR="00752B58" w:rsidRDefault="00752B58" w:rsidP="00D437CF">
            <w:pPr>
              <w:pStyle w:val="Tabletextprimarysource"/>
            </w:pPr>
            <w:r>
              <w:t>TLV-TWA for phosgene derived from LOAE</w:t>
            </w:r>
            <w:r w:rsidR="005C2254">
              <w:t>L</w:t>
            </w:r>
            <w:r>
              <w:t xml:space="preserve"> of 0.2 ppm for p</w:t>
            </w:r>
            <w:r w:rsidR="00B76C05">
              <w:t xml:space="preserve">ulmonary oedema and some pulmonary lesions in subchronic inhalation </w:t>
            </w:r>
            <w:r>
              <w:t xml:space="preserve">study </w:t>
            </w:r>
            <w:r w:rsidR="00B76C05">
              <w:t>(goats, cats, rabbits, guinea pigs, rats, mice, 5</w:t>
            </w:r>
            <w:r w:rsidR="0097200B">
              <w:t> </w:t>
            </w:r>
            <w:r w:rsidR="00B76C05">
              <w:t>h/d, 5 d); depressed ciliary function and higher i</w:t>
            </w:r>
            <w:r>
              <w:t>ncidence of severe lesions at 1</w:t>
            </w:r>
            <w:r w:rsidR="005C2254">
              <w:t> </w:t>
            </w:r>
            <w:r w:rsidR="00B76C05">
              <w:t>ppm</w:t>
            </w:r>
            <w:r>
              <w:t>.</w:t>
            </w:r>
          </w:p>
          <w:p w14:paraId="5517966A" w14:textId="05B0C88D" w:rsidR="0097200B" w:rsidRPr="00DA352E" w:rsidRDefault="0097200B" w:rsidP="00D437CF">
            <w:pPr>
              <w:pStyle w:val="Tabletextprimarysource"/>
            </w:pPr>
          </w:p>
        </w:tc>
      </w:tr>
      <w:tr w:rsidR="00C978F0" w:rsidRPr="00DA352E" w14:paraId="2AFFE332" w14:textId="77777777" w:rsidTr="00091C4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C61B23E" w14:textId="5837CA5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E7D6A">
                  <w:t>1999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AC0D3B">
                  <w:t>Not assigned</w:t>
                </w:r>
              </w:sdtContent>
            </w:sdt>
          </w:p>
        </w:tc>
      </w:tr>
      <w:tr w:rsidR="00C978F0" w:rsidRPr="00DA352E" w14:paraId="7CE23A7F" w14:textId="77777777" w:rsidTr="00091C4A">
        <w:trPr>
          <w:gridAfter w:val="1"/>
          <w:wAfter w:w="8" w:type="pct"/>
        </w:trPr>
        <w:tc>
          <w:tcPr>
            <w:tcW w:w="4992" w:type="pct"/>
          </w:tcPr>
          <w:p w14:paraId="651E4FAD" w14:textId="77777777" w:rsidR="00C978F0" w:rsidRDefault="00701B08" w:rsidP="003365A5">
            <w:pPr>
              <w:pStyle w:val="Tabletextprimarysource"/>
            </w:pPr>
            <w:r>
              <w:t>Summary of additional data:</w:t>
            </w:r>
          </w:p>
          <w:p w14:paraId="23DEB98C" w14:textId="362AA123" w:rsidR="0047324F" w:rsidRDefault="0047324F" w:rsidP="0047324F">
            <w:pPr>
              <w:pStyle w:val="Tabletextprimarysource"/>
            </w:pPr>
            <w:r>
              <w:lastRenderedPageBreak/>
              <w:t>MAK not established due to absence of human exposure data and reliable repeat inhalation studies with animals. Genotoxicity and carcinogenicity have not been investigated. Insufficient data available to assign a skin or sensitiser notation.</w:t>
            </w:r>
            <w:r w:rsidR="000D6A57">
              <w:t xml:space="preserve"> Toxicological information based on animal studies only.</w:t>
            </w:r>
          </w:p>
          <w:p w14:paraId="0AB815B7" w14:textId="5A000E16" w:rsidR="0047324F" w:rsidRDefault="0047324F" w:rsidP="0047324F">
            <w:pPr>
              <w:pStyle w:val="Tabletextprimarysource"/>
            </w:pPr>
            <w:r>
              <w:t>Human data:</w:t>
            </w:r>
          </w:p>
          <w:p w14:paraId="4F29548F" w14:textId="1575E8E4" w:rsidR="007F0271" w:rsidRDefault="000D6A57" w:rsidP="007F0271">
            <w:pPr>
              <w:pStyle w:val="Tabletextprimarysource"/>
              <w:numPr>
                <w:ilvl w:val="0"/>
                <w:numId w:val="1"/>
              </w:numPr>
            </w:pPr>
            <w:r>
              <w:t>Odour threshold: 12 ppm (no further information provided)</w:t>
            </w:r>
          </w:p>
          <w:p w14:paraId="67742A0C" w14:textId="70B6CD8B" w:rsidR="000D6A57" w:rsidRDefault="000D6A57" w:rsidP="007F0271">
            <w:pPr>
              <w:pStyle w:val="Tabletextprimarysource"/>
              <w:numPr>
                <w:ilvl w:val="0"/>
                <w:numId w:val="1"/>
              </w:numPr>
            </w:pPr>
            <w:r>
              <w:t>Substance is typically processed in situ as an intermediate in closed systems; worker exposure would only occur in an accident or during cleaning works of the closed systems</w:t>
            </w:r>
            <w:r w:rsidR="0097200B">
              <w:t>.</w:t>
            </w:r>
          </w:p>
          <w:p w14:paraId="6CC36C53" w14:textId="157273B3" w:rsidR="0047324F" w:rsidRDefault="0047324F" w:rsidP="0047324F">
            <w:pPr>
              <w:pStyle w:val="Tabletextprimarysource"/>
            </w:pPr>
            <w:r>
              <w:t>Animal data:</w:t>
            </w:r>
          </w:p>
          <w:p w14:paraId="27816580" w14:textId="34089C11" w:rsidR="0047324F" w:rsidRDefault="0047324F" w:rsidP="0047324F">
            <w:pPr>
              <w:pStyle w:val="Tabletextprimarysource"/>
              <w:numPr>
                <w:ilvl w:val="0"/>
                <w:numId w:val="1"/>
              </w:numPr>
            </w:pPr>
            <w:r>
              <w:t>Eye irritation, coughing, and lethargy at 23 ppm (monkey, n=1, 4 h)</w:t>
            </w:r>
          </w:p>
          <w:p w14:paraId="495801D4" w14:textId="22B11F0A" w:rsidR="006A25FA" w:rsidRDefault="006A25FA" w:rsidP="0047324F">
            <w:pPr>
              <w:pStyle w:val="Tabletextprimarysource"/>
              <w:numPr>
                <w:ilvl w:val="0"/>
                <w:numId w:val="1"/>
              </w:numPr>
            </w:pPr>
            <w:r>
              <w:t>Mice are most sensitive to pathological lung effects</w:t>
            </w:r>
            <w:r w:rsidR="0097200B">
              <w:t>:</w:t>
            </w:r>
          </w:p>
          <w:p w14:paraId="7B4B2FAC" w14:textId="4887CBFC" w:rsidR="006A25FA" w:rsidRDefault="006A25FA" w:rsidP="00091C4A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LOAEL: 5.8 ppm </w:t>
            </w:r>
            <w:r w:rsidR="003B15FD">
              <w:t>(mice, 10 min); 3 h observation period</w:t>
            </w:r>
          </w:p>
          <w:p w14:paraId="53333D60" w14:textId="22289357" w:rsidR="00E84937" w:rsidRDefault="00E84937" w:rsidP="0047324F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Exposure-dependent damage to </w:t>
            </w:r>
            <w:r w:rsidR="000523C4">
              <w:t xml:space="preserve">CNS and </w:t>
            </w:r>
            <w:r>
              <w:t>respiratory tract at</w:t>
            </w:r>
            <w:r w:rsidR="000523C4">
              <w:t xml:space="preserve"> </w:t>
            </w:r>
            <w:r>
              <w:t>12</w:t>
            </w:r>
            <w:r w:rsidR="001A6D79">
              <w:t>–</w:t>
            </w:r>
            <w:r>
              <w:t>53 ppm in single-dose inhalation study (mice, rats, guinea pigs, cats, rabbits, monkey, 30 min</w:t>
            </w:r>
            <w:r w:rsidR="00091C4A">
              <w:t>–</w:t>
            </w:r>
            <w:r>
              <w:t>88 h)</w:t>
            </w:r>
          </w:p>
          <w:p w14:paraId="0A12F39D" w14:textId="1BD19C1F" w:rsidR="003D5088" w:rsidRDefault="003D5088" w:rsidP="003D5088">
            <w:pPr>
              <w:pStyle w:val="Tabletextprimarysource"/>
              <w:numPr>
                <w:ilvl w:val="0"/>
                <w:numId w:val="1"/>
              </w:numPr>
            </w:pPr>
            <w:r>
              <w:t>NOAEL of 1 ppm for pulmonary damage (cited in ACGIH, 2018) considered unreliable based on analytical uncertainties in maintenance of concentrations in test atmosphere</w:t>
            </w:r>
          </w:p>
          <w:p w14:paraId="024C50AD" w14:textId="0C529C95" w:rsidR="00E84937" w:rsidRDefault="00E84937" w:rsidP="0047324F">
            <w:pPr>
              <w:pStyle w:val="Tabletextprimarysource"/>
              <w:numPr>
                <w:ilvl w:val="0"/>
                <w:numId w:val="1"/>
              </w:numPr>
            </w:pPr>
            <w:r>
              <w:t>Putative tolerance not affirmed in repeat inhalation study at 5</w:t>
            </w:r>
            <w:r w:rsidR="001A6D79">
              <w:t>–</w:t>
            </w:r>
            <w:r>
              <w:t>11.4 ppm on the first exposure and 18</w:t>
            </w:r>
            <w:r w:rsidR="001A6D79">
              <w:t>–</w:t>
            </w:r>
            <w:r>
              <w:t>39 ppm on second exposure after 1</w:t>
            </w:r>
            <w:r w:rsidR="001A6D79">
              <w:t>–</w:t>
            </w:r>
            <w:r>
              <w:t>14 d (mice, 10 min)</w:t>
            </w:r>
            <w:r w:rsidR="0097200B">
              <w:t>:</w:t>
            </w:r>
          </w:p>
          <w:p w14:paraId="596C9574" w14:textId="60140F34" w:rsidR="00E84937" w:rsidRDefault="003C6167" w:rsidP="003C6167">
            <w:pPr>
              <w:pStyle w:val="Tabletextprimarysource"/>
              <w:numPr>
                <w:ilvl w:val="1"/>
                <w:numId w:val="1"/>
              </w:numPr>
              <w:ind w:left="1154"/>
            </w:pPr>
            <w:r>
              <w:t xml:space="preserve">exposures </w:t>
            </w:r>
            <w:r w:rsidR="00E84937">
              <w:t>of 6</w:t>
            </w:r>
            <w:r w:rsidR="001A6D79">
              <w:t>–</w:t>
            </w:r>
            <w:r w:rsidR="00E84937">
              <w:t>7 ppm were already lethal at single doses</w:t>
            </w:r>
          </w:p>
          <w:p w14:paraId="41352D15" w14:textId="672F247C" w:rsidR="00E84937" w:rsidRDefault="00E84937" w:rsidP="003C6167">
            <w:pPr>
              <w:pStyle w:val="Tabletextprimarysource"/>
              <w:numPr>
                <w:ilvl w:val="1"/>
                <w:numId w:val="1"/>
              </w:numPr>
              <w:ind w:left="1154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17 ppm (10 min) derived from overall results</w:t>
            </w:r>
          </w:p>
          <w:p w14:paraId="62CD6853" w14:textId="304226B6" w:rsidR="0047324F" w:rsidRDefault="0047324F" w:rsidP="0047324F">
            <w:pPr>
              <w:pStyle w:val="Tabletextprimarysource"/>
              <w:numPr>
                <w:ilvl w:val="0"/>
                <w:numId w:val="1"/>
              </w:numPr>
            </w:pPr>
            <w:r>
              <w:t>Chronic exposure/carcinogenicity studies are difficult to conduct due to high acute toxicity of the substance</w:t>
            </w:r>
            <w:r w:rsidR="0002409A">
              <w:t>:</w:t>
            </w:r>
          </w:p>
          <w:p w14:paraId="6E1FD80E" w14:textId="7C983672" w:rsidR="00701B08" w:rsidRDefault="003C6167" w:rsidP="003C6167">
            <w:pPr>
              <w:pStyle w:val="Tabletextprimarysource"/>
              <w:numPr>
                <w:ilvl w:val="1"/>
                <w:numId w:val="1"/>
              </w:numPr>
              <w:ind w:left="1154"/>
            </w:pPr>
            <w:r>
              <w:t>d</w:t>
            </w:r>
            <w:r w:rsidR="00701B08">
              <w:t>imeric form (diketene) less toxic than ketene</w:t>
            </w:r>
            <w:r w:rsidR="0047324F">
              <w:t>; lifetime exposures to diketene by ip injection at 4 mg or dermal application at 10 mg (in a 10% solution) did no elicit carcinogenicity (rats)</w:t>
            </w:r>
          </w:p>
          <w:p w14:paraId="5C66F6AD" w14:textId="77777777" w:rsidR="003B15FD" w:rsidRDefault="003B15FD" w:rsidP="003B15FD">
            <w:pPr>
              <w:pStyle w:val="Tabletextprimarysource"/>
              <w:numPr>
                <w:ilvl w:val="0"/>
                <w:numId w:val="1"/>
              </w:numPr>
            </w:pPr>
            <w:r>
              <w:t>No ADME data presented.</w:t>
            </w:r>
          </w:p>
          <w:p w14:paraId="35BBB381" w14:textId="25482959" w:rsidR="0097200B" w:rsidRPr="00DA352E" w:rsidRDefault="0097200B" w:rsidP="00091C4A">
            <w:pPr>
              <w:pStyle w:val="Tabletextprimarysource"/>
            </w:pPr>
          </w:p>
        </w:tc>
      </w:tr>
      <w:tr w:rsidR="00C978F0" w:rsidRPr="00DA352E" w14:paraId="0BFD145C" w14:textId="77777777" w:rsidTr="00091C4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DEB03CA" w14:textId="7E18DB2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6E7D6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sdt>
                  <w:sdtPr>
                    <w:id w:val="1387611916"/>
                    <w:placeholder>
                      <w:docPart w:val="DD1586BF25B34C96B20158927CDC7748"/>
                    </w:placeholder>
                    <w:text/>
                  </w:sdtPr>
                  <w:sdtEndPr/>
                  <w:sdtContent>
                    <w:proofErr w:type="spellStart"/>
                    <w:r w:rsidR="006E7D6A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C978F0" w:rsidRPr="00DA352E" w14:paraId="0DE03E0D" w14:textId="77777777" w:rsidTr="00091C4A">
        <w:trPr>
          <w:gridAfter w:val="1"/>
          <w:wAfter w:w="8" w:type="pct"/>
        </w:trPr>
        <w:tc>
          <w:tcPr>
            <w:tcW w:w="4992" w:type="pct"/>
          </w:tcPr>
          <w:p w14:paraId="0702B4D7" w14:textId="051B61BC" w:rsidR="00C978F0" w:rsidRPr="00DA352E" w:rsidRDefault="00AC0D3B" w:rsidP="003365A5">
            <w:pPr>
              <w:pStyle w:val="Tabletextprimarysource"/>
            </w:pPr>
            <w:r>
              <w:t>No report</w:t>
            </w:r>
            <w:r w:rsidR="001A6D79">
              <w:t>.</w:t>
            </w:r>
          </w:p>
        </w:tc>
      </w:tr>
      <w:tr w:rsidR="00DA352E" w:rsidRPr="00DA352E" w14:paraId="52823F72" w14:textId="77777777" w:rsidTr="00091C4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EB9370F" w14:textId="20497F71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6E7D6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sdt>
                  <w:sdtPr>
                    <w:id w:val="-1023244699"/>
                    <w:placeholder>
                      <w:docPart w:val="3E6E385C55B041D0BF440B35D123CBBF"/>
                    </w:placeholder>
                    <w:text/>
                  </w:sdtPr>
                  <w:sdtEndPr/>
                  <w:sdtContent>
                    <w:proofErr w:type="spellStart"/>
                    <w:r w:rsidR="006E7D6A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DA352E" w:rsidRPr="00DA352E" w14:paraId="5A983DDE" w14:textId="77777777" w:rsidTr="00091C4A">
        <w:trPr>
          <w:gridAfter w:val="1"/>
          <w:wAfter w:w="8" w:type="pct"/>
        </w:trPr>
        <w:tc>
          <w:tcPr>
            <w:tcW w:w="4992" w:type="pct"/>
          </w:tcPr>
          <w:p w14:paraId="69C8E223" w14:textId="06811030" w:rsidR="00DA352E" w:rsidRPr="00DA352E" w:rsidRDefault="00AC0D3B" w:rsidP="003365A5">
            <w:pPr>
              <w:pStyle w:val="Tabletextprimarysource"/>
            </w:pPr>
            <w:r>
              <w:t>No report</w:t>
            </w:r>
            <w:r w:rsidR="001A6D79">
              <w:t>.</w:t>
            </w:r>
          </w:p>
        </w:tc>
      </w:tr>
      <w:tr w:rsidR="00DA352E" w:rsidRPr="00DA352E" w14:paraId="5E2189DB" w14:textId="77777777" w:rsidTr="00091C4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D8A4FBB" w14:textId="2654481E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6E7D6A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AC0D3B">
                  <w:t>TWA: 0.5 ppm (0.9 mg/m</w:t>
                </w:r>
                <w:r w:rsidR="00AC0D3B" w:rsidRPr="00AC0D3B">
                  <w:rPr>
                    <w:vertAlign w:val="superscript"/>
                  </w:rPr>
                  <w:t>3</w:t>
                </w:r>
                <w:r w:rsidR="00AC0D3B">
                  <w:t>)</w:t>
                </w:r>
              </w:sdtContent>
            </w:sdt>
          </w:p>
        </w:tc>
      </w:tr>
      <w:tr w:rsidR="00DA352E" w:rsidRPr="00DA352E" w14:paraId="248BBF59" w14:textId="77777777" w:rsidTr="00091C4A">
        <w:trPr>
          <w:gridAfter w:val="1"/>
          <w:wAfter w:w="8" w:type="pct"/>
        </w:trPr>
        <w:tc>
          <w:tcPr>
            <w:tcW w:w="4992" w:type="pct"/>
          </w:tcPr>
          <w:p w14:paraId="0A0AA482" w14:textId="77777777" w:rsidR="00DA352E" w:rsidRDefault="000D6A57" w:rsidP="003365A5">
            <w:pPr>
              <w:pStyle w:val="Tabletextprimarysource"/>
            </w:pPr>
            <w:r>
              <w:t>Summary of additional information:</w:t>
            </w:r>
          </w:p>
          <w:p w14:paraId="0E69AC93" w14:textId="34F87F77" w:rsidR="003B15FD" w:rsidRDefault="003B15FD" w:rsidP="003365A5">
            <w:pPr>
              <w:pStyle w:val="Tabletextprimarysource"/>
            </w:pPr>
            <w:r>
              <w:t>Agency considers toxicological database too limited to make health-based TWA recommendation. Acute toxicity data suggest that the current administrative 8</w:t>
            </w:r>
            <w:r w:rsidR="001A6D79">
              <w:t xml:space="preserve"> </w:t>
            </w:r>
            <w:r>
              <w:t>h TWA is too high.</w:t>
            </w:r>
          </w:p>
          <w:p w14:paraId="7B53E611" w14:textId="02D3B23E" w:rsidR="000D6A57" w:rsidRDefault="000D6A57" w:rsidP="003365A5">
            <w:pPr>
              <w:pStyle w:val="Tabletextprimarysource"/>
            </w:pPr>
            <w:r>
              <w:t>Ketene polymerises rapidly and cannot be stored as a gas.</w:t>
            </w:r>
          </w:p>
          <w:p w14:paraId="1AFBD7B4" w14:textId="77777777" w:rsidR="000D6A57" w:rsidRDefault="000D6A57" w:rsidP="003365A5">
            <w:pPr>
              <w:pStyle w:val="Tabletextprimarysource"/>
            </w:pPr>
            <w:r>
              <w:t>Human data:</w:t>
            </w:r>
          </w:p>
          <w:p w14:paraId="111EE538" w14:textId="7B05096C" w:rsidR="000D6A57" w:rsidRDefault="001A6D79" w:rsidP="000D6A57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1 </w:t>
            </w:r>
            <w:r w:rsidR="000D6A57">
              <w:t>case reported each for non-Hodgkin’s lymphoma, multiple myeloma, and nonlymphocytic leukaemia</w:t>
            </w:r>
            <w:r w:rsidR="000043A9">
              <w:t xml:space="preserve"> with respective odds ratios of 1.3, 2.6 and 1.7 in extensive case-control study of two chemical manufacturing facilities (n=29,000)</w:t>
            </w:r>
            <w:r w:rsidR="0097200B">
              <w:t>:</w:t>
            </w:r>
          </w:p>
          <w:p w14:paraId="72EEA8E1" w14:textId="4CB84021" w:rsidR="000043A9" w:rsidRDefault="003C6167" w:rsidP="00091C4A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s</w:t>
            </w:r>
            <w:r w:rsidR="000043A9">
              <w:t>tudy not used in agency’s evaluation due to highly limited number of cases and potential exposure to other chemicals</w:t>
            </w:r>
            <w:r>
              <w:t>.</w:t>
            </w:r>
          </w:p>
          <w:p w14:paraId="101F3C85" w14:textId="6A501E3A" w:rsidR="000043A9" w:rsidRDefault="000043A9" w:rsidP="000043A9">
            <w:pPr>
              <w:pStyle w:val="Tabletextprimarysource"/>
            </w:pPr>
            <w:r>
              <w:t>Animal data:</w:t>
            </w:r>
          </w:p>
          <w:p w14:paraId="4B09CABE" w14:textId="53811D36" w:rsidR="000043A9" w:rsidRDefault="001A6D79" w:rsidP="000043A9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1 </w:t>
            </w:r>
            <w:r w:rsidR="006A25FA">
              <w:t>report of</w:t>
            </w:r>
            <w:r w:rsidR="000043A9">
              <w:t xml:space="preserve"> negative results for back-mutation </w:t>
            </w:r>
            <w:r w:rsidR="000043A9">
              <w:rPr>
                <w:i/>
              </w:rPr>
              <w:t>in vitro</w:t>
            </w:r>
            <w:r w:rsidR="000043A9">
              <w:t xml:space="preserve"> </w:t>
            </w:r>
            <w:r w:rsidR="003B15FD">
              <w:t>in</w:t>
            </w:r>
            <w:r w:rsidR="000043A9">
              <w:t xml:space="preserve"> </w:t>
            </w:r>
            <w:r w:rsidR="003B15FD">
              <w:rPr>
                <w:i/>
              </w:rPr>
              <w:t>Neurospora</w:t>
            </w:r>
            <w:r w:rsidR="003B15FD">
              <w:t xml:space="preserve">; positive results in a mutagenicity test in </w:t>
            </w:r>
            <w:r w:rsidR="003B15FD">
              <w:rPr>
                <w:i/>
              </w:rPr>
              <w:t xml:space="preserve">Drosophila </w:t>
            </w:r>
            <w:r w:rsidR="003B15FD">
              <w:t>(no further information provided, article is not summarised)</w:t>
            </w:r>
          </w:p>
          <w:p w14:paraId="5C3DCE68" w14:textId="77777777" w:rsidR="003B15FD" w:rsidRDefault="003B15FD" w:rsidP="000043A9">
            <w:pPr>
              <w:pStyle w:val="Tabletextprimarysource"/>
              <w:numPr>
                <w:ilvl w:val="0"/>
                <w:numId w:val="1"/>
              </w:numPr>
            </w:pPr>
            <w:r>
              <w:lastRenderedPageBreak/>
              <w:t xml:space="preserve">No </w:t>
            </w:r>
            <w:r>
              <w:rPr>
                <w:i/>
              </w:rPr>
              <w:t xml:space="preserve">in vitro </w:t>
            </w:r>
            <w:r>
              <w:t xml:space="preserve">bacterial or </w:t>
            </w:r>
            <w:r>
              <w:rPr>
                <w:i/>
              </w:rPr>
              <w:t>in vivo</w:t>
            </w:r>
            <w:r>
              <w:t xml:space="preserve"> mammalian mutagenicity tests available for evaluation</w:t>
            </w:r>
          </w:p>
          <w:p w14:paraId="460A6A46" w14:textId="77777777" w:rsidR="003B15FD" w:rsidRDefault="003B15FD" w:rsidP="000043A9">
            <w:pPr>
              <w:pStyle w:val="Tabletextprimarysource"/>
              <w:numPr>
                <w:ilvl w:val="0"/>
                <w:numId w:val="1"/>
              </w:numPr>
            </w:pPr>
            <w:r>
              <w:t>No ADME data presented</w:t>
            </w:r>
            <w:r w:rsidR="00387139">
              <w:t>.</w:t>
            </w:r>
          </w:p>
          <w:p w14:paraId="47B276FE" w14:textId="12B96BB5" w:rsidR="0097200B" w:rsidRPr="00DA352E" w:rsidRDefault="0097200B" w:rsidP="00091C4A">
            <w:pPr>
              <w:pStyle w:val="Tabletextprimarysource"/>
            </w:pPr>
          </w:p>
        </w:tc>
      </w:tr>
    </w:tbl>
    <w:p w14:paraId="20388157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2"/>
        <w:gridCol w:w="661"/>
        <w:gridCol w:w="6445"/>
      </w:tblGrid>
      <w:tr w:rsidR="004966BF" w:rsidRPr="00263255" w14:paraId="22A65115" w14:textId="77777777" w:rsidTr="003C6167">
        <w:trPr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32C6AF70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0B452472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693EB33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5" w:type="dxa"/>
            <w:shd w:val="clear" w:color="auto" w:fill="BFBFBF" w:themeFill="background1" w:themeFillShade="BF"/>
            <w:vAlign w:val="center"/>
          </w:tcPr>
          <w:p w14:paraId="23B2EFCD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453EF53" w14:textId="77777777" w:rsidTr="003C6167">
        <w:trPr>
          <w:cantSplit/>
        </w:trPr>
        <w:tc>
          <w:tcPr>
            <w:tcW w:w="1498" w:type="dxa"/>
          </w:tcPr>
          <w:p w14:paraId="618162A7" w14:textId="77777777" w:rsidR="004966BF" w:rsidRPr="004C23F4" w:rsidRDefault="004966BF" w:rsidP="00224EE2">
            <w:pPr>
              <w:pStyle w:val="Tablefont"/>
            </w:pPr>
            <w:r>
              <w:t>HSE</w:t>
            </w:r>
          </w:p>
        </w:tc>
        <w:tc>
          <w:tcPr>
            <w:tcW w:w="422" w:type="dxa"/>
          </w:tcPr>
          <w:p w14:paraId="3BB27A35" w14:textId="431406E1" w:rsidR="004966BF" w:rsidRPr="00CE617F" w:rsidRDefault="00770DF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0043A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9071F6A" w14:textId="7459AED3" w:rsidR="004966BF" w:rsidRPr="004C23F4" w:rsidRDefault="000043A9" w:rsidP="00717D45">
            <w:pPr>
              <w:pStyle w:val="Tablefont"/>
            </w:pPr>
            <w:r>
              <w:t>2002</w:t>
            </w:r>
          </w:p>
        </w:tc>
        <w:tc>
          <w:tcPr>
            <w:tcW w:w="6445" w:type="dxa"/>
          </w:tcPr>
          <w:p w14:paraId="16E98071" w14:textId="77777777" w:rsidR="0097200B" w:rsidRDefault="000043A9" w:rsidP="00091C4A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>
              <w:t>TWA: 0.5 ppm (0.86 mg/m</w:t>
            </w:r>
            <w:r w:rsidRPr="003826F4">
              <w:rPr>
                <w:vertAlign w:val="superscript"/>
              </w:rPr>
              <w:t>3</w:t>
            </w:r>
            <w:r>
              <w:t>)</w:t>
            </w:r>
          </w:p>
          <w:p w14:paraId="314D0F62" w14:textId="17C8D892" w:rsidR="004966BF" w:rsidRPr="000043A9" w:rsidRDefault="000043A9" w:rsidP="00091C4A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>
              <w:t>STEL: 1.5 ppm (2.6 mg/m</w:t>
            </w:r>
            <w:r w:rsidRPr="003826F4">
              <w:rPr>
                <w:vertAlign w:val="superscript"/>
              </w:rPr>
              <w:t>3</w:t>
            </w:r>
            <w:r>
              <w:t>)</w:t>
            </w:r>
            <w:r w:rsidR="0097200B">
              <w:t>.</w:t>
            </w:r>
          </w:p>
        </w:tc>
      </w:tr>
      <w:tr w:rsidR="004966BF" w:rsidRPr="004C23F4" w14:paraId="5B2C2E38" w14:textId="77777777" w:rsidTr="003C6167">
        <w:trPr>
          <w:cantSplit/>
        </w:trPr>
        <w:tc>
          <w:tcPr>
            <w:tcW w:w="1498" w:type="dxa"/>
          </w:tcPr>
          <w:p w14:paraId="3D30EF55" w14:textId="48E555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2" w:type="dxa"/>
          </w:tcPr>
          <w:p w14:paraId="195A6A78" w14:textId="5EDC37EA" w:rsidR="004966BF" w:rsidRDefault="00770DF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B15F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CB34839" w14:textId="7E57DF2C" w:rsidR="004966BF" w:rsidRPr="004C23F4" w:rsidRDefault="003B15F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5" w:type="dxa"/>
          </w:tcPr>
          <w:p w14:paraId="44E68940" w14:textId="409E752C" w:rsidR="004966BF" w:rsidRPr="004C23F4" w:rsidRDefault="006A25FA" w:rsidP="00091C4A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6A25FA">
              <w:rPr>
                <w:rStyle w:val="checkbox"/>
                <w:rFonts w:ascii="Arial" w:hAnsi="Arial" w:cs="Arial"/>
              </w:rPr>
              <w:t>IDLH based on acute inhalation toxicity data in humans and animals</w:t>
            </w:r>
            <w:r>
              <w:rPr>
                <w:rStyle w:val="checkbox"/>
                <w:rFonts w:ascii="Arial" w:hAnsi="Arial" w:cs="Arial"/>
              </w:rPr>
              <w:t xml:space="preserve"> (based on same acute inhalation study cited in ACGIH, 2018</w:t>
            </w:r>
            <w:r w:rsidR="003B15FD">
              <w:rPr>
                <w:rStyle w:val="checkbox"/>
                <w:rFonts w:ascii="Arial" w:hAnsi="Arial" w:cs="Arial"/>
              </w:rPr>
              <w:t xml:space="preserve"> and DFG, 2003</w:t>
            </w:r>
            <w:r>
              <w:rPr>
                <w:rStyle w:val="checkbox"/>
                <w:rFonts w:ascii="Arial" w:hAnsi="Arial" w:cs="Arial"/>
              </w:rPr>
              <w:t>)</w:t>
            </w:r>
            <w:r w:rsidR="001A6D79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22C1916A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25B37B46" w14:textId="77777777" w:rsidTr="003B15FD">
        <w:trPr>
          <w:trHeight w:val="454"/>
          <w:tblHeader/>
        </w:trPr>
        <w:tc>
          <w:tcPr>
            <w:tcW w:w="6597" w:type="dxa"/>
            <w:vAlign w:val="center"/>
          </w:tcPr>
          <w:p w14:paraId="76F45CC1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79762BC" w14:textId="2A2B162B" w:rsidR="002E0D61" w:rsidRDefault="003B15FD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31F99099" w14:textId="77777777" w:rsidTr="003B15FD">
        <w:trPr>
          <w:trHeight w:val="454"/>
        </w:trPr>
        <w:tc>
          <w:tcPr>
            <w:tcW w:w="6597" w:type="dxa"/>
            <w:vAlign w:val="center"/>
          </w:tcPr>
          <w:p w14:paraId="718CF00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6E09D26" w14:textId="171D218C" w:rsidR="008A36CF" w:rsidRDefault="003B15FD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5A141FDF" w14:textId="77777777" w:rsidTr="003B15FD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4E2D1699" w14:textId="6DDA7EA0" w:rsidR="008A36CF" w:rsidRPr="006901A2" w:rsidRDefault="003B15FD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32C8BD54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506E51B2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10BBDA8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340F11B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D6E71AC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935C26D" w14:textId="77777777" w:rsidTr="00812887">
        <w:trPr>
          <w:cantSplit/>
        </w:trPr>
        <w:tc>
          <w:tcPr>
            <w:tcW w:w="3227" w:type="dxa"/>
          </w:tcPr>
          <w:p w14:paraId="6A77BEA1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ED91636" w14:textId="125D13F9" w:rsidR="00687890" w:rsidRPr="00DD2F9B" w:rsidRDefault="00AC0D3B" w:rsidP="00DD2F9B">
            <w:pPr>
              <w:pStyle w:val="Tablefont"/>
            </w:pPr>
            <w:r w:rsidRPr="00AC0D3B">
              <w:t>—</w:t>
            </w:r>
          </w:p>
        </w:tc>
      </w:tr>
      <w:tr w:rsidR="007925F0" w:rsidRPr="004C23F4" w14:paraId="32950706" w14:textId="77777777" w:rsidTr="00812887">
        <w:trPr>
          <w:cantSplit/>
        </w:trPr>
        <w:tc>
          <w:tcPr>
            <w:tcW w:w="3227" w:type="dxa"/>
          </w:tcPr>
          <w:p w14:paraId="5E709AE6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0F35873" w14:textId="0E753965" w:rsidR="007925F0" w:rsidRPr="00DD2F9B" w:rsidRDefault="00AC0D3B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4B85DD8" w14:textId="77777777" w:rsidTr="00812887">
        <w:trPr>
          <w:cantSplit/>
        </w:trPr>
        <w:tc>
          <w:tcPr>
            <w:tcW w:w="3227" w:type="dxa"/>
          </w:tcPr>
          <w:p w14:paraId="1A3B4374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E977D8C" w14:textId="2BD5D093" w:rsidR="00AF483F" w:rsidRPr="00DD2F9B" w:rsidRDefault="00AC0D3B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6365AF3B" w14:textId="77777777" w:rsidTr="00812887">
        <w:trPr>
          <w:cantSplit/>
        </w:trPr>
        <w:tc>
          <w:tcPr>
            <w:tcW w:w="3227" w:type="dxa"/>
          </w:tcPr>
          <w:p w14:paraId="6FF4F637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3969883" w14:textId="1DCA446B" w:rsidR="00687890" w:rsidRPr="00DD2F9B" w:rsidRDefault="00AC0D3B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E502166" w14:textId="77777777" w:rsidTr="00812887">
        <w:trPr>
          <w:cantSplit/>
        </w:trPr>
        <w:tc>
          <w:tcPr>
            <w:tcW w:w="3227" w:type="dxa"/>
          </w:tcPr>
          <w:p w14:paraId="4F005BE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BD17A5D" w14:textId="2EC35C01" w:rsidR="00E41A26" w:rsidRPr="00DD2F9B" w:rsidRDefault="00AC0D3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626E556" w14:textId="77777777" w:rsidTr="00812887">
        <w:trPr>
          <w:cantSplit/>
        </w:trPr>
        <w:tc>
          <w:tcPr>
            <w:tcW w:w="3227" w:type="dxa"/>
          </w:tcPr>
          <w:p w14:paraId="331DF0D7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EAD3715" w14:textId="21FE7C57" w:rsidR="002E0D61" w:rsidRPr="00DD2F9B" w:rsidRDefault="00AC0D3B" w:rsidP="00DD2F9B">
            <w:pPr>
              <w:pStyle w:val="Tablefont"/>
            </w:pPr>
            <w:r w:rsidRPr="00AC0D3B">
              <w:t>—</w:t>
            </w:r>
          </w:p>
        </w:tc>
      </w:tr>
      <w:tr w:rsidR="002E0D61" w:rsidRPr="004C23F4" w14:paraId="077586C4" w14:textId="77777777" w:rsidTr="00812887">
        <w:trPr>
          <w:cantSplit/>
        </w:trPr>
        <w:tc>
          <w:tcPr>
            <w:tcW w:w="3227" w:type="dxa"/>
          </w:tcPr>
          <w:p w14:paraId="4D3903BC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F5127EE" w14:textId="6C212576" w:rsidR="002E0D61" w:rsidRPr="00DD2F9B" w:rsidRDefault="00AC0D3B" w:rsidP="00DD2F9B">
            <w:pPr>
              <w:pStyle w:val="Tablefont"/>
            </w:pPr>
            <w:r w:rsidRPr="00AC0D3B">
              <w:t>—</w:t>
            </w:r>
          </w:p>
        </w:tc>
      </w:tr>
      <w:tr w:rsidR="002E0D61" w:rsidRPr="004C23F4" w14:paraId="0C9F5269" w14:textId="77777777" w:rsidTr="00812887">
        <w:trPr>
          <w:cantSplit/>
        </w:trPr>
        <w:tc>
          <w:tcPr>
            <w:tcW w:w="3227" w:type="dxa"/>
          </w:tcPr>
          <w:p w14:paraId="42BFD49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44C427B" w14:textId="4285C17F" w:rsidR="002E0D61" w:rsidRPr="00DD2F9B" w:rsidRDefault="00AC0D3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8E6A334" w14:textId="77777777" w:rsidTr="00812887">
        <w:trPr>
          <w:cantSplit/>
        </w:trPr>
        <w:tc>
          <w:tcPr>
            <w:tcW w:w="3227" w:type="dxa"/>
          </w:tcPr>
          <w:p w14:paraId="572944EF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54666E7" w14:textId="599CFA2E" w:rsidR="002E0D61" w:rsidRPr="00DD2F9B" w:rsidRDefault="00AC0D3B" w:rsidP="00DD2F9B">
            <w:pPr>
              <w:pStyle w:val="Tablefont"/>
            </w:pPr>
            <w:r w:rsidRPr="00AC0D3B">
              <w:t>—</w:t>
            </w:r>
          </w:p>
        </w:tc>
      </w:tr>
      <w:tr w:rsidR="00386093" w:rsidRPr="004C23F4" w14:paraId="123A8814" w14:textId="77777777" w:rsidTr="00812887">
        <w:trPr>
          <w:cantSplit/>
        </w:trPr>
        <w:tc>
          <w:tcPr>
            <w:tcW w:w="3227" w:type="dxa"/>
          </w:tcPr>
          <w:p w14:paraId="230FE253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36A5B3A" w14:textId="7E809777" w:rsidR="00386093" w:rsidRPr="00DD2F9B" w:rsidRDefault="00AC0D3B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FA8B4E5" w14:textId="77777777" w:rsidTr="00812887">
        <w:trPr>
          <w:cantSplit/>
        </w:trPr>
        <w:tc>
          <w:tcPr>
            <w:tcW w:w="3227" w:type="dxa"/>
          </w:tcPr>
          <w:p w14:paraId="6A833018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5D8F7D6" w14:textId="352F0B05" w:rsidR="00386093" w:rsidRPr="00DD2F9B" w:rsidRDefault="00653980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76307B19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CEF59FB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B2AF0D1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55BBB3D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688BA5F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69658413" w14:textId="4F5FEF04" w:rsidR="00932DCE" w:rsidRPr="004C23F4" w:rsidRDefault="003B15FD" w:rsidP="00F9496B">
            <w:pPr>
              <w:pStyle w:val="Tablefont"/>
            </w:pPr>
            <w:r>
              <w:t>Insufficient data to assign a skin notation</w:t>
            </w:r>
          </w:p>
        </w:tc>
      </w:tr>
    </w:tbl>
    <w:bookmarkEnd w:id="3"/>
    <w:p w14:paraId="7662B6CF" w14:textId="77777777" w:rsidR="00EB3D1B" w:rsidRDefault="00EB3D1B" w:rsidP="00EB3D1B">
      <w:pPr>
        <w:pStyle w:val="Heading3"/>
      </w:pPr>
      <w:r>
        <w:lastRenderedPageBreak/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305A2C5D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40C1D68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FD10283" w14:textId="1DF7DE83" w:rsidR="00EB3D1B" w:rsidRDefault="006E7D6A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E64BE4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783363D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9E4A978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4464E36" w14:textId="5CB94281" w:rsidR="001B79E5" w:rsidRDefault="00653980" w:rsidP="001B79E5">
                <w:pPr>
                  <w:pStyle w:val="Tablefont"/>
                </w:pPr>
                <w:r w:rsidRPr="00653980">
                  <w:t>42.04</w:t>
                </w:r>
              </w:p>
            </w:tc>
          </w:sdtContent>
        </w:sdt>
      </w:tr>
      <w:tr w:rsidR="00A31D99" w:rsidRPr="004C23F4" w14:paraId="026DA59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68A9429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D62CD5F" w14:textId="19B165D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653980">
                  <w:t>1.72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653980">
                  <w:t>0.582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D067B9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376FAF5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686661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E58444E" w14:textId="77777777" w:rsidTr="00EA6243">
        <w:trPr>
          <w:cantSplit/>
        </w:trPr>
        <w:tc>
          <w:tcPr>
            <w:tcW w:w="4077" w:type="dxa"/>
            <w:vAlign w:val="center"/>
          </w:tcPr>
          <w:p w14:paraId="6CBFE210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8505EF9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B940CB7" w14:textId="77777777" w:rsidTr="00EA6243">
        <w:trPr>
          <w:cantSplit/>
        </w:trPr>
        <w:tc>
          <w:tcPr>
            <w:tcW w:w="4077" w:type="dxa"/>
            <w:vAlign w:val="center"/>
          </w:tcPr>
          <w:p w14:paraId="7B4159F8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525860B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180D729" w14:textId="77777777" w:rsidTr="00EA6243">
        <w:trPr>
          <w:cantSplit/>
        </w:trPr>
        <w:tc>
          <w:tcPr>
            <w:tcW w:w="4077" w:type="dxa"/>
            <w:vAlign w:val="center"/>
          </w:tcPr>
          <w:p w14:paraId="59B8B593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E1AB43A" w14:textId="77777777" w:rsidR="00E06F40" w:rsidRPr="00A006A0" w:rsidRDefault="00770DF6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6CAFB50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0E4362A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4180779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58E3A956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C75445B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DFEAEA4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E7EAB0F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09CC0BBD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3EAF95F" w14:textId="481861A4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A66AD0A" w14:textId="4F9A28C3" w:rsidR="00653980" w:rsidRDefault="00653980" w:rsidP="00084859">
      <w:r w:rsidRPr="002022B6">
        <w:t>Deutsche Forschungsgemeinschaft (DFG)</w:t>
      </w:r>
      <w:r>
        <w:t xml:space="preserve"> (2003) </w:t>
      </w:r>
      <w:r w:rsidRPr="00653980">
        <w:t>Ketene</w:t>
      </w:r>
      <w:r>
        <w:t xml:space="preserve"> – MAK value documentation.</w:t>
      </w:r>
    </w:p>
    <w:p w14:paraId="3271AF74" w14:textId="6AFB5552" w:rsidR="00653980" w:rsidRDefault="00653980" w:rsidP="00084859">
      <w:r w:rsidRPr="002022B6">
        <w:t>Health Council of the Netherlands</w:t>
      </w:r>
      <w:r>
        <w:t xml:space="preserve"> (HCOTN) (2001) </w:t>
      </w:r>
      <w:r w:rsidRPr="00653980">
        <w:t>Ketene</w:t>
      </w:r>
      <w:r w:rsidRPr="005F7416">
        <w:t xml:space="preserve">. Health-based calculated occupational cancer risk values. The Hague: Health Council of the Netherlands; publication no. </w:t>
      </w:r>
      <w:r w:rsidRPr="00653980">
        <w:t>2000/15OSH/024</w:t>
      </w:r>
      <w:r>
        <w:t>.</w:t>
      </w:r>
    </w:p>
    <w:p w14:paraId="7864D020" w14:textId="13FB2785" w:rsidR="003E399F" w:rsidRPr="003E399F" w:rsidRDefault="003E399F" w:rsidP="00084859">
      <w:pPr>
        <w:rPr>
          <w:color w:val="000000"/>
        </w:rPr>
      </w:pPr>
      <w:r w:rsidRPr="00D86E03">
        <w:t>UK Health and Safety Executive</w:t>
      </w:r>
      <w:r>
        <w:t xml:space="preserve"> (HSE) (2002) </w:t>
      </w:r>
      <w:r w:rsidRPr="00485AE6">
        <w:t>EH40/2005 Workplace exposure limits</w:t>
      </w:r>
      <w:r>
        <w:t>.</w:t>
      </w:r>
    </w:p>
    <w:p w14:paraId="75A9A43F" w14:textId="1D8AFEFC" w:rsidR="00653980" w:rsidRPr="00351FE0" w:rsidRDefault="00653980" w:rsidP="00084859">
      <w:r w:rsidRPr="00D86E03">
        <w:t>US National Institute for Occupational Safety and Health (NIOSH)</w:t>
      </w:r>
      <w:r>
        <w:t xml:space="preserve"> (</w:t>
      </w:r>
      <w:r w:rsidRPr="00653980">
        <w:t>1994</w:t>
      </w:r>
      <w:r>
        <w:t xml:space="preserve">) Immediately dangerous to life or health concentrations – </w:t>
      </w:r>
      <w:r w:rsidRPr="00653980">
        <w:t>Ketene</w:t>
      </w:r>
      <w:r>
        <w:t>.</w:t>
      </w:r>
    </w:p>
    <w:sectPr w:rsidR="00653980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0808E" w14:textId="77777777" w:rsidR="00CA0817" w:rsidRDefault="00CA0817" w:rsidP="00F43AD5">
      <w:pPr>
        <w:spacing w:after="0" w:line="240" w:lineRule="auto"/>
      </w:pPr>
      <w:r>
        <w:separator/>
      </w:r>
    </w:p>
  </w:endnote>
  <w:endnote w:type="continuationSeparator" w:id="0">
    <w:p w14:paraId="407504A8" w14:textId="77777777" w:rsidR="00CA0817" w:rsidRDefault="00CA081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7F69F" w14:textId="77777777" w:rsidR="00124D11" w:rsidRDefault="00124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711486B" w14:textId="3283A513" w:rsidR="008A36CF" w:rsidRDefault="003826F4" w:rsidP="0034744C">
        <w:pPr>
          <w:pStyle w:val="Footer"/>
          <w:rPr>
            <w:sz w:val="18"/>
            <w:szCs w:val="18"/>
          </w:rPr>
        </w:pPr>
        <w:r w:rsidRPr="003826F4">
          <w:rPr>
            <w:b/>
            <w:sz w:val="18"/>
            <w:szCs w:val="18"/>
          </w:rPr>
          <w:t>Ketene</w:t>
        </w:r>
        <w:r w:rsidR="008A36CF">
          <w:rPr>
            <w:b/>
            <w:sz w:val="18"/>
            <w:szCs w:val="18"/>
          </w:rPr>
          <w:t xml:space="preserve"> (</w:t>
        </w:r>
        <w:r w:rsidRPr="003826F4">
          <w:rPr>
            <w:b/>
            <w:sz w:val="18"/>
            <w:szCs w:val="18"/>
          </w:rPr>
          <w:t>463-51-4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5D13F2CE" w14:textId="186BCAB0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770DF6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3CC06" w14:textId="77777777" w:rsidR="00124D11" w:rsidRDefault="00124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903C8" w14:textId="77777777" w:rsidR="00CA0817" w:rsidRDefault="00CA0817" w:rsidP="00F43AD5">
      <w:pPr>
        <w:spacing w:after="0" w:line="240" w:lineRule="auto"/>
      </w:pPr>
      <w:r>
        <w:separator/>
      </w:r>
    </w:p>
  </w:footnote>
  <w:footnote w:type="continuationSeparator" w:id="0">
    <w:p w14:paraId="63629371" w14:textId="77777777" w:rsidR="00CA0817" w:rsidRDefault="00CA081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4C6B2" w14:textId="77777777" w:rsidR="00124D11" w:rsidRDefault="00124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CB747" w14:textId="77777777" w:rsidR="00124D11" w:rsidRDefault="00124D11" w:rsidP="00124D11">
    <w:pPr>
      <w:pStyle w:val="Header"/>
      <w:jc w:val="right"/>
    </w:pPr>
    <w:sdt>
      <w:sdtPr>
        <w:id w:val="-1921237273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4A9A9B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4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7EFF304" wp14:editId="1B4A9A3A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F028F4" w14:textId="080533A3" w:rsidR="008A36CF" w:rsidRPr="00124D11" w:rsidRDefault="008A36CF" w:rsidP="00124D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28959" w14:textId="77777777" w:rsidR="00124D11" w:rsidRDefault="00124D1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E66B3" w14:textId="77777777" w:rsidR="00124D11" w:rsidRDefault="00124D11" w:rsidP="00124D11">
    <w:pPr>
      <w:pStyle w:val="Header"/>
      <w:jc w:val="right"/>
    </w:pPr>
    <w:sdt>
      <w:sdtPr>
        <w:id w:val="-427047448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49FC689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5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CC6D7DE" wp14:editId="43541645">
          <wp:extent cx="2938272" cy="594360"/>
          <wp:effectExtent l="0" t="0" r="0" b="0"/>
          <wp:docPr id="3" name="Picture 3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147B98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54E9B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E85871"/>
    <w:multiLevelType w:val="hybridMultilevel"/>
    <w:tmpl w:val="E968FB74"/>
    <w:lvl w:ilvl="0" w:tplc="A9A498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861EB"/>
    <w:multiLevelType w:val="hybridMultilevel"/>
    <w:tmpl w:val="749CFEEA"/>
    <w:lvl w:ilvl="0" w:tplc="459AB16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43A9"/>
    <w:rsid w:val="00007B80"/>
    <w:rsid w:val="00013A22"/>
    <w:rsid w:val="00014C3F"/>
    <w:rsid w:val="00017C82"/>
    <w:rsid w:val="0002409A"/>
    <w:rsid w:val="00032B88"/>
    <w:rsid w:val="00046DF5"/>
    <w:rsid w:val="00052060"/>
    <w:rsid w:val="000523C4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1C4A"/>
    <w:rsid w:val="00092D94"/>
    <w:rsid w:val="000B0868"/>
    <w:rsid w:val="000B3E12"/>
    <w:rsid w:val="000B3E78"/>
    <w:rsid w:val="000B477F"/>
    <w:rsid w:val="000B7B48"/>
    <w:rsid w:val="000C096D"/>
    <w:rsid w:val="000C139A"/>
    <w:rsid w:val="000C2053"/>
    <w:rsid w:val="000C248C"/>
    <w:rsid w:val="000D291C"/>
    <w:rsid w:val="000D6A57"/>
    <w:rsid w:val="000E5A54"/>
    <w:rsid w:val="000E63D3"/>
    <w:rsid w:val="000E67CF"/>
    <w:rsid w:val="0010461E"/>
    <w:rsid w:val="00106FAA"/>
    <w:rsid w:val="00113443"/>
    <w:rsid w:val="00124117"/>
    <w:rsid w:val="00124D11"/>
    <w:rsid w:val="001269A7"/>
    <w:rsid w:val="00131092"/>
    <w:rsid w:val="00140E6A"/>
    <w:rsid w:val="00146545"/>
    <w:rsid w:val="00146B75"/>
    <w:rsid w:val="0015266D"/>
    <w:rsid w:val="0015288A"/>
    <w:rsid w:val="00160F47"/>
    <w:rsid w:val="00174375"/>
    <w:rsid w:val="00177CA1"/>
    <w:rsid w:val="00183823"/>
    <w:rsid w:val="00183942"/>
    <w:rsid w:val="001A009E"/>
    <w:rsid w:val="001A1287"/>
    <w:rsid w:val="001A3859"/>
    <w:rsid w:val="001A3C9D"/>
    <w:rsid w:val="001A43F8"/>
    <w:rsid w:val="001A6D79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1F75E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2F6F62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773E"/>
    <w:rsid w:val="003826F4"/>
    <w:rsid w:val="00386093"/>
    <w:rsid w:val="00387139"/>
    <w:rsid w:val="003904A4"/>
    <w:rsid w:val="00391841"/>
    <w:rsid w:val="00391B6D"/>
    <w:rsid w:val="00394922"/>
    <w:rsid w:val="003A0E32"/>
    <w:rsid w:val="003A2B94"/>
    <w:rsid w:val="003A3FC3"/>
    <w:rsid w:val="003B15FD"/>
    <w:rsid w:val="003B387D"/>
    <w:rsid w:val="003C0D58"/>
    <w:rsid w:val="003C6167"/>
    <w:rsid w:val="003D4FA3"/>
    <w:rsid w:val="003D5088"/>
    <w:rsid w:val="003E0807"/>
    <w:rsid w:val="003E399F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1FD"/>
    <w:rsid w:val="00460A03"/>
    <w:rsid w:val="00472A11"/>
    <w:rsid w:val="00472AAD"/>
    <w:rsid w:val="0047324F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BB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53C7D"/>
    <w:rsid w:val="00581055"/>
    <w:rsid w:val="00591E38"/>
    <w:rsid w:val="005950C3"/>
    <w:rsid w:val="005A19C5"/>
    <w:rsid w:val="005A3034"/>
    <w:rsid w:val="005A462D"/>
    <w:rsid w:val="005B253B"/>
    <w:rsid w:val="005B771D"/>
    <w:rsid w:val="005C2254"/>
    <w:rsid w:val="005C5D16"/>
    <w:rsid w:val="005C5FE4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3980"/>
    <w:rsid w:val="006549F2"/>
    <w:rsid w:val="006567B7"/>
    <w:rsid w:val="00657BFB"/>
    <w:rsid w:val="0066333C"/>
    <w:rsid w:val="006639B4"/>
    <w:rsid w:val="006650FE"/>
    <w:rsid w:val="00672589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09E0"/>
    <w:rsid w:val="006A25FA"/>
    <w:rsid w:val="006B160A"/>
    <w:rsid w:val="006B4E6C"/>
    <w:rsid w:val="006B50B6"/>
    <w:rsid w:val="006D79EA"/>
    <w:rsid w:val="006E5D05"/>
    <w:rsid w:val="006E7D6A"/>
    <w:rsid w:val="00701053"/>
    <w:rsid w:val="00701507"/>
    <w:rsid w:val="00701B08"/>
    <w:rsid w:val="00714021"/>
    <w:rsid w:val="00716A0F"/>
    <w:rsid w:val="00717D45"/>
    <w:rsid w:val="007208F7"/>
    <w:rsid w:val="007218AF"/>
    <w:rsid w:val="007365D1"/>
    <w:rsid w:val="00740E0E"/>
    <w:rsid w:val="00747DEF"/>
    <w:rsid w:val="00750212"/>
    <w:rsid w:val="00752B58"/>
    <w:rsid w:val="00754779"/>
    <w:rsid w:val="0075716D"/>
    <w:rsid w:val="00765F14"/>
    <w:rsid w:val="00770DF6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043F"/>
    <w:rsid w:val="007B1B42"/>
    <w:rsid w:val="007C30EB"/>
    <w:rsid w:val="007E063C"/>
    <w:rsid w:val="007E2A4B"/>
    <w:rsid w:val="007E307D"/>
    <w:rsid w:val="007E6A4E"/>
    <w:rsid w:val="007E6C94"/>
    <w:rsid w:val="007F0271"/>
    <w:rsid w:val="007F1005"/>
    <w:rsid w:val="007F25E0"/>
    <w:rsid w:val="007F5328"/>
    <w:rsid w:val="007F70D2"/>
    <w:rsid w:val="00804F5A"/>
    <w:rsid w:val="00810C6D"/>
    <w:rsid w:val="00812887"/>
    <w:rsid w:val="00821CEA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2D06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4CF"/>
    <w:rsid w:val="0093760E"/>
    <w:rsid w:val="00946044"/>
    <w:rsid w:val="0094660B"/>
    <w:rsid w:val="00946A33"/>
    <w:rsid w:val="0095260E"/>
    <w:rsid w:val="009578DD"/>
    <w:rsid w:val="00961124"/>
    <w:rsid w:val="009621B6"/>
    <w:rsid w:val="0097200B"/>
    <w:rsid w:val="00974F2D"/>
    <w:rsid w:val="00977524"/>
    <w:rsid w:val="00977E88"/>
    <w:rsid w:val="00984920"/>
    <w:rsid w:val="0099303A"/>
    <w:rsid w:val="00996D7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0D3B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1B95"/>
    <w:rsid w:val="00B479A9"/>
    <w:rsid w:val="00B52EDF"/>
    <w:rsid w:val="00B567C6"/>
    <w:rsid w:val="00B71188"/>
    <w:rsid w:val="00B76A41"/>
    <w:rsid w:val="00B76C05"/>
    <w:rsid w:val="00B85BF0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0817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37CF"/>
    <w:rsid w:val="00D44C89"/>
    <w:rsid w:val="00D516CD"/>
    <w:rsid w:val="00D668E6"/>
    <w:rsid w:val="00D70670"/>
    <w:rsid w:val="00D74D80"/>
    <w:rsid w:val="00D76624"/>
    <w:rsid w:val="00D87570"/>
    <w:rsid w:val="00D87C52"/>
    <w:rsid w:val="00D91CB9"/>
    <w:rsid w:val="00D97989"/>
    <w:rsid w:val="00D97D8D"/>
    <w:rsid w:val="00DA352E"/>
    <w:rsid w:val="00DA50EA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84937"/>
    <w:rsid w:val="00E92499"/>
    <w:rsid w:val="00E949AF"/>
    <w:rsid w:val="00E96077"/>
    <w:rsid w:val="00EA0A06"/>
    <w:rsid w:val="00EA6243"/>
    <w:rsid w:val="00EA74AB"/>
    <w:rsid w:val="00EB3D1B"/>
    <w:rsid w:val="00EC3FC5"/>
    <w:rsid w:val="00ED1D89"/>
    <w:rsid w:val="00ED66BC"/>
    <w:rsid w:val="00EF1D04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44033"/>
    <w:rsid w:val="00F56DD0"/>
    <w:rsid w:val="00F62421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090CACBD"/>
  <w15:docId w15:val="{D739F15D-89EB-4F53-86A2-C0A5F582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Revision">
    <w:name w:val="Revision"/>
    <w:hidden/>
    <w:uiPriority w:val="99"/>
    <w:semiHidden/>
    <w:rsid w:val="003C6167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9374CF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D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D0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D0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D1586BF25B34C96B20158927CDC7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99532-B504-43FE-92C8-C0AD889F3209}"/>
      </w:docPartPr>
      <w:docPartBody>
        <w:p w:rsidR="00B441F9" w:rsidRDefault="00126881" w:rsidP="00126881">
          <w:pPr>
            <w:pStyle w:val="DD1586BF25B34C96B20158927CDC7748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3E6E385C55B041D0BF440B35D123C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BFBE7-76F9-4595-83A8-BC9F4001F0BF}"/>
      </w:docPartPr>
      <w:docPartBody>
        <w:p w:rsidR="00B441F9" w:rsidRDefault="00126881" w:rsidP="00126881">
          <w:pPr>
            <w:pStyle w:val="3E6E385C55B041D0BF440B35D123CBB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97325DDAFB148B28438C59FD027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2FC26-6CAF-41E6-8F37-36D82600BEA8}"/>
      </w:docPartPr>
      <w:docPartBody>
        <w:p w:rsidR="00FB6D60" w:rsidRDefault="00987A46" w:rsidP="00987A46">
          <w:pPr>
            <w:pStyle w:val="897325DDAFB148B28438C59FD027DED8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26881"/>
    <w:rsid w:val="003F1A82"/>
    <w:rsid w:val="00714A1B"/>
    <w:rsid w:val="007C4C23"/>
    <w:rsid w:val="00987A46"/>
    <w:rsid w:val="00B441F9"/>
    <w:rsid w:val="00D21A9F"/>
    <w:rsid w:val="00FB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7A46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DD1586BF25B34C96B20158927CDC7748">
    <w:name w:val="DD1586BF25B34C96B20158927CDC7748"/>
    <w:rsid w:val="00126881"/>
  </w:style>
  <w:style w:type="paragraph" w:customStyle="1" w:styleId="3E6E385C55B041D0BF440B35D123CBBF">
    <w:name w:val="3E6E385C55B041D0BF440B35D123CBBF"/>
    <w:rsid w:val="00126881"/>
  </w:style>
  <w:style w:type="paragraph" w:customStyle="1" w:styleId="437C8C41D5D34884AD8E7E079A597E58">
    <w:name w:val="437C8C41D5D34884AD8E7E079A597E58"/>
    <w:rsid w:val="00126881"/>
  </w:style>
  <w:style w:type="paragraph" w:customStyle="1" w:styleId="C2CC3A1DD9CE4CFDBE495853960A20F2">
    <w:name w:val="C2CC3A1DD9CE4CFDBE495853960A20F2"/>
    <w:rsid w:val="00126881"/>
  </w:style>
  <w:style w:type="paragraph" w:customStyle="1" w:styleId="02B9E9066B224F95921DAF0F47A0CC4A">
    <w:name w:val="02B9E9066B224F95921DAF0F47A0CC4A"/>
    <w:rsid w:val="00126881"/>
  </w:style>
  <w:style w:type="paragraph" w:customStyle="1" w:styleId="510411E0A30C413CBBE3B41BA97A3C8E">
    <w:name w:val="510411E0A30C413CBBE3B41BA97A3C8E"/>
    <w:rsid w:val="00126881"/>
  </w:style>
  <w:style w:type="paragraph" w:customStyle="1" w:styleId="A2110AAAD22E455791D9C5D1326CD41A">
    <w:name w:val="A2110AAAD22E455791D9C5D1326CD41A"/>
    <w:rsid w:val="00126881"/>
  </w:style>
  <w:style w:type="paragraph" w:customStyle="1" w:styleId="1EE4A48710FE40ACA65038067F178358">
    <w:name w:val="1EE4A48710FE40ACA65038067F178358"/>
    <w:rsid w:val="00126881"/>
  </w:style>
  <w:style w:type="paragraph" w:customStyle="1" w:styleId="AA8B26C4720E484A84B5C60E08D1850D">
    <w:name w:val="AA8B26C4720E484A84B5C60E08D1850D"/>
    <w:rsid w:val="00126881"/>
  </w:style>
  <w:style w:type="paragraph" w:customStyle="1" w:styleId="86AB071E6E9648BEBE0E11B525BF05E9">
    <w:name w:val="86AB071E6E9648BEBE0E11B525BF05E9"/>
  </w:style>
  <w:style w:type="paragraph" w:customStyle="1" w:styleId="897325DDAFB148B28438C59FD027DED8">
    <w:name w:val="897325DDAFB148B28438C59FD027DED8"/>
    <w:rsid w:val="00987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C78E6B-9AA6-49AC-8F47-A6674F83E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B00E9-41EC-411A-B45C-D4BC9FE1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372D0221.dotm</Template>
  <TotalTime>645</TotalTime>
  <Pages>6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HEARD,Jonathan</dc:creator>
  <cp:keywords/>
  <dc:description/>
  <cp:lastModifiedBy>WARING,Owen</cp:lastModifiedBy>
  <cp:revision>22</cp:revision>
  <cp:lastPrinted>2018-10-22T22:41:00Z</cp:lastPrinted>
  <dcterms:created xsi:type="dcterms:W3CDTF">2019-09-05T05:37:00Z</dcterms:created>
  <dcterms:modified xsi:type="dcterms:W3CDTF">2020-01-15T21:34:00Z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