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603B9BB5" w14:textId="245D66B7" w:rsidR="00BD499F" w:rsidRPr="004C23F4" w:rsidRDefault="009C1572" w:rsidP="00B40C60">
          <w:pPr>
            <w:pStyle w:val="Heading1"/>
            <w:jc w:val="center"/>
            <w:rPr>
              <w:rFonts w:ascii="Arial" w:hAnsi="Arial" w:cs="Arial"/>
            </w:rPr>
          </w:pPr>
          <w:r w:rsidRPr="009C1572">
            <w:rPr>
              <w:rFonts w:ascii="Arial" w:hAnsi="Arial" w:cs="Arial"/>
            </w:rPr>
            <w:t>Lindane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8"/>
        <w:gridCol w:w="5048"/>
      </w:tblGrid>
      <w:tr w:rsidR="00F43AD5" w:rsidRPr="004C23F4" w14:paraId="220C8FC0" w14:textId="77777777" w:rsidTr="00B76A41">
        <w:trPr>
          <w:cantSplit/>
          <w:tblHeader/>
        </w:trPr>
        <w:tc>
          <w:tcPr>
            <w:tcW w:w="4077" w:type="dxa"/>
          </w:tcPr>
          <w:p w14:paraId="69D1686F" w14:textId="77777777" w:rsidR="00F43AD5" w:rsidRPr="00921DE7" w:rsidRDefault="00CB1CB1" w:rsidP="00B76A41">
            <w:pPr>
              <w:pStyle w:val="Tablerowright"/>
            </w:pPr>
            <w:r w:rsidRPr="00921DE7">
              <w:t>CAS number:</w:t>
            </w:r>
          </w:p>
        </w:tc>
        <w:tc>
          <w:tcPr>
            <w:tcW w:w="5165" w:type="dxa"/>
          </w:tcPr>
          <w:p w14:paraId="21A069EE" w14:textId="6F4BDBAC" w:rsidR="00F43AD5" w:rsidRPr="00717D45" w:rsidRDefault="00EE6AA4" w:rsidP="00B76A41">
            <w:pPr>
              <w:pStyle w:val="Tablefont"/>
            </w:pPr>
            <w:r w:rsidRPr="00EE6AA4">
              <w:t>58-89-9</w:t>
            </w:r>
          </w:p>
        </w:tc>
      </w:tr>
      <w:tr w:rsidR="00F43AD5" w:rsidRPr="004C23F4" w14:paraId="2680DCF6" w14:textId="77777777" w:rsidTr="00B76A41">
        <w:trPr>
          <w:cantSplit/>
        </w:trPr>
        <w:tc>
          <w:tcPr>
            <w:tcW w:w="4077" w:type="dxa"/>
          </w:tcPr>
          <w:p w14:paraId="56F38CBE" w14:textId="77777777" w:rsidR="00F43AD5" w:rsidRPr="00921DE7" w:rsidRDefault="00CB1CB1" w:rsidP="00B76A41">
            <w:pPr>
              <w:pStyle w:val="Tablerowright"/>
            </w:pPr>
            <w:r w:rsidRPr="00921DE7">
              <w:t>Synonyms:</w:t>
            </w:r>
          </w:p>
        </w:tc>
        <w:tc>
          <w:tcPr>
            <w:tcW w:w="5165" w:type="dxa"/>
          </w:tcPr>
          <w:p w14:paraId="586B469D" w14:textId="7BFF700D" w:rsidR="00F43AD5" w:rsidRPr="00717D45" w:rsidRDefault="00EE6AA4" w:rsidP="00B76A41">
            <w:pPr>
              <w:pStyle w:val="Tablefont"/>
            </w:pPr>
            <w:r>
              <w:t>Gamma-benzene hexachloride, gamma-BHC</w:t>
            </w:r>
            <w:r w:rsidR="00866AEE">
              <w:t>, gamma-HCH, gamma-hexachlorohexane</w:t>
            </w:r>
          </w:p>
        </w:tc>
      </w:tr>
      <w:tr w:rsidR="00F43AD5" w:rsidRPr="004C23F4" w14:paraId="26FB2C19" w14:textId="77777777" w:rsidTr="00B76A41">
        <w:trPr>
          <w:cantSplit/>
        </w:trPr>
        <w:tc>
          <w:tcPr>
            <w:tcW w:w="4077" w:type="dxa"/>
          </w:tcPr>
          <w:p w14:paraId="38A9A0BC" w14:textId="77777777" w:rsidR="00F43AD5" w:rsidRPr="00921DE7" w:rsidRDefault="00CB1CB1" w:rsidP="00B76A41">
            <w:pPr>
              <w:pStyle w:val="Tablerowright"/>
            </w:pPr>
            <w:r w:rsidRPr="00921DE7">
              <w:t>Chemical formula:</w:t>
            </w:r>
          </w:p>
        </w:tc>
        <w:tc>
          <w:tcPr>
            <w:tcW w:w="5165" w:type="dxa"/>
          </w:tcPr>
          <w:p w14:paraId="5E881E31" w14:textId="5D44EE75" w:rsidR="00F43AD5" w:rsidRPr="00717D45" w:rsidRDefault="00866AEE" w:rsidP="00B76A41">
            <w:pPr>
              <w:pStyle w:val="Tablefont"/>
            </w:pPr>
            <w:r>
              <w:t>C</w:t>
            </w:r>
            <w:r w:rsidRPr="00866AEE">
              <w:rPr>
                <w:vertAlign w:val="subscript"/>
              </w:rPr>
              <w:t>6</w:t>
            </w:r>
            <w:r>
              <w:t>H</w:t>
            </w:r>
            <w:r w:rsidRPr="00866AEE">
              <w:rPr>
                <w:vertAlign w:val="subscript"/>
              </w:rPr>
              <w:t>6</w:t>
            </w:r>
            <w:r>
              <w:t>Cl</w:t>
            </w:r>
            <w:r w:rsidRPr="00866AEE">
              <w:rPr>
                <w:vertAlign w:val="subscript"/>
              </w:rPr>
              <w:t>6</w:t>
            </w:r>
          </w:p>
        </w:tc>
      </w:tr>
      <w:tr w:rsidR="00F43AD5" w:rsidRPr="004C23F4" w14:paraId="741A5928" w14:textId="77777777" w:rsidTr="00B76A41">
        <w:trPr>
          <w:cantSplit/>
        </w:trPr>
        <w:tc>
          <w:tcPr>
            <w:tcW w:w="4077" w:type="dxa"/>
          </w:tcPr>
          <w:p w14:paraId="0CD77CF3" w14:textId="77777777" w:rsidR="00F43AD5" w:rsidRPr="00921DE7" w:rsidRDefault="00CB1CB1" w:rsidP="00B76A41">
            <w:pPr>
              <w:pStyle w:val="Tablerowright"/>
            </w:pPr>
            <w:r w:rsidRPr="00921DE7">
              <w:t>Structural formula:</w:t>
            </w:r>
          </w:p>
        </w:tc>
        <w:tc>
          <w:tcPr>
            <w:tcW w:w="5165" w:type="dxa"/>
          </w:tcPr>
          <w:p w14:paraId="41E11CCA" w14:textId="1F1E8004" w:rsidR="00F43AD5" w:rsidRPr="00B40C60" w:rsidRDefault="00866AEE" w:rsidP="00B76A41">
            <w:pPr>
              <w:pStyle w:val="Tablerowheading"/>
              <w:rPr>
                <w:b w:val="0"/>
              </w:rPr>
            </w:pPr>
            <w:r>
              <w:t>—</w:t>
            </w:r>
          </w:p>
        </w:tc>
      </w:tr>
    </w:tbl>
    <w:p w14:paraId="31DB4353" w14:textId="07BDB757"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947914">
            <w:rPr>
              <w:rStyle w:val="WESstatus"/>
            </w:rPr>
            <w:t>(retained)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4C23F4" w14:paraId="2A8C21DE" w14:textId="77777777" w:rsidTr="000E3752">
        <w:trPr>
          <w:cantSplit/>
          <w:tblHeader/>
        </w:trPr>
        <w:tc>
          <w:tcPr>
            <w:tcW w:w="3997" w:type="dxa"/>
            <w:vAlign w:val="center"/>
          </w:tcPr>
          <w:p w14:paraId="43B2A14B" w14:textId="77777777" w:rsidR="002C7AFE" w:rsidRPr="002C58FF" w:rsidRDefault="00921DE7" w:rsidP="00921DE7">
            <w:pPr>
              <w:pStyle w:val="Tablerowright"/>
            </w:pPr>
            <w:r>
              <w:t>TWA:</w:t>
            </w:r>
          </w:p>
        </w:tc>
        <w:tc>
          <w:tcPr>
            <w:tcW w:w="5029" w:type="dxa"/>
          </w:tcPr>
          <w:p w14:paraId="36E2816E" w14:textId="2C185535" w:rsidR="002C7AFE" w:rsidRPr="00EB3D1B" w:rsidRDefault="000E3752" w:rsidP="00017C82">
            <w:pPr>
              <w:pStyle w:val="Tablefont"/>
              <w:rPr>
                <w:b/>
              </w:rPr>
            </w:pPr>
            <w:r>
              <w:rPr>
                <w:b/>
              </w:rPr>
              <w:t>0.008 ppm (0.1 mg/m</w:t>
            </w:r>
            <w:r>
              <w:rPr>
                <w:b/>
                <w:vertAlign w:val="superscript"/>
              </w:rPr>
              <w:t>3</w:t>
            </w:r>
            <w:r w:rsidRPr="000E3752">
              <w:rPr>
                <w:b/>
              </w:rPr>
              <w:t>)</w:t>
            </w:r>
          </w:p>
        </w:tc>
      </w:tr>
      <w:tr w:rsidR="002C7AFE" w:rsidRPr="004C23F4" w14:paraId="443293C7" w14:textId="77777777" w:rsidTr="000E3752">
        <w:trPr>
          <w:cantSplit/>
        </w:trPr>
        <w:tc>
          <w:tcPr>
            <w:tcW w:w="3997" w:type="dxa"/>
            <w:vAlign w:val="center"/>
          </w:tcPr>
          <w:p w14:paraId="5CFC115F" w14:textId="77777777" w:rsidR="002C7AFE" w:rsidRPr="002C58FF" w:rsidRDefault="002C7AFE" w:rsidP="00921DE7">
            <w:pPr>
              <w:pStyle w:val="Tablerowright"/>
            </w:pPr>
            <w:r w:rsidRPr="002C58FF">
              <w:t>STEL</w:t>
            </w:r>
            <w:r w:rsidR="00921DE7">
              <w:t>:</w:t>
            </w:r>
          </w:p>
        </w:tc>
        <w:tc>
          <w:tcPr>
            <w:tcW w:w="5029" w:type="dxa"/>
          </w:tcPr>
          <w:p w14:paraId="4D334D8A" w14:textId="033C8F6E" w:rsidR="002C7AFE" w:rsidRPr="00EB3D1B" w:rsidRDefault="000E3752" w:rsidP="00017C82">
            <w:pPr>
              <w:pStyle w:val="Tablefont"/>
              <w:rPr>
                <w:b/>
              </w:rPr>
            </w:pPr>
            <w:r>
              <w:rPr>
                <w:b/>
              </w:rPr>
              <w:t>—</w:t>
            </w:r>
          </w:p>
        </w:tc>
      </w:tr>
      <w:tr w:rsidR="002C7AFE" w:rsidRPr="004C23F4" w14:paraId="54F9EB5B" w14:textId="77777777" w:rsidTr="000E3752">
        <w:trPr>
          <w:cantSplit/>
        </w:trPr>
        <w:tc>
          <w:tcPr>
            <w:tcW w:w="3997" w:type="dxa"/>
            <w:vAlign w:val="center"/>
          </w:tcPr>
          <w:p w14:paraId="635C21AB" w14:textId="77777777" w:rsidR="002C7AFE" w:rsidRPr="002C58FF" w:rsidRDefault="00921DE7" w:rsidP="00921DE7">
            <w:pPr>
              <w:pStyle w:val="Tablerowright"/>
            </w:pPr>
            <w:r>
              <w:t>Peak limitation:</w:t>
            </w:r>
          </w:p>
        </w:tc>
        <w:tc>
          <w:tcPr>
            <w:tcW w:w="5029" w:type="dxa"/>
          </w:tcPr>
          <w:p w14:paraId="608477EF" w14:textId="062D3EC6" w:rsidR="002C7AFE" w:rsidRPr="00EB3D1B" w:rsidRDefault="000E3752" w:rsidP="00017C82">
            <w:pPr>
              <w:pStyle w:val="Tablefont"/>
              <w:rPr>
                <w:b/>
              </w:rPr>
            </w:pPr>
            <w:r>
              <w:rPr>
                <w:b/>
              </w:rPr>
              <w:t>—</w:t>
            </w:r>
          </w:p>
        </w:tc>
      </w:tr>
      <w:tr w:rsidR="002C7AFE" w:rsidRPr="004C23F4" w14:paraId="78415754" w14:textId="77777777" w:rsidTr="000E3752">
        <w:trPr>
          <w:cantSplit/>
        </w:trPr>
        <w:tc>
          <w:tcPr>
            <w:tcW w:w="3997" w:type="dxa"/>
          </w:tcPr>
          <w:p w14:paraId="12C6F29B"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29" w:type="dxa"/>
          </w:tcPr>
          <w:p w14:paraId="7555D10A" w14:textId="42F39013" w:rsidR="002C7AFE" w:rsidRPr="00EB3D1B" w:rsidRDefault="000E3752" w:rsidP="008A36CF">
            <w:pPr>
              <w:pStyle w:val="Tablefont"/>
              <w:rPr>
                <w:b/>
              </w:rPr>
            </w:pPr>
            <w:r>
              <w:rPr>
                <w:b/>
              </w:rPr>
              <w:t>Sk.</w:t>
            </w:r>
          </w:p>
        </w:tc>
      </w:tr>
      <w:tr w:rsidR="002C7AFE" w:rsidRPr="004C23F4" w14:paraId="56528188" w14:textId="77777777" w:rsidTr="000E3752">
        <w:trPr>
          <w:cantSplit/>
        </w:trPr>
        <w:tc>
          <w:tcPr>
            <w:tcW w:w="3997" w:type="dxa"/>
            <w:vAlign w:val="center"/>
          </w:tcPr>
          <w:p w14:paraId="7DC02487" w14:textId="77777777" w:rsidR="00F10C97" w:rsidRPr="002C58FF" w:rsidRDefault="00921DE7" w:rsidP="009F04D2">
            <w:pPr>
              <w:pStyle w:val="Tablerowright"/>
            </w:pPr>
            <w:r>
              <w:t>IDLH:</w:t>
            </w:r>
          </w:p>
        </w:tc>
        <w:tc>
          <w:tcPr>
            <w:tcW w:w="5029" w:type="dxa"/>
          </w:tcPr>
          <w:p w14:paraId="4F46485A" w14:textId="2D3C3561" w:rsidR="002C7AFE" w:rsidRPr="00EB3D1B" w:rsidRDefault="00866AEE" w:rsidP="00017C82">
            <w:pPr>
              <w:pStyle w:val="Tablefont"/>
              <w:rPr>
                <w:b/>
              </w:rPr>
            </w:pPr>
            <w:r>
              <w:rPr>
                <w:b/>
              </w:rPr>
              <w:t>50 mg/m</w:t>
            </w:r>
            <w:r w:rsidRPr="00866AEE">
              <w:rPr>
                <w:b/>
                <w:vertAlign w:val="superscript"/>
              </w:rPr>
              <w:t>3</w:t>
            </w:r>
          </w:p>
        </w:tc>
      </w:tr>
      <w:tr w:rsidR="000E3752" w:rsidRPr="004C23F4" w14:paraId="337C4463" w14:textId="77777777" w:rsidTr="00CF5653">
        <w:trPr>
          <w:cantSplit/>
        </w:trPr>
        <w:tc>
          <w:tcPr>
            <w:tcW w:w="9026" w:type="dxa"/>
            <w:gridSpan w:val="2"/>
            <w:vAlign w:val="center"/>
          </w:tcPr>
          <w:p w14:paraId="543C9711" w14:textId="1ED9ED3E" w:rsidR="000E3752" w:rsidRPr="000E3752" w:rsidRDefault="000E3752" w:rsidP="000E3752">
            <w:pPr>
              <w:pStyle w:val="Tablerowright"/>
              <w:jc w:val="left"/>
              <w:rPr>
                <w:b w:val="0"/>
              </w:rPr>
            </w:pPr>
            <w:r>
              <w:t xml:space="preserve">Sampling and analysis: </w:t>
            </w:r>
            <w:sdt>
              <w:sdtPr>
                <w:rPr>
                  <w:rStyle w:val="WESstatus"/>
                  <w:b w:val="0"/>
                  <w:color w:val="auto"/>
                </w:rPr>
                <w:id w:val="-2105258949"/>
                <w:placeholder>
                  <w:docPart w:val="6D088CB1744D4419BDC4064B098FA8FB"/>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sidRPr="000E3752">
                  <w:rPr>
                    <w:rStyle w:val="WESstatus"/>
                    <w:b w:val="0"/>
                    <w:color w:val="auto"/>
                  </w:rPr>
                  <w:t xml:space="preserve">The recommended value is quantifiable through available sampling and analysis techniques. </w:t>
                </w:r>
              </w:sdtContent>
            </w:sdt>
          </w:p>
        </w:tc>
      </w:tr>
    </w:tbl>
    <w:p w14:paraId="4158624E" w14:textId="77777777" w:rsidR="00CB1CB1" w:rsidRPr="003365A5" w:rsidRDefault="00F10C97" w:rsidP="003365A5">
      <w:pPr>
        <w:pStyle w:val="Heading2"/>
      </w:pPr>
      <w:r>
        <w:t>Recommendation and basis for workplace exposure standard</w:t>
      </w:r>
    </w:p>
    <w:p w14:paraId="76C02A17" w14:textId="16443A02" w:rsidR="006639B4" w:rsidRPr="004C23F4" w:rsidRDefault="00947914" w:rsidP="000C139A">
      <w:pPr>
        <w:rPr>
          <w:rFonts w:cs="Arial"/>
        </w:rPr>
      </w:pPr>
      <w:r w:rsidRPr="00947914">
        <w:rPr>
          <w:rFonts w:cs="Arial"/>
        </w:rPr>
        <w:t xml:space="preserve">A TWA of </w:t>
      </w:r>
      <w:r>
        <w:rPr>
          <w:rFonts w:cs="Arial"/>
        </w:rPr>
        <w:t>0.008</w:t>
      </w:r>
      <w:r w:rsidRPr="00947914">
        <w:rPr>
          <w:rFonts w:cs="Arial"/>
        </w:rPr>
        <w:t xml:space="preserve"> ppm (</w:t>
      </w:r>
      <w:r>
        <w:rPr>
          <w:rFonts w:cs="Arial"/>
        </w:rPr>
        <w:t xml:space="preserve">0.1 </w:t>
      </w:r>
      <w:r w:rsidRPr="00947914">
        <w:rPr>
          <w:rFonts w:cs="Arial"/>
        </w:rPr>
        <w:t>mg/m</w:t>
      </w:r>
      <w:r w:rsidRPr="00947914">
        <w:rPr>
          <w:rFonts w:cs="Arial"/>
          <w:vertAlign w:val="superscript"/>
        </w:rPr>
        <w:t>3</w:t>
      </w:r>
      <w:r w:rsidRPr="00947914">
        <w:rPr>
          <w:rFonts w:cs="Arial"/>
        </w:rPr>
        <w:t>)</w:t>
      </w:r>
      <w:r>
        <w:rPr>
          <w:rFonts w:cs="Arial"/>
        </w:rPr>
        <w:t xml:space="preserve"> is recommended</w:t>
      </w:r>
      <w:r w:rsidRPr="00947914">
        <w:rPr>
          <w:rFonts w:cs="Arial"/>
        </w:rPr>
        <w:t xml:space="preserve"> to protect for </w:t>
      </w:r>
      <w:r>
        <w:rPr>
          <w:rFonts w:cs="Arial"/>
        </w:rPr>
        <w:t>liver damage</w:t>
      </w:r>
      <w:r w:rsidR="00B66C63">
        <w:rPr>
          <w:rFonts w:cs="Arial"/>
        </w:rPr>
        <w:t xml:space="preserve"> </w:t>
      </w:r>
      <w:r w:rsidR="00093B12">
        <w:rPr>
          <w:rFonts w:cs="Arial"/>
        </w:rPr>
        <w:t xml:space="preserve">and </w:t>
      </w:r>
      <w:r w:rsidR="00E81960">
        <w:rPr>
          <w:rFonts w:cs="Arial"/>
        </w:rPr>
        <w:t xml:space="preserve">potential </w:t>
      </w:r>
      <w:r w:rsidR="00093B12">
        <w:rPr>
          <w:rFonts w:cs="Arial"/>
        </w:rPr>
        <w:t xml:space="preserve">central nervous system disturbances </w:t>
      </w:r>
      <w:r w:rsidRPr="00947914">
        <w:rPr>
          <w:rFonts w:cs="Arial"/>
        </w:rPr>
        <w:t>in exposed workers</w:t>
      </w:r>
      <w:r>
        <w:rPr>
          <w:rFonts w:cs="Arial"/>
        </w:rPr>
        <w:t>.</w:t>
      </w:r>
    </w:p>
    <w:p w14:paraId="451BB9CE" w14:textId="77777777" w:rsidR="00C7155E" w:rsidRPr="004C23F4" w:rsidRDefault="00F10C97" w:rsidP="003365A5">
      <w:pPr>
        <w:pStyle w:val="Heading2"/>
      </w:pPr>
      <w:r>
        <w:t>Discussion and conclusions</w:t>
      </w:r>
    </w:p>
    <w:p w14:paraId="53B3DAA4" w14:textId="133A3773" w:rsidR="006639B4" w:rsidRDefault="009637BD" w:rsidP="006639B4">
      <w:pPr>
        <w:rPr>
          <w:rFonts w:cs="Arial"/>
        </w:rPr>
      </w:pPr>
      <w:r>
        <w:rPr>
          <w:rFonts w:cs="Arial"/>
        </w:rPr>
        <w:t xml:space="preserve">Lindane </w:t>
      </w:r>
      <w:r w:rsidR="00947914">
        <w:rPr>
          <w:rFonts w:cs="Arial"/>
        </w:rPr>
        <w:t xml:space="preserve">is a stereoisomer of hexachlorocyclohexane (HCH) and </w:t>
      </w:r>
      <w:r>
        <w:rPr>
          <w:rFonts w:cs="Arial"/>
        </w:rPr>
        <w:t>was formerly used as an insecticide and an ingredient in wood preservatives.</w:t>
      </w:r>
      <w:r w:rsidR="00947914">
        <w:rPr>
          <w:rFonts w:cs="Arial"/>
        </w:rPr>
        <w:t xml:space="preserve"> Technical grade Lindane contains mixtures of other HCH isomers. Critical effects are liver damage </w:t>
      </w:r>
      <w:r w:rsidR="00B66C63">
        <w:rPr>
          <w:rFonts w:cs="Arial"/>
        </w:rPr>
        <w:t>caused by oxidative stress, which may promote tumorigenicity</w:t>
      </w:r>
      <w:r w:rsidR="00190116">
        <w:rPr>
          <w:rFonts w:cs="Arial"/>
        </w:rPr>
        <w:t>;</w:t>
      </w:r>
      <w:r w:rsidR="00947914">
        <w:rPr>
          <w:rFonts w:cs="Arial"/>
        </w:rPr>
        <w:t xml:space="preserve"> the technical grade substance has higher carcinogenic potential than Lindane alone (ACGIH, 2018; US EPA, 1987).</w:t>
      </w:r>
    </w:p>
    <w:p w14:paraId="24C9CC47" w14:textId="381AA492" w:rsidR="00B66C63" w:rsidRDefault="00986A46" w:rsidP="006639B4">
      <w:pPr>
        <w:rPr>
          <w:rFonts w:cs="Arial"/>
        </w:rPr>
      </w:pPr>
      <w:r>
        <w:rPr>
          <w:rFonts w:cs="Arial"/>
        </w:rPr>
        <w:t>A</w:t>
      </w:r>
      <w:r w:rsidR="00947914">
        <w:rPr>
          <w:rFonts w:cs="Arial"/>
        </w:rPr>
        <w:t xml:space="preserve">vailable human </w:t>
      </w:r>
      <w:r w:rsidR="00B14D09">
        <w:rPr>
          <w:rFonts w:cs="Arial"/>
        </w:rPr>
        <w:t xml:space="preserve">inhalational data </w:t>
      </w:r>
      <w:r w:rsidR="00947914">
        <w:rPr>
          <w:rFonts w:cs="Arial"/>
        </w:rPr>
        <w:t>are confounded by mixed exposures to other pesticides</w:t>
      </w:r>
      <w:r w:rsidR="00093B12">
        <w:rPr>
          <w:rFonts w:cs="Arial"/>
        </w:rPr>
        <w:t xml:space="preserve"> </w:t>
      </w:r>
      <w:r w:rsidR="00B14D09">
        <w:rPr>
          <w:rFonts w:cs="Arial"/>
        </w:rPr>
        <w:t xml:space="preserve">and high dermal </w:t>
      </w:r>
      <w:r w:rsidR="00C32CA2">
        <w:rPr>
          <w:rFonts w:cs="Arial"/>
        </w:rPr>
        <w:t>exposures</w:t>
      </w:r>
      <w:r>
        <w:rPr>
          <w:rFonts w:cs="Arial"/>
        </w:rPr>
        <w:t>,</w:t>
      </w:r>
      <w:r w:rsidR="00C32CA2">
        <w:rPr>
          <w:rFonts w:cs="Arial"/>
        </w:rPr>
        <w:t xml:space="preserve"> but</w:t>
      </w:r>
      <w:r w:rsidR="00B66C63">
        <w:rPr>
          <w:rFonts w:cs="Arial"/>
        </w:rPr>
        <w:t xml:space="preserve"> </w:t>
      </w:r>
      <w:r w:rsidR="00646D40">
        <w:rPr>
          <w:rFonts w:cs="Arial"/>
        </w:rPr>
        <w:t>show</w:t>
      </w:r>
      <w:r w:rsidR="00B66C63">
        <w:rPr>
          <w:rFonts w:cs="Arial"/>
        </w:rPr>
        <w:t xml:space="preserve"> increased levels of oxidative stress </w:t>
      </w:r>
      <w:r w:rsidR="005553CB">
        <w:rPr>
          <w:rFonts w:cs="Arial"/>
        </w:rPr>
        <w:t xml:space="preserve">markers </w:t>
      </w:r>
      <w:r w:rsidR="00B66C63">
        <w:rPr>
          <w:rFonts w:cs="Arial"/>
        </w:rPr>
        <w:t>in exposed workers</w:t>
      </w:r>
      <w:r w:rsidR="00B14D09">
        <w:rPr>
          <w:rFonts w:cs="Arial"/>
        </w:rPr>
        <w:t xml:space="preserve"> </w:t>
      </w:r>
      <w:r w:rsidR="00093B12">
        <w:rPr>
          <w:rFonts w:cs="Arial"/>
        </w:rPr>
        <w:t xml:space="preserve">(DFG, </w:t>
      </w:r>
      <w:r w:rsidR="008A3D69">
        <w:rPr>
          <w:rFonts w:cs="Arial"/>
        </w:rPr>
        <w:t>2001</w:t>
      </w:r>
      <w:r w:rsidR="00093B12">
        <w:rPr>
          <w:rFonts w:cs="Arial"/>
        </w:rPr>
        <w:t>)</w:t>
      </w:r>
      <w:r w:rsidR="00947914">
        <w:rPr>
          <w:rFonts w:cs="Arial"/>
        </w:rPr>
        <w:t xml:space="preserve">. </w:t>
      </w:r>
      <w:r>
        <w:rPr>
          <w:rFonts w:cs="Arial"/>
        </w:rPr>
        <w:t>A NOAEC of 0.6 mg/m</w:t>
      </w:r>
      <w:r>
        <w:rPr>
          <w:rFonts w:cs="Arial"/>
          <w:vertAlign w:val="superscript"/>
        </w:rPr>
        <w:t>3</w:t>
      </w:r>
      <w:r w:rsidRPr="00F05941">
        <w:rPr>
          <w:rFonts w:cs="Arial"/>
        </w:rPr>
        <w:t xml:space="preserve"> </w:t>
      </w:r>
      <w:r>
        <w:rPr>
          <w:rFonts w:cs="Arial"/>
        </w:rPr>
        <w:t>for m</w:t>
      </w:r>
      <w:r w:rsidR="00646D40">
        <w:rPr>
          <w:rFonts w:cs="Arial"/>
        </w:rPr>
        <w:t>ild changes in clinical parameters and increased oxidative stress response</w:t>
      </w:r>
      <w:r w:rsidR="005553CB">
        <w:rPr>
          <w:rFonts w:cs="Arial"/>
        </w:rPr>
        <w:t>s</w:t>
      </w:r>
      <w:r w:rsidR="00646D40">
        <w:rPr>
          <w:rFonts w:cs="Arial"/>
        </w:rPr>
        <w:t xml:space="preserve"> </w:t>
      </w:r>
      <w:r>
        <w:rPr>
          <w:rFonts w:cs="Arial"/>
        </w:rPr>
        <w:t>is reported</w:t>
      </w:r>
      <w:r w:rsidR="00646D40">
        <w:rPr>
          <w:rFonts w:cs="Arial"/>
        </w:rPr>
        <w:t xml:space="preserve"> </w:t>
      </w:r>
      <w:r w:rsidR="00646D40" w:rsidRPr="00CF66E2">
        <w:rPr>
          <w:rFonts w:cs="Arial"/>
        </w:rPr>
        <w:t>in</w:t>
      </w:r>
      <w:r w:rsidR="00646D40">
        <w:rPr>
          <w:rFonts w:cs="Arial"/>
          <w:vertAlign w:val="superscript"/>
        </w:rPr>
        <w:t xml:space="preserve"> </w:t>
      </w:r>
      <w:r w:rsidR="00646D40">
        <w:rPr>
          <w:rFonts w:cs="Arial"/>
        </w:rPr>
        <w:t xml:space="preserve">rats and </w:t>
      </w:r>
      <w:r>
        <w:rPr>
          <w:rFonts w:cs="Arial"/>
        </w:rPr>
        <w:t>is</w:t>
      </w:r>
      <w:r w:rsidR="00646D40">
        <w:rPr>
          <w:rFonts w:cs="Arial"/>
        </w:rPr>
        <w:t xml:space="preserve"> consistent with human data (DFG, 2001). </w:t>
      </w:r>
      <w:r w:rsidR="009F1DD9">
        <w:rPr>
          <w:rFonts w:cs="Arial"/>
        </w:rPr>
        <w:t xml:space="preserve">A </w:t>
      </w:r>
      <w:r w:rsidR="00C32CA2">
        <w:rPr>
          <w:rFonts w:cs="Arial"/>
        </w:rPr>
        <w:t xml:space="preserve">NOAEC </w:t>
      </w:r>
      <w:r>
        <w:rPr>
          <w:rFonts w:cs="Arial"/>
        </w:rPr>
        <w:t>of 0.19 </w:t>
      </w:r>
      <w:r w:rsidR="009F1DD9">
        <w:rPr>
          <w:rFonts w:cs="Arial"/>
        </w:rPr>
        <w:t>mg/mg</w:t>
      </w:r>
      <w:r w:rsidR="009F1DD9">
        <w:rPr>
          <w:rFonts w:cs="Arial"/>
          <w:vertAlign w:val="superscript"/>
        </w:rPr>
        <w:t>3</w:t>
      </w:r>
      <w:r w:rsidR="009F1DD9">
        <w:rPr>
          <w:rFonts w:cs="Arial"/>
        </w:rPr>
        <w:t xml:space="preserve"> </w:t>
      </w:r>
      <w:r w:rsidR="00CD3FC2">
        <w:rPr>
          <w:rFonts w:cs="Arial"/>
        </w:rPr>
        <w:t xml:space="preserve">for slight histological changes </w:t>
      </w:r>
      <w:r w:rsidR="00E0021F">
        <w:rPr>
          <w:rFonts w:cs="Arial"/>
        </w:rPr>
        <w:t xml:space="preserve">is </w:t>
      </w:r>
      <w:r w:rsidR="00D14FE1">
        <w:rPr>
          <w:rFonts w:cs="Arial"/>
        </w:rPr>
        <w:t xml:space="preserve">also </w:t>
      </w:r>
      <w:r w:rsidR="00E0021F">
        <w:rPr>
          <w:rFonts w:cs="Arial"/>
        </w:rPr>
        <w:t xml:space="preserve">reported </w:t>
      </w:r>
      <w:r w:rsidR="00084818">
        <w:rPr>
          <w:rFonts w:cs="Arial"/>
        </w:rPr>
        <w:t>from a chronic rat inhalation study (ACGIH, 2018)</w:t>
      </w:r>
      <w:r w:rsidR="00E0021F">
        <w:rPr>
          <w:rFonts w:cs="Arial"/>
        </w:rPr>
        <w:t xml:space="preserve">. </w:t>
      </w:r>
      <w:r w:rsidR="00CD3FC2">
        <w:rPr>
          <w:rFonts w:cs="Arial"/>
        </w:rPr>
        <w:t>Lindane-induced oxidative stress is also associated with tumour promotion capacity in the presence of known tumour initiators (DFG, 2001).</w:t>
      </w:r>
    </w:p>
    <w:p w14:paraId="03E0F013" w14:textId="036EE119" w:rsidR="00B66C63" w:rsidRPr="005553CB" w:rsidRDefault="00986A46" w:rsidP="006639B4">
      <w:pPr>
        <w:rPr>
          <w:rFonts w:cs="Arial"/>
        </w:rPr>
      </w:pPr>
      <w:r>
        <w:rPr>
          <w:rFonts w:cs="Arial"/>
        </w:rPr>
        <w:t xml:space="preserve">A </w:t>
      </w:r>
      <w:r w:rsidR="00646D40">
        <w:rPr>
          <w:rFonts w:cs="Arial"/>
        </w:rPr>
        <w:t xml:space="preserve">TWA </w:t>
      </w:r>
      <w:r w:rsidR="005553CB">
        <w:rPr>
          <w:rFonts w:cs="Arial"/>
        </w:rPr>
        <w:t>of 0.1 mg/m</w:t>
      </w:r>
      <w:r w:rsidR="005553CB">
        <w:rPr>
          <w:rFonts w:cs="Arial"/>
          <w:vertAlign w:val="superscript"/>
        </w:rPr>
        <w:t>3</w:t>
      </w:r>
      <w:r>
        <w:rPr>
          <w:rFonts w:cs="Arial"/>
        </w:rPr>
        <w:t xml:space="preserve">, as derived </w:t>
      </w:r>
      <w:r w:rsidR="00C32CA2">
        <w:rPr>
          <w:rFonts w:cs="Arial"/>
        </w:rPr>
        <w:t>by DFG (2001)</w:t>
      </w:r>
      <w:r>
        <w:rPr>
          <w:rFonts w:cs="Arial"/>
        </w:rPr>
        <w:t>,</w:t>
      </w:r>
      <w:r w:rsidR="00C32CA2">
        <w:rPr>
          <w:rFonts w:cs="Arial"/>
        </w:rPr>
        <w:t xml:space="preserve"> </w:t>
      </w:r>
      <w:r w:rsidR="005553CB">
        <w:rPr>
          <w:rFonts w:cs="Arial"/>
        </w:rPr>
        <w:t>is</w:t>
      </w:r>
      <w:r w:rsidR="007F4E91">
        <w:rPr>
          <w:rFonts w:cs="Arial"/>
        </w:rPr>
        <w:t xml:space="preserve"> </w:t>
      </w:r>
      <w:r w:rsidR="00C32CA2">
        <w:rPr>
          <w:rFonts w:cs="Arial"/>
        </w:rPr>
        <w:t xml:space="preserve">recommended </w:t>
      </w:r>
      <w:r w:rsidR="00682093">
        <w:rPr>
          <w:rFonts w:cs="Arial"/>
        </w:rPr>
        <w:t xml:space="preserve">to </w:t>
      </w:r>
      <w:r w:rsidR="00C32CA2">
        <w:rPr>
          <w:rFonts w:cs="Arial"/>
        </w:rPr>
        <w:t xml:space="preserve">be </w:t>
      </w:r>
      <w:r w:rsidR="007F4E91">
        <w:rPr>
          <w:rFonts w:cs="Arial"/>
        </w:rPr>
        <w:t>adopted and is</w:t>
      </w:r>
      <w:r w:rsidR="005553CB">
        <w:rPr>
          <w:rFonts w:cs="Arial"/>
        </w:rPr>
        <w:t xml:space="preserve"> expected to be protective of liver damage, including tumorigenicity, induced by oxidative stress</w:t>
      </w:r>
      <w:r w:rsidR="007F4E91">
        <w:rPr>
          <w:rFonts w:cs="Arial"/>
        </w:rPr>
        <w:t>.</w:t>
      </w:r>
      <w:r w:rsidR="00084818" w:rsidRPr="00084818">
        <w:rPr>
          <w:rFonts w:cs="Arial"/>
        </w:rPr>
        <w:t xml:space="preserve"> </w:t>
      </w:r>
      <w:r w:rsidR="00084818">
        <w:rPr>
          <w:rFonts w:cs="Arial"/>
        </w:rPr>
        <w:t xml:space="preserve">Based on the weight of evidence presented in workplace and animal inhalation studies, the margin of safety provided by the recommendations of ACGIH (2018) and the administrative OEL presented by HCOTN (2001) </w:t>
      </w:r>
      <w:r>
        <w:rPr>
          <w:rFonts w:cs="Arial"/>
        </w:rPr>
        <w:t>is</w:t>
      </w:r>
      <w:r w:rsidR="00084818">
        <w:rPr>
          <w:rFonts w:cs="Arial"/>
        </w:rPr>
        <w:t xml:space="preserve"> considered insufficient.</w:t>
      </w:r>
    </w:p>
    <w:p w14:paraId="4EA14F18" w14:textId="6BC2096C" w:rsidR="000E3752" w:rsidRDefault="003B4BFE" w:rsidP="006639B4">
      <w:pPr>
        <w:rPr>
          <w:rFonts w:cs="Arial"/>
        </w:rPr>
      </w:pPr>
      <w:r>
        <w:rPr>
          <w:rFonts w:cs="Arial"/>
        </w:rPr>
        <w:t>A r</w:t>
      </w:r>
      <w:r w:rsidR="000E3752">
        <w:rPr>
          <w:rFonts w:cs="Arial"/>
        </w:rPr>
        <w:t xml:space="preserve">e-evaluation of the carcinogenic potential </w:t>
      </w:r>
      <w:r>
        <w:rPr>
          <w:rFonts w:cs="Arial"/>
        </w:rPr>
        <w:t>s</w:t>
      </w:r>
      <w:r w:rsidR="000E3752">
        <w:rPr>
          <w:rFonts w:cs="Arial"/>
        </w:rPr>
        <w:t>hould be prioritised in subsequent reviews due to equivocal evidence for carcinogenicity in humans</w:t>
      </w:r>
      <w:r w:rsidR="00B21472">
        <w:rPr>
          <w:rFonts w:cs="Arial"/>
        </w:rPr>
        <w:t>.</w:t>
      </w:r>
      <w:r w:rsidR="000E3752">
        <w:rPr>
          <w:rFonts w:cs="Arial"/>
        </w:rPr>
        <w:t xml:space="preserve"> </w:t>
      </w:r>
      <w:r w:rsidR="00CF5653">
        <w:rPr>
          <w:rFonts w:cs="Arial"/>
        </w:rPr>
        <w:t xml:space="preserve">HCOTN (2001) considers the evidence from animal </w:t>
      </w:r>
      <w:r w:rsidR="00CF5653">
        <w:rPr>
          <w:rFonts w:cs="Arial"/>
        </w:rPr>
        <w:lastRenderedPageBreak/>
        <w:t>studies insufficient for classification.</w:t>
      </w:r>
      <w:r w:rsidR="008F76B4">
        <w:rPr>
          <w:rFonts w:cs="Arial"/>
        </w:rPr>
        <w:t xml:space="preserve"> However, r</w:t>
      </w:r>
      <w:r w:rsidR="000E3752">
        <w:rPr>
          <w:rFonts w:cs="Arial"/>
        </w:rPr>
        <w:t>ecent assessments by ACGIH</w:t>
      </w:r>
      <w:r w:rsidR="00B21472">
        <w:rPr>
          <w:rFonts w:cs="Arial"/>
        </w:rPr>
        <w:t> </w:t>
      </w:r>
      <w:r w:rsidR="000E3752">
        <w:rPr>
          <w:rFonts w:cs="Arial"/>
        </w:rPr>
        <w:t>(2018) and IARC</w:t>
      </w:r>
      <w:r>
        <w:rPr>
          <w:rFonts w:cs="Arial"/>
        </w:rPr>
        <w:t> </w:t>
      </w:r>
      <w:r w:rsidR="000E3752">
        <w:rPr>
          <w:rFonts w:cs="Arial"/>
        </w:rPr>
        <w:t>(2018)</w:t>
      </w:r>
      <w:r>
        <w:rPr>
          <w:rFonts w:cs="Arial"/>
        </w:rPr>
        <w:t xml:space="preserve"> support a carcinogenicity notation based on evidence in animals and humans, respectively, which is</w:t>
      </w:r>
      <w:r w:rsidR="000E3752">
        <w:rPr>
          <w:rFonts w:cs="Arial"/>
        </w:rPr>
        <w:t xml:space="preserve"> inconsistent with the entry found in the HCIS database.</w:t>
      </w:r>
    </w:p>
    <w:p w14:paraId="35D7B85F" w14:textId="77777777" w:rsidR="004529F0" w:rsidRPr="004C23F4" w:rsidRDefault="004529F0" w:rsidP="004529F0">
      <w:pPr>
        <w:pStyle w:val="Heading2"/>
      </w:pPr>
      <w:r>
        <w:t>Recommendation for notations</w:t>
      </w:r>
    </w:p>
    <w:p w14:paraId="09283FBC" w14:textId="6E972F57" w:rsidR="00EE6AA4" w:rsidRPr="00E96690" w:rsidRDefault="00EE6AA4" w:rsidP="00EE6AA4">
      <w:pPr>
        <w:rPr>
          <w:rFonts w:cs="Arial"/>
        </w:rPr>
      </w:pPr>
      <w:r w:rsidRPr="00E96690">
        <w:rPr>
          <w:rFonts w:cs="Arial"/>
        </w:rPr>
        <w:t>Not classified as a carcinogen according to the Globally Harmonized System of Classification and Labelling o</w:t>
      </w:r>
      <w:r w:rsidR="00D33F08">
        <w:rPr>
          <w:rFonts w:cs="Arial"/>
        </w:rPr>
        <w:t>f</w:t>
      </w:r>
      <w:r w:rsidRPr="00E96690">
        <w:rPr>
          <w:rFonts w:cs="Arial"/>
        </w:rPr>
        <w:t xml:space="preserve"> Chemicals (GHS). </w:t>
      </w:r>
      <w:r w:rsidR="000E3752">
        <w:rPr>
          <w:rFonts w:cs="Arial"/>
        </w:rPr>
        <w:t>However, inconsistencies in carcinogenicity notations were found in the source material during the current evaluation.</w:t>
      </w:r>
      <w:r w:rsidR="004A2300">
        <w:rPr>
          <w:rFonts w:cs="Arial"/>
        </w:rPr>
        <w:t xml:space="preserve"> A review of carcinogenicity classification is recommended.</w:t>
      </w:r>
    </w:p>
    <w:p w14:paraId="6821C551" w14:textId="337D965F" w:rsidR="00EE6AA4" w:rsidRPr="00E96690" w:rsidRDefault="00EE6AA4" w:rsidP="00EE6AA4">
      <w:pPr>
        <w:rPr>
          <w:rFonts w:cs="Arial"/>
        </w:rPr>
      </w:pPr>
      <w:r w:rsidRPr="00E96690">
        <w:rPr>
          <w:rFonts w:cs="Arial"/>
        </w:rPr>
        <w:t xml:space="preserve">Not classified as a skin </w:t>
      </w:r>
      <w:r w:rsidR="00D33F08" w:rsidRPr="00E96690">
        <w:rPr>
          <w:rFonts w:cs="Arial"/>
        </w:rPr>
        <w:t xml:space="preserve">sensitiser </w:t>
      </w:r>
      <w:r w:rsidRPr="00E96690">
        <w:rPr>
          <w:rFonts w:cs="Arial"/>
        </w:rPr>
        <w:t>or respiratory sensitiser according to the GHS.</w:t>
      </w:r>
    </w:p>
    <w:p w14:paraId="463F747A" w14:textId="0A2F0210" w:rsidR="0025734A" w:rsidRPr="004C23F4" w:rsidRDefault="000E3752">
      <w:pPr>
        <w:rPr>
          <w:rFonts w:cs="Arial"/>
        </w:rPr>
      </w:pPr>
      <w:r w:rsidRPr="000E3752">
        <w:rPr>
          <w:rFonts w:cs="Arial"/>
        </w:rPr>
        <w:t xml:space="preserve">A skin notation </w:t>
      </w:r>
      <w:r>
        <w:rPr>
          <w:rFonts w:cs="Arial"/>
        </w:rPr>
        <w:t xml:space="preserve">is </w:t>
      </w:r>
      <w:r w:rsidRPr="000E3752">
        <w:rPr>
          <w:rFonts w:cs="Arial"/>
        </w:rPr>
        <w:t xml:space="preserve">recommended based on evidence </w:t>
      </w:r>
      <w:r>
        <w:rPr>
          <w:rFonts w:cs="Arial"/>
        </w:rPr>
        <w:t>for</w:t>
      </w:r>
      <w:r w:rsidRPr="000E3752">
        <w:rPr>
          <w:rFonts w:cs="Arial"/>
        </w:rPr>
        <w:t xml:space="preserve"> dermal absorption and adverse systemic effects in </w:t>
      </w:r>
      <w:r>
        <w:rPr>
          <w:rFonts w:cs="Arial"/>
        </w:rPr>
        <w:t>humans</w:t>
      </w:r>
      <w:r w:rsidRPr="000E3752">
        <w:rPr>
          <w:rFonts w:cs="Arial"/>
        </w:rPr>
        <w:t>.</w:t>
      </w:r>
    </w:p>
    <w:p w14:paraId="4B323965" w14:textId="77777777"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14:paraId="60D0AE3B"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0B905C5"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66ED2A55" w14:textId="77777777" w:rsidTr="00E3564B">
        <w:trPr>
          <w:gridAfter w:val="1"/>
          <w:wAfter w:w="8" w:type="pct"/>
          <w:trHeight w:val="393"/>
          <w:tblHeader/>
        </w:trPr>
        <w:tc>
          <w:tcPr>
            <w:tcW w:w="4992" w:type="pct"/>
            <w:shd w:val="clear" w:color="auto" w:fill="BFBFBF" w:themeFill="background1" w:themeFillShade="BF"/>
            <w:vAlign w:val="center"/>
          </w:tcPr>
          <w:p w14:paraId="151F2578"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01CCB008" w14:textId="77777777" w:rsidTr="00E3564B">
        <w:tc>
          <w:tcPr>
            <w:tcW w:w="5000" w:type="pct"/>
            <w:gridSpan w:val="2"/>
            <w:shd w:val="clear" w:color="auto" w:fill="F2F2F2" w:themeFill="background1" w:themeFillShade="F2"/>
          </w:tcPr>
          <w:p w14:paraId="337DF27F" w14:textId="4E332B54"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866AEE">
                  <w:t>1991</w:t>
                </w:r>
              </w:sdtContent>
            </w:sdt>
            <w:r w:rsidRPr="003365A5">
              <w:tab/>
            </w:r>
            <w:r>
              <w:tab/>
            </w:r>
            <w:sdt>
              <w:sdtPr>
                <w:alias w:val="SWA WES"/>
                <w:tag w:val="SWA WES"/>
                <w:id w:val="857077202"/>
                <w:placeholder>
                  <w:docPart w:val="81CFEC2FDBC5451289F394E66D92D1A0"/>
                </w:placeholder>
              </w:sdtPr>
              <w:sdtEndPr/>
              <w:sdtContent>
                <w:r w:rsidR="00866AEE">
                  <w:t>TWA: 0.008 ppm (0.1 mg/m</w:t>
                </w:r>
                <w:r w:rsidR="00866AEE" w:rsidRPr="00866AEE">
                  <w:rPr>
                    <w:vertAlign w:val="superscript"/>
                  </w:rPr>
                  <w:t>3</w:t>
                </w:r>
                <w:r w:rsidR="00866AEE">
                  <w:t>)</w:t>
                </w:r>
              </w:sdtContent>
            </w:sdt>
          </w:p>
        </w:tc>
      </w:tr>
      <w:tr w:rsidR="00C978F0" w:rsidRPr="00DA352E" w14:paraId="5725FCF2" w14:textId="77777777" w:rsidTr="00E3564B">
        <w:trPr>
          <w:gridAfter w:val="1"/>
          <w:wAfter w:w="8" w:type="pct"/>
        </w:trPr>
        <w:tc>
          <w:tcPr>
            <w:tcW w:w="4992" w:type="pct"/>
          </w:tcPr>
          <w:p w14:paraId="2489D7BC" w14:textId="77777777" w:rsidR="00C978F0" w:rsidRPr="00DA352E" w:rsidRDefault="00C978F0" w:rsidP="003365A5">
            <w:pPr>
              <w:pStyle w:val="Tabletextprimarysource"/>
            </w:pPr>
          </w:p>
        </w:tc>
      </w:tr>
      <w:tr w:rsidR="00C978F0" w:rsidRPr="00DA352E" w14:paraId="45F11776" w14:textId="77777777" w:rsidTr="00E3564B">
        <w:trPr>
          <w:gridAfter w:val="1"/>
          <w:wAfter w:w="8" w:type="pct"/>
        </w:trPr>
        <w:tc>
          <w:tcPr>
            <w:tcW w:w="4992" w:type="pct"/>
            <w:shd w:val="clear" w:color="auto" w:fill="F2F2F2" w:themeFill="background1" w:themeFillShade="F2"/>
          </w:tcPr>
          <w:p w14:paraId="6765C2DA" w14:textId="1DDB76EE"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866AEE">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866AEE">
                  <w:t>TLV-TWA: 0.5 mg/m</w:t>
                </w:r>
                <w:r w:rsidR="00866AEE" w:rsidRPr="00866AEE">
                  <w:rPr>
                    <w:vertAlign w:val="superscript"/>
                  </w:rPr>
                  <w:t>3</w:t>
                </w:r>
              </w:sdtContent>
            </w:sdt>
          </w:p>
        </w:tc>
      </w:tr>
      <w:tr w:rsidR="00C978F0" w:rsidRPr="00DA352E" w14:paraId="0EB8484D" w14:textId="77777777" w:rsidTr="00E3564B">
        <w:trPr>
          <w:gridAfter w:val="1"/>
          <w:wAfter w:w="8" w:type="pct"/>
        </w:trPr>
        <w:tc>
          <w:tcPr>
            <w:tcW w:w="4992" w:type="pct"/>
          </w:tcPr>
          <w:p w14:paraId="243D7DF2" w14:textId="13F266B5" w:rsidR="00C978F0" w:rsidRDefault="004D7851" w:rsidP="003365A5">
            <w:pPr>
              <w:pStyle w:val="Tabletextprimarysource"/>
            </w:pPr>
            <w:r>
              <w:t>TLV-</w:t>
            </w:r>
            <w:r w:rsidR="00EE0EB1">
              <w:t xml:space="preserve">TWA intended to protect for </w:t>
            </w:r>
            <w:r w:rsidR="00A537FD">
              <w:t>CNS</w:t>
            </w:r>
            <w:r w:rsidR="00EE0EB1">
              <w:t xml:space="preserve"> disturbances. </w:t>
            </w:r>
          </w:p>
          <w:p w14:paraId="5A5254D2" w14:textId="3B7A04D8" w:rsidR="00487275" w:rsidRDefault="00487275" w:rsidP="003365A5">
            <w:pPr>
              <w:pStyle w:val="Tabletextprimarysource"/>
            </w:pPr>
            <w:r>
              <w:t>Summary of data:</w:t>
            </w:r>
          </w:p>
          <w:p w14:paraId="53189454" w14:textId="4F810D02" w:rsidR="00487275" w:rsidRPr="004D169B" w:rsidRDefault="00487275" w:rsidP="003365A5">
            <w:pPr>
              <w:pStyle w:val="Tabletextprimarysource"/>
            </w:pPr>
            <w:r>
              <w:t xml:space="preserve">Lindane is a stereoisomer of 1,2,3,4,5,6-hexachlorocyclohexane (HCH); technical mixtures comprise </w:t>
            </w:r>
            <w:r w:rsidR="004F2A57">
              <w:t xml:space="preserve">Lindane and </w:t>
            </w:r>
            <w:r>
              <w:t xml:space="preserve">other stereoisomers of HCH. </w:t>
            </w:r>
            <w:r w:rsidR="004D169B">
              <w:t>TLV-TWA based on NOAEL of 0.19</w:t>
            </w:r>
            <w:r w:rsidR="0000774D">
              <w:t xml:space="preserve"> mg/m</w:t>
            </w:r>
            <w:r w:rsidR="0000774D" w:rsidRPr="00884E84">
              <w:rPr>
                <w:vertAlign w:val="superscript"/>
              </w:rPr>
              <w:t>3</w:t>
            </w:r>
            <w:r w:rsidR="004D169B">
              <w:t xml:space="preserve"> and </w:t>
            </w:r>
            <w:r w:rsidR="00322E1A">
              <w:t xml:space="preserve">of </w:t>
            </w:r>
            <w:r w:rsidR="00B460B0">
              <w:t xml:space="preserve">LOAEL </w:t>
            </w:r>
            <w:r w:rsidR="004D169B">
              <w:t>0.7</w:t>
            </w:r>
            <w:r w:rsidR="00D33F08">
              <w:t xml:space="preserve"> </w:t>
            </w:r>
            <w:r w:rsidR="004D169B">
              <w:t>mg/m</w:t>
            </w:r>
            <w:r w:rsidR="004D169B">
              <w:rPr>
                <w:vertAlign w:val="superscript"/>
              </w:rPr>
              <w:t>3</w:t>
            </w:r>
            <w:r w:rsidR="004D169B">
              <w:t xml:space="preserve"> for </w:t>
            </w:r>
            <w:r w:rsidR="00A537FD">
              <w:t>CNS</w:t>
            </w:r>
            <w:r w:rsidR="004D169B">
              <w:t xml:space="preserve"> effects in </w:t>
            </w:r>
            <w:r w:rsidR="00B460B0">
              <w:t xml:space="preserve">chronically exposed </w:t>
            </w:r>
            <w:r w:rsidR="004D169B">
              <w:t>animals</w:t>
            </w:r>
            <w:r w:rsidR="00CF5653">
              <w:t>; derivation not discussed.</w:t>
            </w:r>
          </w:p>
          <w:p w14:paraId="5981A491" w14:textId="7232B897" w:rsidR="00EE0EB1" w:rsidRDefault="00EE0EB1" w:rsidP="003365A5">
            <w:pPr>
              <w:pStyle w:val="Tabletextprimarysource"/>
            </w:pPr>
            <w:r>
              <w:t>Human data:</w:t>
            </w:r>
          </w:p>
          <w:p w14:paraId="1EE05DDC" w14:textId="6B5B82FD" w:rsidR="00353B2C" w:rsidRDefault="00353B2C" w:rsidP="00884E84">
            <w:pPr>
              <w:pStyle w:val="Tabletextprimarysource"/>
              <w:numPr>
                <w:ilvl w:val="0"/>
                <w:numId w:val="2"/>
              </w:numPr>
              <w:ind w:left="717"/>
            </w:pPr>
            <w:r>
              <w:t>Rapidly appears in blood and peaks after 6 h following 0.3–1% topical application in volunteers; measured in breast milk of exposed women (no further details provided)</w:t>
            </w:r>
          </w:p>
          <w:p w14:paraId="30BD0FBC" w14:textId="14133CB8" w:rsidR="00353B2C" w:rsidRDefault="00353B2C" w:rsidP="00884E84">
            <w:pPr>
              <w:pStyle w:val="Tabletextprimarysource"/>
              <w:numPr>
                <w:ilvl w:val="0"/>
                <w:numId w:val="2"/>
              </w:numPr>
              <w:ind w:left="717"/>
            </w:pPr>
            <w:r>
              <w:t xml:space="preserve">Accidental overexposures </w:t>
            </w:r>
            <w:r w:rsidRPr="00682093">
              <w:rPr>
                <w:i/>
              </w:rPr>
              <w:t>via</w:t>
            </w:r>
            <w:r>
              <w:t xml:space="preserve"> inhalation resulted in anaemia</w:t>
            </w:r>
            <w:r w:rsidR="00213EBF">
              <w:t>, severe reduction in white blood cells, or vomiting, convulsions and acute renal failure following ingestion</w:t>
            </w:r>
          </w:p>
          <w:p w14:paraId="410D12D8" w14:textId="3978B14D" w:rsidR="00213EBF" w:rsidRDefault="00213EBF" w:rsidP="00884E84">
            <w:pPr>
              <w:pStyle w:val="Tabletextprimarysource"/>
              <w:numPr>
                <w:ilvl w:val="0"/>
                <w:numId w:val="2"/>
              </w:numPr>
              <w:ind w:left="717"/>
            </w:pPr>
            <w:r>
              <w:t xml:space="preserve">Patients tolerated 40 mg/kg/d of pure Lindane, but technical grade substance caused </w:t>
            </w:r>
            <w:r w:rsidR="00A537FD">
              <w:t>diarrhoea</w:t>
            </w:r>
            <w:r>
              <w:t>, vertigo and headache at this concentration (14 d)</w:t>
            </w:r>
          </w:p>
          <w:p w14:paraId="530F35B6" w14:textId="0752E078" w:rsidR="00213EBF" w:rsidRDefault="00213EBF" w:rsidP="00884E84">
            <w:pPr>
              <w:pStyle w:val="Tabletextprimarysource"/>
              <w:numPr>
                <w:ilvl w:val="0"/>
                <w:numId w:val="2"/>
              </w:numPr>
              <w:ind w:left="717"/>
            </w:pPr>
            <w:r>
              <w:t>Electroencephalogram</w:t>
            </w:r>
            <w:r w:rsidR="004D169B">
              <w:t xml:space="preserve"> (EEG)</w:t>
            </w:r>
            <w:r>
              <w:t xml:space="preserve"> </w:t>
            </w:r>
            <w:r w:rsidR="004D169B">
              <w:t>disturbances in exposed male workers with blood Lindane levels of 0.002–0.340 ppm; frequency of clinical and EEG changes in those with blood concentrations &gt;0.02 ppm (n=37, 2 yr exposure, air concentrations not specified); 22/37 workers had been exposed to Aldrin previously</w:t>
            </w:r>
          </w:p>
          <w:p w14:paraId="05EE7D8F" w14:textId="04D97D0C" w:rsidR="00213EBF" w:rsidRDefault="004D169B" w:rsidP="00884E84">
            <w:pPr>
              <w:pStyle w:val="Tabletextprimarysource"/>
              <w:numPr>
                <w:ilvl w:val="0"/>
                <w:numId w:val="2"/>
              </w:numPr>
              <w:ind w:left="717"/>
            </w:pPr>
            <w:r>
              <w:t>Topical lotions containing 1% Lindane associated with poisoning following application</w:t>
            </w:r>
            <w:r w:rsidR="00D33F08">
              <w:t>.</w:t>
            </w:r>
          </w:p>
          <w:p w14:paraId="485227EE" w14:textId="13EA2A14" w:rsidR="00EE0EB1" w:rsidRDefault="00EE0EB1" w:rsidP="003365A5">
            <w:pPr>
              <w:pStyle w:val="Tabletextprimarysource"/>
            </w:pPr>
            <w:r>
              <w:t>Animal data:</w:t>
            </w:r>
          </w:p>
          <w:p w14:paraId="195CF98A" w14:textId="73FABA97" w:rsidR="00EE0EB1" w:rsidRDefault="00EE0EB1" w:rsidP="00884E84">
            <w:pPr>
              <w:pStyle w:val="Tabletextprimarysource"/>
              <w:numPr>
                <w:ilvl w:val="0"/>
                <w:numId w:val="1"/>
              </w:numPr>
              <w:ind w:left="717"/>
            </w:pPr>
            <w:r>
              <w:t>Dermal LD</w:t>
            </w:r>
            <w:r>
              <w:rPr>
                <w:vertAlign w:val="subscript"/>
              </w:rPr>
              <w:t>50</w:t>
            </w:r>
            <w:r>
              <w:t>: 500–1,000 mg/kg (rats), 300 mg/kg (rabbits)</w:t>
            </w:r>
            <w:r w:rsidR="0000774D">
              <w:t>:</w:t>
            </w:r>
          </w:p>
          <w:p w14:paraId="555D46EE" w14:textId="6636B4EE" w:rsidR="00EE0EB1" w:rsidRDefault="00195771" w:rsidP="00884E84">
            <w:pPr>
              <w:pStyle w:val="Tabletextprimarysource"/>
              <w:numPr>
                <w:ilvl w:val="1"/>
                <w:numId w:val="1"/>
              </w:numPr>
              <w:ind w:left="1094" w:hanging="357"/>
            </w:pPr>
            <w:r>
              <w:t>exposure caused diarrh</w:t>
            </w:r>
            <w:r w:rsidR="00A537FD">
              <w:t>o</w:t>
            </w:r>
            <w:r>
              <w:t>ea, hypothermia, nose bleeds, and convulsions (rats)</w:t>
            </w:r>
          </w:p>
          <w:p w14:paraId="1391351A" w14:textId="57E8D630" w:rsidR="00353B2C" w:rsidRDefault="008E45DD" w:rsidP="00884E84">
            <w:pPr>
              <w:pStyle w:val="Tabletextprimarysource"/>
              <w:numPr>
                <w:ilvl w:val="0"/>
                <w:numId w:val="1"/>
              </w:numPr>
              <w:ind w:left="717"/>
            </w:pPr>
            <w:r>
              <w:t>80% absorbed intestinally if administered in oil, only 6% if administered as aqueous suspension;</w:t>
            </w:r>
            <w:r w:rsidR="00353B2C">
              <w:t xml:space="preserve"> distributed to adipose tissue, peak concentrations reached after 2–5 d and eliminated after 1 wk following exposure cessation (rats)</w:t>
            </w:r>
            <w:r w:rsidR="0000774D">
              <w:t>:</w:t>
            </w:r>
          </w:p>
          <w:p w14:paraId="4DF14107" w14:textId="5BC8061F" w:rsidR="008E45DD" w:rsidRDefault="00353B2C" w:rsidP="00884E84">
            <w:pPr>
              <w:pStyle w:val="Tabletextprimarysource"/>
              <w:numPr>
                <w:ilvl w:val="1"/>
                <w:numId w:val="1"/>
              </w:numPr>
              <w:ind w:left="1094" w:hanging="357"/>
            </w:pPr>
            <w:r>
              <w:t>non-oral doses excreted in faeces (34%) and urine (5%)</w:t>
            </w:r>
          </w:p>
          <w:p w14:paraId="6D04EA04" w14:textId="0843EFCF" w:rsidR="00195771" w:rsidRDefault="00195771" w:rsidP="00884E84">
            <w:pPr>
              <w:pStyle w:val="Tabletextprimarysource"/>
              <w:numPr>
                <w:ilvl w:val="0"/>
                <w:numId w:val="1"/>
              </w:numPr>
              <w:ind w:left="717"/>
            </w:pPr>
            <w:r>
              <w:t>NOAEL: 0.19</w:t>
            </w:r>
            <w:r w:rsidR="004D169B">
              <w:t xml:space="preserve"> </w:t>
            </w:r>
            <w:r>
              <w:t>mg/m</w:t>
            </w:r>
            <w:r>
              <w:rPr>
                <w:vertAlign w:val="superscript"/>
              </w:rPr>
              <w:t>3</w:t>
            </w:r>
            <w:r>
              <w:t xml:space="preserve"> </w:t>
            </w:r>
            <w:r w:rsidR="00A90FF8">
              <w:t>for histo</w:t>
            </w:r>
            <w:r w:rsidR="00CF5653">
              <w:t>patho</w:t>
            </w:r>
            <w:r w:rsidR="00A90FF8">
              <w:t xml:space="preserve">logical changes </w:t>
            </w:r>
            <w:r w:rsidR="00CF5653">
              <w:t xml:space="preserve">(not specified) </w:t>
            </w:r>
            <w:r>
              <w:t xml:space="preserve">in </w:t>
            </w:r>
            <w:r w:rsidR="004D169B">
              <w:t>chronic inhalation study</w:t>
            </w:r>
            <w:r w:rsidR="00E655EC">
              <w:t xml:space="preserve"> (rats, </w:t>
            </w:r>
            <w:r w:rsidR="00487275">
              <w:t>24 h/d, 7</w:t>
            </w:r>
            <w:r w:rsidR="00C26494">
              <w:t> </w:t>
            </w:r>
            <w:r w:rsidR="00487275">
              <w:t xml:space="preserve">d/wk, </w:t>
            </w:r>
            <w:r w:rsidR="004D169B">
              <w:t>655 d</w:t>
            </w:r>
            <w:r w:rsidR="00487275">
              <w:t>)</w:t>
            </w:r>
            <w:r w:rsidR="009F1DD9">
              <w:t>:</w:t>
            </w:r>
          </w:p>
          <w:p w14:paraId="70333410" w14:textId="54D07D1E" w:rsidR="004D169B" w:rsidRDefault="00CF5653" w:rsidP="00884E84">
            <w:pPr>
              <w:pStyle w:val="Tabletextprimarysource"/>
              <w:numPr>
                <w:ilvl w:val="1"/>
                <w:numId w:val="1"/>
              </w:numPr>
              <w:ind w:left="1094" w:hanging="357"/>
            </w:pPr>
            <w:r>
              <w:t>LOAEL of 0.7 mg/m</w:t>
            </w:r>
            <w:r>
              <w:rPr>
                <w:vertAlign w:val="superscript"/>
              </w:rPr>
              <w:t>3</w:t>
            </w:r>
            <w:r>
              <w:t xml:space="preserve"> for minimal pathology (no further details provided) reported in </w:t>
            </w:r>
            <w:r w:rsidR="004D169B">
              <w:t>similar study with several unspecified test species (7</w:t>
            </w:r>
            <w:r w:rsidR="0000774D">
              <w:t> </w:t>
            </w:r>
            <w:r w:rsidR="004D169B">
              <w:t>h/d,</w:t>
            </w:r>
            <w:r w:rsidR="00A90FF8">
              <w:t xml:space="preserve"> 5 d/wk, 1 yr</w:t>
            </w:r>
            <w:r>
              <w:t>)</w:t>
            </w:r>
          </w:p>
          <w:p w14:paraId="5F338914" w14:textId="1DC3D457" w:rsidR="00487275" w:rsidRDefault="00487275" w:rsidP="00884E84">
            <w:pPr>
              <w:pStyle w:val="Tabletextprimarysource"/>
              <w:numPr>
                <w:ilvl w:val="0"/>
                <w:numId w:val="1"/>
              </w:numPr>
              <w:ind w:left="717"/>
            </w:pPr>
            <w:r>
              <w:t xml:space="preserve">Liver tumours reported at 660 mg/kg/d </w:t>
            </w:r>
            <w:r w:rsidR="004F2A57">
              <w:t xml:space="preserve">of technical grade Lindane </w:t>
            </w:r>
            <w:r>
              <w:t>in repeat feeding study (male mice, 24 wk); no cancers reported in lower dose groups 6.6 or 66 mg/kg/d</w:t>
            </w:r>
            <w:r w:rsidR="0000774D">
              <w:t>:</w:t>
            </w:r>
          </w:p>
          <w:p w14:paraId="1DE0476B" w14:textId="02AC9DCF" w:rsidR="00487275" w:rsidRDefault="004F2A57" w:rsidP="00884E84">
            <w:pPr>
              <w:pStyle w:val="Tabletextprimarysource"/>
              <w:numPr>
                <w:ilvl w:val="1"/>
                <w:numId w:val="1"/>
              </w:numPr>
              <w:ind w:left="1094" w:hanging="357"/>
            </w:pPr>
            <w:r>
              <w:t>similar results in 80 wk feeding study at 80 and 160 ppm of diet (mice)</w:t>
            </w:r>
          </w:p>
          <w:p w14:paraId="32DBEA89" w14:textId="63836308" w:rsidR="004F2A57" w:rsidRDefault="00B70954" w:rsidP="00884E84">
            <w:pPr>
              <w:pStyle w:val="Tabletextprimarysource"/>
              <w:numPr>
                <w:ilvl w:val="0"/>
                <w:numId w:val="1"/>
              </w:numPr>
              <w:ind w:left="717"/>
            </w:pPr>
            <w:r>
              <w:t>Foetal and maternal NOAEL of 0.05 mg/kg/d for lengthened gestation, decreased number of foetuses and foetal growth</w:t>
            </w:r>
          </w:p>
          <w:p w14:paraId="427B0D09" w14:textId="3A369D33" w:rsidR="008E45DD" w:rsidRDefault="008E45DD" w:rsidP="00884E84">
            <w:pPr>
              <w:pStyle w:val="Tabletextprimarysource"/>
              <w:numPr>
                <w:ilvl w:val="0"/>
                <w:numId w:val="1"/>
              </w:numPr>
              <w:ind w:left="717"/>
            </w:pPr>
            <w:r>
              <w:t>Most mutagenicity studies indicate no potential for genotoxicity except for positive result in 1 dominant lethal mutation assay with 65 mg/kg/d technical grade Lindane (mice, 4–8 mo)</w:t>
            </w:r>
            <w:r w:rsidR="00D33F08">
              <w:t>.</w:t>
            </w:r>
          </w:p>
          <w:p w14:paraId="51D185A4" w14:textId="77777777" w:rsidR="0000774D" w:rsidRDefault="0000774D" w:rsidP="003365A5">
            <w:pPr>
              <w:pStyle w:val="Tabletextprimarysource"/>
            </w:pPr>
          </w:p>
          <w:p w14:paraId="0CDEFC01" w14:textId="77777777" w:rsidR="00EE0EB1" w:rsidRDefault="00EE0EB1" w:rsidP="003365A5">
            <w:pPr>
              <w:pStyle w:val="Tabletextprimarysource"/>
            </w:pPr>
            <w:r>
              <w:t>Insufficient data to recommend a STEL or sensitiser notation.</w:t>
            </w:r>
          </w:p>
          <w:p w14:paraId="315AB17F" w14:textId="3FB49ADE" w:rsidR="00A21D3E" w:rsidRDefault="004C4067" w:rsidP="003365A5">
            <w:pPr>
              <w:pStyle w:val="Tabletextprimarysource"/>
            </w:pPr>
            <w:r>
              <w:t>A skin notation is warranted based on reports of systemic toxicity from dermal contact in humans. Carcinogenicity demonstrated in chronically fed animals</w:t>
            </w:r>
            <w:r w:rsidR="00214145">
              <w:t>, relevance to humans however unknown</w:t>
            </w:r>
            <w:r>
              <w:t>.</w:t>
            </w:r>
          </w:p>
          <w:p w14:paraId="4D1DE3C8" w14:textId="4AFB9A49" w:rsidR="004C4067" w:rsidRPr="00DA352E" w:rsidRDefault="004C4067" w:rsidP="003365A5">
            <w:pPr>
              <w:pStyle w:val="Tabletextprimarysource"/>
            </w:pPr>
          </w:p>
        </w:tc>
      </w:tr>
      <w:tr w:rsidR="00C978F0" w:rsidRPr="00DA352E" w14:paraId="5F236656" w14:textId="77777777" w:rsidTr="00E3564B">
        <w:trPr>
          <w:gridAfter w:val="1"/>
          <w:wAfter w:w="8" w:type="pct"/>
        </w:trPr>
        <w:tc>
          <w:tcPr>
            <w:tcW w:w="4992" w:type="pct"/>
            <w:shd w:val="clear" w:color="auto" w:fill="F2F2F2" w:themeFill="background1" w:themeFillShade="F2"/>
          </w:tcPr>
          <w:p w14:paraId="4EBA60E1" w14:textId="1010F1B6"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866AEE">
                  <w:t>1998</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866AEE">
                  <w:t>MAK: 0.1 mg/m</w:t>
                </w:r>
                <w:r w:rsidR="00866AEE" w:rsidRPr="00866AEE">
                  <w:rPr>
                    <w:vertAlign w:val="superscript"/>
                  </w:rPr>
                  <w:t>3</w:t>
                </w:r>
              </w:sdtContent>
            </w:sdt>
          </w:p>
        </w:tc>
      </w:tr>
      <w:tr w:rsidR="00C978F0" w:rsidRPr="00DA352E" w14:paraId="37ACF27A" w14:textId="77777777" w:rsidTr="00E3564B">
        <w:trPr>
          <w:gridAfter w:val="1"/>
          <w:wAfter w:w="8" w:type="pct"/>
        </w:trPr>
        <w:tc>
          <w:tcPr>
            <w:tcW w:w="4992" w:type="pct"/>
          </w:tcPr>
          <w:p w14:paraId="18FE2E9E" w14:textId="021A62B8" w:rsidR="00856A66" w:rsidRDefault="00856A66" w:rsidP="003365A5">
            <w:pPr>
              <w:pStyle w:val="Tabletextprimarysource"/>
            </w:pPr>
            <w:r>
              <w:t>Summary of additional data:</w:t>
            </w:r>
          </w:p>
          <w:p w14:paraId="5F5EBA1B" w14:textId="02B6FFE7" w:rsidR="00995D82" w:rsidRDefault="000748C8" w:rsidP="003365A5">
            <w:pPr>
              <w:pStyle w:val="Tabletextprimarysource"/>
            </w:pPr>
            <w:r>
              <w:t xml:space="preserve">MAK intended to protect for adverse liver effects, including tumorigenicity, and immune system toxicity. </w:t>
            </w:r>
            <w:r w:rsidR="00511706">
              <w:t>Liver tumour promoting activity likely due to cytochrome P450 mediated monooxygenase induction. Evidence for increased monooxygenase activity</w:t>
            </w:r>
            <w:r w:rsidR="00995D82">
              <w:t>, but no adverse clinical effects,</w:t>
            </w:r>
            <w:r w:rsidR="00511706">
              <w:t xml:space="preserve"> in workers exposed </w:t>
            </w:r>
            <w:r w:rsidR="00E9060A">
              <w:t>at</w:t>
            </w:r>
            <w:r w:rsidR="00511706">
              <w:t xml:space="preserve"> 0.004–0.15 mg/</w:t>
            </w:r>
            <w:r w:rsidR="00511706" w:rsidRPr="00646D40">
              <w:t>m</w:t>
            </w:r>
            <w:r w:rsidR="00511706">
              <w:rPr>
                <w:vertAlign w:val="superscript"/>
              </w:rPr>
              <w:t>3</w:t>
            </w:r>
            <w:r w:rsidR="00995D82">
              <w:t xml:space="preserve"> is confounded by excess dermal absorption.</w:t>
            </w:r>
            <w:r w:rsidR="00511706">
              <w:t xml:space="preserve"> </w:t>
            </w:r>
            <w:r w:rsidR="00511706" w:rsidRPr="00646D40">
              <w:t>NOAEL</w:t>
            </w:r>
            <w:r w:rsidR="00511706">
              <w:t xml:space="preserve"> </w:t>
            </w:r>
            <w:r w:rsidR="00995D82">
              <w:t>of 0.6 </w:t>
            </w:r>
            <w:r w:rsidR="00511706">
              <w:t>mg/m</w:t>
            </w:r>
            <w:r w:rsidR="00511706">
              <w:rPr>
                <w:vertAlign w:val="superscript"/>
              </w:rPr>
              <w:t>3</w:t>
            </w:r>
            <w:r w:rsidR="00511706">
              <w:t xml:space="preserve"> for monooxygenase induction in rats </w:t>
            </w:r>
            <w:r w:rsidR="00995D82">
              <w:t>therefore used as line of evidence in MAK evaluation.</w:t>
            </w:r>
            <w:r w:rsidR="00511706">
              <w:t xml:space="preserve"> </w:t>
            </w:r>
            <w:r w:rsidR="00995D82">
              <w:t>B</w:t>
            </w:r>
            <w:r w:rsidR="00C925D0">
              <w:t xml:space="preserve">ased </w:t>
            </w:r>
            <w:r w:rsidR="00995D82">
              <w:t xml:space="preserve">on </w:t>
            </w:r>
            <w:r w:rsidR="00E9060A">
              <w:t>consistency</w:t>
            </w:r>
            <w:r w:rsidR="00995D82">
              <w:t xml:space="preserve"> of monooxygenase </w:t>
            </w:r>
            <w:r w:rsidR="00E9060A">
              <w:t xml:space="preserve">induction in workplace study with animal inhalation data, </w:t>
            </w:r>
            <w:r w:rsidR="00C925D0">
              <w:t>MAK of 0.1 mg/m</w:t>
            </w:r>
            <w:r w:rsidR="00C925D0">
              <w:rPr>
                <w:vertAlign w:val="superscript"/>
              </w:rPr>
              <w:t>3</w:t>
            </w:r>
            <w:r w:rsidR="00C925D0">
              <w:t xml:space="preserve"> expected to be protective of </w:t>
            </w:r>
            <w:r w:rsidR="00995D82">
              <w:t>adverse liver effects including tumorigenicity</w:t>
            </w:r>
            <w:r w:rsidR="00C925D0">
              <w:t xml:space="preserve">. </w:t>
            </w:r>
          </w:p>
          <w:p w14:paraId="738B217A" w14:textId="24A815F2" w:rsidR="00C978F0" w:rsidRDefault="00C925D0" w:rsidP="003365A5">
            <w:pPr>
              <w:pStyle w:val="Tabletextprimarysource"/>
            </w:pPr>
            <w:r>
              <w:t>Positive carcinogenicity in mice and insufficient data for carc</w:t>
            </w:r>
            <w:r w:rsidR="00856A66">
              <w:t>inogenic activity in humans warrants a category 4 notation. Uptake through human skin can exceed inhalational intake at the MAK, skin notation therefore recommended.</w:t>
            </w:r>
            <w:r w:rsidR="000748C8">
              <w:t xml:space="preserve"> A BAT of 25 µg/L of plasma or serum is recommended.</w:t>
            </w:r>
          </w:p>
          <w:p w14:paraId="56B3FE37" w14:textId="51EE01DF" w:rsidR="00856A66" w:rsidRDefault="00856A66" w:rsidP="003365A5">
            <w:pPr>
              <w:pStyle w:val="Tabletextprimarysource"/>
            </w:pPr>
            <w:r>
              <w:t>Human data:</w:t>
            </w:r>
          </w:p>
          <w:p w14:paraId="2AFE25EF" w14:textId="103C165A" w:rsidR="00856A66" w:rsidRDefault="008F3421" w:rsidP="00884E84">
            <w:pPr>
              <w:pStyle w:val="Tabletextprimarysource"/>
              <w:numPr>
                <w:ilvl w:val="0"/>
                <w:numId w:val="1"/>
              </w:numPr>
              <w:ind w:left="717"/>
            </w:pPr>
            <w:r>
              <w:t>Seminal fluid concentrations of 18.64 µg/L associated with increased ROS, and decreased sperm motility and concentration; another chlorinated insecticide present in exposure was a confounding factor</w:t>
            </w:r>
          </w:p>
          <w:p w14:paraId="63933574" w14:textId="672639F0" w:rsidR="00E3758D" w:rsidRDefault="00E3758D" w:rsidP="00884E84">
            <w:pPr>
              <w:pStyle w:val="Tabletextprimarysource"/>
              <w:numPr>
                <w:ilvl w:val="0"/>
                <w:numId w:val="1"/>
              </w:numPr>
              <w:ind w:left="717"/>
            </w:pPr>
            <w:r>
              <w:t>Increased odds ratio (1.5) for development of non-Hodgkin’s lymphoma in farmers exposed to various pesticides, contribution of Lindane to this increased risk is unclear but is not ruled out</w:t>
            </w:r>
          </w:p>
          <w:p w14:paraId="4106CE57" w14:textId="77777777" w:rsidR="00E9060A" w:rsidRDefault="00E3758D" w:rsidP="00884E84">
            <w:pPr>
              <w:pStyle w:val="Tabletextprimarysource"/>
              <w:numPr>
                <w:ilvl w:val="0"/>
                <w:numId w:val="1"/>
              </w:numPr>
              <w:ind w:left="717"/>
            </w:pPr>
            <w:r>
              <w:t xml:space="preserve">Increased risk of non-Hodgkin’s lymphoma associated with exposure to HCH isomeric mixtures, </w:t>
            </w:r>
            <w:r w:rsidR="004C0B9A">
              <w:t xml:space="preserve">but </w:t>
            </w:r>
            <w:r>
              <w:t xml:space="preserve">insufficient data to </w:t>
            </w:r>
            <w:r w:rsidR="004C0B9A">
              <w:t>associate risk to Lindane isomer alone</w:t>
            </w:r>
          </w:p>
          <w:p w14:paraId="4089AABE" w14:textId="10E8A9FF" w:rsidR="00E3758D" w:rsidRDefault="00E9060A" w:rsidP="00646D40">
            <w:pPr>
              <w:pStyle w:val="Tabletextprimarysource"/>
              <w:numPr>
                <w:ilvl w:val="0"/>
                <w:numId w:val="1"/>
              </w:numPr>
              <w:ind w:left="717"/>
            </w:pPr>
            <w:r>
              <w:t>No adverse effects to neurological status, clinical chemistry, or haematology in production workers exposed at 0.004–0.15 mg/m</w:t>
            </w:r>
            <w:r w:rsidRPr="00646D40">
              <w:rPr>
                <w:vertAlign w:val="superscript"/>
              </w:rPr>
              <w:t>3</w:t>
            </w:r>
            <w:r w:rsidR="00B50F32">
              <w:t xml:space="preserve"> with average serum concentration 36.9 µg/L;</w:t>
            </w:r>
            <w:r>
              <w:t xml:space="preserve"> some workers were dermally exposed to large amounts of solid substance, which </w:t>
            </w:r>
            <w:r w:rsidR="00B50F32">
              <w:t>prevents correlation of air and serum concentrations</w:t>
            </w:r>
          </w:p>
          <w:p w14:paraId="32CAB3D6" w14:textId="6108D5C7" w:rsidR="00856A66" w:rsidRDefault="00856A66" w:rsidP="003365A5">
            <w:pPr>
              <w:pStyle w:val="Tabletextprimarysource"/>
            </w:pPr>
            <w:r>
              <w:t>Animal data:</w:t>
            </w:r>
          </w:p>
          <w:p w14:paraId="6976CA69" w14:textId="11C9F3AB" w:rsidR="009637BD" w:rsidRDefault="00BE3E0D" w:rsidP="00884E84">
            <w:pPr>
              <w:pStyle w:val="Tabletextprimarysource"/>
              <w:numPr>
                <w:ilvl w:val="0"/>
                <w:numId w:val="1"/>
              </w:numPr>
              <w:ind w:left="717"/>
            </w:pPr>
            <w:r>
              <w:t xml:space="preserve">Oxidative stress responses and increased generation of ROS </w:t>
            </w:r>
            <w:r w:rsidR="009637BD">
              <w:t xml:space="preserve">related to </w:t>
            </w:r>
            <w:r>
              <w:t>i</w:t>
            </w:r>
            <w:r w:rsidR="009637BD">
              <w:t xml:space="preserve">mmunotoxicity in animals, and possibly explains increased risk of non-Hodgkin’s lymphoma in </w:t>
            </w:r>
            <w:r w:rsidR="00B50F32">
              <w:t>humans</w:t>
            </w:r>
          </w:p>
          <w:p w14:paraId="1F5878B0" w14:textId="247F0631" w:rsidR="009637BD" w:rsidRDefault="007D19F7" w:rsidP="00884E84">
            <w:pPr>
              <w:pStyle w:val="Tabletextprimarysource"/>
              <w:numPr>
                <w:ilvl w:val="0"/>
                <w:numId w:val="1"/>
              </w:numPr>
              <w:ind w:left="717"/>
            </w:pPr>
            <w:r>
              <w:t xml:space="preserve">Mild transient clinical effects including increased liver cytochrome P450 levels, </w:t>
            </w:r>
            <w:r w:rsidR="00CB2DF3">
              <w:t>diarrhoea</w:t>
            </w:r>
            <w:r>
              <w:t>, and ruffled coat at 4.5 mg/m</w:t>
            </w:r>
            <w:r>
              <w:rPr>
                <w:vertAlign w:val="superscript"/>
              </w:rPr>
              <w:t>3</w:t>
            </w:r>
            <w:r>
              <w:t xml:space="preserve"> (rats, 6 h/d, 7 d/wk, 3 mo)</w:t>
            </w:r>
            <w:r w:rsidR="00C26494">
              <w:t>:</w:t>
            </w:r>
          </w:p>
          <w:p w14:paraId="14558C20" w14:textId="22F76004" w:rsidR="007D19F7" w:rsidRDefault="007D19F7" w:rsidP="00884E84">
            <w:pPr>
              <w:pStyle w:val="Tabletextprimarysource"/>
              <w:numPr>
                <w:ilvl w:val="1"/>
                <w:numId w:val="1"/>
              </w:numPr>
              <w:ind w:left="1094" w:hanging="357"/>
            </w:pPr>
            <w:r>
              <w:t>NOAEL: 0.6 mg/m</w:t>
            </w:r>
            <w:r>
              <w:rPr>
                <w:vertAlign w:val="superscript"/>
              </w:rPr>
              <w:t>3</w:t>
            </w:r>
          </w:p>
          <w:p w14:paraId="072B4BBA" w14:textId="2B273A2B" w:rsidR="007D19F7" w:rsidRDefault="007D19F7" w:rsidP="00884E84">
            <w:pPr>
              <w:pStyle w:val="Tabletextprimarysource"/>
              <w:numPr>
                <w:ilvl w:val="1"/>
                <w:numId w:val="1"/>
              </w:numPr>
              <w:ind w:left="1094" w:hanging="357"/>
            </w:pPr>
            <w:r>
              <w:t>similar study reported NOAEL: 1 mg/m</w:t>
            </w:r>
            <w:r>
              <w:rPr>
                <w:vertAlign w:val="superscript"/>
              </w:rPr>
              <w:t>3</w:t>
            </w:r>
            <w:r>
              <w:t xml:space="preserve"> for histopathological changes</w:t>
            </w:r>
            <w:r w:rsidR="008A3D69">
              <w:t xml:space="preserve"> to liver</w:t>
            </w:r>
            <w:r>
              <w:t>, but 2 animals died inexplicably at this exposure (mice, 6 h/d, 5 d/wk, 13 wk)</w:t>
            </w:r>
            <w:r w:rsidR="00C27B7D">
              <w:t>; NOAEL for this unexplained mortality was 0.3 mg/m</w:t>
            </w:r>
            <w:r w:rsidR="00C27B7D">
              <w:rPr>
                <w:vertAlign w:val="superscript"/>
              </w:rPr>
              <w:t>3</w:t>
            </w:r>
          </w:p>
          <w:p w14:paraId="143F54CB" w14:textId="02E6F701" w:rsidR="00A8621D" w:rsidRDefault="00A8621D" w:rsidP="00BD269F">
            <w:pPr>
              <w:pStyle w:val="Tabletextprimarysource"/>
              <w:numPr>
                <w:ilvl w:val="0"/>
                <w:numId w:val="1"/>
              </w:numPr>
              <w:ind w:left="717"/>
            </w:pPr>
            <w:r>
              <w:t xml:space="preserve">Reduced immune response to foreign erythrocytes at 6 mg/kg/d </w:t>
            </w:r>
            <w:r w:rsidR="000748C8">
              <w:t xml:space="preserve">in repeat feeding study </w:t>
            </w:r>
            <w:r>
              <w:t xml:space="preserve">(mice, </w:t>
            </w:r>
            <w:r w:rsidR="000748C8">
              <w:t>12 wk)</w:t>
            </w:r>
            <w:r w:rsidR="00B14D09">
              <w:t xml:space="preserve">; </w:t>
            </w:r>
            <w:r>
              <w:t>NOAEL: 2 mg/kg/d</w:t>
            </w:r>
          </w:p>
          <w:p w14:paraId="1837FD2A" w14:textId="5F324EE2" w:rsidR="00A8621D" w:rsidRDefault="00A8621D" w:rsidP="00884E84">
            <w:pPr>
              <w:pStyle w:val="Tabletextprimarysource"/>
              <w:numPr>
                <w:ilvl w:val="1"/>
                <w:numId w:val="1"/>
              </w:numPr>
              <w:ind w:left="1094" w:hanging="357"/>
            </w:pPr>
            <w:r>
              <w:t>similar study with reported NOAEL: 0.</w:t>
            </w:r>
            <w:r w:rsidR="00DF6D4A">
              <w:t xml:space="preserve">25 </w:t>
            </w:r>
            <w:r>
              <w:t xml:space="preserve">mg/kg/d and LOAEL: 1.8 mg/kg/d (rats, </w:t>
            </w:r>
            <w:r w:rsidR="000748C8">
              <w:t>22</w:t>
            </w:r>
            <w:r w:rsidR="0040421D">
              <w:t> </w:t>
            </w:r>
            <w:r w:rsidR="000748C8">
              <w:t>wk</w:t>
            </w:r>
            <w:r>
              <w:t>); immune response challenged with tetanus toxoid</w:t>
            </w:r>
          </w:p>
          <w:p w14:paraId="67DD9BF9" w14:textId="312C9718" w:rsidR="00947914" w:rsidRDefault="00947914" w:rsidP="00884E84">
            <w:pPr>
              <w:pStyle w:val="Tabletextprimarysource"/>
              <w:numPr>
                <w:ilvl w:val="0"/>
                <w:numId w:val="1"/>
              </w:numPr>
              <w:ind w:left="717"/>
            </w:pPr>
            <w:r>
              <w:t>Immune system suppression at 0.012 mg/kg/d in repeat feeding study (mice, 24 wk); no NOAEL determined in study, results not considered in evaluation due to inconsistencies with LOAEL presented in other studies and insufficient experimental documentation</w:t>
            </w:r>
          </w:p>
          <w:p w14:paraId="22B7282A" w14:textId="7D42CBD8" w:rsidR="008D05D0" w:rsidRDefault="00511706" w:rsidP="00884E84">
            <w:pPr>
              <w:pStyle w:val="Tabletextprimarysource"/>
              <w:numPr>
                <w:ilvl w:val="0"/>
                <w:numId w:val="1"/>
              </w:numPr>
              <w:ind w:left="717"/>
            </w:pPr>
            <w:r>
              <w:t>Liver t</w:t>
            </w:r>
            <w:r w:rsidR="008D05D0">
              <w:t xml:space="preserve">umour promotion at 2.5 mg/kg/d when co-administered with </w:t>
            </w:r>
            <w:r w:rsidR="008D05D0">
              <w:rPr>
                <w:i/>
              </w:rPr>
              <w:t>N</w:t>
            </w:r>
            <w:r w:rsidR="008D05D0">
              <w:t xml:space="preserve">-nitrosomorpholine initiator in repeat </w:t>
            </w:r>
            <w:r>
              <w:t xml:space="preserve">feeding study, dose groups: 0, 0.1, 0.5, 2.5, 10, 30 mg/kg/d </w:t>
            </w:r>
            <w:r w:rsidR="008D05D0">
              <w:t>(rats, 20 wk)</w:t>
            </w:r>
            <w:r>
              <w:t>;</w:t>
            </w:r>
          </w:p>
          <w:p w14:paraId="24721772" w14:textId="48BFC60F" w:rsidR="00511706" w:rsidRDefault="00511706" w:rsidP="00D66EF4">
            <w:pPr>
              <w:pStyle w:val="Tabletextprimarysource"/>
              <w:numPr>
                <w:ilvl w:val="1"/>
                <w:numId w:val="1"/>
              </w:numPr>
            </w:pPr>
            <w:r>
              <w:t>NOAEL: 0.5 mg/kg/d for formation of preneoplastic foci</w:t>
            </w:r>
          </w:p>
          <w:p w14:paraId="001E0139" w14:textId="147E78BF" w:rsidR="00511706" w:rsidRDefault="00511706" w:rsidP="00D66EF4">
            <w:pPr>
              <w:pStyle w:val="Tabletextprimarysource"/>
              <w:numPr>
                <w:ilvl w:val="1"/>
                <w:numId w:val="1"/>
              </w:numPr>
            </w:pPr>
            <w:r>
              <w:t>NOAEL (calculated): 1 mg/kg/d for monooxygenase induction</w:t>
            </w:r>
          </w:p>
          <w:p w14:paraId="757A4291" w14:textId="7D89E632" w:rsidR="00DF6D4A" w:rsidRDefault="000748C8" w:rsidP="00D66EF4">
            <w:pPr>
              <w:pStyle w:val="Tabletextprimarysource"/>
              <w:numPr>
                <w:ilvl w:val="0"/>
                <w:numId w:val="1"/>
              </w:numPr>
              <w:ind w:left="717"/>
            </w:pPr>
            <w:r>
              <w:t>Several developmental repeat feeding/gavage studies with rats and rabbits report foetal NOAELs at least 83 times higher than the effective oral dose at the MAK of 0.1 mg/m</w:t>
            </w:r>
            <w:r>
              <w:rPr>
                <w:vertAlign w:val="superscript"/>
              </w:rPr>
              <w:t>3</w:t>
            </w:r>
            <w:r w:rsidR="00D33F08">
              <w:t>.</w:t>
            </w:r>
          </w:p>
          <w:p w14:paraId="2A9B03F2" w14:textId="57D50BBF" w:rsidR="0040421D" w:rsidRDefault="0040421D" w:rsidP="00646D40">
            <w:pPr>
              <w:pStyle w:val="Tabletextprimarysource"/>
            </w:pPr>
          </w:p>
          <w:p w14:paraId="5A373037" w14:textId="77777777" w:rsidR="00856A66" w:rsidRDefault="00856A66" w:rsidP="003365A5">
            <w:pPr>
              <w:pStyle w:val="Tabletextprimarysource"/>
            </w:pPr>
            <w:r>
              <w:t>Insufficient data to assign a sensitiser notation.</w:t>
            </w:r>
          </w:p>
          <w:p w14:paraId="6C19DFD5" w14:textId="1F3F4B44" w:rsidR="0040421D" w:rsidRPr="00C925D0" w:rsidRDefault="0040421D" w:rsidP="003365A5">
            <w:pPr>
              <w:pStyle w:val="Tabletextprimarysource"/>
            </w:pPr>
          </w:p>
        </w:tc>
      </w:tr>
      <w:tr w:rsidR="00C978F0" w:rsidRPr="00DA352E" w14:paraId="093B430D" w14:textId="77777777" w:rsidTr="00E3564B">
        <w:trPr>
          <w:gridAfter w:val="1"/>
          <w:wAfter w:w="8" w:type="pct"/>
        </w:trPr>
        <w:tc>
          <w:tcPr>
            <w:tcW w:w="4992" w:type="pct"/>
            <w:shd w:val="clear" w:color="auto" w:fill="F2F2F2" w:themeFill="background1" w:themeFillShade="F2"/>
          </w:tcPr>
          <w:p w14:paraId="00DF1528" w14:textId="2EC494F9" w:rsidR="00C978F0" w:rsidRPr="00DA352E" w:rsidRDefault="00DA352E" w:rsidP="0051509C">
            <w:pPr>
              <w:pStyle w:val="Tablerowheadingitalic"/>
              <w:tabs>
                <w:tab w:val="clear" w:pos="2268"/>
                <w:tab w:val="clear" w:pos="5670"/>
                <w:tab w:val="left" w:pos="1418"/>
                <w:tab w:val="left" w:pos="2552"/>
              </w:tabs>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A31374">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r w:rsidR="00A31374">
                  <w:t>NA</w:t>
                </w:r>
                <w:r w:rsidR="00866AEE">
                  <w:t xml:space="preserve"> </w:t>
                </w:r>
              </w:sdtContent>
            </w:sdt>
          </w:p>
        </w:tc>
      </w:tr>
      <w:tr w:rsidR="00C978F0" w:rsidRPr="00DA352E" w14:paraId="1999243D" w14:textId="77777777" w:rsidTr="00E3564B">
        <w:trPr>
          <w:gridAfter w:val="1"/>
          <w:wAfter w:w="8" w:type="pct"/>
        </w:trPr>
        <w:tc>
          <w:tcPr>
            <w:tcW w:w="4992" w:type="pct"/>
          </w:tcPr>
          <w:p w14:paraId="418800F2" w14:textId="1292A025" w:rsidR="00C978F0" w:rsidRPr="00DA352E" w:rsidRDefault="00A31374" w:rsidP="003365A5">
            <w:pPr>
              <w:pStyle w:val="Tabletextprimarysource"/>
            </w:pPr>
            <w:r>
              <w:t>No report</w:t>
            </w:r>
            <w:r w:rsidR="00D33F08">
              <w:t>.</w:t>
            </w:r>
          </w:p>
        </w:tc>
      </w:tr>
      <w:tr w:rsidR="00DA352E" w:rsidRPr="00DA352E" w14:paraId="34CCBE04" w14:textId="77777777" w:rsidTr="00E3564B">
        <w:trPr>
          <w:gridAfter w:val="1"/>
          <w:wAfter w:w="8" w:type="pct"/>
        </w:trPr>
        <w:tc>
          <w:tcPr>
            <w:tcW w:w="4992" w:type="pct"/>
            <w:shd w:val="clear" w:color="auto" w:fill="F2F2F2" w:themeFill="background1" w:themeFillShade="F2"/>
          </w:tcPr>
          <w:p w14:paraId="230FEB90" w14:textId="31A820A8"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866AEE">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866AEE">
                  <w:t>NA</w:t>
                </w:r>
              </w:sdtContent>
            </w:sdt>
          </w:p>
        </w:tc>
      </w:tr>
      <w:tr w:rsidR="00DA352E" w:rsidRPr="00DA352E" w14:paraId="4DA0DD95" w14:textId="77777777" w:rsidTr="00E3564B">
        <w:trPr>
          <w:gridAfter w:val="1"/>
          <w:wAfter w:w="8" w:type="pct"/>
        </w:trPr>
        <w:tc>
          <w:tcPr>
            <w:tcW w:w="4992" w:type="pct"/>
          </w:tcPr>
          <w:p w14:paraId="2DA27CF7" w14:textId="1E165C99" w:rsidR="00DA352E" w:rsidRPr="00DA352E" w:rsidRDefault="00A31374" w:rsidP="003365A5">
            <w:pPr>
              <w:pStyle w:val="Tabletextprimarysource"/>
            </w:pPr>
            <w:r>
              <w:t>No report</w:t>
            </w:r>
            <w:r w:rsidR="00D33F08">
              <w:t>.</w:t>
            </w:r>
          </w:p>
        </w:tc>
      </w:tr>
      <w:tr w:rsidR="00DA352E" w:rsidRPr="00DA352E" w14:paraId="47888C00" w14:textId="77777777" w:rsidTr="00E3564B">
        <w:trPr>
          <w:gridAfter w:val="1"/>
          <w:wAfter w:w="8" w:type="pct"/>
        </w:trPr>
        <w:tc>
          <w:tcPr>
            <w:tcW w:w="4992" w:type="pct"/>
            <w:shd w:val="clear" w:color="auto" w:fill="F2F2F2" w:themeFill="background1" w:themeFillShade="F2"/>
          </w:tcPr>
          <w:p w14:paraId="2F616C68" w14:textId="093922C2"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A31374">
                  <w:t>2001</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A31374" w:rsidRPr="00A31374">
                  <w:t>TWA 8 hours</w:t>
                </w:r>
                <w:r w:rsidR="00A31374">
                  <w:t xml:space="preserve">: </w:t>
                </w:r>
                <w:r w:rsidR="00A31374" w:rsidRPr="00A31374">
                  <w:t>0.5 mg/m</w:t>
                </w:r>
                <w:r w:rsidR="00A31374" w:rsidRPr="00A31374">
                  <w:rPr>
                    <w:vertAlign w:val="superscript"/>
                  </w:rPr>
                  <w:t>3</w:t>
                </w:r>
              </w:sdtContent>
            </w:sdt>
          </w:p>
        </w:tc>
      </w:tr>
      <w:tr w:rsidR="00DA352E" w:rsidRPr="00DA352E" w14:paraId="456621DB" w14:textId="77777777" w:rsidTr="00E3564B">
        <w:trPr>
          <w:gridAfter w:val="1"/>
          <w:wAfter w:w="8" w:type="pct"/>
        </w:trPr>
        <w:tc>
          <w:tcPr>
            <w:tcW w:w="4992" w:type="pct"/>
          </w:tcPr>
          <w:p w14:paraId="72C2A3B5" w14:textId="199956C4" w:rsidR="00116F28" w:rsidRDefault="00116F28" w:rsidP="001C7407">
            <w:pPr>
              <w:pStyle w:val="Tabletextprimarysource"/>
            </w:pPr>
            <w:r>
              <w:t>Summary of additional data:</w:t>
            </w:r>
          </w:p>
          <w:p w14:paraId="19D6E905" w14:textId="3F7AA8BF" w:rsidR="00496982" w:rsidRDefault="00116F28" w:rsidP="001C7407">
            <w:pPr>
              <w:pStyle w:val="Tabletextprimarysource"/>
            </w:pPr>
            <w:r>
              <w:t>Current administrative OEL considered too high by the agency.</w:t>
            </w:r>
            <w:r w:rsidR="00496982">
              <w:t xml:space="preserve"> Immune system suppression considered most sensitive endpoint based on</w:t>
            </w:r>
            <w:r>
              <w:t xml:space="preserve"> </w:t>
            </w:r>
            <w:r w:rsidR="00496982">
              <w:t xml:space="preserve">LOAEL of 0.012 mg/kg/d (24 wk) for this effect in mice (also cited in DFG, 2001), no NOAEL was determined in this study. </w:t>
            </w:r>
            <w:r>
              <w:t>A h</w:t>
            </w:r>
            <w:r w:rsidR="001C7407">
              <w:t xml:space="preserve">ealth-based recommended </w:t>
            </w:r>
            <w:r w:rsidR="00A537FD">
              <w:t>OEL</w:t>
            </w:r>
            <w:r w:rsidR="001C7407">
              <w:t xml:space="preserve"> (HBROEL)</w:t>
            </w:r>
            <w:r w:rsidR="00E3564B">
              <w:t xml:space="preserve"> </w:t>
            </w:r>
            <w:r w:rsidR="00D14FE1">
              <w:t xml:space="preserve">is </w:t>
            </w:r>
            <w:r w:rsidR="00E3564B">
              <w:t>derived by applying f</w:t>
            </w:r>
            <w:r>
              <w:t>actors of 2 and 10 are applied to respectively account for interspecies differences, and estimation of a NOAEL from the dose-response relationship in the cited study</w:t>
            </w:r>
            <w:r w:rsidR="00FF7A21">
              <w:t xml:space="preserve"> to </w:t>
            </w:r>
            <w:r w:rsidR="00D14FE1">
              <w:t xml:space="preserve">obtain </w:t>
            </w:r>
            <w:r w:rsidR="00FF7A21">
              <w:t>an</w:t>
            </w:r>
            <w:r>
              <w:t xml:space="preserve"> HBROEL of </w:t>
            </w:r>
            <w:r w:rsidR="00D33F08">
              <w:t xml:space="preserve">4 </w:t>
            </w:r>
            <w:r>
              <w:t>µg/m</w:t>
            </w:r>
            <w:r>
              <w:rPr>
                <w:vertAlign w:val="superscript"/>
              </w:rPr>
              <w:t>3</w:t>
            </w:r>
            <w:r>
              <w:t xml:space="preserve"> assuming 100% absorption in a </w:t>
            </w:r>
            <w:r w:rsidR="00214145">
              <w:t>70-kg</w:t>
            </w:r>
            <w:r>
              <w:t xml:space="preserve"> individual with a respiratory volume of 10 m</w:t>
            </w:r>
            <w:r>
              <w:rPr>
                <w:vertAlign w:val="superscript"/>
              </w:rPr>
              <w:t>3</w:t>
            </w:r>
            <w:r>
              <w:t xml:space="preserve"> over an 8</w:t>
            </w:r>
            <w:r w:rsidR="00D33F08">
              <w:t xml:space="preserve"> </w:t>
            </w:r>
            <w:r>
              <w:t>h shift.</w:t>
            </w:r>
          </w:p>
          <w:p w14:paraId="4B39EBA3" w14:textId="2775E098" w:rsidR="00116F28" w:rsidRDefault="00496982" w:rsidP="001C7407">
            <w:pPr>
              <w:pStyle w:val="Tabletextprimarysource"/>
            </w:pPr>
            <w:r>
              <w:t>A carcinogenicity notation not warranted based on animal studies that show tumour promotion, but lack of tumour initiation capacity.</w:t>
            </w:r>
          </w:p>
          <w:p w14:paraId="2CCF6735" w14:textId="710C49BE" w:rsidR="001C7407" w:rsidRDefault="00116F28" w:rsidP="001C7407">
            <w:pPr>
              <w:pStyle w:val="Tabletextprimarysource"/>
            </w:pPr>
            <w:r>
              <w:t>A skin notation is recommended based on reports of dermal absorption in humans (also cited in ACGIH, 2018).</w:t>
            </w:r>
          </w:p>
          <w:p w14:paraId="65A22975" w14:textId="7634072A" w:rsidR="00E16FAB" w:rsidRDefault="00E16FAB" w:rsidP="00E16FAB">
            <w:pPr>
              <w:pStyle w:val="Tabletextprimarysource"/>
            </w:pPr>
            <w:r>
              <w:t>Animal data:</w:t>
            </w:r>
          </w:p>
          <w:p w14:paraId="5A4BFD39" w14:textId="7080CD82" w:rsidR="005E0B71" w:rsidRDefault="005E0B71" w:rsidP="00884E84">
            <w:pPr>
              <w:pStyle w:val="Tabletextprimarysource"/>
              <w:numPr>
                <w:ilvl w:val="0"/>
                <w:numId w:val="1"/>
              </w:numPr>
              <w:ind w:left="717"/>
            </w:pPr>
            <w:r>
              <w:t>LC</w:t>
            </w:r>
            <w:r>
              <w:rPr>
                <w:vertAlign w:val="subscript"/>
              </w:rPr>
              <w:t>50</w:t>
            </w:r>
            <w:r>
              <w:t>: 1,600 mg/m</w:t>
            </w:r>
            <w:r>
              <w:rPr>
                <w:vertAlign w:val="superscript"/>
              </w:rPr>
              <w:t>3</w:t>
            </w:r>
            <w:r>
              <w:t xml:space="preserve"> (rat, 4 h)</w:t>
            </w:r>
          </w:p>
          <w:p w14:paraId="51489B80" w14:textId="7A459402" w:rsidR="00116F28" w:rsidRDefault="00116F28" w:rsidP="00884E84">
            <w:pPr>
              <w:pStyle w:val="Tabletextprimarysource"/>
              <w:numPr>
                <w:ilvl w:val="0"/>
                <w:numId w:val="1"/>
              </w:numPr>
              <w:ind w:left="717"/>
            </w:pPr>
            <w:r>
              <w:t xml:space="preserve">Eliminated via </w:t>
            </w:r>
            <w:r w:rsidR="00C8706A">
              <w:t>urine, faeces, milk, and semen; does not accumulate in significant amounts, half-life from dermal application: 1 d (monkeys), half-life from oral dose 2–4 d (mice, rats)</w:t>
            </w:r>
          </w:p>
          <w:p w14:paraId="7DCC298E" w14:textId="16259A69" w:rsidR="00C3561A" w:rsidRDefault="00C3561A" w:rsidP="00884E84">
            <w:pPr>
              <w:pStyle w:val="Tabletextprimarysource"/>
              <w:numPr>
                <w:ilvl w:val="0"/>
                <w:numId w:val="1"/>
              </w:numPr>
              <w:ind w:left="717"/>
            </w:pPr>
            <w:r>
              <w:t>Immune system suppression at 0.012 mg/kg/d in repeat oral dose study (mice, 24 wk); effects seen at all tested doses 0.012–1.2 mg/kg/d</w:t>
            </w:r>
          </w:p>
          <w:p w14:paraId="31A6E05A" w14:textId="643FC742" w:rsidR="00C8706A" w:rsidRDefault="00021307" w:rsidP="00884E84">
            <w:pPr>
              <w:pStyle w:val="Tabletextprimarysource"/>
              <w:numPr>
                <w:ilvl w:val="0"/>
                <w:numId w:val="1"/>
              </w:numPr>
              <w:ind w:left="717"/>
            </w:pPr>
            <w:r>
              <w:t>Liver damage at 60 mg/kg in repeat dermal application study (rats, 6 h, occlusive, 5 d/wk, 13 wk); NOAEL 10 mg/kg</w:t>
            </w:r>
          </w:p>
          <w:p w14:paraId="6E7E6880" w14:textId="3B30C355" w:rsidR="00E16FAB" w:rsidRDefault="00E16FAB" w:rsidP="00884E84">
            <w:pPr>
              <w:pStyle w:val="Tabletextprimarysource"/>
              <w:numPr>
                <w:ilvl w:val="0"/>
                <w:numId w:val="1"/>
              </w:numPr>
              <w:ind w:left="717"/>
            </w:pPr>
            <w:r>
              <w:t>Neurobehavioral changes at 5 mg/kg/d in repeat oral dose study (female rats, 3 mo); NOAEL: 2.5 mg/kg/d</w:t>
            </w:r>
          </w:p>
          <w:p w14:paraId="58C25CB5" w14:textId="722FFFB9" w:rsidR="00B2335C" w:rsidRDefault="00B2335C" w:rsidP="00884E84">
            <w:pPr>
              <w:pStyle w:val="Tabletextprimarysource"/>
              <w:numPr>
                <w:ilvl w:val="0"/>
                <w:numId w:val="1"/>
              </w:numPr>
              <w:ind w:left="717"/>
            </w:pPr>
            <w:r>
              <w:t>Chronic feeding carcinogenicity studies with mice (also cited in ACGIH, 2018) not considered sufficient evidence for carcinogenic activity in animals; tumour promotion, but not initiation, suggested in feeding study with Lindane and known tumour initiators (rats, 20</w:t>
            </w:r>
            <w:r w:rsidR="0040421D">
              <w:t> </w:t>
            </w:r>
            <w:r>
              <w:t>wk)</w:t>
            </w:r>
          </w:p>
          <w:p w14:paraId="5F7CFFEA" w14:textId="77777777" w:rsidR="00DA352E" w:rsidRDefault="001C7407" w:rsidP="00884E84">
            <w:pPr>
              <w:pStyle w:val="Tabletextprimarysource"/>
              <w:numPr>
                <w:ilvl w:val="0"/>
                <w:numId w:val="1"/>
              </w:numPr>
              <w:ind w:left="717"/>
            </w:pPr>
            <w:r>
              <w:t>Not considered a genotoxic carcinogen based on weight of evidence of available mutagenicity assays</w:t>
            </w:r>
            <w:r w:rsidR="00B2335C">
              <w:t>.</w:t>
            </w:r>
          </w:p>
          <w:p w14:paraId="5C6FBB02" w14:textId="2F154ECE" w:rsidR="0040421D" w:rsidRPr="00DA352E" w:rsidRDefault="0040421D" w:rsidP="00884E84">
            <w:pPr>
              <w:pStyle w:val="Tabletextprimarysource"/>
            </w:pPr>
          </w:p>
        </w:tc>
      </w:tr>
    </w:tbl>
    <w:p w14:paraId="7A2D9823"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88"/>
        <w:gridCol w:w="422"/>
        <w:gridCol w:w="661"/>
        <w:gridCol w:w="6455"/>
      </w:tblGrid>
      <w:tr w:rsidR="004966BF" w:rsidRPr="00263255" w14:paraId="013D5CF2" w14:textId="77777777" w:rsidTr="00A537FD">
        <w:trPr>
          <w:cantSplit/>
          <w:trHeight w:val="393"/>
          <w:tblHeader/>
        </w:trPr>
        <w:tc>
          <w:tcPr>
            <w:tcW w:w="1488" w:type="dxa"/>
            <w:shd w:val="clear" w:color="auto" w:fill="BFBFBF" w:themeFill="background1" w:themeFillShade="BF"/>
            <w:vAlign w:val="center"/>
          </w:tcPr>
          <w:p w14:paraId="42325ECA"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216B50C3" w14:textId="77777777" w:rsidR="004966BF" w:rsidRPr="00263255" w:rsidRDefault="004966BF" w:rsidP="00263255">
            <w:pPr>
              <w:pStyle w:val="Tableheader"/>
            </w:pPr>
          </w:p>
        </w:tc>
        <w:tc>
          <w:tcPr>
            <w:tcW w:w="661" w:type="dxa"/>
            <w:shd w:val="clear" w:color="auto" w:fill="BFBFBF" w:themeFill="background1" w:themeFillShade="BF"/>
            <w:vAlign w:val="center"/>
          </w:tcPr>
          <w:p w14:paraId="2D061977" w14:textId="77777777" w:rsidR="004966BF" w:rsidRPr="00263255" w:rsidRDefault="004966BF" w:rsidP="00263255">
            <w:pPr>
              <w:pStyle w:val="Tableheader"/>
            </w:pPr>
            <w:r>
              <w:t>Year</w:t>
            </w:r>
          </w:p>
        </w:tc>
        <w:tc>
          <w:tcPr>
            <w:tcW w:w="6455" w:type="dxa"/>
            <w:shd w:val="clear" w:color="auto" w:fill="BFBFBF" w:themeFill="background1" w:themeFillShade="BF"/>
            <w:vAlign w:val="center"/>
          </w:tcPr>
          <w:p w14:paraId="5E0BAECA" w14:textId="77777777" w:rsidR="004966BF" w:rsidRPr="00263255" w:rsidRDefault="004966BF" w:rsidP="00263255">
            <w:pPr>
              <w:pStyle w:val="Tableheader"/>
            </w:pPr>
            <w:r>
              <w:t>Additional information</w:t>
            </w:r>
          </w:p>
        </w:tc>
      </w:tr>
      <w:tr w:rsidR="004966BF" w:rsidRPr="004C23F4" w14:paraId="33D5205B" w14:textId="77777777" w:rsidTr="00A537FD">
        <w:trPr>
          <w:cantSplit/>
        </w:trPr>
        <w:tc>
          <w:tcPr>
            <w:tcW w:w="1488" w:type="dxa"/>
          </w:tcPr>
          <w:p w14:paraId="2A23500F" w14:textId="77777777" w:rsidR="004966BF" w:rsidRPr="004C23F4" w:rsidRDefault="004966BF" w:rsidP="00224EE2">
            <w:pPr>
              <w:pStyle w:val="Tablefont"/>
            </w:pPr>
            <w:r>
              <w:t>HSE</w:t>
            </w:r>
          </w:p>
        </w:tc>
        <w:tc>
          <w:tcPr>
            <w:tcW w:w="422" w:type="dxa"/>
          </w:tcPr>
          <w:p w14:paraId="27C3265E" w14:textId="6C46ED28" w:rsidR="004966BF" w:rsidRPr="00CE617F" w:rsidRDefault="00DE16A6" w:rsidP="00AB43C4">
            <w:pPr>
              <w:spacing w:before="40"/>
              <w:jc w:val="center"/>
              <w:rPr>
                <w:rStyle w:val="checkbox"/>
              </w:rPr>
            </w:pPr>
            <w:sdt>
              <w:sdtPr>
                <w:rPr>
                  <w:rStyle w:val="checkbox"/>
                </w:rPr>
                <w:id w:val="-1382551732"/>
                <w:placeholder>
                  <w:docPart w:val="8DD754E365844A4E82EC69A07E229629"/>
                </w:placeholder>
                <w:dropDownList>
                  <w:listItem w:displayText="" w:value=""/>
                  <w:listItem w:displayText="" w:value=""/>
                  <w:listItem w:displayText="" w:value=""/>
                </w:dropDownList>
              </w:sdtPr>
              <w:sdtEndPr>
                <w:rPr>
                  <w:rStyle w:val="checkbox"/>
                </w:rPr>
              </w:sdtEndPr>
              <w:sdtContent>
                <w:r w:rsidR="00C3561A">
                  <w:rPr>
                    <w:rStyle w:val="checkbox"/>
                  </w:rPr>
                  <w:t></w:t>
                </w:r>
              </w:sdtContent>
            </w:sdt>
          </w:p>
        </w:tc>
        <w:tc>
          <w:tcPr>
            <w:tcW w:w="661" w:type="dxa"/>
          </w:tcPr>
          <w:p w14:paraId="04A3BE1B" w14:textId="06CDF0CA" w:rsidR="004966BF" w:rsidRPr="004C23F4" w:rsidRDefault="00C3561A" w:rsidP="00717D45">
            <w:pPr>
              <w:pStyle w:val="Tablefont"/>
            </w:pPr>
            <w:r>
              <w:t>1996</w:t>
            </w:r>
          </w:p>
        </w:tc>
        <w:tc>
          <w:tcPr>
            <w:tcW w:w="6455" w:type="dxa"/>
          </w:tcPr>
          <w:p w14:paraId="18C0B464" w14:textId="295C6F71" w:rsidR="004966BF" w:rsidRPr="00C3561A" w:rsidRDefault="00C3561A" w:rsidP="00884E84">
            <w:pPr>
              <w:pStyle w:val="Tablefont"/>
              <w:numPr>
                <w:ilvl w:val="0"/>
                <w:numId w:val="1"/>
              </w:numPr>
              <w:spacing w:before="60" w:after="60"/>
              <w:ind w:left="714" w:hanging="357"/>
              <w:rPr>
                <w:vertAlign w:val="superscript"/>
              </w:rPr>
            </w:pPr>
            <w:r w:rsidRPr="00190116">
              <w:rPr>
                <w:rFonts w:cs="Arial"/>
              </w:rPr>
              <w:t>8-h TWA derived from NOAEL of 0.3 mg/m</w:t>
            </w:r>
            <w:r w:rsidRPr="00190116">
              <w:rPr>
                <w:rFonts w:cs="Arial"/>
                <w:vertAlign w:val="superscript"/>
              </w:rPr>
              <w:t>3</w:t>
            </w:r>
            <w:r w:rsidRPr="00190116">
              <w:rPr>
                <w:rFonts w:cs="Arial"/>
              </w:rPr>
              <w:t xml:space="preserve"> for histopathological changes and mortality (mice, 6 h/d, 5 d/wk, 13 wk, also cited by DFG, </w:t>
            </w:r>
            <w:r w:rsidR="008A3D69" w:rsidRPr="00190116">
              <w:rPr>
                <w:rFonts w:cs="Arial"/>
              </w:rPr>
              <w:t>20</w:t>
            </w:r>
            <w:r w:rsidR="008A3D69">
              <w:rPr>
                <w:rFonts w:cs="Arial"/>
              </w:rPr>
              <w:t>01</w:t>
            </w:r>
            <w:r w:rsidRPr="00190116">
              <w:rPr>
                <w:rFonts w:cs="Arial"/>
              </w:rPr>
              <w:t xml:space="preserve">). Factor of 3 applied to </w:t>
            </w:r>
            <w:r w:rsidR="00380AA6">
              <w:rPr>
                <w:rFonts w:cs="Arial"/>
              </w:rPr>
              <w:t>derive</w:t>
            </w:r>
            <w:r w:rsidR="00380AA6" w:rsidRPr="00190116">
              <w:rPr>
                <w:rFonts w:cs="Arial"/>
              </w:rPr>
              <w:t xml:space="preserve"> </w:t>
            </w:r>
            <w:r w:rsidRPr="00190116">
              <w:rPr>
                <w:rFonts w:cs="Arial"/>
              </w:rPr>
              <w:t>a recommended 8-h TWA of 0.1</w:t>
            </w:r>
            <w:r w:rsidR="00D33F08" w:rsidRPr="00076180">
              <w:rPr>
                <w:rFonts w:cs="Arial"/>
              </w:rPr>
              <w:t xml:space="preserve"> </w:t>
            </w:r>
            <w:r w:rsidRPr="00076180">
              <w:rPr>
                <w:rFonts w:cs="Arial"/>
              </w:rPr>
              <w:t>mg/m</w:t>
            </w:r>
            <w:r w:rsidRPr="00076180">
              <w:rPr>
                <w:rFonts w:cs="Arial"/>
                <w:vertAlign w:val="superscript"/>
              </w:rPr>
              <w:t>3</w:t>
            </w:r>
            <w:r w:rsidR="00D33F08" w:rsidRPr="00694352">
              <w:rPr>
                <w:rFonts w:cs="Arial"/>
              </w:rPr>
              <w:t>.</w:t>
            </w:r>
          </w:p>
        </w:tc>
      </w:tr>
      <w:tr w:rsidR="004966BF" w:rsidRPr="004C23F4" w14:paraId="2D8E0DE1" w14:textId="77777777" w:rsidTr="00A537FD">
        <w:trPr>
          <w:cantSplit/>
        </w:trPr>
        <w:tc>
          <w:tcPr>
            <w:tcW w:w="1488" w:type="dxa"/>
          </w:tcPr>
          <w:p w14:paraId="2FAFFDB6" w14:textId="77777777" w:rsidR="004966BF" w:rsidRPr="004C23F4" w:rsidRDefault="004966BF" w:rsidP="00224EE2">
            <w:pPr>
              <w:pStyle w:val="Tablefont"/>
            </w:pPr>
            <w:r>
              <w:lastRenderedPageBreak/>
              <w:t>IARC</w:t>
            </w:r>
          </w:p>
        </w:tc>
        <w:tc>
          <w:tcPr>
            <w:tcW w:w="422" w:type="dxa"/>
          </w:tcPr>
          <w:p w14:paraId="0DA4F062" w14:textId="7C50F5F7" w:rsidR="004966BF" w:rsidRPr="00CE617F" w:rsidRDefault="00DE16A6"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92728C">
                  <w:rPr>
                    <w:rStyle w:val="checkbox"/>
                  </w:rPr>
                  <w:t></w:t>
                </w:r>
              </w:sdtContent>
            </w:sdt>
          </w:p>
        </w:tc>
        <w:tc>
          <w:tcPr>
            <w:tcW w:w="661" w:type="dxa"/>
          </w:tcPr>
          <w:p w14:paraId="0BA69B19" w14:textId="48863BD1" w:rsidR="004966BF" w:rsidRPr="004C23F4" w:rsidRDefault="0092728C" w:rsidP="00717D45">
            <w:pPr>
              <w:pStyle w:val="Tablefont"/>
              <w:rPr>
                <w:rStyle w:val="checkbox"/>
                <w:rFonts w:ascii="Arial" w:hAnsi="Arial" w:cs="Arial"/>
              </w:rPr>
            </w:pPr>
            <w:r>
              <w:rPr>
                <w:rStyle w:val="checkbox"/>
                <w:rFonts w:ascii="Arial" w:hAnsi="Arial" w:cs="Arial"/>
              </w:rPr>
              <w:t>2018</w:t>
            </w:r>
          </w:p>
        </w:tc>
        <w:tc>
          <w:tcPr>
            <w:tcW w:w="6455" w:type="dxa"/>
          </w:tcPr>
          <w:p w14:paraId="6C64EB97" w14:textId="5128F92B" w:rsidR="0092728C" w:rsidRDefault="005E0B71" w:rsidP="00884E84">
            <w:pPr>
              <w:pStyle w:val="Tablefont"/>
              <w:numPr>
                <w:ilvl w:val="0"/>
                <w:numId w:val="1"/>
              </w:numPr>
              <w:spacing w:before="60" w:after="60"/>
              <w:ind w:left="714" w:hanging="357"/>
              <w:rPr>
                <w:rFonts w:cs="Arial"/>
              </w:rPr>
            </w:pPr>
            <w:r w:rsidRPr="005E0B71">
              <w:rPr>
                <w:rFonts w:cs="Arial"/>
              </w:rPr>
              <w:t xml:space="preserve">Negative or mixed results </w:t>
            </w:r>
            <w:r>
              <w:rPr>
                <w:rFonts w:cs="Arial"/>
              </w:rPr>
              <w:t>mutagenicity assays</w:t>
            </w:r>
            <w:r w:rsidR="0092728C" w:rsidRPr="005E0B71">
              <w:rPr>
                <w:rFonts w:cs="Arial"/>
              </w:rPr>
              <w:t xml:space="preserve"> </w:t>
            </w:r>
            <w:r w:rsidR="0092728C">
              <w:rPr>
                <w:rFonts w:cs="Arial"/>
              </w:rPr>
              <w:t>with</w:t>
            </w:r>
            <w:r w:rsidR="0092728C" w:rsidRPr="005E0B71">
              <w:rPr>
                <w:rFonts w:cs="Arial"/>
              </w:rPr>
              <w:t xml:space="preserve"> chromosomal and other DNA damage endpoints</w:t>
            </w:r>
            <w:r w:rsidR="0092728C">
              <w:rPr>
                <w:rFonts w:cs="Arial"/>
              </w:rPr>
              <w:t xml:space="preserve"> i</w:t>
            </w:r>
            <w:r w:rsidRPr="005E0B71">
              <w:rPr>
                <w:rFonts w:cs="Arial"/>
              </w:rPr>
              <w:t>n rats, mice, hamsters</w:t>
            </w:r>
          </w:p>
          <w:p w14:paraId="76FD06A7" w14:textId="59541F48" w:rsidR="0092728C" w:rsidRDefault="005E0B71" w:rsidP="00884E84">
            <w:pPr>
              <w:pStyle w:val="Tablefont"/>
              <w:numPr>
                <w:ilvl w:val="0"/>
                <w:numId w:val="1"/>
              </w:numPr>
              <w:spacing w:before="60" w:after="60"/>
              <w:ind w:left="714" w:hanging="357"/>
              <w:rPr>
                <w:rFonts w:cs="Arial"/>
              </w:rPr>
            </w:pPr>
            <w:r w:rsidRPr="005E0B71">
              <w:rPr>
                <w:rFonts w:cs="Arial"/>
              </w:rPr>
              <w:t>Negative or small effects reported i</w:t>
            </w:r>
            <w:r w:rsidR="0092728C">
              <w:rPr>
                <w:rFonts w:cs="Arial"/>
              </w:rPr>
              <w:t>n bacteria and lower eukaryotes</w:t>
            </w:r>
          </w:p>
          <w:p w14:paraId="39304E24" w14:textId="0B40FE87" w:rsidR="005E0B71" w:rsidRDefault="005E0B71" w:rsidP="00884E84">
            <w:pPr>
              <w:pStyle w:val="Tablefont"/>
              <w:numPr>
                <w:ilvl w:val="0"/>
                <w:numId w:val="1"/>
              </w:numPr>
              <w:spacing w:before="60" w:after="60"/>
              <w:ind w:left="714" w:hanging="357"/>
              <w:rPr>
                <w:rFonts w:cs="Arial"/>
              </w:rPr>
            </w:pPr>
            <w:r w:rsidRPr="005E0B71">
              <w:rPr>
                <w:rFonts w:cs="Arial"/>
              </w:rPr>
              <w:t>No reliable genotoxicity data available in exposed humans</w:t>
            </w:r>
          </w:p>
          <w:p w14:paraId="44409A28" w14:textId="03A893CA" w:rsidR="005E0B71" w:rsidRDefault="005E0B71" w:rsidP="00884E84">
            <w:pPr>
              <w:pStyle w:val="Tablefont"/>
              <w:numPr>
                <w:ilvl w:val="0"/>
                <w:numId w:val="1"/>
              </w:numPr>
              <w:spacing w:before="60" w:after="60"/>
              <w:ind w:left="714" w:hanging="357"/>
              <w:rPr>
                <w:rFonts w:cs="Arial"/>
              </w:rPr>
            </w:pPr>
            <w:r w:rsidRPr="005E0B71">
              <w:rPr>
                <w:rFonts w:cs="Arial"/>
              </w:rPr>
              <w:t xml:space="preserve">Overall, the mechanistic data provide strong support for </w:t>
            </w:r>
            <w:r w:rsidR="0092728C">
              <w:rPr>
                <w:rFonts w:cs="Arial"/>
              </w:rPr>
              <w:t>the carcinogenicity of lindane including</w:t>
            </w:r>
            <w:r w:rsidRPr="005E0B71">
              <w:rPr>
                <w:rFonts w:cs="Arial"/>
              </w:rPr>
              <w:t xml:space="preserve"> evidence that lindane is immunosuppressive and induces oxidative stress, </w:t>
            </w:r>
            <w:r w:rsidR="0092728C">
              <w:rPr>
                <w:rFonts w:cs="Arial"/>
              </w:rPr>
              <w:t>which</w:t>
            </w:r>
            <w:r w:rsidRPr="005E0B71">
              <w:rPr>
                <w:rFonts w:cs="Arial"/>
              </w:rPr>
              <w:t xml:space="preserve"> can </w:t>
            </w:r>
            <w:r w:rsidR="0092728C">
              <w:rPr>
                <w:rFonts w:cs="Arial"/>
              </w:rPr>
              <w:t>occur in humans</w:t>
            </w:r>
          </w:p>
          <w:p w14:paraId="7E3475B2" w14:textId="2BF30FC2" w:rsidR="0092728C" w:rsidRDefault="00A537FD" w:rsidP="00884E84">
            <w:pPr>
              <w:pStyle w:val="Tablefont"/>
              <w:numPr>
                <w:ilvl w:val="0"/>
                <w:numId w:val="1"/>
              </w:numPr>
              <w:spacing w:before="60" w:after="60"/>
              <w:ind w:left="714" w:hanging="357"/>
              <w:rPr>
                <w:rFonts w:cs="Arial"/>
              </w:rPr>
            </w:pPr>
            <w:r>
              <w:rPr>
                <w:rFonts w:cs="Arial"/>
              </w:rPr>
              <w:t>S</w:t>
            </w:r>
            <w:r w:rsidR="005E0B71" w:rsidRPr="005E0B71">
              <w:rPr>
                <w:rFonts w:cs="Arial"/>
              </w:rPr>
              <w:t>ufficient evidence in humans for</w:t>
            </w:r>
            <w:r w:rsidR="0092728C">
              <w:rPr>
                <w:rFonts w:cs="Arial"/>
              </w:rPr>
              <w:t xml:space="preserve"> the carcinogenicity of lindane</w:t>
            </w:r>
          </w:p>
          <w:p w14:paraId="1198CA1A" w14:textId="2B1F6050" w:rsidR="004966BF" w:rsidRPr="00884E84" w:rsidRDefault="005E0B71" w:rsidP="00884E84">
            <w:pPr>
              <w:pStyle w:val="Tablefont"/>
              <w:numPr>
                <w:ilvl w:val="0"/>
                <w:numId w:val="1"/>
              </w:numPr>
              <w:spacing w:before="60" w:after="60"/>
              <w:ind w:left="714" w:hanging="357"/>
            </w:pPr>
            <w:r w:rsidRPr="005E0B71">
              <w:rPr>
                <w:rFonts w:cs="Arial"/>
              </w:rPr>
              <w:t>Lind</w:t>
            </w:r>
            <w:r w:rsidR="0092728C">
              <w:rPr>
                <w:rFonts w:cs="Arial"/>
              </w:rPr>
              <w:t>ane causes non-Hodgkin lymphoma</w:t>
            </w:r>
            <w:r w:rsidR="00D33F08">
              <w:rPr>
                <w:rFonts w:cs="Arial"/>
              </w:rPr>
              <w:t>.</w:t>
            </w:r>
          </w:p>
        </w:tc>
      </w:tr>
      <w:tr w:rsidR="004966BF" w:rsidRPr="004C23F4" w14:paraId="1702B698" w14:textId="77777777" w:rsidTr="00A537FD">
        <w:trPr>
          <w:cantSplit/>
        </w:trPr>
        <w:tc>
          <w:tcPr>
            <w:tcW w:w="1488" w:type="dxa"/>
          </w:tcPr>
          <w:p w14:paraId="4E67BBA3" w14:textId="77777777" w:rsidR="004966BF" w:rsidRPr="004C23F4" w:rsidRDefault="004966BF" w:rsidP="00224EE2">
            <w:pPr>
              <w:pStyle w:val="Tablefont"/>
            </w:pPr>
            <w:r>
              <w:t>US EPA</w:t>
            </w:r>
          </w:p>
        </w:tc>
        <w:tc>
          <w:tcPr>
            <w:tcW w:w="422" w:type="dxa"/>
          </w:tcPr>
          <w:p w14:paraId="7C962903" w14:textId="432F0379" w:rsidR="004966BF" w:rsidRPr="00CE617F" w:rsidRDefault="00DE16A6"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010AC3">
                  <w:rPr>
                    <w:rStyle w:val="checkbox"/>
                  </w:rPr>
                  <w:t></w:t>
                </w:r>
              </w:sdtContent>
            </w:sdt>
          </w:p>
        </w:tc>
        <w:tc>
          <w:tcPr>
            <w:tcW w:w="661" w:type="dxa"/>
          </w:tcPr>
          <w:p w14:paraId="27B05F43" w14:textId="357F33F1" w:rsidR="004966BF" w:rsidRPr="004C23F4" w:rsidRDefault="00010AC3" w:rsidP="00717D45">
            <w:pPr>
              <w:pStyle w:val="Tablefont"/>
              <w:rPr>
                <w:rStyle w:val="checkbox"/>
                <w:rFonts w:ascii="Arial" w:hAnsi="Arial" w:cs="Arial"/>
              </w:rPr>
            </w:pPr>
            <w:r>
              <w:rPr>
                <w:rStyle w:val="checkbox"/>
                <w:rFonts w:ascii="Arial" w:hAnsi="Arial" w:cs="Arial"/>
              </w:rPr>
              <w:t>1</w:t>
            </w:r>
            <w:r w:rsidR="0092728C">
              <w:rPr>
                <w:rStyle w:val="checkbox"/>
                <w:rFonts w:ascii="Arial" w:hAnsi="Arial" w:cs="Arial"/>
              </w:rPr>
              <w:t>987</w:t>
            </w:r>
          </w:p>
        </w:tc>
        <w:tc>
          <w:tcPr>
            <w:tcW w:w="6455" w:type="dxa"/>
          </w:tcPr>
          <w:p w14:paraId="3AB47000" w14:textId="1E89111E" w:rsidR="00010AC3" w:rsidRDefault="0040421D" w:rsidP="00884E84">
            <w:pPr>
              <w:pStyle w:val="Tablefont"/>
              <w:numPr>
                <w:ilvl w:val="0"/>
                <w:numId w:val="1"/>
              </w:numPr>
              <w:spacing w:before="60" w:after="60"/>
              <w:ind w:left="714" w:hanging="357"/>
              <w:rPr>
                <w:rStyle w:val="checkbox"/>
                <w:rFonts w:ascii="Arial" w:hAnsi="Arial" w:cs="Arial"/>
              </w:rPr>
            </w:pPr>
            <w:r>
              <w:rPr>
                <w:rStyle w:val="checkbox"/>
                <w:rFonts w:ascii="Arial" w:hAnsi="Arial" w:cs="Arial"/>
              </w:rPr>
              <w:t>G</w:t>
            </w:r>
            <w:r w:rsidR="00B2335C">
              <w:rPr>
                <w:rStyle w:val="checkbox"/>
                <w:rFonts w:ascii="Arial" w:hAnsi="Arial" w:cs="Arial"/>
              </w:rPr>
              <w:t>amma-HCH oral reference dose (RfD) calculated principally from 2 feeding studies that reported NOAEL of 0.3 mg/kg/d (rats, 12 wk) 1.6</w:t>
            </w:r>
            <w:r w:rsidR="00D33F08">
              <w:rPr>
                <w:rStyle w:val="checkbox"/>
                <w:rFonts w:ascii="Arial" w:hAnsi="Arial" w:cs="Arial"/>
              </w:rPr>
              <w:t xml:space="preserve"> </w:t>
            </w:r>
            <w:r w:rsidR="00B2335C">
              <w:rPr>
                <w:rStyle w:val="checkbox"/>
                <w:rFonts w:ascii="Arial" w:hAnsi="Arial" w:cs="Arial"/>
              </w:rPr>
              <w:t>mg/kg/d (rats, 2 yr) for liver toxicity</w:t>
            </w:r>
            <w:r w:rsidR="00010AC3">
              <w:rPr>
                <w:rStyle w:val="checkbox"/>
                <w:rFonts w:ascii="Arial" w:hAnsi="Arial" w:cs="Arial"/>
              </w:rPr>
              <w:t>; carcinogenicity of gamma</w:t>
            </w:r>
            <w:r w:rsidR="00010AC3">
              <w:rPr>
                <w:rStyle w:val="checkbox"/>
                <w:rFonts w:ascii="Arial" w:hAnsi="Arial" w:cs="Arial"/>
              </w:rPr>
              <w:noBreakHyphen/>
              <w:t>HCH not yet assessed</w:t>
            </w:r>
          </w:p>
          <w:p w14:paraId="34435AE4" w14:textId="6DBEB134" w:rsidR="004966BF" w:rsidRPr="00010AC3" w:rsidRDefault="00010AC3" w:rsidP="00884E84">
            <w:pPr>
              <w:pStyle w:val="Tablefont"/>
              <w:numPr>
                <w:ilvl w:val="0"/>
                <w:numId w:val="1"/>
              </w:numPr>
              <w:spacing w:before="60" w:after="60"/>
              <w:ind w:left="714" w:hanging="357"/>
              <w:rPr>
                <w:rStyle w:val="checkbox"/>
                <w:rFonts w:ascii="Arial" w:hAnsi="Arial" w:cs="Arial"/>
              </w:rPr>
            </w:pPr>
            <w:r>
              <w:rPr>
                <w:rStyle w:val="checkbox"/>
                <w:rFonts w:ascii="Arial" w:hAnsi="Arial" w:cs="Arial"/>
              </w:rPr>
              <w:t>Technical grade HCH (t-HCH) assessed as non-genotoxic carcinogen based on liver tumorigenicity in several chronic feeding studies with rodents (also cited in ACGIH, 2018)</w:t>
            </w:r>
            <w:r w:rsidR="00D33F08">
              <w:rPr>
                <w:rStyle w:val="checkbox"/>
                <w:rFonts w:ascii="Arial" w:hAnsi="Arial" w:cs="Arial"/>
              </w:rPr>
              <w:t>.</w:t>
            </w:r>
          </w:p>
        </w:tc>
      </w:tr>
      <w:tr w:rsidR="004966BF" w:rsidRPr="004C23F4" w14:paraId="37F20629" w14:textId="76753DE0" w:rsidTr="00A537FD">
        <w:trPr>
          <w:cantSplit/>
        </w:trPr>
        <w:tc>
          <w:tcPr>
            <w:tcW w:w="1488" w:type="dxa"/>
          </w:tcPr>
          <w:p w14:paraId="2676D8CC" w14:textId="5E7B6D7C" w:rsidR="004966BF" w:rsidRDefault="004966BF" w:rsidP="00224EE2">
            <w:pPr>
              <w:pStyle w:val="Tablefont"/>
            </w:pPr>
            <w:r>
              <w:t>US NIOSH</w:t>
            </w:r>
          </w:p>
        </w:tc>
        <w:tc>
          <w:tcPr>
            <w:tcW w:w="422" w:type="dxa"/>
          </w:tcPr>
          <w:p w14:paraId="3867D318" w14:textId="0B0FC3F1" w:rsidR="004966BF" w:rsidRDefault="00DE16A6"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010AC3">
                  <w:rPr>
                    <w:rStyle w:val="checkbox"/>
                  </w:rPr>
                  <w:t></w:t>
                </w:r>
              </w:sdtContent>
            </w:sdt>
          </w:p>
        </w:tc>
        <w:tc>
          <w:tcPr>
            <w:tcW w:w="661" w:type="dxa"/>
          </w:tcPr>
          <w:p w14:paraId="021A070E" w14:textId="234A128A" w:rsidR="004966BF" w:rsidRPr="004C23F4" w:rsidRDefault="00010AC3" w:rsidP="00717D45">
            <w:pPr>
              <w:pStyle w:val="Tablefont"/>
              <w:rPr>
                <w:rStyle w:val="checkbox"/>
                <w:rFonts w:ascii="Arial" w:hAnsi="Arial" w:cs="Arial"/>
              </w:rPr>
            </w:pPr>
            <w:r>
              <w:rPr>
                <w:rStyle w:val="checkbox"/>
                <w:rFonts w:ascii="Arial" w:hAnsi="Arial" w:cs="Arial"/>
              </w:rPr>
              <w:t>1994</w:t>
            </w:r>
          </w:p>
        </w:tc>
        <w:tc>
          <w:tcPr>
            <w:tcW w:w="6455" w:type="dxa"/>
          </w:tcPr>
          <w:p w14:paraId="3B8D5491" w14:textId="30FD23D0" w:rsidR="004966BF" w:rsidRPr="004C23F4" w:rsidRDefault="00010AC3" w:rsidP="00607726">
            <w:pPr>
              <w:pStyle w:val="Tablefont"/>
              <w:numPr>
                <w:ilvl w:val="0"/>
                <w:numId w:val="3"/>
              </w:numPr>
              <w:rPr>
                <w:rStyle w:val="checkbox"/>
                <w:rFonts w:ascii="Arial" w:hAnsi="Arial" w:cs="Arial"/>
              </w:rPr>
            </w:pPr>
            <w:r w:rsidRPr="00010AC3">
              <w:rPr>
                <w:rFonts w:cs="Arial"/>
              </w:rPr>
              <w:t>IDLH</w:t>
            </w:r>
            <w:r w:rsidR="00D33F08">
              <w:rPr>
                <w:rFonts w:cs="Arial"/>
              </w:rPr>
              <w:t xml:space="preserve"> </w:t>
            </w:r>
            <w:r w:rsidRPr="00010AC3">
              <w:rPr>
                <w:rFonts w:cs="Arial"/>
              </w:rPr>
              <w:t xml:space="preserve">based on acute oral toxicity data in humans </w:t>
            </w:r>
            <w:r>
              <w:rPr>
                <w:rFonts w:cs="Arial"/>
              </w:rPr>
              <w:t xml:space="preserve">and </w:t>
            </w:r>
            <w:r w:rsidRPr="00010AC3">
              <w:rPr>
                <w:rFonts w:cs="Arial"/>
              </w:rPr>
              <w:t>animals</w:t>
            </w:r>
            <w:r w:rsidR="00D33F08">
              <w:rPr>
                <w:rFonts w:cs="Arial"/>
              </w:rPr>
              <w:t>.</w:t>
            </w:r>
          </w:p>
        </w:tc>
      </w:tr>
    </w:tbl>
    <w:bookmarkEnd w:id="0"/>
    <w:p w14:paraId="578E6199"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603"/>
        <w:gridCol w:w="2423"/>
      </w:tblGrid>
      <w:tr w:rsidR="002E0D61" w14:paraId="4939D569" w14:textId="77777777" w:rsidTr="00C3561A">
        <w:trPr>
          <w:trHeight w:val="454"/>
          <w:tblHeader/>
        </w:trPr>
        <w:tc>
          <w:tcPr>
            <w:tcW w:w="6603" w:type="dxa"/>
            <w:vAlign w:val="center"/>
          </w:tcPr>
          <w:p w14:paraId="0C4310F0"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3" w:type="dxa"/>
                <w:vAlign w:val="center"/>
              </w:tcPr>
              <w:p w14:paraId="03ED7F50" w14:textId="6C76D9E1" w:rsidR="002E0D61" w:rsidRDefault="00C3561A" w:rsidP="00C3091E">
                <w:pPr>
                  <w:pStyle w:val="Tablefont"/>
                  <w:keepNext/>
                  <w:keepLines/>
                  <w:spacing w:before="40" w:after="40"/>
                </w:pPr>
                <w:r>
                  <w:t>No</w:t>
                </w:r>
              </w:p>
            </w:tc>
          </w:sdtContent>
        </w:sdt>
      </w:tr>
      <w:tr w:rsidR="008A36CF" w14:paraId="321194A9" w14:textId="77777777" w:rsidTr="00C3561A">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603" w:type="dxa"/>
                <w:vAlign w:val="center"/>
              </w:tcPr>
              <w:p w14:paraId="789B9095" w14:textId="23931938" w:rsidR="008A36CF" w:rsidRPr="006901A2" w:rsidRDefault="00C3561A" w:rsidP="008A36CF">
                <w:pPr>
                  <w:pStyle w:val="Tablefont"/>
                  <w:keepNext/>
                  <w:keepLines/>
                  <w:spacing w:before="40" w:after="40"/>
                  <w:rPr>
                    <w:b/>
                  </w:rPr>
                </w:pPr>
                <w:r>
                  <w:rPr>
                    <w:b/>
                  </w:rPr>
                  <w:t>The chemical is not a non-threshold based genotoxic carcinogen.</w:t>
                </w:r>
              </w:p>
            </w:tc>
          </w:sdtContent>
        </w:sdt>
        <w:tc>
          <w:tcPr>
            <w:tcW w:w="2423" w:type="dxa"/>
            <w:vAlign w:val="center"/>
          </w:tcPr>
          <w:p w14:paraId="0306AC6D" w14:textId="77777777" w:rsidR="008A36CF" w:rsidRDefault="008A36CF" w:rsidP="008A36CF">
            <w:pPr>
              <w:pStyle w:val="Tablefont"/>
              <w:keepNext/>
              <w:keepLines/>
              <w:spacing w:before="40" w:after="40"/>
            </w:pPr>
          </w:p>
        </w:tc>
      </w:tr>
    </w:tbl>
    <w:bookmarkEnd w:id="1"/>
    <w:p w14:paraId="308BCDD7"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7C9C6F98" w14:textId="77777777" w:rsidTr="00812887">
        <w:trPr>
          <w:cantSplit/>
          <w:tblHeader/>
        </w:trPr>
        <w:tc>
          <w:tcPr>
            <w:tcW w:w="3227" w:type="dxa"/>
            <w:shd w:val="clear" w:color="auto" w:fill="BFBFBF" w:themeFill="background1" w:themeFillShade="BF"/>
            <w:vAlign w:val="center"/>
          </w:tcPr>
          <w:p w14:paraId="7E649009"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72F6AECA" w14:textId="77777777" w:rsidR="00687890" w:rsidRPr="004C23F4" w:rsidRDefault="00687890" w:rsidP="00F4402E">
            <w:pPr>
              <w:pStyle w:val="Tableheader"/>
              <w:tabs>
                <w:tab w:val="right" w:pos="5272"/>
              </w:tabs>
            </w:pPr>
            <w:r w:rsidRPr="004C23F4">
              <w:t>Notations</w:t>
            </w:r>
            <w:r w:rsidR="003A2B94">
              <w:tab/>
            </w:r>
          </w:p>
        </w:tc>
      </w:tr>
      <w:tr w:rsidR="00687890" w:rsidRPr="004C23F4" w14:paraId="4901FED9" w14:textId="77777777" w:rsidTr="00812887">
        <w:trPr>
          <w:cantSplit/>
        </w:trPr>
        <w:tc>
          <w:tcPr>
            <w:tcW w:w="3227" w:type="dxa"/>
          </w:tcPr>
          <w:p w14:paraId="18720FEF" w14:textId="77777777" w:rsidR="004079B4" w:rsidRPr="004C23F4" w:rsidRDefault="00084513" w:rsidP="00F4402E">
            <w:pPr>
              <w:pStyle w:val="Tablefont"/>
            </w:pPr>
            <w:r w:rsidRPr="004C23F4">
              <w:t>SWA</w:t>
            </w:r>
          </w:p>
        </w:tc>
        <w:tc>
          <w:tcPr>
            <w:tcW w:w="6015" w:type="dxa"/>
          </w:tcPr>
          <w:p w14:paraId="6ADA0516" w14:textId="1A4AB15F" w:rsidR="00687890" w:rsidRPr="00DD2F9B" w:rsidRDefault="00A31374" w:rsidP="00DD2F9B">
            <w:pPr>
              <w:pStyle w:val="Tablefont"/>
            </w:pPr>
            <w:r w:rsidRPr="00A31374">
              <w:t>Skin</w:t>
            </w:r>
          </w:p>
        </w:tc>
      </w:tr>
      <w:tr w:rsidR="007925F0" w:rsidRPr="004C23F4" w14:paraId="770ECF62" w14:textId="77777777" w:rsidTr="00812887">
        <w:trPr>
          <w:cantSplit/>
        </w:trPr>
        <w:tc>
          <w:tcPr>
            <w:tcW w:w="3227" w:type="dxa"/>
          </w:tcPr>
          <w:p w14:paraId="6C9AAD5C" w14:textId="77777777" w:rsidR="004079B4" w:rsidRPr="004C23F4" w:rsidRDefault="007925F0" w:rsidP="00F4402E">
            <w:pPr>
              <w:pStyle w:val="Tablefont"/>
            </w:pPr>
            <w:r>
              <w:t>HCIS</w:t>
            </w:r>
          </w:p>
        </w:tc>
        <w:tc>
          <w:tcPr>
            <w:tcW w:w="6015" w:type="dxa"/>
          </w:tcPr>
          <w:p w14:paraId="04F99D29" w14:textId="1FCBADC8" w:rsidR="007925F0" w:rsidRPr="00DD2F9B" w:rsidRDefault="00A31374" w:rsidP="00DD2F9B">
            <w:pPr>
              <w:pStyle w:val="Tablefont"/>
            </w:pPr>
            <w:r>
              <w:t>—</w:t>
            </w:r>
          </w:p>
        </w:tc>
      </w:tr>
      <w:tr w:rsidR="00AF483F" w:rsidRPr="004C23F4" w14:paraId="67516988" w14:textId="77777777" w:rsidTr="00812887">
        <w:trPr>
          <w:cantSplit/>
        </w:trPr>
        <w:tc>
          <w:tcPr>
            <w:tcW w:w="3227" w:type="dxa"/>
          </w:tcPr>
          <w:p w14:paraId="0E36EA3A" w14:textId="77777777" w:rsidR="00AF483F" w:rsidRPr="004C23F4" w:rsidRDefault="00AF483F" w:rsidP="00F4402E">
            <w:pPr>
              <w:pStyle w:val="Tablefont"/>
            </w:pPr>
            <w:r>
              <w:t>NICNAS</w:t>
            </w:r>
          </w:p>
        </w:tc>
        <w:tc>
          <w:tcPr>
            <w:tcW w:w="6015" w:type="dxa"/>
          </w:tcPr>
          <w:p w14:paraId="6BC45DDA" w14:textId="1E58C06F" w:rsidR="00AF483F" w:rsidRPr="00DD2F9B" w:rsidRDefault="00A31374" w:rsidP="00DD2F9B">
            <w:pPr>
              <w:pStyle w:val="Tablefont"/>
            </w:pPr>
            <w:r>
              <w:t>NA</w:t>
            </w:r>
          </w:p>
        </w:tc>
      </w:tr>
      <w:tr w:rsidR="00687890" w:rsidRPr="004C23F4" w14:paraId="341997F9" w14:textId="77777777" w:rsidTr="00812887">
        <w:trPr>
          <w:cantSplit/>
        </w:trPr>
        <w:tc>
          <w:tcPr>
            <w:tcW w:w="3227" w:type="dxa"/>
          </w:tcPr>
          <w:p w14:paraId="394A71A1" w14:textId="77777777" w:rsidR="004079B4" w:rsidRPr="004C23F4" w:rsidRDefault="00687890" w:rsidP="00F4402E">
            <w:pPr>
              <w:pStyle w:val="Tablefont"/>
            </w:pPr>
            <w:r w:rsidRPr="004C23F4">
              <w:t>EU Annex</w:t>
            </w:r>
          </w:p>
        </w:tc>
        <w:tc>
          <w:tcPr>
            <w:tcW w:w="6015" w:type="dxa"/>
          </w:tcPr>
          <w:p w14:paraId="77F6048D" w14:textId="6895F094" w:rsidR="00687890" w:rsidRPr="00DD2F9B" w:rsidRDefault="00C8706A" w:rsidP="00DD2F9B">
            <w:pPr>
              <w:pStyle w:val="Tablefont"/>
            </w:pPr>
            <w:r>
              <w:t>—</w:t>
            </w:r>
          </w:p>
        </w:tc>
      </w:tr>
      <w:tr w:rsidR="00E41A26" w:rsidRPr="004C23F4" w14:paraId="7AAA5F83" w14:textId="77777777" w:rsidTr="00812887">
        <w:trPr>
          <w:cantSplit/>
        </w:trPr>
        <w:tc>
          <w:tcPr>
            <w:tcW w:w="3227" w:type="dxa"/>
          </w:tcPr>
          <w:p w14:paraId="54E803F2" w14:textId="77777777" w:rsidR="00E41A26" w:rsidRDefault="00E41A26" w:rsidP="00F4402E">
            <w:pPr>
              <w:pStyle w:val="Tablefont"/>
            </w:pPr>
            <w:r>
              <w:t>ECHA</w:t>
            </w:r>
          </w:p>
        </w:tc>
        <w:tc>
          <w:tcPr>
            <w:tcW w:w="6015" w:type="dxa"/>
          </w:tcPr>
          <w:p w14:paraId="63EC489B" w14:textId="6AFB8CF9" w:rsidR="00E41A26" w:rsidRPr="00DD2F9B" w:rsidRDefault="0092728C" w:rsidP="00DD2F9B">
            <w:pPr>
              <w:pStyle w:val="Tablefont"/>
            </w:pPr>
            <w:r>
              <w:t>NA</w:t>
            </w:r>
          </w:p>
        </w:tc>
      </w:tr>
      <w:tr w:rsidR="002E0D61" w:rsidRPr="004C23F4" w14:paraId="2A89B7DE" w14:textId="77777777" w:rsidTr="00812887">
        <w:trPr>
          <w:cantSplit/>
        </w:trPr>
        <w:tc>
          <w:tcPr>
            <w:tcW w:w="3227" w:type="dxa"/>
          </w:tcPr>
          <w:p w14:paraId="751F126F" w14:textId="77777777" w:rsidR="004079B4" w:rsidRPr="004C23F4" w:rsidRDefault="002E0D61" w:rsidP="00F4402E">
            <w:pPr>
              <w:pStyle w:val="Tablefont"/>
            </w:pPr>
            <w:r>
              <w:t>ACGIH</w:t>
            </w:r>
          </w:p>
        </w:tc>
        <w:tc>
          <w:tcPr>
            <w:tcW w:w="6015" w:type="dxa"/>
          </w:tcPr>
          <w:p w14:paraId="44131141" w14:textId="301931F7" w:rsidR="002E0D61" w:rsidRPr="00DD2F9B" w:rsidRDefault="00A31374" w:rsidP="00DD2F9B">
            <w:pPr>
              <w:pStyle w:val="Tablefont"/>
            </w:pPr>
            <w:r w:rsidRPr="00A31374">
              <w:t>Carcinogenicity – A3</w:t>
            </w:r>
            <w:r>
              <w:t xml:space="preserve">, </w:t>
            </w:r>
            <w:r w:rsidRPr="00A31374">
              <w:t>Skin</w:t>
            </w:r>
          </w:p>
        </w:tc>
      </w:tr>
      <w:tr w:rsidR="002E0D61" w:rsidRPr="004C23F4" w14:paraId="7DE00FCD" w14:textId="77777777" w:rsidTr="00812887">
        <w:trPr>
          <w:cantSplit/>
        </w:trPr>
        <w:tc>
          <w:tcPr>
            <w:tcW w:w="3227" w:type="dxa"/>
          </w:tcPr>
          <w:p w14:paraId="005F7D8B" w14:textId="77777777" w:rsidR="004079B4" w:rsidRPr="004C23F4" w:rsidRDefault="002E0D61" w:rsidP="00F4402E">
            <w:pPr>
              <w:pStyle w:val="Tablefont"/>
            </w:pPr>
            <w:r>
              <w:t>DFG</w:t>
            </w:r>
          </w:p>
        </w:tc>
        <w:tc>
          <w:tcPr>
            <w:tcW w:w="6015" w:type="dxa"/>
          </w:tcPr>
          <w:p w14:paraId="6A5FF251" w14:textId="7303386E" w:rsidR="002E0D61" w:rsidRPr="00DD2F9B" w:rsidRDefault="00A31374" w:rsidP="00DD2F9B">
            <w:pPr>
              <w:pStyle w:val="Tablefont"/>
            </w:pPr>
            <w:r w:rsidRPr="00A31374">
              <w:t>Carcinogenicity – 4</w:t>
            </w:r>
            <w:r>
              <w:t xml:space="preserve">, </w:t>
            </w:r>
            <w:r w:rsidRPr="00A31374">
              <w:t>H (skin)</w:t>
            </w:r>
          </w:p>
        </w:tc>
      </w:tr>
      <w:tr w:rsidR="002E0D61" w:rsidRPr="004C23F4" w14:paraId="325DA881" w14:textId="77777777" w:rsidTr="00812887">
        <w:trPr>
          <w:cantSplit/>
        </w:trPr>
        <w:tc>
          <w:tcPr>
            <w:tcW w:w="3227" w:type="dxa"/>
          </w:tcPr>
          <w:p w14:paraId="17CB15CC" w14:textId="77777777" w:rsidR="004079B4" w:rsidRPr="004C23F4" w:rsidRDefault="002E0D61" w:rsidP="00F4402E">
            <w:pPr>
              <w:pStyle w:val="Tablefont"/>
            </w:pPr>
            <w:r>
              <w:t>SCOEL</w:t>
            </w:r>
          </w:p>
        </w:tc>
        <w:tc>
          <w:tcPr>
            <w:tcW w:w="6015" w:type="dxa"/>
          </w:tcPr>
          <w:p w14:paraId="6510035B" w14:textId="5D3E9842" w:rsidR="002E0D61" w:rsidRPr="00DD2F9B" w:rsidRDefault="00A31374" w:rsidP="00DD2F9B">
            <w:pPr>
              <w:pStyle w:val="Tablefont"/>
            </w:pPr>
            <w:r>
              <w:t>NA</w:t>
            </w:r>
          </w:p>
        </w:tc>
      </w:tr>
      <w:tr w:rsidR="002E0D61" w:rsidRPr="004C23F4" w14:paraId="2718F6DB" w14:textId="77777777" w:rsidTr="00812887">
        <w:trPr>
          <w:cantSplit/>
        </w:trPr>
        <w:tc>
          <w:tcPr>
            <w:tcW w:w="3227" w:type="dxa"/>
          </w:tcPr>
          <w:p w14:paraId="4E162CA9" w14:textId="77777777" w:rsidR="004079B4" w:rsidRDefault="002E0D61" w:rsidP="00F4402E">
            <w:pPr>
              <w:pStyle w:val="Tablefont"/>
            </w:pPr>
            <w:r>
              <w:t>HCOTN</w:t>
            </w:r>
          </w:p>
        </w:tc>
        <w:tc>
          <w:tcPr>
            <w:tcW w:w="6015" w:type="dxa"/>
          </w:tcPr>
          <w:p w14:paraId="43BC3A64" w14:textId="5D1EAB08" w:rsidR="002E0D61" w:rsidRPr="00DD2F9B" w:rsidRDefault="000E33B8" w:rsidP="00DD2F9B">
            <w:pPr>
              <w:pStyle w:val="Tablefont"/>
            </w:pPr>
            <w:r>
              <w:t>Skin</w:t>
            </w:r>
          </w:p>
        </w:tc>
      </w:tr>
      <w:tr w:rsidR="00386093" w:rsidRPr="004C23F4" w14:paraId="74E9C42E" w14:textId="77777777" w:rsidTr="00812887">
        <w:trPr>
          <w:cantSplit/>
        </w:trPr>
        <w:tc>
          <w:tcPr>
            <w:tcW w:w="3227" w:type="dxa"/>
          </w:tcPr>
          <w:p w14:paraId="03C2F1F3" w14:textId="77777777" w:rsidR="004079B4" w:rsidRDefault="00386093" w:rsidP="00F4402E">
            <w:pPr>
              <w:pStyle w:val="Tablefont"/>
            </w:pPr>
            <w:r>
              <w:t>IARC</w:t>
            </w:r>
          </w:p>
        </w:tc>
        <w:tc>
          <w:tcPr>
            <w:tcW w:w="6015" w:type="dxa"/>
          </w:tcPr>
          <w:p w14:paraId="68C8A834" w14:textId="22461A35" w:rsidR="00386093" w:rsidRPr="00DD2F9B" w:rsidRDefault="000E33B8" w:rsidP="00DD2F9B">
            <w:pPr>
              <w:pStyle w:val="Tablefont"/>
            </w:pPr>
            <w:r w:rsidRPr="000E33B8">
              <w:t>Carcinogenicity – Group 1</w:t>
            </w:r>
          </w:p>
        </w:tc>
      </w:tr>
      <w:tr w:rsidR="00386093" w:rsidRPr="004C23F4" w14:paraId="5821A297" w14:textId="77777777" w:rsidTr="00812887">
        <w:trPr>
          <w:cantSplit/>
        </w:trPr>
        <w:tc>
          <w:tcPr>
            <w:tcW w:w="3227" w:type="dxa"/>
          </w:tcPr>
          <w:p w14:paraId="47180B20" w14:textId="77777777" w:rsidR="004079B4" w:rsidRDefault="00386093" w:rsidP="00F4402E">
            <w:pPr>
              <w:pStyle w:val="Tablefont"/>
              <w:keepNext/>
            </w:pPr>
            <w:r>
              <w:lastRenderedPageBreak/>
              <w:t>US NIOSH</w:t>
            </w:r>
          </w:p>
        </w:tc>
        <w:tc>
          <w:tcPr>
            <w:tcW w:w="6015" w:type="dxa"/>
          </w:tcPr>
          <w:p w14:paraId="006FB28E" w14:textId="7C17C546" w:rsidR="00386093" w:rsidRPr="00DD2F9B" w:rsidRDefault="000E33B8" w:rsidP="00D87570">
            <w:pPr>
              <w:pStyle w:val="Tablefont"/>
              <w:keepNext/>
            </w:pPr>
            <w:r>
              <w:t>NA</w:t>
            </w:r>
          </w:p>
        </w:tc>
      </w:tr>
    </w:tbl>
    <w:bookmarkEnd w:id="2"/>
    <w:p w14:paraId="1D674CC1"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1EF85B83"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548F06DB" w14:textId="77777777" w:rsidTr="00EA6243">
        <w:trPr>
          <w:cantSplit/>
          <w:tblHeader/>
        </w:trPr>
        <w:tc>
          <w:tcPr>
            <w:tcW w:w="5000" w:type="pct"/>
            <w:shd w:val="clear" w:color="auto" w:fill="BFBFBF" w:themeFill="background1" w:themeFillShade="BF"/>
            <w:vAlign w:val="center"/>
          </w:tcPr>
          <w:p w14:paraId="38DB6A6F"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36FD192B" w14:textId="77777777" w:rsidTr="00EA6243">
        <w:trPr>
          <w:cantSplit/>
          <w:tblHeader/>
        </w:trPr>
        <w:tc>
          <w:tcPr>
            <w:tcW w:w="5000" w:type="pct"/>
            <w:vAlign w:val="center"/>
          </w:tcPr>
          <w:tbl>
            <w:tblPr>
              <w:tblW w:w="9102" w:type="dxa"/>
              <w:tblLook w:val="04A0" w:firstRow="1" w:lastRow="0" w:firstColumn="1" w:lastColumn="0" w:noHBand="0" w:noVBand="1"/>
            </w:tblPr>
            <w:tblGrid>
              <w:gridCol w:w="3823"/>
              <w:gridCol w:w="1131"/>
              <w:gridCol w:w="1131"/>
              <w:gridCol w:w="2725"/>
            </w:tblGrid>
            <w:tr w:rsidR="005E0B71" w:rsidRPr="005E0B71" w14:paraId="09520F82" w14:textId="77777777" w:rsidTr="005E0B71">
              <w:trPr>
                <w:trHeight w:val="227"/>
              </w:trPr>
              <w:tc>
                <w:tcPr>
                  <w:tcW w:w="3955" w:type="dxa"/>
                  <w:tcBorders>
                    <w:top w:val="nil"/>
                    <w:left w:val="nil"/>
                    <w:bottom w:val="nil"/>
                    <w:right w:val="nil"/>
                  </w:tcBorders>
                  <w:shd w:val="clear" w:color="000000" w:fill="C5D9F1"/>
                  <w:noWrap/>
                  <w:vAlign w:val="center"/>
                  <w:hideMark/>
                </w:tcPr>
                <w:p w14:paraId="5C0E4DD2" w14:textId="77777777" w:rsidR="005E0B71" w:rsidRPr="005E0B71" w:rsidRDefault="005E0B71" w:rsidP="005E0B71">
                  <w:pPr>
                    <w:spacing w:after="0" w:line="240" w:lineRule="auto"/>
                    <w:jc w:val="right"/>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Adverse effects in human case study:</w:t>
                  </w:r>
                </w:p>
              </w:tc>
              <w:tc>
                <w:tcPr>
                  <w:tcW w:w="1165" w:type="dxa"/>
                  <w:tcBorders>
                    <w:top w:val="nil"/>
                    <w:left w:val="nil"/>
                    <w:bottom w:val="nil"/>
                    <w:right w:val="nil"/>
                  </w:tcBorders>
                  <w:shd w:val="clear" w:color="000000" w:fill="FFEB9C"/>
                  <w:noWrap/>
                  <w:vAlign w:val="center"/>
                  <w:hideMark/>
                </w:tcPr>
                <w:p w14:paraId="2BCC4CB4" w14:textId="77777777" w:rsidR="005E0B71" w:rsidRPr="005E0B71" w:rsidRDefault="005E0B71" w:rsidP="005E0B71">
                  <w:pPr>
                    <w:spacing w:after="0" w:line="240" w:lineRule="auto"/>
                    <w:jc w:val="center"/>
                    <w:rPr>
                      <w:rFonts w:ascii="Segoe UI" w:eastAsia="Times New Roman" w:hAnsi="Segoe UI" w:cs="Segoe UI"/>
                      <w:color w:val="9C6500"/>
                      <w:sz w:val="18"/>
                      <w:szCs w:val="18"/>
                      <w:lang w:eastAsia="en-AU"/>
                    </w:rPr>
                  </w:pPr>
                  <w:r w:rsidRPr="005E0B71">
                    <w:rPr>
                      <w:rFonts w:ascii="Segoe UI" w:eastAsia="Times New Roman" w:hAnsi="Segoe UI" w:cs="Segoe UI"/>
                      <w:color w:val="9C6500"/>
                      <w:sz w:val="18"/>
                      <w:szCs w:val="18"/>
                      <w:lang w:eastAsia="en-AU"/>
                    </w:rPr>
                    <w:t>yes</w:t>
                  </w:r>
                </w:p>
              </w:tc>
              <w:tc>
                <w:tcPr>
                  <w:tcW w:w="1165" w:type="dxa"/>
                  <w:tcBorders>
                    <w:top w:val="nil"/>
                    <w:left w:val="nil"/>
                    <w:bottom w:val="nil"/>
                    <w:right w:val="nil"/>
                  </w:tcBorders>
                  <w:shd w:val="clear" w:color="000000" w:fill="C5D9F1"/>
                  <w:noWrap/>
                  <w:vAlign w:val="center"/>
                  <w:hideMark/>
                </w:tcPr>
                <w:p w14:paraId="57A75FF1" w14:textId="77777777" w:rsidR="005E0B71" w:rsidRPr="005E0B71" w:rsidRDefault="005E0B71" w:rsidP="005E0B71">
                  <w:pPr>
                    <w:spacing w:after="0" w:line="240" w:lineRule="auto"/>
                    <w:jc w:val="right"/>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4.00</w:t>
                  </w:r>
                </w:p>
              </w:tc>
              <w:tc>
                <w:tcPr>
                  <w:tcW w:w="2817" w:type="dxa"/>
                  <w:tcBorders>
                    <w:top w:val="nil"/>
                    <w:left w:val="nil"/>
                    <w:bottom w:val="nil"/>
                    <w:right w:val="nil"/>
                  </w:tcBorders>
                  <w:shd w:val="clear" w:color="000000" w:fill="C5D9F1"/>
                  <w:noWrap/>
                  <w:vAlign w:val="center"/>
                  <w:hideMark/>
                </w:tcPr>
                <w:p w14:paraId="4B18967D" w14:textId="77777777" w:rsidR="005E0B71" w:rsidRPr="005E0B71" w:rsidRDefault="005E0B71" w:rsidP="005E0B71">
                  <w:pPr>
                    <w:spacing w:after="0" w:line="240" w:lineRule="auto"/>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r>
            <w:tr w:rsidR="005E0B71" w:rsidRPr="005E0B71" w14:paraId="7601B5EE" w14:textId="77777777" w:rsidTr="005E0B71">
              <w:trPr>
                <w:trHeight w:val="227"/>
              </w:trPr>
              <w:tc>
                <w:tcPr>
                  <w:tcW w:w="3955" w:type="dxa"/>
                  <w:tcBorders>
                    <w:top w:val="nil"/>
                    <w:left w:val="nil"/>
                    <w:bottom w:val="nil"/>
                    <w:right w:val="nil"/>
                  </w:tcBorders>
                  <w:shd w:val="clear" w:color="000000" w:fill="C5D9F1"/>
                  <w:noWrap/>
                  <w:vAlign w:val="center"/>
                  <w:hideMark/>
                </w:tcPr>
                <w:p w14:paraId="2C299664" w14:textId="77777777" w:rsidR="005E0B71" w:rsidRPr="005E0B71" w:rsidRDefault="005E0B71" w:rsidP="005E0B71">
                  <w:pPr>
                    <w:spacing w:after="0" w:line="240" w:lineRule="auto"/>
                    <w:jc w:val="right"/>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Dermal LD</w:t>
                  </w:r>
                  <w:r w:rsidRPr="005E0B71">
                    <w:rPr>
                      <w:rFonts w:ascii="Segoe UI" w:eastAsia="Times New Roman" w:hAnsi="Segoe UI" w:cs="Segoe UI"/>
                      <w:color w:val="000000"/>
                      <w:sz w:val="18"/>
                      <w:szCs w:val="18"/>
                      <w:vertAlign w:val="subscript"/>
                      <w:lang w:eastAsia="en-AU"/>
                    </w:rPr>
                    <w:t>50</w:t>
                  </w:r>
                  <w:r w:rsidRPr="005E0B71">
                    <w:rPr>
                      <w:rFonts w:ascii="Segoe UI" w:eastAsia="Times New Roman" w:hAnsi="Segoe UI" w:cs="Segoe UI"/>
                      <w:color w:val="000000"/>
                      <w:sz w:val="18"/>
                      <w:szCs w:val="18"/>
                      <w:lang w:eastAsia="en-AU"/>
                    </w:rPr>
                    <w:t xml:space="preserve"> ≤1000 mg/kg:</w:t>
                  </w:r>
                </w:p>
              </w:tc>
              <w:tc>
                <w:tcPr>
                  <w:tcW w:w="1165" w:type="dxa"/>
                  <w:tcBorders>
                    <w:top w:val="nil"/>
                    <w:left w:val="nil"/>
                    <w:bottom w:val="nil"/>
                    <w:right w:val="nil"/>
                  </w:tcBorders>
                  <w:shd w:val="clear" w:color="000000" w:fill="FFEB9C"/>
                  <w:noWrap/>
                  <w:vAlign w:val="center"/>
                  <w:hideMark/>
                </w:tcPr>
                <w:p w14:paraId="527B3B97" w14:textId="77777777" w:rsidR="005E0B71" w:rsidRPr="005E0B71" w:rsidRDefault="005E0B71" w:rsidP="005E0B71">
                  <w:pPr>
                    <w:spacing w:after="0" w:line="240" w:lineRule="auto"/>
                    <w:jc w:val="center"/>
                    <w:rPr>
                      <w:rFonts w:ascii="Segoe UI" w:eastAsia="Times New Roman" w:hAnsi="Segoe UI" w:cs="Segoe UI"/>
                      <w:color w:val="9C6500"/>
                      <w:sz w:val="18"/>
                      <w:szCs w:val="18"/>
                      <w:lang w:eastAsia="en-AU"/>
                    </w:rPr>
                  </w:pPr>
                  <w:r w:rsidRPr="005E0B71">
                    <w:rPr>
                      <w:rFonts w:ascii="Segoe UI" w:eastAsia="Times New Roman" w:hAnsi="Segoe UI" w:cs="Segoe UI"/>
                      <w:color w:val="9C6500"/>
                      <w:sz w:val="18"/>
                      <w:szCs w:val="18"/>
                      <w:lang w:eastAsia="en-AU"/>
                    </w:rPr>
                    <w:t>yes</w:t>
                  </w:r>
                </w:p>
              </w:tc>
              <w:tc>
                <w:tcPr>
                  <w:tcW w:w="1165" w:type="dxa"/>
                  <w:tcBorders>
                    <w:top w:val="nil"/>
                    <w:left w:val="nil"/>
                    <w:bottom w:val="nil"/>
                    <w:right w:val="nil"/>
                  </w:tcBorders>
                  <w:shd w:val="clear" w:color="000000" w:fill="C5D9F1"/>
                  <w:noWrap/>
                  <w:vAlign w:val="center"/>
                  <w:hideMark/>
                </w:tcPr>
                <w:p w14:paraId="5CA9F1B6" w14:textId="77777777" w:rsidR="005E0B71" w:rsidRPr="005E0B71" w:rsidRDefault="005E0B71" w:rsidP="005E0B71">
                  <w:pPr>
                    <w:spacing w:after="0" w:line="240" w:lineRule="auto"/>
                    <w:jc w:val="right"/>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3.00</w:t>
                  </w:r>
                </w:p>
              </w:tc>
              <w:tc>
                <w:tcPr>
                  <w:tcW w:w="2817" w:type="dxa"/>
                  <w:tcBorders>
                    <w:top w:val="nil"/>
                    <w:left w:val="nil"/>
                    <w:bottom w:val="nil"/>
                    <w:right w:val="nil"/>
                  </w:tcBorders>
                  <w:shd w:val="clear" w:color="000000" w:fill="C5D9F1"/>
                  <w:noWrap/>
                  <w:vAlign w:val="center"/>
                  <w:hideMark/>
                </w:tcPr>
                <w:p w14:paraId="7EAAB57F" w14:textId="77777777" w:rsidR="005E0B71" w:rsidRPr="005E0B71" w:rsidRDefault="005E0B71" w:rsidP="005E0B71">
                  <w:pPr>
                    <w:spacing w:after="0" w:line="240" w:lineRule="auto"/>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r>
            <w:tr w:rsidR="005E0B71" w:rsidRPr="005E0B71" w14:paraId="20D7DDFC" w14:textId="77777777" w:rsidTr="005E0B71">
              <w:trPr>
                <w:trHeight w:val="227"/>
              </w:trPr>
              <w:tc>
                <w:tcPr>
                  <w:tcW w:w="3955" w:type="dxa"/>
                  <w:tcBorders>
                    <w:top w:val="nil"/>
                    <w:left w:val="nil"/>
                    <w:bottom w:val="nil"/>
                    <w:right w:val="nil"/>
                  </w:tcBorders>
                  <w:shd w:val="clear" w:color="000000" w:fill="C5D9F1"/>
                  <w:noWrap/>
                  <w:vAlign w:val="center"/>
                  <w:hideMark/>
                </w:tcPr>
                <w:p w14:paraId="3AAD61C6" w14:textId="77777777" w:rsidR="005E0B71" w:rsidRPr="005E0B71" w:rsidRDefault="005E0B71" w:rsidP="005E0B71">
                  <w:pPr>
                    <w:spacing w:after="0" w:line="240" w:lineRule="auto"/>
                    <w:jc w:val="right"/>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Dermal repeat-dose NOAEL ≤200 mg/kg:</w:t>
                  </w:r>
                </w:p>
              </w:tc>
              <w:tc>
                <w:tcPr>
                  <w:tcW w:w="1165" w:type="dxa"/>
                  <w:tcBorders>
                    <w:top w:val="nil"/>
                    <w:left w:val="nil"/>
                    <w:bottom w:val="nil"/>
                    <w:right w:val="nil"/>
                  </w:tcBorders>
                  <w:shd w:val="clear" w:color="000000" w:fill="FFEB9C"/>
                  <w:noWrap/>
                  <w:vAlign w:val="center"/>
                  <w:hideMark/>
                </w:tcPr>
                <w:p w14:paraId="288CBB94" w14:textId="77777777" w:rsidR="005E0B71" w:rsidRPr="005E0B71" w:rsidRDefault="005E0B71" w:rsidP="005E0B71">
                  <w:pPr>
                    <w:spacing w:after="0" w:line="240" w:lineRule="auto"/>
                    <w:jc w:val="center"/>
                    <w:rPr>
                      <w:rFonts w:ascii="Segoe UI" w:eastAsia="Times New Roman" w:hAnsi="Segoe UI" w:cs="Segoe UI"/>
                      <w:color w:val="9C6500"/>
                      <w:sz w:val="18"/>
                      <w:szCs w:val="18"/>
                      <w:lang w:eastAsia="en-AU"/>
                    </w:rPr>
                  </w:pPr>
                  <w:r w:rsidRPr="005E0B71">
                    <w:rPr>
                      <w:rFonts w:ascii="Segoe UI" w:eastAsia="Times New Roman" w:hAnsi="Segoe UI" w:cs="Segoe UI"/>
                      <w:color w:val="9C6500"/>
                      <w:sz w:val="18"/>
                      <w:szCs w:val="18"/>
                      <w:lang w:eastAsia="en-AU"/>
                    </w:rPr>
                    <w:t>yes</w:t>
                  </w:r>
                </w:p>
              </w:tc>
              <w:tc>
                <w:tcPr>
                  <w:tcW w:w="1165" w:type="dxa"/>
                  <w:tcBorders>
                    <w:top w:val="nil"/>
                    <w:left w:val="nil"/>
                    <w:bottom w:val="nil"/>
                    <w:right w:val="nil"/>
                  </w:tcBorders>
                  <w:shd w:val="clear" w:color="000000" w:fill="C5D9F1"/>
                  <w:noWrap/>
                  <w:vAlign w:val="center"/>
                  <w:hideMark/>
                </w:tcPr>
                <w:p w14:paraId="3A04DDA7" w14:textId="77777777" w:rsidR="005E0B71" w:rsidRPr="005E0B71" w:rsidRDefault="005E0B71" w:rsidP="005E0B71">
                  <w:pPr>
                    <w:spacing w:after="0" w:line="240" w:lineRule="auto"/>
                    <w:jc w:val="right"/>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3.00</w:t>
                  </w:r>
                </w:p>
              </w:tc>
              <w:tc>
                <w:tcPr>
                  <w:tcW w:w="2817" w:type="dxa"/>
                  <w:tcBorders>
                    <w:top w:val="nil"/>
                    <w:left w:val="nil"/>
                    <w:bottom w:val="nil"/>
                    <w:right w:val="nil"/>
                  </w:tcBorders>
                  <w:shd w:val="clear" w:color="000000" w:fill="C5D9F1"/>
                  <w:noWrap/>
                  <w:vAlign w:val="center"/>
                  <w:hideMark/>
                </w:tcPr>
                <w:p w14:paraId="67B8350B" w14:textId="77777777" w:rsidR="005E0B71" w:rsidRPr="005E0B71" w:rsidRDefault="005E0B71" w:rsidP="005E0B71">
                  <w:pPr>
                    <w:spacing w:after="0" w:line="240" w:lineRule="auto"/>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r>
            <w:tr w:rsidR="005E0B71" w:rsidRPr="005E0B71" w14:paraId="218E4DBB" w14:textId="77777777" w:rsidTr="005E0B71">
              <w:trPr>
                <w:trHeight w:val="227"/>
              </w:trPr>
              <w:tc>
                <w:tcPr>
                  <w:tcW w:w="3955" w:type="dxa"/>
                  <w:tcBorders>
                    <w:top w:val="nil"/>
                    <w:left w:val="nil"/>
                    <w:bottom w:val="nil"/>
                    <w:right w:val="nil"/>
                  </w:tcBorders>
                  <w:shd w:val="clear" w:color="000000" w:fill="C5D9F1"/>
                  <w:noWrap/>
                  <w:vAlign w:val="center"/>
                  <w:hideMark/>
                </w:tcPr>
                <w:p w14:paraId="146BD11C" w14:textId="77777777" w:rsidR="005E0B71" w:rsidRPr="005E0B71" w:rsidRDefault="005E0B71" w:rsidP="005E0B71">
                  <w:pPr>
                    <w:spacing w:after="0" w:line="240" w:lineRule="auto"/>
                    <w:jc w:val="right"/>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Dermal LD</w:t>
                  </w:r>
                  <w:r w:rsidRPr="005E0B71">
                    <w:rPr>
                      <w:rFonts w:ascii="Segoe UI" w:eastAsia="Times New Roman" w:hAnsi="Segoe UI" w:cs="Segoe UI"/>
                      <w:color w:val="000000"/>
                      <w:sz w:val="18"/>
                      <w:szCs w:val="18"/>
                      <w:vertAlign w:val="subscript"/>
                      <w:lang w:eastAsia="en-AU"/>
                    </w:rPr>
                    <w:t>50</w:t>
                  </w:r>
                  <w:r w:rsidRPr="005E0B71">
                    <w:rPr>
                      <w:rFonts w:ascii="Segoe UI" w:eastAsia="Times New Roman" w:hAnsi="Segoe UI" w:cs="Segoe UI"/>
                      <w:color w:val="000000"/>
                      <w:sz w:val="18"/>
                      <w:szCs w:val="18"/>
                      <w:lang w:eastAsia="en-AU"/>
                    </w:rPr>
                    <w:t>/Inhalation LD</w:t>
                  </w:r>
                  <w:r w:rsidRPr="005E0B71">
                    <w:rPr>
                      <w:rFonts w:ascii="Segoe UI" w:eastAsia="Times New Roman" w:hAnsi="Segoe UI" w:cs="Segoe UI"/>
                      <w:color w:val="000000"/>
                      <w:sz w:val="18"/>
                      <w:szCs w:val="18"/>
                      <w:vertAlign w:val="subscript"/>
                      <w:lang w:eastAsia="en-AU"/>
                    </w:rPr>
                    <w:t>50</w:t>
                  </w:r>
                  <w:r w:rsidRPr="005E0B71">
                    <w:rPr>
                      <w:rFonts w:ascii="Segoe UI" w:eastAsia="Times New Roman" w:hAnsi="Segoe UI" w:cs="Segoe UI"/>
                      <w:color w:val="000000"/>
                      <w:sz w:val="18"/>
                      <w:szCs w:val="18"/>
                      <w:lang w:eastAsia="en-AU"/>
                    </w:rPr>
                    <w:t xml:space="preserve"> &lt;10:</w:t>
                  </w:r>
                </w:p>
              </w:tc>
              <w:tc>
                <w:tcPr>
                  <w:tcW w:w="1165" w:type="dxa"/>
                  <w:tcBorders>
                    <w:top w:val="nil"/>
                    <w:left w:val="nil"/>
                    <w:bottom w:val="nil"/>
                    <w:right w:val="nil"/>
                  </w:tcBorders>
                  <w:shd w:val="clear" w:color="000000" w:fill="FFEB9C"/>
                  <w:noWrap/>
                  <w:vAlign w:val="center"/>
                  <w:hideMark/>
                </w:tcPr>
                <w:p w14:paraId="0741DA5E" w14:textId="77777777" w:rsidR="005E0B71" w:rsidRPr="005E0B71" w:rsidRDefault="005E0B71" w:rsidP="005E0B71">
                  <w:pPr>
                    <w:spacing w:after="0" w:line="240" w:lineRule="auto"/>
                    <w:jc w:val="center"/>
                    <w:rPr>
                      <w:rFonts w:ascii="Segoe UI" w:eastAsia="Times New Roman" w:hAnsi="Segoe UI" w:cs="Segoe UI"/>
                      <w:color w:val="9C6500"/>
                      <w:sz w:val="18"/>
                      <w:szCs w:val="18"/>
                      <w:lang w:eastAsia="en-AU"/>
                    </w:rPr>
                  </w:pPr>
                  <w:r w:rsidRPr="005E0B71">
                    <w:rPr>
                      <w:rFonts w:ascii="Segoe UI" w:eastAsia="Times New Roman" w:hAnsi="Segoe UI" w:cs="Segoe UI"/>
                      <w:color w:val="9C6500"/>
                      <w:sz w:val="18"/>
                      <w:szCs w:val="18"/>
                      <w:lang w:eastAsia="en-AU"/>
                    </w:rPr>
                    <w:t>yes</w:t>
                  </w:r>
                </w:p>
              </w:tc>
              <w:tc>
                <w:tcPr>
                  <w:tcW w:w="1165" w:type="dxa"/>
                  <w:tcBorders>
                    <w:top w:val="nil"/>
                    <w:left w:val="nil"/>
                    <w:bottom w:val="nil"/>
                    <w:right w:val="nil"/>
                  </w:tcBorders>
                  <w:shd w:val="clear" w:color="000000" w:fill="C5D9F1"/>
                  <w:noWrap/>
                  <w:vAlign w:val="center"/>
                  <w:hideMark/>
                </w:tcPr>
                <w:p w14:paraId="04630EA9" w14:textId="77777777" w:rsidR="005E0B71" w:rsidRPr="005E0B71" w:rsidRDefault="005E0B71" w:rsidP="005E0B71">
                  <w:pPr>
                    <w:spacing w:after="0" w:line="240" w:lineRule="auto"/>
                    <w:jc w:val="right"/>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3.00</w:t>
                  </w:r>
                </w:p>
              </w:tc>
              <w:tc>
                <w:tcPr>
                  <w:tcW w:w="2817" w:type="dxa"/>
                  <w:tcBorders>
                    <w:top w:val="nil"/>
                    <w:left w:val="nil"/>
                    <w:bottom w:val="nil"/>
                    <w:right w:val="nil"/>
                  </w:tcBorders>
                  <w:shd w:val="clear" w:color="000000" w:fill="C5D9F1"/>
                  <w:noWrap/>
                  <w:vAlign w:val="center"/>
                  <w:hideMark/>
                </w:tcPr>
                <w:p w14:paraId="673619F2" w14:textId="77777777" w:rsidR="005E0B71" w:rsidRPr="005E0B71" w:rsidRDefault="005E0B71" w:rsidP="005E0B71">
                  <w:pPr>
                    <w:spacing w:after="0" w:line="240" w:lineRule="auto"/>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r>
            <w:tr w:rsidR="005E0B71" w:rsidRPr="005E0B71" w14:paraId="19892DE4" w14:textId="77777777" w:rsidTr="005E0B71">
              <w:trPr>
                <w:trHeight w:val="227"/>
              </w:trPr>
              <w:tc>
                <w:tcPr>
                  <w:tcW w:w="3955" w:type="dxa"/>
                  <w:tcBorders>
                    <w:top w:val="nil"/>
                    <w:left w:val="nil"/>
                    <w:bottom w:val="nil"/>
                    <w:right w:val="nil"/>
                  </w:tcBorders>
                  <w:shd w:val="clear" w:color="000000" w:fill="C5D9F1"/>
                  <w:noWrap/>
                  <w:vAlign w:val="center"/>
                  <w:hideMark/>
                </w:tcPr>
                <w:p w14:paraId="6B48B93A" w14:textId="77777777" w:rsidR="005E0B71" w:rsidRPr="005E0B71" w:rsidRDefault="005E0B71" w:rsidP="005E0B71">
                  <w:pPr>
                    <w:spacing w:after="0" w:line="240" w:lineRule="auto"/>
                    <w:jc w:val="right"/>
                    <w:rPr>
                      <w:rFonts w:ascii="Segoe UI" w:eastAsia="Times New Roman" w:hAnsi="Segoe UI" w:cs="Segoe UI"/>
                      <w:i/>
                      <w:iCs/>
                      <w:color w:val="000000"/>
                      <w:sz w:val="18"/>
                      <w:szCs w:val="18"/>
                      <w:lang w:eastAsia="en-AU"/>
                    </w:rPr>
                  </w:pPr>
                  <w:r w:rsidRPr="005E0B71">
                    <w:rPr>
                      <w:rFonts w:ascii="Segoe UI" w:eastAsia="Times New Roman" w:hAnsi="Segoe UI" w:cs="Segoe UI"/>
                      <w:i/>
                      <w:iCs/>
                      <w:color w:val="000000"/>
                      <w:sz w:val="18"/>
                      <w:szCs w:val="18"/>
                      <w:lang w:eastAsia="en-AU"/>
                    </w:rPr>
                    <w:t>In vivo</w:t>
                  </w:r>
                  <w:r w:rsidRPr="005E0B71">
                    <w:rPr>
                      <w:rFonts w:ascii="Segoe UI" w:eastAsia="Times New Roman" w:hAnsi="Segoe UI" w:cs="Segoe UI"/>
                      <w:color w:val="000000"/>
                      <w:sz w:val="18"/>
                      <w:szCs w:val="18"/>
                      <w:lang w:eastAsia="en-AU"/>
                    </w:rPr>
                    <w:t xml:space="preserve"> dermal absorption rate &gt;10%:</w:t>
                  </w:r>
                </w:p>
              </w:tc>
              <w:tc>
                <w:tcPr>
                  <w:tcW w:w="1165" w:type="dxa"/>
                  <w:tcBorders>
                    <w:top w:val="nil"/>
                    <w:left w:val="nil"/>
                    <w:bottom w:val="nil"/>
                    <w:right w:val="nil"/>
                  </w:tcBorders>
                  <w:shd w:val="clear" w:color="000000" w:fill="C5D9F1"/>
                  <w:noWrap/>
                  <w:vAlign w:val="center"/>
                  <w:hideMark/>
                </w:tcPr>
                <w:p w14:paraId="5FF6CC0C" w14:textId="77777777" w:rsidR="005E0B71" w:rsidRPr="005E0B71" w:rsidRDefault="005E0B71" w:rsidP="005E0B71">
                  <w:pPr>
                    <w:spacing w:after="0" w:line="240" w:lineRule="auto"/>
                    <w:jc w:val="center"/>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c>
                <w:tcPr>
                  <w:tcW w:w="1165" w:type="dxa"/>
                  <w:tcBorders>
                    <w:top w:val="nil"/>
                    <w:left w:val="nil"/>
                    <w:bottom w:val="nil"/>
                    <w:right w:val="nil"/>
                  </w:tcBorders>
                  <w:shd w:val="clear" w:color="000000" w:fill="C5D9F1"/>
                  <w:noWrap/>
                  <w:vAlign w:val="center"/>
                  <w:hideMark/>
                </w:tcPr>
                <w:p w14:paraId="19FECA71" w14:textId="77777777" w:rsidR="005E0B71" w:rsidRPr="005E0B71" w:rsidRDefault="005E0B71" w:rsidP="005E0B71">
                  <w:pPr>
                    <w:spacing w:after="0" w:line="240" w:lineRule="auto"/>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 </w:t>
                  </w:r>
                </w:p>
              </w:tc>
              <w:tc>
                <w:tcPr>
                  <w:tcW w:w="2817" w:type="dxa"/>
                  <w:tcBorders>
                    <w:top w:val="nil"/>
                    <w:left w:val="nil"/>
                    <w:bottom w:val="nil"/>
                    <w:right w:val="nil"/>
                  </w:tcBorders>
                  <w:shd w:val="clear" w:color="000000" w:fill="C5D9F1"/>
                  <w:noWrap/>
                  <w:vAlign w:val="center"/>
                  <w:hideMark/>
                </w:tcPr>
                <w:p w14:paraId="5EA921F9" w14:textId="77777777" w:rsidR="005E0B71" w:rsidRPr="005E0B71" w:rsidRDefault="005E0B71" w:rsidP="005E0B71">
                  <w:pPr>
                    <w:spacing w:after="0" w:line="240" w:lineRule="auto"/>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r>
            <w:tr w:rsidR="005E0B71" w:rsidRPr="005E0B71" w14:paraId="1F002622" w14:textId="77777777" w:rsidTr="005E0B71">
              <w:trPr>
                <w:trHeight w:val="227"/>
              </w:trPr>
              <w:tc>
                <w:tcPr>
                  <w:tcW w:w="3955" w:type="dxa"/>
                  <w:tcBorders>
                    <w:top w:val="nil"/>
                    <w:left w:val="nil"/>
                    <w:bottom w:val="nil"/>
                    <w:right w:val="nil"/>
                  </w:tcBorders>
                  <w:shd w:val="clear" w:color="000000" w:fill="C5D9F1"/>
                  <w:noWrap/>
                  <w:vAlign w:val="center"/>
                  <w:hideMark/>
                </w:tcPr>
                <w:p w14:paraId="3EB254E7" w14:textId="77777777" w:rsidR="005E0B71" w:rsidRPr="005E0B71" w:rsidRDefault="005E0B71" w:rsidP="005E0B71">
                  <w:pPr>
                    <w:spacing w:after="0" w:line="240" w:lineRule="auto"/>
                    <w:jc w:val="right"/>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Estimated dermal exposure at WES &gt;10%:</w:t>
                  </w:r>
                </w:p>
              </w:tc>
              <w:tc>
                <w:tcPr>
                  <w:tcW w:w="1165" w:type="dxa"/>
                  <w:tcBorders>
                    <w:top w:val="nil"/>
                    <w:left w:val="nil"/>
                    <w:bottom w:val="nil"/>
                    <w:right w:val="nil"/>
                  </w:tcBorders>
                  <w:shd w:val="clear" w:color="000000" w:fill="C5D9F1"/>
                  <w:noWrap/>
                  <w:vAlign w:val="center"/>
                  <w:hideMark/>
                </w:tcPr>
                <w:p w14:paraId="5A6FE9EC" w14:textId="77777777" w:rsidR="005E0B71" w:rsidRPr="005E0B71" w:rsidRDefault="005E0B71" w:rsidP="005E0B71">
                  <w:pPr>
                    <w:spacing w:after="0" w:line="240" w:lineRule="auto"/>
                    <w:jc w:val="center"/>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c>
                <w:tcPr>
                  <w:tcW w:w="1165" w:type="dxa"/>
                  <w:tcBorders>
                    <w:top w:val="nil"/>
                    <w:left w:val="nil"/>
                    <w:bottom w:val="nil"/>
                    <w:right w:val="nil"/>
                  </w:tcBorders>
                  <w:shd w:val="clear" w:color="000000" w:fill="C5D9F1"/>
                  <w:noWrap/>
                  <w:vAlign w:val="center"/>
                  <w:hideMark/>
                </w:tcPr>
                <w:p w14:paraId="126DF1EE" w14:textId="77777777" w:rsidR="005E0B71" w:rsidRPr="005E0B71" w:rsidRDefault="005E0B71" w:rsidP="005E0B71">
                  <w:pPr>
                    <w:spacing w:after="0" w:line="240" w:lineRule="auto"/>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 </w:t>
                  </w:r>
                </w:p>
              </w:tc>
              <w:tc>
                <w:tcPr>
                  <w:tcW w:w="2817" w:type="dxa"/>
                  <w:tcBorders>
                    <w:top w:val="nil"/>
                    <w:left w:val="nil"/>
                    <w:bottom w:val="nil"/>
                    <w:right w:val="nil"/>
                  </w:tcBorders>
                  <w:shd w:val="clear" w:color="000000" w:fill="C5D9F1"/>
                  <w:noWrap/>
                  <w:vAlign w:val="center"/>
                  <w:hideMark/>
                </w:tcPr>
                <w:p w14:paraId="1EE70038" w14:textId="77777777" w:rsidR="005E0B71" w:rsidRPr="005E0B71" w:rsidRDefault="005E0B71" w:rsidP="005E0B71">
                  <w:pPr>
                    <w:spacing w:after="0" w:line="240" w:lineRule="auto"/>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r>
            <w:tr w:rsidR="005E0B71" w:rsidRPr="005E0B71" w14:paraId="28F825B3" w14:textId="77777777" w:rsidTr="005E0B71">
              <w:trPr>
                <w:trHeight w:val="227"/>
              </w:trPr>
              <w:tc>
                <w:tcPr>
                  <w:tcW w:w="3955" w:type="dxa"/>
                  <w:tcBorders>
                    <w:top w:val="nil"/>
                    <w:left w:val="nil"/>
                    <w:bottom w:val="nil"/>
                    <w:right w:val="nil"/>
                  </w:tcBorders>
                  <w:shd w:val="clear" w:color="000000" w:fill="C5D9F1"/>
                  <w:noWrap/>
                  <w:vAlign w:val="center"/>
                  <w:hideMark/>
                </w:tcPr>
                <w:p w14:paraId="63C3AC42" w14:textId="77777777" w:rsidR="005E0B71" w:rsidRPr="005E0B71" w:rsidRDefault="005E0B71" w:rsidP="005E0B71">
                  <w:pPr>
                    <w:spacing w:after="0" w:line="240" w:lineRule="auto"/>
                    <w:jc w:val="right"/>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c>
                <w:tcPr>
                  <w:tcW w:w="1165" w:type="dxa"/>
                  <w:tcBorders>
                    <w:top w:val="nil"/>
                    <w:left w:val="nil"/>
                    <w:bottom w:val="nil"/>
                    <w:right w:val="nil"/>
                  </w:tcBorders>
                  <w:shd w:val="clear" w:color="000000" w:fill="C5D9F1"/>
                  <w:noWrap/>
                  <w:vAlign w:val="center"/>
                  <w:hideMark/>
                </w:tcPr>
                <w:p w14:paraId="64B44BDF" w14:textId="77777777" w:rsidR="005E0B71" w:rsidRPr="005E0B71" w:rsidRDefault="005E0B71" w:rsidP="005E0B71">
                  <w:pPr>
                    <w:spacing w:after="0" w:line="240" w:lineRule="auto"/>
                    <w:jc w:val="center"/>
                    <w:rPr>
                      <w:rFonts w:ascii="Segoe UI" w:eastAsia="Times New Roman" w:hAnsi="Segoe UI" w:cs="Segoe UI"/>
                      <w:color w:val="000000"/>
                      <w:sz w:val="18"/>
                      <w:szCs w:val="18"/>
                      <w:lang w:eastAsia="en-AU"/>
                    </w:rPr>
                  </w:pPr>
                  <w:r w:rsidRPr="005E0B71">
                    <w:rPr>
                      <w:rFonts w:ascii="Segoe UI" w:eastAsia="Times New Roman" w:hAnsi="Segoe UI" w:cs="Segoe UI"/>
                      <w:color w:val="000000"/>
                      <w:sz w:val="18"/>
                      <w:szCs w:val="18"/>
                      <w:lang w:eastAsia="en-AU"/>
                    </w:rPr>
                    <w:t> </w:t>
                  </w:r>
                </w:p>
              </w:tc>
              <w:tc>
                <w:tcPr>
                  <w:tcW w:w="1165" w:type="dxa"/>
                  <w:tcBorders>
                    <w:top w:val="nil"/>
                    <w:left w:val="nil"/>
                    <w:bottom w:val="nil"/>
                    <w:right w:val="nil"/>
                  </w:tcBorders>
                  <w:shd w:val="clear" w:color="000000" w:fill="C5D9F1"/>
                  <w:noWrap/>
                  <w:vAlign w:val="center"/>
                  <w:hideMark/>
                </w:tcPr>
                <w:p w14:paraId="73CF996D" w14:textId="77777777" w:rsidR="005E0B71" w:rsidRPr="005E0B71" w:rsidRDefault="005E0B71" w:rsidP="005E0B71">
                  <w:pPr>
                    <w:spacing w:after="0" w:line="240" w:lineRule="auto"/>
                    <w:jc w:val="right"/>
                    <w:rPr>
                      <w:rFonts w:ascii="Segoe UI" w:eastAsia="Times New Roman" w:hAnsi="Segoe UI" w:cs="Segoe UI"/>
                      <w:color w:val="C5D9F1"/>
                      <w:sz w:val="18"/>
                      <w:szCs w:val="18"/>
                      <w:lang w:eastAsia="en-AU"/>
                    </w:rPr>
                  </w:pPr>
                  <w:r w:rsidRPr="005E0B71">
                    <w:rPr>
                      <w:rFonts w:ascii="Segoe UI" w:eastAsia="Times New Roman" w:hAnsi="Segoe UI" w:cs="Segoe UI"/>
                      <w:color w:val="C5D9F1"/>
                      <w:sz w:val="18"/>
                      <w:szCs w:val="18"/>
                      <w:lang w:eastAsia="en-AU"/>
                    </w:rPr>
                    <w:t>3</w:t>
                  </w:r>
                </w:p>
              </w:tc>
              <w:tc>
                <w:tcPr>
                  <w:tcW w:w="2817" w:type="dxa"/>
                  <w:tcBorders>
                    <w:top w:val="nil"/>
                    <w:left w:val="nil"/>
                    <w:bottom w:val="nil"/>
                    <w:right w:val="nil"/>
                  </w:tcBorders>
                  <w:shd w:val="clear" w:color="000000" w:fill="C5D9F1"/>
                  <w:noWrap/>
                  <w:vAlign w:val="center"/>
                  <w:hideMark/>
                </w:tcPr>
                <w:p w14:paraId="7E3DEE9E" w14:textId="37EB5DE7" w:rsidR="005E0B71" w:rsidRPr="005E0B71" w:rsidRDefault="005E0B71" w:rsidP="005E0B71">
                  <w:pPr>
                    <w:spacing w:after="0" w:line="240" w:lineRule="auto"/>
                    <w:rPr>
                      <w:rFonts w:ascii="Segoe UI" w:eastAsia="Times New Roman" w:hAnsi="Segoe UI" w:cs="Segoe UI"/>
                      <w:b/>
                      <w:bCs/>
                      <w:color w:val="000000"/>
                      <w:sz w:val="18"/>
                      <w:szCs w:val="18"/>
                      <w:lang w:eastAsia="en-AU"/>
                    </w:rPr>
                  </w:pPr>
                  <w:r w:rsidRPr="005E0B71">
                    <w:rPr>
                      <w:rFonts w:ascii="Segoe UI" w:eastAsia="Times New Roman" w:hAnsi="Segoe UI" w:cs="Segoe UI"/>
                      <w:b/>
                      <w:bCs/>
                      <w:color w:val="000000"/>
                      <w:sz w:val="18"/>
                      <w:szCs w:val="18"/>
                      <w:lang w:eastAsia="en-AU"/>
                    </w:rPr>
                    <w:t>a skin notation is warranted</w:t>
                  </w:r>
                </w:p>
              </w:tc>
            </w:tr>
          </w:tbl>
          <w:p w14:paraId="0E06D3EE" w14:textId="77777777" w:rsidR="00932DCE" w:rsidRPr="004C23F4" w:rsidRDefault="00932DCE" w:rsidP="00F9496B">
            <w:pPr>
              <w:pStyle w:val="Tablefont"/>
            </w:pPr>
          </w:p>
        </w:tc>
      </w:tr>
    </w:tbl>
    <w:bookmarkEnd w:id="3"/>
    <w:p w14:paraId="26BB59F1"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65850C69" w14:textId="77777777" w:rsidTr="00610F2E">
        <w:trPr>
          <w:trHeight w:val="454"/>
          <w:tblHeader/>
        </w:trPr>
        <w:tc>
          <w:tcPr>
            <w:tcW w:w="4361" w:type="dxa"/>
            <w:vAlign w:val="center"/>
          </w:tcPr>
          <w:p w14:paraId="7C764BC9"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61466B08" w14:textId="74F86BAA" w:rsidR="00EB3D1B" w:rsidRDefault="000E33B8" w:rsidP="00EB3D1B">
                <w:pPr>
                  <w:pStyle w:val="Tablefont"/>
                </w:pPr>
                <w:r>
                  <w:t>Yes</w:t>
                </w:r>
              </w:p>
            </w:tc>
          </w:sdtContent>
        </w:sdt>
      </w:tr>
    </w:tbl>
    <w:p w14:paraId="3C3A17AC"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06016B84" w14:textId="77777777" w:rsidTr="00EA6243">
        <w:trPr>
          <w:cantSplit/>
          <w:tblHeader/>
        </w:trPr>
        <w:tc>
          <w:tcPr>
            <w:tcW w:w="4077" w:type="dxa"/>
            <w:vAlign w:val="center"/>
          </w:tcPr>
          <w:p w14:paraId="1BAB012C"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0A58A6BE" w14:textId="64384C0C" w:rsidR="001B79E5" w:rsidRDefault="000E33B8" w:rsidP="001B79E5">
                <w:pPr>
                  <w:pStyle w:val="Tablefont"/>
                </w:pPr>
                <w:r w:rsidRPr="000E33B8">
                  <w:t>290.83</w:t>
                </w:r>
              </w:p>
            </w:tc>
          </w:sdtContent>
        </w:sdt>
      </w:tr>
      <w:tr w:rsidR="00A31D99" w:rsidRPr="004C23F4" w14:paraId="7FC9F79E" w14:textId="77777777" w:rsidTr="00EA6243">
        <w:trPr>
          <w:cantSplit/>
          <w:tblHeader/>
        </w:trPr>
        <w:tc>
          <w:tcPr>
            <w:tcW w:w="4077" w:type="dxa"/>
            <w:vAlign w:val="center"/>
          </w:tcPr>
          <w:p w14:paraId="7F866C09"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62EB813D"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7516300E" w14:textId="77777777" w:rsidTr="00EA6243">
        <w:trPr>
          <w:cantSplit/>
          <w:tblHeader/>
        </w:trPr>
        <w:tc>
          <w:tcPr>
            <w:tcW w:w="4077" w:type="dxa"/>
            <w:vAlign w:val="center"/>
          </w:tcPr>
          <w:p w14:paraId="022D6F46"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2412821C" w14:textId="3A553D01" w:rsidR="00687890" w:rsidRPr="004C23F4" w:rsidRDefault="00C8706A" w:rsidP="00717D45">
                <w:pPr>
                  <w:pStyle w:val="Tablefont"/>
                </w:pPr>
                <w:r>
                  <w:sym w:font="Wingdings" w:char="F0FC"/>
                </w:r>
              </w:p>
            </w:tc>
          </w:sdtContent>
        </w:sdt>
      </w:tr>
      <w:tr w:rsidR="00687890" w:rsidRPr="004C23F4" w14:paraId="56E122C1" w14:textId="77777777" w:rsidTr="00EA6243">
        <w:trPr>
          <w:cantSplit/>
        </w:trPr>
        <w:tc>
          <w:tcPr>
            <w:tcW w:w="4077" w:type="dxa"/>
            <w:vAlign w:val="center"/>
          </w:tcPr>
          <w:p w14:paraId="6F3E8FA8"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4E1A0290"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6E9FEDC3" w14:textId="77777777" w:rsidTr="00EA6243">
        <w:trPr>
          <w:cantSplit/>
        </w:trPr>
        <w:tc>
          <w:tcPr>
            <w:tcW w:w="4077" w:type="dxa"/>
            <w:vAlign w:val="center"/>
          </w:tcPr>
          <w:p w14:paraId="15FF3B27"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7B8D165D"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6ADF78CD" w14:textId="77777777" w:rsidTr="00EA6243">
        <w:trPr>
          <w:cantSplit/>
        </w:trPr>
        <w:tc>
          <w:tcPr>
            <w:tcW w:w="4077" w:type="dxa"/>
            <w:vAlign w:val="center"/>
          </w:tcPr>
          <w:p w14:paraId="087134F9"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7A09F3EB" w14:textId="78CFA9AE" w:rsidR="00E06F40" w:rsidRPr="00A006A0" w:rsidRDefault="00DE16A6"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1"/>
                  <w14:checkedState w14:val="00FC" w14:font="Wingdings"/>
                  <w14:uncheckedState w14:val="2610" w14:font="MS Gothic"/>
                </w14:checkbox>
              </w:sdtPr>
              <w:sdtEndPr/>
              <w:sdtContent>
                <w:r w:rsidR="00C8706A">
                  <w:sym w:font="Wingdings" w:char="F0FC"/>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1A2A492F"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27160C98" w14:textId="77777777" w:rsidTr="00F053FA">
        <w:trPr>
          <w:tblHeader/>
        </w:trPr>
        <w:tc>
          <w:tcPr>
            <w:tcW w:w="4077" w:type="dxa"/>
            <w:shd w:val="clear" w:color="auto" w:fill="BFBFBF" w:themeFill="background1" w:themeFillShade="BF"/>
            <w:vAlign w:val="center"/>
          </w:tcPr>
          <w:p w14:paraId="63465B86"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1D322083" w14:textId="77777777" w:rsidR="00224EE2" w:rsidRPr="004C23F4" w:rsidRDefault="00224EE2" w:rsidP="00EB3D1B">
            <w:pPr>
              <w:pStyle w:val="Tableheader"/>
              <w:keepNext/>
              <w:keepLines/>
            </w:pPr>
            <w:r>
              <w:t>Standard</w:t>
            </w:r>
          </w:p>
        </w:tc>
      </w:tr>
      <w:tr w:rsidR="007F1005" w:rsidRPr="004C23F4" w14:paraId="15ADAC9B" w14:textId="77777777" w:rsidTr="00F053FA">
        <w:trPr>
          <w:tblHeader/>
        </w:trPr>
        <w:sdt>
          <w:sdtPr>
            <w:id w:val="-25557549"/>
            <w:placeholder>
              <w:docPart w:val="2BF891C0AB704CDAB9BC6E80D556473F"/>
            </w:placeholder>
            <w:showingPlcHdr/>
            <w:text/>
          </w:sdtPr>
          <w:sdtEndPr/>
          <w:sdtContent>
            <w:tc>
              <w:tcPr>
                <w:tcW w:w="4077" w:type="dxa"/>
                <w:vAlign w:val="center"/>
              </w:tcPr>
              <w:p w14:paraId="13EDF63E"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B0C65E4" w14:textId="77777777" w:rsidR="007F1005" w:rsidRPr="004C23F4" w:rsidRDefault="007F1005" w:rsidP="00EB3D1B">
            <w:pPr>
              <w:pStyle w:val="Tablefont"/>
              <w:keepLines/>
            </w:pPr>
          </w:p>
        </w:tc>
      </w:tr>
    </w:tbl>
    <w:bookmarkEnd w:id="4"/>
    <w:p w14:paraId="42C36271" w14:textId="77777777" w:rsidR="00F87D92" w:rsidRDefault="00F87D92" w:rsidP="00D33F08">
      <w:pPr>
        <w:pStyle w:val="Heading2"/>
        <w:tabs>
          <w:tab w:val="right" w:pos="8505"/>
        </w:tabs>
      </w:pPr>
      <w:r>
        <w:t>References</w:t>
      </w:r>
      <w:r w:rsidR="00EF7F78">
        <w:tab/>
      </w:r>
    </w:p>
    <w:p w14:paraId="5CA4625D" w14:textId="313B49FF" w:rsidR="007F1005" w:rsidRDefault="006650FE" w:rsidP="00A537FD">
      <w:pPr>
        <w:keepNext/>
      </w:pPr>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4A92782E" w14:textId="01F82C6D" w:rsidR="000E33B8" w:rsidRDefault="000E33B8" w:rsidP="00A537FD">
      <w:pPr>
        <w:keepNext/>
      </w:pPr>
      <w:r w:rsidRPr="002022B6">
        <w:t>Deutsche Forschungsgemeinschaft (DFG)</w:t>
      </w:r>
      <w:r>
        <w:t xml:space="preserve"> (</w:t>
      </w:r>
      <w:r w:rsidR="008A3D69">
        <w:t>2001</w:t>
      </w:r>
      <w:r>
        <w:t xml:space="preserve">) </w:t>
      </w:r>
      <w:r w:rsidRPr="000E33B8">
        <w:t>Lindan</w:t>
      </w:r>
      <w:r w:rsidR="008A3D69">
        <w:t>e</w:t>
      </w:r>
      <w:r>
        <w:t xml:space="preserve"> – MAK value documentation</w:t>
      </w:r>
      <w:r w:rsidR="008A3D69">
        <w:t>.</w:t>
      </w:r>
    </w:p>
    <w:p w14:paraId="117CAAA3" w14:textId="77777777" w:rsidR="00D33F08" w:rsidRDefault="00D33F08" w:rsidP="00D33F08">
      <w:r w:rsidRPr="002022B6">
        <w:t>International Agency for Research on Cancer</w:t>
      </w:r>
      <w:r>
        <w:t xml:space="preserve"> (IARC) (</w:t>
      </w:r>
      <w:r w:rsidRPr="000E33B8">
        <w:t>2018</w:t>
      </w:r>
      <w:r>
        <w:t>) Lindane. IARC Monographs on the evaluation of the carcinogenic risk to humans, volume 113.</w:t>
      </w:r>
    </w:p>
    <w:p w14:paraId="236DFF34" w14:textId="0BF10CAF" w:rsidR="000E33B8" w:rsidRDefault="000E33B8" w:rsidP="00084859">
      <w:r w:rsidRPr="002022B6">
        <w:lastRenderedPageBreak/>
        <w:t>Health Council of the Netherlands</w:t>
      </w:r>
      <w:r>
        <w:t xml:space="preserve"> (HCOTN) (2001) </w:t>
      </w:r>
      <w:r w:rsidRPr="000E33B8">
        <w:t>Lindane (gg-hexachlorocyclohexane)</w:t>
      </w:r>
      <w:r w:rsidRPr="005F7416">
        <w:t xml:space="preserve">. Health-based calculated occupational cancer risk values. The Hague: Health Council of the Netherlands; publication no. </w:t>
      </w:r>
      <w:r w:rsidRPr="000E33B8">
        <w:t>2001/07OSH</w:t>
      </w:r>
      <w:r>
        <w:t>.</w:t>
      </w:r>
    </w:p>
    <w:p w14:paraId="3C2EE8CF" w14:textId="77777777" w:rsidR="00D33F08" w:rsidRDefault="00D33F08" w:rsidP="00D33F08">
      <w:pPr>
        <w:keepNext/>
      </w:pPr>
      <w:r>
        <w:rPr>
          <w:color w:val="000000"/>
        </w:rPr>
        <w:t>Tenth Adaptation to Technical Progress Commission Regulation (EU Annex) No 2017/776 amending, for the purposes of its adaptation to technical and scientific progress, Regulation (EC) No 1272/2008 of the European Parliament and of the Council on classification, labelling and packaging of substances and mixtures (the CLP Regulation).</w:t>
      </w:r>
    </w:p>
    <w:p w14:paraId="398056D5" w14:textId="5D1594F9" w:rsidR="0092728C" w:rsidRDefault="0092728C" w:rsidP="00084859">
      <w:r w:rsidRPr="00D86E03">
        <w:t>UK Health and Safety Executive</w:t>
      </w:r>
      <w:r>
        <w:t xml:space="preserve"> (HSE) (1996) Lindane (Gamma-HCH)</w:t>
      </w:r>
      <w:r w:rsidRPr="00262278">
        <w:rPr>
          <w:color w:val="00B050"/>
        </w:rPr>
        <w:t xml:space="preserve"> </w:t>
      </w:r>
      <w:r>
        <w:t>– EH64: Summary criteria for occupational exposure limits.</w:t>
      </w:r>
    </w:p>
    <w:p w14:paraId="0BC7B0C7" w14:textId="13DC437E" w:rsidR="0092728C" w:rsidRDefault="0092728C" w:rsidP="0092728C">
      <w:r>
        <w:t>US Environmental Protection Authority (US EPA) (1987) Integrated Risk Information System (IRIS) Chemical Assessment Summary – gamma-Hexachlorocyclohexane.</w:t>
      </w:r>
    </w:p>
    <w:p w14:paraId="5CB9B931" w14:textId="77777777" w:rsidR="00D66EF4" w:rsidRDefault="0092728C" w:rsidP="00D66EF4">
      <w:r>
        <w:t xml:space="preserve">US Environmental Protection Authority (US EPA) (1987) Integrated Risk Information System (IRIS) Chemical Assessment Summary – </w:t>
      </w:r>
      <w:r w:rsidRPr="005E0B71">
        <w:rPr>
          <w:bCs/>
        </w:rPr>
        <w:t>technical Hexachlorocyclohexane (t-HCH)</w:t>
      </w:r>
      <w:r>
        <w:rPr>
          <w:bCs/>
        </w:rPr>
        <w:t>.</w:t>
      </w:r>
      <w:r w:rsidR="00D66EF4" w:rsidRPr="00D66EF4">
        <w:t xml:space="preserve"> </w:t>
      </w:r>
    </w:p>
    <w:p w14:paraId="09AD7D39" w14:textId="6CF060AD" w:rsidR="00D66EF4" w:rsidRDefault="00D66EF4" w:rsidP="00D66EF4">
      <w:r w:rsidRPr="00D86E03">
        <w:t>US National Institute for Occupational Safety and Health (NIOSH)</w:t>
      </w:r>
      <w:r>
        <w:t xml:space="preserve"> (1994) Immediately dangerous to life or health concentrations – </w:t>
      </w:r>
      <w:r w:rsidRPr="000E33B8">
        <w:t>Lindane</w:t>
      </w:r>
      <w:r>
        <w:t>.</w:t>
      </w:r>
    </w:p>
    <w:p w14:paraId="2639FC29" w14:textId="40946408" w:rsidR="005E0B71" w:rsidRPr="0092728C" w:rsidRDefault="005E0B71" w:rsidP="00084859">
      <w:pPr>
        <w:rPr>
          <w:b/>
          <w:bCs/>
        </w:rPr>
      </w:pPr>
    </w:p>
    <w:sectPr w:rsidR="005E0B71" w:rsidRPr="0092728C" w:rsidSect="00B87D4C">
      <w:headerReference w:type="default" r:id="rId18"/>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4418" w14:textId="77777777" w:rsidR="00D13BCB" w:rsidRDefault="00D13BCB" w:rsidP="00F43AD5">
      <w:pPr>
        <w:spacing w:after="0" w:line="240" w:lineRule="auto"/>
      </w:pPr>
      <w:r>
        <w:separator/>
      </w:r>
    </w:p>
  </w:endnote>
  <w:endnote w:type="continuationSeparator" w:id="0">
    <w:p w14:paraId="67A75839" w14:textId="77777777" w:rsidR="00D13BCB" w:rsidRDefault="00D13BCB"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6B0F" w14:textId="77777777" w:rsidR="00CF5653" w:rsidRDefault="00CF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4FFD7D21" w14:textId="5834B9E9" w:rsidR="00CF5653" w:rsidRDefault="00CF5653" w:rsidP="0034744C">
        <w:pPr>
          <w:pStyle w:val="Footer"/>
          <w:rPr>
            <w:sz w:val="18"/>
            <w:szCs w:val="18"/>
          </w:rPr>
        </w:pPr>
        <w:r w:rsidRPr="00EE6AA4">
          <w:rPr>
            <w:b/>
            <w:sz w:val="18"/>
            <w:szCs w:val="18"/>
          </w:rPr>
          <w:t xml:space="preserve">Lindane </w:t>
        </w:r>
        <w:r>
          <w:rPr>
            <w:b/>
            <w:sz w:val="18"/>
            <w:szCs w:val="18"/>
          </w:rPr>
          <w:t>(</w:t>
        </w:r>
        <w:r w:rsidRPr="00EE6AA4">
          <w:rPr>
            <w:b/>
            <w:sz w:val="18"/>
            <w:szCs w:val="18"/>
          </w:rPr>
          <w:t>58-89-9</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4AB63594" w14:textId="4D9D73F8" w:rsidR="00CF5653" w:rsidRPr="00F43AD5" w:rsidRDefault="00CF5653"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DE16A6">
          <w:rPr>
            <w:noProof/>
            <w:sz w:val="18"/>
            <w:szCs w:val="18"/>
          </w:rPr>
          <w:t>8</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AB5A" w14:textId="77777777" w:rsidR="00CF5653" w:rsidRDefault="00CF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08AB4" w14:textId="77777777" w:rsidR="00D13BCB" w:rsidRDefault="00D13BCB" w:rsidP="00F43AD5">
      <w:pPr>
        <w:spacing w:after="0" w:line="240" w:lineRule="auto"/>
      </w:pPr>
      <w:r>
        <w:separator/>
      </w:r>
    </w:p>
  </w:footnote>
  <w:footnote w:type="continuationSeparator" w:id="0">
    <w:p w14:paraId="6526902F" w14:textId="77777777" w:rsidR="00D13BCB" w:rsidRDefault="00D13BCB"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4B87" w14:textId="77777777" w:rsidR="00CF5653" w:rsidRDefault="00CF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074C" w14:textId="3117EF90" w:rsidR="00DE16A6" w:rsidRDefault="00DE16A6" w:rsidP="00DE16A6">
    <w:pPr>
      <w:pStyle w:val="Header"/>
      <w:jc w:val="right"/>
    </w:pPr>
    <w:sdt>
      <w:sdtPr>
        <w:id w:val="-1659145495"/>
        <w:docPartObj>
          <w:docPartGallery w:val="Watermarks"/>
          <w:docPartUnique/>
        </w:docPartObj>
      </w:sdtPr>
      <w:sdtContent>
        <w:r>
          <w:pict w14:anchorId="6C04C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0F5755B0" wp14:editId="38E48039">
          <wp:extent cx="2941320" cy="58674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2099A7EE" w14:textId="3BD8175B" w:rsidR="00CF5653" w:rsidRPr="00DE16A6" w:rsidRDefault="00CF5653" w:rsidP="00DE1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538D" w14:textId="77777777" w:rsidR="00CF5653" w:rsidRDefault="00CF56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2C09" w14:textId="10CA48CA" w:rsidR="00DE16A6" w:rsidRDefault="00DE16A6" w:rsidP="00DE16A6">
    <w:pPr>
      <w:pStyle w:val="Header"/>
      <w:jc w:val="right"/>
    </w:pPr>
    <w:sdt>
      <w:sdtPr>
        <w:id w:val="87517952"/>
        <w:docPartObj>
          <w:docPartGallery w:val="Watermarks"/>
          <w:docPartUnique/>
        </w:docPartObj>
      </w:sdtPr>
      <w:sdtContent>
        <w:r>
          <w:pict w14:anchorId="7ECB2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534AF037" wp14:editId="44EB4531">
          <wp:extent cx="2941320" cy="586740"/>
          <wp:effectExtent l="0" t="0" r="0" b="381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14:paraId="2817A0A8" w14:textId="77777777" w:rsidR="00CF5653" w:rsidRDefault="00CF5653"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3CFA"/>
    <w:multiLevelType w:val="hybridMultilevel"/>
    <w:tmpl w:val="0F4C1DA8"/>
    <w:lvl w:ilvl="0" w:tplc="06E867CC">
      <w:start w:val="5"/>
      <w:numFmt w:val="bullet"/>
      <w:lvlText w:val=""/>
      <w:lvlJc w:val="left"/>
      <w:pPr>
        <w:ind w:left="720" w:hanging="360"/>
      </w:pPr>
      <w:rPr>
        <w:rFonts w:ascii="Symbol" w:eastAsiaTheme="minorHAnsi" w:hAnsi="Symbol" w:cstheme="minorBidi"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0C3632"/>
    <w:multiLevelType w:val="hybridMultilevel"/>
    <w:tmpl w:val="79704192"/>
    <w:lvl w:ilvl="0" w:tplc="D6C85F8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A02D95"/>
    <w:multiLevelType w:val="hybridMultilevel"/>
    <w:tmpl w:val="F6DE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74D"/>
    <w:rsid w:val="00007B80"/>
    <w:rsid w:val="00010AC3"/>
    <w:rsid w:val="00013A22"/>
    <w:rsid w:val="00014C3F"/>
    <w:rsid w:val="00017C82"/>
    <w:rsid w:val="00021307"/>
    <w:rsid w:val="00032B88"/>
    <w:rsid w:val="00037515"/>
    <w:rsid w:val="00046DF5"/>
    <w:rsid w:val="00052060"/>
    <w:rsid w:val="0005574A"/>
    <w:rsid w:val="00055FE1"/>
    <w:rsid w:val="00056EC2"/>
    <w:rsid w:val="00060B48"/>
    <w:rsid w:val="00067F32"/>
    <w:rsid w:val="00071807"/>
    <w:rsid w:val="000748C8"/>
    <w:rsid w:val="00076180"/>
    <w:rsid w:val="000803E1"/>
    <w:rsid w:val="00084513"/>
    <w:rsid w:val="00084818"/>
    <w:rsid w:val="00084859"/>
    <w:rsid w:val="00092D94"/>
    <w:rsid w:val="00093B12"/>
    <w:rsid w:val="000B0868"/>
    <w:rsid w:val="000B3E12"/>
    <w:rsid w:val="000B3E78"/>
    <w:rsid w:val="000B5AF4"/>
    <w:rsid w:val="000B7B48"/>
    <w:rsid w:val="000C096D"/>
    <w:rsid w:val="000C139A"/>
    <w:rsid w:val="000C2053"/>
    <w:rsid w:val="000C248C"/>
    <w:rsid w:val="000D1DC0"/>
    <w:rsid w:val="000D291C"/>
    <w:rsid w:val="000E33B8"/>
    <w:rsid w:val="000E3752"/>
    <w:rsid w:val="000E5A54"/>
    <w:rsid w:val="000E63D3"/>
    <w:rsid w:val="000E67CF"/>
    <w:rsid w:val="0010461E"/>
    <w:rsid w:val="00106FAA"/>
    <w:rsid w:val="00113443"/>
    <w:rsid w:val="00116F28"/>
    <w:rsid w:val="001269A7"/>
    <w:rsid w:val="00131092"/>
    <w:rsid w:val="00140E6A"/>
    <w:rsid w:val="001418C4"/>
    <w:rsid w:val="00146545"/>
    <w:rsid w:val="00146B75"/>
    <w:rsid w:val="0015266D"/>
    <w:rsid w:val="0015288A"/>
    <w:rsid w:val="00160F47"/>
    <w:rsid w:val="00177CA1"/>
    <w:rsid w:val="00183823"/>
    <w:rsid w:val="00183942"/>
    <w:rsid w:val="00190116"/>
    <w:rsid w:val="00195771"/>
    <w:rsid w:val="001A009E"/>
    <w:rsid w:val="001A1287"/>
    <w:rsid w:val="001A3859"/>
    <w:rsid w:val="001A3C9D"/>
    <w:rsid w:val="001A43F8"/>
    <w:rsid w:val="001B79E5"/>
    <w:rsid w:val="001C7407"/>
    <w:rsid w:val="001D56F0"/>
    <w:rsid w:val="001D663B"/>
    <w:rsid w:val="001D7B41"/>
    <w:rsid w:val="001E46DA"/>
    <w:rsid w:val="001E7D80"/>
    <w:rsid w:val="001F4B6C"/>
    <w:rsid w:val="001F62CB"/>
    <w:rsid w:val="001F6ED0"/>
    <w:rsid w:val="001F72E6"/>
    <w:rsid w:val="001F73C5"/>
    <w:rsid w:val="002046A6"/>
    <w:rsid w:val="00204956"/>
    <w:rsid w:val="00213640"/>
    <w:rsid w:val="00213EBF"/>
    <w:rsid w:val="00214145"/>
    <w:rsid w:val="00221547"/>
    <w:rsid w:val="002216FC"/>
    <w:rsid w:val="00222533"/>
    <w:rsid w:val="00222F30"/>
    <w:rsid w:val="00224EE2"/>
    <w:rsid w:val="00227EC7"/>
    <w:rsid w:val="00244AD1"/>
    <w:rsid w:val="002463BC"/>
    <w:rsid w:val="002465CE"/>
    <w:rsid w:val="00253547"/>
    <w:rsid w:val="0025734A"/>
    <w:rsid w:val="00263255"/>
    <w:rsid w:val="00276494"/>
    <w:rsid w:val="00277B0C"/>
    <w:rsid w:val="002A5DBB"/>
    <w:rsid w:val="002B1A2C"/>
    <w:rsid w:val="002C34F2"/>
    <w:rsid w:val="002C58FF"/>
    <w:rsid w:val="002C7AFE"/>
    <w:rsid w:val="002D05D2"/>
    <w:rsid w:val="002E0D61"/>
    <w:rsid w:val="002E4C7B"/>
    <w:rsid w:val="002E650D"/>
    <w:rsid w:val="002F47E3"/>
    <w:rsid w:val="0030740C"/>
    <w:rsid w:val="00315833"/>
    <w:rsid w:val="003215EE"/>
    <w:rsid w:val="003224BF"/>
    <w:rsid w:val="00322E1A"/>
    <w:rsid w:val="003241A8"/>
    <w:rsid w:val="003253F0"/>
    <w:rsid w:val="003337DA"/>
    <w:rsid w:val="00334EFB"/>
    <w:rsid w:val="00335CDE"/>
    <w:rsid w:val="003365A5"/>
    <w:rsid w:val="00347192"/>
    <w:rsid w:val="0034744C"/>
    <w:rsid w:val="00351FE0"/>
    <w:rsid w:val="00352615"/>
    <w:rsid w:val="00353B2C"/>
    <w:rsid w:val="0035412B"/>
    <w:rsid w:val="003567A8"/>
    <w:rsid w:val="00362895"/>
    <w:rsid w:val="00370DBF"/>
    <w:rsid w:val="00380AA6"/>
    <w:rsid w:val="00386093"/>
    <w:rsid w:val="003904A4"/>
    <w:rsid w:val="00391841"/>
    <w:rsid w:val="00391B6D"/>
    <w:rsid w:val="00394922"/>
    <w:rsid w:val="003A0E32"/>
    <w:rsid w:val="003A2B94"/>
    <w:rsid w:val="003B387D"/>
    <w:rsid w:val="003B4BFE"/>
    <w:rsid w:val="003C0D58"/>
    <w:rsid w:val="003D4FA3"/>
    <w:rsid w:val="003E0807"/>
    <w:rsid w:val="003E51FB"/>
    <w:rsid w:val="003E6B39"/>
    <w:rsid w:val="003F07E1"/>
    <w:rsid w:val="004030BC"/>
    <w:rsid w:val="00403F7D"/>
    <w:rsid w:val="0040421D"/>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72A11"/>
    <w:rsid w:val="00472AAD"/>
    <w:rsid w:val="00474E33"/>
    <w:rsid w:val="00476803"/>
    <w:rsid w:val="00485BFD"/>
    <w:rsid w:val="004867A2"/>
    <w:rsid w:val="00487275"/>
    <w:rsid w:val="004873F2"/>
    <w:rsid w:val="00490D4C"/>
    <w:rsid w:val="00493A35"/>
    <w:rsid w:val="0049527A"/>
    <w:rsid w:val="004966BF"/>
    <w:rsid w:val="00496982"/>
    <w:rsid w:val="00497984"/>
    <w:rsid w:val="004A2300"/>
    <w:rsid w:val="004A5088"/>
    <w:rsid w:val="004C0B9A"/>
    <w:rsid w:val="004C1E3F"/>
    <w:rsid w:val="004C23F4"/>
    <w:rsid w:val="004C3475"/>
    <w:rsid w:val="004C4067"/>
    <w:rsid w:val="004C58B6"/>
    <w:rsid w:val="004D169B"/>
    <w:rsid w:val="004D16A3"/>
    <w:rsid w:val="004D4AA1"/>
    <w:rsid w:val="004D6D68"/>
    <w:rsid w:val="004D7851"/>
    <w:rsid w:val="004E5EDD"/>
    <w:rsid w:val="004F2A57"/>
    <w:rsid w:val="004F34D8"/>
    <w:rsid w:val="004F448A"/>
    <w:rsid w:val="004F493D"/>
    <w:rsid w:val="004F65E8"/>
    <w:rsid w:val="0050005E"/>
    <w:rsid w:val="00502B88"/>
    <w:rsid w:val="00511706"/>
    <w:rsid w:val="005142C4"/>
    <w:rsid w:val="0051509C"/>
    <w:rsid w:val="005272E2"/>
    <w:rsid w:val="0053108F"/>
    <w:rsid w:val="00532B56"/>
    <w:rsid w:val="00534B10"/>
    <w:rsid w:val="005446A2"/>
    <w:rsid w:val="00544D2F"/>
    <w:rsid w:val="00551BD8"/>
    <w:rsid w:val="005553CB"/>
    <w:rsid w:val="00560202"/>
    <w:rsid w:val="00562575"/>
    <w:rsid w:val="00581055"/>
    <w:rsid w:val="00591E38"/>
    <w:rsid w:val="005A19C5"/>
    <w:rsid w:val="005A3034"/>
    <w:rsid w:val="005A462D"/>
    <w:rsid w:val="005B253B"/>
    <w:rsid w:val="005B771D"/>
    <w:rsid w:val="005C5D16"/>
    <w:rsid w:val="005D3193"/>
    <w:rsid w:val="005D4A6E"/>
    <w:rsid w:val="005E0B71"/>
    <w:rsid w:val="005E6979"/>
    <w:rsid w:val="005E75CB"/>
    <w:rsid w:val="006013C1"/>
    <w:rsid w:val="0060669E"/>
    <w:rsid w:val="00607726"/>
    <w:rsid w:val="00610F2E"/>
    <w:rsid w:val="00611399"/>
    <w:rsid w:val="00624C4E"/>
    <w:rsid w:val="00625200"/>
    <w:rsid w:val="006363A8"/>
    <w:rsid w:val="00636DB7"/>
    <w:rsid w:val="00646D40"/>
    <w:rsid w:val="00650905"/>
    <w:rsid w:val="006532ED"/>
    <w:rsid w:val="006549F2"/>
    <w:rsid w:val="006567B7"/>
    <w:rsid w:val="00657BFB"/>
    <w:rsid w:val="0066333C"/>
    <w:rsid w:val="006639B4"/>
    <w:rsid w:val="006650FE"/>
    <w:rsid w:val="0067305D"/>
    <w:rsid w:val="006764BB"/>
    <w:rsid w:val="00677D9B"/>
    <w:rsid w:val="00682093"/>
    <w:rsid w:val="006867F3"/>
    <w:rsid w:val="00687890"/>
    <w:rsid w:val="006901A2"/>
    <w:rsid w:val="00690368"/>
    <w:rsid w:val="0069079C"/>
    <w:rsid w:val="00690B53"/>
    <w:rsid w:val="00694352"/>
    <w:rsid w:val="00695B72"/>
    <w:rsid w:val="006B1259"/>
    <w:rsid w:val="006B160A"/>
    <w:rsid w:val="006B4E6C"/>
    <w:rsid w:val="006B50B6"/>
    <w:rsid w:val="006C4C67"/>
    <w:rsid w:val="006D4BA5"/>
    <w:rsid w:val="006D79EA"/>
    <w:rsid w:val="006E5D05"/>
    <w:rsid w:val="006F7A2C"/>
    <w:rsid w:val="00701053"/>
    <w:rsid w:val="00701507"/>
    <w:rsid w:val="00714021"/>
    <w:rsid w:val="00716A0F"/>
    <w:rsid w:val="00717D45"/>
    <w:rsid w:val="007208F7"/>
    <w:rsid w:val="007218AF"/>
    <w:rsid w:val="007365D1"/>
    <w:rsid w:val="00740E0E"/>
    <w:rsid w:val="00750212"/>
    <w:rsid w:val="00754779"/>
    <w:rsid w:val="0075716D"/>
    <w:rsid w:val="00763B40"/>
    <w:rsid w:val="00765F14"/>
    <w:rsid w:val="00770E31"/>
    <w:rsid w:val="007770F1"/>
    <w:rsid w:val="00783FB1"/>
    <w:rsid w:val="00785CDD"/>
    <w:rsid w:val="00791847"/>
    <w:rsid w:val="007925F0"/>
    <w:rsid w:val="007939B3"/>
    <w:rsid w:val="0079509C"/>
    <w:rsid w:val="00796708"/>
    <w:rsid w:val="007B1B42"/>
    <w:rsid w:val="007C30EB"/>
    <w:rsid w:val="007D19F7"/>
    <w:rsid w:val="007D1C9B"/>
    <w:rsid w:val="007E063C"/>
    <w:rsid w:val="007E2A4B"/>
    <w:rsid w:val="007E307D"/>
    <w:rsid w:val="007E6A4E"/>
    <w:rsid w:val="007E6C94"/>
    <w:rsid w:val="007F1005"/>
    <w:rsid w:val="007F25E0"/>
    <w:rsid w:val="007F2A5D"/>
    <w:rsid w:val="007F4E91"/>
    <w:rsid w:val="007F5328"/>
    <w:rsid w:val="00804F5A"/>
    <w:rsid w:val="00810C6D"/>
    <w:rsid w:val="00812887"/>
    <w:rsid w:val="00826F21"/>
    <w:rsid w:val="00834CC8"/>
    <w:rsid w:val="00835E00"/>
    <w:rsid w:val="00837113"/>
    <w:rsid w:val="008414E4"/>
    <w:rsid w:val="00843E21"/>
    <w:rsid w:val="00844AA9"/>
    <w:rsid w:val="0084508E"/>
    <w:rsid w:val="00856A66"/>
    <w:rsid w:val="00857A8A"/>
    <w:rsid w:val="008630EE"/>
    <w:rsid w:val="00864D13"/>
    <w:rsid w:val="00866AEE"/>
    <w:rsid w:val="00871CD5"/>
    <w:rsid w:val="008745A2"/>
    <w:rsid w:val="008768A8"/>
    <w:rsid w:val="00883002"/>
    <w:rsid w:val="00884E84"/>
    <w:rsid w:val="0088798F"/>
    <w:rsid w:val="00887E4B"/>
    <w:rsid w:val="008915C8"/>
    <w:rsid w:val="008A1D84"/>
    <w:rsid w:val="008A36CF"/>
    <w:rsid w:val="008A3BC4"/>
    <w:rsid w:val="008A3D69"/>
    <w:rsid w:val="008B403C"/>
    <w:rsid w:val="008B7983"/>
    <w:rsid w:val="008C2511"/>
    <w:rsid w:val="008D026D"/>
    <w:rsid w:val="008D05D0"/>
    <w:rsid w:val="008D23AB"/>
    <w:rsid w:val="008D4B8B"/>
    <w:rsid w:val="008D5A78"/>
    <w:rsid w:val="008E45DD"/>
    <w:rsid w:val="008E7B64"/>
    <w:rsid w:val="008F3421"/>
    <w:rsid w:val="008F4F15"/>
    <w:rsid w:val="008F5DCD"/>
    <w:rsid w:val="008F76B4"/>
    <w:rsid w:val="00900951"/>
    <w:rsid w:val="009118A6"/>
    <w:rsid w:val="00916909"/>
    <w:rsid w:val="00916EC0"/>
    <w:rsid w:val="00920467"/>
    <w:rsid w:val="00921DE7"/>
    <w:rsid w:val="0092728C"/>
    <w:rsid w:val="0093041A"/>
    <w:rsid w:val="00930714"/>
    <w:rsid w:val="00931B03"/>
    <w:rsid w:val="009323B9"/>
    <w:rsid w:val="00932DCE"/>
    <w:rsid w:val="0093327E"/>
    <w:rsid w:val="00934028"/>
    <w:rsid w:val="0093760E"/>
    <w:rsid w:val="00944563"/>
    <w:rsid w:val="00946044"/>
    <w:rsid w:val="0094660B"/>
    <w:rsid w:val="00946A33"/>
    <w:rsid w:val="00947914"/>
    <w:rsid w:val="0095260E"/>
    <w:rsid w:val="009578DD"/>
    <w:rsid w:val="00961124"/>
    <w:rsid w:val="009621B6"/>
    <w:rsid w:val="009637BD"/>
    <w:rsid w:val="00974F2D"/>
    <w:rsid w:val="00977524"/>
    <w:rsid w:val="00977E88"/>
    <w:rsid w:val="00984920"/>
    <w:rsid w:val="00986A46"/>
    <w:rsid w:val="0099303A"/>
    <w:rsid w:val="00995D82"/>
    <w:rsid w:val="009971C2"/>
    <w:rsid w:val="009A1254"/>
    <w:rsid w:val="009B1BDD"/>
    <w:rsid w:val="009B2FF2"/>
    <w:rsid w:val="009B380C"/>
    <w:rsid w:val="009B4843"/>
    <w:rsid w:val="009B6543"/>
    <w:rsid w:val="009C1572"/>
    <w:rsid w:val="009C199D"/>
    <w:rsid w:val="009C278F"/>
    <w:rsid w:val="009C2B94"/>
    <w:rsid w:val="009C5874"/>
    <w:rsid w:val="009D3B5A"/>
    <w:rsid w:val="009E0C05"/>
    <w:rsid w:val="009E0D1C"/>
    <w:rsid w:val="009E2214"/>
    <w:rsid w:val="009E355A"/>
    <w:rsid w:val="009E63E2"/>
    <w:rsid w:val="009F04D2"/>
    <w:rsid w:val="009F05CF"/>
    <w:rsid w:val="009F0F3A"/>
    <w:rsid w:val="009F1DD9"/>
    <w:rsid w:val="009F64FB"/>
    <w:rsid w:val="00A01D0C"/>
    <w:rsid w:val="00A0643F"/>
    <w:rsid w:val="00A067EE"/>
    <w:rsid w:val="00A10FCE"/>
    <w:rsid w:val="00A16D91"/>
    <w:rsid w:val="00A174CC"/>
    <w:rsid w:val="00A2073D"/>
    <w:rsid w:val="00A20751"/>
    <w:rsid w:val="00A21D3E"/>
    <w:rsid w:val="00A27E2D"/>
    <w:rsid w:val="00A31374"/>
    <w:rsid w:val="00A31D99"/>
    <w:rsid w:val="00A351E3"/>
    <w:rsid w:val="00A357BA"/>
    <w:rsid w:val="00A35ADC"/>
    <w:rsid w:val="00A402A3"/>
    <w:rsid w:val="00A53681"/>
    <w:rsid w:val="00A537FD"/>
    <w:rsid w:val="00A57DBB"/>
    <w:rsid w:val="00A633D4"/>
    <w:rsid w:val="00A6461A"/>
    <w:rsid w:val="00A84504"/>
    <w:rsid w:val="00A8621D"/>
    <w:rsid w:val="00A8672F"/>
    <w:rsid w:val="00A90FF8"/>
    <w:rsid w:val="00A93057"/>
    <w:rsid w:val="00A94C7A"/>
    <w:rsid w:val="00A968B0"/>
    <w:rsid w:val="00AB2672"/>
    <w:rsid w:val="00AB2817"/>
    <w:rsid w:val="00AB43C4"/>
    <w:rsid w:val="00AC32E7"/>
    <w:rsid w:val="00AC3A9F"/>
    <w:rsid w:val="00AC6D2F"/>
    <w:rsid w:val="00AE2745"/>
    <w:rsid w:val="00AE2F64"/>
    <w:rsid w:val="00AF22EF"/>
    <w:rsid w:val="00AF42CB"/>
    <w:rsid w:val="00AF483F"/>
    <w:rsid w:val="00AF5E07"/>
    <w:rsid w:val="00AF5F06"/>
    <w:rsid w:val="00B00A25"/>
    <w:rsid w:val="00B1422A"/>
    <w:rsid w:val="00B14D09"/>
    <w:rsid w:val="00B1765C"/>
    <w:rsid w:val="00B213C4"/>
    <w:rsid w:val="00B21472"/>
    <w:rsid w:val="00B2335C"/>
    <w:rsid w:val="00B26DEE"/>
    <w:rsid w:val="00B40C60"/>
    <w:rsid w:val="00B460B0"/>
    <w:rsid w:val="00B479A9"/>
    <w:rsid w:val="00B50F32"/>
    <w:rsid w:val="00B52EDF"/>
    <w:rsid w:val="00B66C63"/>
    <w:rsid w:val="00B70954"/>
    <w:rsid w:val="00B71188"/>
    <w:rsid w:val="00B76A41"/>
    <w:rsid w:val="00B87D4C"/>
    <w:rsid w:val="00B93646"/>
    <w:rsid w:val="00BA0B38"/>
    <w:rsid w:val="00BA1DBB"/>
    <w:rsid w:val="00BA4510"/>
    <w:rsid w:val="00BA529A"/>
    <w:rsid w:val="00BB612A"/>
    <w:rsid w:val="00BD269F"/>
    <w:rsid w:val="00BD499F"/>
    <w:rsid w:val="00BD56DE"/>
    <w:rsid w:val="00BE1080"/>
    <w:rsid w:val="00BE3E0D"/>
    <w:rsid w:val="00BF2406"/>
    <w:rsid w:val="00C0371C"/>
    <w:rsid w:val="00C06E43"/>
    <w:rsid w:val="00C16315"/>
    <w:rsid w:val="00C26494"/>
    <w:rsid w:val="00C27B7D"/>
    <w:rsid w:val="00C3091E"/>
    <w:rsid w:val="00C329CE"/>
    <w:rsid w:val="00C32CA2"/>
    <w:rsid w:val="00C3561A"/>
    <w:rsid w:val="00C40FF1"/>
    <w:rsid w:val="00C419E2"/>
    <w:rsid w:val="00C5020E"/>
    <w:rsid w:val="00C57452"/>
    <w:rsid w:val="00C61EDF"/>
    <w:rsid w:val="00C6239D"/>
    <w:rsid w:val="00C6594B"/>
    <w:rsid w:val="00C67FFB"/>
    <w:rsid w:val="00C7155E"/>
    <w:rsid w:val="00C71D1E"/>
    <w:rsid w:val="00C71D7D"/>
    <w:rsid w:val="00C74833"/>
    <w:rsid w:val="00C850A0"/>
    <w:rsid w:val="00C85A86"/>
    <w:rsid w:val="00C8706A"/>
    <w:rsid w:val="00C925D0"/>
    <w:rsid w:val="00C978F0"/>
    <w:rsid w:val="00CA58FE"/>
    <w:rsid w:val="00CB1CB1"/>
    <w:rsid w:val="00CB2DF3"/>
    <w:rsid w:val="00CB6BC1"/>
    <w:rsid w:val="00CB6CB8"/>
    <w:rsid w:val="00CC1A68"/>
    <w:rsid w:val="00CC2123"/>
    <w:rsid w:val="00CD2BFD"/>
    <w:rsid w:val="00CD3FC2"/>
    <w:rsid w:val="00CE5AD6"/>
    <w:rsid w:val="00CE617F"/>
    <w:rsid w:val="00CE78EF"/>
    <w:rsid w:val="00CF5653"/>
    <w:rsid w:val="00D01CD6"/>
    <w:rsid w:val="00D047A5"/>
    <w:rsid w:val="00D048F7"/>
    <w:rsid w:val="00D0506D"/>
    <w:rsid w:val="00D0517E"/>
    <w:rsid w:val="00D13BCB"/>
    <w:rsid w:val="00D140FC"/>
    <w:rsid w:val="00D14FE1"/>
    <w:rsid w:val="00D21D8C"/>
    <w:rsid w:val="00D31357"/>
    <w:rsid w:val="00D33220"/>
    <w:rsid w:val="00D334D1"/>
    <w:rsid w:val="00D33F08"/>
    <w:rsid w:val="00D44C89"/>
    <w:rsid w:val="00D516CD"/>
    <w:rsid w:val="00D53E4E"/>
    <w:rsid w:val="00D602EC"/>
    <w:rsid w:val="00D668E6"/>
    <w:rsid w:val="00D66EF4"/>
    <w:rsid w:val="00D70670"/>
    <w:rsid w:val="00D74D80"/>
    <w:rsid w:val="00D76624"/>
    <w:rsid w:val="00D87570"/>
    <w:rsid w:val="00D91CB9"/>
    <w:rsid w:val="00D97989"/>
    <w:rsid w:val="00D97D8D"/>
    <w:rsid w:val="00DA352E"/>
    <w:rsid w:val="00DC7694"/>
    <w:rsid w:val="00DD03E9"/>
    <w:rsid w:val="00DD1BF6"/>
    <w:rsid w:val="00DD2F9B"/>
    <w:rsid w:val="00DE16A6"/>
    <w:rsid w:val="00DE2513"/>
    <w:rsid w:val="00DE26E8"/>
    <w:rsid w:val="00DF6D4A"/>
    <w:rsid w:val="00DF6F36"/>
    <w:rsid w:val="00E0021F"/>
    <w:rsid w:val="00E0084C"/>
    <w:rsid w:val="00E025AB"/>
    <w:rsid w:val="00E02B23"/>
    <w:rsid w:val="00E06F40"/>
    <w:rsid w:val="00E07CE8"/>
    <w:rsid w:val="00E13DDC"/>
    <w:rsid w:val="00E16FAB"/>
    <w:rsid w:val="00E26A07"/>
    <w:rsid w:val="00E32595"/>
    <w:rsid w:val="00E3564B"/>
    <w:rsid w:val="00E3758D"/>
    <w:rsid w:val="00E37CFD"/>
    <w:rsid w:val="00E41A26"/>
    <w:rsid w:val="00E46BCB"/>
    <w:rsid w:val="00E51CAF"/>
    <w:rsid w:val="00E60F04"/>
    <w:rsid w:val="00E62AAC"/>
    <w:rsid w:val="00E655EC"/>
    <w:rsid w:val="00E67C2F"/>
    <w:rsid w:val="00E67EF5"/>
    <w:rsid w:val="00E804EA"/>
    <w:rsid w:val="00E80A71"/>
    <w:rsid w:val="00E81960"/>
    <w:rsid w:val="00E82337"/>
    <w:rsid w:val="00E9060A"/>
    <w:rsid w:val="00E92075"/>
    <w:rsid w:val="00E92499"/>
    <w:rsid w:val="00E949AF"/>
    <w:rsid w:val="00E96077"/>
    <w:rsid w:val="00EA0A06"/>
    <w:rsid w:val="00EA6243"/>
    <w:rsid w:val="00EA74AB"/>
    <w:rsid w:val="00EB3D1B"/>
    <w:rsid w:val="00ED1D89"/>
    <w:rsid w:val="00ED66BC"/>
    <w:rsid w:val="00EE0EB1"/>
    <w:rsid w:val="00EE6AA4"/>
    <w:rsid w:val="00EF233A"/>
    <w:rsid w:val="00EF303E"/>
    <w:rsid w:val="00EF3A40"/>
    <w:rsid w:val="00EF7F78"/>
    <w:rsid w:val="00F01B08"/>
    <w:rsid w:val="00F01C4D"/>
    <w:rsid w:val="00F053FA"/>
    <w:rsid w:val="00F10C97"/>
    <w:rsid w:val="00F11C71"/>
    <w:rsid w:val="00F16019"/>
    <w:rsid w:val="00F20E68"/>
    <w:rsid w:val="00F22093"/>
    <w:rsid w:val="00F236DF"/>
    <w:rsid w:val="00F411F0"/>
    <w:rsid w:val="00F43AD5"/>
    <w:rsid w:val="00F4402E"/>
    <w:rsid w:val="00F56DD0"/>
    <w:rsid w:val="00F6491C"/>
    <w:rsid w:val="00F67BBB"/>
    <w:rsid w:val="00F87D92"/>
    <w:rsid w:val="00F90AA7"/>
    <w:rsid w:val="00F92498"/>
    <w:rsid w:val="00F9496B"/>
    <w:rsid w:val="00F970C9"/>
    <w:rsid w:val="00FA06A8"/>
    <w:rsid w:val="00FA3DF5"/>
    <w:rsid w:val="00FA741F"/>
    <w:rsid w:val="00FB4E07"/>
    <w:rsid w:val="00FB755A"/>
    <w:rsid w:val="00FC60A2"/>
    <w:rsid w:val="00FD1871"/>
    <w:rsid w:val="00FD3110"/>
    <w:rsid w:val="00FF5C3D"/>
    <w:rsid w:val="00FF7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090C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paragraph" w:styleId="CommentText">
    <w:name w:val="annotation text"/>
    <w:basedOn w:val="Normal"/>
    <w:link w:val="CommentTextChar"/>
    <w:uiPriority w:val="99"/>
    <w:semiHidden/>
    <w:unhideWhenUsed/>
    <w:rsid w:val="00947914"/>
    <w:pPr>
      <w:spacing w:line="240" w:lineRule="auto"/>
    </w:pPr>
    <w:rPr>
      <w:szCs w:val="20"/>
    </w:rPr>
  </w:style>
  <w:style w:type="character" w:customStyle="1" w:styleId="CommentTextChar">
    <w:name w:val="Comment Text Char"/>
    <w:basedOn w:val="DefaultParagraphFont"/>
    <w:link w:val="CommentText"/>
    <w:uiPriority w:val="99"/>
    <w:semiHidden/>
    <w:rsid w:val="00947914"/>
    <w:rPr>
      <w:szCs w:val="20"/>
    </w:rPr>
  </w:style>
  <w:style w:type="character" w:styleId="CommentReference">
    <w:name w:val="annotation reference"/>
    <w:basedOn w:val="DefaultParagraphFont"/>
    <w:uiPriority w:val="99"/>
    <w:semiHidden/>
    <w:unhideWhenUsed/>
    <w:rsid w:val="00947914"/>
    <w:rPr>
      <w:sz w:val="16"/>
      <w:szCs w:val="16"/>
    </w:rPr>
  </w:style>
  <w:style w:type="paragraph" w:styleId="Revision">
    <w:name w:val="Revision"/>
    <w:hidden/>
    <w:uiPriority w:val="99"/>
    <w:semiHidden/>
    <w:rsid w:val="00A537FD"/>
    <w:pPr>
      <w:spacing w:after="0" w:line="240" w:lineRule="auto"/>
    </w:pPr>
  </w:style>
  <w:style w:type="paragraph" w:styleId="CommentSubject">
    <w:name w:val="annotation subject"/>
    <w:basedOn w:val="CommentText"/>
    <w:next w:val="CommentText"/>
    <w:link w:val="CommentSubjectChar"/>
    <w:uiPriority w:val="99"/>
    <w:semiHidden/>
    <w:unhideWhenUsed/>
    <w:rsid w:val="0000774D"/>
    <w:rPr>
      <w:b/>
      <w:bCs/>
    </w:rPr>
  </w:style>
  <w:style w:type="character" w:customStyle="1" w:styleId="CommentSubjectChar">
    <w:name w:val="Comment Subject Char"/>
    <w:basedOn w:val="CommentTextChar"/>
    <w:link w:val="CommentSubject"/>
    <w:uiPriority w:val="99"/>
    <w:semiHidden/>
    <w:rsid w:val="0000774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9086">
      <w:bodyDiv w:val="1"/>
      <w:marLeft w:val="0"/>
      <w:marRight w:val="0"/>
      <w:marTop w:val="0"/>
      <w:marBottom w:val="0"/>
      <w:divBdr>
        <w:top w:val="none" w:sz="0" w:space="0" w:color="auto"/>
        <w:left w:val="none" w:sz="0" w:space="0" w:color="auto"/>
        <w:bottom w:val="none" w:sz="0" w:space="0" w:color="auto"/>
        <w:right w:val="none" w:sz="0" w:space="0" w:color="auto"/>
      </w:divBdr>
    </w:div>
    <w:div w:id="328409322">
      <w:bodyDiv w:val="1"/>
      <w:marLeft w:val="0"/>
      <w:marRight w:val="0"/>
      <w:marTop w:val="0"/>
      <w:marBottom w:val="0"/>
      <w:divBdr>
        <w:top w:val="none" w:sz="0" w:space="0" w:color="auto"/>
        <w:left w:val="none" w:sz="0" w:space="0" w:color="auto"/>
        <w:bottom w:val="none" w:sz="0" w:space="0" w:color="auto"/>
        <w:right w:val="none" w:sz="0" w:space="0" w:color="auto"/>
      </w:divBdr>
    </w:div>
    <w:div w:id="796290058">
      <w:bodyDiv w:val="1"/>
      <w:marLeft w:val="0"/>
      <w:marRight w:val="0"/>
      <w:marTop w:val="0"/>
      <w:marBottom w:val="0"/>
      <w:divBdr>
        <w:top w:val="none" w:sz="0" w:space="0" w:color="auto"/>
        <w:left w:val="none" w:sz="0" w:space="0" w:color="auto"/>
        <w:bottom w:val="none" w:sz="0" w:space="0" w:color="auto"/>
        <w:right w:val="none" w:sz="0" w:space="0" w:color="auto"/>
      </w:divBdr>
    </w:div>
    <w:div w:id="1017079348">
      <w:bodyDiv w:val="1"/>
      <w:marLeft w:val="0"/>
      <w:marRight w:val="0"/>
      <w:marTop w:val="0"/>
      <w:marBottom w:val="0"/>
      <w:divBdr>
        <w:top w:val="none" w:sz="0" w:space="0" w:color="auto"/>
        <w:left w:val="none" w:sz="0" w:space="0" w:color="auto"/>
        <w:bottom w:val="none" w:sz="0" w:space="0" w:color="auto"/>
        <w:right w:val="none" w:sz="0" w:space="0" w:color="auto"/>
      </w:divBdr>
    </w:div>
    <w:div w:id="1057241822">
      <w:bodyDiv w:val="1"/>
      <w:marLeft w:val="0"/>
      <w:marRight w:val="0"/>
      <w:marTop w:val="0"/>
      <w:marBottom w:val="0"/>
      <w:divBdr>
        <w:top w:val="none" w:sz="0" w:space="0" w:color="auto"/>
        <w:left w:val="none" w:sz="0" w:space="0" w:color="auto"/>
        <w:bottom w:val="none" w:sz="0" w:space="0" w:color="auto"/>
        <w:right w:val="none" w:sz="0" w:space="0" w:color="auto"/>
      </w:divBdr>
    </w:div>
    <w:div w:id="1171675996">
      <w:bodyDiv w:val="1"/>
      <w:marLeft w:val="0"/>
      <w:marRight w:val="0"/>
      <w:marTop w:val="0"/>
      <w:marBottom w:val="0"/>
      <w:divBdr>
        <w:top w:val="none" w:sz="0" w:space="0" w:color="auto"/>
        <w:left w:val="none" w:sz="0" w:space="0" w:color="auto"/>
        <w:bottom w:val="none" w:sz="0" w:space="0" w:color="auto"/>
        <w:right w:val="none" w:sz="0" w:space="0" w:color="auto"/>
      </w:divBdr>
    </w:div>
    <w:div w:id="1385830232">
      <w:bodyDiv w:val="1"/>
      <w:marLeft w:val="0"/>
      <w:marRight w:val="0"/>
      <w:marTop w:val="0"/>
      <w:marBottom w:val="0"/>
      <w:divBdr>
        <w:top w:val="none" w:sz="0" w:space="0" w:color="auto"/>
        <w:left w:val="none" w:sz="0" w:space="0" w:color="auto"/>
        <w:bottom w:val="none" w:sz="0" w:space="0" w:color="auto"/>
        <w:right w:val="none" w:sz="0" w:space="0" w:color="auto"/>
      </w:divBdr>
    </w:div>
    <w:div w:id="1698462879">
      <w:bodyDiv w:val="1"/>
      <w:marLeft w:val="0"/>
      <w:marRight w:val="0"/>
      <w:marTop w:val="0"/>
      <w:marBottom w:val="0"/>
      <w:divBdr>
        <w:top w:val="none" w:sz="0" w:space="0" w:color="auto"/>
        <w:left w:val="none" w:sz="0" w:space="0" w:color="auto"/>
        <w:bottom w:val="none" w:sz="0" w:space="0" w:color="auto"/>
        <w:right w:val="none" w:sz="0" w:space="0" w:color="auto"/>
      </w:divBdr>
    </w:div>
    <w:div w:id="1716929585">
      <w:bodyDiv w:val="1"/>
      <w:marLeft w:val="0"/>
      <w:marRight w:val="0"/>
      <w:marTop w:val="0"/>
      <w:marBottom w:val="0"/>
      <w:divBdr>
        <w:top w:val="none" w:sz="0" w:space="0" w:color="auto"/>
        <w:left w:val="none" w:sz="0" w:space="0" w:color="auto"/>
        <w:bottom w:val="none" w:sz="0" w:space="0" w:color="auto"/>
        <w:right w:val="none" w:sz="0" w:space="0" w:color="auto"/>
      </w:divBdr>
    </w:div>
    <w:div w:id="19421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8DD754E365844A4E82EC69A07E229629"/>
        <w:category>
          <w:name w:val="General"/>
          <w:gallery w:val="placeholder"/>
        </w:category>
        <w:types>
          <w:type w:val="bbPlcHdr"/>
        </w:types>
        <w:behaviors>
          <w:behavior w:val="content"/>
        </w:behaviors>
        <w:guid w:val="{9F4DDB53-9FC4-45A7-A37C-FDECC7AE23CB}"/>
      </w:docPartPr>
      <w:docPartBody>
        <w:p w:rsidR="00D21A9F" w:rsidRDefault="00D21A9F">
          <w:pPr>
            <w:pStyle w:val="8DD754E365844A4E82EC69A07E229629"/>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6D088CB1744D4419BDC4064B098FA8FB"/>
        <w:category>
          <w:name w:val="General"/>
          <w:gallery w:val="placeholder"/>
        </w:category>
        <w:types>
          <w:type w:val="bbPlcHdr"/>
        </w:types>
        <w:behaviors>
          <w:behavior w:val="content"/>
        </w:behaviors>
        <w:guid w:val="{6FE21A20-1584-48AF-A608-7B3255570A06}"/>
      </w:docPartPr>
      <w:docPartBody>
        <w:p w:rsidR="001A4BC1" w:rsidRDefault="00C51811" w:rsidP="00C51811">
          <w:pPr>
            <w:pStyle w:val="6D088CB1744D4419BDC4064B098FA8FB"/>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1A4BC1"/>
    <w:rsid w:val="00A65DD7"/>
    <w:rsid w:val="00A7565C"/>
    <w:rsid w:val="00C51811"/>
    <w:rsid w:val="00D21A9F"/>
    <w:rsid w:val="00F03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811"/>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B2E914D9683C4829A8055F19B0C67A10">
    <w:name w:val="B2E914D9683C4829A8055F19B0C67A10"/>
    <w:rsid w:val="00A65DD7"/>
  </w:style>
  <w:style w:type="paragraph" w:customStyle="1" w:styleId="A61E788D70FE46CD9D64C341C2A715B6">
    <w:name w:val="A61E788D70FE46CD9D64C341C2A715B6"/>
    <w:rsid w:val="00A65DD7"/>
  </w:style>
  <w:style w:type="paragraph" w:customStyle="1" w:styleId="D4B8332CF9F74412ADB06D6F85CDD1C6">
    <w:name w:val="D4B8332CF9F74412ADB06D6F85CDD1C6"/>
    <w:rsid w:val="00A65DD7"/>
  </w:style>
  <w:style w:type="paragraph" w:customStyle="1" w:styleId="AED9E77C814F476D8F04B39A0BED7F42">
    <w:name w:val="AED9E77C814F476D8F04B39A0BED7F42"/>
    <w:rsid w:val="00A65DD7"/>
  </w:style>
  <w:style w:type="paragraph" w:customStyle="1" w:styleId="BB2362FE474342FD95F504A17FC43CE6">
    <w:name w:val="BB2362FE474342FD95F504A17FC43CE6"/>
    <w:rsid w:val="00A65DD7"/>
  </w:style>
  <w:style w:type="paragraph" w:customStyle="1" w:styleId="5A049D164C4243FF97F368A92D382874">
    <w:name w:val="5A049D164C4243FF97F368A92D382874"/>
    <w:rsid w:val="00A65DD7"/>
  </w:style>
  <w:style w:type="paragraph" w:customStyle="1" w:styleId="071ACB395DAD4A7C95292388ECFFF5E9">
    <w:name w:val="071ACB395DAD4A7C95292388ECFFF5E9"/>
    <w:rsid w:val="00A65DD7"/>
  </w:style>
  <w:style w:type="paragraph" w:customStyle="1" w:styleId="1B6D4F0AB95846B094570A9E4D1CD3F6">
    <w:name w:val="1B6D4F0AB95846B094570A9E4D1CD3F6"/>
    <w:rsid w:val="00A65DD7"/>
  </w:style>
  <w:style w:type="paragraph" w:customStyle="1" w:styleId="79129E60B9454E01A61B1BF7CF74F2F9">
    <w:name w:val="79129E60B9454E01A61B1BF7CF74F2F9"/>
    <w:rsid w:val="00A65DD7"/>
  </w:style>
  <w:style w:type="paragraph" w:customStyle="1" w:styleId="3E3A385A57934EBA834065C961A8711A">
    <w:name w:val="3E3A385A57934EBA834065C961A8711A"/>
    <w:rsid w:val="00C51811"/>
  </w:style>
  <w:style w:type="paragraph" w:customStyle="1" w:styleId="D9EEF293527A49BA9AF4492C2771F5F8">
    <w:name w:val="D9EEF293527A49BA9AF4492C2771F5F8"/>
    <w:rsid w:val="00C51811"/>
  </w:style>
  <w:style w:type="paragraph" w:customStyle="1" w:styleId="A66CED0D44EA418B95B3ADAD8A9287E2">
    <w:name w:val="A66CED0D44EA418B95B3ADAD8A9287E2"/>
    <w:rsid w:val="00C51811"/>
  </w:style>
  <w:style w:type="paragraph" w:customStyle="1" w:styleId="ACD0646B7E8149DD98ACDFEBEC84BE57">
    <w:name w:val="ACD0646B7E8149DD98ACDFEBEC84BE57"/>
    <w:rsid w:val="00C51811"/>
  </w:style>
  <w:style w:type="paragraph" w:customStyle="1" w:styleId="6D088CB1744D4419BDC4064B098FA8FB">
    <w:name w:val="6D088CB1744D4419BDC4064B098FA8FB"/>
    <w:rsid w:val="00C51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73A0-90A9-483C-88A0-9CFFD82EA170}">
  <ds:schemaRefs>
    <ds:schemaRef ds:uri="http://purl.org/dc/terms/"/>
    <ds:schemaRef ds:uri="http://purl.org/dc/elements/1.1/"/>
    <ds:schemaRef ds:uri="http://schemas.microsoft.com/office/2006/documentManagement/types"/>
    <ds:schemaRef ds:uri="bf54d604-3e62-4e70-ba33-9e9084b96a6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25AC4E-B14F-467E-8DC7-B7B1A5D702A0}">
  <ds:schemaRefs>
    <ds:schemaRef ds:uri="http://schemas.microsoft.com/sharepoint/v3/contenttype/forms"/>
  </ds:schemaRefs>
</ds:datastoreItem>
</file>

<file path=customXml/itemProps3.xml><?xml version="1.0" encoding="utf-8"?>
<ds:datastoreItem xmlns:ds="http://schemas.openxmlformats.org/officeDocument/2006/customXml" ds:itemID="{80B461E6-329E-4838-B0CA-07A43A626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CD24E-582A-45EC-AA02-38891567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9AC800C.dotm</Template>
  <TotalTime>0</TotalTime>
  <Pages>8</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2019-12-15T23:32:00Z</dcterms:created>
  <dcterms:modified xsi:type="dcterms:W3CDTF">2020-01-15T03:35:00Z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