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FD6637A" w14:textId="77777777" w:rsidR="00BD499F" w:rsidRPr="004C23F4" w:rsidRDefault="00C27F6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Magnesite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1D967C13" w14:textId="77777777" w:rsidTr="003B0782">
        <w:trPr>
          <w:cantSplit/>
          <w:tblHeader/>
        </w:trPr>
        <w:tc>
          <w:tcPr>
            <w:tcW w:w="3981" w:type="dxa"/>
          </w:tcPr>
          <w:p w14:paraId="7EB2F23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5" w:type="dxa"/>
          </w:tcPr>
          <w:p w14:paraId="32024ED1" w14:textId="77777777" w:rsidR="00F43AD5" w:rsidRPr="00717D45" w:rsidRDefault="00C27F6F" w:rsidP="00B76A41">
            <w:pPr>
              <w:pStyle w:val="Tablefont"/>
            </w:pPr>
            <w:r>
              <w:t>546-93-0</w:t>
            </w:r>
          </w:p>
        </w:tc>
      </w:tr>
      <w:tr w:rsidR="00F43AD5" w:rsidRPr="004C23F4" w14:paraId="592A2BAB" w14:textId="77777777" w:rsidTr="003B0782">
        <w:trPr>
          <w:cantSplit/>
        </w:trPr>
        <w:tc>
          <w:tcPr>
            <w:tcW w:w="3981" w:type="dxa"/>
          </w:tcPr>
          <w:p w14:paraId="312297B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5" w:type="dxa"/>
          </w:tcPr>
          <w:p w14:paraId="1722B414" w14:textId="77777777" w:rsidR="0000449B" w:rsidRPr="003B160B" w:rsidRDefault="00E82244" w:rsidP="0000449B">
            <w:pPr>
              <w:pStyle w:val="Tablefont"/>
            </w:pPr>
            <w:r w:rsidRPr="003B160B">
              <w:t>M</w:t>
            </w:r>
            <w:r w:rsidR="0000449B" w:rsidRPr="003B160B">
              <w:t>agnesium (II) carbonate, carbonate magnesium,</w:t>
            </w:r>
          </w:p>
          <w:p w14:paraId="29631505" w14:textId="182FA5F3" w:rsidR="00F43AD5" w:rsidRPr="00717D45" w:rsidRDefault="0000449B" w:rsidP="0000449B">
            <w:pPr>
              <w:pStyle w:val="Tablefont"/>
            </w:pPr>
            <w:r w:rsidRPr="003B160B">
              <w:t>carbonic acid,</w:t>
            </w:r>
            <w:r w:rsidR="003B0782">
              <w:t xml:space="preserve"> </w:t>
            </w:r>
            <w:r w:rsidRPr="003B160B">
              <w:t>magnesium salt (1:1), magnesite</w:t>
            </w:r>
          </w:p>
        </w:tc>
      </w:tr>
      <w:tr w:rsidR="00F43AD5" w:rsidRPr="004C23F4" w14:paraId="36ACF854" w14:textId="77777777" w:rsidTr="003B0782">
        <w:trPr>
          <w:cantSplit/>
        </w:trPr>
        <w:tc>
          <w:tcPr>
            <w:tcW w:w="3981" w:type="dxa"/>
          </w:tcPr>
          <w:p w14:paraId="41DA2A9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5" w:type="dxa"/>
          </w:tcPr>
          <w:p w14:paraId="699FE8A5" w14:textId="77777777" w:rsidR="00F43AD5" w:rsidRPr="00717D45" w:rsidRDefault="0000449B" w:rsidP="00B76A41">
            <w:pPr>
              <w:pStyle w:val="Tablefont"/>
            </w:pPr>
            <w:r w:rsidRPr="0000449B">
              <w:t>MgCO</w:t>
            </w:r>
            <w:r w:rsidRPr="0000449B">
              <w:rPr>
                <w:vertAlign w:val="subscript"/>
              </w:rPr>
              <w:t>3</w:t>
            </w:r>
          </w:p>
        </w:tc>
      </w:tr>
    </w:tbl>
    <w:p w14:paraId="4A41BC91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A482F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0454884" w14:textId="77777777" w:rsidTr="0000449B">
        <w:trPr>
          <w:cantSplit/>
          <w:tblHeader/>
        </w:trPr>
        <w:tc>
          <w:tcPr>
            <w:tcW w:w="4010" w:type="dxa"/>
            <w:vAlign w:val="center"/>
          </w:tcPr>
          <w:p w14:paraId="56EBE08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210F9A0" w14:textId="77777777" w:rsidR="002C7AFE" w:rsidRPr="008A482F" w:rsidRDefault="008A482F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0449B" w:rsidRPr="004C23F4" w14:paraId="2C53BF36" w14:textId="77777777" w:rsidTr="0000449B">
        <w:trPr>
          <w:cantSplit/>
        </w:trPr>
        <w:tc>
          <w:tcPr>
            <w:tcW w:w="4010" w:type="dxa"/>
            <w:vAlign w:val="center"/>
          </w:tcPr>
          <w:p w14:paraId="0CFBBE2F" w14:textId="77777777" w:rsidR="0000449B" w:rsidRPr="002C58FF" w:rsidRDefault="0000449B" w:rsidP="0000449B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0BBB677" w14:textId="77777777" w:rsidR="0000449B" w:rsidRPr="00EB3D1B" w:rsidRDefault="0000449B" w:rsidP="0000449B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0449B" w:rsidRPr="004C23F4" w14:paraId="27B65771" w14:textId="77777777" w:rsidTr="0000449B">
        <w:trPr>
          <w:cantSplit/>
        </w:trPr>
        <w:tc>
          <w:tcPr>
            <w:tcW w:w="4010" w:type="dxa"/>
            <w:vAlign w:val="center"/>
          </w:tcPr>
          <w:p w14:paraId="23DB3523" w14:textId="77777777" w:rsidR="0000449B" w:rsidRPr="002C58FF" w:rsidRDefault="0000449B" w:rsidP="0000449B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B92543C" w14:textId="77777777" w:rsidR="0000449B" w:rsidRPr="00EB3D1B" w:rsidRDefault="0000449B" w:rsidP="0000449B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0449B" w:rsidRPr="004C23F4" w14:paraId="06FBD26F" w14:textId="77777777" w:rsidTr="0000449B">
        <w:trPr>
          <w:cantSplit/>
        </w:trPr>
        <w:tc>
          <w:tcPr>
            <w:tcW w:w="4010" w:type="dxa"/>
          </w:tcPr>
          <w:p w14:paraId="19455522" w14:textId="77777777" w:rsidR="0000449B" w:rsidRPr="002C58FF" w:rsidRDefault="0000449B" w:rsidP="0000449B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13DFACFB" w14:textId="77777777" w:rsidR="0000449B" w:rsidRPr="00EB3D1B" w:rsidRDefault="0000449B" w:rsidP="0000449B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0449B" w:rsidRPr="004C23F4" w14:paraId="4A3B6283" w14:textId="77777777" w:rsidTr="0000449B">
        <w:trPr>
          <w:cantSplit/>
        </w:trPr>
        <w:tc>
          <w:tcPr>
            <w:tcW w:w="4010" w:type="dxa"/>
            <w:vAlign w:val="center"/>
          </w:tcPr>
          <w:p w14:paraId="05C4971D" w14:textId="77777777" w:rsidR="0000449B" w:rsidRPr="002C58FF" w:rsidRDefault="0000449B" w:rsidP="0000449B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1E5DC25" w14:textId="77777777" w:rsidR="0000449B" w:rsidRPr="00EB3D1B" w:rsidRDefault="0000449B" w:rsidP="0000449B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390104" w:rsidRPr="004C23F4" w14:paraId="0964A943" w14:textId="77777777" w:rsidTr="00AA6E84">
        <w:trPr>
          <w:cantSplit/>
        </w:trPr>
        <w:tc>
          <w:tcPr>
            <w:tcW w:w="9026" w:type="dxa"/>
            <w:gridSpan w:val="2"/>
            <w:vAlign w:val="center"/>
          </w:tcPr>
          <w:p w14:paraId="633F2B15" w14:textId="77777777" w:rsidR="00390104" w:rsidRPr="00EB3D1B" w:rsidRDefault="00390104" w:rsidP="0000449B">
            <w:pPr>
              <w:pStyle w:val="Tablefont"/>
              <w:rPr>
                <w:b/>
              </w:rPr>
            </w:pPr>
            <w:r w:rsidRPr="00390104">
              <w:rPr>
                <w:b/>
              </w:rPr>
              <w:t>Sampling and analysis:</w:t>
            </w:r>
            <w: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CFE19843E3B435EB4030A5B1E79102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B0CDA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5BE20A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9F7215A" w14:textId="34625038" w:rsidR="00517BE2" w:rsidRPr="004C23F4" w:rsidRDefault="008A482F" w:rsidP="000C139A">
      <w:pPr>
        <w:rPr>
          <w:rFonts w:cs="Arial"/>
        </w:rPr>
      </w:pPr>
      <w:r w:rsidRPr="008A482F">
        <w:rPr>
          <w:rFonts w:cs="Arial"/>
        </w:rPr>
        <w:t xml:space="preserve">A TWA of </w:t>
      </w:r>
      <w:r>
        <w:rPr>
          <w:rFonts w:cs="Arial"/>
        </w:rPr>
        <w:t>10</w:t>
      </w:r>
      <w:r w:rsidRPr="008A482F">
        <w:rPr>
          <w:rFonts w:cs="Arial"/>
        </w:rPr>
        <w:t xml:space="preserve"> mg/m</w:t>
      </w:r>
      <w:r w:rsidRPr="008A482F"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Pr="008A482F">
        <w:rPr>
          <w:rFonts w:cs="Arial"/>
        </w:rPr>
        <w:t xml:space="preserve">is </w:t>
      </w:r>
      <w:r>
        <w:rPr>
          <w:rFonts w:cs="Arial"/>
        </w:rPr>
        <w:t>re</w:t>
      </w:r>
      <w:r w:rsidR="00692B4B">
        <w:rPr>
          <w:rFonts w:cs="Arial"/>
        </w:rPr>
        <w:t>commend</w:t>
      </w:r>
      <w:r>
        <w:rPr>
          <w:rFonts w:cs="Arial"/>
        </w:rPr>
        <w:t>ed</w:t>
      </w:r>
      <w:r w:rsidR="008330D8">
        <w:rPr>
          <w:rFonts w:cs="Arial"/>
        </w:rPr>
        <w:t xml:space="preserve"> to minimise </w:t>
      </w:r>
      <w:r w:rsidR="003B0782">
        <w:rPr>
          <w:rFonts w:cs="Arial"/>
        </w:rPr>
        <w:t>irritation</w:t>
      </w:r>
      <w:r w:rsidR="008330D8">
        <w:rPr>
          <w:rFonts w:cs="Arial"/>
        </w:rPr>
        <w:t xml:space="preserve"> in exposed workers.</w:t>
      </w:r>
    </w:p>
    <w:p w14:paraId="38C7313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59CFFA2" w14:textId="336C2B97" w:rsidR="0025548D" w:rsidRDefault="008330D8" w:rsidP="006639B4">
      <w:r>
        <w:t>Magnesite is used to make various grades of magnesium oxide</w:t>
      </w:r>
      <w:r w:rsidR="003B0782">
        <w:t xml:space="preserve"> (MgO)</w:t>
      </w:r>
      <w:r>
        <w:t xml:space="preserve">, to produce carbon dioxide </w:t>
      </w:r>
      <w:r w:rsidR="003B0782">
        <w:t>(CO</w:t>
      </w:r>
      <w:r w:rsidR="003B0782" w:rsidRPr="003B0782">
        <w:rPr>
          <w:vertAlign w:val="subscript"/>
        </w:rPr>
        <w:t>2</w:t>
      </w:r>
      <w:r w:rsidR="003B0782">
        <w:t xml:space="preserve">) </w:t>
      </w:r>
      <w:r>
        <w:t xml:space="preserve">and refractories. </w:t>
      </w:r>
      <w:r w:rsidR="0060211D">
        <w:t>It</w:t>
      </w:r>
      <w:r w:rsidR="00FB0CDA">
        <w:t xml:space="preserve"> i</w:t>
      </w:r>
      <w:r w:rsidR="0060211D">
        <w:t>s a</w:t>
      </w:r>
      <w:r>
        <w:t>lso used as a bulking compound in powder formulations, the production of antacid, as an additive to make table salt, in cosmetics and</w:t>
      </w:r>
      <w:r w:rsidR="006F511A">
        <w:t xml:space="preserve"> in</w:t>
      </w:r>
      <w:r>
        <w:t xml:space="preserve"> fire-resistant and insulating materials</w:t>
      </w:r>
      <w:r w:rsidR="0060211D">
        <w:t xml:space="preserve">. </w:t>
      </w:r>
      <w:r w:rsidR="00CD0945">
        <w:t>Magnesium</w:t>
      </w:r>
      <w:r w:rsidR="003B0782">
        <w:t xml:space="preserve"> (Mg)</w:t>
      </w:r>
      <w:r w:rsidR="00CD0945">
        <w:t xml:space="preserve"> is essential to animal life with adult humans requiring </w:t>
      </w:r>
      <w:r w:rsidR="003B0782">
        <w:t>two</w:t>
      </w:r>
      <w:r w:rsidR="00C44DF4">
        <w:t xml:space="preserve"> to </w:t>
      </w:r>
      <w:r w:rsidR="003B0782">
        <w:t>three</w:t>
      </w:r>
      <w:r w:rsidR="00CD0945">
        <w:t xml:space="preserve"> mg per day. Deficiency in humans results in weakness, dizziness and convulsions. </w:t>
      </w:r>
    </w:p>
    <w:p w14:paraId="4CB7FBAC" w14:textId="1D5808D6" w:rsidR="00617BC9" w:rsidRDefault="006F511A" w:rsidP="006639B4">
      <w:pPr>
        <w:rPr>
          <w:rFonts w:cs="Arial"/>
        </w:rPr>
      </w:pPr>
      <w:r>
        <w:t>L</w:t>
      </w:r>
      <w:r w:rsidR="0060211D">
        <w:t>imited available data indicates magnesite</w:t>
      </w:r>
      <w:r w:rsidR="003B0782">
        <w:t xml:space="preserve"> (</w:t>
      </w:r>
      <w:r w:rsidR="003B0782" w:rsidRPr="0000449B">
        <w:t>MgCO</w:t>
      </w:r>
      <w:r w:rsidR="003B0782" w:rsidRPr="0000449B">
        <w:rPr>
          <w:vertAlign w:val="subscript"/>
        </w:rPr>
        <w:t>3</w:t>
      </w:r>
      <w:r w:rsidR="003B0782">
        <w:t>)</w:t>
      </w:r>
      <w:r w:rsidR="0060211D">
        <w:t xml:space="preserve"> </w:t>
      </w:r>
      <w:r w:rsidR="0060211D">
        <w:rPr>
          <w:rFonts w:cs="Arial"/>
        </w:rPr>
        <w:t>has low acute, chronic and inhalation toxicity</w:t>
      </w:r>
      <w:r w:rsidR="001D5A2B">
        <w:rPr>
          <w:rFonts w:cs="Arial"/>
        </w:rPr>
        <w:t>.</w:t>
      </w:r>
      <w:r w:rsidR="00740A99">
        <w:rPr>
          <w:rFonts w:cs="Arial"/>
        </w:rPr>
        <w:t xml:space="preserve"> Critical effects</w:t>
      </w:r>
      <w:r w:rsidR="00CD0945">
        <w:rPr>
          <w:rFonts w:cs="Arial"/>
        </w:rPr>
        <w:t xml:space="preserve"> </w:t>
      </w:r>
      <w:r w:rsidR="003B0782">
        <w:rPr>
          <w:rFonts w:cs="Arial"/>
        </w:rPr>
        <w:t>of</w:t>
      </w:r>
      <w:r w:rsidR="00CD0945">
        <w:rPr>
          <w:rFonts w:cs="Arial"/>
        </w:rPr>
        <w:t xml:space="preserve"> exposure</w:t>
      </w:r>
      <w:r w:rsidR="00740A99">
        <w:rPr>
          <w:rFonts w:cs="Arial"/>
        </w:rPr>
        <w:t xml:space="preserve"> include nasal </w:t>
      </w:r>
      <w:r>
        <w:rPr>
          <w:rFonts w:cs="Arial"/>
        </w:rPr>
        <w:t>irritation. Gastric ulcers and bronchitis have been observed in workers following chronic exposure.</w:t>
      </w:r>
    </w:p>
    <w:p w14:paraId="0AB8686A" w14:textId="055380C3" w:rsidR="00CD0945" w:rsidRPr="00617BC9" w:rsidRDefault="00617BC9" w:rsidP="006639B4">
      <w:pPr>
        <w:rPr>
          <w:rFonts w:cs="Arial"/>
        </w:rPr>
      </w:pPr>
      <w:r>
        <w:rPr>
          <w:rFonts w:cs="Arial"/>
        </w:rPr>
        <w:t>HCOTN (2003) considered there was insufficient toxicological evidence on magnesite to justify recommendation of a TWA. However, it states that the current TWA of 10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for inhalable dust is acceptable for regulation of </w:t>
      </w:r>
      <w:r w:rsidR="00D13CEC">
        <w:rPr>
          <w:rFonts w:cs="Arial"/>
        </w:rPr>
        <w:t xml:space="preserve">occupational </w:t>
      </w:r>
      <w:r>
        <w:rPr>
          <w:rFonts w:cs="Arial"/>
        </w:rPr>
        <w:t xml:space="preserve">exposure. </w:t>
      </w:r>
      <w:r w:rsidR="00CD0945" w:rsidRPr="00CD0945">
        <w:rPr>
          <w:rFonts w:cs="Arial"/>
        </w:rPr>
        <w:t xml:space="preserve">A TWA of </w:t>
      </w:r>
      <w:r w:rsidR="00CD0945">
        <w:rPr>
          <w:rFonts w:cs="Arial"/>
        </w:rPr>
        <w:t>10 mg/m</w:t>
      </w:r>
      <w:r w:rsidR="00CD0945">
        <w:rPr>
          <w:rFonts w:cs="Arial"/>
          <w:vertAlign w:val="superscript"/>
        </w:rPr>
        <w:t>3</w:t>
      </w:r>
      <w:r w:rsidR="00CD0945" w:rsidRPr="00CD0945">
        <w:rPr>
          <w:rFonts w:cs="Arial"/>
        </w:rPr>
        <w:t xml:space="preserve"> is recommended to be retained </w:t>
      </w:r>
      <w:r w:rsidR="00CD0945">
        <w:rPr>
          <w:rFonts w:cs="Arial"/>
        </w:rPr>
        <w:t>and</w:t>
      </w:r>
      <w:r w:rsidR="00CD0945" w:rsidRPr="00CD0945">
        <w:rPr>
          <w:rFonts w:cs="Arial"/>
        </w:rPr>
        <w:t xml:space="preserve"> is considered protective for </w:t>
      </w:r>
      <w:r w:rsidR="00CD0945">
        <w:rPr>
          <w:rFonts w:cs="Arial"/>
        </w:rPr>
        <w:t>adverse</w:t>
      </w:r>
      <w:r w:rsidR="00CD0945" w:rsidRPr="00CD0945">
        <w:rPr>
          <w:rFonts w:cs="Arial"/>
        </w:rPr>
        <w:t xml:space="preserve"> effects </w:t>
      </w:r>
      <w:r w:rsidR="00CD0945">
        <w:rPr>
          <w:rFonts w:cs="Arial"/>
        </w:rPr>
        <w:t>noted above</w:t>
      </w:r>
      <w:r w:rsidR="00CD0945" w:rsidRPr="00CD0945">
        <w:rPr>
          <w:rFonts w:cs="Arial"/>
        </w:rPr>
        <w:t>.</w:t>
      </w:r>
    </w:p>
    <w:p w14:paraId="5F8A518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86733B0" w14:textId="77777777" w:rsidR="00C27F6F" w:rsidRPr="0060211D" w:rsidRDefault="00C27F6F" w:rsidP="00C27F6F">
      <w:pPr>
        <w:rPr>
          <w:rFonts w:cs="Arial"/>
        </w:rPr>
      </w:pPr>
      <w:r w:rsidRPr="0060211D">
        <w:rPr>
          <w:rFonts w:cs="Arial"/>
        </w:rPr>
        <w:t>Not classified as a carcinogen according to the Globally Harmonized System of Classification and Labelling o</w:t>
      </w:r>
      <w:r w:rsidR="0093090C">
        <w:rPr>
          <w:rFonts w:cs="Arial"/>
        </w:rPr>
        <w:t>f</w:t>
      </w:r>
      <w:r w:rsidRPr="0060211D">
        <w:rPr>
          <w:rFonts w:cs="Arial"/>
        </w:rPr>
        <w:t xml:space="preserve"> Chemicals (GHS). </w:t>
      </w:r>
    </w:p>
    <w:p w14:paraId="0A36B9E3" w14:textId="77777777" w:rsidR="00C27F6F" w:rsidRPr="0060211D" w:rsidRDefault="00C27F6F" w:rsidP="00C27F6F">
      <w:pPr>
        <w:rPr>
          <w:rFonts w:cs="Arial"/>
        </w:rPr>
      </w:pPr>
      <w:r w:rsidRPr="0060211D">
        <w:rPr>
          <w:rFonts w:cs="Arial"/>
        </w:rPr>
        <w:t xml:space="preserve">Not classified as a skin </w:t>
      </w:r>
      <w:r w:rsidR="0093090C" w:rsidRPr="0060211D">
        <w:rPr>
          <w:rFonts w:cs="Arial"/>
        </w:rPr>
        <w:t xml:space="preserve">sensitiser </w:t>
      </w:r>
      <w:r w:rsidRPr="0060211D">
        <w:rPr>
          <w:rFonts w:cs="Arial"/>
        </w:rPr>
        <w:t>or respiratory sensitiser according to the GHS.</w:t>
      </w:r>
    </w:p>
    <w:p w14:paraId="7085EFDC" w14:textId="03C7AF7E" w:rsidR="004529F0" w:rsidRPr="004C23F4" w:rsidRDefault="00FB0CDA" w:rsidP="00C27F6F">
      <w:pPr>
        <w:rPr>
          <w:rFonts w:cs="Arial"/>
        </w:rPr>
      </w:pPr>
      <w:r>
        <w:rPr>
          <w:rFonts w:cs="Arial"/>
        </w:rPr>
        <w:t xml:space="preserve">There </w:t>
      </w:r>
      <w:r w:rsidR="003B0782">
        <w:rPr>
          <w:rFonts w:cs="Arial"/>
        </w:rPr>
        <w:t>are</w:t>
      </w:r>
      <w:r>
        <w:rPr>
          <w:rFonts w:cs="Arial"/>
        </w:rPr>
        <w:t xml:space="preserve"> i</w:t>
      </w:r>
      <w:r w:rsidR="00C27F6F" w:rsidRPr="0060211D">
        <w:rPr>
          <w:rFonts w:cs="Arial"/>
        </w:rPr>
        <w:t xml:space="preserve">nsufficient </w:t>
      </w:r>
      <w:r>
        <w:rPr>
          <w:rFonts w:cs="Arial"/>
        </w:rPr>
        <w:t>data</w:t>
      </w:r>
      <w:r w:rsidRPr="0060211D">
        <w:rPr>
          <w:rFonts w:cs="Arial"/>
        </w:rPr>
        <w:t xml:space="preserve"> </w:t>
      </w:r>
      <w:r w:rsidR="00C27F6F" w:rsidRPr="0060211D">
        <w:rPr>
          <w:rFonts w:cs="Arial"/>
        </w:rPr>
        <w:t>to recommend a skin notation.</w:t>
      </w:r>
    </w:p>
    <w:p w14:paraId="5D4FC62D" w14:textId="77777777" w:rsidR="0025734A" w:rsidRPr="004C23F4" w:rsidRDefault="0025734A">
      <w:pPr>
        <w:rPr>
          <w:rFonts w:cs="Arial"/>
        </w:rPr>
      </w:pPr>
    </w:p>
    <w:p w14:paraId="5872A4E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12D3C1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F66EFB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56A195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B07CDA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EC1B60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25A56D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0449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0449B">
                  <w:t>TWA: 10 mg/m</w:t>
                </w:r>
                <w:r w:rsidR="0000449B" w:rsidRPr="0000449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803607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71923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3E4D13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4985AE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044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00449B">
                  <w:t>NA</w:t>
                </w:r>
                <w:proofErr w:type="spellEnd"/>
              </w:sdtContent>
            </w:sdt>
          </w:p>
        </w:tc>
      </w:tr>
      <w:tr w:rsidR="00C978F0" w:rsidRPr="00DA352E" w14:paraId="194FC99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C3B4841" w14:textId="77777777" w:rsidR="00C978F0" w:rsidRPr="00DA352E" w:rsidRDefault="0000449B" w:rsidP="003365A5">
            <w:pPr>
              <w:pStyle w:val="Tabletextprimarysource"/>
            </w:pPr>
            <w:r>
              <w:t>No report</w:t>
            </w:r>
            <w:r w:rsidR="00E82244">
              <w:t>.</w:t>
            </w:r>
          </w:p>
        </w:tc>
      </w:tr>
      <w:tr w:rsidR="00C978F0" w:rsidRPr="00DA352E" w14:paraId="58785A3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4F4A55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044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00449B">
                  <w:t>NA</w:t>
                </w:r>
                <w:proofErr w:type="spellEnd"/>
              </w:sdtContent>
            </w:sdt>
          </w:p>
        </w:tc>
      </w:tr>
      <w:tr w:rsidR="00C978F0" w:rsidRPr="00DA352E" w14:paraId="67C8DB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28E43E" w14:textId="77777777" w:rsidR="00C978F0" w:rsidRPr="00DA352E" w:rsidRDefault="0000449B" w:rsidP="003365A5">
            <w:pPr>
              <w:pStyle w:val="Tabletextprimarysource"/>
            </w:pPr>
            <w:r>
              <w:t>No report</w:t>
            </w:r>
            <w:r w:rsidR="00E82244">
              <w:t>.</w:t>
            </w:r>
          </w:p>
        </w:tc>
      </w:tr>
      <w:tr w:rsidR="00C978F0" w:rsidRPr="00DA352E" w14:paraId="3F604F6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8EABC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044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00449B">
                  <w:t>NA</w:t>
                </w:r>
                <w:proofErr w:type="spellEnd"/>
              </w:sdtContent>
            </w:sdt>
          </w:p>
        </w:tc>
      </w:tr>
      <w:tr w:rsidR="00C978F0" w:rsidRPr="00DA352E" w14:paraId="170D3B1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CD3DE8A" w14:textId="77777777" w:rsidR="00C978F0" w:rsidRPr="00DA352E" w:rsidRDefault="0000449B" w:rsidP="003365A5">
            <w:pPr>
              <w:pStyle w:val="Tabletextprimarysource"/>
            </w:pPr>
            <w:r>
              <w:t>No report</w:t>
            </w:r>
            <w:r w:rsidR="00E82244">
              <w:t>.</w:t>
            </w:r>
          </w:p>
        </w:tc>
      </w:tr>
      <w:tr w:rsidR="00DA352E" w:rsidRPr="00DA352E" w14:paraId="360D9CF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A084A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044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0449B">
                  <w:t>NA</w:t>
                </w:r>
                <w:proofErr w:type="spellEnd"/>
              </w:sdtContent>
            </w:sdt>
          </w:p>
        </w:tc>
      </w:tr>
      <w:tr w:rsidR="00DA352E" w:rsidRPr="00DA352E" w14:paraId="61C79FB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34C50E1" w14:textId="77777777" w:rsidR="00DA352E" w:rsidRPr="00DA352E" w:rsidRDefault="0000449B" w:rsidP="003365A5">
            <w:pPr>
              <w:pStyle w:val="Tabletextprimarysource"/>
            </w:pPr>
            <w:r>
              <w:t>No report</w:t>
            </w:r>
            <w:r w:rsidR="00E82244">
              <w:t>.</w:t>
            </w:r>
          </w:p>
        </w:tc>
      </w:tr>
      <w:tr w:rsidR="00DA352E" w:rsidRPr="00DA352E" w14:paraId="2A6856D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469FA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F035A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F035A">
                  <w:t>TWA: 10 mg/m</w:t>
                </w:r>
                <w:r w:rsidR="00DF035A" w:rsidRPr="00DF035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19508DE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FD72E6B" w14:textId="7D5CF521" w:rsidR="00DA352E" w:rsidRDefault="0025548D" w:rsidP="0025548D">
            <w:pPr>
              <w:pStyle w:val="Tabletextprimarysource"/>
            </w:pPr>
            <w:r>
              <w:t xml:space="preserve">Toxicological database on </w:t>
            </w:r>
            <w:r w:rsidR="003B0782" w:rsidRPr="0000449B">
              <w:t>MgCO</w:t>
            </w:r>
            <w:r w:rsidR="003B0782" w:rsidRPr="0000449B">
              <w:rPr>
                <w:vertAlign w:val="subscript"/>
              </w:rPr>
              <w:t>3</w:t>
            </w:r>
            <w:r w:rsidR="003B0782">
              <w:t xml:space="preserve"> </w:t>
            </w:r>
            <w:r>
              <w:t xml:space="preserve">not considered </w:t>
            </w:r>
            <w:r w:rsidR="00D13CEC">
              <w:t xml:space="preserve">sufficient </w:t>
            </w:r>
            <w:r>
              <w:t xml:space="preserve">to justify recommendation of a </w:t>
            </w:r>
            <w:r w:rsidR="003B0782">
              <w:t>HBOEL</w:t>
            </w:r>
            <w:r>
              <w:t xml:space="preserve"> but the current </w:t>
            </w:r>
            <w:r w:rsidR="00D13CEC">
              <w:t>OELs</w:t>
            </w:r>
            <w:r>
              <w:t xml:space="preserve"> of </w:t>
            </w:r>
            <w:r w:rsidR="00D13CEC">
              <w:t>10 mg/m</w:t>
            </w:r>
            <w:r w:rsidR="00D13CEC" w:rsidRPr="003B0782">
              <w:rPr>
                <w:vertAlign w:val="superscript"/>
              </w:rPr>
              <w:t>3</w:t>
            </w:r>
            <w:r w:rsidR="00D13CEC">
              <w:t xml:space="preserve"> for inhalable dust and </w:t>
            </w:r>
            <w:r>
              <w:t>5</w:t>
            </w:r>
            <w:r w:rsidR="00D13CEC">
              <w:t> mg/m</w:t>
            </w:r>
            <w:r w:rsidR="00D13CEC" w:rsidRPr="003B0782">
              <w:rPr>
                <w:vertAlign w:val="superscript"/>
              </w:rPr>
              <w:t>3</w:t>
            </w:r>
            <w:r w:rsidR="00D13CEC">
              <w:t xml:space="preserve"> for respirable dust are retained.</w:t>
            </w:r>
          </w:p>
          <w:p w14:paraId="79D704E3" w14:textId="77777777" w:rsidR="00D13CEC" w:rsidRDefault="00D13CEC" w:rsidP="00D13CEC">
            <w:pPr>
              <w:pStyle w:val="Tabletextprimarysource"/>
            </w:pPr>
            <w:r>
              <w:t>Summary of data:</w:t>
            </w:r>
          </w:p>
          <w:p w14:paraId="7D1CBC4C" w14:textId="77777777" w:rsidR="00BB480B" w:rsidRDefault="00BB480B" w:rsidP="003365A5">
            <w:pPr>
              <w:pStyle w:val="Tabletextprimarysource"/>
            </w:pPr>
            <w:r>
              <w:t>Human data:</w:t>
            </w:r>
          </w:p>
          <w:p w14:paraId="5270B282" w14:textId="73349E33" w:rsidR="00BB480B" w:rsidRDefault="004E3675" w:rsidP="0025548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Increased incidence of chronic bronchitis has been reported from combined effect of </w:t>
            </w:r>
            <w:r w:rsidR="003B0782" w:rsidRPr="0000449B">
              <w:t>MgCO</w:t>
            </w:r>
            <w:r w:rsidR="003B0782" w:rsidRPr="0000449B">
              <w:rPr>
                <w:vertAlign w:val="subscript"/>
              </w:rPr>
              <w:t>3</w:t>
            </w:r>
            <w:r>
              <w:t xml:space="preserve"> dust in mines and </w:t>
            </w:r>
            <w:r w:rsidR="003B0782">
              <w:t>MgO</w:t>
            </w:r>
            <w:r>
              <w:t xml:space="preserve"> dust in the environment</w:t>
            </w:r>
          </w:p>
          <w:p w14:paraId="487D0BA7" w14:textId="7C99CCF3" w:rsidR="004E3675" w:rsidRDefault="00B14DE2" w:rsidP="0025548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Symptoms of exposure reported in </w:t>
            </w:r>
            <w:r w:rsidR="003B0782" w:rsidRPr="0000449B">
              <w:t>MgCO</w:t>
            </w:r>
            <w:r w:rsidR="003B0782" w:rsidRPr="0000449B">
              <w:rPr>
                <w:vertAlign w:val="subscript"/>
              </w:rPr>
              <w:t>3</w:t>
            </w:r>
            <w:r>
              <w:t xml:space="preserve"> workers include i</w:t>
            </w:r>
            <w:r w:rsidR="004E3675">
              <w:t xml:space="preserve">ncrease in occurrence of duodenal and gastric ulcers, </w:t>
            </w:r>
            <w:r>
              <w:t xml:space="preserve">pulmonary emphysema, nasal and ocular mucus inflammation, fatigue, headache and </w:t>
            </w:r>
            <w:r w:rsidR="004E3675">
              <w:t>impairment of upper airways and hearing</w:t>
            </w:r>
            <w:r w:rsidR="00E82244">
              <w:t>.</w:t>
            </w:r>
          </w:p>
          <w:p w14:paraId="0034EB20" w14:textId="77777777" w:rsidR="004E3675" w:rsidRDefault="00B14DE2" w:rsidP="00B14DE2">
            <w:pPr>
              <w:pStyle w:val="Tabletextprimarysource"/>
            </w:pPr>
            <w:r>
              <w:t>Animal data:</w:t>
            </w:r>
          </w:p>
          <w:p w14:paraId="092CDBDB" w14:textId="33589444" w:rsidR="00B14DE2" w:rsidRDefault="003B0782" w:rsidP="0025548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E70565">
              <w:t>ot irritating in rabbits</w:t>
            </w:r>
          </w:p>
          <w:p w14:paraId="18FB2100" w14:textId="683CD6A2" w:rsidR="00E70565" w:rsidRDefault="00E70565" w:rsidP="0025548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Introduction of 1 mL of 7.5% suspension (75 mg MgCO</w:t>
            </w:r>
            <w:r>
              <w:rPr>
                <w:vertAlign w:val="subscript"/>
              </w:rPr>
              <w:t>3</w:t>
            </w:r>
            <w:r>
              <w:t>) directly to the trachea</w:t>
            </w:r>
            <w:r w:rsidR="00115BE3">
              <w:t xml:space="preserve"> in rats caused intense acute inflammatory reactions</w:t>
            </w:r>
          </w:p>
          <w:p w14:paraId="752DC6F1" w14:textId="6D330CB4" w:rsidR="00115BE3" w:rsidRDefault="00FB0CDA" w:rsidP="0025548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</w:t>
            </w:r>
            <w:r w:rsidR="00115BE3">
              <w:t>nhibited carcinogenicity of nickel sub</w:t>
            </w:r>
            <w:r w:rsidR="003B160B">
              <w:t>-</w:t>
            </w:r>
            <w:r w:rsidR="00115BE3">
              <w:t>sulphide in rats; mechanism of action unknown</w:t>
            </w:r>
          </w:p>
          <w:p w14:paraId="78360738" w14:textId="77777777" w:rsidR="00115BE3" w:rsidRDefault="00115BE3" w:rsidP="0025548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 in gene mutation assay.</w:t>
            </w:r>
          </w:p>
          <w:p w14:paraId="4BBFD4B9" w14:textId="77777777" w:rsidR="00C44DF4" w:rsidRPr="00DA352E" w:rsidRDefault="00C44DF4" w:rsidP="0025548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4260C8C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14:paraId="00C3F594" w14:textId="77777777" w:rsidTr="00CE54B0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16048AA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747561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6BED07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3150B88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0CE2E1D" w14:textId="77777777" w:rsidTr="00CE54B0">
        <w:trPr>
          <w:cantSplit/>
        </w:trPr>
        <w:tc>
          <w:tcPr>
            <w:tcW w:w="1497" w:type="dxa"/>
          </w:tcPr>
          <w:p w14:paraId="78B0DCC5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34125FA3" w14:textId="77777777" w:rsidR="004966BF" w:rsidRPr="00CE617F" w:rsidRDefault="00EB6FC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C3DA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FEBCF26" w14:textId="77777777" w:rsidR="004966BF" w:rsidRPr="004C23F4" w:rsidRDefault="002C3DA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5" w:type="dxa"/>
          </w:tcPr>
          <w:p w14:paraId="5476C3F6" w14:textId="77777777" w:rsidR="004966BF" w:rsidRDefault="0078508A" w:rsidP="002554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&gt;2,000 mg/kg bw (rats, oral)</w:t>
            </w:r>
          </w:p>
          <w:p w14:paraId="6B48A86E" w14:textId="77777777" w:rsidR="0060211D" w:rsidRDefault="0060211D" w:rsidP="002554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Inhalation not considered likely route of exposure as always prepared and used as a suspension</w:t>
            </w:r>
          </w:p>
          <w:p w14:paraId="5D726BA9" w14:textId="77777777" w:rsidR="0078508A" w:rsidRDefault="0078508A" w:rsidP="002554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Dermal toxicity and skin sensitisation unlikely</w:t>
            </w:r>
          </w:p>
          <w:p w14:paraId="09991B39" w14:textId="77777777" w:rsidR="0078508A" w:rsidRDefault="0078508A" w:rsidP="002554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Considered non-irritating and not corrosive to skin</w:t>
            </w:r>
          </w:p>
          <w:p w14:paraId="51B6119A" w14:textId="77777777" w:rsidR="0078508A" w:rsidRPr="004C23F4" w:rsidRDefault="0078508A" w:rsidP="002554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Non-irritating to eyes</w:t>
            </w:r>
            <w:r w:rsidR="0060211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10CC0154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9181925" w14:textId="77777777" w:rsidTr="008A482F">
        <w:trPr>
          <w:trHeight w:val="454"/>
          <w:tblHeader/>
        </w:trPr>
        <w:tc>
          <w:tcPr>
            <w:tcW w:w="6603" w:type="dxa"/>
            <w:vAlign w:val="center"/>
          </w:tcPr>
          <w:p w14:paraId="7D5BB17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1B49DD7" w14:textId="77777777" w:rsidR="002E0D61" w:rsidRDefault="008A482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7014D76" w14:textId="77777777" w:rsidTr="008A482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C898AB1" w14:textId="77777777" w:rsidR="008A36CF" w:rsidRPr="006901A2" w:rsidRDefault="008A482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39A718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8057B6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AC2DB1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55C594A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2DA462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9FC95D2" w14:textId="77777777" w:rsidTr="00812887">
        <w:trPr>
          <w:cantSplit/>
        </w:trPr>
        <w:tc>
          <w:tcPr>
            <w:tcW w:w="3227" w:type="dxa"/>
          </w:tcPr>
          <w:p w14:paraId="205C5B7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22E0182" w14:textId="77777777" w:rsidR="00687890" w:rsidRPr="00DD2F9B" w:rsidRDefault="00C27F6F" w:rsidP="00C27F6F">
            <w:pPr>
              <w:pStyle w:val="Tablefont"/>
              <w:tabs>
                <w:tab w:val="left" w:pos="1102"/>
              </w:tabs>
            </w:pPr>
            <w:r>
              <w:t>NA</w:t>
            </w:r>
          </w:p>
        </w:tc>
      </w:tr>
      <w:tr w:rsidR="007925F0" w:rsidRPr="004C23F4" w14:paraId="27DAE17E" w14:textId="77777777" w:rsidTr="00812887">
        <w:trPr>
          <w:cantSplit/>
        </w:trPr>
        <w:tc>
          <w:tcPr>
            <w:tcW w:w="3227" w:type="dxa"/>
          </w:tcPr>
          <w:p w14:paraId="3A0C589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6AFF872" w14:textId="77777777" w:rsidR="007925F0" w:rsidRPr="00DD2F9B" w:rsidRDefault="00C27F6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37441AD" w14:textId="77777777" w:rsidTr="00812887">
        <w:trPr>
          <w:cantSplit/>
        </w:trPr>
        <w:tc>
          <w:tcPr>
            <w:tcW w:w="3227" w:type="dxa"/>
          </w:tcPr>
          <w:p w14:paraId="13095B7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906C303" w14:textId="77777777" w:rsidR="00AF483F" w:rsidRPr="00DD2F9B" w:rsidRDefault="00DF035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6063FBF" w14:textId="77777777" w:rsidTr="00812887">
        <w:trPr>
          <w:cantSplit/>
        </w:trPr>
        <w:tc>
          <w:tcPr>
            <w:tcW w:w="3227" w:type="dxa"/>
          </w:tcPr>
          <w:p w14:paraId="5E085FC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24FAF57" w14:textId="77777777" w:rsidR="00687890" w:rsidRPr="00DD2F9B" w:rsidRDefault="00DF035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4A26041" w14:textId="77777777" w:rsidTr="00812887">
        <w:trPr>
          <w:cantSplit/>
        </w:trPr>
        <w:tc>
          <w:tcPr>
            <w:tcW w:w="3227" w:type="dxa"/>
          </w:tcPr>
          <w:p w14:paraId="78C8637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A9DD934" w14:textId="77777777" w:rsidR="00E41A26" w:rsidRPr="00DD2F9B" w:rsidRDefault="00B8314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3A2F64" w14:textId="77777777" w:rsidTr="00812887">
        <w:trPr>
          <w:cantSplit/>
        </w:trPr>
        <w:tc>
          <w:tcPr>
            <w:tcW w:w="3227" w:type="dxa"/>
          </w:tcPr>
          <w:p w14:paraId="7453789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1458CDF" w14:textId="77777777" w:rsidR="002E0D61" w:rsidRPr="00DD2F9B" w:rsidRDefault="0000449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7CF732" w14:textId="77777777" w:rsidTr="00812887">
        <w:trPr>
          <w:cantSplit/>
        </w:trPr>
        <w:tc>
          <w:tcPr>
            <w:tcW w:w="3227" w:type="dxa"/>
          </w:tcPr>
          <w:p w14:paraId="6738C3C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7BB88D5" w14:textId="77777777" w:rsidR="002E0D61" w:rsidRPr="00DD2F9B" w:rsidRDefault="00DF035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F2CFB7F" w14:textId="77777777" w:rsidTr="00812887">
        <w:trPr>
          <w:cantSplit/>
        </w:trPr>
        <w:tc>
          <w:tcPr>
            <w:tcW w:w="3227" w:type="dxa"/>
          </w:tcPr>
          <w:p w14:paraId="15240C4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2F72AAD" w14:textId="77777777" w:rsidR="002E0D61" w:rsidRPr="00DD2F9B" w:rsidRDefault="00DF035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576832B" w14:textId="77777777" w:rsidTr="00812887">
        <w:trPr>
          <w:cantSplit/>
        </w:trPr>
        <w:tc>
          <w:tcPr>
            <w:tcW w:w="3227" w:type="dxa"/>
          </w:tcPr>
          <w:p w14:paraId="7BB9305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A818275" w14:textId="77777777" w:rsidR="002E0D61" w:rsidRPr="00DD2F9B" w:rsidRDefault="00DF035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401C530" w14:textId="77777777" w:rsidTr="00812887">
        <w:trPr>
          <w:cantSplit/>
        </w:trPr>
        <w:tc>
          <w:tcPr>
            <w:tcW w:w="3227" w:type="dxa"/>
          </w:tcPr>
          <w:p w14:paraId="4E92D91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29F4AB4" w14:textId="77777777" w:rsidR="00386093" w:rsidRPr="00DD2F9B" w:rsidRDefault="00B8314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1EB98F2" w14:textId="77777777" w:rsidTr="00812887">
        <w:trPr>
          <w:cantSplit/>
        </w:trPr>
        <w:tc>
          <w:tcPr>
            <w:tcW w:w="3227" w:type="dxa"/>
          </w:tcPr>
          <w:p w14:paraId="32F6AE8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C9381E9" w14:textId="77777777" w:rsidR="00386093" w:rsidRPr="00DD2F9B" w:rsidRDefault="00B8314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657327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A37BBB4" w14:textId="77777777" w:rsidR="00474E33" w:rsidRDefault="00474E33" w:rsidP="00474E33">
      <w:pPr>
        <w:pStyle w:val="Heading3"/>
      </w:pPr>
      <w:r>
        <w:t>Skin notation assessment</w:t>
      </w:r>
    </w:p>
    <w:p w14:paraId="6728A2E8" w14:textId="008B772A" w:rsidR="00A55B9B" w:rsidRPr="00A55B9B" w:rsidRDefault="00A55B9B" w:rsidP="00A55B9B">
      <w:pPr>
        <w:rPr>
          <w:lang w:eastAsia="en-AU"/>
        </w:rPr>
      </w:pPr>
      <w:r w:rsidRPr="008A482F">
        <w:t>Insufficient data to assign a skin notation</w:t>
      </w:r>
      <w:r w:rsidR="003B0782">
        <w:t>.</w:t>
      </w:r>
    </w:p>
    <w:p w14:paraId="1CFE992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900F5C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E46B5E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9BD29FF" w14:textId="77777777" w:rsidR="00EB3D1B" w:rsidRDefault="00B8314C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4E19A7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80" w:firstRow="0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3A42AC7" w14:textId="77777777" w:rsidTr="008A482F">
        <w:trPr>
          <w:cantSplit/>
          <w:tblHeader/>
        </w:trPr>
        <w:tc>
          <w:tcPr>
            <w:tcW w:w="4077" w:type="dxa"/>
            <w:vAlign w:val="center"/>
          </w:tcPr>
          <w:p w14:paraId="2DF0033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BB897CB" w14:textId="77777777" w:rsidR="001B79E5" w:rsidRDefault="00B8314C" w:rsidP="001B79E5">
                <w:pPr>
                  <w:pStyle w:val="Tablefont"/>
                </w:pPr>
                <w:r>
                  <w:t>84.31</w:t>
                </w:r>
              </w:p>
            </w:tc>
          </w:sdtContent>
        </w:sdt>
      </w:tr>
      <w:tr w:rsidR="00A31D99" w:rsidRPr="004C23F4" w14:paraId="544A1425" w14:textId="77777777" w:rsidTr="008A482F">
        <w:trPr>
          <w:cantSplit/>
          <w:tblHeader/>
        </w:trPr>
        <w:tc>
          <w:tcPr>
            <w:tcW w:w="4077" w:type="dxa"/>
            <w:vAlign w:val="center"/>
          </w:tcPr>
          <w:p w14:paraId="6C09DAA6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11601A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9470F37" w14:textId="77777777" w:rsidTr="008A482F">
        <w:trPr>
          <w:cantSplit/>
          <w:tblHeader/>
        </w:trPr>
        <w:tc>
          <w:tcPr>
            <w:tcW w:w="4077" w:type="dxa"/>
            <w:vAlign w:val="center"/>
          </w:tcPr>
          <w:p w14:paraId="38F3BD4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9B17E4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0D854AE" w14:textId="77777777" w:rsidTr="008A482F">
        <w:trPr>
          <w:cantSplit/>
        </w:trPr>
        <w:tc>
          <w:tcPr>
            <w:tcW w:w="4077" w:type="dxa"/>
            <w:vAlign w:val="center"/>
          </w:tcPr>
          <w:p w14:paraId="261F702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F1E1A0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108A6BA" w14:textId="77777777" w:rsidTr="008A482F">
        <w:trPr>
          <w:cantSplit/>
        </w:trPr>
        <w:tc>
          <w:tcPr>
            <w:tcW w:w="4077" w:type="dxa"/>
            <w:vAlign w:val="center"/>
          </w:tcPr>
          <w:p w14:paraId="6635798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C83A2C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4D4B277" w14:textId="77777777" w:rsidTr="008A482F">
        <w:trPr>
          <w:cantSplit/>
        </w:trPr>
        <w:tc>
          <w:tcPr>
            <w:tcW w:w="4077" w:type="dxa"/>
            <w:vAlign w:val="center"/>
          </w:tcPr>
          <w:p w14:paraId="53F0FFC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F90E602" w14:textId="77777777" w:rsidR="00E06F40" w:rsidRPr="00A006A0" w:rsidRDefault="00EB6FC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ECF73F7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FAD61B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7A0CAC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E9044D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71863EB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98993B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DF4100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DBDF3C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14BF11F" w14:textId="77777777" w:rsidR="003E6231" w:rsidRDefault="003E6231" w:rsidP="00B8314C">
      <w:r>
        <w:t>European Chemicals Agency (ECHA) (2018) Magnesium carbonate - REACH assessment</w:t>
      </w:r>
    </w:p>
    <w:p w14:paraId="496E0D4D" w14:textId="77777777" w:rsidR="00B8314C" w:rsidRDefault="00B8314C" w:rsidP="00B8314C">
      <w:pPr>
        <w:rPr>
          <w:b/>
        </w:rPr>
      </w:pPr>
      <w:r w:rsidRPr="002022B6">
        <w:t>Health Council of the Netherlands</w:t>
      </w:r>
      <w:r>
        <w:t xml:space="preserve"> (HCOTN) (2003) </w:t>
      </w:r>
      <w:r w:rsidRPr="00B8314C">
        <w:t>Magnesium carbonate</w:t>
      </w:r>
      <w:r w:rsidRPr="005F7416">
        <w:t xml:space="preserve">. </w:t>
      </w:r>
      <w:r w:rsidRPr="00B8314C">
        <w:t>Health-based Reassessment of Administrative Occupational Exposure Limits</w:t>
      </w:r>
      <w:r w:rsidRPr="005F7416">
        <w:t xml:space="preserve">. The Hague: Health Council of the Netherlands; publication no. </w:t>
      </w:r>
      <w:r>
        <w:t>2000/15OSH/084.</w:t>
      </w:r>
    </w:p>
    <w:p w14:paraId="1E01110D" w14:textId="77777777" w:rsidR="00B8314C" w:rsidRPr="00351FE0" w:rsidRDefault="00B8314C" w:rsidP="00084859"/>
    <w:sectPr w:rsidR="00B8314C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2BA91" w14:textId="77777777" w:rsidR="009551BD" w:rsidRDefault="009551BD" w:rsidP="00F43AD5">
      <w:pPr>
        <w:spacing w:after="0" w:line="240" w:lineRule="auto"/>
      </w:pPr>
      <w:r>
        <w:separator/>
      </w:r>
    </w:p>
  </w:endnote>
  <w:endnote w:type="continuationSeparator" w:id="0">
    <w:p w14:paraId="2C929120" w14:textId="77777777" w:rsidR="009551BD" w:rsidRDefault="009551B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DDCA" w14:textId="77777777" w:rsidR="00EB6FC2" w:rsidRDefault="00EB6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5D95F2" w14:textId="77777777" w:rsidR="008A36CF" w:rsidRDefault="00C27F6F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Magnesite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546-93-0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D4E3576" w14:textId="2D0E3D7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B6FC2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44AD" w14:textId="77777777" w:rsidR="00EB6FC2" w:rsidRDefault="00EB6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02975" w14:textId="77777777" w:rsidR="009551BD" w:rsidRDefault="009551BD" w:rsidP="00F43AD5">
      <w:pPr>
        <w:spacing w:after="0" w:line="240" w:lineRule="auto"/>
      </w:pPr>
      <w:r>
        <w:separator/>
      </w:r>
    </w:p>
  </w:footnote>
  <w:footnote w:type="continuationSeparator" w:id="0">
    <w:p w14:paraId="135D919D" w14:textId="77777777" w:rsidR="009551BD" w:rsidRDefault="009551B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67CB" w14:textId="77777777" w:rsidR="00EB6FC2" w:rsidRDefault="00EB6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F8F4" w14:textId="5E3CB0E6" w:rsidR="00EB6FC2" w:rsidRDefault="00EB6FC2" w:rsidP="00EB6FC2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7D3490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4989F4B" wp14:editId="60F2D0AF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402D4" w14:textId="1B3C8E87" w:rsidR="008A36CF" w:rsidRPr="00EB6FC2" w:rsidRDefault="008A36CF" w:rsidP="00EB6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298C" w14:textId="77777777" w:rsidR="00EB6FC2" w:rsidRDefault="00EB6F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AB90" w14:textId="01981FB5" w:rsidR="00EB6FC2" w:rsidRDefault="00EB6FC2" w:rsidP="00EB6FC2">
    <w:pPr>
      <w:pStyle w:val="Header"/>
      <w:jc w:val="right"/>
    </w:pPr>
    <w:sdt>
      <w:sdtPr>
        <w:id w:val="165219139"/>
        <w:docPartObj>
          <w:docPartGallery w:val="Watermarks"/>
          <w:docPartUnique/>
        </w:docPartObj>
      </w:sdtPr>
      <w:sdtContent>
        <w:r>
          <w:pict w14:anchorId="253060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BEFF849" wp14:editId="5A942D3B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C04F7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C648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49B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128B"/>
    <w:rsid w:val="000D291C"/>
    <w:rsid w:val="000D5509"/>
    <w:rsid w:val="000E5A54"/>
    <w:rsid w:val="000E63D3"/>
    <w:rsid w:val="000E67CF"/>
    <w:rsid w:val="00101AEB"/>
    <w:rsid w:val="0010461E"/>
    <w:rsid w:val="00106FAA"/>
    <w:rsid w:val="00113443"/>
    <w:rsid w:val="00115BE3"/>
    <w:rsid w:val="001269A7"/>
    <w:rsid w:val="001306C4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5A2B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548D"/>
    <w:rsid w:val="0025734A"/>
    <w:rsid w:val="00263255"/>
    <w:rsid w:val="00276494"/>
    <w:rsid w:val="00277B0C"/>
    <w:rsid w:val="002B1A2C"/>
    <w:rsid w:val="002C1AD2"/>
    <w:rsid w:val="002C34F2"/>
    <w:rsid w:val="002C3DA3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104"/>
    <w:rsid w:val="003904A4"/>
    <w:rsid w:val="00391841"/>
    <w:rsid w:val="00391B6D"/>
    <w:rsid w:val="00394922"/>
    <w:rsid w:val="003A0E32"/>
    <w:rsid w:val="003A2B94"/>
    <w:rsid w:val="003B0782"/>
    <w:rsid w:val="003B160B"/>
    <w:rsid w:val="003B387D"/>
    <w:rsid w:val="003C0D58"/>
    <w:rsid w:val="003D4FA3"/>
    <w:rsid w:val="003E0807"/>
    <w:rsid w:val="003E51FB"/>
    <w:rsid w:val="003E6231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3675"/>
    <w:rsid w:val="004E5EDD"/>
    <w:rsid w:val="004F448A"/>
    <w:rsid w:val="004F493D"/>
    <w:rsid w:val="004F65E8"/>
    <w:rsid w:val="0050005E"/>
    <w:rsid w:val="00502B88"/>
    <w:rsid w:val="005142C4"/>
    <w:rsid w:val="0051509C"/>
    <w:rsid w:val="00517BE2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0996"/>
    <w:rsid w:val="005E6979"/>
    <w:rsid w:val="005E75CB"/>
    <w:rsid w:val="006013C1"/>
    <w:rsid w:val="0060211D"/>
    <w:rsid w:val="0060669E"/>
    <w:rsid w:val="00610F2E"/>
    <w:rsid w:val="00611399"/>
    <w:rsid w:val="00617BC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2B4B"/>
    <w:rsid w:val="00695B72"/>
    <w:rsid w:val="006B160A"/>
    <w:rsid w:val="006B4E6C"/>
    <w:rsid w:val="006B50B6"/>
    <w:rsid w:val="006D79EA"/>
    <w:rsid w:val="006E5D05"/>
    <w:rsid w:val="006F511A"/>
    <w:rsid w:val="00701053"/>
    <w:rsid w:val="00701507"/>
    <w:rsid w:val="00714021"/>
    <w:rsid w:val="00716A0F"/>
    <w:rsid w:val="00717D45"/>
    <w:rsid w:val="007208F7"/>
    <w:rsid w:val="007218AF"/>
    <w:rsid w:val="007365D1"/>
    <w:rsid w:val="00740A99"/>
    <w:rsid w:val="00740E0E"/>
    <w:rsid w:val="00750212"/>
    <w:rsid w:val="00754779"/>
    <w:rsid w:val="0075716D"/>
    <w:rsid w:val="00765F14"/>
    <w:rsid w:val="00770E31"/>
    <w:rsid w:val="007770F1"/>
    <w:rsid w:val="00783FB1"/>
    <w:rsid w:val="0078508A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30D8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4626"/>
    <w:rsid w:val="008768A8"/>
    <w:rsid w:val="0088798F"/>
    <w:rsid w:val="00887E4B"/>
    <w:rsid w:val="008915C8"/>
    <w:rsid w:val="008A36CF"/>
    <w:rsid w:val="008A3BC4"/>
    <w:rsid w:val="008A482F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090C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51BD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2A41"/>
    <w:rsid w:val="00A27E2D"/>
    <w:rsid w:val="00A31D99"/>
    <w:rsid w:val="00A357BA"/>
    <w:rsid w:val="00A35ADC"/>
    <w:rsid w:val="00A402A3"/>
    <w:rsid w:val="00A53681"/>
    <w:rsid w:val="00A55B9B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4DE2"/>
    <w:rsid w:val="00B1765C"/>
    <w:rsid w:val="00B213C4"/>
    <w:rsid w:val="00B40C60"/>
    <w:rsid w:val="00B479A9"/>
    <w:rsid w:val="00B52EDF"/>
    <w:rsid w:val="00B71188"/>
    <w:rsid w:val="00B76A41"/>
    <w:rsid w:val="00B8314C"/>
    <w:rsid w:val="00B87D4C"/>
    <w:rsid w:val="00B93646"/>
    <w:rsid w:val="00BA0B38"/>
    <w:rsid w:val="00BA1DBB"/>
    <w:rsid w:val="00BA4510"/>
    <w:rsid w:val="00BA529A"/>
    <w:rsid w:val="00BB480B"/>
    <w:rsid w:val="00BB612A"/>
    <w:rsid w:val="00BD499F"/>
    <w:rsid w:val="00BD56DE"/>
    <w:rsid w:val="00BF2406"/>
    <w:rsid w:val="00C034C7"/>
    <w:rsid w:val="00C06E43"/>
    <w:rsid w:val="00C16315"/>
    <w:rsid w:val="00C27F6F"/>
    <w:rsid w:val="00C3091E"/>
    <w:rsid w:val="00C40FF1"/>
    <w:rsid w:val="00C419E2"/>
    <w:rsid w:val="00C44DF4"/>
    <w:rsid w:val="00C5020E"/>
    <w:rsid w:val="00C516F0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0945"/>
    <w:rsid w:val="00CD2BFD"/>
    <w:rsid w:val="00CE54B0"/>
    <w:rsid w:val="00CE5AD6"/>
    <w:rsid w:val="00CE617F"/>
    <w:rsid w:val="00CE78EF"/>
    <w:rsid w:val="00D048F7"/>
    <w:rsid w:val="00D0517E"/>
    <w:rsid w:val="00D13CEC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035A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565"/>
    <w:rsid w:val="00E804EA"/>
    <w:rsid w:val="00E80A71"/>
    <w:rsid w:val="00E82244"/>
    <w:rsid w:val="00E82337"/>
    <w:rsid w:val="00E92499"/>
    <w:rsid w:val="00E949AF"/>
    <w:rsid w:val="00E96077"/>
    <w:rsid w:val="00EA0A06"/>
    <w:rsid w:val="00EA6243"/>
    <w:rsid w:val="00EA74AB"/>
    <w:rsid w:val="00EB3D1B"/>
    <w:rsid w:val="00EB6FC2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0CDA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44FA4BE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B8314C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93090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4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82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82F"/>
    <w:rPr>
      <w:szCs w:val="20"/>
    </w:rPr>
  </w:style>
  <w:style w:type="paragraph" w:styleId="Revision">
    <w:name w:val="Revision"/>
    <w:hidden/>
    <w:uiPriority w:val="99"/>
    <w:semiHidden/>
    <w:rsid w:val="00FB0CDA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CD0945"/>
    <w:pPr>
      <w:tabs>
        <w:tab w:val="left" w:pos="2268"/>
        <w:tab w:val="left" w:pos="4536"/>
        <w:tab w:val="left" w:pos="6804"/>
        <w:tab w:val="right" w:pos="9638"/>
      </w:tabs>
      <w:spacing w:before="120" w:line="288" w:lineRule="auto"/>
    </w:pPr>
    <w:rPr>
      <w:rFonts w:asciiTheme="minorHAnsi" w:eastAsia="Times New Roman" w:hAnsi="Times New Roman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CD0945"/>
    <w:rPr>
      <w:rFonts w:asciiTheme="minorHAnsi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E19843E3B435EB4030A5B1E79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0C9-EF2E-4D85-B654-25DD31FC9A99}"/>
      </w:docPartPr>
      <w:docPartBody>
        <w:p w:rsidR="004118DF" w:rsidRDefault="003A2B56" w:rsidP="003A2B56">
          <w:pPr>
            <w:pStyle w:val="BCFE19843E3B435EB4030A5B1E79102E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A2B56"/>
    <w:rsid w:val="004118DF"/>
    <w:rsid w:val="00A55D0F"/>
    <w:rsid w:val="00C073C7"/>
    <w:rsid w:val="00D21A9F"/>
    <w:rsid w:val="00D6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B5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D621FCDA3804F4C9CAB4B0085CBD38C">
    <w:name w:val="4D621FCDA3804F4C9CAB4B0085CBD38C"/>
    <w:rsid w:val="00A55D0F"/>
    <w:rPr>
      <w:lang w:val="en-US" w:eastAsia="en-US"/>
    </w:rPr>
  </w:style>
  <w:style w:type="paragraph" w:customStyle="1" w:styleId="DF5A9BE623EE4F2DA9355BBE3F4F748B">
    <w:name w:val="DF5A9BE623EE4F2DA9355BBE3F4F748B"/>
    <w:rsid w:val="00A55D0F"/>
    <w:rPr>
      <w:lang w:val="en-US" w:eastAsia="en-US"/>
    </w:rPr>
  </w:style>
  <w:style w:type="paragraph" w:customStyle="1" w:styleId="9CB4233633D54C7E9E1B9EC0029FA8A9">
    <w:name w:val="9CB4233633D54C7E9E1B9EC0029FA8A9"/>
    <w:rsid w:val="00A55D0F"/>
    <w:rPr>
      <w:lang w:val="en-US" w:eastAsia="en-US"/>
    </w:rPr>
  </w:style>
  <w:style w:type="paragraph" w:customStyle="1" w:styleId="3FB4829EB4C9427F932701105B2C7AA6">
    <w:name w:val="3FB4829EB4C9427F932701105B2C7AA6"/>
    <w:rsid w:val="00A55D0F"/>
    <w:rPr>
      <w:lang w:val="en-US" w:eastAsia="en-US"/>
    </w:rPr>
  </w:style>
  <w:style w:type="paragraph" w:customStyle="1" w:styleId="9180D548BC8A4B658D70A63DD4D20B8B">
    <w:name w:val="9180D548BC8A4B658D70A63DD4D20B8B"/>
    <w:rsid w:val="00A55D0F"/>
    <w:rPr>
      <w:lang w:val="en-US" w:eastAsia="en-US"/>
    </w:rPr>
  </w:style>
  <w:style w:type="paragraph" w:customStyle="1" w:styleId="C5FA1C56102844A88E7894AAEECB692A">
    <w:name w:val="C5FA1C56102844A88E7894AAEECB692A"/>
    <w:rsid w:val="00A55D0F"/>
    <w:rPr>
      <w:lang w:val="en-US" w:eastAsia="en-US"/>
    </w:rPr>
  </w:style>
  <w:style w:type="paragraph" w:customStyle="1" w:styleId="7A61FB9B4FB642A29E73A6C22059F46F">
    <w:name w:val="7A61FB9B4FB642A29E73A6C22059F46F"/>
    <w:rsid w:val="00C073C7"/>
  </w:style>
  <w:style w:type="paragraph" w:customStyle="1" w:styleId="6A1E16E612384665BAD1E08B0228B00C">
    <w:name w:val="6A1E16E612384665BAD1E08B0228B00C"/>
    <w:rsid w:val="00C073C7"/>
  </w:style>
  <w:style w:type="paragraph" w:customStyle="1" w:styleId="DB9C96ED908A46A284998611EC81291D">
    <w:name w:val="DB9C96ED908A46A284998611EC81291D"/>
    <w:rsid w:val="00C073C7"/>
  </w:style>
  <w:style w:type="paragraph" w:customStyle="1" w:styleId="6DD4EB3B29A9465380EF8AC43C460CF5">
    <w:name w:val="6DD4EB3B29A9465380EF8AC43C460CF5"/>
    <w:rsid w:val="00C073C7"/>
  </w:style>
  <w:style w:type="paragraph" w:customStyle="1" w:styleId="E024F55D4C2F478FA313F3E198AF5D03">
    <w:name w:val="E024F55D4C2F478FA313F3E198AF5D03"/>
    <w:rsid w:val="00C073C7"/>
  </w:style>
  <w:style w:type="paragraph" w:customStyle="1" w:styleId="605927A151FD4917BB9A8AC599DCE7A1">
    <w:name w:val="605927A151FD4917BB9A8AC599DCE7A1"/>
    <w:rsid w:val="00C073C7"/>
  </w:style>
  <w:style w:type="paragraph" w:customStyle="1" w:styleId="C8006D2D608E4D08B2AD9A7FF16BD01F">
    <w:name w:val="C8006D2D608E4D08B2AD9A7FF16BD01F"/>
    <w:rsid w:val="003A2B56"/>
  </w:style>
  <w:style w:type="paragraph" w:customStyle="1" w:styleId="BCFE19843E3B435EB4030A5B1E79102E">
    <w:name w:val="BCFE19843E3B435EB4030A5B1E79102E"/>
    <w:rsid w:val="003A2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481A-D247-4B74-9563-22163304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AF9D4-5F6A-4760-A471-A5914930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93EA21AA.dotm</Template>
  <TotalTime>84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10</cp:revision>
  <cp:lastPrinted>2018-10-22T22:41:00Z</cp:lastPrinted>
  <dcterms:created xsi:type="dcterms:W3CDTF">2019-11-07T03:38:00Z</dcterms:created>
  <dcterms:modified xsi:type="dcterms:W3CDTF">2020-01-15T03:37:00Z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