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05606ED9" w14:textId="77777777" w:rsidR="00BD499F" w:rsidRPr="004C23F4" w:rsidRDefault="004B71CC" w:rsidP="00B40C60">
          <w:pPr>
            <w:pStyle w:val="Heading1"/>
            <w:jc w:val="center"/>
            <w:rPr>
              <w:rFonts w:ascii="Arial" w:hAnsi="Arial" w:cs="Arial"/>
            </w:rPr>
          </w:pPr>
          <w:r>
            <w:rPr>
              <w:rFonts w:ascii="Arial" w:hAnsi="Arial" w:cs="Arial"/>
            </w:rPr>
            <w:t>Malathion</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39"/>
        <w:gridCol w:w="5087"/>
      </w:tblGrid>
      <w:tr w:rsidR="00F43AD5" w:rsidRPr="004C23F4" w14:paraId="1824F4EB" w14:textId="77777777" w:rsidTr="00647FF6">
        <w:trPr>
          <w:cantSplit/>
          <w:tblHeader/>
        </w:trPr>
        <w:tc>
          <w:tcPr>
            <w:tcW w:w="3939" w:type="dxa"/>
          </w:tcPr>
          <w:p w14:paraId="5F892EFB" w14:textId="77777777" w:rsidR="00F43AD5" w:rsidRPr="00921DE7" w:rsidRDefault="00CB1CB1" w:rsidP="00B76A41">
            <w:pPr>
              <w:pStyle w:val="Tablerowright"/>
            </w:pPr>
            <w:r w:rsidRPr="00921DE7">
              <w:t>CAS number:</w:t>
            </w:r>
          </w:p>
        </w:tc>
        <w:tc>
          <w:tcPr>
            <w:tcW w:w="5087" w:type="dxa"/>
          </w:tcPr>
          <w:p w14:paraId="2CDC3D35" w14:textId="77777777" w:rsidR="00F43AD5" w:rsidRPr="00717D45" w:rsidRDefault="004B71CC" w:rsidP="00B76A41">
            <w:pPr>
              <w:pStyle w:val="Tablefont"/>
            </w:pPr>
            <w:r>
              <w:t>121-75-5</w:t>
            </w:r>
          </w:p>
        </w:tc>
      </w:tr>
      <w:tr w:rsidR="00F43AD5" w:rsidRPr="004C23F4" w14:paraId="21A8324D" w14:textId="77777777" w:rsidTr="00647FF6">
        <w:trPr>
          <w:cantSplit/>
        </w:trPr>
        <w:tc>
          <w:tcPr>
            <w:tcW w:w="3939" w:type="dxa"/>
          </w:tcPr>
          <w:p w14:paraId="5CD4ACF7" w14:textId="77777777" w:rsidR="00F43AD5" w:rsidRPr="00921DE7" w:rsidRDefault="00CB1CB1" w:rsidP="00B76A41">
            <w:pPr>
              <w:pStyle w:val="Tablerowright"/>
            </w:pPr>
            <w:r w:rsidRPr="00921DE7">
              <w:t>Synonyms:</w:t>
            </w:r>
          </w:p>
        </w:tc>
        <w:tc>
          <w:tcPr>
            <w:tcW w:w="5087" w:type="dxa"/>
          </w:tcPr>
          <w:p w14:paraId="65FC7883" w14:textId="77777777" w:rsidR="00F43AD5" w:rsidRPr="00717D45" w:rsidRDefault="004B71CC" w:rsidP="00B76A41">
            <w:pPr>
              <w:pStyle w:val="Tablefont"/>
            </w:pPr>
            <w:r>
              <w:t xml:space="preserve">Carbophos, O,O-dimethyl dithiophosphatediethyl mercaptosuccinate, O,O-dimethyl-S-(1,2-dicarbethoxyethyl)phosphorodithioate, maidison, mercaptothion </w:t>
            </w:r>
          </w:p>
        </w:tc>
      </w:tr>
      <w:tr w:rsidR="00F43AD5" w:rsidRPr="004C23F4" w14:paraId="481EA04A" w14:textId="77777777" w:rsidTr="00647FF6">
        <w:trPr>
          <w:cantSplit/>
        </w:trPr>
        <w:tc>
          <w:tcPr>
            <w:tcW w:w="3939" w:type="dxa"/>
          </w:tcPr>
          <w:p w14:paraId="4C9E7F5A" w14:textId="77777777" w:rsidR="00F43AD5" w:rsidRPr="00921DE7" w:rsidRDefault="00CB1CB1" w:rsidP="00B76A41">
            <w:pPr>
              <w:pStyle w:val="Tablerowright"/>
            </w:pPr>
            <w:r w:rsidRPr="00921DE7">
              <w:t>Chemical formula:</w:t>
            </w:r>
          </w:p>
        </w:tc>
        <w:tc>
          <w:tcPr>
            <w:tcW w:w="5087" w:type="dxa"/>
          </w:tcPr>
          <w:p w14:paraId="77886F31" w14:textId="77777777" w:rsidR="00F43AD5" w:rsidRPr="00717D45" w:rsidRDefault="004B71CC" w:rsidP="00B76A41">
            <w:pPr>
              <w:pStyle w:val="Tablefont"/>
            </w:pPr>
            <w:r>
              <w:t>C</w:t>
            </w:r>
            <w:r w:rsidRPr="004B71CC">
              <w:rPr>
                <w:vertAlign w:val="subscript"/>
              </w:rPr>
              <w:t>10</w:t>
            </w:r>
            <w:r>
              <w:t>H</w:t>
            </w:r>
            <w:r w:rsidRPr="004B71CC">
              <w:rPr>
                <w:vertAlign w:val="subscript"/>
              </w:rPr>
              <w:t>19</w:t>
            </w:r>
            <w:r>
              <w:t>O</w:t>
            </w:r>
            <w:r w:rsidRPr="004B71CC">
              <w:rPr>
                <w:vertAlign w:val="subscript"/>
              </w:rPr>
              <w:t>6</w:t>
            </w:r>
            <w:r>
              <w:t>PS</w:t>
            </w:r>
            <w:r w:rsidRPr="004B71CC">
              <w:rPr>
                <w:vertAlign w:val="subscript"/>
              </w:rPr>
              <w:t>2</w:t>
            </w:r>
          </w:p>
        </w:tc>
      </w:tr>
    </w:tbl>
    <w:p w14:paraId="1CF303C0" w14:textId="7777777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EB56AD">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76F7EB7B" w14:textId="77777777" w:rsidTr="004B71CC">
        <w:trPr>
          <w:cantSplit/>
          <w:tblHeader/>
        </w:trPr>
        <w:tc>
          <w:tcPr>
            <w:tcW w:w="4010" w:type="dxa"/>
            <w:vAlign w:val="center"/>
          </w:tcPr>
          <w:p w14:paraId="31E3A150" w14:textId="77777777" w:rsidR="002C7AFE" w:rsidRPr="002C58FF" w:rsidRDefault="00921DE7" w:rsidP="00921DE7">
            <w:pPr>
              <w:pStyle w:val="Tablerowright"/>
            </w:pPr>
            <w:r>
              <w:t>TWA:</w:t>
            </w:r>
          </w:p>
        </w:tc>
        <w:tc>
          <w:tcPr>
            <w:tcW w:w="5016" w:type="dxa"/>
          </w:tcPr>
          <w:p w14:paraId="04B03543" w14:textId="77777777" w:rsidR="002C7AFE" w:rsidRPr="00EB56AD" w:rsidRDefault="00EB56AD" w:rsidP="00017C82">
            <w:pPr>
              <w:pStyle w:val="Tablefont"/>
              <w:rPr>
                <w:b/>
              </w:rPr>
            </w:pPr>
            <w:r>
              <w:rPr>
                <w:b/>
              </w:rPr>
              <w:t>1 mg/m</w:t>
            </w:r>
            <w:r>
              <w:rPr>
                <w:b/>
                <w:vertAlign w:val="superscript"/>
              </w:rPr>
              <w:t>3</w:t>
            </w:r>
          </w:p>
        </w:tc>
      </w:tr>
      <w:tr w:rsidR="004B71CC" w:rsidRPr="004C23F4" w14:paraId="6772A95E" w14:textId="77777777" w:rsidTr="004B71CC">
        <w:trPr>
          <w:cantSplit/>
        </w:trPr>
        <w:tc>
          <w:tcPr>
            <w:tcW w:w="4010" w:type="dxa"/>
            <w:vAlign w:val="center"/>
          </w:tcPr>
          <w:p w14:paraId="2011CAF7" w14:textId="77777777" w:rsidR="004B71CC" w:rsidRPr="002C58FF" w:rsidRDefault="004B71CC" w:rsidP="004B71CC">
            <w:pPr>
              <w:pStyle w:val="Tablerowright"/>
            </w:pPr>
            <w:r w:rsidRPr="002C58FF">
              <w:t>STEL</w:t>
            </w:r>
            <w:r>
              <w:t>:</w:t>
            </w:r>
          </w:p>
        </w:tc>
        <w:tc>
          <w:tcPr>
            <w:tcW w:w="5016" w:type="dxa"/>
          </w:tcPr>
          <w:p w14:paraId="65A4342E" w14:textId="77777777" w:rsidR="004B71CC" w:rsidRPr="00EB3D1B" w:rsidRDefault="004B71CC" w:rsidP="004B71CC">
            <w:pPr>
              <w:pStyle w:val="Tablefont"/>
              <w:rPr>
                <w:b/>
              </w:rPr>
            </w:pPr>
            <w:r>
              <w:rPr>
                <w:b/>
              </w:rPr>
              <w:t>—</w:t>
            </w:r>
          </w:p>
        </w:tc>
      </w:tr>
      <w:tr w:rsidR="004B71CC" w:rsidRPr="004C23F4" w14:paraId="2CC012CF" w14:textId="77777777" w:rsidTr="004B71CC">
        <w:trPr>
          <w:cantSplit/>
        </w:trPr>
        <w:tc>
          <w:tcPr>
            <w:tcW w:w="4010" w:type="dxa"/>
            <w:vAlign w:val="center"/>
          </w:tcPr>
          <w:p w14:paraId="34D86120" w14:textId="77777777" w:rsidR="004B71CC" w:rsidRPr="002C58FF" w:rsidRDefault="004B71CC" w:rsidP="004B71CC">
            <w:pPr>
              <w:pStyle w:val="Tablerowright"/>
            </w:pPr>
            <w:r>
              <w:t>Peak limitation:</w:t>
            </w:r>
          </w:p>
        </w:tc>
        <w:tc>
          <w:tcPr>
            <w:tcW w:w="5016" w:type="dxa"/>
          </w:tcPr>
          <w:p w14:paraId="6C12EAA1" w14:textId="77777777" w:rsidR="004B71CC" w:rsidRPr="00EB3D1B" w:rsidRDefault="004B71CC" w:rsidP="004B71CC">
            <w:pPr>
              <w:pStyle w:val="Tablefont"/>
              <w:rPr>
                <w:b/>
              </w:rPr>
            </w:pPr>
            <w:r>
              <w:rPr>
                <w:b/>
              </w:rPr>
              <w:t>—</w:t>
            </w:r>
          </w:p>
        </w:tc>
      </w:tr>
      <w:tr w:rsidR="004B71CC" w:rsidRPr="004C23F4" w14:paraId="67FF2FF6" w14:textId="77777777" w:rsidTr="004B71CC">
        <w:trPr>
          <w:cantSplit/>
        </w:trPr>
        <w:tc>
          <w:tcPr>
            <w:tcW w:w="4010" w:type="dxa"/>
          </w:tcPr>
          <w:p w14:paraId="5F9E4D77" w14:textId="77777777" w:rsidR="004B71CC" w:rsidRPr="002C58FF" w:rsidRDefault="004B71CC" w:rsidP="004B71CC">
            <w:pPr>
              <w:pStyle w:val="Tablerowright"/>
            </w:pPr>
            <w:r>
              <w:rPr>
                <w:b w:val="0"/>
                <w:bCs/>
                <w:color w:val="000000" w:themeColor="text1"/>
              </w:rPr>
              <w:tab/>
            </w:r>
            <w:r w:rsidRPr="003241A8">
              <w:t>Notations</w:t>
            </w:r>
            <w:r>
              <w:t>:</w:t>
            </w:r>
          </w:p>
        </w:tc>
        <w:tc>
          <w:tcPr>
            <w:tcW w:w="5016" w:type="dxa"/>
          </w:tcPr>
          <w:p w14:paraId="570EA5E5" w14:textId="77777777" w:rsidR="004B71CC" w:rsidRPr="00EB3D1B" w:rsidRDefault="001D258E" w:rsidP="004B71CC">
            <w:pPr>
              <w:pStyle w:val="Tablefont"/>
              <w:rPr>
                <w:b/>
              </w:rPr>
            </w:pPr>
            <w:r>
              <w:rPr>
                <w:b/>
              </w:rPr>
              <w:t>Sk., DSEN</w:t>
            </w:r>
          </w:p>
        </w:tc>
      </w:tr>
      <w:tr w:rsidR="004B71CC" w:rsidRPr="004C23F4" w14:paraId="13F25DB2" w14:textId="77777777" w:rsidTr="004B71CC">
        <w:trPr>
          <w:cantSplit/>
        </w:trPr>
        <w:tc>
          <w:tcPr>
            <w:tcW w:w="4010" w:type="dxa"/>
            <w:vAlign w:val="center"/>
          </w:tcPr>
          <w:p w14:paraId="43DFCE2D" w14:textId="77777777" w:rsidR="004B71CC" w:rsidRPr="002C58FF" w:rsidRDefault="004B71CC" w:rsidP="004B71CC">
            <w:pPr>
              <w:pStyle w:val="Tablerowright"/>
            </w:pPr>
            <w:r>
              <w:t>IDLH:</w:t>
            </w:r>
          </w:p>
        </w:tc>
        <w:tc>
          <w:tcPr>
            <w:tcW w:w="5016" w:type="dxa"/>
          </w:tcPr>
          <w:p w14:paraId="7BF57E11" w14:textId="77777777" w:rsidR="004B71CC" w:rsidRPr="00EB3D1B" w:rsidRDefault="00017FE7" w:rsidP="004B71CC">
            <w:pPr>
              <w:pStyle w:val="Tablefont"/>
              <w:rPr>
                <w:b/>
              </w:rPr>
            </w:pPr>
            <w:r>
              <w:rPr>
                <w:b/>
              </w:rPr>
              <w:t>250 mg/m</w:t>
            </w:r>
            <w:r w:rsidRPr="00017FE7">
              <w:rPr>
                <w:b/>
                <w:vertAlign w:val="superscript"/>
              </w:rPr>
              <w:t>3</w:t>
            </w:r>
          </w:p>
        </w:tc>
      </w:tr>
      <w:tr w:rsidR="00994F4E" w:rsidRPr="004C23F4" w14:paraId="4CD60D44" w14:textId="77777777" w:rsidTr="00386B59">
        <w:trPr>
          <w:cantSplit/>
        </w:trPr>
        <w:tc>
          <w:tcPr>
            <w:tcW w:w="9026" w:type="dxa"/>
            <w:gridSpan w:val="2"/>
            <w:vAlign w:val="center"/>
          </w:tcPr>
          <w:p w14:paraId="54013188" w14:textId="77777777" w:rsidR="00994F4E" w:rsidRPr="00DB687E" w:rsidRDefault="00994F4E" w:rsidP="004B71CC">
            <w:pPr>
              <w:pStyle w:val="Tablefont"/>
            </w:pPr>
            <w:r w:rsidRPr="00E82B18">
              <w:rPr>
                <w:b/>
              </w:rPr>
              <w:t>Sampling and analysis:</w:t>
            </w:r>
            <w:r w:rsidRPr="00EC521E">
              <w:rPr>
                <w:rStyle w:val="WESstatus"/>
                <w:color w:val="auto"/>
              </w:rPr>
              <w:t xml:space="preserve"> </w:t>
            </w:r>
            <w:sdt>
              <w:sdtPr>
                <w:rPr>
                  <w:rStyle w:val="WESstatus"/>
                  <w:color w:val="auto"/>
                </w:rPr>
                <w:id w:val="-2105258949"/>
                <w:placeholder>
                  <w:docPart w:val="B404D42B5178448680A6A29FA5825F4E"/>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Pr>
                    <w:rStyle w:val="WESstatus"/>
                    <w:color w:val="auto"/>
                  </w:rPr>
                  <w:t xml:space="preserve">The recommended value is quantifiable through available sampling and analysis techniques. </w:t>
                </w:r>
              </w:sdtContent>
            </w:sdt>
          </w:p>
        </w:tc>
      </w:tr>
    </w:tbl>
    <w:p w14:paraId="4AC7C1E5" w14:textId="77777777" w:rsidR="00CB1CB1" w:rsidRPr="003365A5" w:rsidRDefault="00F10C97" w:rsidP="003365A5">
      <w:pPr>
        <w:pStyle w:val="Heading2"/>
      </w:pPr>
      <w:r>
        <w:t>Recommendation and basis for workplace exposure standard</w:t>
      </w:r>
    </w:p>
    <w:p w14:paraId="6C664003" w14:textId="77777777" w:rsidR="006639B4" w:rsidRPr="004C23F4" w:rsidRDefault="00595A81" w:rsidP="000C139A">
      <w:pPr>
        <w:rPr>
          <w:rFonts w:cs="Arial"/>
        </w:rPr>
      </w:pPr>
      <w:r w:rsidRPr="00595A81">
        <w:rPr>
          <w:rFonts w:cs="Arial"/>
        </w:rPr>
        <w:t xml:space="preserve">A TWA of </w:t>
      </w:r>
      <w:r>
        <w:rPr>
          <w:rFonts w:cs="Arial"/>
        </w:rPr>
        <w:t>1</w:t>
      </w:r>
      <w:r w:rsidRPr="00595A81">
        <w:rPr>
          <w:rFonts w:cs="Arial"/>
        </w:rPr>
        <w:t xml:space="preserve"> mg/m</w:t>
      </w:r>
      <w:r w:rsidRPr="00595A81">
        <w:rPr>
          <w:rFonts w:cs="Arial"/>
          <w:vertAlign w:val="superscript"/>
        </w:rPr>
        <w:t>3</w:t>
      </w:r>
      <w:r w:rsidRPr="00595A81">
        <w:rPr>
          <w:rFonts w:cs="Arial"/>
        </w:rPr>
        <w:t xml:space="preserve"> is </w:t>
      </w:r>
      <w:r>
        <w:rPr>
          <w:rFonts w:cs="Arial"/>
        </w:rPr>
        <w:t xml:space="preserve">recommended </w:t>
      </w:r>
      <w:r w:rsidRPr="00595A81">
        <w:rPr>
          <w:rFonts w:cs="Arial"/>
        </w:rPr>
        <w:t xml:space="preserve">to protect for </w:t>
      </w:r>
      <w:r>
        <w:rPr>
          <w:rFonts w:cs="Arial"/>
        </w:rPr>
        <w:t>cholinergic effects</w:t>
      </w:r>
      <w:r w:rsidRPr="00595A81">
        <w:rPr>
          <w:rFonts w:cs="Arial"/>
        </w:rPr>
        <w:t xml:space="preserve"> in exposed workers</w:t>
      </w:r>
      <w:r>
        <w:rPr>
          <w:rFonts w:cs="Arial"/>
        </w:rPr>
        <w:t>.</w:t>
      </w:r>
    </w:p>
    <w:p w14:paraId="29B29A6B" w14:textId="77777777" w:rsidR="00C7155E" w:rsidRPr="004C23F4" w:rsidRDefault="00F10C97" w:rsidP="003365A5">
      <w:pPr>
        <w:pStyle w:val="Heading2"/>
      </w:pPr>
      <w:r>
        <w:t>Discussion and conclusions</w:t>
      </w:r>
    </w:p>
    <w:p w14:paraId="1927A582" w14:textId="1E592D81" w:rsidR="00975FD1" w:rsidRDefault="00DB687E" w:rsidP="006639B4">
      <w:pPr>
        <w:rPr>
          <w:rFonts w:cs="Arial"/>
        </w:rPr>
      </w:pPr>
      <w:r>
        <w:rPr>
          <w:rFonts w:cs="Arial"/>
        </w:rPr>
        <w:t>Malathion is u</w:t>
      </w:r>
      <w:r w:rsidR="00EB56AD">
        <w:rPr>
          <w:rFonts w:cs="Arial"/>
        </w:rPr>
        <w:t xml:space="preserve">sed as a broad-spectrum pesticide. </w:t>
      </w:r>
      <w:r w:rsidR="00975FD1">
        <w:rPr>
          <w:rFonts w:cs="Arial"/>
        </w:rPr>
        <w:t>Use in Australia is heavily restricted.</w:t>
      </w:r>
    </w:p>
    <w:p w14:paraId="43DAC0EE" w14:textId="55BBB440" w:rsidR="00EB56AD" w:rsidRDefault="003B1CE5" w:rsidP="006639B4">
      <w:pPr>
        <w:rPr>
          <w:rFonts w:cs="Arial"/>
        </w:rPr>
      </w:pPr>
      <w:r>
        <w:rPr>
          <w:rFonts w:cs="Arial"/>
        </w:rPr>
        <w:t>Critical effects of exposure include</w:t>
      </w:r>
      <w:r w:rsidR="00EB56AD">
        <w:rPr>
          <w:rFonts w:cs="Arial"/>
        </w:rPr>
        <w:t xml:space="preserve"> red blood cell (RBC) cholinesterase </w:t>
      </w:r>
      <w:r w:rsidR="00975FD1">
        <w:rPr>
          <w:rFonts w:cs="Arial"/>
        </w:rPr>
        <w:t xml:space="preserve">(ChE) </w:t>
      </w:r>
      <w:r w:rsidR="00EB56AD">
        <w:rPr>
          <w:rFonts w:cs="Arial"/>
        </w:rPr>
        <w:t>inhibition and adverse central nervous system</w:t>
      </w:r>
      <w:r w:rsidR="00200B0D">
        <w:rPr>
          <w:rFonts w:cs="Arial"/>
        </w:rPr>
        <w:t xml:space="preserve"> </w:t>
      </w:r>
      <w:r w:rsidR="00975FD1">
        <w:rPr>
          <w:rFonts w:cs="Arial"/>
        </w:rPr>
        <w:t xml:space="preserve">(CNS) </w:t>
      </w:r>
      <w:r w:rsidR="00EB56AD">
        <w:rPr>
          <w:rFonts w:cs="Arial"/>
        </w:rPr>
        <w:t>effects at higher concentrations.</w:t>
      </w:r>
      <w:r w:rsidR="005939EA">
        <w:rPr>
          <w:rFonts w:cs="Arial"/>
        </w:rPr>
        <w:t xml:space="preserve"> These systemic effects </w:t>
      </w:r>
      <w:r w:rsidR="00975FD1">
        <w:rPr>
          <w:rFonts w:cs="Arial"/>
        </w:rPr>
        <w:t xml:space="preserve">are </w:t>
      </w:r>
      <w:r w:rsidR="005939EA">
        <w:rPr>
          <w:rFonts w:cs="Arial"/>
        </w:rPr>
        <w:t xml:space="preserve">also demonstrated </w:t>
      </w:r>
      <w:r w:rsidR="00975FD1">
        <w:rPr>
          <w:rFonts w:cs="Arial"/>
        </w:rPr>
        <w:t xml:space="preserve">in humans </w:t>
      </w:r>
      <w:r w:rsidR="005939EA">
        <w:rPr>
          <w:rFonts w:cs="Arial"/>
        </w:rPr>
        <w:t>following dermal exposure (ACGIH,</w:t>
      </w:r>
      <w:r w:rsidR="00BA7A15">
        <w:rPr>
          <w:rFonts w:cs="Arial"/>
        </w:rPr>
        <w:t> </w:t>
      </w:r>
      <w:r w:rsidR="005939EA">
        <w:rPr>
          <w:rFonts w:cs="Arial"/>
        </w:rPr>
        <w:t>2018).</w:t>
      </w:r>
      <w:r w:rsidR="003270DF">
        <w:rPr>
          <w:rFonts w:cs="Arial"/>
        </w:rPr>
        <w:t xml:space="preserve"> </w:t>
      </w:r>
    </w:p>
    <w:p w14:paraId="3A283DEF" w14:textId="7B55B24F" w:rsidR="00EB56AD" w:rsidRDefault="00EB56AD" w:rsidP="006639B4">
      <w:pPr>
        <w:rPr>
          <w:rFonts w:cs="Arial"/>
        </w:rPr>
      </w:pPr>
      <w:r>
        <w:rPr>
          <w:rFonts w:cs="Arial"/>
        </w:rPr>
        <w:t xml:space="preserve">Human inhalational exposure data </w:t>
      </w:r>
      <w:r w:rsidR="0059751F">
        <w:rPr>
          <w:rFonts w:cs="Arial"/>
        </w:rPr>
        <w:t>are</w:t>
      </w:r>
      <w:r>
        <w:rPr>
          <w:rFonts w:cs="Arial"/>
        </w:rPr>
        <w:t xml:space="preserve"> limited. A NOAEL </w:t>
      </w:r>
      <w:r w:rsidR="00595A81">
        <w:rPr>
          <w:rFonts w:cs="Arial"/>
        </w:rPr>
        <w:t>of 16 mg</w:t>
      </w:r>
      <w:r w:rsidR="00975FD1">
        <w:rPr>
          <w:rFonts w:cs="Arial"/>
        </w:rPr>
        <w:t xml:space="preserve"> per </w:t>
      </w:r>
      <w:r w:rsidR="00595A81">
        <w:rPr>
          <w:rFonts w:cs="Arial"/>
        </w:rPr>
        <w:t xml:space="preserve">day </w:t>
      </w:r>
      <w:r>
        <w:rPr>
          <w:rFonts w:cs="Arial"/>
        </w:rPr>
        <w:t xml:space="preserve">for RBC </w:t>
      </w:r>
      <w:r w:rsidR="00975FD1">
        <w:rPr>
          <w:rFonts w:cs="Arial"/>
        </w:rPr>
        <w:t xml:space="preserve">ChE </w:t>
      </w:r>
      <w:r>
        <w:rPr>
          <w:rFonts w:cs="Arial"/>
        </w:rPr>
        <w:t xml:space="preserve">inhibition </w:t>
      </w:r>
      <w:r w:rsidR="00595A81">
        <w:rPr>
          <w:rFonts w:cs="Arial"/>
        </w:rPr>
        <w:t>is reported in volunteers given oral doses in a sub</w:t>
      </w:r>
      <w:r w:rsidR="00307EA0">
        <w:rPr>
          <w:rFonts w:cs="Arial"/>
        </w:rPr>
        <w:t>-</w:t>
      </w:r>
      <w:r w:rsidR="00595A81">
        <w:rPr>
          <w:rFonts w:cs="Arial"/>
        </w:rPr>
        <w:t>chronic study</w:t>
      </w:r>
      <w:r w:rsidR="00975FD1">
        <w:rPr>
          <w:rFonts w:cs="Arial"/>
        </w:rPr>
        <w:t>. This dose</w:t>
      </w:r>
      <w:r w:rsidR="00595A81">
        <w:rPr>
          <w:rFonts w:cs="Arial"/>
        </w:rPr>
        <w:t xml:space="preserve"> </w:t>
      </w:r>
      <w:r w:rsidR="001829CA">
        <w:rPr>
          <w:rFonts w:cs="Arial"/>
        </w:rPr>
        <w:t>extrapolate</w:t>
      </w:r>
      <w:r w:rsidR="00975FD1">
        <w:rPr>
          <w:rFonts w:cs="Arial"/>
        </w:rPr>
        <w:t>s</w:t>
      </w:r>
      <w:r w:rsidR="001829CA">
        <w:rPr>
          <w:rFonts w:cs="Arial"/>
        </w:rPr>
        <w:t xml:space="preserve"> </w:t>
      </w:r>
      <w:r w:rsidR="00595A81">
        <w:rPr>
          <w:rFonts w:cs="Arial"/>
        </w:rPr>
        <w:t>to a</w:t>
      </w:r>
      <w:r w:rsidR="00306884">
        <w:rPr>
          <w:rFonts w:cs="Arial"/>
        </w:rPr>
        <w:t>n</w:t>
      </w:r>
      <w:r w:rsidR="00595A81">
        <w:rPr>
          <w:rFonts w:cs="Arial"/>
        </w:rPr>
        <w:t xml:space="preserve"> </w:t>
      </w:r>
      <w:r w:rsidR="00975FD1">
        <w:rPr>
          <w:rFonts w:cs="Arial"/>
        </w:rPr>
        <w:t xml:space="preserve">equivalent </w:t>
      </w:r>
      <w:r w:rsidR="001829CA">
        <w:rPr>
          <w:rFonts w:cs="Arial"/>
        </w:rPr>
        <w:t>NOAEC</w:t>
      </w:r>
      <w:r w:rsidR="00595A81">
        <w:rPr>
          <w:rFonts w:cs="Arial"/>
        </w:rPr>
        <w:t xml:space="preserve"> of 1.6 mg/m</w:t>
      </w:r>
      <w:r w:rsidR="00595A81">
        <w:rPr>
          <w:rFonts w:cs="Arial"/>
          <w:vertAlign w:val="superscript"/>
        </w:rPr>
        <w:t>3</w:t>
      </w:r>
      <w:r w:rsidR="00595A81">
        <w:rPr>
          <w:rFonts w:cs="Arial"/>
        </w:rPr>
        <w:t xml:space="preserve"> (ACGIH, 2018). </w:t>
      </w:r>
      <w:r w:rsidR="001829CA">
        <w:rPr>
          <w:rFonts w:cs="Arial"/>
        </w:rPr>
        <w:t>ACGIH (20</w:t>
      </w:r>
      <w:r w:rsidR="00716379">
        <w:rPr>
          <w:rFonts w:cs="Arial"/>
        </w:rPr>
        <w:t>18</w:t>
      </w:r>
      <w:r w:rsidR="001829CA">
        <w:rPr>
          <w:rFonts w:cs="Arial"/>
        </w:rPr>
        <w:t>) used this NOAEC to derive a TLV-TWA of 1 mg/m</w:t>
      </w:r>
      <w:r w:rsidR="001829CA">
        <w:rPr>
          <w:rFonts w:cs="Arial"/>
          <w:vertAlign w:val="superscript"/>
        </w:rPr>
        <w:t>3</w:t>
      </w:r>
      <w:r w:rsidR="001829CA">
        <w:rPr>
          <w:rFonts w:cs="Arial"/>
        </w:rPr>
        <w:t xml:space="preserve"> which is recommended to be adopted</w:t>
      </w:r>
      <w:r w:rsidR="00F3498D">
        <w:rPr>
          <w:rFonts w:cs="Arial"/>
        </w:rPr>
        <w:t xml:space="preserve">. The recommended TWA is </w:t>
      </w:r>
      <w:r w:rsidR="00595A81">
        <w:rPr>
          <w:rFonts w:cs="Arial"/>
        </w:rPr>
        <w:t>expected to be protective of cholinergic effects as observed in orally dosed humans.</w:t>
      </w:r>
    </w:p>
    <w:p w14:paraId="3D7317DF" w14:textId="77777777" w:rsidR="004529F0" w:rsidRPr="004C23F4" w:rsidRDefault="004529F0" w:rsidP="004529F0">
      <w:pPr>
        <w:pStyle w:val="Heading2"/>
      </w:pPr>
      <w:r>
        <w:t>Recommendation for notations</w:t>
      </w:r>
    </w:p>
    <w:p w14:paraId="03678A33" w14:textId="42A6B655" w:rsidR="004B71CC" w:rsidRPr="00EB56AD" w:rsidRDefault="004B71CC" w:rsidP="004B71CC">
      <w:pPr>
        <w:rPr>
          <w:rFonts w:cs="Arial"/>
        </w:rPr>
      </w:pPr>
      <w:r w:rsidRPr="00EB56AD">
        <w:rPr>
          <w:rFonts w:cs="Arial"/>
        </w:rPr>
        <w:t>Not classified as a carcinogen according to the Globally Harmonized System of Classification and Labelling o</w:t>
      </w:r>
      <w:r w:rsidR="002832A0">
        <w:rPr>
          <w:rFonts w:cs="Arial"/>
        </w:rPr>
        <w:t>f</w:t>
      </w:r>
      <w:r w:rsidRPr="00EB56AD">
        <w:rPr>
          <w:rFonts w:cs="Arial"/>
        </w:rPr>
        <w:t xml:space="preserve"> Chemicals (GHS). </w:t>
      </w:r>
      <w:r w:rsidR="00307EA0">
        <w:rPr>
          <w:rFonts w:cs="Arial"/>
        </w:rPr>
        <w:t xml:space="preserve">Equivocal evaluations of carcinogenic potential in animals have led to inconsistencies in the recommended carcinogenicity notations by the ACGIH (2018) and IARC (2017). Strong evidence for genotoxicity is also reported by the IARC (2017). However, evidence for carcinogenicity in humans is inconclusive and </w:t>
      </w:r>
      <w:r w:rsidR="00975FD1">
        <w:rPr>
          <w:rFonts w:cs="Arial"/>
        </w:rPr>
        <w:t>it is recommended that the classification be reviewed.</w:t>
      </w:r>
    </w:p>
    <w:p w14:paraId="362D853E" w14:textId="68AB6C3F" w:rsidR="00DB687E" w:rsidRDefault="00DB687E" w:rsidP="00EB56AD">
      <w:pPr>
        <w:rPr>
          <w:rFonts w:cs="Arial"/>
        </w:rPr>
      </w:pPr>
      <w:r w:rsidRPr="00DB687E">
        <w:rPr>
          <w:rFonts w:cs="Arial"/>
        </w:rPr>
        <w:t xml:space="preserve">Classified as a skin sensitiser </w:t>
      </w:r>
      <w:r w:rsidR="00975FD1">
        <w:rPr>
          <w:rFonts w:cs="Arial"/>
        </w:rPr>
        <w:t>and</w:t>
      </w:r>
      <w:r w:rsidRPr="00DB687E">
        <w:rPr>
          <w:rFonts w:cs="Arial"/>
        </w:rPr>
        <w:t xml:space="preserve"> not a respiratory sensitiser according to the GHS. </w:t>
      </w:r>
    </w:p>
    <w:p w14:paraId="0B5D76A4" w14:textId="2E386A4E" w:rsidR="00EB56AD" w:rsidRPr="00EB56AD" w:rsidRDefault="00EB56AD" w:rsidP="00EB56AD">
      <w:pPr>
        <w:rPr>
          <w:rFonts w:cs="Arial"/>
        </w:rPr>
      </w:pPr>
      <w:r w:rsidRPr="00EB56AD">
        <w:rPr>
          <w:rFonts w:cs="Arial"/>
        </w:rPr>
        <w:t xml:space="preserve">A skin notation is recommended based on evidence </w:t>
      </w:r>
      <w:r w:rsidR="00975FD1">
        <w:rPr>
          <w:rFonts w:cs="Arial"/>
        </w:rPr>
        <w:t>of</w:t>
      </w:r>
      <w:r w:rsidRPr="00EB56AD">
        <w:rPr>
          <w:rFonts w:cs="Arial"/>
        </w:rPr>
        <w:t xml:space="preserve"> dermal absorption and adverse systemic effects in humans.</w:t>
      </w:r>
    </w:p>
    <w:p w14:paraId="1B9D2043"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5EB6408"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626981DD"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36153962" w14:textId="77777777" w:rsidTr="00DE26E8">
        <w:trPr>
          <w:gridAfter w:val="1"/>
          <w:wAfter w:w="8" w:type="pct"/>
          <w:cantSplit/>
          <w:trHeight w:val="393"/>
          <w:tblHeader/>
        </w:trPr>
        <w:tc>
          <w:tcPr>
            <w:tcW w:w="4992" w:type="pct"/>
            <w:shd w:val="clear" w:color="auto" w:fill="BFBFBF" w:themeFill="background1" w:themeFillShade="BF"/>
            <w:vAlign w:val="center"/>
          </w:tcPr>
          <w:p w14:paraId="04A7D7FA"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32A94CEE" w14:textId="77777777" w:rsidTr="00DE26E8">
        <w:trPr>
          <w:cantSplit/>
        </w:trPr>
        <w:tc>
          <w:tcPr>
            <w:tcW w:w="5000" w:type="pct"/>
            <w:gridSpan w:val="2"/>
            <w:shd w:val="clear" w:color="auto" w:fill="F2F2F2" w:themeFill="background1" w:themeFillShade="F2"/>
          </w:tcPr>
          <w:p w14:paraId="67473AD8"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4B71CC">
                  <w:t>1991</w:t>
                </w:r>
              </w:sdtContent>
            </w:sdt>
            <w:r w:rsidRPr="003365A5">
              <w:tab/>
            </w:r>
            <w:r>
              <w:tab/>
            </w:r>
            <w:sdt>
              <w:sdtPr>
                <w:alias w:val="SWA WES"/>
                <w:tag w:val="SWA WES"/>
                <w:id w:val="857077202"/>
                <w:placeholder>
                  <w:docPart w:val="81CFEC2FDBC5451289F394E66D92D1A0"/>
                </w:placeholder>
              </w:sdtPr>
              <w:sdtEndPr/>
              <w:sdtContent>
                <w:r w:rsidR="004B71CC">
                  <w:t>TWA: 10 mg/m</w:t>
                </w:r>
                <w:r w:rsidR="004B71CC" w:rsidRPr="004B71CC">
                  <w:rPr>
                    <w:vertAlign w:val="superscript"/>
                  </w:rPr>
                  <w:t>3</w:t>
                </w:r>
              </w:sdtContent>
            </w:sdt>
          </w:p>
        </w:tc>
      </w:tr>
      <w:tr w:rsidR="00C978F0" w:rsidRPr="00DA352E" w14:paraId="282DB213" w14:textId="77777777" w:rsidTr="00DE26E8">
        <w:trPr>
          <w:gridAfter w:val="1"/>
          <w:wAfter w:w="8" w:type="pct"/>
          <w:cantSplit/>
        </w:trPr>
        <w:tc>
          <w:tcPr>
            <w:tcW w:w="4992" w:type="pct"/>
          </w:tcPr>
          <w:p w14:paraId="23F925D9" w14:textId="77777777" w:rsidR="00C978F0" w:rsidRPr="00DA352E" w:rsidRDefault="00C978F0" w:rsidP="003365A5">
            <w:pPr>
              <w:pStyle w:val="Tabletextprimarysource"/>
            </w:pPr>
          </w:p>
        </w:tc>
      </w:tr>
      <w:tr w:rsidR="00C978F0" w:rsidRPr="00DA352E" w14:paraId="5ACD341C" w14:textId="77777777" w:rsidTr="00DE26E8">
        <w:trPr>
          <w:gridAfter w:val="1"/>
          <w:wAfter w:w="8" w:type="pct"/>
          <w:cantSplit/>
        </w:trPr>
        <w:tc>
          <w:tcPr>
            <w:tcW w:w="4992" w:type="pct"/>
            <w:shd w:val="clear" w:color="auto" w:fill="F2F2F2" w:themeFill="background1" w:themeFillShade="F2"/>
          </w:tcPr>
          <w:p w14:paraId="7C155E3D"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4B71CC">
                  <w:t>2003</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4B71CC">
                  <w:t>TLV-TWA: 1 mg/m</w:t>
                </w:r>
                <w:r w:rsidR="004B71CC" w:rsidRPr="004B71CC">
                  <w:rPr>
                    <w:vertAlign w:val="superscript"/>
                  </w:rPr>
                  <w:t>3</w:t>
                </w:r>
                <w:r w:rsidR="004B71CC">
                  <w:t xml:space="preserve"> (inhalable aerosol and vapor)</w:t>
                </w:r>
              </w:sdtContent>
            </w:sdt>
          </w:p>
        </w:tc>
      </w:tr>
      <w:tr w:rsidR="00C978F0" w:rsidRPr="00DA352E" w14:paraId="2D7722A7" w14:textId="77777777" w:rsidTr="00200B0D">
        <w:trPr>
          <w:gridAfter w:val="1"/>
          <w:wAfter w:w="8" w:type="pct"/>
        </w:trPr>
        <w:tc>
          <w:tcPr>
            <w:tcW w:w="0" w:type="pct"/>
          </w:tcPr>
          <w:p w14:paraId="0D54EA05" w14:textId="67CEB3D4" w:rsidR="00C978F0" w:rsidRDefault="004B754B" w:rsidP="00307EA0">
            <w:r>
              <w:t xml:space="preserve">TLV-TWA intended to protect for cholinergic effects. </w:t>
            </w:r>
          </w:p>
          <w:p w14:paraId="0DA27F1C" w14:textId="77777777" w:rsidR="004B754B" w:rsidRDefault="004B754B" w:rsidP="00307EA0">
            <w:r>
              <w:t>Summary of data:</w:t>
            </w:r>
          </w:p>
          <w:p w14:paraId="39BEAF18" w14:textId="77777777" w:rsidR="00975FD1" w:rsidRPr="00647FF6" w:rsidRDefault="004B754B" w:rsidP="00307EA0">
            <w:r>
              <w:t xml:space="preserve">TLV-TWA recommended for high purity forms of the substance; impurities or exposures to other pesticides may increase the toxicity of malathion due to inhibition of the detoxification pathway for the active metabolite, </w:t>
            </w:r>
            <w:r w:rsidRPr="00647FF6">
              <w:t xml:space="preserve">malaoxon. </w:t>
            </w:r>
          </w:p>
          <w:p w14:paraId="2DF31EFA" w14:textId="15BED5ED" w:rsidR="004B754B" w:rsidRPr="00647FF6" w:rsidRDefault="004B754B" w:rsidP="00307EA0">
            <w:r w:rsidRPr="00647FF6">
              <w:t xml:space="preserve">TLV-TWA derived from a NOAEL of 16 mg/d for RBC </w:t>
            </w:r>
            <w:r w:rsidR="00975FD1" w:rsidRPr="00647FF6">
              <w:t xml:space="preserve">ChE </w:t>
            </w:r>
            <w:r w:rsidRPr="00647FF6">
              <w:t>inhibition in volunteers, equates to an air concentration of 1.6 mg/m</w:t>
            </w:r>
            <w:r w:rsidRPr="00647FF6">
              <w:rPr>
                <w:vertAlign w:val="superscript"/>
              </w:rPr>
              <w:t>3</w:t>
            </w:r>
            <w:r w:rsidR="0059751F" w:rsidRPr="00647FF6">
              <w:t xml:space="preserve"> assuming a respiratory volume of 10 m</w:t>
            </w:r>
            <w:r w:rsidR="0059751F" w:rsidRPr="00647FF6">
              <w:rPr>
                <w:vertAlign w:val="superscript"/>
              </w:rPr>
              <w:t>3</w:t>
            </w:r>
            <w:r w:rsidR="0059751F" w:rsidRPr="00647FF6">
              <w:t xml:space="preserve"> during an 8</w:t>
            </w:r>
            <w:r w:rsidR="002832A0" w:rsidRPr="00647FF6">
              <w:t xml:space="preserve"> </w:t>
            </w:r>
            <w:r w:rsidR="0059751F" w:rsidRPr="00647FF6">
              <w:t>h shift</w:t>
            </w:r>
            <w:r w:rsidRPr="00647FF6">
              <w:t>.</w:t>
            </w:r>
          </w:p>
          <w:p w14:paraId="62F83370" w14:textId="77777777" w:rsidR="004B754B" w:rsidRPr="00647FF6" w:rsidRDefault="004B754B" w:rsidP="003365A5">
            <w:pPr>
              <w:pStyle w:val="Tabletextprimarysource"/>
            </w:pPr>
            <w:r w:rsidRPr="00647FF6">
              <w:t>Human data:</w:t>
            </w:r>
          </w:p>
          <w:p w14:paraId="66DA28A0" w14:textId="77777777" w:rsidR="003D2723" w:rsidRPr="00647FF6" w:rsidRDefault="003D2723" w:rsidP="00307EA0">
            <w:pPr>
              <w:pStyle w:val="Tabletextprimarysource"/>
              <w:numPr>
                <w:ilvl w:val="0"/>
                <w:numId w:val="2"/>
              </w:numPr>
              <w:ind w:left="714" w:hanging="357"/>
            </w:pPr>
            <w:r w:rsidRPr="00647FF6">
              <w:t>Overexposures by ingestion or dermal application cause unconsciousness and convulsions</w:t>
            </w:r>
          </w:p>
          <w:p w14:paraId="6649B318" w14:textId="759983E7" w:rsidR="00975FD1" w:rsidRPr="00647FF6" w:rsidRDefault="0008197A" w:rsidP="00307EA0">
            <w:pPr>
              <w:pStyle w:val="Tabletextprimarysource"/>
              <w:numPr>
                <w:ilvl w:val="0"/>
                <w:numId w:val="2"/>
              </w:numPr>
              <w:ind w:left="714" w:hanging="357"/>
            </w:pPr>
            <w:r w:rsidRPr="00647FF6">
              <w:t xml:space="preserve">90% of </w:t>
            </w:r>
            <w:r w:rsidR="00975FD1" w:rsidRPr="00647FF6">
              <w:t>IV</w:t>
            </w:r>
            <w:r w:rsidRPr="00647FF6">
              <w:t xml:space="preserve"> dose excreted </w:t>
            </w:r>
            <w:r w:rsidR="00E15511" w:rsidRPr="00647FF6">
              <w:t xml:space="preserve">in urine </w:t>
            </w:r>
            <w:r w:rsidRPr="00647FF6">
              <w:t>within 5 d</w:t>
            </w:r>
          </w:p>
          <w:p w14:paraId="1B699F51" w14:textId="1D6622EA" w:rsidR="00975FD1" w:rsidRPr="00647FF6" w:rsidRDefault="0008197A" w:rsidP="00647FF6">
            <w:pPr>
              <w:pStyle w:val="Tabletextprimarysource"/>
              <w:numPr>
                <w:ilvl w:val="1"/>
                <w:numId w:val="2"/>
              </w:numPr>
              <w:ind w:left="1451" w:hanging="357"/>
            </w:pPr>
            <w:r w:rsidRPr="00647FF6">
              <w:rPr>
                <w:rFonts w:cs="Arial"/>
              </w:rPr>
              <w:t>elimination</w:t>
            </w:r>
            <w:r w:rsidRPr="00647FF6">
              <w:t xml:space="preserve"> half-life: 3 h</w:t>
            </w:r>
          </w:p>
          <w:p w14:paraId="5A557344" w14:textId="7256375B" w:rsidR="0008197A" w:rsidRPr="00647FF6" w:rsidRDefault="0008197A" w:rsidP="00647FF6">
            <w:pPr>
              <w:pStyle w:val="Tabletextprimarysource"/>
              <w:numPr>
                <w:ilvl w:val="1"/>
                <w:numId w:val="2"/>
              </w:numPr>
              <w:ind w:left="1451" w:hanging="357"/>
            </w:pPr>
            <w:r w:rsidRPr="00647FF6">
              <w:t>8% of a dermal dose (4 µg/cm</w:t>
            </w:r>
            <w:r w:rsidRPr="00647FF6">
              <w:rPr>
                <w:vertAlign w:val="superscript"/>
              </w:rPr>
              <w:t>2</w:t>
            </w:r>
            <w:r w:rsidRPr="00647FF6">
              <w:t xml:space="preserve">) absorbed in 120 h in volunteer; </w:t>
            </w:r>
            <w:r w:rsidRPr="00647FF6">
              <w:rPr>
                <w:i/>
              </w:rPr>
              <w:t xml:space="preserve">in vitro </w:t>
            </w:r>
            <w:r w:rsidRPr="00647FF6">
              <w:t>0.6–4% or 8% absorbed from cotton or ethanol solution, respectively</w:t>
            </w:r>
          </w:p>
          <w:p w14:paraId="1BCAB051" w14:textId="77777777" w:rsidR="00975FD1" w:rsidRPr="00647FF6" w:rsidRDefault="003D2723" w:rsidP="00307EA0">
            <w:pPr>
              <w:pStyle w:val="Tabletextprimarysource"/>
              <w:numPr>
                <w:ilvl w:val="0"/>
                <w:numId w:val="2"/>
              </w:numPr>
              <w:ind w:left="714" w:hanging="357"/>
            </w:pPr>
            <w:r w:rsidRPr="00647FF6">
              <w:t xml:space="preserve">Case study of poisonings of insecticide sprayers </w:t>
            </w:r>
            <w:r w:rsidR="003A3662" w:rsidRPr="00647FF6">
              <w:t xml:space="preserve">(n=2,810) </w:t>
            </w:r>
            <w:r w:rsidRPr="00647FF6">
              <w:t>estimated dermal exposures between 1–200 µg/cm</w:t>
            </w:r>
            <w:r w:rsidRPr="00647FF6">
              <w:rPr>
                <w:vertAlign w:val="superscript"/>
              </w:rPr>
              <w:t>2</w:t>
            </w:r>
            <w:r w:rsidRPr="00647FF6">
              <w:t>; exposure was likely to impure malathion</w:t>
            </w:r>
          </w:p>
          <w:p w14:paraId="1B33DC2F" w14:textId="7096A1C8" w:rsidR="003D2723" w:rsidRPr="00647FF6" w:rsidRDefault="00AA756C" w:rsidP="00647FF6">
            <w:pPr>
              <w:pStyle w:val="Tabletextprimarysource"/>
              <w:numPr>
                <w:ilvl w:val="1"/>
                <w:numId w:val="2"/>
              </w:numPr>
              <w:ind w:left="1451" w:hanging="357"/>
            </w:pPr>
            <w:r w:rsidRPr="00647FF6">
              <w:t>peak</w:t>
            </w:r>
            <w:r w:rsidR="003A3662" w:rsidRPr="00647FF6">
              <w:t xml:space="preserve"> inhalational</w:t>
            </w:r>
            <w:r w:rsidRPr="00647FF6">
              <w:t xml:space="preserve"> concentrations were measured at </w:t>
            </w:r>
            <w:r w:rsidRPr="00647FF6">
              <w:rPr>
                <w:rFonts w:cs="Arial"/>
              </w:rPr>
              <w:t>≈1.5 mg/m</w:t>
            </w:r>
            <w:r w:rsidRPr="00647FF6">
              <w:rPr>
                <w:rFonts w:cs="Arial"/>
                <w:vertAlign w:val="superscript"/>
              </w:rPr>
              <w:t>3</w:t>
            </w:r>
            <w:r w:rsidRPr="00647FF6">
              <w:rPr>
                <w:rFonts w:cs="Arial"/>
              </w:rPr>
              <w:t xml:space="preserve"> but considered less causal of intoxication</w:t>
            </w:r>
            <w:r w:rsidR="009103B2" w:rsidRPr="00647FF6">
              <w:rPr>
                <w:rFonts w:cs="Arial"/>
              </w:rPr>
              <w:t>:</w:t>
            </w:r>
          </w:p>
          <w:p w14:paraId="2F92C0CE" w14:textId="5DC95C15" w:rsidR="00AA756C" w:rsidRPr="00647FF6" w:rsidRDefault="00411241" w:rsidP="00307EA0">
            <w:pPr>
              <w:pStyle w:val="Tabletextprimarysource"/>
              <w:numPr>
                <w:ilvl w:val="1"/>
                <w:numId w:val="2"/>
              </w:numPr>
              <w:ind w:left="1451" w:hanging="357"/>
            </w:pPr>
            <w:r w:rsidRPr="00647FF6">
              <w:rPr>
                <w:rFonts w:cs="Arial"/>
              </w:rPr>
              <w:t>p</w:t>
            </w:r>
            <w:r w:rsidR="00AA756C" w:rsidRPr="00647FF6">
              <w:rPr>
                <w:rFonts w:cs="Arial"/>
              </w:rPr>
              <w:t xml:space="preserve">ure malathion formulations caused 0.8–3% RBC </w:t>
            </w:r>
            <w:r w:rsidR="00975FD1" w:rsidRPr="00647FF6">
              <w:rPr>
                <w:rFonts w:cs="Arial"/>
              </w:rPr>
              <w:t xml:space="preserve">ChE </w:t>
            </w:r>
            <w:r w:rsidR="00AA756C" w:rsidRPr="00647FF6">
              <w:rPr>
                <w:rFonts w:cs="Arial"/>
              </w:rPr>
              <w:t>inhibition, contaminated formulations caused 2–3% inhibition</w:t>
            </w:r>
          </w:p>
          <w:p w14:paraId="0F4DB80B" w14:textId="77777777" w:rsidR="00975FD1" w:rsidRPr="00647FF6" w:rsidRDefault="00293B7E" w:rsidP="00307EA0">
            <w:pPr>
              <w:pStyle w:val="Tabletextprimarysource"/>
              <w:numPr>
                <w:ilvl w:val="0"/>
                <w:numId w:val="2"/>
              </w:numPr>
              <w:ind w:left="714" w:hanging="357"/>
            </w:pPr>
            <w:r w:rsidRPr="00647FF6">
              <w:t>No cholinergic e</w:t>
            </w:r>
            <w:r w:rsidR="00C426F4" w:rsidRPr="00647FF6">
              <w:t>ffects observed during aerial spraying events</w:t>
            </w:r>
          </w:p>
          <w:p w14:paraId="2BFB6E7C" w14:textId="10DE7729" w:rsidR="00C17203" w:rsidRPr="00647FF6" w:rsidRDefault="00C426F4" w:rsidP="00647FF6">
            <w:pPr>
              <w:pStyle w:val="Tabletextprimarysource"/>
              <w:numPr>
                <w:ilvl w:val="1"/>
                <w:numId w:val="2"/>
              </w:numPr>
              <w:ind w:left="1451" w:hanging="357"/>
            </w:pPr>
            <w:r w:rsidRPr="00647FF6">
              <w:t xml:space="preserve">maximum chronic </w:t>
            </w:r>
            <w:r w:rsidRPr="00647FF6">
              <w:rPr>
                <w:rFonts w:cs="Arial"/>
              </w:rPr>
              <w:t>dose</w:t>
            </w:r>
            <w:r w:rsidRPr="00647FF6">
              <w:t xml:space="preserve"> rates estimated at 246 µg/kg/d (dermal), 0.1 µg/kg/d (inhalational), 80 µg/kg/d (ingestion)</w:t>
            </w:r>
          </w:p>
          <w:p w14:paraId="67CA681B" w14:textId="77777777" w:rsidR="00C17203" w:rsidRPr="00647FF6" w:rsidRDefault="00C426F4" w:rsidP="00307EA0">
            <w:pPr>
              <w:pStyle w:val="Tabletextprimarysource"/>
              <w:numPr>
                <w:ilvl w:val="0"/>
                <w:numId w:val="2"/>
              </w:numPr>
              <w:ind w:left="714" w:hanging="357"/>
            </w:pPr>
            <w:r w:rsidRPr="00647FF6">
              <w:t xml:space="preserve">No cholinergic effects reported in workers exposed to </w:t>
            </w:r>
            <w:r w:rsidR="00DF5591" w:rsidRPr="00647FF6">
              <w:t xml:space="preserve">total 4.9–11.3 mg/d for 2 wk </w:t>
            </w:r>
            <w:r w:rsidR="00DF5591" w:rsidRPr="00647FF6">
              <w:rPr>
                <w:i/>
              </w:rPr>
              <w:t>via</w:t>
            </w:r>
            <w:r w:rsidR="00DF5591" w:rsidRPr="00647FF6">
              <w:t xml:space="preserve"> inhalation (average 0.5–4 mg/m</w:t>
            </w:r>
            <w:r w:rsidR="00DF5591" w:rsidRPr="00647FF6">
              <w:rPr>
                <w:vertAlign w:val="superscript"/>
              </w:rPr>
              <w:t>3</w:t>
            </w:r>
            <w:r w:rsidR="00DF5591" w:rsidRPr="00647FF6">
              <w:t>, peak 56 mg/m</w:t>
            </w:r>
            <w:r w:rsidR="00DF5591" w:rsidRPr="00647FF6">
              <w:rPr>
                <w:vertAlign w:val="superscript"/>
              </w:rPr>
              <w:t>3</w:t>
            </w:r>
            <w:r w:rsidR="00DF5591" w:rsidRPr="00647FF6">
              <w:t>, up to 30 min/d) and dermal contact (0.05–0.13 mg/kg/d)</w:t>
            </w:r>
          </w:p>
          <w:p w14:paraId="16013206" w14:textId="582A913B" w:rsidR="00975FD1" w:rsidRDefault="00A471EB" w:rsidP="00307EA0">
            <w:pPr>
              <w:pStyle w:val="Tabletextprimarysource"/>
              <w:numPr>
                <w:ilvl w:val="0"/>
                <w:numId w:val="2"/>
              </w:numPr>
            </w:pPr>
            <w:r>
              <w:t>NOAEL: 16 mg</w:t>
            </w:r>
            <w:r w:rsidR="00307EA0">
              <w:t>/</w:t>
            </w:r>
            <w:r>
              <w:t xml:space="preserve">d </w:t>
            </w:r>
            <w:r>
              <w:rPr>
                <w:rFonts w:cs="Arial"/>
              </w:rPr>
              <w:t>≡</w:t>
            </w:r>
            <w:r>
              <w:t xml:space="preserve">0.23 mg/kg/d for RBC </w:t>
            </w:r>
            <w:r w:rsidR="00975FD1">
              <w:t xml:space="preserve">ChE </w:t>
            </w:r>
            <w:r>
              <w:t xml:space="preserve">inhibition in repeat oral dose study (males, n=5, </w:t>
            </w:r>
            <w:r w:rsidR="0001374B">
              <w:t>32–56 d)</w:t>
            </w:r>
          </w:p>
          <w:p w14:paraId="5B08C493" w14:textId="6671D19B" w:rsidR="00A471EB" w:rsidRDefault="0001374B" w:rsidP="00647FF6">
            <w:pPr>
              <w:pStyle w:val="Tabletextprimarysource"/>
              <w:numPr>
                <w:ilvl w:val="1"/>
                <w:numId w:val="2"/>
              </w:numPr>
              <w:ind w:left="1451" w:hanging="357"/>
            </w:pPr>
            <w:r>
              <w:t xml:space="preserve">LOAEL of 24 mg/d caused 20% </w:t>
            </w:r>
            <w:r w:rsidR="00975FD1">
              <w:t xml:space="preserve">ChE </w:t>
            </w:r>
            <w:r>
              <w:t>inhibition</w:t>
            </w:r>
          </w:p>
          <w:p w14:paraId="5E8D7A4D" w14:textId="387F3897" w:rsidR="00975FD1" w:rsidRDefault="0001374B" w:rsidP="00307EA0">
            <w:pPr>
              <w:pStyle w:val="Tabletextprimarysource"/>
              <w:numPr>
                <w:ilvl w:val="0"/>
                <w:numId w:val="2"/>
              </w:numPr>
            </w:pPr>
            <w:r>
              <w:t xml:space="preserve">No cholinergic symptoms, including </w:t>
            </w:r>
            <w:r w:rsidR="00975FD1">
              <w:t xml:space="preserve">ChE </w:t>
            </w:r>
            <w:r>
              <w:t>inhibition at up to 85 mg/m</w:t>
            </w:r>
            <w:r>
              <w:rPr>
                <w:vertAlign w:val="superscript"/>
              </w:rPr>
              <w:t>3</w:t>
            </w:r>
            <w:r>
              <w:t xml:space="preserve"> (males, n=4, 1 h, </w:t>
            </w:r>
            <w:r w:rsidR="00975FD1">
              <w:t>2 </w:t>
            </w:r>
            <w:r>
              <w:t>times/d, 42 d)</w:t>
            </w:r>
          </w:p>
          <w:p w14:paraId="7A6A2366" w14:textId="03AABD0B" w:rsidR="0001374B" w:rsidRDefault="00376D15" w:rsidP="00647FF6">
            <w:pPr>
              <w:pStyle w:val="Tabletextprimarysource"/>
              <w:numPr>
                <w:ilvl w:val="1"/>
                <w:numId w:val="2"/>
              </w:numPr>
              <w:ind w:left="1451" w:hanging="357"/>
            </w:pPr>
            <w:r>
              <w:t>agency calculates equivalent 8</w:t>
            </w:r>
            <w:r w:rsidR="002832A0">
              <w:t xml:space="preserve"> </w:t>
            </w:r>
            <w:r>
              <w:t>h exposure as 21 mg/m</w:t>
            </w:r>
            <w:r>
              <w:rPr>
                <w:vertAlign w:val="superscript"/>
              </w:rPr>
              <w:t>3</w:t>
            </w:r>
            <w:r>
              <w:t>, which would be expected to elicit cholinergic effects observed above the cited oral dose NOAEL</w:t>
            </w:r>
            <w:r w:rsidR="002832A0">
              <w:t>.</w:t>
            </w:r>
          </w:p>
          <w:p w14:paraId="54DD04C0" w14:textId="77777777" w:rsidR="004B754B" w:rsidRDefault="004B754B" w:rsidP="003365A5">
            <w:pPr>
              <w:pStyle w:val="Tabletextprimarysource"/>
            </w:pPr>
            <w:r>
              <w:t>Animal data:</w:t>
            </w:r>
          </w:p>
          <w:p w14:paraId="3E0C2DF7" w14:textId="77777777" w:rsidR="004B754B" w:rsidRDefault="004B754B" w:rsidP="00307EA0">
            <w:pPr>
              <w:pStyle w:val="Tabletextprimarysource"/>
              <w:numPr>
                <w:ilvl w:val="0"/>
                <w:numId w:val="1"/>
              </w:numPr>
              <w:ind w:left="714" w:hanging="357"/>
            </w:pPr>
            <w:r>
              <w:t>Oral LD</w:t>
            </w:r>
            <w:r>
              <w:rPr>
                <w:vertAlign w:val="subscript"/>
              </w:rPr>
              <w:t>50</w:t>
            </w:r>
            <w:r>
              <w:rPr>
                <w:vertAlign w:val="subscript"/>
              </w:rPr>
              <w:softHyphen/>
            </w:r>
            <w:r>
              <w:t>: 1,000–1,375 mg/kg (rats)</w:t>
            </w:r>
            <w:r w:rsidR="00CC765C">
              <w:t>; Dermal LD</w:t>
            </w:r>
            <w:r w:rsidR="00CC765C">
              <w:rPr>
                <w:vertAlign w:val="subscript"/>
              </w:rPr>
              <w:t>50</w:t>
            </w:r>
            <w:r w:rsidR="00CC765C">
              <w:t xml:space="preserve"> &gt;4,444 mg/kg (rats), systemic cholinergic effects were observed at non-lethal doses, impure substance or mixed exposure with other pesticides increases toxicity</w:t>
            </w:r>
          </w:p>
          <w:p w14:paraId="744C2C00" w14:textId="77777777" w:rsidR="00CC765C" w:rsidRDefault="00CC765C" w:rsidP="00307EA0">
            <w:pPr>
              <w:pStyle w:val="Tabletextprimarysource"/>
              <w:numPr>
                <w:ilvl w:val="0"/>
                <w:numId w:val="1"/>
              </w:numPr>
              <w:ind w:left="714" w:hanging="357"/>
            </w:pPr>
            <w:r>
              <w:t>LC</w:t>
            </w:r>
            <w:r>
              <w:rPr>
                <w:vertAlign w:val="subscript"/>
              </w:rPr>
              <w:t>50</w:t>
            </w:r>
            <w:r>
              <w:t xml:space="preserve"> &gt;5,200 mg/m</w:t>
            </w:r>
            <w:r>
              <w:rPr>
                <w:vertAlign w:val="superscript"/>
              </w:rPr>
              <w:t>3</w:t>
            </w:r>
            <w:r>
              <w:t xml:space="preserve"> (rats, 4 h); cholinergic effects reported including restlessness, defecation, lachrymation, tremors, muscular fibrillations</w:t>
            </w:r>
          </w:p>
          <w:p w14:paraId="294102F3" w14:textId="77777777" w:rsidR="00655C78" w:rsidRDefault="00655C78" w:rsidP="00307EA0">
            <w:pPr>
              <w:pStyle w:val="Tabletextprimarysource"/>
              <w:numPr>
                <w:ilvl w:val="0"/>
                <w:numId w:val="1"/>
              </w:numPr>
              <w:ind w:left="714" w:hanging="357"/>
            </w:pPr>
            <w:r>
              <w:lastRenderedPageBreak/>
              <w:t>Non-sensitising to skin (guinea pigs, no further information provided)</w:t>
            </w:r>
          </w:p>
          <w:p w14:paraId="3E1ADD00" w14:textId="48230DB6" w:rsidR="00CC765C" w:rsidRDefault="006C1AE1" w:rsidP="00307EA0">
            <w:pPr>
              <w:pStyle w:val="Tabletextprimarysource"/>
              <w:numPr>
                <w:ilvl w:val="0"/>
                <w:numId w:val="1"/>
              </w:numPr>
              <w:ind w:left="714" w:hanging="357"/>
            </w:pPr>
            <w:r>
              <w:t xml:space="preserve">NOAEL: 50 mg/kg/d for plasma, brain and RBC </w:t>
            </w:r>
            <w:r w:rsidR="00975FD1">
              <w:t xml:space="preserve">ChE </w:t>
            </w:r>
            <w:r>
              <w:t>inhibition in repeat dermal application study (rabbits, 6 h/d, 21 d); LOAEL: 300 mg/kg/d</w:t>
            </w:r>
          </w:p>
          <w:p w14:paraId="279D0FBC" w14:textId="7FD5CB9D" w:rsidR="00187565" w:rsidRDefault="007430B5" w:rsidP="00307EA0">
            <w:pPr>
              <w:pStyle w:val="Tabletextprimarysource"/>
              <w:numPr>
                <w:ilvl w:val="0"/>
                <w:numId w:val="1"/>
              </w:numPr>
              <w:ind w:left="714" w:hanging="357"/>
            </w:pPr>
            <w:r>
              <w:t>Overall, results of several chronic feeding studies are suggestive of carcinogenicity</w:t>
            </w:r>
            <w:r w:rsidR="00187565">
              <w:t xml:space="preserve"> in animals</w:t>
            </w:r>
            <w:r>
              <w:t>,</w:t>
            </w:r>
            <w:r w:rsidR="00187565">
              <w:t xml:space="preserve"> but insufficient to relate these effects to humans</w:t>
            </w:r>
            <w:r w:rsidR="009103B2">
              <w:t>:</w:t>
            </w:r>
            <w:r w:rsidR="00187565">
              <w:t xml:space="preserve"> </w:t>
            </w:r>
          </w:p>
          <w:p w14:paraId="4F7164C1" w14:textId="77777777" w:rsidR="00187565" w:rsidRDefault="00187565" w:rsidP="00307EA0">
            <w:pPr>
              <w:pStyle w:val="Tabletextprimarysource"/>
              <w:numPr>
                <w:ilvl w:val="1"/>
                <w:numId w:val="1"/>
              </w:numPr>
              <w:ind w:left="1094" w:hanging="357"/>
            </w:pPr>
            <w:r>
              <w:t>liver tumours were induced in mice at high concentrations (</w:t>
            </w:r>
            <w:r>
              <w:rPr>
                <w:rFonts w:cs="Arial"/>
              </w:rPr>
              <w:t>≈</w:t>
            </w:r>
            <w:r>
              <w:t>1,500 mg/kg/d) that also caused liver hypertrophy</w:t>
            </w:r>
          </w:p>
          <w:p w14:paraId="4C332890" w14:textId="47F1530D" w:rsidR="006C1AE1" w:rsidRDefault="00187565" w:rsidP="00307EA0">
            <w:pPr>
              <w:pStyle w:val="Tabletextprimarysource"/>
              <w:numPr>
                <w:ilvl w:val="1"/>
                <w:numId w:val="1"/>
              </w:numPr>
              <w:ind w:left="1094" w:hanging="357"/>
            </w:pPr>
            <w:r>
              <w:t>no statistically significant increase in tumours in rats fed malaoxon (</w:t>
            </w:r>
            <w:r>
              <w:rPr>
                <w:rFonts w:cs="Arial"/>
              </w:rPr>
              <w:t>≈</w:t>
            </w:r>
            <w:r>
              <w:t>128 mg/kg/d)</w:t>
            </w:r>
          </w:p>
          <w:p w14:paraId="61A7FE18" w14:textId="77777777" w:rsidR="009103B2" w:rsidRDefault="00187565">
            <w:pPr>
              <w:pStyle w:val="Tabletextprimarysource"/>
              <w:numPr>
                <w:ilvl w:val="0"/>
                <w:numId w:val="1"/>
              </w:numPr>
            </w:pPr>
            <w:r>
              <w:t xml:space="preserve">Considered non-genotoxic; high concentrations of technical grade and pure substance are weakly mutagenic </w:t>
            </w:r>
            <w:r>
              <w:rPr>
                <w:i/>
              </w:rPr>
              <w:t>in vitro</w:t>
            </w:r>
            <w:r>
              <w:t xml:space="preserve"> at cytotoxic concentrations</w:t>
            </w:r>
            <w:r w:rsidR="002832A0">
              <w:t>.</w:t>
            </w:r>
          </w:p>
          <w:p w14:paraId="04CBBA23" w14:textId="77777777" w:rsidR="00A471EB" w:rsidRDefault="00A471EB" w:rsidP="00307EA0">
            <w:pPr>
              <w:pStyle w:val="Tabletextprimarysource"/>
            </w:pPr>
            <w:r>
              <w:t xml:space="preserve"> </w:t>
            </w:r>
          </w:p>
          <w:p w14:paraId="03D2FDF1" w14:textId="77777777" w:rsidR="00975FD1" w:rsidRDefault="00A471EB" w:rsidP="00A471EB">
            <w:pPr>
              <w:pStyle w:val="Tabletextprimarysource"/>
            </w:pPr>
            <w:r>
              <w:t>Insufficient data available to recommend a TLV-STEL or a sensitiser notation.</w:t>
            </w:r>
            <w:r w:rsidR="00D52C41">
              <w:t xml:space="preserve"> </w:t>
            </w:r>
          </w:p>
          <w:p w14:paraId="39E3CD0C" w14:textId="77777777" w:rsidR="00975FD1" w:rsidRDefault="00D52C41" w:rsidP="00A471EB">
            <w:pPr>
              <w:pStyle w:val="Tabletextprimarysource"/>
            </w:pPr>
            <w:r>
              <w:t xml:space="preserve">A skin notation is recommended based on reports of systemic poisoning in humans from dermal application. </w:t>
            </w:r>
          </w:p>
          <w:p w14:paraId="16B074E8" w14:textId="32B737C8" w:rsidR="00187565" w:rsidRDefault="00D52C41" w:rsidP="00A471EB">
            <w:pPr>
              <w:pStyle w:val="Tabletextprimarysource"/>
            </w:pPr>
            <w:r>
              <w:t>Chronic exposure studies in animals or case studies in humans do not clearly indicate carcinogenic potential</w:t>
            </w:r>
            <w:r w:rsidR="00F3498D">
              <w:t>; not classified human carcinogen</w:t>
            </w:r>
            <w:r>
              <w:t>.</w:t>
            </w:r>
          </w:p>
          <w:p w14:paraId="0A81B7DC" w14:textId="77777777" w:rsidR="009103B2" w:rsidRPr="00DA352E" w:rsidRDefault="009103B2" w:rsidP="00A471EB">
            <w:pPr>
              <w:pStyle w:val="Tabletextprimarysource"/>
            </w:pPr>
          </w:p>
        </w:tc>
      </w:tr>
      <w:tr w:rsidR="00C978F0" w:rsidRPr="00DA352E" w14:paraId="1A14526E" w14:textId="77777777" w:rsidTr="00DE26E8">
        <w:trPr>
          <w:gridAfter w:val="1"/>
          <w:wAfter w:w="8" w:type="pct"/>
          <w:cantSplit/>
        </w:trPr>
        <w:tc>
          <w:tcPr>
            <w:tcW w:w="4992" w:type="pct"/>
            <w:shd w:val="clear" w:color="auto" w:fill="F2F2F2" w:themeFill="background1" w:themeFillShade="F2"/>
          </w:tcPr>
          <w:p w14:paraId="4E792F31"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017FE7">
                  <w:t>2007</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017FE7">
                  <w:t>MAK: 15 mg/m</w:t>
                </w:r>
                <w:r w:rsidR="00017FE7" w:rsidRPr="00017FE7">
                  <w:rPr>
                    <w:vertAlign w:val="superscript"/>
                  </w:rPr>
                  <w:t>3</w:t>
                </w:r>
              </w:sdtContent>
            </w:sdt>
          </w:p>
        </w:tc>
      </w:tr>
      <w:tr w:rsidR="00C978F0" w:rsidRPr="00DA352E" w14:paraId="3CBA9EDC" w14:textId="77777777" w:rsidTr="00DE26E8">
        <w:trPr>
          <w:gridAfter w:val="1"/>
          <w:wAfter w:w="8" w:type="pct"/>
          <w:cantSplit/>
        </w:trPr>
        <w:tc>
          <w:tcPr>
            <w:tcW w:w="4992" w:type="pct"/>
          </w:tcPr>
          <w:p w14:paraId="18AB0175" w14:textId="77777777" w:rsidR="002832A0" w:rsidRDefault="00CD24C8" w:rsidP="00CD24C8">
            <w:pPr>
              <w:pStyle w:val="Tabletextprimarysource"/>
            </w:pPr>
            <w:r>
              <w:t>Summary of additional data:</w:t>
            </w:r>
          </w:p>
          <w:p w14:paraId="7363A185" w14:textId="43413EC6" w:rsidR="00CD24C8" w:rsidRPr="00297499" w:rsidRDefault="00CD24C8" w:rsidP="00D07F2C">
            <w:r>
              <w:t xml:space="preserve">Human exposure database too weak to derive MAK; instead based on weight of evidence from industrial experience that has not led to increased inhalation-related cases of intoxication since its establishment (1958). Adverse reproductive effects observed </w:t>
            </w:r>
            <w:r w:rsidR="00975FD1">
              <w:t>&gt;</w:t>
            </w:r>
            <w:r>
              <w:t>100</w:t>
            </w:r>
            <w:r w:rsidR="00975FD1">
              <w:t xml:space="preserve"> and </w:t>
            </w:r>
            <w:r>
              <w:t>300 mg/kg/d in rabbits and rats, respectively</w:t>
            </w:r>
            <w:r w:rsidR="00D07F2C">
              <w:t>;</w:t>
            </w:r>
            <w:r>
              <w:t xml:space="preserve"> not expected to o</w:t>
            </w:r>
            <w:r w:rsidR="00297499">
              <w:t xml:space="preserve">ccur </w:t>
            </w:r>
            <w:r>
              <w:t>at the MAK</w:t>
            </w:r>
            <w:r w:rsidR="00297499">
              <w:t xml:space="preserve"> of 15 mg/m</w:t>
            </w:r>
            <w:r w:rsidR="00297499">
              <w:rPr>
                <w:vertAlign w:val="superscript"/>
              </w:rPr>
              <w:t>3</w:t>
            </w:r>
            <w:r>
              <w:t>, which equate</w:t>
            </w:r>
            <w:r w:rsidR="00297499">
              <w:t>s</w:t>
            </w:r>
            <w:r>
              <w:t xml:space="preserve"> to </w:t>
            </w:r>
            <w:r w:rsidR="00D07F2C">
              <w:t xml:space="preserve">inhalational exposure </w:t>
            </w:r>
            <w:r w:rsidR="00975FD1">
              <w:t>at</w:t>
            </w:r>
            <w:r w:rsidR="00D07F2C">
              <w:t xml:space="preserve"> </w:t>
            </w:r>
            <w:r w:rsidR="00A96C0F">
              <w:t>2</w:t>
            </w:r>
            <w:r w:rsidR="00297499">
              <w:t>,</w:t>
            </w:r>
            <w:r w:rsidR="00A96C0F">
              <w:t>1</w:t>
            </w:r>
            <w:r w:rsidR="00297499">
              <w:t>00 mg/m</w:t>
            </w:r>
            <w:r w:rsidR="00297499">
              <w:rPr>
                <w:vertAlign w:val="superscript"/>
              </w:rPr>
              <w:t>3</w:t>
            </w:r>
            <w:r w:rsidR="00297499">
              <w:t xml:space="preserve">. </w:t>
            </w:r>
          </w:p>
          <w:p w14:paraId="5038581D" w14:textId="77777777" w:rsidR="00CD24C8" w:rsidRDefault="00CD24C8" w:rsidP="00CD24C8">
            <w:pPr>
              <w:pStyle w:val="Tabletextprimarysource"/>
            </w:pPr>
            <w:r>
              <w:t>Human data:</w:t>
            </w:r>
          </w:p>
          <w:p w14:paraId="1C99207C" w14:textId="77777777" w:rsidR="00E2116F" w:rsidRDefault="00E2116F" w:rsidP="00EC170D">
            <w:pPr>
              <w:pStyle w:val="Tabletextprimarysource"/>
              <w:numPr>
                <w:ilvl w:val="0"/>
                <w:numId w:val="1"/>
              </w:numPr>
            </w:pPr>
            <w:r>
              <w:t xml:space="preserve">Odour threshold for technical grade </w:t>
            </w:r>
            <w:r w:rsidR="00474B93">
              <w:t>substance: 0.044 mg/m</w:t>
            </w:r>
            <w:r w:rsidR="00474B93">
              <w:rPr>
                <w:vertAlign w:val="superscript"/>
              </w:rPr>
              <w:t>3</w:t>
            </w:r>
          </w:p>
          <w:p w14:paraId="3980079E" w14:textId="391214D6" w:rsidR="00EC170D" w:rsidRDefault="00EC170D" w:rsidP="00EC170D">
            <w:pPr>
              <w:pStyle w:val="Tabletextprimarysource"/>
              <w:numPr>
                <w:ilvl w:val="0"/>
                <w:numId w:val="1"/>
              </w:numPr>
            </w:pPr>
            <w:r>
              <w:t xml:space="preserve">Changes in </w:t>
            </w:r>
            <w:r w:rsidR="00975FD1">
              <w:t xml:space="preserve">ChE </w:t>
            </w:r>
            <w:r>
              <w:t>activity in 12 production workers (no further details provided)</w:t>
            </w:r>
          </w:p>
          <w:p w14:paraId="7FB118AD" w14:textId="77777777" w:rsidR="00EC170D" w:rsidRDefault="00EC170D" w:rsidP="00EC170D">
            <w:pPr>
              <w:pStyle w:val="Tabletextprimarysource"/>
              <w:numPr>
                <w:ilvl w:val="0"/>
                <w:numId w:val="1"/>
              </w:numPr>
            </w:pPr>
            <w:r>
              <w:t xml:space="preserve">Aerial spraying did not cause adverse effects </w:t>
            </w:r>
            <w:r w:rsidR="0077019D">
              <w:t>in exposed individuals, average air concentrations range: 0.6–2 mg/m</w:t>
            </w:r>
            <w:r w:rsidR="0077019D">
              <w:rPr>
                <w:vertAlign w:val="superscript"/>
              </w:rPr>
              <w:t>3</w:t>
            </w:r>
            <w:r w:rsidR="0077019D">
              <w:t xml:space="preserve"> (duration not specified)</w:t>
            </w:r>
          </w:p>
          <w:p w14:paraId="480CB4B6" w14:textId="77777777" w:rsidR="00E2116F" w:rsidRDefault="00E2116F" w:rsidP="00EC170D">
            <w:pPr>
              <w:pStyle w:val="Tabletextprimarysource"/>
              <w:numPr>
                <w:ilvl w:val="0"/>
                <w:numId w:val="1"/>
              </w:numPr>
            </w:pPr>
            <w:r>
              <w:t>Slight eye and nose irritation at 85 mg/m</w:t>
            </w:r>
            <w:r>
              <w:rPr>
                <w:vertAlign w:val="superscript"/>
              </w:rPr>
              <w:t>3</w:t>
            </w:r>
            <w:r>
              <w:t xml:space="preserve"> in volunteers exposed by inhalation (also cited in ACGIH, 2018)</w:t>
            </w:r>
            <w:r w:rsidR="002832A0">
              <w:t>.</w:t>
            </w:r>
          </w:p>
          <w:p w14:paraId="2A7D7A5E" w14:textId="77777777" w:rsidR="00474B93" w:rsidRDefault="00474B93" w:rsidP="00474B93">
            <w:pPr>
              <w:pStyle w:val="Tabletextprimarysource"/>
            </w:pPr>
            <w:r>
              <w:t>Animal data:</w:t>
            </w:r>
          </w:p>
          <w:p w14:paraId="2ACC303B" w14:textId="77777777" w:rsidR="00474B93" w:rsidRDefault="00474B93" w:rsidP="00474B93">
            <w:pPr>
              <w:pStyle w:val="Tabletextprimarysource"/>
              <w:numPr>
                <w:ilvl w:val="0"/>
                <w:numId w:val="1"/>
              </w:numPr>
            </w:pPr>
            <w:r>
              <w:t>60% absorbed through skin (rat)</w:t>
            </w:r>
            <w:r w:rsidR="00CD24C8">
              <w:t>; 23% of oral dose recovered in urine within 16 h</w:t>
            </w:r>
          </w:p>
          <w:p w14:paraId="60909554" w14:textId="3A071065" w:rsidR="00A72B81" w:rsidRDefault="00474B93" w:rsidP="00474B93">
            <w:pPr>
              <w:pStyle w:val="Tabletextprimarysource"/>
              <w:numPr>
                <w:ilvl w:val="0"/>
                <w:numId w:val="1"/>
              </w:numPr>
            </w:pPr>
            <w:r>
              <w:t>NOAE</w:t>
            </w:r>
            <w:r w:rsidR="00A72B81">
              <w:t>C</w:t>
            </w:r>
            <w:r>
              <w:t>: 0.014 mg/m</w:t>
            </w:r>
            <w:r>
              <w:rPr>
                <w:vertAlign w:val="superscript"/>
              </w:rPr>
              <w:t>3</w:t>
            </w:r>
            <w:r>
              <w:t xml:space="preserve"> for pericellular oedema in </w:t>
            </w:r>
            <w:r w:rsidR="00A72B81">
              <w:t>CNS</w:t>
            </w:r>
            <w:r>
              <w:t xml:space="preserve"> in continuous inhalation study (rats, 24 h/d, 7</w:t>
            </w:r>
            <w:r w:rsidR="002832A0">
              <w:t xml:space="preserve"> </w:t>
            </w:r>
            <w:r>
              <w:t>d/wk, 3 mo)</w:t>
            </w:r>
          </w:p>
          <w:p w14:paraId="7663173B" w14:textId="5217EEB0" w:rsidR="00474B93" w:rsidRDefault="00474B93" w:rsidP="00647FF6">
            <w:pPr>
              <w:pStyle w:val="Tabletextprimarysource"/>
              <w:numPr>
                <w:ilvl w:val="1"/>
                <w:numId w:val="1"/>
              </w:numPr>
              <w:ind w:left="1094" w:hanging="357"/>
            </w:pPr>
            <w:r>
              <w:t>LOAE</w:t>
            </w:r>
            <w:r w:rsidR="00A72B81">
              <w:t>C</w:t>
            </w:r>
            <w:r>
              <w:t xml:space="preserve"> 0.075 mg/m</w:t>
            </w:r>
            <w:r>
              <w:rPr>
                <w:vertAlign w:val="superscript"/>
              </w:rPr>
              <w:t>3</w:t>
            </w:r>
          </w:p>
          <w:p w14:paraId="527F1D6E" w14:textId="7B2CC953" w:rsidR="00474B93" w:rsidRDefault="00474B93" w:rsidP="00474B93">
            <w:pPr>
              <w:pStyle w:val="Tabletextprimarysource"/>
              <w:numPr>
                <w:ilvl w:val="0"/>
                <w:numId w:val="1"/>
              </w:numPr>
            </w:pPr>
            <w:r>
              <w:t xml:space="preserve">NOAEL: 100 ppm in diet for </w:t>
            </w:r>
            <w:r w:rsidR="00A72B81">
              <w:t xml:space="preserve">ChE </w:t>
            </w:r>
            <w:r>
              <w:t>inhibition in several continuous feeding studies (rats, dogs, 12 wk</w:t>
            </w:r>
            <w:r w:rsidR="009103B2">
              <w:t xml:space="preserve"> to </w:t>
            </w:r>
            <w:r>
              <w:t>2 yr)</w:t>
            </w:r>
          </w:p>
          <w:p w14:paraId="7198ED7C" w14:textId="77777777" w:rsidR="00474B93" w:rsidRDefault="00CD24C8" w:rsidP="00474B93">
            <w:pPr>
              <w:pStyle w:val="Tabletextprimarysource"/>
              <w:numPr>
                <w:ilvl w:val="0"/>
                <w:numId w:val="1"/>
              </w:numPr>
            </w:pPr>
            <w:r>
              <w:t>No embryotoxic effects at maternally toxic levels of 600–900 mg/kg ip injection in developmental study (rats, on gestation d 11)</w:t>
            </w:r>
          </w:p>
          <w:p w14:paraId="12DB96CD" w14:textId="77777777" w:rsidR="00CD24C8" w:rsidRDefault="00CD24C8" w:rsidP="00474B93">
            <w:pPr>
              <w:pStyle w:val="Tabletextprimarysource"/>
              <w:numPr>
                <w:ilvl w:val="0"/>
                <w:numId w:val="1"/>
              </w:numPr>
            </w:pPr>
            <w:r>
              <w:t>Decreased litter size and viability at toxic doses of 240 mg/kg in repeat oral reproductive study (rats, 5 mo)</w:t>
            </w:r>
            <w:r w:rsidR="009103B2">
              <w:t>.</w:t>
            </w:r>
          </w:p>
          <w:p w14:paraId="0D34E78E" w14:textId="77777777" w:rsidR="009103B2" w:rsidRDefault="009103B2" w:rsidP="00D07F2C">
            <w:pPr>
              <w:pStyle w:val="Tabletextprimarysource"/>
            </w:pPr>
          </w:p>
          <w:p w14:paraId="41A3E516" w14:textId="00346ADE" w:rsidR="00297499" w:rsidRDefault="00380808" w:rsidP="00297499">
            <w:pPr>
              <w:pStyle w:val="Tabletextprimarysource"/>
            </w:pPr>
            <w:r>
              <w:t>Carcinogenicity</w:t>
            </w:r>
            <w:r w:rsidR="00297499">
              <w:t xml:space="preserve">, skin absorption and sensitisation potential not </w:t>
            </w:r>
            <w:r>
              <w:t>assessed</w:t>
            </w:r>
            <w:r w:rsidR="00297499">
              <w:t>.</w:t>
            </w:r>
          </w:p>
          <w:p w14:paraId="4798672A" w14:textId="77777777" w:rsidR="009103B2" w:rsidRPr="00DA352E" w:rsidRDefault="009103B2" w:rsidP="00297499">
            <w:pPr>
              <w:pStyle w:val="Tabletextprimarysource"/>
            </w:pPr>
          </w:p>
        </w:tc>
      </w:tr>
      <w:tr w:rsidR="00C978F0" w:rsidRPr="00DA352E" w14:paraId="1C88A1F7" w14:textId="77777777" w:rsidTr="00DE26E8">
        <w:trPr>
          <w:gridAfter w:val="1"/>
          <w:wAfter w:w="8" w:type="pct"/>
          <w:cantSplit/>
        </w:trPr>
        <w:tc>
          <w:tcPr>
            <w:tcW w:w="4992" w:type="pct"/>
            <w:shd w:val="clear" w:color="auto" w:fill="F2F2F2" w:themeFill="background1" w:themeFillShade="F2"/>
          </w:tcPr>
          <w:p w14:paraId="5E6D2746"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017FE7">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017FE7">
                  <w:t>NA</w:t>
                </w:r>
              </w:sdtContent>
            </w:sdt>
          </w:p>
        </w:tc>
      </w:tr>
      <w:tr w:rsidR="00C978F0" w:rsidRPr="00DA352E" w14:paraId="4603BDCD" w14:textId="77777777" w:rsidTr="00DE26E8">
        <w:trPr>
          <w:gridAfter w:val="1"/>
          <w:wAfter w:w="8" w:type="pct"/>
          <w:cantSplit/>
        </w:trPr>
        <w:tc>
          <w:tcPr>
            <w:tcW w:w="4992" w:type="pct"/>
          </w:tcPr>
          <w:p w14:paraId="40BA4C09" w14:textId="77777777" w:rsidR="00C978F0" w:rsidRPr="00DA352E" w:rsidRDefault="00017FE7" w:rsidP="003365A5">
            <w:pPr>
              <w:pStyle w:val="Tabletextprimarysource"/>
            </w:pPr>
            <w:r>
              <w:t>No report</w:t>
            </w:r>
            <w:r w:rsidR="002832A0">
              <w:t>.</w:t>
            </w:r>
          </w:p>
        </w:tc>
      </w:tr>
      <w:tr w:rsidR="00DA352E" w:rsidRPr="00DA352E" w14:paraId="2F14491E" w14:textId="77777777" w:rsidTr="00DE26E8">
        <w:trPr>
          <w:gridAfter w:val="1"/>
          <w:wAfter w:w="8" w:type="pct"/>
          <w:cantSplit/>
        </w:trPr>
        <w:tc>
          <w:tcPr>
            <w:tcW w:w="4992" w:type="pct"/>
            <w:shd w:val="clear" w:color="auto" w:fill="F2F2F2" w:themeFill="background1" w:themeFillShade="F2"/>
          </w:tcPr>
          <w:p w14:paraId="189534B9"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017FE7">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017FE7">
                  <w:t>NA</w:t>
                </w:r>
              </w:sdtContent>
            </w:sdt>
          </w:p>
        </w:tc>
      </w:tr>
      <w:tr w:rsidR="00DA352E" w:rsidRPr="00DA352E" w14:paraId="68225251" w14:textId="77777777" w:rsidTr="00DE26E8">
        <w:trPr>
          <w:gridAfter w:val="1"/>
          <w:wAfter w:w="8" w:type="pct"/>
          <w:cantSplit/>
        </w:trPr>
        <w:tc>
          <w:tcPr>
            <w:tcW w:w="4992" w:type="pct"/>
          </w:tcPr>
          <w:p w14:paraId="3845C84F" w14:textId="77777777" w:rsidR="00DA352E" w:rsidRPr="00DA352E" w:rsidRDefault="00017FE7" w:rsidP="003365A5">
            <w:pPr>
              <w:pStyle w:val="Tabletextprimarysource"/>
            </w:pPr>
            <w:r>
              <w:t>No report</w:t>
            </w:r>
            <w:r w:rsidR="002832A0">
              <w:t>.</w:t>
            </w:r>
          </w:p>
        </w:tc>
      </w:tr>
      <w:tr w:rsidR="00DA352E" w:rsidRPr="00DA352E" w14:paraId="744B9E4C" w14:textId="77777777" w:rsidTr="00DE26E8">
        <w:trPr>
          <w:gridAfter w:val="1"/>
          <w:wAfter w:w="8" w:type="pct"/>
          <w:cantSplit/>
        </w:trPr>
        <w:tc>
          <w:tcPr>
            <w:tcW w:w="4992" w:type="pct"/>
            <w:shd w:val="clear" w:color="auto" w:fill="F2F2F2" w:themeFill="background1" w:themeFillShade="F2"/>
          </w:tcPr>
          <w:p w14:paraId="07BCE28B"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017FE7">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017FE7">
                  <w:t>NA</w:t>
                </w:r>
              </w:sdtContent>
            </w:sdt>
          </w:p>
        </w:tc>
      </w:tr>
      <w:tr w:rsidR="00DA352E" w:rsidRPr="00DA352E" w14:paraId="161849D0" w14:textId="77777777" w:rsidTr="00DE26E8">
        <w:trPr>
          <w:gridAfter w:val="1"/>
          <w:wAfter w:w="8" w:type="pct"/>
          <w:cantSplit/>
        </w:trPr>
        <w:tc>
          <w:tcPr>
            <w:tcW w:w="4992" w:type="pct"/>
          </w:tcPr>
          <w:p w14:paraId="1404C578" w14:textId="77777777" w:rsidR="00DA352E" w:rsidRPr="00DA352E" w:rsidRDefault="00017FE7" w:rsidP="003365A5">
            <w:pPr>
              <w:pStyle w:val="Tabletextprimarysource"/>
            </w:pPr>
            <w:r>
              <w:t>No report</w:t>
            </w:r>
            <w:r w:rsidR="002832A0">
              <w:t>.</w:t>
            </w:r>
          </w:p>
        </w:tc>
      </w:tr>
    </w:tbl>
    <w:p w14:paraId="3CD47366"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88"/>
        <w:gridCol w:w="422"/>
        <w:gridCol w:w="661"/>
        <w:gridCol w:w="6455"/>
      </w:tblGrid>
      <w:tr w:rsidR="004966BF" w:rsidRPr="00263255" w14:paraId="2A237E16" w14:textId="77777777" w:rsidTr="00200B0D">
        <w:trPr>
          <w:trHeight w:val="393"/>
          <w:tblHeader/>
        </w:trPr>
        <w:tc>
          <w:tcPr>
            <w:tcW w:w="1488" w:type="dxa"/>
            <w:shd w:val="clear" w:color="auto" w:fill="BFBFBF" w:themeFill="background1" w:themeFillShade="BF"/>
            <w:vAlign w:val="center"/>
          </w:tcPr>
          <w:p w14:paraId="3D5BEACB" w14:textId="77777777" w:rsidR="004966BF" w:rsidRPr="00263255" w:rsidRDefault="004966BF" w:rsidP="00263255">
            <w:pPr>
              <w:pStyle w:val="Tableheader"/>
            </w:pPr>
            <w:r w:rsidRPr="00263255">
              <w:t>Source</w:t>
            </w:r>
          </w:p>
        </w:tc>
        <w:tc>
          <w:tcPr>
            <w:tcW w:w="422" w:type="dxa"/>
            <w:shd w:val="clear" w:color="auto" w:fill="BFBFBF" w:themeFill="background1" w:themeFillShade="BF"/>
            <w:vAlign w:val="center"/>
          </w:tcPr>
          <w:p w14:paraId="0A4B4651" w14:textId="77777777" w:rsidR="004966BF" w:rsidRPr="00263255" w:rsidRDefault="004966BF" w:rsidP="00263255">
            <w:pPr>
              <w:pStyle w:val="Tableheader"/>
            </w:pPr>
          </w:p>
        </w:tc>
        <w:tc>
          <w:tcPr>
            <w:tcW w:w="661" w:type="dxa"/>
            <w:shd w:val="clear" w:color="auto" w:fill="BFBFBF" w:themeFill="background1" w:themeFillShade="BF"/>
            <w:vAlign w:val="center"/>
          </w:tcPr>
          <w:p w14:paraId="04D5395E" w14:textId="77777777" w:rsidR="004966BF" w:rsidRPr="00263255" w:rsidRDefault="004966BF" w:rsidP="00263255">
            <w:pPr>
              <w:pStyle w:val="Tableheader"/>
            </w:pPr>
            <w:r>
              <w:t>Year</w:t>
            </w:r>
          </w:p>
        </w:tc>
        <w:tc>
          <w:tcPr>
            <w:tcW w:w="6455" w:type="dxa"/>
            <w:shd w:val="clear" w:color="auto" w:fill="BFBFBF" w:themeFill="background1" w:themeFillShade="BF"/>
            <w:vAlign w:val="center"/>
          </w:tcPr>
          <w:p w14:paraId="03067783" w14:textId="77777777" w:rsidR="004966BF" w:rsidRPr="00263255" w:rsidRDefault="004966BF" w:rsidP="00263255">
            <w:pPr>
              <w:pStyle w:val="Tableheader"/>
            </w:pPr>
            <w:r>
              <w:t>Additional information</w:t>
            </w:r>
          </w:p>
        </w:tc>
      </w:tr>
      <w:tr w:rsidR="004966BF" w:rsidRPr="004C23F4" w14:paraId="4F484572" w14:textId="77777777" w:rsidTr="00200B0D">
        <w:tc>
          <w:tcPr>
            <w:tcW w:w="1488" w:type="dxa"/>
          </w:tcPr>
          <w:p w14:paraId="2EA8CCE4" w14:textId="77777777" w:rsidR="004966BF" w:rsidRPr="004C23F4" w:rsidRDefault="004966BF" w:rsidP="00224EE2">
            <w:pPr>
              <w:pStyle w:val="Tablefont"/>
            </w:pPr>
            <w:r>
              <w:t>NICNAS</w:t>
            </w:r>
          </w:p>
        </w:tc>
        <w:tc>
          <w:tcPr>
            <w:tcW w:w="422" w:type="dxa"/>
          </w:tcPr>
          <w:p w14:paraId="1CC90878" w14:textId="77777777" w:rsidR="004966BF" w:rsidRPr="00CE617F" w:rsidRDefault="004A4BC7"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DB4ADC">
                  <w:rPr>
                    <w:rStyle w:val="checkbox"/>
                  </w:rPr>
                  <w:t></w:t>
                </w:r>
              </w:sdtContent>
            </w:sdt>
          </w:p>
        </w:tc>
        <w:tc>
          <w:tcPr>
            <w:tcW w:w="661" w:type="dxa"/>
          </w:tcPr>
          <w:p w14:paraId="67569B90" w14:textId="77777777" w:rsidR="004966BF" w:rsidRPr="004C23F4" w:rsidRDefault="00DB4ADC" w:rsidP="00717D45">
            <w:pPr>
              <w:pStyle w:val="Tablefont"/>
              <w:rPr>
                <w:rStyle w:val="checkbox"/>
                <w:rFonts w:ascii="Arial" w:hAnsi="Arial" w:cs="Arial"/>
              </w:rPr>
            </w:pPr>
            <w:r>
              <w:rPr>
                <w:rStyle w:val="checkbox"/>
                <w:rFonts w:ascii="Arial" w:hAnsi="Arial" w:cs="Arial"/>
              </w:rPr>
              <w:t>2018</w:t>
            </w:r>
          </w:p>
        </w:tc>
        <w:tc>
          <w:tcPr>
            <w:tcW w:w="6455" w:type="dxa"/>
          </w:tcPr>
          <w:p w14:paraId="009AD775" w14:textId="77777777" w:rsidR="004966BF" w:rsidRPr="004C23F4" w:rsidRDefault="00DB4ADC" w:rsidP="00D07F2C">
            <w:pPr>
              <w:pStyle w:val="Tablefont"/>
              <w:numPr>
                <w:ilvl w:val="0"/>
                <w:numId w:val="3"/>
              </w:numPr>
              <w:spacing w:before="60" w:after="60"/>
              <w:ind w:left="714" w:hanging="357"/>
              <w:rPr>
                <w:rStyle w:val="checkbox"/>
                <w:rFonts w:ascii="Arial" w:hAnsi="Arial" w:cs="Arial"/>
              </w:rPr>
            </w:pPr>
            <w:r>
              <w:rPr>
                <w:rStyle w:val="checkbox"/>
                <w:rFonts w:ascii="Arial" w:hAnsi="Arial" w:cs="Arial"/>
              </w:rPr>
              <w:t>Tier I: not assessed due to agricultural use</w:t>
            </w:r>
            <w:r w:rsidR="002832A0">
              <w:rPr>
                <w:rStyle w:val="checkbox"/>
                <w:rFonts w:ascii="Arial" w:hAnsi="Arial" w:cs="Arial"/>
              </w:rPr>
              <w:t>.</w:t>
            </w:r>
          </w:p>
        </w:tc>
      </w:tr>
      <w:tr w:rsidR="004966BF" w:rsidRPr="004C23F4" w14:paraId="6A337BFC" w14:textId="77777777" w:rsidTr="00200B0D">
        <w:tc>
          <w:tcPr>
            <w:tcW w:w="1488" w:type="dxa"/>
          </w:tcPr>
          <w:p w14:paraId="229D0B1F" w14:textId="77777777" w:rsidR="004966BF" w:rsidRPr="004C23F4" w:rsidRDefault="004966BF" w:rsidP="00224EE2">
            <w:pPr>
              <w:pStyle w:val="Tablefont"/>
            </w:pPr>
            <w:r>
              <w:t>IARC</w:t>
            </w:r>
          </w:p>
        </w:tc>
        <w:tc>
          <w:tcPr>
            <w:tcW w:w="422" w:type="dxa"/>
          </w:tcPr>
          <w:p w14:paraId="7DC067FE" w14:textId="77777777" w:rsidR="004966BF" w:rsidRPr="00CE617F" w:rsidRDefault="004A4BC7"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EB56AD">
                  <w:rPr>
                    <w:rStyle w:val="checkbox"/>
                  </w:rPr>
                  <w:t></w:t>
                </w:r>
              </w:sdtContent>
            </w:sdt>
          </w:p>
        </w:tc>
        <w:tc>
          <w:tcPr>
            <w:tcW w:w="661" w:type="dxa"/>
          </w:tcPr>
          <w:p w14:paraId="59628344" w14:textId="77777777" w:rsidR="004966BF" w:rsidRPr="004C23F4" w:rsidRDefault="00EB56AD" w:rsidP="00717D45">
            <w:pPr>
              <w:pStyle w:val="Tablefont"/>
              <w:rPr>
                <w:rStyle w:val="checkbox"/>
                <w:rFonts w:ascii="Arial" w:hAnsi="Arial" w:cs="Arial"/>
              </w:rPr>
            </w:pPr>
            <w:r>
              <w:rPr>
                <w:rStyle w:val="checkbox"/>
                <w:rFonts w:ascii="Arial" w:hAnsi="Arial" w:cs="Arial"/>
              </w:rPr>
              <w:t>2017</w:t>
            </w:r>
          </w:p>
        </w:tc>
        <w:tc>
          <w:tcPr>
            <w:tcW w:w="6455" w:type="dxa"/>
          </w:tcPr>
          <w:p w14:paraId="3352BB9E" w14:textId="77777777" w:rsidR="002C3D3C" w:rsidRPr="002C3D3C" w:rsidRDefault="002C3D3C" w:rsidP="00D07F2C">
            <w:pPr>
              <w:pStyle w:val="Tablefont"/>
              <w:numPr>
                <w:ilvl w:val="0"/>
                <w:numId w:val="1"/>
              </w:numPr>
              <w:spacing w:before="60" w:after="60"/>
              <w:ind w:left="714" w:hanging="357"/>
              <w:rPr>
                <w:rFonts w:cs="Arial"/>
              </w:rPr>
            </w:pPr>
            <w:r w:rsidRPr="002C3D3C">
              <w:t>Comet assay showed increased rates of DNA damage in blood lymphocytes in exposed workers</w:t>
            </w:r>
          </w:p>
          <w:p w14:paraId="07F4762B" w14:textId="77777777" w:rsidR="002C3D3C" w:rsidRPr="002C3D3C" w:rsidRDefault="002C3D3C" w:rsidP="00D07F2C">
            <w:pPr>
              <w:pStyle w:val="Tablefont"/>
              <w:numPr>
                <w:ilvl w:val="0"/>
                <w:numId w:val="1"/>
              </w:numPr>
              <w:spacing w:before="60" w:after="60"/>
              <w:ind w:left="714" w:hanging="357"/>
              <w:rPr>
                <w:rFonts w:cs="Arial"/>
              </w:rPr>
            </w:pPr>
            <w:r w:rsidRPr="002C3D3C">
              <w:rPr>
                <w:rFonts w:cs="Arial"/>
              </w:rPr>
              <w:t>Increased chromosomal aberrations in peripheral blood lymphocytes of exposed workers</w:t>
            </w:r>
          </w:p>
          <w:p w14:paraId="4865F3F6" w14:textId="5459CE52" w:rsidR="00EB56AD" w:rsidRPr="002C3D3C" w:rsidRDefault="0051650A" w:rsidP="00D07F2C">
            <w:pPr>
              <w:pStyle w:val="Tablefont"/>
              <w:numPr>
                <w:ilvl w:val="0"/>
                <w:numId w:val="1"/>
              </w:numPr>
              <w:spacing w:before="60" w:after="60"/>
              <w:ind w:left="714" w:hanging="357"/>
              <w:rPr>
                <w:rFonts w:cs="Arial"/>
              </w:rPr>
            </w:pPr>
            <w:r w:rsidRPr="002C3D3C">
              <w:rPr>
                <w:rFonts w:cs="Arial"/>
              </w:rPr>
              <w:t>Based on review of mechanistic studies, a Group 2A classification is supported</w:t>
            </w:r>
            <w:r w:rsidR="002C3D3C" w:rsidRPr="002C3D3C">
              <w:rPr>
                <w:rFonts w:cs="Arial"/>
              </w:rPr>
              <w:t>, as these mechanisms can potentially operate in humans</w:t>
            </w:r>
            <w:r w:rsidR="00BA7A15">
              <w:rPr>
                <w:rFonts w:cs="Arial"/>
              </w:rPr>
              <w:t>:</w:t>
            </w:r>
          </w:p>
          <w:p w14:paraId="0A4D01E2" w14:textId="77777777" w:rsidR="002C3D3C" w:rsidRPr="002C3D3C" w:rsidRDefault="002C3D3C" w:rsidP="00D07F2C">
            <w:pPr>
              <w:pStyle w:val="Tablefont"/>
              <w:numPr>
                <w:ilvl w:val="1"/>
                <w:numId w:val="1"/>
              </w:numPr>
              <w:spacing w:before="60" w:after="60"/>
              <w:ind w:left="1094" w:hanging="357"/>
              <w:rPr>
                <w:rFonts w:cs="Arial"/>
              </w:rPr>
            </w:pPr>
            <w:r w:rsidRPr="002C3D3C">
              <w:rPr>
                <w:rFonts w:cs="Arial"/>
              </w:rPr>
              <w:t xml:space="preserve">strong evidence that malathion-based pesticides are genotoxic in humans and animals </w:t>
            </w:r>
          </w:p>
          <w:p w14:paraId="474DE297" w14:textId="77777777" w:rsidR="00EB56AD" w:rsidRPr="002C3D3C" w:rsidRDefault="00EB56AD" w:rsidP="00D07F2C">
            <w:pPr>
              <w:pStyle w:val="Tablefont"/>
              <w:numPr>
                <w:ilvl w:val="1"/>
                <w:numId w:val="1"/>
              </w:numPr>
              <w:spacing w:before="60" w:after="60"/>
              <w:ind w:left="1094" w:hanging="357"/>
              <w:rPr>
                <w:rFonts w:cs="Arial"/>
              </w:rPr>
            </w:pPr>
            <w:r w:rsidRPr="002C3D3C">
              <w:rPr>
                <w:rFonts w:cs="Arial"/>
              </w:rPr>
              <w:t xml:space="preserve">strong evidence for alteration of cell proliferation </w:t>
            </w:r>
            <w:r w:rsidR="002C3D3C" w:rsidRPr="002C3D3C">
              <w:rPr>
                <w:rFonts w:cs="Arial"/>
              </w:rPr>
              <w:t>and tumour cell receptor interactions in thyroid and breasts</w:t>
            </w:r>
          </w:p>
          <w:p w14:paraId="11FA8A22" w14:textId="77777777" w:rsidR="002C3D3C" w:rsidRPr="002C3D3C" w:rsidRDefault="002C3D3C" w:rsidP="00D07F2C">
            <w:pPr>
              <w:pStyle w:val="Tablefont"/>
              <w:numPr>
                <w:ilvl w:val="1"/>
                <w:numId w:val="1"/>
              </w:numPr>
              <w:spacing w:before="60" w:after="60"/>
              <w:ind w:left="1094" w:hanging="357"/>
              <w:rPr>
                <w:rFonts w:cs="Arial"/>
              </w:rPr>
            </w:pPr>
            <w:r w:rsidRPr="002C3D3C">
              <w:rPr>
                <w:rFonts w:cs="Arial"/>
              </w:rPr>
              <w:t>strong evidence for inflammation due to excess oxidative stress</w:t>
            </w:r>
          </w:p>
          <w:p w14:paraId="5391F492" w14:textId="77777777" w:rsidR="004966BF" w:rsidRPr="002C3D3C" w:rsidRDefault="002C3D3C" w:rsidP="00D07F2C">
            <w:pPr>
              <w:pStyle w:val="Tablefont"/>
              <w:numPr>
                <w:ilvl w:val="1"/>
                <w:numId w:val="1"/>
              </w:numPr>
              <w:spacing w:before="60" w:after="60"/>
              <w:ind w:left="1094" w:hanging="357"/>
              <w:rPr>
                <w:rFonts w:cs="Arial"/>
              </w:rPr>
            </w:pPr>
            <w:r w:rsidRPr="002C3D3C">
              <w:rPr>
                <w:rFonts w:cs="Arial"/>
              </w:rPr>
              <w:t>limited evidence for positive</w:t>
            </w:r>
            <w:r w:rsidR="00EB56AD" w:rsidRPr="002C3D3C">
              <w:rPr>
                <w:rFonts w:cs="Arial"/>
              </w:rPr>
              <w:t xml:space="preserve"> association with non-Hodgkin lymphoma and cancer of the prostate</w:t>
            </w:r>
            <w:r w:rsidRPr="002C3D3C">
              <w:rPr>
                <w:rFonts w:cs="Arial"/>
              </w:rPr>
              <w:t xml:space="preserve"> incidence in humans</w:t>
            </w:r>
            <w:r w:rsidR="002832A0">
              <w:rPr>
                <w:rFonts w:cs="Arial"/>
              </w:rPr>
              <w:t>.</w:t>
            </w:r>
          </w:p>
          <w:p w14:paraId="2160640D" w14:textId="77777777" w:rsidR="00EB56AD" w:rsidRPr="002C3D3C" w:rsidRDefault="002C3D3C" w:rsidP="00D07F2C">
            <w:pPr>
              <w:pStyle w:val="Tablefont"/>
              <w:numPr>
                <w:ilvl w:val="0"/>
                <w:numId w:val="1"/>
              </w:numPr>
              <w:spacing w:before="60" w:after="60"/>
              <w:ind w:left="714" w:hanging="357"/>
              <w:rPr>
                <w:rFonts w:cs="Arial"/>
              </w:rPr>
            </w:pPr>
            <w:r w:rsidRPr="002C3D3C">
              <w:rPr>
                <w:rFonts w:cs="Arial"/>
              </w:rPr>
              <w:t>S</w:t>
            </w:r>
            <w:r w:rsidR="00EB56AD" w:rsidRPr="002C3D3C">
              <w:rPr>
                <w:rFonts w:cs="Arial"/>
              </w:rPr>
              <w:t xml:space="preserve">ufficient evidence </w:t>
            </w:r>
            <w:r w:rsidRPr="002C3D3C">
              <w:rPr>
                <w:rFonts w:cs="Arial"/>
              </w:rPr>
              <w:t xml:space="preserve">for carcinogenicity </w:t>
            </w:r>
            <w:r w:rsidR="00EB56AD" w:rsidRPr="002C3D3C">
              <w:rPr>
                <w:rFonts w:cs="Arial"/>
              </w:rPr>
              <w:t xml:space="preserve">in </w:t>
            </w:r>
            <w:r w:rsidRPr="002C3D3C">
              <w:rPr>
                <w:rFonts w:cs="Arial"/>
              </w:rPr>
              <w:t>animals</w:t>
            </w:r>
          </w:p>
          <w:p w14:paraId="09EB067E" w14:textId="144D0BC4" w:rsidR="00EB56AD" w:rsidRPr="002C3D3C" w:rsidRDefault="002C3D3C" w:rsidP="00D07F2C">
            <w:pPr>
              <w:pStyle w:val="Tablefont"/>
              <w:numPr>
                <w:ilvl w:val="0"/>
                <w:numId w:val="1"/>
              </w:numPr>
              <w:spacing w:before="60" w:after="60"/>
              <w:ind w:left="714" w:hanging="357"/>
              <w:rPr>
                <w:rFonts w:cs="Arial"/>
              </w:rPr>
            </w:pPr>
            <w:r w:rsidRPr="002C3D3C">
              <w:rPr>
                <w:rFonts w:cs="Arial"/>
              </w:rPr>
              <w:t>Substance</w:t>
            </w:r>
            <w:r w:rsidR="00EB56AD" w:rsidRPr="002C3D3C">
              <w:rPr>
                <w:rFonts w:cs="Arial"/>
              </w:rPr>
              <w:t xml:space="preserve"> probably carcinogenic to humans (Group 2A)</w:t>
            </w:r>
          </w:p>
          <w:p w14:paraId="1864B2FE" w14:textId="77777777" w:rsidR="00655C78" w:rsidRPr="00EB56AD" w:rsidRDefault="00655C78" w:rsidP="00D07F2C">
            <w:pPr>
              <w:pStyle w:val="Tablefont"/>
              <w:numPr>
                <w:ilvl w:val="0"/>
                <w:numId w:val="1"/>
              </w:numPr>
              <w:spacing w:before="60" w:after="60"/>
              <w:ind w:left="714" w:hanging="357"/>
              <w:rPr>
                <w:rStyle w:val="checkbox"/>
                <w:rFonts w:ascii="Arial" w:hAnsi="Arial" w:cs="Arial"/>
              </w:rPr>
            </w:pPr>
            <w:r>
              <w:t>Malathion was found to be a weak contact sensitizer, inducing mild cutaneous reaction in high proportion of subjects</w:t>
            </w:r>
            <w:r w:rsidR="002832A0">
              <w:t>.</w:t>
            </w:r>
          </w:p>
        </w:tc>
      </w:tr>
      <w:tr w:rsidR="004966BF" w:rsidRPr="004C23F4" w14:paraId="322E3D37" w14:textId="77777777" w:rsidTr="00200B0D">
        <w:tc>
          <w:tcPr>
            <w:tcW w:w="1488" w:type="dxa"/>
          </w:tcPr>
          <w:p w14:paraId="542857D9" w14:textId="77777777" w:rsidR="004966BF" w:rsidRPr="004C23F4" w:rsidRDefault="004966BF" w:rsidP="00224EE2">
            <w:pPr>
              <w:pStyle w:val="Tablefont"/>
            </w:pPr>
            <w:r>
              <w:t>US EPA</w:t>
            </w:r>
          </w:p>
        </w:tc>
        <w:tc>
          <w:tcPr>
            <w:tcW w:w="422" w:type="dxa"/>
          </w:tcPr>
          <w:p w14:paraId="2ABF0FDA" w14:textId="77777777" w:rsidR="004966BF" w:rsidRPr="00CE617F" w:rsidRDefault="004A4BC7"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3B1CE5">
                  <w:rPr>
                    <w:rStyle w:val="checkbox"/>
                  </w:rPr>
                  <w:t></w:t>
                </w:r>
              </w:sdtContent>
            </w:sdt>
          </w:p>
        </w:tc>
        <w:tc>
          <w:tcPr>
            <w:tcW w:w="661" w:type="dxa"/>
          </w:tcPr>
          <w:p w14:paraId="7ECFE6DF" w14:textId="77777777" w:rsidR="004966BF" w:rsidRPr="004C23F4" w:rsidRDefault="00EB56AD" w:rsidP="00717D45">
            <w:pPr>
              <w:pStyle w:val="Tablefont"/>
              <w:rPr>
                <w:rStyle w:val="checkbox"/>
                <w:rFonts w:ascii="Arial" w:hAnsi="Arial" w:cs="Arial"/>
              </w:rPr>
            </w:pPr>
            <w:r>
              <w:rPr>
                <w:rStyle w:val="checkbox"/>
                <w:rFonts w:ascii="Arial" w:hAnsi="Arial" w:cs="Arial"/>
              </w:rPr>
              <w:t>1987</w:t>
            </w:r>
          </w:p>
        </w:tc>
        <w:tc>
          <w:tcPr>
            <w:tcW w:w="6455" w:type="dxa"/>
          </w:tcPr>
          <w:p w14:paraId="08D90090" w14:textId="6F1A7B5D" w:rsidR="00EB56AD" w:rsidRDefault="00EB56AD" w:rsidP="00D07F2C">
            <w:pPr>
              <w:pStyle w:val="Tablefont"/>
              <w:numPr>
                <w:ilvl w:val="0"/>
                <w:numId w:val="1"/>
              </w:numPr>
              <w:spacing w:before="60" w:after="60"/>
              <w:ind w:left="714" w:hanging="357"/>
              <w:rPr>
                <w:rStyle w:val="checkbox"/>
                <w:rFonts w:ascii="Arial" w:hAnsi="Arial" w:cs="Arial"/>
              </w:rPr>
            </w:pPr>
            <w:r>
              <w:rPr>
                <w:rStyle w:val="checkbox"/>
                <w:rFonts w:ascii="Arial" w:hAnsi="Arial" w:cs="Arial"/>
              </w:rPr>
              <w:t>Oral RfD derived principally from repeat oral dose study in volunteers with NOAEL of 16 mg</w:t>
            </w:r>
            <w:r w:rsidR="00B55B08">
              <w:rPr>
                <w:rStyle w:val="checkbox"/>
                <w:rFonts w:ascii="Arial" w:hAnsi="Arial" w:cs="Arial"/>
              </w:rPr>
              <w:t>/kg</w:t>
            </w:r>
            <w:r>
              <w:rPr>
                <w:rStyle w:val="checkbox"/>
                <w:rFonts w:ascii="Arial" w:hAnsi="Arial" w:cs="Arial"/>
              </w:rPr>
              <w:t>/d (also cited in ACGIH, 2018)</w:t>
            </w:r>
          </w:p>
          <w:p w14:paraId="07F7380F" w14:textId="77777777" w:rsidR="00EB56AD" w:rsidRPr="004C23F4" w:rsidRDefault="00EB56AD" w:rsidP="00D07F2C">
            <w:pPr>
              <w:pStyle w:val="Tablefont"/>
              <w:numPr>
                <w:ilvl w:val="0"/>
                <w:numId w:val="1"/>
              </w:numPr>
              <w:spacing w:before="60" w:after="60"/>
              <w:ind w:left="714" w:hanging="357"/>
              <w:rPr>
                <w:rStyle w:val="checkbox"/>
                <w:rFonts w:ascii="Arial" w:hAnsi="Arial" w:cs="Arial"/>
              </w:rPr>
            </w:pPr>
            <w:r>
              <w:rPr>
                <w:rStyle w:val="checkbox"/>
                <w:rFonts w:ascii="Arial" w:hAnsi="Arial" w:cs="Arial"/>
              </w:rPr>
              <w:t>Carcinogenic potential not yet assessed</w:t>
            </w:r>
            <w:r w:rsidR="002832A0">
              <w:rPr>
                <w:rStyle w:val="checkbox"/>
                <w:rFonts w:ascii="Arial" w:hAnsi="Arial" w:cs="Arial"/>
              </w:rPr>
              <w:t>.</w:t>
            </w:r>
          </w:p>
        </w:tc>
      </w:tr>
      <w:tr w:rsidR="004966BF" w:rsidRPr="004C23F4" w14:paraId="2A398A8A" w14:textId="77777777" w:rsidTr="00200B0D">
        <w:tc>
          <w:tcPr>
            <w:tcW w:w="1488" w:type="dxa"/>
          </w:tcPr>
          <w:p w14:paraId="32EF2F70" w14:textId="77777777" w:rsidR="004966BF" w:rsidRDefault="004966BF" w:rsidP="00224EE2">
            <w:pPr>
              <w:pStyle w:val="Tablefont"/>
            </w:pPr>
            <w:r>
              <w:t>US NIOSH</w:t>
            </w:r>
          </w:p>
        </w:tc>
        <w:tc>
          <w:tcPr>
            <w:tcW w:w="422" w:type="dxa"/>
          </w:tcPr>
          <w:p w14:paraId="1CFBA7F8" w14:textId="77777777" w:rsidR="004966BF" w:rsidRDefault="004A4BC7"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DB687E">
                  <w:rPr>
                    <w:rStyle w:val="checkbox"/>
                  </w:rPr>
                  <w:t></w:t>
                </w:r>
              </w:sdtContent>
            </w:sdt>
          </w:p>
        </w:tc>
        <w:tc>
          <w:tcPr>
            <w:tcW w:w="661" w:type="dxa"/>
          </w:tcPr>
          <w:p w14:paraId="7D67851F" w14:textId="77777777" w:rsidR="004966BF" w:rsidRPr="004C23F4" w:rsidRDefault="00DB687E" w:rsidP="00717D45">
            <w:pPr>
              <w:pStyle w:val="Tablefont"/>
              <w:rPr>
                <w:rStyle w:val="checkbox"/>
                <w:rFonts w:ascii="Arial" w:hAnsi="Arial" w:cs="Arial"/>
              </w:rPr>
            </w:pPr>
            <w:r>
              <w:rPr>
                <w:rStyle w:val="checkbox"/>
                <w:rFonts w:ascii="Arial" w:hAnsi="Arial" w:cs="Arial"/>
              </w:rPr>
              <w:t>1994</w:t>
            </w:r>
          </w:p>
        </w:tc>
        <w:tc>
          <w:tcPr>
            <w:tcW w:w="6455" w:type="dxa"/>
          </w:tcPr>
          <w:p w14:paraId="076AE0AA" w14:textId="77777777" w:rsidR="004966BF" w:rsidRPr="004C23F4" w:rsidRDefault="00DB4ADC" w:rsidP="00D07F2C">
            <w:pPr>
              <w:pStyle w:val="Tablefont"/>
              <w:numPr>
                <w:ilvl w:val="0"/>
                <w:numId w:val="3"/>
              </w:numPr>
              <w:spacing w:before="60" w:after="60"/>
              <w:ind w:left="714" w:hanging="357"/>
              <w:rPr>
                <w:rStyle w:val="checkbox"/>
                <w:rFonts w:ascii="Arial" w:hAnsi="Arial" w:cs="Arial"/>
              </w:rPr>
            </w:pPr>
            <w:r w:rsidRPr="00DB4ADC">
              <w:rPr>
                <w:rFonts w:cs="Arial"/>
              </w:rPr>
              <w:t>IDLH based on</w:t>
            </w:r>
            <w:r w:rsidR="00DB687E">
              <w:rPr>
                <w:rFonts w:cs="Arial"/>
              </w:rPr>
              <w:t xml:space="preserve"> acute toxicity data in humans</w:t>
            </w:r>
            <w:r w:rsidR="002832A0">
              <w:rPr>
                <w:rFonts w:cs="Arial"/>
              </w:rPr>
              <w:t>.</w:t>
            </w:r>
          </w:p>
        </w:tc>
      </w:tr>
    </w:tbl>
    <w:p w14:paraId="7C848D1F" w14:textId="77777777" w:rsidR="007E2A4B" w:rsidRDefault="007E2A4B"/>
    <w:bookmarkEnd w:id="0"/>
    <w:p w14:paraId="0426D8EC" w14:textId="77777777" w:rsidR="007E2A4B" w:rsidRDefault="007E2A4B" w:rsidP="00647FF6">
      <w:pPr>
        <w:pStyle w:val="Heading3"/>
        <w:keepNext w:val="0"/>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3308C6D0" w14:textId="77777777" w:rsidTr="00200B0D">
        <w:trPr>
          <w:trHeight w:val="454"/>
          <w:tblHeader/>
        </w:trPr>
        <w:tc>
          <w:tcPr>
            <w:tcW w:w="6603" w:type="dxa"/>
            <w:vAlign w:val="center"/>
          </w:tcPr>
          <w:p w14:paraId="615C968C" w14:textId="77777777" w:rsidR="002E0D61" w:rsidRDefault="00B1422A" w:rsidP="00647FF6">
            <w:pPr>
              <w:pStyle w:val="Tablefont"/>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38085745" w14:textId="77777777" w:rsidR="002E0D61" w:rsidRDefault="003B1CE5" w:rsidP="00647FF6">
                <w:pPr>
                  <w:pStyle w:val="Tablefont"/>
                  <w:spacing w:before="40" w:after="40"/>
                </w:pPr>
                <w:r>
                  <w:t>Insufficient data</w:t>
                </w:r>
              </w:p>
            </w:tc>
          </w:sdtContent>
        </w:sdt>
      </w:tr>
      <w:tr w:rsidR="008A36CF" w14:paraId="4499296B" w14:textId="77777777" w:rsidTr="00200B0D">
        <w:trPr>
          <w:trHeight w:val="454"/>
        </w:trPr>
        <w:tc>
          <w:tcPr>
            <w:tcW w:w="6603" w:type="dxa"/>
            <w:vAlign w:val="center"/>
          </w:tcPr>
          <w:p w14:paraId="72BFDDBF" w14:textId="77777777" w:rsidR="008A36CF" w:rsidRDefault="008A36CF" w:rsidP="00647FF6">
            <w:pPr>
              <w:pStyle w:val="Tablefont"/>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3" w:type="dxa"/>
                <w:vAlign w:val="center"/>
              </w:tcPr>
              <w:p w14:paraId="45AACD77" w14:textId="77777777" w:rsidR="008A36CF" w:rsidRDefault="003B1CE5" w:rsidP="00647FF6">
                <w:pPr>
                  <w:pStyle w:val="Tablefont"/>
                  <w:spacing w:before="40" w:after="40"/>
                </w:pPr>
                <w:r>
                  <w:t>Insufficient data</w:t>
                </w:r>
              </w:p>
            </w:tc>
          </w:sdtContent>
        </w:sdt>
      </w:tr>
      <w:tr w:rsidR="00A72B81" w14:paraId="6EACB799" w14:textId="77777777" w:rsidTr="009C0A5D">
        <w:trPr>
          <w:trHeight w:val="454"/>
        </w:trPr>
        <w:sdt>
          <w:sdtPr>
            <w:rPr>
              <w:b/>
            </w:rPr>
            <w:id w:val="1830936485"/>
            <w:placeholder>
              <w:docPart w:val="FFA920B7382F4C6AA902AE8AA0246B62"/>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450BBF0A" w14:textId="6F3F9113" w:rsidR="00A72B81" w:rsidRDefault="00A72B81" w:rsidP="00647FF6">
                <w:pPr>
                  <w:pStyle w:val="Tablefont"/>
                  <w:spacing w:before="40" w:after="40"/>
                </w:pPr>
                <w:r>
                  <w:rPr>
                    <w:b/>
                  </w:rPr>
                  <w:t>Insufficient data are available to determine if the chemical is a non-threshold based genotoxic carcinogen.</w:t>
                </w:r>
              </w:p>
            </w:tc>
          </w:sdtContent>
        </w:sdt>
      </w:tr>
    </w:tbl>
    <w:bookmarkEnd w:id="1"/>
    <w:p w14:paraId="730C6808" w14:textId="77777777" w:rsidR="00687890" w:rsidRPr="004C23F4" w:rsidRDefault="00B479A9" w:rsidP="00474E33">
      <w:pPr>
        <w:pStyle w:val="Heading2"/>
      </w:pPr>
      <w:r w:rsidRPr="004C23F4">
        <w:lastRenderedPageBreak/>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5E417742" w14:textId="77777777" w:rsidTr="00B84C08">
        <w:trPr>
          <w:cantSplit/>
          <w:tblHeader/>
        </w:trPr>
        <w:tc>
          <w:tcPr>
            <w:tcW w:w="3153" w:type="dxa"/>
            <w:shd w:val="clear" w:color="auto" w:fill="BFBFBF" w:themeFill="background1" w:themeFillShade="BF"/>
            <w:vAlign w:val="center"/>
          </w:tcPr>
          <w:p w14:paraId="3DFFFA0F" w14:textId="77777777" w:rsidR="00687890" w:rsidRPr="004C23F4" w:rsidRDefault="00687890" w:rsidP="00263255">
            <w:pPr>
              <w:pStyle w:val="Tableheader"/>
            </w:pPr>
            <w:bookmarkStart w:id="2" w:name="Notations"/>
            <w:r w:rsidRPr="004C23F4">
              <w:t>Source</w:t>
            </w:r>
          </w:p>
        </w:tc>
        <w:tc>
          <w:tcPr>
            <w:tcW w:w="5873" w:type="dxa"/>
            <w:shd w:val="clear" w:color="auto" w:fill="BFBFBF" w:themeFill="background1" w:themeFillShade="BF"/>
            <w:vAlign w:val="center"/>
          </w:tcPr>
          <w:p w14:paraId="2028F4BB" w14:textId="77777777" w:rsidR="00687890" w:rsidRPr="004C23F4" w:rsidRDefault="00687890" w:rsidP="00F4402E">
            <w:pPr>
              <w:pStyle w:val="Tableheader"/>
              <w:tabs>
                <w:tab w:val="right" w:pos="5272"/>
              </w:tabs>
            </w:pPr>
            <w:r w:rsidRPr="004C23F4">
              <w:t>Notations</w:t>
            </w:r>
            <w:r w:rsidR="003A2B94">
              <w:tab/>
            </w:r>
          </w:p>
        </w:tc>
      </w:tr>
      <w:tr w:rsidR="00687890" w:rsidRPr="004C23F4" w14:paraId="19D12C9C" w14:textId="77777777" w:rsidTr="00B84C08">
        <w:trPr>
          <w:cantSplit/>
        </w:trPr>
        <w:tc>
          <w:tcPr>
            <w:tcW w:w="3153" w:type="dxa"/>
          </w:tcPr>
          <w:p w14:paraId="10890A34" w14:textId="77777777" w:rsidR="004079B4" w:rsidRPr="004C23F4" w:rsidRDefault="00084513" w:rsidP="00F4402E">
            <w:pPr>
              <w:pStyle w:val="Tablefont"/>
            </w:pPr>
            <w:r w:rsidRPr="004C23F4">
              <w:t>SWA</w:t>
            </w:r>
          </w:p>
        </w:tc>
        <w:tc>
          <w:tcPr>
            <w:tcW w:w="5873" w:type="dxa"/>
          </w:tcPr>
          <w:p w14:paraId="74591D97" w14:textId="77777777" w:rsidR="00687890" w:rsidRPr="00DD2F9B" w:rsidRDefault="004B71CC" w:rsidP="004B71CC">
            <w:pPr>
              <w:pStyle w:val="Tablefont"/>
            </w:pPr>
            <w:r>
              <w:t>—</w:t>
            </w:r>
          </w:p>
        </w:tc>
      </w:tr>
      <w:tr w:rsidR="007925F0" w:rsidRPr="004C23F4" w14:paraId="7CE4D6AD" w14:textId="77777777" w:rsidTr="00B84C08">
        <w:trPr>
          <w:cantSplit/>
        </w:trPr>
        <w:tc>
          <w:tcPr>
            <w:tcW w:w="3153" w:type="dxa"/>
          </w:tcPr>
          <w:p w14:paraId="08A90ECD" w14:textId="77777777" w:rsidR="004079B4" w:rsidRPr="004C23F4" w:rsidRDefault="007925F0" w:rsidP="00F4402E">
            <w:pPr>
              <w:pStyle w:val="Tablefont"/>
            </w:pPr>
            <w:r>
              <w:t>HCIS</w:t>
            </w:r>
          </w:p>
        </w:tc>
        <w:tc>
          <w:tcPr>
            <w:tcW w:w="5873" w:type="dxa"/>
          </w:tcPr>
          <w:p w14:paraId="58A995CE" w14:textId="77777777" w:rsidR="007925F0" w:rsidRPr="00DD2F9B" w:rsidRDefault="004B71CC" w:rsidP="00DD2F9B">
            <w:pPr>
              <w:pStyle w:val="Tablefont"/>
            </w:pPr>
            <w:r w:rsidRPr="004B71CC">
              <w:t>Skin sensitisation – category 1</w:t>
            </w:r>
          </w:p>
        </w:tc>
      </w:tr>
      <w:tr w:rsidR="00AF483F" w:rsidRPr="004C23F4" w14:paraId="1264DBB0" w14:textId="77777777" w:rsidTr="00B84C08">
        <w:trPr>
          <w:cantSplit/>
        </w:trPr>
        <w:tc>
          <w:tcPr>
            <w:tcW w:w="3153" w:type="dxa"/>
          </w:tcPr>
          <w:p w14:paraId="720C98B1" w14:textId="77777777" w:rsidR="00AF483F" w:rsidRPr="004C23F4" w:rsidRDefault="00AF483F" w:rsidP="00F4402E">
            <w:pPr>
              <w:pStyle w:val="Tablefont"/>
            </w:pPr>
            <w:r>
              <w:t>NICNAS</w:t>
            </w:r>
          </w:p>
        </w:tc>
        <w:tc>
          <w:tcPr>
            <w:tcW w:w="5873" w:type="dxa"/>
          </w:tcPr>
          <w:p w14:paraId="684AA33A" w14:textId="77777777" w:rsidR="00AF483F" w:rsidRPr="00DD2F9B" w:rsidRDefault="00017FE7" w:rsidP="00DD2F9B">
            <w:pPr>
              <w:pStyle w:val="Tablefont"/>
            </w:pPr>
            <w:r>
              <w:t>NA</w:t>
            </w:r>
          </w:p>
        </w:tc>
      </w:tr>
      <w:tr w:rsidR="00B84C08" w:rsidRPr="004C23F4" w14:paraId="1739D2E8" w14:textId="77777777" w:rsidTr="00B84C08">
        <w:trPr>
          <w:cantSplit/>
        </w:trPr>
        <w:tc>
          <w:tcPr>
            <w:tcW w:w="3153" w:type="dxa"/>
          </w:tcPr>
          <w:p w14:paraId="424CACD4" w14:textId="77777777" w:rsidR="00B84C08" w:rsidRPr="004C23F4" w:rsidRDefault="00B84C08" w:rsidP="00B84C08">
            <w:pPr>
              <w:pStyle w:val="Tablefont"/>
            </w:pPr>
            <w:r w:rsidRPr="004C23F4">
              <w:t>EU Annex</w:t>
            </w:r>
          </w:p>
        </w:tc>
        <w:tc>
          <w:tcPr>
            <w:tcW w:w="5873" w:type="dxa"/>
          </w:tcPr>
          <w:p w14:paraId="128F1C35" w14:textId="77777777" w:rsidR="00B84C08" w:rsidRPr="00DD2F9B" w:rsidRDefault="00B84C08" w:rsidP="00B84C08">
            <w:pPr>
              <w:pStyle w:val="Tablefont"/>
            </w:pPr>
            <w:r w:rsidRPr="004B71CC">
              <w:t>Skin sensitisation – category 1</w:t>
            </w:r>
          </w:p>
        </w:tc>
      </w:tr>
      <w:tr w:rsidR="00E41A26" w:rsidRPr="004C23F4" w14:paraId="23267D23" w14:textId="77777777" w:rsidTr="00B84C08">
        <w:trPr>
          <w:cantSplit/>
        </w:trPr>
        <w:tc>
          <w:tcPr>
            <w:tcW w:w="3153" w:type="dxa"/>
          </w:tcPr>
          <w:p w14:paraId="205CC3DB" w14:textId="77777777" w:rsidR="00E41A26" w:rsidRDefault="00E41A26" w:rsidP="00F4402E">
            <w:pPr>
              <w:pStyle w:val="Tablefont"/>
            </w:pPr>
            <w:r>
              <w:t>ECHA</w:t>
            </w:r>
          </w:p>
        </w:tc>
        <w:tc>
          <w:tcPr>
            <w:tcW w:w="5873" w:type="dxa"/>
          </w:tcPr>
          <w:p w14:paraId="21D27D88" w14:textId="77777777" w:rsidR="00E41A26" w:rsidRPr="00DD2F9B" w:rsidRDefault="00017FE7" w:rsidP="00DD2F9B">
            <w:pPr>
              <w:pStyle w:val="Tablefont"/>
            </w:pPr>
            <w:r>
              <w:t>NA</w:t>
            </w:r>
          </w:p>
        </w:tc>
      </w:tr>
      <w:tr w:rsidR="002E0D61" w:rsidRPr="004C23F4" w14:paraId="50911EFC" w14:textId="77777777" w:rsidTr="00B84C08">
        <w:trPr>
          <w:cantSplit/>
        </w:trPr>
        <w:tc>
          <w:tcPr>
            <w:tcW w:w="3153" w:type="dxa"/>
          </w:tcPr>
          <w:p w14:paraId="169B5A12" w14:textId="77777777" w:rsidR="004079B4" w:rsidRPr="004C23F4" w:rsidRDefault="002E0D61" w:rsidP="00F4402E">
            <w:pPr>
              <w:pStyle w:val="Tablefont"/>
            </w:pPr>
            <w:r>
              <w:t>ACGIH</w:t>
            </w:r>
          </w:p>
        </w:tc>
        <w:tc>
          <w:tcPr>
            <w:tcW w:w="5873" w:type="dxa"/>
          </w:tcPr>
          <w:p w14:paraId="60DB1A69" w14:textId="77777777" w:rsidR="002E0D61" w:rsidRPr="00DD2F9B" w:rsidRDefault="00B84C08" w:rsidP="00B84C08">
            <w:r>
              <w:t>Carcinogenicity – A4</w:t>
            </w:r>
            <w:r w:rsidR="00017FE7">
              <w:t>, Skin</w:t>
            </w:r>
          </w:p>
        </w:tc>
      </w:tr>
      <w:tr w:rsidR="002E0D61" w:rsidRPr="004C23F4" w14:paraId="107771C6" w14:textId="77777777" w:rsidTr="00B84C08">
        <w:trPr>
          <w:cantSplit/>
        </w:trPr>
        <w:tc>
          <w:tcPr>
            <w:tcW w:w="3153" w:type="dxa"/>
          </w:tcPr>
          <w:p w14:paraId="6A5E9883" w14:textId="77777777" w:rsidR="004079B4" w:rsidRPr="004C23F4" w:rsidRDefault="002E0D61" w:rsidP="00F4402E">
            <w:pPr>
              <w:pStyle w:val="Tablefont"/>
            </w:pPr>
            <w:r>
              <w:t>DFG</w:t>
            </w:r>
          </w:p>
        </w:tc>
        <w:tc>
          <w:tcPr>
            <w:tcW w:w="5873" w:type="dxa"/>
          </w:tcPr>
          <w:p w14:paraId="4A0DDA2B" w14:textId="77777777" w:rsidR="002E0D61" w:rsidRPr="00DD2F9B" w:rsidRDefault="00297499" w:rsidP="00DD2F9B">
            <w:pPr>
              <w:pStyle w:val="Tablefont"/>
            </w:pPr>
            <w:r>
              <w:t>—</w:t>
            </w:r>
          </w:p>
        </w:tc>
      </w:tr>
      <w:tr w:rsidR="002E0D61" w:rsidRPr="004C23F4" w14:paraId="7047FF45" w14:textId="77777777" w:rsidTr="00B84C08">
        <w:trPr>
          <w:cantSplit/>
        </w:trPr>
        <w:tc>
          <w:tcPr>
            <w:tcW w:w="3153" w:type="dxa"/>
          </w:tcPr>
          <w:p w14:paraId="51547DB7" w14:textId="77777777" w:rsidR="004079B4" w:rsidRPr="004C23F4" w:rsidRDefault="002E0D61" w:rsidP="00F4402E">
            <w:pPr>
              <w:pStyle w:val="Tablefont"/>
            </w:pPr>
            <w:r>
              <w:t>SCOEL</w:t>
            </w:r>
          </w:p>
        </w:tc>
        <w:tc>
          <w:tcPr>
            <w:tcW w:w="5873" w:type="dxa"/>
          </w:tcPr>
          <w:p w14:paraId="3167A594" w14:textId="77777777" w:rsidR="002E0D61" w:rsidRPr="00DD2F9B" w:rsidRDefault="00017FE7" w:rsidP="00DD2F9B">
            <w:pPr>
              <w:pStyle w:val="Tablefont"/>
            </w:pPr>
            <w:r>
              <w:t>NA</w:t>
            </w:r>
          </w:p>
        </w:tc>
      </w:tr>
      <w:tr w:rsidR="002E0D61" w:rsidRPr="004C23F4" w14:paraId="1319F08C" w14:textId="77777777" w:rsidTr="00B84C08">
        <w:trPr>
          <w:cantSplit/>
        </w:trPr>
        <w:tc>
          <w:tcPr>
            <w:tcW w:w="3153" w:type="dxa"/>
          </w:tcPr>
          <w:p w14:paraId="1518F879" w14:textId="77777777" w:rsidR="004079B4" w:rsidRDefault="002E0D61" w:rsidP="00F4402E">
            <w:pPr>
              <w:pStyle w:val="Tablefont"/>
            </w:pPr>
            <w:r>
              <w:t>HCOTN</w:t>
            </w:r>
          </w:p>
        </w:tc>
        <w:tc>
          <w:tcPr>
            <w:tcW w:w="5873" w:type="dxa"/>
          </w:tcPr>
          <w:p w14:paraId="7A00FDEA" w14:textId="77777777" w:rsidR="002E0D61" w:rsidRPr="00DD2F9B" w:rsidRDefault="00017FE7" w:rsidP="00DD2F9B">
            <w:pPr>
              <w:pStyle w:val="Tablefont"/>
            </w:pPr>
            <w:r>
              <w:t>NA</w:t>
            </w:r>
          </w:p>
        </w:tc>
      </w:tr>
      <w:tr w:rsidR="00386093" w:rsidRPr="004C23F4" w14:paraId="76C3B847" w14:textId="77777777" w:rsidTr="00B84C08">
        <w:trPr>
          <w:cantSplit/>
        </w:trPr>
        <w:tc>
          <w:tcPr>
            <w:tcW w:w="3153" w:type="dxa"/>
          </w:tcPr>
          <w:p w14:paraId="652DEC1F" w14:textId="77777777" w:rsidR="004079B4" w:rsidRDefault="00386093" w:rsidP="00F4402E">
            <w:pPr>
              <w:pStyle w:val="Tablefont"/>
            </w:pPr>
            <w:r>
              <w:t>IARC</w:t>
            </w:r>
          </w:p>
        </w:tc>
        <w:tc>
          <w:tcPr>
            <w:tcW w:w="5873" w:type="dxa"/>
          </w:tcPr>
          <w:p w14:paraId="2DC8431F" w14:textId="77777777" w:rsidR="00386093" w:rsidRPr="00DD2F9B" w:rsidRDefault="00B84C08" w:rsidP="00B84C08">
            <w:r>
              <w:t>Carcinogenicity – Group 2A</w:t>
            </w:r>
          </w:p>
        </w:tc>
      </w:tr>
      <w:tr w:rsidR="00386093" w:rsidRPr="004C23F4" w14:paraId="360E0968" w14:textId="77777777" w:rsidTr="00B84C08">
        <w:trPr>
          <w:cantSplit/>
        </w:trPr>
        <w:tc>
          <w:tcPr>
            <w:tcW w:w="3153" w:type="dxa"/>
          </w:tcPr>
          <w:p w14:paraId="4D816897" w14:textId="77777777" w:rsidR="004079B4" w:rsidRDefault="00386093" w:rsidP="00F4402E">
            <w:pPr>
              <w:pStyle w:val="Tablefont"/>
              <w:keepNext/>
            </w:pPr>
            <w:r>
              <w:t>US NIOSH</w:t>
            </w:r>
          </w:p>
        </w:tc>
        <w:tc>
          <w:tcPr>
            <w:tcW w:w="5873" w:type="dxa"/>
          </w:tcPr>
          <w:p w14:paraId="789638CD" w14:textId="77777777" w:rsidR="00386093" w:rsidRPr="00DD2F9B" w:rsidRDefault="00017FE7" w:rsidP="00D87570">
            <w:pPr>
              <w:pStyle w:val="Tablefont"/>
              <w:keepNext/>
            </w:pPr>
            <w:r>
              <w:t>NA</w:t>
            </w:r>
          </w:p>
        </w:tc>
      </w:tr>
    </w:tbl>
    <w:bookmarkEnd w:id="2"/>
    <w:p w14:paraId="538BBB37"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3299FE0E"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124C8C8D" w14:textId="77777777" w:rsidTr="00EA6243">
        <w:trPr>
          <w:cantSplit/>
          <w:tblHeader/>
        </w:trPr>
        <w:tc>
          <w:tcPr>
            <w:tcW w:w="5000" w:type="pct"/>
            <w:shd w:val="clear" w:color="auto" w:fill="BFBFBF" w:themeFill="background1" w:themeFillShade="BF"/>
            <w:vAlign w:val="center"/>
          </w:tcPr>
          <w:p w14:paraId="58B42717"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548FEFF8" w14:textId="77777777" w:rsidTr="00EA6243">
        <w:trPr>
          <w:cantSplit/>
          <w:tblHeader/>
        </w:trPr>
        <w:tc>
          <w:tcPr>
            <w:tcW w:w="5000" w:type="pct"/>
            <w:vAlign w:val="center"/>
          </w:tcPr>
          <w:tbl>
            <w:tblPr>
              <w:tblW w:w="5000" w:type="pct"/>
              <w:tblLook w:val="04A0" w:firstRow="1" w:lastRow="0" w:firstColumn="1" w:lastColumn="0" w:noHBand="0" w:noVBand="1"/>
            </w:tblPr>
            <w:tblGrid>
              <w:gridCol w:w="1868"/>
              <w:gridCol w:w="1286"/>
              <w:gridCol w:w="4370"/>
              <w:gridCol w:w="1286"/>
            </w:tblGrid>
            <w:tr w:rsidR="00A72B81" w:rsidRPr="00A72B81" w14:paraId="09728D54" w14:textId="77777777" w:rsidTr="00A72B81">
              <w:trPr>
                <w:trHeight w:val="240"/>
              </w:trPr>
              <w:tc>
                <w:tcPr>
                  <w:tcW w:w="1060" w:type="pct"/>
                  <w:tcBorders>
                    <w:top w:val="nil"/>
                    <w:left w:val="nil"/>
                    <w:bottom w:val="nil"/>
                    <w:right w:val="nil"/>
                  </w:tcBorders>
                  <w:shd w:val="clear" w:color="000000" w:fill="C5D9F1"/>
                  <w:noWrap/>
                  <w:vAlign w:val="center"/>
                  <w:hideMark/>
                </w:tcPr>
                <w:p w14:paraId="03971D21" w14:textId="77777777" w:rsidR="00A72B81" w:rsidRPr="00A72B81" w:rsidRDefault="00A72B81" w:rsidP="00A72B81">
                  <w:pPr>
                    <w:spacing w:after="0" w:line="240" w:lineRule="auto"/>
                    <w:rPr>
                      <w:rFonts w:ascii="Segoe UI" w:eastAsia="Times New Roman" w:hAnsi="Segoe UI" w:cs="Segoe UI"/>
                      <w:b/>
                      <w:bCs/>
                      <w:color w:val="000000"/>
                      <w:sz w:val="18"/>
                      <w:szCs w:val="18"/>
                      <w:lang w:eastAsia="en-AU"/>
                    </w:rPr>
                  </w:pPr>
                  <w:r w:rsidRPr="00A72B81">
                    <w:rPr>
                      <w:rFonts w:ascii="Segoe UI" w:eastAsia="Times New Roman" w:hAnsi="Segoe UI" w:cs="Segoe UI"/>
                      <w:b/>
                      <w:bCs/>
                      <w:color w:val="000000"/>
                      <w:sz w:val="18"/>
                      <w:szCs w:val="18"/>
                      <w:lang w:eastAsia="en-AU"/>
                    </w:rPr>
                    <w:t>Conclusion:</w:t>
                  </w:r>
                </w:p>
              </w:tc>
              <w:tc>
                <w:tcPr>
                  <w:tcW w:w="730" w:type="pct"/>
                  <w:tcBorders>
                    <w:top w:val="nil"/>
                    <w:left w:val="nil"/>
                    <w:bottom w:val="nil"/>
                    <w:right w:val="nil"/>
                  </w:tcBorders>
                  <w:shd w:val="clear" w:color="000000" w:fill="C5D9F1"/>
                  <w:noWrap/>
                  <w:vAlign w:val="center"/>
                  <w:hideMark/>
                </w:tcPr>
                <w:p w14:paraId="57452911"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2480" w:type="pct"/>
                  <w:tcBorders>
                    <w:top w:val="nil"/>
                    <w:left w:val="nil"/>
                    <w:bottom w:val="nil"/>
                    <w:right w:val="nil"/>
                  </w:tcBorders>
                  <w:shd w:val="clear" w:color="000000" w:fill="C5D9F1"/>
                  <w:noWrap/>
                  <w:vAlign w:val="center"/>
                  <w:hideMark/>
                </w:tcPr>
                <w:p w14:paraId="13456638"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730" w:type="pct"/>
                  <w:tcBorders>
                    <w:top w:val="nil"/>
                    <w:left w:val="nil"/>
                    <w:bottom w:val="nil"/>
                    <w:right w:val="nil"/>
                  </w:tcBorders>
                  <w:shd w:val="clear" w:color="000000" w:fill="C5D9F1"/>
                  <w:noWrap/>
                  <w:vAlign w:val="center"/>
                  <w:hideMark/>
                </w:tcPr>
                <w:p w14:paraId="686F1B2D" w14:textId="77777777" w:rsidR="00A72B81" w:rsidRPr="00A72B81" w:rsidRDefault="00A72B81" w:rsidP="00A72B81">
                  <w:pPr>
                    <w:spacing w:after="0" w:line="240" w:lineRule="auto"/>
                    <w:jc w:val="center"/>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r>
            <w:tr w:rsidR="00A72B81" w:rsidRPr="00A72B81" w14:paraId="65FFC3D2" w14:textId="77777777" w:rsidTr="00A72B81">
              <w:trPr>
                <w:trHeight w:val="342"/>
              </w:trPr>
              <w:tc>
                <w:tcPr>
                  <w:tcW w:w="1060" w:type="pct"/>
                  <w:tcBorders>
                    <w:top w:val="nil"/>
                    <w:left w:val="nil"/>
                    <w:bottom w:val="nil"/>
                    <w:right w:val="nil"/>
                  </w:tcBorders>
                  <w:shd w:val="clear" w:color="000000" w:fill="C5D9F1"/>
                  <w:noWrap/>
                  <w:vAlign w:val="center"/>
                  <w:hideMark/>
                </w:tcPr>
                <w:p w14:paraId="0AA48C49" w14:textId="77777777" w:rsidR="00A72B81" w:rsidRPr="00A72B81" w:rsidRDefault="00A72B81" w:rsidP="00A72B81">
                  <w:pPr>
                    <w:spacing w:after="0" w:line="240" w:lineRule="auto"/>
                    <w:rPr>
                      <w:rFonts w:ascii="Segoe UI" w:eastAsia="Times New Roman" w:hAnsi="Segoe UI" w:cs="Segoe UI"/>
                      <w:b/>
                      <w:bCs/>
                      <w:color w:val="000000"/>
                      <w:sz w:val="18"/>
                      <w:szCs w:val="18"/>
                      <w:lang w:eastAsia="en-AU"/>
                    </w:rPr>
                  </w:pPr>
                  <w:r w:rsidRPr="00A72B81">
                    <w:rPr>
                      <w:rFonts w:ascii="Segoe UI" w:eastAsia="Times New Roman" w:hAnsi="Segoe UI" w:cs="Segoe UI"/>
                      <w:b/>
                      <w:bCs/>
                      <w:color w:val="000000"/>
                      <w:sz w:val="18"/>
                      <w:szCs w:val="18"/>
                      <w:lang w:eastAsia="en-AU"/>
                    </w:rPr>
                    <w:t> </w:t>
                  </w:r>
                </w:p>
              </w:tc>
              <w:tc>
                <w:tcPr>
                  <w:tcW w:w="3210" w:type="pct"/>
                  <w:gridSpan w:val="2"/>
                  <w:tcBorders>
                    <w:top w:val="nil"/>
                    <w:left w:val="nil"/>
                    <w:bottom w:val="nil"/>
                    <w:right w:val="nil"/>
                  </w:tcBorders>
                  <w:shd w:val="clear" w:color="000000" w:fill="C5D9F1"/>
                  <w:noWrap/>
                  <w:vAlign w:val="center"/>
                  <w:hideMark/>
                </w:tcPr>
                <w:p w14:paraId="415236BF" w14:textId="5C8C1216"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Adverse effects in human case study:</w:t>
                  </w:r>
                </w:p>
              </w:tc>
              <w:tc>
                <w:tcPr>
                  <w:tcW w:w="730" w:type="pct"/>
                  <w:tcBorders>
                    <w:top w:val="nil"/>
                    <w:left w:val="nil"/>
                    <w:bottom w:val="nil"/>
                    <w:right w:val="nil"/>
                  </w:tcBorders>
                  <w:shd w:val="clear" w:color="000000" w:fill="FFEB9C"/>
                  <w:noWrap/>
                  <w:vAlign w:val="center"/>
                  <w:hideMark/>
                </w:tcPr>
                <w:p w14:paraId="0A0B13B5" w14:textId="77777777" w:rsidR="00A72B81" w:rsidRPr="00A72B81" w:rsidRDefault="00A72B81" w:rsidP="00A72B81">
                  <w:pPr>
                    <w:spacing w:after="0" w:line="240" w:lineRule="auto"/>
                    <w:jc w:val="center"/>
                    <w:rPr>
                      <w:rFonts w:ascii="Segoe UI" w:eastAsia="Times New Roman" w:hAnsi="Segoe UI" w:cs="Segoe UI"/>
                      <w:color w:val="9C6500"/>
                      <w:sz w:val="18"/>
                      <w:szCs w:val="18"/>
                      <w:lang w:eastAsia="en-AU"/>
                    </w:rPr>
                  </w:pPr>
                  <w:r w:rsidRPr="00A72B81">
                    <w:rPr>
                      <w:rFonts w:ascii="Segoe UI" w:eastAsia="Times New Roman" w:hAnsi="Segoe UI" w:cs="Segoe UI"/>
                      <w:color w:val="9C6500"/>
                      <w:sz w:val="18"/>
                      <w:szCs w:val="18"/>
                      <w:lang w:eastAsia="en-AU"/>
                    </w:rPr>
                    <w:t>yes</w:t>
                  </w:r>
                </w:p>
              </w:tc>
            </w:tr>
            <w:tr w:rsidR="00A72B81" w:rsidRPr="00A72B81" w14:paraId="5A1A25A6" w14:textId="77777777" w:rsidTr="00A72B81">
              <w:trPr>
                <w:trHeight w:val="342"/>
              </w:trPr>
              <w:tc>
                <w:tcPr>
                  <w:tcW w:w="1060" w:type="pct"/>
                  <w:tcBorders>
                    <w:top w:val="nil"/>
                    <w:left w:val="nil"/>
                    <w:bottom w:val="nil"/>
                    <w:right w:val="nil"/>
                  </w:tcBorders>
                  <w:shd w:val="clear" w:color="000000" w:fill="C5D9F1"/>
                  <w:noWrap/>
                  <w:vAlign w:val="center"/>
                  <w:hideMark/>
                </w:tcPr>
                <w:p w14:paraId="20082A8E"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3210" w:type="pct"/>
                  <w:gridSpan w:val="2"/>
                  <w:tcBorders>
                    <w:top w:val="nil"/>
                    <w:left w:val="nil"/>
                    <w:bottom w:val="nil"/>
                    <w:right w:val="nil"/>
                  </w:tcBorders>
                  <w:shd w:val="clear" w:color="000000" w:fill="C5D9F1"/>
                  <w:noWrap/>
                  <w:vAlign w:val="center"/>
                  <w:hideMark/>
                </w:tcPr>
                <w:p w14:paraId="067310B6" w14:textId="10D3397C"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Dermal LD</w:t>
                  </w:r>
                  <w:r w:rsidRPr="00A72B81">
                    <w:rPr>
                      <w:rFonts w:ascii="Segoe UI" w:eastAsia="Times New Roman" w:hAnsi="Segoe UI" w:cs="Segoe UI"/>
                      <w:color w:val="000000"/>
                      <w:sz w:val="18"/>
                      <w:szCs w:val="18"/>
                      <w:vertAlign w:val="subscript"/>
                      <w:lang w:eastAsia="en-AU"/>
                    </w:rPr>
                    <w:t>50</w:t>
                  </w:r>
                  <w:r w:rsidRPr="00A72B81">
                    <w:rPr>
                      <w:rFonts w:ascii="Segoe UI" w:eastAsia="Times New Roman" w:hAnsi="Segoe UI" w:cs="Segoe UI"/>
                      <w:color w:val="000000"/>
                      <w:sz w:val="18"/>
                      <w:szCs w:val="18"/>
                      <w:lang w:eastAsia="en-AU"/>
                    </w:rPr>
                    <w:t xml:space="preserve"> ≤1000 mg/kg:</w:t>
                  </w:r>
                </w:p>
              </w:tc>
              <w:tc>
                <w:tcPr>
                  <w:tcW w:w="730" w:type="pct"/>
                  <w:tcBorders>
                    <w:top w:val="nil"/>
                    <w:left w:val="nil"/>
                    <w:bottom w:val="nil"/>
                    <w:right w:val="nil"/>
                  </w:tcBorders>
                  <w:shd w:val="clear" w:color="000000" w:fill="C5D9F1"/>
                  <w:noWrap/>
                  <w:vAlign w:val="center"/>
                  <w:hideMark/>
                </w:tcPr>
                <w:p w14:paraId="0754C51A" w14:textId="77777777" w:rsidR="00A72B81" w:rsidRPr="00A72B81" w:rsidRDefault="00A72B81" w:rsidP="00A72B81">
                  <w:pPr>
                    <w:spacing w:after="0" w:line="240" w:lineRule="auto"/>
                    <w:jc w:val="center"/>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r>
            <w:tr w:rsidR="00A72B81" w:rsidRPr="00A72B81" w14:paraId="4A012EF9" w14:textId="77777777" w:rsidTr="00A72B81">
              <w:trPr>
                <w:trHeight w:val="342"/>
              </w:trPr>
              <w:tc>
                <w:tcPr>
                  <w:tcW w:w="1060" w:type="pct"/>
                  <w:tcBorders>
                    <w:top w:val="nil"/>
                    <w:left w:val="nil"/>
                    <w:bottom w:val="nil"/>
                    <w:right w:val="nil"/>
                  </w:tcBorders>
                  <w:shd w:val="clear" w:color="000000" w:fill="C5D9F1"/>
                  <w:noWrap/>
                  <w:vAlign w:val="center"/>
                  <w:hideMark/>
                </w:tcPr>
                <w:p w14:paraId="38233BC7"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3210" w:type="pct"/>
                  <w:gridSpan w:val="2"/>
                  <w:tcBorders>
                    <w:top w:val="nil"/>
                    <w:left w:val="nil"/>
                    <w:bottom w:val="nil"/>
                    <w:right w:val="nil"/>
                  </w:tcBorders>
                  <w:shd w:val="clear" w:color="000000" w:fill="C5D9F1"/>
                  <w:noWrap/>
                  <w:vAlign w:val="center"/>
                  <w:hideMark/>
                </w:tcPr>
                <w:p w14:paraId="6AF691A6" w14:textId="69F1EDC2"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Dermal repeat-dose NOAEL ≤200 mg/kg:</w:t>
                  </w:r>
                </w:p>
              </w:tc>
              <w:tc>
                <w:tcPr>
                  <w:tcW w:w="730" w:type="pct"/>
                  <w:tcBorders>
                    <w:top w:val="nil"/>
                    <w:left w:val="nil"/>
                    <w:bottom w:val="nil"/>
                    <w:right w:val="nil"/>
                  </w:tcBorders>
                  <w:shd w:val="clear" w:color="000000" w:fill="C5D9F1"/>
                  <w:noWrap/>
                  <w:vAlign w:val="center"/>
                  <w:hideMark/>
                </w:tcPr>
                <w:p w14:paraId="103E8857" w14:textId="77777777" w:rsidR="00A72B81" w:rsidRPr="00A72B81" w:rsidRDefault="00A72B81" w:rsidP="00A72B81">
                  <w:pPr>
                    <w:spacing w:after="0" w:line="240" w:lineRule="auto"/>
                    <w:jc w:val="center"/>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r>
            <w:tr w:rsidR="00A72B81" w:rsidRPr="00A72B81" w14:paraId="15A7352D" w14:textId="77777777" w:rsidTr="00A72B81">
              <w:trPr>
                <w:trHeight w:val="342"/>
              </w:trPr>
              <w:tc>
                <w:tcPr>
                  <w:tcW w:w="1060" w:type="pct"/>
                  <w:tcBorders>
                    <w:top w:val="nil"/>
                    <w:left w:val="nil"/>
                    <w:bottom w:val="nil"/>
                    <w:right w:val="nil"/>
                  </w:tcBorders>
                  <w:shd w:val="clear" w:color="000000" w:fill="C5D9F1"/>
                  <w:noWrap/>
                  <w:vAlign w:val="center"/>
                  <w:hideMark/>
                </w:tcPr>
                <w:p w14:paraId="2A73D73B"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3210" w:type="pct"/>
                  <w:gridSpan w:val="2"/>
                  <w:tcBorders>
                    <w:top w:val="nil"/>
                    <w:left w:val="nil"/>
                    <w:bottom w:val="nil"/>
                    <w:right w:val="nil"/>
                  </w:tcBorders>
                  <w:shd w:val="clear" w:color="000000" w:fill="C5D9F1"/>
                  <w:noWrap/>
                  <w:vAlign w:val="center"/>
                  <w:hideMark/>
                </w:tcPr>
                <w:p w14:paraId="6CD3B7C6" w14:textId="1083EC20"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Dermal LD</w:t>
                  </w:r>
                  <w:r w:rsidRPr="00A72B81">
                    <w:rPr>
                      <w:rFonts w:ascii="Segoe UI" w:eastAsia="Times New Roman" w:hAnsi="Segoe UI" w:cs="Segoe UI"/>
                      <w:color w:val="000000"/>
                      <w:sz w:val="18"/>
                      <w:szCs w:val="18"/>
                      <w:vertAlign w:val="subscript"/>
                      <w:lang w:eastAsia="en-AU"/>
                    </w:rPr>
                    <w:t>50</w:t>
                  </w:r>
                  <w:r w:rsidRPr="00A72B81">
                    <w:rPr>
                      <w:rFonts w:ascii="Segoe UI" w:eastAsia="Times New Roman" w:hAnsi="Segoe UI" w:cs="Segoe UI"/>
                      <w:color w:val="000000"/>
                      <w:sz w:val="18"/>
                      <w:szCs w:val="18"/>
                      <w:lang w:eastAsia="en-AU"/>
                    </w:rPr>
                    <w:t>/Inhalation LD</w:t>
                  </w:r>
                  <w:r w:rsidRPr="00A72B81">
                    <w:rPr>
                      <w:rFonts w:ascii="Segoe UI" w:eastAsia="Times New Roman" w:hAnsi="Segoe UI" w:cs="Segoe UI"/>
                      <w:color w:val="000000"/>
                      <w:sz w:val="18"/>
                      <w:szCs w:val="18"/>
                      <w:vertAlign w:val="subscript"/>
                      <w:lang w:eastAsia="en-AU"/>
                    </w:rPr>
                    <w:t>50</w:t>
                  </w:r>
                  <w:r w:rsidRPr="00A72B81">
                    <w:rPr>
                      <w:rFonts w:ascii="Segoe UI" w:eastAsia="Times New Roman" w:hAnsi="Segoe UI" w:cs="Segoe UI"/>
                      <w:color w:val="000000"/>
                      <w:sz w:val="18"/>
                      <w:szCs w:val="18"/>
                      <w:lang w:eastAsia="en-AU"/>
                    </w:rPr>
                    <w:t xml:space="preserve"> &lt;10:</w:t>
                  </w:r>
                </w:p>
              </w:tc>
              <w:tc>
                <w:tcPr>
                  <w:tcW w:w="730" w:type="pct"/>
                  <w:tcBorders>
                    <w:top w:val="nil"/>
                    <w:left w:val="nil"/>
                    <w:bottom w:val="nil"/>
                    <w:right w:val="nil"/>
                  </w:tcBorders>
                  <w:shd w:val="clear" w:color="000000" w:fill="C5D9F1"/>
                  <w:noWrap/>
                  <w:vAlign w:val="center"/>
                  <w:hideMark/>
                </w:tcPr>
                <w:p w14:paraId="113E148E" w14:textId="77777777" w:rsidR="00A72B81" w:rsidRPr="00A72B81" w:rsidRDefault="00A72B81" w:rsidP="00A72B81">
                  <w:pPr>
                    <w:spacing w:after="0" w:line="240" w:lineRule="auto"/>
                    <w:jc w:val="center"/>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r>
            <w:tr w:rsidR="00A72B81" w:rsidRPr="00A72B81" w14:paraId="53A6973E" w14:textId="77777777" w:rsidTr="00A72B81">
              <w:trPr>
                <w:trHeight w:val="342"/>
              </w:trPr>
              <w:tc>
                <w:tcPr>
                  <w:tcW w:w="1060" w:type="pct"/>
                  <w:tcBorders>
                    <w:top w:val="nil"/>
                    <w:left w:val="nil"/>
                    <w:bottom w:val="nil"/>
                    <w:right w:val="nil"/>
                  </w:tcBorders>
                  <w:shd w:val="clear" w:color="000000" w:fill="C5D9F1"/>
                  <w:noWrap/>
                  <w:vAlign w:val="center"/>
                  <w:hideMark/>
                </w:tcPr>
                <w:p w14:paraId="4AAFAB8E"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3210" w:type="pct"/>
                  <w:gridSpan w:val="2"/>
                  <w:tcBorders>
                    <w:top w:val="nil"/>
                    <w:left w:val="nil"/>
                    <w:bottom w:val="nil"/>
                    <w:right w:val="nil"/>
                  </w:tcBorders>
                  <w:shd w:val="clear" w:color="000000" w:fill="C5D9F1"/>
                  <w:noWrap/>
                  <w:vAlign w:val="center"/>
                  <w:hideMark/>
                </w:tcPr>
                <w:p w14:paraId="728C9C25" w14:textId="764D79E8" w:rsidR="00A72B81" w:rsidRPr="00A72B81" w:rsidRDefault="00A72B81" w:rsidP="00A72B81">
                  <w:pPr>
                    <w:spacing w:after="0" w:line="240" w:lineRule="auto"/>
                    <w:rPr>
                      <w:rFonts w:ascii="Segoe UI" w:eastAsia="Times New Roman" w:hAnsi="Segoe UI" w:cs="Segoe UI"/>
                      <w:i/>
                      <w:iCs/>
                      <w:color w:val="000000"/>
                      <w:sz w:val="18"/>
                      <w:szCs w:val="18"/>
                      <w:lang w:eastAsia="en-AU"/>
                    </w:rPr>
                  </w:pPr>
                  <w:r w:rsidRPr="00A72B81">
                    <w:rPr>
                      <w:rFonts w:ascii="Segoe UI" w:eastAsia="Times New Roman" w:hAnsi="Segoe UI" w:cs="Segoe UI"/>
                      <w:color w:val="000000"/>
                      <w:sz w:val="18"/>
                      <w:szCs w:val="18"/>
                      <w:lang w:eastAsia="en-AU"/>
                    </w:rPr>
                    <w:t> </w:t>
                  </w:r>
                  <w:r w:rsidRPr="00A72B81">
                    <w:rPr>
                      <w:rFonts w:ascii="Segoe UI" w:eastAsia="Times New Roman" w:hAnsi="Segoe UI" w:cs="Segoe UI"/>
                      <w:i/>
                      <w:iCs/>
                      <w:color w:val="000000"/>
                      <w:sz w:val="18"/>
                      <w:szCs w:val="18"/>
                      <w:lang w:eastAsia="en-AU"/>
                    </w:rPr>
                    <w:t>In vivo</w:t>
                  </w:r>
                  <w:r w:rsidRPr="00A72B81">
                    <w:rPr>
                      <w:rFonts w:ascii="Segoe UI" w:eastAsia="Times New Roman" w:hAnsi="Segoe UI" w:cs="Segoe UI"/>
                      <w:color w:val="000000"/>
                      <w:sz w:val="18"/>
                      <w:szCs w:val="18"/>
                      <w:lang w:eastAsia="en-AU"/>
                    </w:rPr>
                    <w:t xml:space="preserve"> dermal absorption rate &gt;10%:</w:t>
                  </w:r>
                </w:p>
              </w:tc>
              <w:tc>
                <w:tcPr>
                  <w:tcW w:w="730" w:type="pct"/>
                  <w:tcBorders>
                    <w:top w:val="nil"/>
                    <w:left w:val="nil"/>
                    <w:bottom w:val="nil"/>
                    <w:right w:val="nil"/>
                  </w:tcBorders>
                  <w:shd w:val="clear" w:color="000000" w:fill="C5D9F1"/>
                  <w:noWrap/>
                  <w:vAlign w:val="center"/>
                  <w:hideMark/>
                </w:tcPr>
                <w:p w14:paraId="174F2E0E" w14:textId="77777777" w:rsidR="00A72B81" w:rsidRPr="00A72B81" w:rsidRDefault="00A72B81" w:rsidP="00A72B81">
                  <w:pPr>
                    <w:spacing w:after="0" w:line="240" w:lineRule="auto"/>
                    <w:jc w:val="center"/>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r>
            <w:tr w:rsidR="00A72B81" w:rsidRPr="00A72B81" w14:paraId="7284B691" w14:textId="77777777" w:rsidTr="00A72B81">
              <w:trPr>
                <w:trHeight w:val="342"/>
              </w:trPr>
              <w:tc>
                <w:tcPr>
                  <w:tcW w:w="1060" w:type="pct"/>
                  <w:tcBorders>
                    <w:top w:val="nil"/>
                    <w:left w:val="nil"/>
                    <w:bottom w:val="nil"/>
                    <w:right w:val="nil"/>
                  </w:tcBorders>
                  <w:shd w:val="clear" w:color="000000" w:fill="C5D9F1"/>
                  <w:noWrap/>
                  <w:vAlign w:val="center"/>
                  <w:hideMark/>
                </w:tcPr>
                <w:p w14:paraId="3904FC4B"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3210" w:type="pct"/>
                  <w:gridSpan w:val="2"/>
                  <w:tcBorders>
                    <w:top w:val="nil"/>
                    <w:left w:val="nil"/>
                    <w:bottom w:val="nil"/>
                    <w:right w:val="nil"/>
                  </w:tcBorders>
                  <w:shd w:val="clear" w:color="000000" w:fill="C5D9F1"/>
                  <w:noWrap/>
                  <w:vAlign w:val="center"/>
                  <w:hideMark/>
                </w:tcPr>
                <w:p w14:paraId="7964C05F" w14:textId="403F8855"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Estimated dermal exposure at WES &gt;10%:</w:t>
                  </w:r>
                </w:p>
              </w:tc>
              <w:tc>
                <w:tcPr>
                  <w:tcW w:w="730" w:type="pct"/>
                  <w:tcBorders>
                    <w:top w:val="nil"/>
                    <w:left w:val="nil"/>
                    <w:bottom w:val="nil"/>
                    <w:right w:val="nil"/>
                  </w:tcBorders>
                  <w:shd w:val="clear" w:color="000000" w:fill="C5D9F1"/>
                  <w:noWrap/>
                  <w:vAlign w:val="center"/>
                  <w:hideMark/>
                </w:tcPr>
                <w:p w14:paraId="2935081B" w14:textId="77777777" w:rsidR="00A72B81" w:rsidRPr="00A72B81" w:rsidRDefault="00A72B81" w:rsidP="00A72B81">
                  <w:pPr>
                    <w:spacing w:after="0" w:line="240" w:lineRule="auto"/>
                    <w:jc w:val="center"/>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r>
            <w:tr w:rsidR="00A72B81" w:rsidRPr="00A72B81" w14:paraId="41B860E8" w14:textId="77777777" w:rsidTr="00A72B81">
              <w:trPr>
                <w:trHeight w:val="342"/>
              </w:trPr>
              <w:tc>
                <w:tcPr>
                  <w:tcW w:w="1060" w:type="pct"/>
                  <w:tcBorders>
                    <w:top w:val="nil"/>
                    <w:left w:val="nil"/>
                    <w:bottom w:val="nil"/>
                    <w:right w:val="nil"/>
                  </w:tcBorders>
                  <w:shd w:val="clear" w:color="000000" w:fill="C5D9F1"/>
                  <w:noWrap/>
                  <w:vAlign w:val="center"/>
                  <w:hideMark/>
                </w:tcPr>
                <w:p w14:paraId="685CD2CF"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730" w:type="pct"/>
                  <w:tcBorders>
                    <w:top w:val="nil"/>
                    <w:left w:val="nil"/>
                    <w:bottom w:val="nil"/>
                    <w:right w:val="nil"/>
                  </w:tcBorders>
                  <w:shd w:val="clear" w:color="000000" w:fill="C5D9F1"/>
                  <w:noWrap/>
                  <w:vAlign w:val="center"/>
                  <w:hideMark/>
                </w:tcPr>
                <w:p w14:paraId="4C102C09" w14:textId="77777777" w:rsidR="00A72B81" w:rsidRPr="00A72B81" w:rsidRDefault="00A72B81" w:rsidP="00A72B81">
                  <w:pPr>
                    <w:spacing w:after="0" w:line="240" w:lineRule="auto"/>
                    <w:rPr>
                      <w:rFonts w:ascii="Segoe UI" w:eastAsia="Times New Roman" w:hAnsi="Segoe UI" w:cs="Segoe UI"/>
                      <w:color w:val="000000"/>
                      <w:sz w:val="18"/>
                      <w:szCs w:val="18"/>
                      <w:lang w:eastAsia="en-AU"/>
                    </w:rPr>
                  </w:pPr>
                  <w:r w:rsidRPr="00A72B81">
                    <w:rPr>
                      <w:rFonts w:ascii="Segoe UI" w:eastAsia="Times New Roman" w:hAnsi="Segoe UI" w:cs="Segoe UI"/>
                      <w:color w:val="000000"/>
                      <w:sz w:val="18"/>
                      <w:szCs w:val="18"/>
                      <w:lang w:eastAsia="en-AU"/>
                    </w:rPr>
                    <w:t> </w:t>
                  </w:r>
                </w:p>
              </w:tc>
              <w:tc>
                <w:tcPr>
                  <w:tcW w:w="3210" w:type="pct"/>
                  <w:gridSpan w:val="2"/>
                  <w:tcBorders>
                    <w:top w:val="nil"/>
                    <w:left w:val="nil"/>
                    <w:bottom w:val="nil"/>
                    <w:right w:val="nil"/>
                  </w:tcBorders>
                  <w:shd w:val="clear" w:color="000000" w:fill="C5D9F1"/>
                  <w:noWrap/>
                  <w:vAlign w:val="center"/>
                  <w:hideMark/>
                </w:tcPr>
                <w:p w14:paraId="0847B35B" w14:textId="6EBB5F04" w:rsidR="00A72B81" w:rsidRPr="00A72B81" w:rsidRDefault="00A72B81" w:rsidP="00A72B81">
                  <w:pPr>
                    <w:spacing w:after="0"/>
                    <w:jc w:val="right"/>
                    <w:rPr>
                      <w:rFonts w:ascii="Segoe UI" w:hAnsi="Segoe UI" w:cs="Segoe UI"/>
                      <w:b/>
                      <w:bCs/>
                      <w:color w:val="000000"/>
                      <w:sz w:val="18"/>
                      <w:szCs w:val="18"/>
                    </w:rPr>
                  </w:pPr>
                  <w:r>
                    <w:rPr>
                      <w:rFonts w:ascii="Segoe UI" w:hAnsi="Segoe UI" w:cs="Segoe UI"/>
                      <w:b/>
                      <w:bCs/>
                      <w:color w:val="000000"/>
                      <w:sz w:val="18"/>
                      <w:szCs w:val="18"/>
                    </w:rPr>
                    <w:t>a skin notation is warranted</w:t>
                  </w:r>
                  <w:r w:rsidRPr="00A72B81">
                    <w:rPr>
                      <w:rFonts w:ascii="Segoe UI" w:eastAsia="Times New Roman" w:hAnsi="Segoe UI" w:cs="Segoe UI"/>
                      <w:color w:val="000000"/>
                      <w:sz w:val="18"/>
                      <w:szCs w:val="18"/>
                      <w:lang w:eastAsia="en-AU"/>
                    </w:rPr>
                    <w:t> </w:t>
                  </w:r>
                </w:p>
              </w:tc>
            </w:tr>
          </w:tbl>
          <w:p w14:paraId="1DB8C5FB" w14:textId="24A8EE34" w:rsidR="00932DCE" w:rsidRPr="004C23F4" w:rsidRDefault="00932DCE" w:rsidP="00F9496B">
            <w:pPr>
              <w:pStyle w:val="Tablefont"/>
            </w:pPr>
          </w:p>
        </w:tc>
      </w:tr>
    </w:tbl>
    <w:bookmarkEnd w:id="3"/>
    <w:p w14:paraId="30F5E95E"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61373826" w14:textId="77777777" w:rsidTr="00610F2E">
        <w:trPr>
          <w:trHeight w:val="454"/>
          <w:tblHeader/>
        </w:trPr>
        <w:tc>
          <w:tcPr>
            <w:tcW w:w="4361" w:type="dxa"/>
            <w:vAlign w:val="center"/>
          </w:tcPr>
          <w:p w14:paraId="650680AE"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458382A1" w14:textId="77777777" w:rsidR="00EB3D1B" w:rsidRDefault="00017FE7" w:rsidP="00EB3D1B">
                <w:pPr>
                  <w:pStyle w:val="Tablefont"/>
                </w:pPr>
                <w:r>
                  <w:t>Yes</w:t>
                </w:r>
              </w:p>
            </w:tc>
          </w:sdtContent>
        </w:sdt>
      </w:tr>
    </w:tbl>
    <w:p w14:paraId="1E71E598"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1AFEBB19" w14:textId="77777777" w:rsidTr="00EA6243">
        <w:trPr>
          <w:cantSplit/>
          <w:tblHeader/>
        </w:trPr>
        <w:tc>
          <w:tcPr>
            <w:tcW w:w="4077" w:type="dxa"/>
            <w:vAlign w:val="center"/>
          </w:tcPr>
          <w:p w14:paraId="1281BF41"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1692DB96" w14:textId="77777777" w:rsidR="001B79E5" w:rsidRDefault="004B71CC" w:rsidP="001B79E5">
                <w:pPr>
                  <w:pStyle w:val="Tablefont"/>
                </w:pPr>
                <w:r>
                  <w:t>330.36</w:t>
                </w:r>
              </w:p>
            </w:tc>
          </w:sdtContent>
        </w:sdt>
      </w:tr>
      <w:tr w:rsidR="00A31D99" w:rsidRPr="004C23F4" w14:paraId="6EBCD75F" w14:textId="77777777" w:rsidTr="00EA6243">
        <w:trPr>
          <w:cantSplit/>
          <w:tblHeader/>
        </w:trPr>
        <w:tc>
          <w:tcPr>
            <w:tcW w:w="4077" w:type="dxa"/>
            <w:vAlign w:val="center"/>
          </w:tcPr>
          <w:p w14:paraId="395C6B00"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2981AC54"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1013F859" w14:textId="77777777" w:rsidTr="00EA6243">
        <w:trPr>
          <w:cantSplit/>
          <w:tblHeader/>
        </w:trPr>
        <w:tc>
          <w:tcPr>
            <w:tcW w:w="4077" w:type="dxa"/>
            <w:vAlign w:val="center"/>
          </w:tcPr>
          <w:p w14:paraId="5D9F54F1"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448A7E16" w14:textId="77777777" w:rsidR="00687890" w:rsidRPr="004C23F4" w:rsidRDefault="006C2054" w:rsidP="00717D45">
                <w:pPr>
                  <w:pStyle w:val="Tablefont"/>
                </w:pPr>
                <w:r>
                  <w:sym w:font="Wingdings" w:char="F0FC"/>
                </w:r>
              </w:p>
            </w:tc>
          </w:sdtContent>
        </w:sdt>
      </w:tr>
      <w:tr w:rsidR="00687890" w:rsidRPr="004C23F4" w14:paraId="3A26909F" w14:textId="77777777" w:rsidTr="00EA6243">
        <w:trPr>
          <w:cantSplit/>
        </w:trPr>
        <w:tc>
          <w:tcPr>
            <w:tcW w:w="4077" w:type="dxa"/>
            <w:vAlign w:val="center"/>
          </w:tcPr>
          <w:p w14:paraId="692B2673"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376F0BDB"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799479EA" w14:textId="77777777" w:rsidTr="00EA6243">
        <w:trPr>
          <w:cantSplit/>
        </w:trPr>
        <w:tc>
          <w:tcPr>
            <w:tcW w:w="4077" w:type="dxa"/>
            <w:vAlign w:val="center"/>
          </w:tcPr>
          <w:p w14:paraId="74870936" w14:textId="77777777" w:rsidR="00687890" w:rsidRPr="00263255" w:rsidRDefault="00687890" w:rsidP="00263255">
            <w:pPr>
              <w:pStyle w:val="Tablefont"/>
            </w:pPr>
            <w:r w:rsidRPr="00263255">
              <w:lastRenderedPageBreak/>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7B795A91"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20BDF10A" w14:textId="77777777" w:rsidTr="00EA6243">
        <w:trPr>
          <w:cantSplit/>
        </w:trPr>
        <w:tc>
          <w:tcPr>
            <w:tcW w:w="4077" w:type="dxa"/>
            <w:vAlign w:val="center"/>
          </w:tcPr>
          <w:p w14:paraId="5015EEFB"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747DFF74" w14:textId="77777777" w:rsidR="00E06F40" w:rsidRPr="00A006A0" w:rsidRDefault="004A4BC7" w:rsidP="00B40C60">
            <w:pPr>
              <w:pStyle w:val="Tablefont"/>
              <w:tabs>
                <w:tab w:val="left" w:pos="1310"/>
                <w:tab w:val="left" w:pos="2444"/>
                <w:tab w:val="left" w:pos="3861"/>
              </w:tabs>
            </w:pPr>
            <w:sdt>
              <w:sdtPr>
                <w:id w:val="92759666"/>
                <w14:checkbox>
                  <w14:checked w14:val="1"/>
                  <w14:checkedState w14:val="00FC" w14:font="Wingdings"/>
                  <w14:uncheckedState w14:val="2610" w14:font="MS Gothic"/>
                </w14:checkbox>
              </w:sdtPr>
              <w:sdtEndPr/>
              <w:sdtContent>
                <w:r w:rsidR="006C2054">
                  <w:sym w:font="Wingdings" w:char="F0FC"/>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31D4D5B0"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6259168B" w14:textId="77777777" w:rsidTr="00F053FA">
        <w:trPr>
          <w:tblHeader/>
        </w:trPr>
        <w:tc>
          <w:tcPr>
            <w:tcW w:w="4077" w:type="dxa"/>
            <w:shd w:val="clear" w:color="auto" w:fill="BFBFBF" w:themeFill="background1" w:themeFillShade="BF"/>
            <w:vAlign w:val="center"/>
          </w:tcPr>
          <w:p w14:paraId="4D169E99"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77CF2F5E" w14:textId="77777777" w:rsidR="00224EE2" w:rsidRPr="004C23F4" w:rsidRDefault="00224EE2" w:rsidP="00EB3D1B">
            <w:pPr>
              <w:pStyle w:val="Tableheader"/>
              <w:keepNext/>
              <w:keepLines/>
            </w:pPr>
            <w:r>
              <w:t>Standard</w:t>
            </w:r>
          </w:p>
        </w:tc>
      </w:tr>
      <w:tr w:rsidR="007F1005" w:rsidRPr="004C23F4" w14:paraId="7B94B776" w14:textId="77777777" w:rsidTr="00F053FA">
        <w:trPr>
          <w:tblHeader/>
        </w:trPr>
        <w:sdt>
          <w:sdtPr>
            <w:id w:val="-25557549"/>
            <w:placeholder>
              <w:docPart w:val="2BF891C0AB704CDAB9BC6E80D556473F"/>
            </w:placeholder>
            <w:showingPlcHdr/>
            <w:text/>
          </w:sdtPr>
          <w:sdtEndPr/>
          <w:sdtContent>
            <w:tc>
              <w:tcPr>
                <w:tcW w:w="4077" w:type="dxa"/>
                <w:vAlign w:val="center"/>
              </w:tcPr>
              <w:p w14:paraId="0EC2B3D5"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5E79A3FB" w14:textId="77777777" w:rsidR="007F1005" w:rsidRPr="004C23F4" w:rsidRDefault="007F1005" w:rsidP="00EB3D1B">
            <w:pPr>
              <w:pStyle w:val="Tablefont"/>
              <w:keepLines/>
            </w:pPr>
          </w:p>
        </w:tc>
      </w:tr>
    </w:tbl>
    <w:bookmarkEnd w:id="4"/>
    <w:p w14:paraId="134F1D8F" w14:textId="77777777" w:rsidR="00F87D92" w:rsidRDefault="00F87D92" w:rsidP="00EF7F78">
      <w:pPr>
        <w:pStyle w:val="Heading2"/>
        <w:tabs>
          <w:tab w:val="right" w:pos="8505"/>
        </w:tabs>
      </w:pPr>
      <w:r>
        <w:t>References</w:t>
      </w:r>
      <w:r w:rsidR="00EF7F78">
        <w:tab/>
      </w:r>
    </w:p>
    <w:p w14:paraId="5D2DBBCF"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3E8ACB44" w14:textId="77777777" w:rsidR="00017FE7" w:rsidRDefault="00017FE7" w:rsidP="00017FE7">
      <w:r w:rsidRPr="002022B6">
        <w:t>Deutsche Forschungsgemeinschaft (DFG)</w:t>
      </w:r>
      <w:r>
        <w:t xml:space="preserve"> (2007) Malathion – MAK value documentation.</w:t>
      </w:r>
    </w:p>
    <w:p w14:paraId="6DA4CC16" w14:textId="77777777" w:rsidR="002A39B5" w:rsidRDefault="002A39B5" w:rsidP="002A39B5">
      <w:pPr>
        <w:rPr>
          <w:b/>
        </w:rPr>
      </w:pPr>
      <w:r w:rsidRPr="002022B6">
        <w:t>International Agency for Research on Cancer</w:t>
      </w:r>
      <w:r>
        <w:t xml:space="preserve"> (IARC) (2017) Some organophosphate insecticides and herbicides. IARC Monographs on the evaluation of the carcinogenic risk to humans</w:t>
      </w:r>
      <w:r w:rsidR="00EB56AD">
        <w:t>, volume 112</w:t>
      </w:r>
      <w:r>
        <w:t>.</w:t>
      </w:r>
    </w:p>
    <w:p w14:paraId="663666C5" w14:textId="77777777" w:rsidR="003270DF" w:rsidRDefault="003270DF" w:rsidP="002832A0">
      <w:r>
        <w:t>National Industrial Chemicals Notification and Assessment Scheme (NICNAS) (2018) Butanedioic acid, [(dimethoxyphosphinothioyl)thio]-, diethyl ester: Human health tier I assessment – IMAP report.</w:t>
      </w:r>
    </w:p>
    <w:p w14:paraId="50117A4B" w14:textId="77777777" w:rsidR="002832A0" w:rsidRDefault="002832A0" w:rsidP="002832A0">
      <w:r w:rsidRPr="002A39B5">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498D6A35" w14:textId="77777777" w:rsidR="002A39B5" w:rsidRDefault="002A39B5" w:rsidP="002A39B5">
      <w:r w:rsidRPr="00D86E03">
        <w:t>US National Institute for Occupational Safety and Health (NIOSH)</w:t>
      </w:r>
      <w:r>
        <w:t xml:space="preserve"> (</w:t>
      </w:r>
      <w:r w:rsidR="0016291F">
        <w:t>1994</w:t>
      </w:r>
      <w:r>
        <w:t xml:space="preserve">) Immediately dangerous to life or health concentrations – </w:t>
      </w:r>
      <w:r w:rsidR="0016291F">
        <w:t>malathion</w:t>
      </w:r>
      <w:r>
        <w:t>.</w:t>
      </w:r>
    </w:p>
    <w:p w14:paraId="513060B9" w14:textId="77777777" w:rsidR="003270DF" w:rsidRDefault="003270DF" w:rsidP="002A39B5">
      <w:pPr>
        <w:rPr>
          <w:b/>
        </w:rPr>
      </w:pPr>
    </w:p>
    <w:p w14:paraId="47FB8182" w14:textId="77777777" w:rsidR="00017FE7" w:rsidRPr="00351FE0" w:rsidRDefault="00017FE7" w:rsidP="00084859"/>
    <w:sectPr w:rsidR="00017FE7" w:rsidRPr="00351FE0" w:rsidSect="00B87D4C">
      <w:headerReference w:type="default" r:id="rId18"/>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C66FE3" w16cid:durableId="21B2065C"/>
  <w16cid:commentId w16cid:paraId="75AEDB58" w16cid:durableId="21B20571"/>
  <w16cid:commentId w16cid:paraId="750EADCC" w16cid:durableId="21B207D8"/>
  <w16cid:commentId w16cid:paraId="0D9490DD" w16cid:durableId="21B2FBAF"/>
  <w16cid:commentId w16cid:paraId="61390FC6" w16cid:durableId="21B209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3E8C9" w14:textId="77777777" w:rsidR="005C13C4" w:rsidRDefault="005C13C4" w:rsidP="00F43AD5">
      <w:pPr>
        <w:spacing w:after="0" w:line="240" w:lineRule="auto"/>
      </w:pPr>
      <w:r>
        <w:separator/>
      </w:r>
    </w:p>
  </w:endnote>
  <w:endnote w:type="continuationSeparator" w:id="0">
    <w:p w14:paraId="34D9B5DE" w14:textId="77777777" w:rsidR="005C13C4" w:rsidRDefault="005C13C4"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919A" w14:textId="77777777" w:rsidR="004A4BC7" w:rsidRDefault="004A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1355DEA3" w14:textId="77777777" w:rsidR="008A36CF" w:rsidRDefault="004B71CC" w:rsidP="0034744C">
        <w:pPr>
          <w:pStyle w:val="Footer"/>
          <w:rPr>
            <w:sz w:val="18"/>
            <w:szCs w:val="18"/>
          </w:rPr>
        </w:pPr>
        <w:r>
          <w:rPr>
            <w:b/>
            <w:sz w:val="18"/>
            <w:szCs w:val="18"/>
          </w:rPr>
          <w:t>Malathion</w:t>
        </w:r>
        <w:r w:rsidR="008A36CF">
          <w:rPr>
            <w:b/>
            <w:sz w:val="18"/>
            <w:szCs w:val="18"/>
          </w:rPr>
          <w:t xml:space="preserve"> (</w:t>
        </w:r>
        <w:r>
          <w:rPr>
            <w:b/>
            <w:sz w:val="18"/>
            <w:szCs w:val="18"/>
          </w:rPr>
          <w:t>121-75-5</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14:paraId="604AC471" w14:textId="19CF5480"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4A4BC7">
          <w:rPr>
            <w:noProof/>
            <w:sz w:val="18"/>
            <w:szCs w:val="18"/>
          </w:rPr>
          <w:t>2</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04B8" w14:textId="77777777" w:rsidR="004A4BC7" w:rsidRDefault="004A4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559CF" w14:textId="77777777" w:rsidR="005C13C4" w:rsidRDefault="005C13C4" w:rsidP="00F43AD5">
      <w:pPr>
        <w:spacing w:after="0" w:line="240" w:lineRule="auto"/>
      </w:pPr>
      <w:r>
        <w:separator/>
      </w:r>
    </w:p>
  </w:footnote>
  <w:footnote w:type="continuationSeparator" w:id="0">
    <w:p w14:paraId="11ABF701" w14:textId="77777777" w:rsidR="005C13C4" w:rsidRDefault="005C13C4"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0DE2" w14:textId="77777777" w:rsidR="004A4BC7" w:rsidRDefault="004A4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B05E" w14:textId="636F2C17" w:rsidR="004A4BC7" w:rsidRDefault="004A4BC7" w:rsidP="004A4BC7">
    <w:pPr>
      <w:pStyle w:val="Header"/>
      <w:jc w:val="right"/>
    </w:pPr>
    <w:sdt>
      <w:sdtPr>
        <w:id w:val="-1659145495"/>
        <w:docPartObj>
          <w:docPartGallery w:val="Watermarks"/>
          <w:docPartUnique/>
        </w:docPartObj>
      </w:sdtPr>
      <w:sdtContent>
        <w:r>
          <w:pict w14:anchorId="45245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1E62249F" wp14:editId="3228D48E">
          <wp:extent cx="2941320" cy="586740"/>
          <wp:effectExtent l="0" t="0" r="0" b="381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49BD909A" w14:textId="100C5BA4" w:rsidR="008A36CF" w:rsidRPr="004A4BC7" w:rsidRDefault="008A36CF" w:rsidP="004A4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2725" w14:textId="77777777" w:rsidR="004A4BC7" w:rsidRDefault="004A4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E9FE" w14:textId="22014D06" w:rsidR="004A4BC7" w:rsidRDefault="004A4BC7" w:rsidP="004A4BC7">
    <w:pPr>
      <w:pStyle w:val="Header"/>
      <w:jc w:val="right"/>
    </w:pPr>
    <w:sdt>
      <w:sdtPr>
        <w:id w:val="-446081626"/>
        <w:docPartObj>
          <w:docPartGallery w:val="Watermarks"/>
          <w:docPartUnique/>
        </w:docPartObj>
      </w:sdtPr>
      <w:sdtContent>
        <w:r>
          <w:pict w14:anchorId="737B9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4"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68993A9B" wp14:editId="21BB1AD6">
          <wp:extent cx="2941320" cy="586740"/>
          <wp:effectExtent l="0" t="0" r="0" b="3810"/>
          <wp:docPr id="2" name="Picture 2"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6C09D220" w14:textId="77777777" w:rsidR="008A36CF" w:rsidRDefault="008A36CF"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2B7D"/>
    <w:multiLevelType w:val="hybridMultilevel"/>
    <w:tmpl w:val="4C721CCE"/>
    <w:lvl w:ilvl="0" w:tplc="EE02632E">
      <w:start w:val="5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79515D"/>
    <w:multiLevelType w:val="hybridMultilevel"/>
    <w:tmpl w:val="F4BC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2E2E69"/>
    <w:multiLevelType w:val="hybridMultilevel"/>
    <w:tmpl w:val="099039AA"/>
    <w:lvl w:ilvl="0" w:tplc="F5CE64CA">
      <w:start w:val="5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74B"/>
    <w:rsid w:val="00013A22"/>
    <w:rsid w:val="00014C3F"/>
    <w:rsid w:val="00017C82"/>
    <w:rsid w:val="00017FE7"/>
    <w:rsid w:val="000313A1"/>
    <w:rsid w:val="00032B88"/>
    <w:rsid w:val="00046DF5"/>
    <w:rsid w:val="00052060"/>
    <w:rsid w:val="0005574A"/>
    <w:rsid w:val="00055FE1"/>
    <w:rsid w:val="00056EC2"/>
    <w:rsid w:val="00060B48"/>
    <w:rsid w:val="00067F32"/>
    <w:rsid w:val="00071807"/>
    <w:rsid w:val="000772F9"/>
    <w:rsid w:val="000803E1"/>
    <w:rsid w:val="0008197A"/>
    <w:rsid w:val="00084513"/>
    <w:rsid w:val="00084859"/>
    <w:rsid w:val="00092D94"/>
    <w:rsid w:val="000B0868"/>
    <w:rsid w:val="000B3E12"/>
    <w:rsid w:val="000B3E78"/>
    <w:rsid w:val="000B7B48"/>
    <w:rsid w:val="000C096D"/>
    <w:rsid w:val="000C139A"/>
    <w:rsid w:val="000C2053"/>
    <w:rsid w:val="000C248C"/>
    <w:rsid w:val="000C3A76"/>
    <w:rsid w:val="000D291C"/>
    <w:rsid w:val="000D6951"/>
    <w:rsid w:val="000E5A54"/>
    <w:rsid w:val="000E63D3"/>
    <w:rsid w:val="000E67CF"/>
    <w:rsid w:val="0010461E"/>
    <w:rsid w:val="00106FAA"/>
    <w:rsid w:val="00113443"/>
    <w:rsid w:val="00123B46"/>
    <w:rsid w:val="001269A7"/>
    <w:rsid w:val="00131092"/>
    <w:rsid w:val="00140E6A"/>
    <w:rsid w:val="00146545"/>
    <w:rsid w:val="00146B75"/>
    <w:rsid w:val="0015266D"/>
    <w:rsid w:val="0015288A"/>
    <w:rsid w:val="00160F47"/>
    <w:rsid w:val="0016291F"/>
    <w:rsid w:val="00173926"/>
    <w:rsid w:val="00177CA1"/>
    <w:rsid w:val="001829CA"/>
    <w:rsid w:val="00183823"/>
    <w:rsid w:val="00183942"/>
    <w:rsid w:val="00187565"/>
    <w:rsid w:val="001A009E"/>
    <w:rsid w:val="001A1287"/>
    <w:rsid w:val="001A3859"/>
    <w:rsid w:val="001A3C9D"/>
    <w:rsid w:val="001A43F8"/>
    <w:rsid w:val="001B640C"/>
    <w:rsid w:val="001B79E5"/>
    <w:rsid w:val="001D258E"/>
    <w:rsid w:val="001D56F0"/>
    <w:rsid w:val="001D663B"/>
    <w:rsid w:val="001D7B41"/>
    <w:rsid w:val="001E46DA"/>
    <w:rsid w:val="001E7D80"/>
    <w:rsid w:val="001F4B6C"/>
    <w:rsid w:val="001F62CB"/>
    <w:rsid w:val="001F6ED0"/>
    <w:rsid w:val="001F72E6"/>
    <w:rsid w:val="001F73C5"/>
    <w:rsid w:val="00200B0D"/>
    <w:rsid w:val="002046A6"/>
    <w:rsid w:val="00204956"/>
    <w:rsid w:val="00213640"/>
    <w:rsid w:val="00221547"/>
    <w:rsid w:val="002216FC"/>
    <w:rsid w:val="00222533"/>
    <w:rsid w:val="00222F30"/>
    <w:rsid w:val="00224EE2"/>
    <w:rsid w:val="00227EC7"/>
    <w:rsid w:val="0024195A"/>
    <w:rsid w:val="00244AD1"/>
    <w:rsid w:val="002463BC"/>
    <w:rsid w:val="002465CE"/>
    <w:rsid w:val="0025734A"/>
    <w:rsid w:val="00263255"/>
    <w:rsid w:val="00276494"/>
    <w:rsid w:val="00277B0C"/>
    <w:rsid w:val="002832A0"/>
    <w:rsid w:val="00293B7E"/>
    <w:rsid w:val="00297499"/>
    <w:rsid w:val="002A39B5"/>
    <w:rsid w:val="002B1A2C"/>
    <w:rsid w:val="002C34F2"/>
    <w:rsid w:val="002C3D3C"/>
    <w:rsid w:val="002C58FF"/>
    <w:rsid w:val="002C7AFE"/>
    <w:rsid w:val="002D05D2"/>
    <w:rsid w:val="002E079A"/>
    <w:rsid w:val="002E0D61"/>
    <w:rsid w:val="002E1AB7"/>
    <w:rsid w:val="002E4C7B"/>
    <w:rsid w:val="00306884"/>
    <w:rsid w:val="0030740C"/>
    <w:rsid w:val="00307EA0"/>
    <w:rsid w:val="00314A1B"/>
    <w:rsid w:val="00315833"/>
    <w:rsid w:val="003215EE"/>
    <w:rsid w:val="003224BF"/>
    <w:rsid w:val="003241A8"/>
    <w:rsid w:val="003253F0"/>
    <w:rsid w:val="003270DF"/>
    <w:rsid w:val="003337DA"/>
    <w:rsid w:val="00334EFB"/>
    <w:rsid w:val="00335CDE"/>
    <w:rsid w:val="003365A5"/>
    <w:rsid w:val="00347192"/>
    <w:rsid w:val="0034744C"/>
    <w:rsid w:val="00351FE0"/>
    <w:rsid w:val="00352615"/>
    <w:rsid w:val="0035412B"/>
    <w:rsid w:val="003567A8"/>
    <w:rsid w:val="00362895"/>
    <w:rsid w:val="00370DBF"/>
    <w:rsid w:val="0037465A"/>
    <w:rsid w:val="00376D15"/>
    <w:rsid w:val="00380808"/>
    <w:rsid w:val="00386093"/>
    <w:rsid w:val="003904A4"/>
    <w:rsid w:val="00391841"/>
    <w:rsid w:val="00391B6D"/>
    <w:rsid w:val="00394922"/>
    <w:rsid w:val="003A0E32"/>
    <w:rsid w:val="003A2B94"/>
    <w:rsid w:val="003A3662"/>
    <w:rsid w:val="003B1CE5"/>
    <w:rsid w:val="003B387D"/>
    <w:rsid w:val="003C0D58"/>
    <w:rsid w:val="003D2723"/>
    <w:rsid w:val="003D4FA3"/>
    <w:rsid w:val="003E0807"/>
    <w:rsid w:val="003E51FB"/>
    <w:rsid w:val="003E6B39"/>
    <w:rsid w:val="003F07E1"/>
    <w:rsid w:val="004030BC"/>
    <w:rsid w:val="00403F7D"/>
    <w:rsid w:val="00406785"/>
    <w:rsid w:val="004079B4"/>
    <w:rsid w:val="00411241"/>
    <w:rsid w:val="00417A56"/>
    <w:rsid w:val="00420957"/>
    <w:rsid w:val="00422A10"/>
    <w:rsid w:val="00430179"/>
    <w:rsid w:val="004414B5"/>
    <w:rsid w:val="00444482"/>
    <w:rsid w:val="00444B42"/>
    <w:rsid w:val="00445E44"/>
    <w:rsid w:val="004509E2"/>
    <w:rsid w:val="004515EE"/>
    <w:rsid w:val="004529F0"/>
    <w:rsid w:val="00460A03"/>
    <w:rsid w:val="00472A11"/>
    <w:rsid w:val="00472AAD"/>
    <w:rsid w:val="00474B93"/>
    <w:rsid w:val="00474E33"/>
    <w:rsid w:val="00476803"/>
    <w:rsid w:val="00485BFD"/>
    <w:rsid w:val="004867A2"/>
    <w:rsid w:val="004873F2"/>
    <w:rsid w:val="00490D4C"/>
    <w:rsid w:val="00493A35"/>
    <w:rsid w:val="0049527A"/>
    <w:rsid w:val="004966BF"/>
    <w:rsid w:val="00497984"/>
    <w:rsid w:val="004A4BC7"/>
    <w:rsid w:val="004A5088"/>
    <w:rsid w:val="004B71CC"/>
    <w:rsid w:val="004B754B"/>
    <w:rsid w:val="004C1E3F"/>
    <w:rsid w:val="004C23F4"/>
    <w:rsid w:val="004C3475"/>
    <w:rsid w:val="004C58B6"/>
    <w:rsid w:val="004D16A3"/>
    <w:rsid w:val="004D4AA1"/>
    <w:rsid w:val="004D6D68"/>
    <w:rsid w:val="004E5EDD"/>
    <w:rsid w:val="004F448A"/>
    <w:rsid w:val="004F493D"/>
    <w:rsid w:val="004F65E8"/>
    <w:rsid w:val="0050005E"/>
    <w:rsid w:val="00502B88"/>
    <w:rsid w:val="005142C4"/>
    <w:rsid w:val="0051509C"/>
    <w:rsid w:val="0051650A"/>
    <w:rsid w:val="005272E2"/>
    <w:rsid w:val="0053108F"/>
    <w:rsid w:val="00532B56"/>
    <w:rsid w:val="00534B10"/>
    <w:rsid w:val="005446A2"/>
    <w:rsid w:val="00544D2F"/>
    <w:rsid w:val="00551BD8"/>
    <w:rsid w:val="00581055"/>
    <w:rsid w:val="00591E38"/>
    <w:rsid w:val="005939EA"/>
    <w:rsid w:val="00595A81"/>
    <w:rsid w:val="0059751F"/>
    <w:rsid w:val="005A19C5"/>
    <w:rsid w:val="005A3034"/>
    <w:rsid w:val="005A462D"/>
    <w:rsid w:val="005B253B"/>
    <w:rsid w:val="005B2766"/>
    <w:rsid w:val="005B771D"/>
    <w:rsid w:val="005C13C4"/>
    <w:rsid w:val="005C2D98"/>
    <w:rsid w:val="005C5D16"/>
    <w:rsid w:val="005D3193"/>
    <w:rsid w:val="005D4A6E"/>
    <w:rsid w:val="005E6979"/>
    <w:rsid w:val="005E75CB"/>
    <w:rsid w:val="006013C1"/>
    <w:rsid w:val="0060669E"/>
    <w:rsid w:val="00610F2E"/>
    <w:rsid w:val="00611399"/>
    <w:rsid w:val="00624C4E"/>
    <w:rsid w:val="00625200"/>
    <w:rsid w:val="006363A8"/>
    <w:rsid w:val="00636DB7"/>
    <w:rsid w:val="006467D4"/>
    <w:rsid w:val="00647FF6"/>
    <w:rsid w:val="00650905"/>
    <w:rsid w:val="006532ED"/>
    <w:rsid w:val="006549F2"/>
    <w:rsid w:val="00655C78"/>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C1AE1"/>
    <w:rsid w:val="006C2054"/>
    <w:rsid w:val="006D79EA"/>
    <w:rsid w:val="006E5D05"/>
    <w:rsid w:val="00701053"/>
    <w:rsid w:val="00701507"/>
    <w:rsid w:val="00714021"/>
    <w:rsid w:val="00716379"/>
    <w:rsid w:val="00716A0F"/>
    <w:rsid w:val="00717D45"/>
    <w:rsid w:val="007208F7"/>
    <w:rsid w:val="007218AF"/>
    <w:rsid w:val="007365D1"/>
    <w:rsid w:val="00740E0E"/>
    <w:rsid w:val="007430B5"/>
    <w:rsid w:val="00750212"/>
    <w:rsid w:val="00754779"/>
    <w:rsid w:val="0075716D"/>
    <w:rsid w:val="00765F14"/>
    <w:rsid w:val="0077019D"/>
    <w:rsid w:val="00770E31"/>
    <w:rsid w:val="007770F1"/>
    <w:rsid w:val="00783FB1"/>
    <w:rsid w:val="00785CDD"/>
    <w:rsid w:val="00791847"/>
    <w:rsid w:val="007925F0"/>
    <w:rsid w:val="007939B3"/>
    <w:rsid w:val="0079509C"/>
    <w:rsid w:val="00796708"/>
    <w:rsid w:val="007B1B42"/>
    <w:rsid w:val="007C30EB"/>
    <w:rsid w:val="007E063C"/>
    <w:rsid w:val="007E2A4B"/>
    <w:rsid w:val="007E307D"/>
    <w:rsid w:val="007E6A4E"/>
    <w:rsid w:val="007E6C94"/>
    <w:rsid w:val="007F1005"/>
    <w:rsid w:val="007F25E0"/>
    <w:rsid w:val="007F5328"/>
    <w:rsid w:val="00804F5A"/>
    <w:rsid w:val="00810C6D"/>
    <w:rsid w:val="00812887"/>
    <w:rsid w:val="00826F21"/>
    <w:rsid w:val="00834CC8"/>
    <w:rsid w:val="00835E00"/>
    <w:rsid w:val="00837113"/>
    <w:rsid w:val="008414E4"/>
    <w:rsid w:val="00843E21"/>
    <w:rsid w:val="0084508E"/>
    <w:rsid w:val="00857A8A"/>
    <w:rsid w:val="008630EE"/>
    <w:rsid w:val="00864D13"/>
    <w:rsid w:val="00871CD5"/>
    <w:rsid w:val="008745A2"/>
    <w:rsid w:val="008768A8"/>
    <w:rsid w:val="008808F9"/>
    <w:rsid w:val="0088798F"/>
    <w:rsid w:val="00887E4B"/>
    <w:rsid w:val="008915C8"/>
    <w:rsid w:val="008A36CF"/>
    <w:rsid w:val="008A3BC4"/>
    <w:rsid w:val="008B403C"/>
    <w:rsid w:val="008B7983"/>
    <w:rsid w:val="008C2511"/>
    <w:rsid w:val="008D026D"/>
    <w:rsid w:val="008D23AB"/>
    <w:rsid w:val="008D4B8B"/>
    <w:rsid w:val="008D5A78"/>
    <w:rsid w:val="008E7B64"/>
    <w:rsid w:val="008F5DCD"/>
    <w:rsid w:val="00900951"/>
    <w:rsid w:val="009103B2"/>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5FD1"/>
    <w:rsid w:val="00977524"/>
    <w:rsid w:val="00977E88"/>
    <w:rsid w:val="00984920"/>
    <w:rsid w:val="00992FA4"/>
    <w:rsid w:val="0099303A"/>
    <w:rsid w:val="00994F4E"/>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E2D"/>
    <w:rsid w:val="00A31D99"/>
    <w:rsid w:val="00A357BA"/>
    <w:rsid w:val="00A35ADC"/>
    <w:rsid w:val="00A402A3"/>
    <w:rsid w:val="00A471EB"/>
    <w:rsid w:val="00A53681"/>
    <w:rsid w:val="00A633D4"/>
    <w:rsid w:val="00A6461A"/>
    <w:rsid w:val="00A72B81"/>
    <w:rsid w:val="00A84504"/>
    <w:rsid w:val="00A8672F"/>
    <w:rsid w:val="00A93057"/>
    <w:rsid w:val="00A968B0"/>
    <w:rsid w:val="00A96C0F"/>
    <w:rsid w:val="00AA756C"/>
    <w:rsid w:val="00AB2672"/>
    <w:rsid w:val="00AB2817"/>
    <w:rsid w:val="00AB43C4"/>
    <w:rsid w:val="00AC32E7"/>
    <w:rsid w:val="00AC3A9F"/>
    <w:rsid w:val="00AC5574"/>
    <w:rsid w:val="00AC6D2F"/>
    <w:rsid w:val="00AE2745"/>
    <w:rsid w:val="00AE2F64"/>
    <w:rsid w:val="00AF42CB"/>
    <w:rsid w:val="00AF483F"/>
    <w:rsid w:val="00AF5E07"/>
    <w:rsid w:val="00AF5F06"/>
    <w:rsid w:val="00B00A25"/>
    <w:rsid w:val="00B1422A"/>
    <w:rsid w:val="00B1765C"/>
    <w:rsid w:val="00B213C4"/>
    <w:rsid w:val="00B40C60"/>
    <w:rsid w:val="00B479A9"/>
    <w:rsid w:val="00B52EDF"/>
    <w:rsid w:val="00B55B08"/>
    <w:rsid w:val="00B71188"/>
    <w:rsid w:val="00B76A41"/>
    <w:rsid w:val="00B84C08"/>
    <w:rsid w:val="00B87D4C"/>
    <w:rsid w:val="00B93646"/>
    <w:rsid w:val="00BA0B38"/>
    <w:rsid w:val="00BA1DBB"/>
    <w:rsid w:val="00BA4510"/>
    <w:rsid w:val="00BA529A"/>
    <w:rsid w:val="00BA7A15"/>
    <w:rsid w:val="00BB612A"/>
    <w:rsid w:val="00BD499F"/>
    <w:rsid w:val="00BD56DE"/>
    <w:rsid w:val="00BF2406"/>
    <w:rsid w:val="00C06E43"/>
    <w:rsid w:val="00C16315"/>
    <w:rsid w:val="00C17203"/>
    <w:rsid w:val="00C3091E"/>
    <w:rsid w:val="00C40FF1"/>
    <w:rsid w:val="00C419E2"/>
    <w:rsid w:val="00C426F4"/>
    <w:rsid w:val="00C5020E"/>
    <w:rsid w:val="00C57452"/>
    <w:rsid w:val="00C61EDF"/>
    <w:rsid w:val="00C6239D"/>
    <w:rsid w:val="00C6594B"/>
    <w:rsid w:val="00C67FFB"/>
    <w:rsid w:val="00C7155E"/>
    <w:rsid w:val="00C71D1E"/>
    <w:rsid w:val="00C71D7D"/>
    <w:rsid w:val="00C74833"/>
    <w:rsid w:val="00C850A0"/>
    <w:rsid w:val="00C85A86"/>
    <w:rsid w:val="00C978F0"/>
    <w:rsid w:val="00CA58FE"/>
    <w:rsid w:val="00CB1CB1"/>
    <w:rsid w:val="00CB6BC1"/>
    <w:rsid w:val="00CB6CB8"/>
    <w:rsid w:val="00CC1A68"/>
    <w:rsid w:val="00CC2123"/>
    <w:rsid w:val="00CC507D"/>
    <w:rsid w:val="00CC765C"/>
    <w:rsid w:val="00CD24C8"/>
    <w:rsid w:val="00CD2BFD"/>
    <w:rsid w:val="00CE5AD6"/>
    <w:rsid w:val="00CE617F"/>
    <w:rsid w:val="00CE78EF"/>
    <w:rsid w:val="00D048F7"/>
    <w:rsid w:val="00D0517E"/>
    <w:rsid w:val="00D07F2C"/>
    <w:rsid w:val="00D140FC"/>
    <w:rsid w:val="00D21D8C"/>
    <w:rsid w:val="00D31357"/>
    <w:rsid w:val="00D33220"/>
    <w:rsid w:val="00D334D1"/>
    <w:rsid w:val="00D44C89"/>
    <w:rsid w:val="00D516CD"/>
    <w:rsid w:val="00D52C41"/>
    <w:rsid w:val="00D60938"/>
    <w:rsid w:val="00D668E6"/>
    <w:rsid w:val="00D70670"/>
    <w:rsid w:val="00D74D80"/>
    <w:rsid w:val="00D76624"/>
    <w:rsid w:val="00D87570"/>
    <w:rsid w:val="00D91CB9"/>
    <w:rsid w:val="00D97989"/>
    <w:rsid w:val="00D97D8D"/>
    <w:rsid w:val="00DA352E"/>
    <w:rsid w:val="00DB4ADC"/>
    <w:rsid w:val="00DB687E"/>
    <w:rsid w:val="00DC7694"/>
    <w:rsid w:val="00DD1BF6"/>
    <w:rsid w:val="00DD2F9B"/>
    <w:rsid w:val="00DE2513"/>
    <w:rsid w:val="00DE26E8"/>
    <w:rsid w:val="00DF5591"/>
    <w:rsid w:val="00DF6F36"/>
    <w:rsid w:val="00E0084C"/>
    <w:rsid w:val="00E025AB"/>
    <w:rsid w:val="00E02B23"/>
    <w:rsid w:val="00E06F40"/>
    <w:rsid w:val="00E07CE8"/>
    <w:rsid w:val="00E15511"/>
    <w:rsid w:val="00E2116F"/>
    <w:rsid w:val="00E26A07"/>
    <w:rsid w:val="00E32595"/>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B56AD"/>
    <w:rsid w:val="00EC170D"/>
    <w:rsid w:val="00ED0DCC"/>
    <w:rsid w:val="00ED1D89"/>
    <w:rsid w:val="00ED66BC"/>
    <w:rsid w:val="00EF233A"/>
    <w:rsid w:val="00EF303E"/>
    <w:rsid w:val="00EF3A40"/>
    <w:rsid w:val="00EF7F78"/>
    <w:rsid w:val="00F01B08"/>
    <w:rsid w:val="00F01C4D"/>
    <w:rsid w:val="00F053FA"/>
    <w:rsid w:val="00F10C97"/>
    <w:rsid w:val="00F11C71"/>
    <w:rsid w:val="00F16019"/>
    <w:rsid w:val="00F20E68"/>
    <w:rsid w:val="00F22093"/>
    <w:rsid w:val="00F2350F"/>
    <w:rsid w:val="00F236DF"/>
    <w:rsid w:val="00F3498D"/>
    <w:rsid w:val="00F43AD5"/>
    <w:rsid w:val="00F4402E"/>
    <w:rsid w:val="00F56DD0"/>
    <w:rsid w:val="00F6491C"/>
    <w:rsid w:val="00F67BBB"/>
    <w:rsid w:val="00F87D92"/>
    <w:rsid w:val="00F90AA7"/>
    <w:rsid w:val="00F92498"/>
    <w:rsid w:val="00F9496B"/>
    <w:rsid w:val="00F970C9"/>
    <w:rsid w:val="00FA06A8"/>
    <w:rsid w:val="00FA3DF5"/>
    <w:rsid w:val="00FA741F"/>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6939DD66"/>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017FE7"/>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EB56AD"/>
    <w:rPr>
      <w:sz w:val="16"/>
      <w:szCs w:val="16"/>
    </w:rPr>
  </w:style>
  <w:style w:type="paragraph" w:styleId="CommentText">
    <w:name w:val="annotation text"/>
    <w:basedOn w:val="Normal"/>
    <w:link w:val="CommentTextChar"/>
    <w:uiPriority w:val="99"/>
    <w:semiHidden/>
    <w:unhideWhenUsed/>
    <w:rsid w:val="00EB56AD"/>
    <w:pPr>
      <w:spacing w:line="240" w:lineRule="auto"/>
    </w:pPr>
    <w:rPr>
      <w:szCs w:val="20"/>
    </w:rPr>
  </w:style>
  <w:style w:type="character" w:customStyle="1" w:styleId="CommentTextChar">
    <w:name w:val="Comment Text Char"/>
    <w:basedOn w:val="DefaultParagraphFont"/>
    <w:link w:val="CommentText"/>
    <w:uiPriority w:val="99"/>
    <w:semiHidden/>
    <w:rsid w:val="00EB56AD"/>
    <w:rPr>
      <w:szCs w:val="20"/>
    </w:rPr>
  </w:style>
  <w:style w:type="paragraph" w:styleId="Revision">
    <w:name w:val="Revision"/>
    <w:hidden/>
    <w:uiPriority w:val="99"/>
    <w:semiHidden/>
    <w:rsid w:val="003B1CE5"/>
    <w:pPr>
      <w:spacing w:after="0" w:line="240" w:lineRule="auto"/>
    </w:pPr>
  </w:style>
  <w:style w:type="paragraph" w:styleId="CommentSubject">
    <w:name w:val="annotation subject"/>
    <w:basedOn w:val="CommentText"/>
    <w:next w:val="CommentText"/>
    <w:link w:val="CommentSubjectChar"/>
    <w:uiPriority w:val="99"/>
    <w:semiHidden/>
    <w:unhideWhenUsed/>
    <w:rsid w:val="009103B2"/>
    <w:rPr>
      <w:b/>
      <w:bCs/>
    </w:rPr>
  </w:style>
  <w:style w:type="character" w:customStyle="1" w:styleId="CommentSubjectChar">
    <w:name w:val="Comment Subject Char"/>
    <w:basedOn w:val="CommentTextChar"/>
    <w:link w:val="CommentSubject"/>
    <w:uiPriority w:val="99"/>
    <w:semiHidden/>
    <w:rsid w:val="009103B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71586">
      <w:bodyDiv w:val="1"/>
      <w:marLeft w:val="0"/>
      <w:marRight w:val="0"/>
      <w:marTop w:val="0"/>
      <w:marBottom w:val="0"/>
      <w:divBdr>
        <w:top w:val="none" w:sz="0" w:space="0" w:color="auto"/>
        <w:left w:val="none" w:sz="0" w:space="0" w:color="auto"/>
        <w:bottom w:val="none" w:sz="0" w:space="0" w:color="auto"/>
        <w:right w:val="none" w:sz="0" w:space="0" w:color="auto"/>
      </w:divBdr>
    </w:div>
    <w:div w:id="1633948284">
      <w:bodyDiv w:val="1"/>
      <w:marLeft w:val="0"/>
      <w:marRight w:val="0"/>
      <w:marTop w:val="0"/>
      <w:marBottom w:val="0"/>
      <w:divBdr>
        <w:top w:val="none" w:sz="0" w:space="0" w:color="auto"/>
        <w:left w:val="none" w:sz="0" w:space="0" w:color="auto"/>
        <w:bottom w:val="none" w:sz="0" w:space="0" w:color="auto"/>
        <w:right w:val="none" w:sz="0" w:space="0" w:color="auto"/>
      </w:divBdr>
    </w:div>
    <w:div w:id="1864320405">
      <w:bodyDiv w:val="1"/>
      <w:marLeft w:val="0"/>
      <w:marRight w:val="0"/>
      <w:marTop w:val="0"/>
      <w:marBottom w:val="0"/>
      <w:divBdr>
        <w:top w:val="none" w:sz="0" w:space="0" w:color="auto"/>
        <w:left w:val="none" w:sz="0" w:space="0" w:color="auto"/>
        <w:bottom w:val="none" w:sz="0" w:space="0" w:color="auto"/>
        <w:right w:val="none" w:sz="0" w:space="0" w:color="auto"/>
      </w:divBdr>
    </w:div>
    <w:div w:id="1879539381">
      <w:bodyDiv w:val="1"/>
      <w:marLeft w:val="0"/>
      <w:marRight w:val="0"/>
      <w:marTop w:val="0"/>
      <w:marBottom w:val="0"/>
      <w:divBdr>
        <w:top w:val="none" w:sz="0" w:space="0" w:color="auto"/>
        <w:left w:val="none" w:sz="0" w:space="0" w:color="auto"/>
        <w:bottom w:val="none" w:sz="0" w:space="0" w:color="auto"/>
        <w:right w:val="none" w:sz="0" w:space="0" w:color="auto"/>
      </w:divBdr>
    </w:div>
    <w:div w:id="1907566345">
      <w:bodyDiv w:val="1"/>
      <w:marLeft w:val="0"/>
      <w:marRight w:val="0"/>
      <w:marTop w:val="0"/>
      <w:marBottom w:val="0"/>
      <w:divBdr>
        <w:top w:val="none" w:sz="0" w:space="0" w:color="auto"/>
        <w:left w:val="none" w:sz="0" w:space="0" w:color="auto"/>
        <w:bottom w:val="none" w:sz="0" w:space="0" w:color="auto"/>
        <w:right w:val="none" w:sz="0" w:space="0" w:color="auto"/>
      </w:divBdr>
    </w:div>
    <w:div w:id="2060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B404D42B5178448680A6A29FA5825F4E"/>
        <w:category>
          <w:name w:val="General"/>
          <w:gallery w:val="placeholder"/>
        </w:category>
        <w:types>
          <w:type w:val="bbPlcHdr"/>
        </w:types>
        <w:behaviors>
          <w:behavior w:val="content"/>
        </w:behaviors>
        <w:guid w:val="{7230B89B-6BBD-42F7-9B71-762011C9344A}"/>
      </w:docPartPr>
      <w:docPartBody>
        <w:p w:rsidR="009635C6" w:rsidRDefault="00E87593" w:rsidP="00E87593">
          <w:pPr>
            <w:pStyle w:val="B404D42B5178448680A6A29FA5825F4E"/>
          </w:pPr>
          <w:r>
            <w:rPr>
              <w:rStyle w:val="PlaceholderText"/>
            </w:rPr>
            <w:t>Has this value changed?</w:t>
          </w:r>
        </w:p>
      </w:docPartBody>
    </w:docPart>
    <w:docPart>
      <w:docPartPr>
        <w:name w:val="FFA920B7382F4C6AA902AE8AA0246B62"/>
        <w:category>
          <w:name w:val="General"/>
          <w:gallery w:val="placeholder"/>
        </w:category>
        <w:types>
          <w:type w:val="bbPlcHdr"/>
        </w:types>
        <w:behaviors>
          <w:behavior w:val="content"/>
        </w:behaviors>
        <w:guid w:val="{93BE83E9-7605-4F5F-85E8-0C9655984089}"/>
      </w:docPartPr>
      <w:docPartBody>
        <w:p w:rsidR="00C02FF6" w:rsidRDefault="00F43E6A" w:rsidP="00F43E6A">
          <w:pPr>
            <w:pStyle w:val="FFA920B7382F4C6AA902AE8AA0246B62"/>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3A0729"/>
    <w:rsid w:val="005D4A94"/>
    <w:rsid w:val="00661E16"/>
    <w:rsid w:val="009635C6"/>
    <w:rsid w:val="00B54FC0"/>
    <w:rsid w:val="00C02FF6"/>
    <w:rsid w:val="00D21A9F"/>
    <w:rsid w:val="00DD7067"/>
    <w:rsid w:val="00E87593"/>
    <w:rsid w:val="00F43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E6A"/>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17519D97766D45E3BDFEB5B9180B96AF">
    <w:name w:val="17519D97766D45E3BDFEB5B9180B96AF"/>
    <w:rsid w:val="003A0729"/>
    <w:rPr>
      <w:lang w:val="en-US" w:eastAsia="en-US"/>
    </w:rPr>
  </w:style>
  <w:style w:type="paragraph" w:customStyle="1" w:styleId="0D40361916D14208A07C229F26A1B641">
    <w:name w:val="0D40361916D14208A07C229F26A1B641"/>
    <w:rsid w:val="003A0729"/>
    <w:rPr>
      <w:lang w:val="en-US" w:eastAsia="en-US"/>
    </w:rPr>
  </w:style>
  <w:style w:type="paragraph" w:customStyle="1" w:styleId="4E7B719336224C4B92004F37E334525E">
    <w:name w:val="4E7B719336224C4B92004F37E334525E"/>
    <w:rsid w:val="003A0729"/>
    <w:rPr>
      <w:lang w:val="en-US" w:eastAsia="en-US"/>
    </w:rPr>
  </w:style>
  <w:style w:type="paragraph" w:customStyle="1" w:styleId="70B090AF4A8D4CC083E68DB0FDEEC7C8">
    <w:name w:val="70B090AF4A8D4CC083E68DB0FDEEC7C8"/>
    <w:rsid w:val="003A0729"/>
    <w:rPr>
      <w:lang w:val="en-US" w:eastAsia="en-US"/>
    </w:rPr>
  </w:style>
  <w:style w:type="paragraph" w:customStyle="1" w:styleId="4D30B8D82EB047A08E56D974347C7061">
    <w:name w:val="4D30B8D82EB047A08E56D974347C7061"/>
    <w:rsid w:val="003A0729"/>
    <w:rPr>
      <w:lang w:val="en-US" w:eastAsia="en-US"/>
    </w:rPr>
  </w:style>
  <w:style w:type="paragraph" w:customStyle="1" w:styleId="4E7D09DA7CD84D99964A004F57CD677D">
    <w:name w:val="4E7D09DA7CD84D99964A004F57CD677D"/>
    <w:rsid w:val="003A0729"/>
    <w:rPr>
      <w:lang w:val="en-US" w:eastAsia="en-US"/>
    </w:rPr>
  </w:style>
  <w:style w:type="paragraph" w:customStyle="1" w:styleId="90D656B09A6544EC9FFCEE576574836D">
    <w:name w:val="90D656B09A6544EC9FFCEE576574836D"/>
    <w:rsid w:val="003A0729"/>
    <w:rPr>
      <w:lang w:val="en-US" w:eastAsia="en-US"/>
    </w:rPr>
  </w:style>
  <w:style w:type="paragraph" w:customStyle="1" w:styleId="62BCC4CD14F244F9B8E441B789431AF7">
    <w:name w:val="62BCC4CD14F244F9B8E441B789431AF7"/>
    <w:rsid w:val="003A0729"/>
    <w:rPr>
      <w:lang w:val="en-US" w:eastAsia="en-US"/>
    </w:rPr>
  </w:style>
  <w:style w:type="paragraph" w:customStyle="1" w:styleId="830121B261704C58B88B50094E4C653C">
    <w:name w:val="830121B261704C58B88B50094E4C653C"/>
    <w:rsid w:val="003A0729"/>
    <w:rPr>
      <w:lang w:val="en-US" w:eastAsia="en-US"/>
    </w:rPr>
  </w:style>
  <w:style w:type="paragraph" w:customStyle="1" w:styleId="2E2A6BCEBA4241E4A48B82666D8D3BCF">
    <w:name w:val="2E2A6BCEBA4241E4A48B82666D8D3BCF"/>
    <w:rsid w:val="003A0729"/>
    <w:rPr>
      <w:lang w:val="en-US" w:eastAsia="en-US"/>
    </w:rPr>
  </w:style>
  <w:style w:type="paragraph" w:customStyle="1" w:styleId="413B7E6E9A374B5FA0DB90FE0C0CDA2D">
    <w:name w:val="413B7E6E9A374B5FA0DB90FE0C0CDA2D"/>
    <w:rsid w:val="003A0729"/>
    <w:rPr>
      <w:lang w:val="en-US" w:eastAsia="en-US"/>
    </w:rPr>
  </w:style>
  <w:style w:type="paragraph" w:customStyle="1" w:styleId="A94940655EC2496190E148EC33ADD4D5">
    <w:name w:val="A94940655EC2496190E148EC33ADD4D5"/>
    <w:rsid w:val="003A0729"/>
    <w:rPr>
      <w:lang w:val="en-US" w:eastAsia="en-US"/>
    </w:rPr>
  </w:style>
  <w:style w:type="paragraph" w:customStyle="1" w:styleId="597AD49F034A4A20A0DF3649EF950098">
    <w:name w:val="597AD49F034A4A20A0DF3649EF950098"/>
    <w:rsid w:val="00DD7067"/>
  </w:style>
  <w:style w:type="paragraph" w:customStyle="1" w:styleId="B404D42B5178448680A6A29FA5825F4E">
    <w:name w:val="B404D42B5178448680A6A29FA5825F4E"/>
    <w:rsid w:val="00E87593"/>
  </w:style>
  <w:style w:type="paragraph" w:customStyle="1" w:styleId="FFA920B7382F4C6AA902AE8AA0246B62">
    <w:name w:val="FFA920B7382F4C6AA902AE8AA0246B62"/>
    <w:rsid w:val="00F43E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E091-FB7D-4CE8-8121-043981F23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D3B4-E5FF-44D0-A85D-1656AEB7A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4.xml><?xml version="1.0" encoding="utf-8"?>
<ds:datastoreItem xmlns:ds="http://schemas.openxmlformats.org/officeDocument/2006/customXml" ds:itemID="{608BBC73-77E1-4FD3-9BD1-F225CA5C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CAF4F6FC.dotm</Template>
  <TotalTime>297</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17</cp:revision>
  <cp:lastPrinted>2018-10-22T22:41:00Z</cp:lastPrinted>
  <dcterms:created xsi:type="dcterms:W3CDTF">2019-10-28T02:46:00Z</dcterms:created>
  <dcterms:modified xsi:type="dcterms:W3CDTF">2020-01-15T03:37:00Z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