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bookmarkStart w:id="1" w:name="_Hlk15465705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F32100F" w14:textId="77777777" w:rsidR="00BD499F" w:rsidRPr="004C23F4" w:rsidRDefault="00BC1EA5" w:rsidP="00B40C60">
          <w:pPr>
            <w:pStyle w:val="Heading1"/>
            <w:jc w:val="center"/>
            <w:rPr>
              <w:rFonts w:ascii="Arial" w:hAnsi="Arial" w:cs="Arial"/>
            </w:rPr>
          </w:pPr>
          <w:r w:rsidRPr="00BC1EA5">
            <w:rPr>
              <w:rFonts w:ascii="Arial" w:hAnsi="Arial" w:cs="Arial"/>
            </w:rPr>
            <w:t>1H-Benzotriazole</w:t>
          </w:r>
        </w:p>
      </w:sdtContent>
    </w:sdt>
    <w:bookmarkEnd w:id="1" w:displacedByCustomXml="prev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7"/>
        <w:gridCol w:w="5049"/>
      </w:tblGrid>
      <w:tr w:rsidR="00F43AD5" w:rsidRPr="004C23F4" w14:paraId="7AB7FB05" w14:textId="77777777" w:rsidTr="00B76A41">
        <w:trPr>
          <w:cantSplit/>
          <w:tblHeader/>
        </w:trPr>
        <w:tc>
          <w:tcPr>
            <w:tcW w:w="4077" w:type="dxa"/>
          </w:tcPr>
          <w:p w14:paraId="6E9EFBB8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642BADD0" w14:textId="77777777" w:rsidR="00F43AD5" w:rsidRPr="00717D45" w:rsidRDefault="00BC1EA5" w:rsidP="00B76A41">
            <w:pPr>
              <w:pStyle w:val="Tablefont"/>
            </w:pPr>
            <w:r>
              <w:t>95-14-7</w:t>
            </w:r>
          </w:p>
        </w:tc>
      </w:tr>
      <w:tr w:rsidR="00F43AD5" w:rsidRPr="00A20976" w14:paraId="7049B924" w14:textId="77777777" w:rsidTr="00B76A41">
        <w:trPr>
          <w:cantSplit/>
        </w:trPr>
        <w:tc>
          <w:tcPr>
            <w:tcW w:w="4077" w:type="dxa"/>
          </w:tcPr>
          <w:p w14:paraId="7F25F5AF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6E4F38FA" w14:textId="77777777" w:rsidR="00F43AD5" w:rsidRPr="003B622A" w:rsidRDefault="003E51FA" w:rsidP="00200A54">
            <w:pPr>
              <w:pStyle w:val="Tablefont"/>
              <w:rPr>
                <w:lang w:val="it-IT"/>
              </w:rPr>
            </w:pPr>
            <w:r w:rsidRPr="003B622A">
              <w:rPr>
                <w:lang w:val="it-IT"/>
              </w:rPr>
              <w:t>B</w:t>
            </w:r>
            <w:r w:rsidR="00200A54" w:rsidRPr="003B622A">
              <w:rPr>
                <w:lang w:val="it-IT"/>
              </w:rPr>
              <w:t>enzotriazole</w:t>
            </w:r>
            <w:r w:rsidRPr="003B622A">
              <w:rPr>
                <w:lang w:val="it-IT"/>
              </w:rPr>
              <w:t xml:space="preserve">, </w:t>
            </w:r>
            <w:r w:rsidR="00200A54" w:rsidRPr="003B622A">
              <w:rPr>
                <w:lang w:val="it-IT"/>
              </w:rPr>
              <w:t>benztriazole</w:t>
            </w:r>
            <w:r w:rsidRPr="003B622A">
              <w:rPr>
                <w:lang w:val="it-IT"/>
              </w:rPr>
              <w:t xml:space="preserve">, </w:t>
            </w:r>
            <w:r w:rsidR="00200A54" w:rsidRPr="003B622A">
              <w:rPr>
                <w:lang w:val="it-IT"/>
              </w:rPr>
              <w:t>benzoisotriazole</w:t>
            </w:r>
            <w:r w:rsidRPr="003B622A">
              <w:rPr>
                <w:lang w:val="it-IT"/>
              </w:rPr>
              <w:t xml:space="preserve">, </w:t>
            </w:r>
            <w:r w:rsidR="00A95EDB" w:rsidRPr="003B622A">
              <w:rPr>
                <w:lang w:val="it-IT"/>
              </w:rPr>
              <w:br/>
            </w:r>
            <w:r w:rsidR="00200A54" w:rsidRPr="003B622A">
              <w:rPr>
                <w:lang w:val="it-IT"/>
              </w:rPr>
              <w:t>1,2,3-benzotriazole</w:t>
            </w:r>
            <w:r w:rsidRPr="003B622A">
              <w:rPr>
                <w:lang w:val="it-IT"/>
              </w:rPr>
              <w:t xml:space="preserve">, </w:t>
            </w:r>
            <w:r w:rsidR="00200A54" w:rsidRPr="003B622A">
              <w:rPr>
                <w:lang w:val="it-IT"/>
              </w:rPr>
              <w:t>aziminobenzene</w:t>
            </w:r>
            <w:r w:rsidRPr="003B622A">
              <w:rPr>
                <w:lang w:val="it-IT"/>
              </w:rPr>
              <w:t xml:space="preserve">, </w:t>
            </w:r>
            <w:r w:rsidR="00A95EDB" w:rsidRPr="003B622A">
              <w:rPr>
                <w:lang w:val="it-IT"/>
              </w:rPr>
              <w:br/>
            </w:r>
            <w:r w:rsidR="00200A54" w:rsidRPr="003B622A">
              <w:rPr>
                <w:lang w:val="it-IT"/>
              </w:rPr>
              <w:t>benzene azimide</w:t>
            </w:r>
            <w:r w:rsidRPr="003B622A">
              <w:rPr>
                <w:lang w:val="it-IT"/>
              </w:rPr>
              <w:t xml:space="preserve">, </w:t>
            </w:r>
            <w:r w:rsidR="00200A54" w:rsidRPr="003B622A">
              <w:rPr>
                <w:lang w:val="it-IT"/>
              </w:rPr>
              <w:t>1,2-aminozophenylene</w:t>
            </w:r>
            <w:r w:rsidRPr="003B622A">
              <w:rPr>
                <w:lang w:val="it-IT"/>
              </w:rPr>
              <w:t xml:space="preserve">, </w:t>
            </w:r>
            <w:r w:rsidR="00A95EDB" w:rsidRPr="003B622A">
              <w:rPr>
                <w:lang w:val="it-IT"/>
              </w:rPr>
              <w:br/>
            </w:r>
            <w:r w:rsidR="00200A54" w:rsidRPr="003B622A">
              <w:rPr>
                <w:lang w:val="it-IT"/>
              </w:rPr>
              <w:t>1,2,3-triazaindene</w:t>
            </w:r>
          </w:p>
        </w:tc>
      </w:tr>
      <w:tr w:rsidR="00F43AD5" w:rsidRPr="004C23F4" w14:paraId="468AC545" w14:textId="77777777" w:rsidTr="00B76A41">
        <w:trPr>
          <w:cantSplit/>
        </w:trPr>
        <w:tc>
          <w:tcPr>
            <w:tcW w:w="4077" w:type="dxa"/>
          </w:tcPr>
          <w:p w14:paraId="575090B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48CB9E75" w14:textId="0F003038" w:rsidR="00F43AD5" w:rsidRPr="00717D45" w:rsidRDefault="00D10D5A" w:rsidP="00B76A41">
            <w:pPr>
              <w:pStyle w:val="Tablefont"/>
            </w:pPr>
            <w:r>
              <w:t>C</w:t>
            </w:r>
            <w:r w:rsidRPr="00D10D5A">
              <w:rPr>
                <w:vertAlign w:val="subscript"/>
              </w:rPr>
              <w:t>6</w:t>
            </w:r>
            <w:r>
              <w:t>H</w:t>
            </w:r>
            <w:r w:rsidR="00D65C4C">
              <w:rPr>
                <w:vertAlign w:val="subscript"/>
              </w:rPr>
              <w:t>5</w:t>
            </w:r>
            <w:r>
              <w:t>N</w:t>
            </w:r>
            <w:r w:rsidRPr="00D10D5A">
              <w:rPr>
                <w:vertAlign w:val="subscript"/>
              </w:rPr>
              <w:t>3</w:t>
            </w:r>
          </w:p>
        </w:tc>
      </w:tr>
      <w:tr w:rsidR="00F43AD5" w:rsidRPr="004C23F4" w14:paraId="5CB70D01" w14:textId="77777777" w:rsidTr="00B76A41">
        <w:trPr>
          <w:cantSplit/>
        </w:trPr>
        <w:tc>
          <w:tcPr>
            <w:tcW w:w="4077" w:type="dxa"/>
          </w:tcPr>
          <w:p w14:paraId="54BECEF1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3715DC74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757AC869" w14:textId="050E9D34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7225C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5A5F2A7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02675750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518D5295" w14:textId="3D48E1AB" w:rsidR="002C7AFE" w:rsidRPr="00EB3D1B" w:rsidRDefault="005D5F8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1D3917B" w14:textId="77777777" w:rsidTr="00921DE7">
        <w:trPr>
          <w:cantSplit/>
        </w:trPr>
        <w:tc>
          <w:tcPr>
            <w:tcW w:w="4077" w:type="dxa"/>
            <w:vAlign w:val="center"/>
          </w:tcPr>
          <w:p w14:paraId="3A5AB6F4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452970A7" w14:textId="2D984437" w:rsidR="002C7AFE" w:rsidRPr="00EB3D1B" w:rsidRDefault="005D5F8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63AB0C6" w14:textId="77777777" w:rsidTr="00921DE7">
        <w:trPr>
          <w:cantSplit/>
        </w:trPr>
        <w:tc>
          <w:tcPr>
            <w:tcW w:w="4077" w:type="dxa"/>
            <w:vAlign w:val="center"/>
          </w:tcPr>
          <w:p w14:paraId="0C80FB38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4B325D86" w14:textId="356C410C" w:rsidR="002C7AFE" w:rsidRPr="00EB3D1B" w:rsidRDefault="005D5F8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A7D8707" w14:textId="77777777" w:rsidTr="00A2073D">
        <w:trPr>
          <w:cantSplit/>
        </w:trPr>
        <w:tc>
          <w:tcPr>
            <w:tcW w:w="4077" w:type="dxa"/>
          </w:tcPr>
          <w:p w14:paraId="749C86A0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33E59B24" w14:textId="1C03CCA3" w:rsidR="002C7AFE" w:rsidRPr="00EB3D1B" w:rsidRDefault="00494182" w:rsidP="008A36CF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— </w:t>
            </w:r>
          </w:p>
        </w:tc>
      </w:tr>
      <w:tr w:rsidR="002C7AFE" w:rsidRPr="004C23F4" w14:paraId="6EC4C688" w14:textId="77777777" w:rsidTr="00921DE7">
        <w:trPr>
          <w:cantSplit/>
        </w:trPr>
        <w:tc>
          <w:tcPr>
            <w:tcW w:w="4077" w:type="dxa"/>
            <w:vAlign w:val="center"/>
          </w:tcPr>
          <w:p w14:paraId="0CB1CDF2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1C366B72" w14:textId="7B13766E" w:rsidR="002C7AFE" w:rsidRPr="00EB3D1B" w:rsidRDefault="005D5F8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9F04D2" w:rsidRPr="004C23F4" w14:paraId="7909A5DA" w14:textId="77777777" w:rsidTr="006A4093">
        <w:trPr>
          <w:cantSplit/>
        </w:trPr>
        <w:tc>
          <w:tcPr>
            <w:tcW w:w="4077" w:type="dxa"/>
          </w:tcPr>
          <w:p w14:paraId="0E01529C" w14:textId="77777777" w:rsidR="009F04D2" w:rsidRDefault="009F04D2" w:rsidP="006A4093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63CAE03E" w14:textId="78F98ADB" w:rsidR="009F04D2" w:rsidRPr="00EB3D1B" w:rsidRDefault="006A4093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14:paraId="022C9BA7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45C0819" w14:textId="127637C2" w:rsidR="00CB5FD6" w:rsidRDefault="00CB5FD6" w:rsidP="009A4D06">
      <w:pPr>
        <w:rPr>
          <w:rFonts w:cs="Arial"/>
        </w:rPr>
      </w:pPr>
      <w:r>
        <w:rPr>
          <w:rFonts w:cs="Arial"/>
        </w:rPr>
        <w:t>A</w:t>
      </w:r>
      <w:r w:rsidR="00A95EDB">
        <w:rPr>
          <w:rFonts w:cs="Arial"/>
        </w:rPr>
        <w:t xml:space="preserve"> workplace</w:t>
      </w:r>
      <w:r>
        <w:rPr>
          <w:rFonts w:cs="Arial"/>
        </w:rPr>
        <w:t xml:space="preserve"> exposure standard </w:t>
      </w:r>
      <w:r w:rsidR="00935A2E">
        <w:rPr>
          <w:rFonts w:cs="Arial"/>
        </w:rPr>
        <w:t>is not</w:t>
      </w:r>
      <w:r>
        <w:rPr>
          <w:rFonts w:cs="Arial"/>
        </w:rPr>
        <w:t xml:space="preserve"> recommended as t</w:t>
      </w:r>
      <w:r w:rsidR="009A4D06">
        <w:rPr>
          <w:rFonts w:cs="Arial"/>
        </w:rPr>
        <w:t xml:space="preserve">he </w:t>
      </w:r>
      <w:r w:rsidR="00EA1791">
        <w:rPr>
          <w:rFonts w:cs="Arial"/>
        </w:rPr>
        <w:t xml:space="preserve">available </w:t>
      </w:r>
      <w:r w:rsidR="009A4D06">
        <w:rPr>
          <w:rFonts w:cs="Arial"/>
        </w:rPr>
        <w:t>data</w:t>
      </w:r>
      <w:r w:rsidR="009A4D06" w:rsidRPr="00E16A1C">
        <w:rPr>
          <w:rFonts w:cs="Arial"/>
        </w:rPr>
        <w:t xml:space="preserve"> </w:t>
      </w:r>
      <w:r w:rsidR="009A4D06">
        <w:rPr>
          <w:rFonts w:cs="Arial"/>
        </w:rPr>
        <w:t xml:space="preserve">is </w:t>
      </w:r>
      <w:r w:rsidR="009A4D06" w:rsidRPr="00E16A1C">
        <w:rPr>
          <w:rFonts w:cs="Arial"/>
        </w:rPr>
        <w:t xml:space="preserve">considered </w:t>
      </w:r>
      <w:r w:rsidR="009A4D06">
        <w:rPr>
          <w:rFonts w:cs="Arial"/>
        </w:rPr>
        <w:t>insufficient</w:t>
      </w:r>
      <w:r w:rsidR="009A4D06" w:rsidRPr="00E16A1C">
        <w:rPr>
          <w:rFonts w:cs="Arial"/>
        </w:rPr>
        <w:t xml:space="preserve"> to </w:t>
      </w:r>
      <w:r w:rsidR="00A95EDB">
        <w:rPr>
          <w:rFonts w:cs="Arial"/>
        </w:rPr>
        <w:t>support</w:t>
      </w:r>
      <w:r w:rsidR="00A95EDB" w:rsidRPr="00E16A1C">
        <w:rPr>
          <w:rFonts w:cs="Arial"/>
        </w:rPr>
        <w:t xml:space="preserve"> </w:t>
      </w:r>
      <w:r w:rsidR="009A4D06" w:rsidRPr="00E16A1C">
        <w:rPr>
          <w:rFonts w:cs="Arial"/>
        </w:rPr>
        <w:t xml:space="preserve">a health-based </w:t>
      </w:r>
      <w:r w:rsidRPr="00E16A1C">
        <w:rPr>
          <w:rFonts w:cs="Arial"/>
        </w:rPr>
        <w:t>recommendation</w:t>
      </w:r>
      <w:r w:rsidR="009A4D06">
        <w:rPr>
          <w:rFonts w:cs="Arial"/>
        </w:rPr>
        <w:t>.</w:t>
      </w:r>
      <w:r>
        <w:rPr>
          <w:rFonts w:cs="Arial"/>
        </w:rPr>
        <w:t xml:space="preserve"> </w:t>
      </w:r>
    </w:p>
    <w:p w14:paraId="59AF63ED" w14:textId="657AA470" w:rsidR="009A4D06" w:rsidRPr="004C23F4" w:rsidRDefault="00432431" w:rsidP="009A4D06">
      <w:pPr>
        <w:rPr>
          <w:rFonts w:cs="Arial"/>
        </w:rPr>
      </w:pPr>
      <w:r>
        <w:rPr>
          <w:rFonts w:cs="Arial"/>
        </w:rPr>
        <w:t>A</w:t>
      </w:r>
      <w:r w:rsidR="0037225C">
        <w:rPr>
          <w:rFonts w:cs="Arial"/>
        </w:rPr>
        <w:t>n</w:t>
      </w:r>
      <w:r>
        <w:rPr>
          <w:rFonts w:cs="Arial"/>
        </w:rPr>
        <w:t xml:space="preserve"> </w:t>
      </w:r>
      <w:r w:rsidR="00A20976">
        <w:rPr>
          <w:rFonts w:cs="Arial"/>
        </w:rPr>
        <w:t xml:space="preserve">evaluation </w:t>
      </w:r>
      <w:r w:rsidR="00A95EDB">
        <w:rPr>
          <w:rFonts w:cs="Arial"/>
        </w:rPr>
        <w:t>of additional sources</w:t>
      </w:r>
      <w:r w:rsidR="009333BE">
        <w:rPr>
          <w:rFonts w:cs="Arial"/>
        </w:rPr>
        <w:t>, including dermal studies,</w:t>
      </w:r>
      <w:r w:rsidR="00A95EDB">
        <w:rPr>
          <w:rFonts w:cs="Arial"/>
        </w:rPr>
        <w:t xml:space="preserve"> </w:t>
      </w:r>
      <w:r w:rsidR="009333BE">
        <w:rPr>
          <w:rFonts w:cs="Arial"/>
        </w:rPr>
        <w:t xml:space="preserve">are </w:t>
      </w:r>
      <w:r w:rsidR="00EA6B4A">
        <w:rPr>
          <w:rFonts w:cs="Arial"/>
        </w:rPr>
        <w:t>recommended at the next schedule</w:t>
      </w:r>
      <w:r w:rsidR="0015501F">
        <w:rPr>
          <w:rFonts w:cs="Arial"/>
        </w:rPr>
        <w:t>d</w:t>
      </w:r>
      <w:r w:rsidR="00EA6B4A">
        <w:rPr>
          <w:rFonts w:cs="Arial"/>
        </w:rPr>
        <w:t xml:space="preserve"> review</w:t>
      </w:r>
      <w:r w:rsidR="00A95EDB">
        <w:rPr>
          <w:rFonts w:cs="Arial"/>
        </w:rPr>
        <w:t>.</w:t>
      </w:r>
    </w:p>
    <w:p w14:paraId="38995873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DE30AC4" w14:textId="72644898" w:rsidR="00791E3A" w:rsidRDefault="00CB5FD6" w:rsidP="00E16A1C">
      <w:pPr>
        <w:rPr>
          <w:rFonts w:cs="Arial"/>
          <w:color w:val="222222"/>
          <w:szCs w:val="21"/>
          <w:shd w:val="clear" w:color="auto" w:fill="FFFFFF"/>
        </w:rPr>
      </w:pPr>
      <w:proofErr w:type="spellStart"/>
      <w:r w:rsidRPr="00CB5FD6">
        <w:rPr>
          <w:rFonts w:cs="Arial"/>
          <w:color w:val="222222"/>
          <w:szCs w:val="21"/>
          <w:shd w:val="clear" w:color="auto" w:fill="FFFFFF"/>
        </w:rPr>
        <w:t>Benzotriazole</w:t>
      </w:r>
      <w:proofErr w:type="spellEnd"/>
      <w:r w:rsidRPr="00CB5FD6">
        <w:rPr>
          <w:rFonts w:cs="Arial"/>
          <w:color w:val="222222"/>
          <w:szCs w:val="21"/>
          <w:shd w:val="clear" w:color="auto" w:fill="FFFFFF"/>
        </w:rPr>
        <w:t xml:space="preserve"> </w:t>
      </w:r>
      <w:r w:rsidR="00EA1791" w:rsidRPr="00EA1791">
        <w:rPr>
          <w:rFonts w:cs="Arial"/>
          <w:color w:val="222222"/>
          <w:szCs w:val="21"/>
          <w:shd w:val="clear" w:color="auto" w:fill="FFFFFF"/>
        </w:rPr>
        <w:t>is used</w:t>
      </w:r>
      <w:r w:rsidR="00EA1791">
        <w:rPr>
          <w:rFonts w:cs="Arial"/>
          <w:color w:val="222222"/>
          <w:szCs w:val="21"/>
          <w:shd w:val="clear" w:color="auto" w:fill="FFFFFF"/>
        </w:rPr>
        <w:t xml:space="preserve"> primarily</w:t>
      </w:r>
      <w:r w:rsidR="00EA1791" w:rsidRPr="00EA1791">
        <w:rPr>
          <w:rFonts w:cs="Arial"/>
          <w:color w:val="222222"/>
          <w:szCs w:val="21"/>
          <w:shd w:val="clear" w:color="auto" w:fill="FFFFFF"/>
        </w:rPr>
        <w:t xml:space="preserve"> as a corrosion </w:t>
      </w:r>
      <w:r w:rsidR="00A95EDB">
        <w:rPr>
          <w:rFonts w:cs="Arial"/>
          <w:color w:val="222222"/>
          <w:szCs w:val="21"/>
          <w:shd w:val="clear" w:color="auto" w:fill="FFFFFF"/>
        </w:rPr>
        <w:t>inhibitor, a</w:t>
      </w:r>
      <w:r w:rsidR="00EA1791">
        <w:rPr>
          <w:rFonts w:cs="Arial"/>
          <w:color w:val="222222"/>
          <w:szCs w:val="21"/>
          <w:shd w:val="clear" w:color="auto" w:fill="FFFFFF"/>
        </w:rPr>
        <w:t xml:space="preserve"> </w:t>
      </w:r>
      <w:r w:rsidR="00F82E9B">
        <w:rPr>
          <w:rFonts w:cs="Arial"/>
          <w:color w:val="222222"/>
          <w:szCs w:val="21"/>
          <w:shd w:val="clear" w:color="auto" w:fill="FFFFFF"/>
        </w:rPr>
        <w:t>UV stabiliser</w:t>
      </w:r>
      <w:r w:rsidR="00F82E9B" w:rsidRPr="00CB5FD6">
        <w:rPr>
          <w:rFonts w:cs="Arial"/>
          <w:color w:val="222222"/>
          <w:szCs w:val="21"/>
          <w:shd w:val="clear" w:color="auto" w:fill="FFFFFF"/>
        </w:rPr>
        <w:t xml:space="preserve"> </w:t>
      </w:r>
      <w:r w:rsidR="00F82E9B">
        <w:rPr>
          <w:rFonts w:cs="Arial"/>
          <w:color w:val="222222"/>
          <w:szCs w:val="21"/>
          <w:shd w:val="clear" w:color="auto" w:fill="FFFFFF"/>
        </w:rPr>
        <w:t xml:space="preserve">in </w:t>
      </w:r>
      <w:r w:rsidR="00EA1791">
        <w:rPr>
          <w:rFonts w:cs="Arial"/>
          <w:color w:val="222222"/>
          <w:szCs w:val="21"/>
          <w:shd w:val="clear" w:color="auto" w:fill="FFFFFF"/>
        </w:rPr>
        <w:t>plastic</w:t>
      </w:r>
      <w:r w:rsidR="00F82E9B">
        <w:rPr>
          <w:rFonts w:cs="Arial"/>
          <w:color w:val="222222"/>
          <w:szCs w:val="21"/>
          <w:shd w:val="clear" w:color="auto" w:fill="FFFFFF"/>
        </w:rPr>
        <w:t>s</w:t>
      </w:r>
      <w:r w:rsidR="00EA1791">
        <w:rPr>
          <w:rFonts w:cs="Arial"/>
          <w:color w:val="222222"/>
          <w:szCs w:val="21"/>
          <w:shd w:val="clear" w:color="auto" w:fill="FFFFFF"/>
        </w:rPr>
        <w:t xml:space="preserve"> </w:t>
      </w:r>
      <w:r w:rsidRPr="00CB5FD6">
        <w:rPr>
          <w:rFonts w:cs="Arial"/>
          <w:color w:val="222222"/>
          <w:szCs w:val="21"/>
          <w:shd w:val="clear" w:color="auto" w:fill="FFFFFF"/>
        </w:rPr>
        <w:t xml:space="preserve">and in </w:t>
      </w:r>
      <w:r w:rsidR="00494182">
        <w:rPr>
          <w:rFonts w:cs="Arial"/>
          <w:color w:val="222222"/>
          <w:szCs w:val="21"/>
          <w:shd w:val="clear" w:color="auto" w:fill="FFFFFF"/>
        </w:rPr>
        <w:t>the</w:t>
      </w:r>
      <w:r w:rsidR="00494182" w:rsidRPr="00CB5FD6">
        <w:rPr>
          <w:rFonts w:cs="Arial"/>
          <w:color w:val="222222"/>
          <w:szCs w:val="21"/>
          <w:shd w:val="clear" w:color="auto" w:fill="FFFFFF"/>
        </w:rPr>
        <w:t xml:space="preserve"> pharmaceutical</w:t>
      </w:r>
      <w:r w:rsidR="00494182">
        <w:rPr>
          <w:rFonts w:cs="Arial"/>
          <w:color w:val="222222"/>
          <w:szCs w:val="21"/>
          <w:shd w:val="clear" w:color="auto" w:fill="FFFFFF"/>
        </w:rPr>
        <w:t xml:space="preserve"> industry</w:t>
      </w:r>
      <w:r>
        <w:rPr>
          <w:rFonts w:cs="Arial"/>
          <w:color w:val="222222"/>
          <w:szCs w:val="21"/>
          <w:shd w:val="clear" w:color="auto" w:fill="FFFFFF"/>
        </w:rPr>
        <w:t>.</w:t>
      </w:r>
    </w:p>
    <w:p w14:paraId="7E99C203" w14:textId="2D034F08" w:rsidR="00F43333" w:rsidRDefault="00F82E9B" w:rsidP="00A95EDB">
      <w:pPr>
        <w:rPr>
          <w:rFonts w:cs="Arial"/>
        </w:rPr>
      </w:pPr>
      <w:r>
        <w:rPr>
          <w:rFonts w:cs="Arial"/>
          <w:color w:val="222222"/>
          <w:szCs w:val="21"/>
          <w:shd w:val="clear" w:color="auto" w:fill="FFFFFF"/>
        </w:rPr>
        <w:t>L</w:t>
      </w:r>
      <w:r w:rsidR="00EA1791">
        <w:rPr>
          <w:rFonts w:cs="Arial"/>
          <w:color w:val="222222"/>
          <w:szCs w:val="21"/>
          <w:shd w:val="clear" w:color="auto" w:fill="FFFFFF"/>
        </w:rPr>
        <w:t xml:space="preserve">imited </w:t>
      </w:r>
      <w:r w:rsidR="00EA1791">
        <w:rPr>
          <w:rFonts w:cs="Arial"/>
        </w:rPr>
        <w:t>a</w:t>
      </w:r>
      <w:r w:rsidR="00902DD9">
        <w:rPr>
          <w:rFonts w:cs="Arial"/>
        </w:rPr>
        <w:t>nimal studi</w:t>
      </w:r>
      <w:r w:rsidR="00EA1791">
        <w:rPr>
          <w:rFonts w:cs="Arial"/>
        </w:rPr>
        <w:t xml:space="preserve">es </w:t>
      </w:r>
      <w:r w:rsidR="00A95EDB">
        <w:rPr>
          <w:rFonts w:cs="Arial"/>
        </w:rPr>
        <w:t xml:space="preserve">are available. </w:t>
      </w:r>
      <w:r w:rsidR="00411136">
        <w:rPr>
          <w:rFonts w:cs="Arial"/>
        </w:rPr>
        <w:t xml:space="preserve">Studies support </w:t>
      </w:r>
      <w:r w:rsidR="00C26BC4">
        <w:rPr>
          <w:rFonts w:cs="Arial"/>
        </w:rPr>
        <w:t>carcinogenic and reproductive toxic effects in rats</w:t>
      </w:r>
      <w:r w:rsidR="00F43333">
        <w:rPr>
          <w:rFonts w:cs="Arial"/>
        </w:rPr>
        <w:t>. E</w:t>
      </w:r>
      <w:r w:rsidR="00A95EDB">
        <w:rPr>
          <w:rFonts w:cs="Arial"/>
        </w:rPr>
        <w:t>ye irritation</w:t>
      </w:r>
      <w:r w:rsidR="00F43333">
        <w:rPr>
          <w:rFonts w:cs="Arial"/>
        </w:rPr>
        <w:t xml:space="preserve"> </w:t>
      </w:r>
      <w:r w:rsidR="0037225C">
        <w:rPr>
          <w:rFonts w:cs="Arial"/>
        </w:rPr>
        <w:t>has been reported</w:t>
      </w:r>
      <w:r w:rsidR="00F43333">
        <w:rPr>
          <w:rFonts w:cs="Arial"/>
        </w:rPr>
        <w:t xml:space="preserve"> and skin </w:t>
      </w:r>
      <w:r w:rsidR="00F43333" w:rsidRPr="007D23F1">
        <w:t>contact is expected to contribute to systemic toxicity</w:t>
      </w:r>
      <w:r w:rsidR="00A95EDB">
        <w:rPr>
          <w:rFonts w:cs="Arial"/>
        </w:rPr>
        <w:t>.</w:t>
      </w:r>
      <w:r>
        <w:rPr>
          <w:rFonts w:cs="Arial"/>
        </w:rPr>
        <w:t xml:space="preserve"> </w:t>
      </w:r>
    </w:p>
    <w:p w14:paraId="3A20FCFC" w14:textId="48C78739" w:rsidR="00EA1791" w:rsidRDefault="00A95EDB" w:rsidP="00A95EDB">
      <w:pPr>
        <w:rPr>
          <w:rFonts w:cs="Arial"/>
        </w:rPr>
      </w:pPr>
      <w:r>
        <w:rPr>
          <w:rFonts w:cs="Arial"/>
        </w:rPr>
        <w:t>There is an insufficient weight of evidence to support any further recommendations.</w:t>
      </w:r>
    </w:p>
    <w:p w14:paraId="1E962C16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022607FC" w14:textId="3A464A1E" w:rsidR="009A4D06" w:rsidRPr="004C23F4" w:rsidRDefault="009A4D06" w:rsidP="009A4D06">
      <w:pPr>
        <w:rPr>
          <w:rFonts w:cs="Arial"/>
        </w:rPr>
      </w:pPr>
      <w:r>
        <w:rPr>
          <w:rFonts w:cs="Arial"/>
        </w:rPr>
        <w:t>The data</w:t>
      </w:r>
      <w:r w:rsidRPr="00E16A1C">
        <w:rPr>
          <w:rFonts w:cs="Arial"/>
        </w:rPr>
        <w:t xml:space="preserve"> </w:t>
      </w:r>
      <w:r w:rsidR="003B622A">
        <w:rPr>
          <w:rFonts w:cs="Arial"/>
        </w:rPr>
        <w:t xml:space="preserve">in the primary and secondary sources </w:t>
      </w:r>
      <w:r>
        <w:rPr>
          <w:rFonts w:cs="Arial"/>
        </w:rPr>
        <w:t>is considered</w:t>
      </w:r>
      <w:r w:rsidRPr="00E16A1C">
        <w:rPr>
          <w:rFonts w:cs="Arial"/>
        </w:rPr>
        <w:t xml:space="preserve"> </w:t>
      </w:r>
      <w:r>
        <w:rPr>
          <w:rFonts w:cs="Arial"/>
        </w:rPr>
        <w:t>insufficient</w:t>
      </w:r>
      <w:r w:rsidRPr="00E16A1C">
        <w:rPr>
          <w:rFonts w:cs="Arial"/>
        </w:rPr>
        <w:t xml:space="preserve"> to </w:t>
      </w:r>
      <w:r>
        <w:rPr>
          <w:rFonts w:cs="Arial"/>
        </w:rPr>
        <w:t>support</w:t>
      </w:r>
      <w:r w:rsidRPr="00E16A1C">
        <w:rPr>
          <w:rFonts w:cs="Arial"/>
        </w:rPr>
        <w:t xml:space="preserve"> recommendation of </w:t>
      </w:r>
      <w:r>
        <w:rPr>
          <w:rFonts w:cs="Arial"/>
        </w:rPr>
        <w:t>notations.</w:t>
      </w:r>
    </w:p>
    <w:p w14:paraId="080D06AC" w14:textId="77777777" w:rsidR="006D20BB" w:rsidRDefault="006D20BB" w:rsidP="006D20BB">
      <w:r>
        <w:t>Not classified as carcinogenic according to the Globally Harmonized System of Classification and Labelling of Chemicals (GHS).</w:t>
      </w:r>
    </w:p>
    <w:p w14:paraId="76C5A9D5" w14:textId="4BFEA7E4" w:rsidR="00942D27" w:rsidRPr="006D20BB" w:rsidRDefault="006D20BB">
      <w:r>
        <w:t xml:space="preserve">Not classified as </w:t>
      </w:r>
      <w:r w:rsidR="00F82E9B">
        <w:t xml:space="preserve">a </w:t>
      </w:r>
      <w:r>
        <w:t xml:space="preserve">skin </w:t>
      </w:r>
      <w:r w:rsidR="00F82E9B">
        <w:t>sensitiser or</w:t>
      </w:r>
      <w:r>
        <w:t xml:space="preserve"> respiratory sensitiser according to the GHS.</w:t>
      </w:r>
    </w:p>
    <w:p w14:paraId="6AE27EB9" w14:textId="5C45D256" w:rsidR="005E6979" w:rsidRPr="004C23F4" w:rsidRDefault="009333BE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rPr>
          <w:rFonts w:cs="Arial"/>
        </w:rPr>
        <w:t xml:space="preserve">Insufficient data available to </w:t>
      </w:r>
      <w:r w:rsidR="00935A2E">
        <w:rPr>
          <w:rFonts w:cs="Arial"/>
        </w:rPr>
        <w:t>recommend</w:t>
      </w:r>
      <w:r>
        <w:rPr>
          <w:rFonts w:cs="Arial"/>
        </w:rPr>
        <w:t xml:space="preserve"> a</w:t>
      </w:r>
      <w:r w:rsidR="00C77F0E">
        <w:rPr>
          <w:rFonts w:cs="Arial"/>
        </w:rPr>
        <w:t xml:space="preserve"> skin notation</w:t>
      </w:r>
      <w:r>
        <w:rPr>
          <w:rFonts w:cs="Arial"/>
        </w:rPr>
        <w:t>.</w:t>
      </w:r>
    </w:p>
    <w:p w14:paraId="0E246377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25088135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E54B8CE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25191D7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55737DA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3426631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D10D5A"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proofErr w:type="spellStart"/>
                <w:r w:rsidR="00D10D5A">
                  <w:t>NA</w:t>
                </w:r>
                <w:proofErr w:type="spellEnd"/>
              </w:sdtContent>
            </w:sdt>
          </w:p>
        </w:tc>
      </w:tr>
      <w:tr w:rsidR="00C978F0" w:rsidRPr="00DA352E" w14:paraId="6412940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E0655B3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1C52C13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7C504B7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D10D5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proofErr w:type="spellStart"/>
                <w:r w:rsidR="00D10D5A">
                  <w:t>NA</w:t>
                </w:r>
                <w:proofErr w:type="spellEnd"/>
              </w:sdtContent>
            </w:sdt>
          </w:p>
        </w:tc>
      </w:tr>
      <w:tr w:rsidR="00C978F0" w:rsidRPr="00DA352E" w14:paraId="64D36F3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DCB2190" w14:textId="77777777" w:rsidR="00C978F0" w:rsidRPr="00DA352E" w:rsidRDefault="0046585E" w:rsidP="003365A5">
            <w:pPr>
              <w:pStyle w:val="Tabletextprimarysource"/>
            </w:pPr>
            <w:r>
              <w:t>No r</w:t>
            </w:r>
            <w:r w:rsidR="003E51FA">
              <w:t xml:space="preserve">eport </w:t>
            </w:r>
          </w:p>
        </w:tc>
      </w:tr>
      <w:tr w:rsidR="00C978F0" w:rsidRPr="00DA352E" w14:paraId="0DE2CF9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E5DC1DC" w14:textId="6AD8C57E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D65C4C">
                  <w:t>2019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D10D5A">
                  <w:t>Not Assigned</w:t>
                </w:r>
              </w:sdtContent>
            </w:sdt>
          </w:p>
        </w:tc>
      </w:tr>
      <w:tr w:rsidR="00C978F0" w:rsidRPr="00DA352E" w14:paraId="616ECCB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844DA0A" w14:textId="2FB04A3C" w:rsidR="00C26BC4" w:rsidRPr="009333BE" w:rsidRDefault="00C26BC4" w:rsidP="00C26BC4">
            <w:pPr>
              <w:pStyle w:val="Tabletextprimarysource"/>
            </w:pPr>
            <w:r w:rsidRPr="009333BE">
              <w:t xml:space="preserve">Animal studies provide sufficient weight of evidence to support carcinogenicity (glioma and </w:t>
            </w:r>
            <w:proofErr w:type="spellStart"/>
            <w:r w:rsidRPr="009333BE">
              <w:t>oligodendroglioma</w:t>
            </w:r>
            <w:proofErr w:type="spellEnd"/>
            <w:r w:rsidRPr="009333BE">
              <w:t xml:space="preserve"> in rat brains) and for this reason </w:t>
            </w:r>
            <w:r w:rsidR="00935A2E">
              <w:t>c</w:t>
            </w:r>
            <w:r w:rsidRPr="009333BE">
              <w:t>arcinogen</w:t>
            </w:r>
            <w:r w:rsidR="00115975">
              <w:t xml:space="preserve"> </w:t>
            </w:r>
            <w:r w:rsidR="008C251C">
              <w:t>c</w:t>
            </w:r>
            <w:r w:rsidRPr="009333BE">
              <w:t xml:space="preserve">ategory 3B </w:t>
            </w:r>
            <w:r w:rsidR="00115975">
              <w:t>notation</w:t>
            </w:r>
            <w:r w:rsidR="0037225C">
              <w:t xml:space="preserve"> is assigned</w:t>
            </w:r>
            <w:r w:rsidRPr="009333BE">
              <w:t xml:space="preserve">. </w:t>
            </w:r>
          </w:p>
          <w:p w14:paraId="446D94C3" w14:textId="2DA97A83" w:rsidR="00C26BC4" w:rsidRPr="00C26BC4" w:rsidRDefault="00115975" w:rsidP="00C26BC4">
            <w:pPr>
              <w:pStyle w:val="Tabletextprimarysource"/>
            </w:pPr>
            <w:r>
              <w:t>L</w:t>
            </w:r>
            <w:r w:rsidRPr="009333BE">
              <w:t xml:space="preserve">imited database of studies </w:t>
            </w:r>
            <w:r>
              <w:t xml:space="preserve">for </w:t>
            </w:r>
            <w:proofErr w:type="spellStart"/>
            <w:r>
              <w:t>e</w:t>
            </w:r>
            <w:r w:rsidR="00C26BC4" w:rsidRPr="009333BE">
              <w:t>mbryotoxicity</w:t>
            </w:r>
            <w:proofErr w:type="spellEnd"/>
            <w:r w:rsidR="00C26BC4" w:rsidRPr="009333BE">
              <w:t xml:space="preserve"> and teratogenic effects.</w:t>
            </w:r>
          </w:p>
          <w:p w14:paraId="0758E878" w14:textId="5FD22692" w:rsidR="00D57C54" w:rsidRPr="00C26BC4" w:rsidRDefault="00CA25F0" w:rsidP="003365A5">
            <w:pPr>
              <w:pStyle w:val="Tabletextprimarysource"/>
            </w:pPr>
            <w:r w:rsidRPr="009333BE">
              <w:t>No geno</w:t>
            </w:r>
            <w:r w:rsidR="00D57C54" w:rsidRPr="00C26BC4">
              <w:t xml:space="preserve">toxic </w:t>
            </w:r>
            <w:r w:rsidRPr="009333BE">
              <w:t xml:space="preserve">potential </w:t>
            </w:r>
            <w:r w:rsidR="00D57C54" w:rsidRPr="00C26BC4">
              <w:t xml:space="preserve">effects </w:t>
            </w:r>
            <w:r w:rsidRPr="009333BE">
              <w:t>found in bacterial or animal testing</w:t>
            </w:r>
            <w:r w:rsidR="00D57C54" w:rsidRPr="00C26BC4">
              <w:t xml:space="preserve">. </w:t>
            </w:r>
          </w:p>
          <w:p w14:paraId="4B9B8F60" w14:textId="30FBC7C2" w:rsidR="00935A2E" w:rsidRDefault="00400F30" w:rsidP="003365A5">
            <w:pPr>
              <w:pStyle w:val="Tabletextprimarysource"/>
            </w:pPr>
            <w:r w:rsidRPr="00C26BC4">
              <w:t>A</w:t>
            </w:r>
            <w:r w:rsidR="00D57C54" w:rsidRPr="00C26BC4">
              <w:t xml:space="preserve">nticipated to cause eye irritation </w:t>
            </w:r>
            <w:r w:rsidR="009A4D06" w:rsidRPr="00C26BC4">
              <w:t>based on animal studies</w:t>
            </w:r>
            <w:r w:rsidR="003B622A">
              <w:t>.</w:t>
            </w:r>
            <w:r w:rsidR="00C26BC4" w:rsidRPr="009333BE">
              <w:t xml:space="preserve"> </w:t>
            </w:r>
          </w:p>
          <w:p w14:paraId="78DAE90E" w14:textId="364B06F0" w:rsidR="009A4D06" w:rsidRPr="00411136" w:rsidRDefault="00935A2E" w:rsidP="003365A5">
            <w:pPr>
              <w:pStyle w:val="Tabletextprimarysource"/>
            </w:pPr>
            <w:r>
              <w:t>S</w:t>
            </w:r>
            <w:r w:rsidR="00C26BC4" w:rsidRPr="009333BE">
              <w:t>kin contact is expected to contribute to systemic toxicity</w:t>
            </w:r>
            <w:r>
              <w:t>;</w:t>
            </w:r>
            <w:r w:rsidR="00C26BC4" w:rsidRPr="009333BE">
              <w:t xml:space="preserve"> </w:t>
            </w:r>
            <w:r w:rsidR="00C26BC4" w:rsidRPr="00C26BC4">
              <w:t>H n</w:t>
            </w:r>
            <w:r w:rsidR="00C26BC4" w:rsidRPr="009333BE">
              <w:t>otation applied.</w:t>
            </w:r>
          </w:p>
          <w:p w14:paraId="012BB766" w14:textId="28A4CD09" w:rsidR="00D57C54" w:rsidRPr="00411136" w:rsidRDefault="00D65C4C" w:rsidP="003365A5">
            <w:pPr>
              <w:pStyle w:val="Tabletextprimarysource"/>
            </w:pPr>
            <w:r w:rsidRPr="00411136">
              <w:t xml:space="preserve">Limited data </w:t>
            </w:r>
            <w:r w:rsidR="00DE0059" w:rsidRPr="00411136">
              <w:t xml:space="preserve">for </w:t>
            </w:r>
            <w:r w:rsidRPr="00411136">
              <w:t>evidence of s</w:t>
            </w:r>
            <w:r w:rsidR="00D57C54" w:rsidRPr="00411136">
              <w:t>ensitisation.</w:t>
            </w:r>
          </w:p>
          <w:p w14:paraId="42D26940" w14:textId="77777777" w:rsidR="00935A2E" w:rsidRDefault="00935A2E" w:rsidP="003365A5">
            <w:pPr>
              <w:pStyle w:val="Tabletextprimarysource"/>
            </w:pPr>
          </w:p>
          <w:p w14:paraId="168965C8" w14:textId="54B1C4A9" w:rsidR="00D57C54" w:rsidRPr="00F43333" w:rsidRDefault="00D57C54" w:rsidP="003365A5">
            <w:pPr>
              <w:pStyle w:val="Tabletextprimarysource"/>
            </w:pPr>
            <w:r w:rsidRPr="00F43333">
              <w:t xml:space="preserve">Summary </w:t>
            </w:r>
            <w:r w:rsidR="00863B8F" w:rsidRPr="00F43333">
              <w:t xml:space="preserve">of </w:t>
            </w:r>
            <w:r w:rsidRPr="00F43333">
              <w:t>data:</w:t>
            </w:r>
          </w:p>
          <w:p w14:paraId="3012678C" w14:textId="77777777" w:rsidR="00400F30" w:rsidRPr="00F43333" w:rsidRDefault="00400F30" w:rsidP="003365A5">
            <w:pPr>
              <w:pStyle w:val="Tabletextprimarysource"/>
            </w:pPr>
            <w:r w:rsidRPr="00F43333">
              <w:t>Animal data:</w:t>
            </w:r>
          </w:p>
          <w:p w14:paraId="6D3EA7F1" w14:textId="00A5CB6B" w:rsidR="00DE0059" w:rsidRPr="009333BE" w:rsidRDefault="00CA25F0" w:rsidP="003E51FA">
            <w:pPr>
              <w:pStyle w:val="ListBullet"/>
              <w:ind w:left="720"/>
            </w:pPr>
            <w:r w:rsidRPr="009333BE">
              <w:t xml:space="preserve">NOAEL </w:t>
            </w:r>
            <w:r w:rsidR="0037225C">
              <w:t xml:space="preserve">of 12.5 mg/kg/d </w:t>
            </w:r>
            <w:r w:rsidRPr="009333BE">
              <w:t xml:space="preserve">for bleeding mucous membranes (mouth and nose) </w:t>
            </w:r>
            <w:r w:rsidR="0037225C">
              <w:t xml:space="preserve">in </w:t>
            </w:r>
            <w:r w:rsidR="00C26BC4" w:rsidRPr="00C26BC4">
              <w:t>sub</w:t>
            </w:r>
            <w:r w:rsidR="0037225C">
              <w:t>-</w:t>
            </w:r>
            <w:r w:rsidR="00C26BC4" w:rsidRPr="00C26BC4">
              <w:t>chronic</w:t>
            </w:r>
            <w:r w:rsidR="00DE0059" w:rsidRPr="009333BE">
              <w:t xml:space="preserve"> oral toxicity studies </w:t>
            </w:r>
            <w:r w:rsidR="00C26BC4" w:rsidRPr="009333BE">
              <w:t>(</w:t>
            </w:r>
            <w:r w:rsidR="00DE0059" w:rsidRPr="009333BE">
              <w:t>rats</w:t>
            </w:r>
            <w:r w:rsidR="00C26BC4" w:rsidRPr="009333BE">
              <w:t>)</w:t>
            </w:r>
          </w:p>
          <w:p w14:paraId="041F6BC3" w14:textId="771A28D1" w:rsidR="00DE0059" w:rsidRPr="009333BE" w:rsidRDefault="00C26BC4" w:rsidP="003E51FA">
            <w:pPr>
              <w:pStyle w:val="ListBullet"/>
              <w:ind w:left="720"/>
            </w:pPr>
            <w:r w:rsidRPr="009333BE">
              <w:t xml:space="preserve">Evidence of reproductive toxicity effects with reduced </w:t>
            </w:r>
            <w:r w:rsidR="00935A2E">
              <w:t xml:space="preserve">pup </w:t>
            </w:r>
            <w:proofErr w:type="spellStart"/>
            <w:r w:rsidR="00935A2E">
              <w:t>b</w:t>
            </w:r>
            <w:r w:rsidR="0037225C">
              <w:t>w</w:t>
            </w:r>
            <w:proofErr w:type="spellEnd"/>
            <w:r w:rsidRPr="009333BE">
              <w:t xml:space="preserve"> (rat) during </w:t>
            </w:r>
            <w:r w:rsidR="00DE0059" w:rsidRPr="009333BE">
              <w:t xml:space="preserve">lactation </w:t>
            </w:r>
            <w:r w:rsidR="0037225C" w:rsidRPr="009333BE">
              <w:t>at 300</w:t>
            </w:r>
            <w:r w:rsidR="0037225C">
              <w:t> </w:t>
            </w:r>
            <w:r w:rsidR="0037225C" w:rsidRPr="009333BE">
              <w:t xml:space="preserve">mg/kg/d </w:t>
            </w:r>
          </w:p>
          <w:p w14:paraId="21AA8ECF" w14:textId="0FE1905B" w:rsidR="00411136" w:rsidRDefault="00411136" w:rsidP="00F43333">
            <w:pPr>
              <w:pStyle w:val="ListBullet"/>
              <w:ind w:left="720"/>
            </w:pPr>
            <w:r w:rsidRPr="009333BE">
              <w:t>LD</w:t>
            </w:r>
            <w:r w:rsidRPr="009333BE">
              <w:rPr>
                <w:vertAlign w:val="subscript"/>
              </w:rPr>
              <w:t>50</w:t>
            </w:r>
            <w:r w:rsidR="00935A2E">
              <w:t>:</w:t>
            </w:r>
            <w:r w:rsidR="00F43333" w:rsidRPr="00301B87">
              <w:t xml:space="preserve"> </w:t>
            </w:r>
            <w:r w:rsidR="00F43333" w:rsidRPr="00F43333">
              <w:t>&gt;</w:t>
            </w:r>
            <w:r w:rsidR="003B622A">
              <w:t xml:space="preserve"> </w:t>
            </w:r>
            <w:r w:rsidRPr="009333BE">
              <w:t>2000 m</w:t>
            </w:r>
            <w:r w:rsidRPr="00411136">
              <w:t xml:space="preserve">g/kg </w:t>
            </w:r>
            <w:r w:rsidR="00935A2E">
              <w:t>(</w:t>
            </w:r>
            <w:r w:rsidRPr="00301B87">
              <w:t>rabbit</w:t>
            </w:r>
            <w:r w:rsidR="00935A2E">
              <w:t>)</w:t>
            </w:r>
            <w:r w:rsidRPr="00301B87">
              <w:t xml:space="preserve"> </w:t>
            </w:r>
            <w:r w:rsidR="00F43333">
              <w:t>and &gt;</w:t>
            </w:r>
            <w:r w:rsidR="003B622A">
              <w:t xml:space="preserve"> </w:t>
            </w:r>
            <w:r w:rsidR="00F43333">
              <w:t xml:space="preserve">1000 mg/kg </w:t>
            </w:r>
            <w:r w:rsidR="00935A2E">
              <w:t>(</w:t>
            </w:r>
            <w:r w:rsidR="00F43333">
              <w:t>guinea pig</w:t>
            </w:r>
            <w:r w:rsidR="00935A2E">
              <w:t xml:space="preserve">; </w:t>
            </w:r>
            <w:r w:rsidR="00F43333">
              <w:t>d</w:t>
            </w:r>
            <w:r w:rsidR="00F43333" w:rsidRPr="004B4725">
              <w:t>ermal</w:t>
            </w:r>
            <w:r w:rsidR="00F43333">
              <w:t>)</w:t>
            </w:r>
          </w:p>
          <w:p w14:paraId="3BE163EB" w14:textId="3CFCD1C4" w:rsidR="00DE0059" w:rsidRPr="00C26BC4" w:rsidRDefault="00C109BA" w:rsidP="004918A1">
            <w:pPr>
              <w:pStyle w:val="ListBullet"/>
              <w:ind w:left="720"/>
            </w:pPr>
            <w:r w:rsidRPr="00411136">
              <w:t>LD</w:t>
            </w:r>
            <w:r w:rsidRPr="00411136">
              <w:rPr>
                <w:vertAlign w:val="subscript"/>
              </w:rPr>
              <w:t>50</w:t>
            </w:r>
            <w:r w:rsidR="003E51FA" w:rsidRPr="00411136">
              <w:t>:</w:t>
            </w:r>
            <w:r w:rsidRPr="00411136">
              <w:t xml:space="preserve"> </w:t>
            </w:r>
            <w:r w:rsidR="003E51FA" w:rsidRPr="00411136">
              <w:t xml:space="preserve">238 mg/kg </w:t>
            </w:r>
            <w:r w:rsidR="00432431" w:rsidRPr="00411136">
              <w:t xml:space="preserve">for acute toxicity </w:t>
            </w:r>
            <w:r w:rsidRPr="00411136">
              <w:t>(rats</w:t>
            </w:r>
            <w:r w:rsidR="00432431" w:rsidRPr="00411136">
              <w:t>, intravenous)</w:t>
            </w:r>
          </w:p>
          <w:p w14:paraId="1963797B" w14:textId="3523D716" w:rsidR="00D42A71" w:rsidRPr="00411136" w:rsidRDefault="00D42A71" w:rsidP="00D42A71">
            <w:pPr>
              <w:pStyle w:val="ListBullet"/>
              <w:ind w:left="720"/>
            </w:pPr>
            <w:r w:rsidRPr="00411136">
              <w:t xml:space="preserve">Not mutagenic in </w:t>
            </w:r>
            <w:r w:rsidRPr="00411136">
              <w:rPr>
                <w:i/>
                <w:iCs/>
              </w:rPr>
              <w:t xml:space="preserve">Salmonella typhimurium </w:t>
            </w:r>
            <w:r w:rsidRPr="00411136">
              <w:t>TA1535</w:t>
            </w:r>
            <w:r w:rsidR="009A7194">
              <w:t>.</w:t>
            </w:r>
          </w:p>
          <w:p w14:paraId="3AB23382" w14:textId="77777777" w:rsidR="00863B8F" w:rsidRPr="00DA352E" w:rsidRDefault="00863B8F" w:rsidP="009333BE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C978F0" w:rsidRPr="00DA352E" w14:paraId="65A417A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2B0045B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8422B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8422BA">
                  <w:t>NA</w:t>
                </w:r>
                <w:proofErr w:type="spellEnd"/>
              </w:sdtContent>
            </w:sdt>
          </w:p>
        </w:tc>
      </w:tr>
      <w:tr w:rsidR="00C978F0" w:rsidRPr="00DA352E" w14:paraId="1A3458E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32B965D" w14:textId="77777777" w:rsidR="00C978F0" w:rsidRPr="00DA352E" w:rsidRDefault="003E51FA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13AB763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4498EC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8422B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8422BA">
                  <w:t>NA</w:t>
                </w:r>
                <w:proofErr w:type="spellEnd"/>
              </w:sdtContent>
            </w:sdt>
          </w:p>
        </w:tc>
      </w:tr>
      <w:tr w:rsidR="00DA352E" w:rsidRPr="00DA352E" w14:paraId="4CF67E8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3E40091" w14:textId="77777777" w:rsidR="00DA352E" w:rsidRPr="00DA352E" w:rsidRDefault="003E51FA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7AF96A8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7622385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8422BA">
                  <w:t>2000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8422BA">
                  <w:t>Not Assigned</w:t>
                </w:r>
              </w:sdtContent>
            </w:sdt>
          </w:p>
        </w:tc>
      </w:tr>
      <w:tr w:rsidR="00DA352E" w:rsidRPr="00DA352E" w14:paraId="6A22591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7CE2B6C" w14:textId="3DC6C7E1" w:rsidR="002C2988" w:rsidRDefault="003E51FA" w:rsidP="003365A5">
            <w:pPr>
              <w:pStyle w:val="Tabletextprimarysource"/>
            </w:pPr>
            <w:r>
              <w:t>Data</w:t>
            </w:r>
            <w:r w:rsidR="002C2988">
              <w:t xml:space="preserve">base considered </w:t>
            </w:r>
            <w:r w:rsidR="00902DD9">
              <w:t>inconclus</w:t>
            </w:r>
            <w:r w:rsidR="004A3DBA">
              <w:t>ive for carcinogenic potential</w:t>
            </w:r>
            <w:r w:rsidR="00115975">
              <w:t>. C</w:t>
            </w:r>
            <w:r w:rsidR="00902DD9">
              <w:t>lassified as a suspect (weak) carcinogen.</w:t>
            </w:r>
          </w:p>
          <w:p w14:paraId="4B64AF7E" w14:textId="421151F1" w:rsidR="00421067" w:rsidRDefault="003B622A" w:rsidP="00421067">
            <w:pPr>
              <w:pStyle w:val="Tabletextprimarysource"/>
            </w:pPr>
            <w:r>
              <w:t xml:space="preserve">Reported as ‘harmful following inhalation and oral exposure’ based </w:t>
            </w:r>
            <w:r w:rsidR="00421067">
              <w:t>on acute animal lethal toxicity data.</w:t>
            </w:r>
          </w:p>
          <w:p w14:paraId="70AD45C5" w14:textId="77777777" w:rsidR="00700675" w:rsidRDefault="00700675" w:rsidP="003365A5">
            <w:pPr>
              <w:pStyle w:val="Tabletextprimarysource"/>
            </w:pPr>
            <w:r>
              <w:t>A NOAEL could not be established.</w:t>
            </w:r>
          </w:p>
          <w:p w14:paraId="08A82086" w14:textId="77777777" w:rsidR="00935A2E" w:rsidRDefault="00935A2E" w:rsidP="003365A5">
            <w:pPr>
              <w:pStyle w:val="Tabletextprimarysource"/>
            </w:pPr>
          </w:p>
          <w:p w14:paraId="425A7DF8" w14:textId="1F11CB11" w:rsidR="00E16A1C" w:rsidRDefault="00E16A1C" w:rsidP="003365A5">
            <w:pPr>
              <w:pStyle w:val="Tabletextprimarysource"/>
            </w:pPr>
            <w:r>
              <w:t>Summary</w:t>
            </w:r>
            <w:r w:rsidR="0015501F">
              <w:t xml:space="preserve"> of additional</w:t>
            </w:r>
            <w:r>
              <w:t xml:space="preserve"> </w:t>
            </w:r>
            <w:r w:rsidR="00863B8F">
              <w:t>d</w:t>
            </w:r>
            <w:r>
              <w:t>ata:</w:t>
            </w:r>
          </w:p>
          <w:p w14:paraId="249F600C" w14:textId="77777777" w:rsidR="00E16A1C" w:rsidRDefault="00E16A1C" w:rsidP="003365A5">
            <w:pPr>
              <w:pStyle w:val="Tabletextprimarysource"/>
            </w:pPr>
            <w:r>
              <w:t>Human data:</w:t>
            </w:r>
          </w:p>
          <w:p w14:paraId="113474BE" w14:textId="22C41507" w:rsidR="00E16A1C" w:rsidRDefault="00E16A1C" w:rsidP="00942D27">
            <w:pPr>
              <w:pStyle w:val="ListBullet"/>
              <w:ind w:left="720"/>
            </w:pPr>
            <w:r>
              <w:t xml:space="preserve">Dermatitis observed </w:t>
            </w:r>
            <w:r w:rsidR="003B622A">
              <w:t xml:space="preserve">in </w:t>
            </w:r>
            <w:r w:rsidR="00935A2E">
              <w:t xml:space="preserve">4 </w:t>
            </w:r>
            <w:r>
              <w:t>worker</w:t>
            </w:r>
            <w:r w:rsidR="0037225C">
              <w:t>s</w:t>
            </w:r>
            <w:r w:rsidR="009A4D06">
              <w:t xml:space="preserve"> </w:t>
            </w:r>
            <w:r w:rsidR="003B622A">
              <w:t>in a dermal study</w:t>
            </w:r>
            <w:r w:rsidR="003B622A" w:rsidDel="003B622A">
              <w:t xml:space="preserve"> </w:t>
            </w:r>
          </w:p>
          <w:p w14:paraId="601C3164" w14:textId="30FC0455" w:rsidR="002C2988" w:rsidRDefault="003E51FA" w:rsidP="009333BE">
            <w:pPr>
              <w:pStyle w:val="ListBullet"/>
              <w:ind w:left="720"/>
            </w:pPr>
            <w:r>
              <w:t>Sensitis</w:t>
            </w:r>
            <w:r w:rsidR="00E16A1C">
              <w:t>ation could not be excluded</w:t>
            </w:r>
            <w:r w:rsidR="00863B8F">
              <w:t>.</w:t>
            </w:r>
          </w:p>
          <w:p w14:paraId="6929EDD2" w14:textId="77777777" w:rsidR="00772B17" w:rsidRDefault="00772B17" w:rsidP="001F6999">
            <w:pPr>
              <w:pStyle w:val="ListBullet"/>
              <w:numPr>
                <w:ilvl w:val="0"/>
                <w:numId w:val="0"/>
              </w:numPr>
            </w:pPr>
          </w:p>
          <w:p w14:paraId="349FB35A" w14:textId="6445E9DF" w:rsidR="00E16A1C" w:rsidRDefault="001F6999" w:rsidP="001F6999">
            <w:pPr>
              <w:pStyle w:val="ListBullet"/>
              <w:numPr>
                <w:ilvl w:val="0"/>
                <w:numId w:val="0"/>
              </w:numPr>
            </w:pPr>
            <w:r>
              <w:t>Animal data:</w:t>
            </w:r>
          </w:p>
          <w:p w14:paraId="6DB05E5B" w14:textId="77777777" w:rsidR="00700675" w:rsidRDefault="003E51FA" w:rsidP="007C44E0">
            <w:pPr>
              <w:pStyle w:val="ListBullet"/>
              <w:ind w:left="720"/>
            </w:pPr>
            <w:r w:rsidRPr="00700675">
              <w:t>LC</w:t>
            </w:r>
            <w:r w:rsidRPr="00700675">
              <w:rPr>
                <w:vertAlign w:val="subscript"/>
              </w:rPr>
              <w:t>50</w:t>
            </w:r>
            <w:r>
              <w:t xml:space="preserve">: </w:t>
            </w:r>
            <w:r w:rsidRPr="00700675">
              <w:t>2</w:t>
            </w:r>
            <w:r>
              <w:t>,</w:t>
            </w:r>
            <w:r w:rsidRPr="00700675">
              <w:t>153 mg/m</w:t>
            </w:r>
            <w:r w:rsidRPr="00700675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>
              <w:t>(rats, 3 h</w:t>
            </w:r>
            <w:r w:rsidRPr="003E51FA">
              <w:t xml:space="preserve">) </w:t>
            </w:r>
          </w:p>
          <w:p w14:paraId="2220C105" w14:textId="77777777" w:rsidR="00C77F0E" w:rsidRDefault="00C77F0E" w:rsidP="007C44E0">
            <w:pPr>
              <w:pStyle w:val="ListBullet"/>
              <w:ind w:left="720"/>
            </w:pPr>
            <w:r>
              <w:t>LD</w:t>
            </w:r>
            <w:r w:rsidRPr="00C77F0E">
              <w:rPr>
                <w:vertAlign w:val="subscript"/>
              </w:rPr>
              <w:t>50</w:t>
            </w:r>
            <w:r>
              <w:t xml:space="preserve">: 500-965 mg/kg (rats, oral) </w:t>
            </w:r>
          </w:p>
          <w:p w14:paraId="5D99AF50" w14:textId="77777777" w:rsidR="001F6999" w:rsidRDefault="001F6999" w:rsidP="007C44E0">
            <w:pPr>
              <w:pStyle w:val="ListBullet"/>
              <w:ind w:left="720"/>
            </w:pPr>
            <w:r>
              <w:t>Eye irritation observed in rabbit study (n=6) with reduced irritation following flushing</w:t>
            </w:r>
          </w:p>
          <w:p w14:paraId="6BE76960" w14:textId="77777777" w:rsidR="00216B82" w:rsidRDefault="001F6999" w:rsidP="007C44E0">
            <w:pPr>
              <w:pStyle w:val="ListBullet"/>
              <w:ind w:left="720"/>
            </w:pPr>
            <w:r>
              <w:t>Mild skin irritation observed in guinea-pigs and rabbit</w:t>
            </w:r>
            <w:r w:rsidR="0015501F">
              <w:t>s</w:t>
            </w:r>
            <w:r w:rsidR="00902DD9">
              <w:t>.</w:t>
            </w:r>
          </w:p>
          <w:p w14:paraId="27C2757F" w14:textId="77777777" w:rsidR="00863B8F" w:rsidRPr="00DA352E" w:rsidRDefault="00863B8F" w:rsidP="00863B8F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42C07390" w14:textId="77777777" w:rsidR="00A20751" w:rsidRPr="004C23F4" w:rsidRDefault="00A20751" w:rsidP="003365A5">
      <w:pPr>
        <w:pStyle w:val="Heading3"/>
      </w:pPr>
      <w:bookmarkStart w:id="2" w:name="SecondSource"/>
      <w:r w:rsidRPr="004C23F4">
        <w:t xml:space="preserve">Secondary </w:t>
      </w:r>
      <w:r w:rsidR="0088798F">
        <w:t xml:space="preserve">source reports relied upon </w:t>
      </w:r>
    </w:p>
    <w:p w14:paraId="6C1E3B98" w14:textId="77777777" w:rsidR="007E2A4B" w:rsidRDefault="00432431">
      <w:r>
        <w:t>NIL</w:t>
      </w:r>
    </w:p>
    <w:bookmarkEnd w:id="2"/>
    <w:p w14:paraId="5EE11FB7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26C8BE6C" w14:textId="77777777" w:rsidTr="00CB5FD6">
        <w:trPr>
          <w:trHeight w:val="454"/>
          <w:tblHeader/>
        </w:trPr>
        <w:tc>
          <w:tcPr>
            <w:tcW w:w="6597" w:type="dxa"/>
            <w:vAlign w:val="center"/>
          </w:tcPr>
          <w:p w14:paraId="7D8AA617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3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B12AECD" w14:textId="77777777" w:rsidR="002E0D61" w:rsidRDefault="002C2988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1B2E4A7A" w14:textId="77777777" w:rsidTr="00CB5FD6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7E3E07CD" w14:textId="77777777" w:rsidR="008A36CF" w:rsidRPr="006901A2" w:rsidRDefault="00942D27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2CBE4A1F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3"/>
    <w:p w14:paraId="59EBDB2C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1946"/>
        <w:gridCol w:w="3540"/>
        <w:gridCol w:w="3540"/>
      </w:tblGrid>
      <w:tr w:rsidR="00432431" w:rsidRPr="004C23F4" w14:paraId="47A40468" w14:textId="77777777" w:rsidTr="00432431">
        <w:trPr>
          <w:cantSplit/>
          <w:tblHeader/>
        </w:trPr>
        <w:tc>
          <w:tcPr>
            <w:tcW w:w="1946" w:type="dxa"/>
            <w:shd w:val="clear" w:color="auto" w:fill="BFBFBF" w:themeFill="background1" w:themeFillShade="BF"/>
            <w:vAlign w:val="center"/>
          </w:tcPr>
          <w:p w14:paraId="4844114F" w14:textId="77777777" w:rsidR="00432431" w:rsidRPr="004C23F4" w:rsidRDefault="00432431" w:rsidP="00263255">
            <w:pPr>
              <w:pStyle w:val="Tableheader"/>
            </w:pPr>
            <w:bookmarkStart w:id="4" w:name="Notations"/>
            <w:r w:rsidRPr="004C23F4">
              <w:t>Source</w:t>
            </w:r>
          </w:p>
        </w:tc>
        <w:tc>
          <w:tcPr>
            <w:tcW w:w="3540" w:type="dxa"/>
            <w:shd w:val="clear" w:color="auto" w:fill="BFBFBF" w:themeFill="background1" w:themeFillShade="BF"/>
          </w:tcPr>
          <w:p w14:paraId="7658D3DF" w14:textId="77777777" w:rsidR="00432431" w:rsidRPr="004C23F4" w:rsidRDefault="00432431" w:rsidP="00F4402E">
            <w:pPr>
              <w:pStyle w:val="Tableheader"/>
              <w:tabs>
                <w:tab w:val="right" w:pos="5272"/>
              </w:tabs>
            </w:pPr>
          </w:p>
        </w:tc>
        <w:tc>
          <w:tcPr>
            <w:tcW w:w="3540" w:type="dxa"/>
            <w:shd w:val="clear" w:color="auto" w:fill="BFBFBF" w:themeFill="background1" w:themeFillShade="BF"/>
            <w:vAlign w:val="center"/>
          </w:tcPr>
          <w:p w14:paraId="48C4F97D" w14:textId="77777777" w:rsidR="00432431" w:rsidRPr="004C23F4" w:rsidRDefault="00432431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>
              <w:tab/>
            </w:r>
          </w:p>
        </w:tc>
      </w:tr>
      <w:tr w:rsidR="00432431" w:rsidRPr="004C23F4" w14:paraId="0061AE1E" w14:textId="77777777" w:rsidTr="00432431">
        <w:trPr>
          <w:cantSplit/>
        </w:trPr>
        <w:tc>
          <w:tcPr>
            <w:tcW w:w="1946" w:type="dxa"/>
          </w:tcPr>
          <w:p w14:paraId="7A49D502" w14:textId="77777777" w:rsidR="00432431" w:rsidRPr="004C23F4" w:rsidRDefault="00432431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3540" w:type="dxa"/>
          </w:tcPr>
          <w:p w14:paraId="7D7D95A6" w14:textId="77777777" w:rsidR="00432431" w:rsidRDefault="00432431" w:rsidP="00DD2F9B">
            <w:pPr>
              <w:pStyle w:val="Tablefont"/>
            </w:pPr>
          </w:p>
        </w:tc>
        <w:tc>
          <w:tcPr>
            <w:tcW w:w="3540" w:type="dxa"/>
          </w:tcPr>
          <w:p w14:paraId="55E2FF1C" w14:textId="1919231F" w:rsidR="00432431" w:rsidRPr="00DD2F9B" w:rsidRDefault="008D66BF" w:rsidP="00DD2F9B">
            <w:pPr>
              <w:pStyle w:val="Tablefont"/>
            </w:pPr>
            <w:r>
              <w:t xml:space="preserve">— </w:t>
            </w:r>
          </w:p>
        </w:tc>
      </w:tr>
      <w:tr w:rsidR="00432431" w:rsidRPr="004C23F4" w14:paraId="19FC33E4" w14:textId="77777777" w:rsidTr="00432431">
        <w:trPr>
          <w:cantSplit/>
        </w:trPr>
        <w:tc>
          <w:tcPr>
            <w:tcW w:w="1946" w:type="dxa"/>
          </w:tcPr>
          <w:p w14:paraId="3E615950" w14:textId="77777777" w:rsidR="00432431" w:rsidRPr="004C23F4" w:rsidRDefault="00432431" w:rsidP="00F4402E">
            <w:pPr>
              <w:pStyle w:val="Tablefont"/>
            </w:pPr>
            <w:r>
              <w:t>HCIS</w:t>
            </w:r>
          </w:p>
        </w:tc>
        <w:tc>
          <w:tcPr>
            <w:tcW w:w="3540" w:type="dxa"/>
          </w:tcPr>
          <w:p w14:paraId="37AC368B" w14:textId="77777777" w:rsidR="00432431" w:rsidRDefault="00432431" w:rsidP="00DD2F9B">
            <w:pPr>
              <w:pStyle w:val="Tablefont"/>
            </w:pPr>
          </w:p>
        </w:tc>
        <w:tc>
          <w:tcPr>
            <w:tcW w:w="3540" w:type="dxa"/>
          </w:tcPr>
          <w:p w14:paraId="64B54A9C" w14:textId="795C3A28" w:rsidR="00432431" w:rsidRPr="00DD2F9B" w:rsidRDefault="008D66BF" w:rsidP="00DD2F9B">
            <w:pPr>
              <w:pStyle w:val="Tablefont"/>
            </w:pPr>
            <w:r>
              <w:t xml:space="preserve">— </w:t>
            </w:r>
          </w:p>
        </w:tc>
      </w:tr>
      <w:tr w:rsidR="00432431" w:rsidRPr="004C23F4" w14:paraId="7489A5A4" w14:textId="77777777" w:rsidTr="00432431">
        <w:trPr>
          <w:cantSplit/>
        </w:trPr>
        <w:tc>
          <w:tcPr>
            <w:tcW w:w="1946" w:type="dxa"/>
          </w:tcPr>
          <w:p w14:paraId="7B5F76E9" w14:textId="77777777" w:rsidR="00432431" w:rsidRPr="004C23F4" w:rsidRDefault="00432431" w:rsidP="00F4402E">
            <w:pPr>
              <w:pStyle w:val="Tablefont"/>
            </w:pPr>
            <w:r>
              <w:t>NICNAS</w:t>
            </w:r>
          </w:p>
        </w:tc>
        <w:tc>
          <w:tcPr>
            <w:tcW w:w="3540" w:type="dxa"/>
          </w:tcPr>
          <w:p w14:paraId="1861B49E" w14:textId="77777777" w:rsidR="00432431" w:rsidRDefault="00432431" w:rsidP="00DD2F9B">
            <w:pPr>
              <w:pStyle w:val="Tablefont"/>
            </w:pPr>
          </w:p>
        </w:tc>
        <w:tc>
          <w:tcPr>
            <w:tcW w:w="3540" w:type="dxa"/>
          </w:tcPr>
          <w:p w14:paraId="775AE17E" w14:textId="16FD17C8" w:rsidR="00432431" w:rsidRPr="00DD2F9B" w:rsidRDefault="008D66BF" w:rsidP="00DD2F9B">
            <w:pPr>
              <w:pStyle w:val="Tablefont"/>
            </w:pPr>
            <w:r>
              <w:t xml:space="preserve">— </w:t>
            </w:r>
          </w:p>
        </w:tc>
      </w:tr>
      <w:tr w:rsidR="00432431" w:rsidRPr="004C23F4" w14:paraId="2C16F888" w14:textId="77777777" w:rsidTr="00432431">
        <w:trPr>
          <w:cantSplit/>
        </w:trPr>
        <w:tc>
          <w:tcPr>
            <w:tcW w:w="1946" w:type="dxa"/>
          </w:tcPr>
          <w:p w14:paraId="5FA482FB" w14:textId="77777777" w:rsidR="00432431" w:rsidRPr="004C23F4" w:rsidRDefault="00432431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3540" w:type="dxa"/>
          </w:tcPr>
          <w:p w14:paraId="4541C182" w14:textId="77777777" w:rsidR="00432431" w:rsidRDefault="00432431" w:rsidP="00DD2F9B">
            <w:pPr>
              <w:pStyle w:val="Tablefont"/>
            </w:pPr>
          </w:p>
        </w:tc>
        <w:tc>
          <w:tcPr>
            <w:tcW w:w="3540" w:type="dxa"/>
          </w:tcPr>
          <w:p w14:paraId="06A96867" w14:textId="2F198E71" w:rsidR="00432431" w:rsidRPr="00DD2F9B" w:rsidRDefault="008D66BF" w:rsidP="00DD2F9B">
            <w:pPr>
              <w:pStyle w:val="Tablefont"/>
            </w:pPr>
            <w:r>
              <w:t xml:space="preserve">— </w:t>
            </w:r>
          </w:p>
        </w:tc>
      </w:tr>
      <w:tr w:rsidR="00432431" w:rsidRPr="004C23F4" w14:paraId="550553F6" w14:textId="77777777" w:rsidTr="00432431">
        <w:trPr>
          <w:cantSplit/>
        </w:trPr>
        <w:tc>
          <w:tcPr>
            <w:tcW w:w="1946" w:type="dxa"/>
          </w:tcPr>
          <w:p w14:paraId="08494D54" w14:textId="77777777" w:rsidR="00432431" w:rsidRDefault="00432431" w:rsidP="00F4402E">
            <w:pPr>
              <w:pStyle w:val="Tablefont"/>
            </w:pPr>
            <w:r>
              <w:t>ECHA</w:t>
            </w:r>
          </w:p>
        </w:tc>
        <w:tc>
          <w:tcPr>
            <w:tcW w:w="3540" w:type="dxa"/>
          </w:tcPr>
          <w:p w14:paraId="7F2853C6" w14:textId="77777777" w:rsidR="00432431" w:rsidRDefault="00432431" w:rsidP="00DD2F9B">
            <w:pPr>
              <w:pStyle w:val="Tablefont"/>
            </w:pPr>
          </w:p>
        </w:tc>
        <w:tc>
          <w:tcPr>
            <w:tcW w:w="3540" w:type="dxa"/>
          </w:tcPr>
          <w:p w14:paraId="4922BEFA" w14:textId="29C31B99" w:rsidR="00432431" w:rsidRPr="00DD2F9B" w:rsidRDefault="008D66BF" w:rsidP="00DD2F9B">
            <w:pPr>
              <w:pStyle w:val="Tablefont"/>
            </w:pPr>
            <w:r>
              <w:t xml:space="preserve">— </w:t>
            </w:r>
          </w:p>
        </w:tc>
      </w:tr>
      <w:tr w:rsidR="00432431" w:rsidRPr="004C23F4" w14:paraId="428FC463" w14:textId="77777777" w:rsidTr="00432431">
        <w:trPr>
          <w:cantSplit/>
        </w:trPr>
        <w:tc>
          <w:tcPr>
            <w:tcW w:w="1946" w:type="dxa"/>
          </w:tcPr>
          <w:p w14:paraId="4872E7B9" w14:textId="77777777" w:rsidR="00432431" w:rsidRPr="004C23F4" w:rsidRDefault="00432431" w:rsidP="00F4402E">
            <w:pPr>
              <w:pStyle w:val="Tablefont"/>
            </w:pPr>
            <w:r>
              <w:t>ACGIH</w:t>
            </w:r>
          </w:p>
        </w:tc>
        <w:tc>
          <w:tcPr>
            <w:tcW w:w="3540" w:type="dxa"/>
          </w:tcPr>
          <w:p w14:paraId="7B307880" w14:textId="77777777" w:rsidR="00432431" w:rsidRDefault="00432431" w:rsidP="00DD2F9B">
            <w:pPr>
              <w:pStyle w:val="Tablefont"/>
            </w:pPr>
          </w:p>
        </w:tc>
        <w:tc>
          <w:tcPr>
            <w:tcW w:w="3540" w:type="dxa"/>
          </w:tcPr>
          <w:p w14:paraId="0D8BAD9B" w14:textId="797EBE24" w:rsidR="00432431" w:rsidRPr="00DD2F9B" w:rsidRDefault="008D66BF" w:rsidP="00DD2F9B">
            <w:pPr>
              <w:pStyle w:val="Tablefont"/>
            </w:pPr>
            <w:r>
              <w:t xml:space="preserve">— </w:t>
            </w:r>
          </w:p>
        </w:tc>
      </w:tr>
      <w:tr w:rsidR="00432431" w:rsidRPr="004C23F4" w14:paraId="12358BFE" w14:textId="77777777" w:rsidTr="00432431">
        <w:trPr>
          <w:cantSplit/>
        </w:trPr>
        <w:tc>
          <w:tcPr>
            <w:tcW w:w="1946" w:type="dxa"/>
          </w:tcPr>
          <w:p w14:paraId="206DE2D5" w14:textId="77777777" w:rsidR="00432431" w:rsidRPr="004C23F4" w:rsidRDefault="00432431" w:rsidP="00F4402E">
            <w:pPr>
              <w:pStyle w:val="Tablefont"/>
            </w:pPr>
            <w:r>
              <w:t>DFG</w:t>
            </w:r>
          </w:p>
        </w:tc>
        <w:tc>
          <w:tcPr>
            <w:tcW w:w="3540" w:type="dxa"/>
          </w:tcPr>
          <w:p w14:paraId="32A3C931" w14:textId="77777777" w:rsidR="00432431" w:rsidRPr="00DD2F9B" w:rsidRDefault="00432431" w:rsidP="00DD2F9B">
            <w:pPr>
              <w:pStyle w:val="Tablefont"/>
            </w:pPr>
          </w:p>
        </w:tc>
        <w:tc>
          <w:tcPr>
            <w:tcW w:w="3540" w:type="dxa"/>
          </w:tcPr>
          <w:p w14:paraId="506A1F09" w14:textId="4A34CFD8" w:rsidR="00432431" w:rsidRPr="00DD2F9B" w:rsidRDefault="008D66BF" w:rsidP="00DD2F9B">
            <w:pPr>
              <w:pStyle w:val="Tablefont"/>
            </w:pPr>
            <w:r>
              <w:t xml:space="preserve">Carcinogenicity – 3B; H (skin) </w:t>
            </w:r>
          </w:p>
        </w:tc>
      </w:tr>
      <w:tr w:rsidR="00432431" w:rsidRPr="004C23F4" w14:paraId="0174A74F" w14:textId="77777777" w:rsidTr="00432431">
        <w:trPr>
          <w:cantSplit/>
        </w:trPr>
        <w:tc>
          <w:tcPr>
            <w:tcW w:w="1946" w:type="dxa"/>
          </w:tcPr>
          <w:p w14:paraId="2B483C15" w14:textId="77777777" w:rsidR="00432431" w:rsidRPr="004C23F4" w:rsidRDefault="00432431" w:rsidP="00F4402E">
            <w:pPr>
              <w:pStyle w:val="Tablefont"/>
            </w:pPr>
            <w:r>
              <w:t>SCOEL</w:t>
            </w:r>
          </w:p>
        </w:tc>
        <w:tc>
          <w:tcPr>
            <w:tcW w:w="3540" w:type="dxa"/>
          </w:tcPr>
          <w:p w14:paraId="0D35BCEF" w14:textId="77777777" w:rsidR="00432431" w:rsidRDefault="00432431" w:rsidP="00DD2F9B">
            <w:pPr>
              <w:pStyle w:val="Tablefont"/>
            </w:pPr>
          </w:p>
        </w:tc>
        <w:tc>
          <w:tcPr>
            <w:tcW w:w="3540" w:type="dxa"/>
          </w:tcPr>
          <w:p w14:paraId="619DE55A" w14:textId="3A2EDFD2" w:rsidR="00432431" w:rsidRPr="00DD2F9B" w:rsidRDefault="008D66BF" w:rsidP="00DD2F9B">
            <w:pPr>
              <w:pStyle w:val="Tablefont"/>
            </w:pPr>
            <w:r>
              <w:t xml:space="preserve">— </w:t>
            </w:r>
          </w:p>
        </w:tc>
      </w:tr>
      <w:tr w:rsidR="00432431" w:rsidRPr="004C23F4" w14:paraId="3CC15508" w14:textId="77777777" w:rsidTr="00432431">
        <w:trPr>
          <w:cantSplit/>
        </w:trPr>
        <w:tc>
          <w:tcPr>
            <w:tcW w:w="1946" w:type="dxa"/>
          </w:tcPr>
          <w:p w14:paraId="73432D9B" w14:textId="77777777" w:rsidR="00432431" w:rsidRDefault="00432431" w:rsidP="00F4402E">
            <w:pPr>
              <w:pStyle w:val="Tablefont"/>
            </w:pPr>
            <w:r>
              <w:t>HCOTN</w:t>
            </w:r>
          </w:p>
        </w:tc>
        <w:tc>
          <w:tcPr>
            <w:tcW w:w="3540" w:type="dxa"/>
          </w:tcPr>
          <w:p w14:paraId="73397E14" w14:textId="77777777" w:rsidR="00432431" w:rsidRDefault="00432431" w:rsidP="00DD2F9B">
            <w:pPr>
              <w:pStyle w:val="Tablefont"/>
            </w:pPr>
          </w:p>
        </w:tc>
        <w:tc>
          <w:tcPr>
            <w:tcW w:w="3540" w:type="dxa"/>
          </w:tcPr>
          <w:p w14:paraId="7FA6CADC" w14:textId="77777777" w:rsidR="00432431" w:rsidRPr="00DD2F9B" w:rsidRDefault="00432431" w:rsidP="00DD2F9B">
            <w:pPr>
              <w:pStyle w:val="Tablefont"/>
            </w:pPr>
            <w:r>
              <w:t>Carcinogenicity – category 3</w:t>
            </w:r>
          </w:p>
        </w:tc>
      </w:tr>
      <w:tr w:rsidR="00432431" w:rsidRPr="004C23F4" w14:paraId="1A04DDF0" w14:textId="77777777" w:rsidTr="00432431">
        <w:trPr>
          <w:cantSplit/>
        </w:trPr>
        <w:tc>
          <w:tcPr>
            <w:tcW w:w="1946" w:type="dxa"/>
          </w:tcPr>
          <w:p w14:paraId="5FE7D82A" w14:textId="77777777" w:rsidR="00432431" w:rsidRDefault="00432431" w:rsidP="00F4402E">
            <w:pPr>
              <w:pStyle w:val="Tablefont"/>
            </w:pPr>
            <w:r>
              <w:t>IARC</w:t>
            </w:r>
          </w:p>
        </w:tc>
        <w:tc>
          <w:tcPr>
            <w:tcW w:w="3540" w:type="dxa"/>
          </w:tcPr>
          <w:p w14:paraId="5C5CAF4E" w14:textId="77777777" w:rsidR="00432431" w:rsidRDefault="00432431" w:rsidP="00DD2F9B">
            <w:pPr>
              <w:pStyle w:val="Tablefont"/>
            </w:pPr>
          </w:p>
        </w:tc>
        <w:tc>
          <w:tcPr>
            <w:tcW w:w="3540" w:type="dxa"/>
          </w:tcPr>
          <w:p w14:paraId="6ABE1A53" w14:textId="64951982" w:rsidR="00432431" w:rsidRPr="00DD2F9B" w:rsidRDefault="008D66BF" w:rsidP="00DD2F9B">
            <w:pPr>
              <w:pStyle w:val="Tablefont"/>
            </w:pPr>
            <w:r>
              <w:t xml:space="preserve">— </w:t>
            </w:r>
          </w:p>
        </w:tc>
      </w:tr>
      <w:tr w:rsidR="00432431" w:rsidRPr="004C23F4" w14:paraId="4F321538" w14:textId="77777777" w:rsidTr="00432431">
        <w:trPr>
          <w:cantSplit/>
        </w:trPr>
        <w:tc>
          <w:tcPr>
            <w:tcW w:w="1946" w:type="dxa"/>
          </w:tcPr>
          <w:p w14:paraId="47C2F65C" w14:textId="77777777" w:rsidR="00432431" w:rsidRDefault="00432431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3540" w:type="dxa"/>
          </w:tcPr>
          <w:p w14:paraId="1D720DC7" w14:textId="77777777" w:rsidR="00432431" w:rsidRDefault="00432431" w:rsidP="00D87570">
            <w:pPr>
              <w:pStyle w:val="Tablefont"/>
              <w:keepNext/>
            </w:pPr>
          </w:p>
        </w:tc>
        <w:tc>
          <w:tcPr>
            <w:tcW w:w="3540" w:type="dxa"/>
          </w:tcPr>
          <w:p w14:paraId="3B87436A" w14:textId="50D6CF07" w:rsidR="00432431" w:rsidRPr="00DD2F9B" w:rsidRDefault="008D66BF" w:rsidP="00D87570">
            <w:pPr>
              <w:pStyle w:val="Tablefont"/>
              <w:keepNext/>
            </w:pPr>
            <w:r>
              <w:t xml:space="preserve">— </w:t>
            </w:r>
          </w:p>
        </w:tc>
      </w:tr>
    </w:tbl>
    <w:bookmarkEnd w:id="4"/>
    <w:p w14:paraId="4F64EBC5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DB5CA04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353F1A9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213F968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5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3FC4991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466AA301" w14:textId="77777777" w:rsidR="00932DCE" w:rsidRPr="004C23F4" w:rsidRDefault="005155EA" w:rsidP="00F9496B">
            <w:pPr>
              <w:pStyle w:val="Tablefont"/>
            </w:pPr>
            <w:r>
              <w:t>Insufficient date available to assign a skin notation</w:t>
            </w:r>
            <w:r w:rsidR="00863B8F">
              <w:t>.</w:t>
            </w:r>
            <w:r>
              <w:t xml:space="preserve"> </w:t>
            </w:r>
          </w:p>
        </w:tc>
      </w:tr>
    </w:tbl>
    <w:bookmarkEnd w:id="5"/>
    <w:p w14:paraId="009EEEE3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0865A359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C3F1836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B90ADBA" w14:textId="77777777" w:rsidR="00EB3D1B" w:rsidRDefault="002C2988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3E383A97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0CC736D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E2C819C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C74ED7A" w14:textId="77777777" w:rsidR="001B79E5" w:rsidRDefault="00D10D5A" w:rsidP="001B79E5">
                <w:pPr>
                  <w:pStyle w:val="Tablefont"/>
                </w:pPr>
                <w:r>
                  <w:t>1</w:t>
                </w:r>
                <w:r w:rsidR="00200A54">
                  <w:t>19.14</w:t>
                </w:r>
              </w:p>
            </w:tc>
          </w:sdtContent>
        </w:sdt>
      </w:tr>
      <w:tr w:rsidR="00A31D99" w:rsidRPr="004C23F4" w14:paraId="2BCA3FA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18EAD11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9924768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0F2964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8F84EC6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8F2AD64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13D3C20" w14:textId="77777777" w:rsidTr="00EA6243">
        <w:trPr>
          <w:cantSplit/>
        </w:trPr>
        <w:tc>
          <w:tcPr>
            <w:tcW w:w="4077" w:type="dxa"/>
            <w:vAlign w:val="center"/>
          </w:tcPr>
          <w:p w14:paraId="057C813C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47680F0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846E02A" w14:textId="77777777" w:rsidTr="00EA6243">
        <w:trPr>
          <w:cantSplit/>
        </w:trPr>
        <w:tc>
          <w:tcPr>
            <w:tcW w:w="4077" w:type="dxa"/>
            <w:vAlign w:val="center"/>
          </w:tcPr>
          <w:p w14:paraId="45384F4C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C46EEE1" w14:textId="77777777" w:rsidR="00687890" w:rsidRPr="004C23F4" w:rsidRDefault="00D10D5A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45AB36D7" w14:textId="77777777" w:rsidTr="00EA6243">
        <w:trPr>
          <w:cantSplit/>
        </w:trPr>
        <w:tc>
          <w:tcPr>
            <w:tcW w:w="4077" w:type="dxa"/>
            <w:vAlign w:val="center"/>
          </w:tcPr>
          <w:p w14:paraId="02128E7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CF03197" w14:textId="77777777" w:rsidR="00E06F40" w:rsidRPr="00A006A0" w:rsidRDefault="006651D8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4639D70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0B69593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C9BA888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6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A9D30E3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83870BA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3918520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0AD0227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6"/>
    <w:p w14:paraId="58497240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29D49248" w14:textId="181D9DD5" w:rsidR="00E5394F" w:rsidRDefault="00E5394F" w:rsidP="00E5394F">
      <w:r w:rsidRPr="002022B6">
        <w:t>Deutsche Forschungsgemeinschaft (DFG)</w:t>
      </w:r>
      <w:r>
        <w:t xml:space="preserve"> (2019) </w:t>
      </w:r>
      <w:proofErr w:type="spellStart"/>
      <w:r>
        <w:t>Benzotriazole</w:t>
      </w:r>
      <w:proofErr w:type="spellEnd"/>
      <w:r>
        <w:t xml:space="preserve"> / 1</w:t>
      </w:r>
      <w:r w:rsidRPr="00200A54">
        <w:rPr>
          <w:i/>
        </w:rPr>
        <w:t>H</w:t>
      </w:r>
      <w:r>
        <w:t>-Benzotriazole – MAK value documentation.</w:t>
      </w:r>
    </w:p>
    <w:p w14:paraId="6116A469" w14:textId="77777777" w:rsidR="00200A54" w:rsidRPr="00351FE0" w:rsidRDefault="00200A54" w:rsidP="00084859">
      <w:r w:rsidRPr="002022B6">
        <w:t>Health Council of the Netherlands</w:t>
      </w:r>
      <w:r>
        <w:t xml:space="preserve"> (HCOTN) (</w:t>
      </w:r>
      <w:r w:rsidR="00090E30">
        <w:t>2000</w:t>
      </w:r>
      <w:r>
        <w:t>) 1</w:t>
      </w:r>
      <w:proofErr w:type="gramStart"/>
      <w:r>
        <w:t>,2,3</w:t>
      </w:r>
      <w:proofErr w:type="gramEnd"/>
      <w:r>
        <w:t>-Benzotriazole</w:t>
      </w:r>
      <w:r w:rsidRPr="005F7416">
        <w:t xml:space="preserve">. Health-based calculated occupational cancer risk values. The Hague: Health Council of the Netherlands; publication no. </w:t>
      </w:r>
      <w:r w:rsidR="00090E30">
        <w:t>2000/14OSH</w:t>
      </w:r>
      <w:r>
        <w:t>.</w:t>
      </w:r>
    </w:p>
    <w:sectPr w:rsidR="00200A54" w:rsidRPr="00351FE0" w:rsidSect="00B87D4C">
      <w:headerReference w:type="default" r:id="rId13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CA1B81" w16cid:durableId="20EBFE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4B5EE" w14:textId="77777777" w:rsidR="008A7640" w:rsidRDefault="008A7640" w:rsidP="00F43AD5">
      <w:pPr>
        <w:spacing w:after="0" w:line="240" w:lineRule="auto"/>
      </w:pPr>
      <w:r>
        <w:separator/>
      </w:r>
    </w:p>
  </w:endnote>
  <w:endnote w:type="continuationSeparator" w:id="0">
    <w:p w14:paraId="1E03262E" w14:textId="77777777" w:rsidR="008A7640" w:rsidRDefault="008A7640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20ACB43" w14:textId="77777777" w:rsidR="008A36CF" w:rsidRDefault="00BC1EA5" w:rsidP="0034744C">
        <w:pPr>
          <w:pStyle w:val="Footer"/>
          <w:rPr>
            <w:sz w:val="18"/>
            <w:szCs w:val="18"/>
          </w:rPr>
        </w:pPr>
        <w:r w:rsidRPr="00BC1EA5">
          <w:rPr>
            <w:b/>
            <w:sz w:val="18"/>
            <w:szCs w:val="18"/>
          </w:rPr>
          <w:t xml:space="preserve">1H-Benzotriazole </w:t>
        </w:r>
        <w:r w:rsidR="008A36CF">
          <w:rPr>
            <w:b/>
            <w:sz w:val="18"/>
            <w:szCs w:val="18"/>
          </w:rPr>
          <w:t>(</w:t>
        </w:r>
        <w:r>
          <w:rPr>
            <w:b/>
            <w:sz w:val="18"/>
            <w:szCs w:val="18"/>
          </w:rPr>
          <w:t>95-14-7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324B52A" w14:textId="3CA30E72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6651D8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6D084" w14:textId="77777777" w:rsidR="008A7640" w:rsidRDefault="008A7640" w:rsidP="00F43AD5">
      <w:pPr>
        <w:spacing w:after="0" w:line="240" w:lineRule="auto"/>
      </w:pPr>
      <w:r>
        <w:separator/>
      </w:r>
    </w:p>
  </w:footnote>
  <w:footnote w:type="continuationSeparator" w:id="0">
    <w:p w14:paraId="7D0318E6" w14:textId="77777777" w:rsidR="008A7640" w:rsidRDefault="008A7640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063B" w14:textId="77777777" w:rsidR="008A36CF" w:rsidRDefault="008A36C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63B08491" wp14:editId="05DAAB23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6E7C0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AE4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NameType" w:val="ANZ"/>
    <w:docVar w:name="WSPAuthor" w:val=" "/>
    <w:docVar w:name="WSPContentType" w:val="~"/>
    <w:docVar w:name="WSPDiscipline" w:val="~"/>
    <w:docVar w:name="WSPDocDescription" w:val=" "/>
    <w:docVar w:name="WSPDocNamingDate" w:val=" "/>
    <w:docVar w:name="WSPDocNo" w:val="~"/>
    <w:docVar w:name="WSPGeneralOurRef" w:val=" "/>
    <w:docVar w:name="WSPOfficeCode" w:val=" "/>
    <w:docVar w:name="WSPProjectCode" w:val="~"/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72B93"/>
    <w:rsid w:val="000803E1"/>
    <w:rsid w:val="00084513"/>
    <w:rsid w:val="00084859"/>
    <w:rsid w:val="00090E30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15975"/>
    <w:rsid w:val="001269A7"/>
    <w:rsid w:val="00131092"/>
    <w:rsid w:val="00140E6A"/>
    <w:rsid w:val="00146545"/>
    <w:rsid w:val="00146B75"/>
    <w:rsid w:val="0015266D"/>
    <w:rsid w:val="0015288A"/>
    <w:rsid w:val="0015501F"/>
    <w:rsid w:val="00160F47"/>
    <w:rsid w:val="00177CA1"/>
    <w:rsid w:val="00183823"/>
    <w:rsid w:val="00183942"/>
    <w:rsid w:val="00184AE0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68BB"/>
    <w:rsid w:val="001E7D80"/>
    <w:rsid w:val="001F4B6C"/>
    <w:rsid w:val="001F62CB"/>
    <w:rsid w:val="001F6999"/>
    <w:rsid w:val="001F6ED0"/>
    <w:rsid w:val="001F72E6"/>
    <w:rsid w:val="001F73C5"/>
    <w:rsid w:val="00200A54"/>
    <w:rsid w:val="002046A6"/>
    <w:rsid w:val="00204956"/>
    <w:rsid w:val="00213640"/>
    <w:rsid w:val="00214D61"/>
    <w:rsid w:val="00216B82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4D64"/>
    <w:rsid w:val="00276494"/>
    <w:rsid w:val="00277B0C"/>
    <w:rsid w:val="002A3EB4"/>
    <w:rsid w:val="002B0C36"/>
    <w:rsid w:val="002B1A2C"/>
    <w:rsid w:val="002C2988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7225C"/>
    <w:rsid w:val="00374DC7"/>
    <w:rsid w:val="00386093"/>
    <w:rsid w:val="003904A4"/>
    <w:rsid w:val="00391841"/>
    <w:rsid w:val="00391B6D"/>
    <w:rsid w:val="00394922"/>
    <w:rsid w:val="003A0E32"/>
    <w:rsid w:val="003A2B94"/>
    <w:rsid w:val="003B2D9D"/>
    <w:rsid w:val="003B387D"/>
    <w:rsid w:val="003B622A"/>
    <w:rsid w:val="003C0D58"/>
    <w:rsid w:val="003D4FA3"/>
    <w:rsid w:val="003E0807"/>
    <w:rsid w:val="003E51FA"/>
    <w:rsid w:val="003E51FB"/>
    <w:rsid w:val="003E6B39"/>
    <w:rsid w:val="003F07E1"/>
    <w:rsid w:val="00400F30"/>
    <w:rsid w:val="004030BC"/>
    <w:rsid w:val="00403F7D"/>
    <w:rsid w:val="00406785"/>
    <w:rsid w:val="004079B4"/>
    <w:rsid w:val="00411136"/>
    <w:rsid w:val="0041684B"/>
    <w:rsid w:val="00417A56"/>
    <w:rsid w:val="00420957"/>
    <w:rsid w:val="00421067"/>
    <w:rsid w:val="00422A10"/>
    <w:rsid w:val="00430179"/>
    <w:rsid w:val="00432431"/>
    <w:rsid w:val="00435956"/>
    <w:rsid w:val="004414B5"/>
    <w:rsid w:val="00444482"/>
    <w:rsid w:val="00444B42"/>
    <w:rsid w:val="00445E44"/>
    <w:rsid w:val="004509E2"/>
    <w:rsid w:val="004515EE"/>
    <w:rsid w:val="004529F0"/>
    <w:rsid w:val="00460A03"/>
    <w:rsid w:val="0046585E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4182"/>
    <w:rsid w:val="0049527A"/>
    <w:rsid w:val="004966BF"/>
    <w:rsid w:val="00497984"/>
    <w:rsid w:val="004A3DBA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155EA"/>
    <w:rsid w:val="005272E2"/>
    <w:rsid w:val="0053108F"/>
    <w:rsid w:val="00532B56"/>
    <w:rsid w:val="00533B4C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D5F82"/>
    <w:rsid w:val="005E6979"/>
    <w:rsid w:val="005E75CB"/>
    <w:rsid w:val="006013C1"/>
    <w:rsid w:val="0060669E"/>
    <w:rsid w:val="00610F2E"/>
    <w:rsid w:val="00611399"/>
    <w:rsid w:val="00613070"/>
    <w:rsid w:val="00624C4E"/>
    <w:rsid w:val="00625200"/>
    <w:rsid w:val="006252F7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651D8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4093"/>
    <w:rsid w:val="006B160A"/>
    <w:rsid w:val="006B288A"/>
    <w:rsid w:val="006B4E6C"/>
    <w:rsid w:val="006B50B6"/>
    <w:rsid w:val="006C7E71"/>
    <w:rsid w:val="006D20BB"/>
    <w:rsid w:val="006D79EA"/>
    <w:rsid w:val="006E5D05"/>
    <w:rsid w:val="0070067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2B17"/>
    <w:rsid w:val="007770F1"/>
    <w:rsid w:val="00783FB1"/>
    <w:rsid w:val="00785CDD"/>
    <w:rsid w:val="00791847"/>
    <w:rsid w:val="00791E3A"/>
    <w:rsid w:val="007925F0"/>
    <w:rsid w:val="007939B3"/>
    <w:rsid w:val="0079509C"/>
    <w:rsid w:val="00796708"/>
    <w:rsid w:val="007B1B42"/>
    <w:rsid w:val="007C30EB"/>
    <w:rsid w:val="007C44E0"/>
    <w:rsid w:val="007D476E"/>
    <w:rsid w:val="007E063C"/>
    <w:rsid w:val="007E2A4B"/>
    <w:rsid w:val="007E307D"/>
    <w:rsid w:val="007E6A4E"/>
    <w:rsid w:val="007E6C94"/>
    <w:rsid w:val="007F1005"/>
    <w:rsid w:val="007F1CA8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22BA"/>
    <w:rsid w:val="00843E21"/>
    <w:rsid w:val="0084508E"/>
    <w:rsid w:val="00857A8A"/>
    <w:rsid w:val="008630EE"/>
    <w:rsid w:val="00863B8F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A7640"/>
    <w:rsid w:val="008B403C"/>
    <w:rsid w:val="008B7983"/>
    <w:rsid w:val="008C2511"/>
    <w:rsid w:val="008C251C"/>
    <w:rsid w:val="008D026D"/>
    <w:rsid w:val="008D23AB"/>
    <w:rsid w:val="008D4B8B"/>
    <w:rsid w:val="008D5A78"/>
    <w:rsid w:val="008D66BF"/>
    <w:rsid w:val="008E7B64"/>
    <w:rsid w:val="008F5DCD"/>
    <w:rsid w:val="00900951"/>
    <w:rsid w:val="00902DD9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33BE"/>
    <w:rsid w:val="00934028"/>
    <w:rsid w:val="00935A2E"/>
    <w:rsid w:val="0093760E"/>
    <w:rsid w:val="00942D27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411F"/>
    <w:rsid w:val="009971C2"/>
    <w:rsid w:val="009A1254"/>
    <w:rsid w:val="009A4D06"/>
    <w:rsid w:val="009A7194"/>
    <w:rsid w:val="009B2FF2"/>
    <w:rsid w:val="009B380C"/>
    <w:rsid w:val="009B4843"/>
    <w:rsid w:val="009B4CBC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4AAD"/>
    <w:rsid w:val="00A01D0C"/>
    <w:rsid w:val="00A0643F"/>
    <w:rsid w:val="00A067EE"/>
    <w:rsid w:val="00A10FCE"/>
    <w:rsid w:val="00A16D91"/>
    <w:rsid w:val="00A174CC"/>
    <w:rsid w:val="00A2073D"/>
    <w:rsid w:val="00A20751"/>
    <w:rsid w:val="00A20976"/>
    <w:rsid w:val="00A27E2D"/>
    <w:rsid w:val="00A31D99"/>
    <w:rsid w:val="00A357BA"/>
    <w:rsid w:val="00A35ADC"/>
    <w:rsid w:val="00A402A3"/>
    <w:rsid w:val="00A53681"/>
    <w:rsid w:val="00A633D4"/>
    <w:rsid w:val="00A6461A"/>
    <w:rsid w:val="00A778C9"/>
    <w:rsid w:val="00A84504"/>
    <w:rsid w:val="00A8672F"/>
    <w:rsid w:val="00A93057"/>
    <w:rsid w:val="00A95EDB"/>
    <w:rsid w:val="00A963BA"/>
    <w:rsid w:val="00A968B0"/>
    <w:rsid w:val="00AA1B7B"/>
    <w:rsid w:val="00AB0B47"/>
    <w:rsid w:val="00AB2672"/>
    <w:rsid w:val="00AB2817"/>
    <w:rsid w:val="00AB43C4"/>
    <w:rsid w:val="00AC06C2"/>
    <w:rsid w:val="00AC2CCC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C1EA5"/>
    <w:rsid w:val="00BD499F"/>
    <w:rsid w:val="00BD56DE"/>
    <w:rsid w:val="00BF2406"/>
    <w:rsid w:val="00C06E43"/>
    <w:rsid w:val="00C109BA"/>
    <w:rsid w:val="00C16315"/>
    <w:rsid w:val="00C26BC4"/>
    <w:rsid w:val="00C3091E"/>
    <w:rsid w:val="00C3785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7F0E"/>
    <w:rsid w:val="00C850A0"/>
    <w:rsid w:val="00C85A86"/>
    <w:rsid w:val="00C978F0"/>
    <w:rsid w:val="00CA25F0"/>
    <w:rsid w:val="00CA58FE"/>
    <w:rsid w:val="00CB1CB1"/>
    <w:rsid w:val="00CB5FD6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0D5A"/>
    <w:rsid w:val="00D140FC"/>
    <w:rsid w:val="00D21D8C"/>
    <w:rsid w:val="00D31357"/>
    <w:rsid w:val="00D33220"/>
    <w:rsid w:val="00D334D1"/>
    <w:rsid w:val="00D42A71"/>
    <w:rsid w:val="00D44C89"/>
    <w:rsid w:val="00D516CD"/>
    <w:rsid w:val="00D57C54"/>
    <w:rsid w:val="00D65C4C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0059"/>
    <w:rsid w:val="00DE2513"/>
    <w:rsid w:val="00DE26E8"/>
    <w:rsid w:val="00DF6F36"/>
    <w:rsid w:val="00E0084C"/>
    <w:rsid w:val="00E025AB"/>
    <w:rsid w:val="00E02B23"/>
    <w:rsid w:val="00E06F40"/>
    <w:rsid w:val="00E07CE8"/>
    <w:rsid w:val="00E16A1C"/>
    <w:rsid w:val="00E26A07"/>
    <w:rsid w:val="00E32595"/>
    <w:rsid w:val="00E37CFD"/>
    <w:rsid w:val="00E41A26"/>
    <w:rsid w:val="00E46BCB"/>
    <w:rsid w:val="00E51CAF"/>
    <w:rsid w:val="00E5394F"/>
    <w:rsid w:val="00E57157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1791"/>
    <w:rsid w:val="00EA1E9E"/>
    <w:rsid w:val="00EA6243"/>
    <w:rsid w:val="00EA6B4A"/>
    <w:rsid w:val="00EA74AB"/>
    <w:rsid w:val="00EB3D1B"/>
    <w:rsid w:val="00EB6832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1C1C"/>
    <w:rsid w:val="00F22093"/>
    <w:rsid w:val="00F236DF"/>
    <w:rsid w:val="00F43269"/>
    <w:rsid w:val="00F43333"/>
    <w:rsid w:val="00F43AD5"/>
    <w:rsid w:val="00F4402E"/>
    <w:rsid w:val="00F56DD0"/>
    <w:rsid w:val="00F6491C"/>
    <w:rsid w:val="00F67BBB"/>
    <w:rsid w:val="00F82E9B"/>
    <w:rsid w:val="00F87D92"/>
    <w:rsid w:val="00F90AA7"/>
    <w:rsid w:val="00F92498"/>
    <w:rsid w:val="00F9496B"/>
    <w:rsid w:val="00F970C9"/>
    <w:rsid w:val="00FA06A8"/>
    <w:rsid w:val="00FA3DF5"/>
    <w:rsid w:val="00FA6AA1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C24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2B0C36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5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01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01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01F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539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4B78B8"/>
    <w:rsid w:val="00A813AA"/>
    <w:rsid w:val="00C72738"/>
    <w:rsid w:val="00D21A9F"/>
    <w:rsid w:val="00D5080C"/>
    <w:rsid w:val="00FB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2738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D1A2EE2E691B4149AB849602E5BC839C">
    <w:name w:val="D1A2EE2E691B4149AB849602E5BC839C"/>
    <w:rsid w:val="00C72738"/>
  </w:style>
  <w:style w:type="paragraph" w:customStyle="1" w:styleId="062D5C1285134EB29203B611AA74809F">
    <w:name w:val="062D5C1285134EB29203B611AA74809F"/>
    <w:rsid w:val="00C72738"/>
  </w:style>
  <w:style w:type="paragraph" w:customStyle="1" w:styleId="4FC8891C331A4761AE52C8D42F1204B2">
    <w:name w:val="4FC8891C331A4761AE52C8D42F1204B2"/>
    <w:rsid w:val="00C72738"/>
  </w:style>
  <w:style w:type="paragraph" w:customStyle="1" w:styleId="6DA3158BF9184248B490587557808009">
    <w:name w:val="6DA3158BF9184248B490587557808009"/>
    <w:rsid w:val="00C72738"/>
  </w:style>
  <w:style w:type="paragraph" w:customStyle="1" w:styleId="FF15393E41D246F1B6A2CDD842FF3047">
    <w:name w:val="FF15393E41D246F1B6A2CDD842FF3047"/>
    <w:rsid w:val="00C72738"/>
  </w:style>
  <w:style w:type="paragraph" w:customStyle="1" w:styleId="14E23297F003414D97C191643F2D3ED9">
    <w:name w:val="14E23297F003414D97C191643F2D3ED9"/>
    <w:rsid w:val="00C72738"/>
  </w:style>
  <w:style w:type="paragraph" w:customStyle="1" w:styleId="AD5E8462A3FB41AA9A86728082A43F68">
    <w:name w:val="AD5E8462A3FB41AA9A86728082A43F68"/>
    <w:rsid w:val="00C727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7637-4A16-4717-9936-18E596EEE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86C55-DF89-485C-8CFE-4AC2EC6A1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B0670-590A-48E3-A3EF-C7C876DC377F}">
  <ds:schemaRefs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E81D8D-4C92-4D68-B891-69DA8639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14666897.dotm</Template>
  <TotalTime>0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2019-08-20T06:40:00Z</dcterms:created>
  <dcterms:modified xsi:type="dcterms:W3CDTF">2019-08-20T06:40:00Z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