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467446" w:displacedByCustomXml="next"/>
    <w:sdt>
      <w:sdtPr>
        <w:rPr>
          <w:rFonts w:ascii="Arial" w:hAnsi="Arial" w:cs="Arial"/>
        </w:rPr>
        <w:alias w:val="NameofChemical"/>
        <w:tag w:val="NameofChemical"/>
        <w:id w:val="1425919599"/>
        <w:lock w:val="sdtLocked"/>
        <w:placeholder>
          <w:docPart w:val="CE1736E50B02464986D1BEC8B7ACDE96"/>
        </w:placeholder>
        <w:text/>
      </w:sdtPr>
      <w:sdtEndPr/>
      <w:sdtContent>
        <w:p w14:paraId="009F0EAD" w14:textId="77777777" w:rsidR="00BD499F" w:rsidRPr="004C23F4" w:rsidRDefault="000A3BD2" w:rsidP="00B40C60">
          <w:pPr>
            <w:pStyle w:val="Heading1"/>
            <w:jc w:val="center"/>
            <w:rPr>
              <w:rFonts w:ascii="Arial" w:hAnsi="Arial" w:cs="Arial"/>
            </w:rPr>
          </w:pPr>
          <w:r w:rsidRPr="000A3BD2">
            <w:rPr>
              <w:rFonts w:ascii="Arial" w:hAnsi="Arial" w:cs="Arial"/>
            </w:rPr>
            <w:t>2-Aminopyridine</w:t>
          </w:r>
        </w:p>
      </w:sdtContent>
    </w:sdt>
    <w:bookmarkEnd w:id="0" w:displacedByCustomXml="prev"/>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4"/>
        <w:gridCol w:w="5042"/>
      </w:tblGrid>
      <w:tr w:rsidR="00F43AD5" w:rsidRPr="004C23F4" w14:paraId="156831C3" w14:textId="77777777" w:rsidTr="00B76A41">
        <w:trPr>
          <w:cantSplit/>
          <w:tblHeader/>
        </w:trPr>
        <w:tc>
          <w:tcPr>
            <w:tcW w:w="4077" w:type="dxa"/>
          </w:tcPr>
          <w:p w14:paraId="7102A7DC" w14:textId="77777777" w:rsidR="00F43AD5" w:rsidRPr="00921DE7" w:rsidRDefault="00CB1CB1" w:rsidP="00B76A41">
            <w:pPr>
              <w:pStyle w:val="Tablerowright"/>
            </w:pPr>
            <w:r w:rsidRPr="00921DE7">
              <w:t>CAS number:</w:t>
            </w:r>
          </w:p>
        </w:tc>
        <w:tc>
          <w:tcPr>
            <w:tcW w:w="5165" w:type="dxa"/>
          </w:tcPr>
          <w:p w14:paraId="0DEE98CA" w14:textId="77777777" w:rsidR="00F43AD5" w:rsidRPr="00717D45" w:rsidRDefault="000A3BD2" w:rsidP="00B76A41">
            <w:pPr>
              <w:pStyle w:val="Tablefont"/>
            </w:pPr>
            <w:r>
              <w:t>504-29-0</w:t>
            </w:r>
          </w:p>
        </w:tc>
      </w:tr>
      <w:tr w:rsidR="00F43AD5" w:rsidRPr="00F23CAA" w14:paraId="6449D254" w14:textId="77777777" w:rsidTr="00B76A41">
        <w:trPr>
          <w:cantSplit/>
        </w:trPr>
        <w:tc>
          <w:tcPr>
            <w:tcW w:w="4077" w:type="dxa"/>
          </w:tcPr>
          <w:p w14:paraId="5949B80A" w14:textId="77777777" w:rsidR="00F43AD5" w:rsidRPr="00921DE7" w:rsidRDefault="00CB1CB1" w:rsidP="00B76A41">
            <w:pPr>
              <w:pStyle w:val="Tablerowright"/>
            </w:pPr>
            <w:r w:rsidRPr="00921DE7">
              <w:t>Synonyms:</w:t>
            </w:r>
          </w:p>
        </w:tc>
        <w:tc>
          <w:tcPr>
            <w:tcW w:w="5165" w:type="dxa"/>
          </w:tcPr>
          <w:p w14:paraId="7C264C4B" w14:textId="77777777" w:rsidR="00F43AD5" w:rsidRPr="00F23CAA" w:rsidRDefault="00020EA5" w:rsidP="00B76A41">
            <w:pPr>
              <w:pStyle w:val="Tablefont"/>
              <w:rPr>
                <w:lang w:val="it-IT"/>
              </w:rPr>
            </w:pPr>
            <w:r w:rsidRPr="00F23CAA">
              <w:rPr>
                <w:lang w:val="it-IT"/>
              </w:rPr>
              <w:t xml:space="preserve">Pyridin-2-amine, </w:t>
            </w:r>
            <w:r>
              <w:t>α</w:t>
            </w:r>
            <w:r w:rsidRPr="00F23CAA">
              <w:rPr>
                <w:lang w:val="it-IT"/>
              </w:rPr>
              <w:t>-</w:t>
            </w:r>
            <w:r w:rsidR="00FA563B" w:rsidRPr="00F23CAA">
              <w:rPr>
                <w:lang w:val="it-IT"/>
              </w:rPr>
              <w:t>a</w:t>
            </w:r>
            <w:r w:rsidRPr="00F23CAA">
              <w:rPr>
                <w:lang w:val="it-IT"/>
              </w:rPr>
              <w:t xml:space="preserve">minopyridine, </w:t>
            </w:r>
            <w:r w:rsidRPr="00020EA5">
              <w:t>α</w:t>
            </w:r>
            <w:r w:rsidRPr="00F23CAA">
              <w:rPr>
                <w:lang w:val="it-IT"/>
              </w:rPr>
              <w:t>-</w:t>
            </w:r>
            <w:r w:rsidR="00FA563B" w:rsidRPr="00F23CAA">
              <w:rPr>
                <w:lang w:val="it-IT"/>
              </w:rPr>
              <w:t>p</w:t>
            </w:r>
            <w:r w:rsidRPr="00F23CAA">
              <w:rPr>
                <w:lang w:val="it-IT"/>
              </w:rPr>
              <w:t>yridylamine</w:t>
            </w:r>
          </w:p>
        </w:tc>
      </w:tr>
      <w:tr w:rsidR="00F43AD5" w:rsidRPr="004C23F4" w14:paraId="61F78FBB" w14:textId="77777777" w:rsidTr="00B76A41">
        <w:trPr>
          <w:cantSplit/>
        </w:trPr>
        <w:tc>
          <w:tcPr>
            <w:tcW w:w="4077" w:type="dxa"/>
          </w:tcPr>
          <w:p w14:paraId="7F16CEBB" w14:textId="77777777" w:rsidR="00F43AD5" w:rsidRPr="00921DE7" w:rsidRDefault="00CB1CB1" w:rsidP="00B76A41">
            <w:pPr>
              <w:pStyle w:val="Tablerowright"/>
            </w:pPr>
            <w:r w:rsidRPr="00921DE7">
              <w:t>Chemical formula:</w:t>
            </w:r>
          </w:p>
        </w:tc>
        <w:tc>
          <w:tcPr>
            <w:tcW w:w="5165" w:type="dxa"/>
          </w:tcPr>
          <w:p w14:paraId="2905E38E" w14:textId="77777777" w:rsidR="00F43AD5" w:rsidRPr="00717D45" w:rsidRDefault="00020EA5" w:rsidP="00B76A41">
            <w:pPr>
              <w:pStyle w:val="Tablefont"/>
            </w:pPr>
            <w:r>
              <w:t>C</w:t>
            </w:r>
            <w:r w:rsidRPr="00020EA5">
              <w:rPr>
                <w:vertAlign w:val="subscript"/>
              </w:rPr>
              <w:t>5</w:t>
            </w:r>
            <w:r>
              <w:t>H</w:t>
            </w:r>
            <w:r w:rsidRPr="00020EA5">
              <w:rPr>
                <w:vertAlign w:val="subscript"/>
              </w:rPr>
              <w:t>6</w:t>
            </w:r>
            <w:r>
              <w:t>N</w:t>
            </w:r>
            <w:r w:rsidRPr="00020EA5">
              <w:rPr>
                <w:vertAlign w:val="subscript"/>
              </w:rPr>
              <w:t>2</w:t>
            </w:r>
          </w:p>
        </w:tc>
      </w:tr>
      <w:tr w:rsidR="00F43AD5" w:rsidRPr="004C23F4" w14:paraId="6E5B0648" w14:textId="77777777" w:rsidTr="00B76A41">
        <w:trPr>
          <w:cantSplit/>
        </w:trPr>
        <w:tc>
          <w:tcPr>
            <w:tcW w:w="4077" w:type="dxa"/>
          </w:tcPr>
          <w:p w14:paraId="7151EE45" w14:textId="77777777" w:rsidR="00F43AD5" w:rsidRPr="00921DE7" w:rsidRDefault="00CB1CB1" w:rsidP="00B76A41">
            <w:pPr>
              <w:pStyle w:val="Tablerowright"/>
            </w:pPr>
            <w:r w:rsidRPr="00921DE7">
              <w:t>Structural formula:</w:t>
            </w:r>
          </w:p>
        </w:tc>
        <w:tc>
          <w:tcPr>
            <w:tcW w:w="5165" w:type="dxa"/>
          </w:tcPr>
          <w:p w14:paraId="6F2EB823" w14:textId="77777777" w:rsidR="00F43AD5" w:rsidRPr="00B40C60" w:rsidRDefault="00F43AD5" w:rsidP="00B76A41">
            <w:pPr>
              <w:pStyle w:val="Tablerowheading"/>
              <w:rPr>
                <w:b w:val="0"/>
              </w:rPr>
            </w:pPr>
          </w:p>
        </w:tc>
      </w:tr>
    </w:tbl>
    <w:p w14:paraId="350CE3D4"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E32966">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7"/>
        <w:gridCol w:w="5029"/>
      </w:tblGrid>
      <w:tr w:rsidR="002C7AFE" w:rsidRPr="004C23F4" w14:paraId="6BE287BA" w14:textId="77777777" w:rsidTr="00610F2E">
        <w:trPr>
          <w:cantSplit/>
          <w:tblHeader/>
        </w:trPr>
        <w:tc>
          <w:tcPr>
            <w:tcW w:w="4077" w:type="dxa"/>
            <w:vAlign w:val="center"/>
          </w:tcPr>
          <w:p w14:paraId="4A8D169B" w14:textId="77777777" w:rsidR="002C7AFE" w:rsidRPr="002C58FF" w:rsidRDefault="00921DE7" w:rsidP="00921DE7">
            <w:pPr>
              <w:pStyle w:val="Tablerowright"/>
            </w:pPr>
            <w:r>
              <w:t>TWA:</w:t>
            </w:r>
          </w:p>
        </w:tc>
        <w:tc>
          <w:tcPr>
            <w:tcW w:w="5165" w:type="dxa"/>
          </w:tcPr>
          <w:p w14:paraId="21A902F0" w14:textId="77777777" w:rsidR="002C7AFE" w:rsidRPr="00EB3D1B" w:rsidRDefault="00E32966" w:rsidP="000D25E6">
            <w:pPr>
              <w:pStyle w:val="Tablefont"/>
              <w:rPr>
                <w:b/>
              </w:rPr>
            </w:pPr>
            <w:r w:rsidRPr="00E32966">
              <w:rPr>
                <w:b/>
              </w:rPr>
              <w:t>0.5 ppm (</w:t>
            </w:r>
            <w:r w:rsidR="000D25E6">
              <w:rPr>
                <w:b/>
              </w:rPr>
              <w:t>1.9</w:t>
            </w:r>
            <w:r w:rsidRPr="00E32966">
              <w:rPr>
                <w:b/>
              </w:rPr>
              <w:t xml:space="preserve"> mg/m</w:t>
            </w:r>
            <w:r w:rsidRPr="00E32966">
              <w:rPr>
                <w:b/>
                <w:vertAlign w:val="superscript"/>
              </w:rPr>
              <w:t>3</w:t>
            </w:r>
            <w:r w:rsidRPr="00E32966">
              <w:rPr>
                <w:b/>
              </w:rPr>
              <w:t>)</w:t>
            </w:r>
          </w:p>
        </w:tc>
      </w:tr>
      <w:tr w:rsidR="002C7AFE" w:rsidRPr="004C23F4" w14:paraId="47E461A2" w14:textId="77777777" w:rsidTr="00921DE7">
        <w:trPr>
          <w:cantSplit/>
        </w:trPr>
        <w:tc>
          <w:tcPr>
            <w:tcW w:w="4077" w:type="dxa"/>
            <w:vAlign w:val="center"/>
          </w:tcPr>
          <w:p w14:paraId="6C7DE2E7" w14:textId="77777777" w:rsidR="002C7AFE" w:rsidRPr="002C58FF" w:rsidRDefault="002C7AFE" w:rsidP="00921DE7">
            <w:pPr>
              <w:pStyle w:val="Tablerowright"/>
            </w:pPr>
            <w:r w:rsidRPr="002C58FF">
              <w:t>STEL</w:t>
            </w:r>
            <w:r w:rsidR="00921DE7">
              <w:t>:</w:t>
            </w:r>
          </w:p>
        </w:tc>
        <w:tc>
          <w:tcPr>
            <w:tcW w:w="5165" w:type="dxa"/>
          </w:tcPr>
          <w:p w14:paraId="3476AD55" w14:textId="77777777" w:rsidR="002C7AFE" w:rsidRPr="00EB3D1B" w:rsidRDefault="00354ACE" w:rsidP="00017C82">
            <w:pPr>
              <w:pStyle w:val="Tablefont"/>
              <w:rPr>
                <w:b/>
              </w:rPr>
            </w:pPr>
            <w:r>
              <w:rPr>
                <w:b/>
              </w:rPr>
              <w:t>—</w:t>
            </w:r>
          </w:p>
        </w:tc>
      </w:tr>
      <w:tr w:rsidR="002C7AFE" w:rsidRPr="004C23F4" w14:paraId="7D884412" w14:textId="77777777" w:rsidTr="00921DE7">
        <w:trPr>
          <w:cantSplit/>
        </w:trPr>
        <w:tc>
          <w:tcPr>
            <w:tcW w:w="4077" w:type="dxa"/>
            <w:vAlign w:val="center"/>
          </w:tcPr>
          <w:p w14:paraId="1F824FD5" w14:textId="77777777" w:rsidR="002C7AFE" w:rsidRPr="002C58FF" w:rsidRDefault="00921DE7" w:rsidP="00921DE7">
            <w:pPr>
              <w:pStyle w:val="Tablerowright"/>
            </w:pPr>
            <w:r>
              <w:t>Peak limitation:</w:t>
            </w:r>
          </w:p>
        </w:tc>
        <w:tc>
          <w:tcPr>
            <w:tcW w:w="5165" w:type="dxa"/>
          </w:tcPr>
          <w:p w14:paraId="653D58E5" w14:textId="77777777" w:rsidR="002C7AFE" w:rsidRPr="00EB3D1B" w:rsidRDefault="00354ACE" w:rsidP="00017C82">
            <w:pPr>
              <w:pStyle w:val="Tablefont"/>
              <w:rPr>
                <w:b/>
              </w:rPr>
            </w:pPr>
            <w:r>
              <w:rPr>
                <w:b/>
              </w:rPr>
              <w:t>—</w:t>
            </w:r>
          </w:p>
        </w:tc>
      </w:tr>
      <w:tr w:rsidR="002C7AFE" w:rsidRPr="004C23F4" w14:paraId="13453420" w14:textId="77777777" w:rsidTr="00A2073D">
        <w:trPr>
          <w:cantSplit/>
        </w:trPr>
        <w:tc>
          <w:tcPr>
            <w:tcW w:w="4077" w:type="dxa"/>
          </w:tcPr>
          <w:p w14:paraId="6FA8628B"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165" w:type="dxa"/>
          </w:tcPr>
          <w:p w14:paraId="29D96004" w14:textId="77777777" w:rsidR="002C7AFE" w:rsidRPr="00EB3D1B" w:rsidRDefault="00625E9C" w:rsidP="008A36CF">
            <w:pPr>
              <w:pStyle w:val="Tablefont"/>
              <w:rPr>
                <w:b/>
              </w:rPr>
            </w:pPr>
            <w:r>
              <w:rPr>
                <w:b/>
              </w:rPr>
              <w:t xml:space="preserve">Sk. </w:t>
            </w:r>
          </w:p>
        </w:tc>
      </w:tr>
      <w:tr w:rsidR="002C7AFE" w:rsidRPr="004C23F4" w14:paraId="11F2826E" w14:textId="77777777" w:rsidTr="00921DE7">
        <w:trPr>
          <w:cantSplit/>
        </w:trPr>
        <w:tc>
          <w:tcPr>
            <w:tcW w:w="4077" w:type="dxa"/>
            <w:vAlign w:val="center"/>
          </w:tcPr>
          <w:p w14:paraId="0F4A3F3F" w14:textId="79203298" w:rsidR="00F10C97" w:rsidRPr="002C58FF" w:rsidRDefault="00921DE7" w:rsidP="00C37EB7">
            <w:pPr>
              <w:pStyle w:val="Tablerowright"/>
            </w:pPr>
            <w:r>
              <w:t>IDLH:</w:t>
            </w:r>
          </w:p>
        </w:tc>
        <w:tc>
          <w:tcPr>
            <w:tcW w:w="5165" w:type="dxa"/>
          </w:tcPr>
          <w:p w14:paraId="2E691FB7" w14:textId="77777777" w:rsidR="002C7AFE" w:rsidRPr="00EB3D1B" w:rsidRDefault="00E32966" w:rsidP="00017C82">
            <w:pPr>
              <w:pStyle w:val="Tablefont"/>
              <w:rPr>
                <w:b/>
              </w:rPr>
            </w:pPr>
            <w:r>
              <w:rPr>
                <w:b/>
              </w:rPr>
              <w:t>5 ppm</w:t>
            </w:r>
            <w:r w:rsidR="00915083">
              <w:rPr>
                <w:b/>
              </w:rPr>
              <w:t xml:space="preserve"> (19 mg/m</w:t>
            </w:r>
            <w:r w:rsidR="00915083">
              <w:rPr>
                <w:b/>
                <w:vertAlign w:val="superscript"/>
              </w:rPr>
              <w:t>3</w:t>
            </w:r>
            <w:r w:rsidR="00915083">
              <w:rPr>
                <w:b/>
              </w:rPr>
              <w:t>)</w:t>
            </w:r>
            <w:r w:rsidR="00354ACE">
              <w:rPr>
                <w:b/>
              </w:rPr>
              <w:t xml:space="preserve"> </w:t>
            </w:r>
          </w:p>
        </w:tc>
      </w:tr>
      <w:tr w:rsidR="00C37EB7" w:rsidRPr="004C23F4" w14:paraId="6A8581F0" w14:textId="77777777" w:rsidTr="00C37EB7">
        <w:trPr>
          <w:cantSplit/>
        </w:trPr>
        <w:tc>
          <w:tcPr>
            <w:tcW w:w="4077" w:type="dxa"/>
          </w:tcPr>
          <w:p w14:paraId="79ADB842" w14:textId="64BF7DEF" w:rsidR="00C37EB7" w:rsidRDefault="00C37EB7" w:rsidP="00C37EB7">
            <w:pPr>
              <w:pStyle w:val="Tablerowright"/>
            </w:pPr>
            <w:r>
              <w:t>Sampling and analysis:</w:t>
            </w:r>
          </w:p>
        </w:tc>
        <w:tc>
          <w:tcPr>
            <w:tcW w:w="5165" w:type="dxa"/>
          </w:tcPr>
          <w:p w14:paraId="1882BC7B" w14:textId="034FBD92" w:rsidR="00C37EB7" w:rsidRPr="00C37EB7" w:rsidRDefault="00C37EB7" w:rsidP="00017C82">
            <w:pPr>
              <w:pStyle w:val="Tablefont"/>
            </w:pPr>
            <w:r w:rsidRPr="00C37EB7">
              <w:t xml:space="preserve">The recommended value is readily quantifiable through currently available sampling and analysis techniques. </w:t>
            </w:r>
          </w:p>
        </w:tc>
      </w:tr>
    </w:tbl>
    <w:p w14:paraId="1F826C5C" w14:textId="77777777" w:rsidR="00CB1CB1" w:rsidRPr="003365A5" w:rsidRDefault="00F10C97" w:rsidP="003365A5">
      <w:pPr>
        <w:pStyle w:val="Heading2"/>
      </w:pPr>
      <w:r>
        <w:t>Recommendation and basis for workplace exposure standard</w:t>
      </w:r>
    </w:p>
    <w:p w14:paraId="6983DA50" w14:textId="77777777" w:rsidR="006639B4" w:rsidRPr="004C23F4" w:rsidRDefault="00FA563B" w:rsidP="000C139A">
      <w:pPr>
        <w:rPr>
          <w:rFonts w:cs="Arial"/>
        </w:rPr>
      </w:pPr>
      <w:r>
        <w:rPr>
          <w:rFonts w:cs="Arial"/>
        </w:rPr>
        <w:t>A</w:t>
      </w:r>
      <w:r w:rsidR="00705BD3">
        <w:rPr>
          <w:rFonts w:cs="Arial"/>
        </w:rPr>
        <w:t xml:space="preserve"> </w:t>
      </w:r>
      <w:r w:rsidR="00705BD3" w:rsidRPr="00705BD3">
        <w:rPr>
          <w:rFonts w:cs="Arial"/>
        </w:rPr>
        <w:t>TWA</w:t>
      </w:r>
      <w:r>
        <w:rPr>
          <w:rFonts w:cs="Arial"/>
        </w:rPr>
        <w:t xml:space="preserve"> of</w:t>
      </w:r>
      <w:r w:rsidR="00705BD3" w:rsidRPr="00705BD3">
        <w:rPr>
          <w:rFonts w:cs="Arial"/>
        </w:rPr>
        <w:t xml:space="preserve"> </w:t>
      </w:r>
      <w:r w:rsidRPr="00FA563B">
        <w:t>0.5 ppm (</w:t>
      </w:r>
      <w:r w:rsidR="00915083">
        <w:t>1.9</w:t>
      </w:r>
      <w:r w:rsidR="00915083" w:rsidRPr="00FA563B">
        <w:t xml:space="preserve"> </w:t>
      </w:r>
      <w:r w:rsidRPr="00FA563B">
        <w:t>mg/m</w:t>
      </w:r>
      <w:r w:rsidRPr="00FA563B">
        <w:rPr>
          <w:vertAlign w:val="superscript"/>
        </w:rPr>
        <w:t>3</w:t>
      </w:r>
      <w:r w:rsidRPr="00FA563B">
        <w:t xml:space="preserve">) </w:t>
      </w:r>
      <w:r w:rsidRPr="00FA563B">
        <w:rPr>
          <w:rFonts w:cs="Arial"/>
        </w:rPr>
        <w:t>is</w:t>
      </w:r>
      <w:r w:rsidR="00705BD3" w:rsidRPr="00705BD3">
        <w:rPr>
          <w:rFonts w:cs="Arial"/>
        </w:rPr>
        <w:t xml:space="preserve"> recommended to </w:t>
      </w:r>
      <w:r w:rsidR="00354ACE">
        <w:rPr>
          <w:rFonts w:cs="Arial"/>
        </w:rPr>
        <w:t>reduce</w:t>
      </w:r>
      <w:r>
        <w:rPr>
          <w:rFonts w:cs="Arial"/>
        </w:rPr>
        <w:t xml:space="preserve"> </w:t>
      </w:r>
      <w:r w:rsidR="00705BD3" w:rsidRPr="00705BD3">
        <w:rPr>
          <w:rFonts w:cs="Arial"/>
        </w:rPr>
        <w:t>the potential for headache, dizziness, nausea and rela</w:t>
      </w:r>
      <w:r w:rsidR="00705BD3">
        <w:rPr>
          <w:rFonts w:cs="Arial"/>
        </w:rPr>
        <w:t>ted central nervous system</w:t>
      </w:r>
      <w:r w:rsidR="00020EA5">
        <w:rPr>
          <w:rFonts w:cs="Arial"/>
        </w:rPr>
        <w:t xml:space="preserve"> (CNS)</w:t>
      </w:r>
      <w:r w:rsidR="00705BD3" w:rsidRPr="00705BD3">
        <w:rPr>
          <w:rFonts w:cs="Arial"/>
        </w:rPr>
        <w:t xml:space="preserve"> effects</w:t>
      </w:r>
      <w:r w:rsidR="00020EA5">
        <w:rPr>
          <w:rFonts w:cs="Arial"/>
        </w:rPr>
        <w:t>.</w:t>
      </w:r>
    </w:p>
    <w:p w14:paraId="025B278D" w14:textId="77777777" w:rsidR="00C7155E" w:rsidRPr="004C23F4" w:rsidRDefault="00F10C97" w:rsidP="003365A5">
      <w:pPr>
        <w:pStyle w:val="Heading2"/>
      </w:pPr>
      <w:r>
        <w:t>Discussion and conclusions</w:t>
      </w:r>
    </w:p>
    <w:p w14:paraId="7E0902B1" w14:textId="1ABE2068" w:rsidR="006639B4" w:rsidRDefault="00FA563B" w:rsidP="00705BD3">
      <w:pPr>
        <w:rPr>
          <w:rFonts w:cs="Arial"/>
        </w:rPr>
      </w:pPr>
      <w:r>
        <w:rPr>
          <w:rFonts w:cs="Arial"/>
        </w:rPr>
        <w:t xml:space="preserve">2-Aminopyridine is used primarily in the pharmaceutical industry as an intermediate in chemical synthesis. </w:t>
      </w:r>
      <w:r w:rsidR="00705BD3">
        <w:rPr>
          <w:rFonts w:cs="Arial"/>
        </w:rPr>
        <w:t xml:space="preserve">Very limited data </w:t>
      </w:r>
      <w:r w:rsidR="00F153BE">
        <w:rPr>
          <w:rFonts w:cs="Arial"/>
        </w:rPr>
        <w:t>are</w:t>
      </w:r>
      <w:r w:rsidR="008D537F">
        <w:rPr>
          <w:rFonts w:cs="Arial"/>
        </w:rPr>
        <w:t xml:space="preserve"> </w:t>
      </w:r>
      <w:r w:rsidR="00354ACE">
        <w:rPr>
          <w:rFonts w:cs="Arial"/>
        </w:rPr>
        <w:t>available for</w:t>
      </w:r>
      <w:r>
        <w:rPr>
          <w:rFonts w:cs="Arial"/>
        </w:rPr>
        <w:t xml:space="preserve"> humans and animals.</w:t>
      </w:r>
      <w:r w:rsidR="00705BD3">
        <w:rPr>
          <w:rFonts w:cs="Arial"/>
        </w:rPr>
        <w:t xml:space="preserve"> A</w:t>
      </w:r>
      <w:r w:rsidR="00705BD3" w:rsidRPr="00705BD3">
        <w:rPr>
          <w:rFonts w:cs="Arial"/>
        </w:rPr>
        <w:t>ccidental e</w:t>
      </w:r>
      <w:r w:rsidR="00705BD3">
        <w:rPr>
          <w:rFonts w:cs="Arial"/>
        </w:rPr>
        <w:t xml:space="preserve">xposure of a worker to approximately 5.2 ppm for </w:t>
      </w:r>
      <w:r w:rsidR="008D537F">
        <w:rPr>
          <w:rFonts w:cs="Arial"/>
        </w:rPr>
        <w:t>five</w:t>
      </w:r>
      <w:r w:rsidR="00705BD3">
        <w:rPr>
          <w:rFonts w:cs="Arial"/>
        </w:rPr>
        <w:t xml:space="preserve"> </w:t>
      </w:r>
      <w:r w:rsidR="00705BD3" w:rsidRPr="00705BD3">
        <w:rPr>
          <w:rFonts w:cs="Arial"/>
        </w:rPr>
        <w:t xml:space="preserve">hours </w:t>
      </w:r>
      <w:r w:rsidR="00705BD3">
        <w:rPr>
          <w:rFonts w:cs="Arial"/>
        </w:rPr>
        <w:t xml:space="preserve">resulted in </w:t>
      </w:r>
      <w:r w:rsidR="00705BD3" w:rsidRPr="00705BD3">
        <w:rPr>
          <w:rFonts w:cs="Arial"/>
        </w:rPr>
        <w:t>headache, increa</w:t>
      </w:r>
      <w:r w:rsidR="00705BD3">
        <w:rPr>
          <w:rFonts w:cs="Arial"/>
        </w:rPr>
        <w:t xml:space="preserve">sed blood pressure, flushing of </w:t>
      </w:r>
      <w:r w:rsidR="00705BD3" w:rsidRPr="00705BD3">
        <w:rPr>
          <w:rFonts w:cs="Arial"/>
        </w:rPr>
        <w:t>extr</w:t>
      </w:r>
      <w:r w:rsidR="00705BD3">
        <w:rPr>
          <w:rFonts w:cs="Arial"/>
        </w:rPr>
        <w:t>emities and nausea</w:t>
      </w:r>
      <w:r w:rsidR="00705BD3" w:rsidRPr="00705BD3">
        <w:rPr>
          <w:rFonts w:cs="Arial"/>
        </w:rPr>
        <w:t>.</w:t>
      </w:r>
      <w:r w:rsidR="00354ACE">
        <w:rPr>
          <w:rFonts w:cs="Arial"/>
        </w:rPr>
        <w:t xml:space="preserve"> A chemical plant worker died from acute poisoning three and a half hours after an accidental spill. Dermal absorption and vapour inhalation were likely routes of exposure</w:t>
      </w:r>
      <w:r w:rsidR="00E10049">
        <w:rPr>
          <w:rFonts w:cs="Arial"/>
        </w:rPr>
        <w:t xml:space="preserve"> (ACGIH, 2018)</w:t>
      </w:r>
      <w:r w:rsidR="00354ACE">
        <w:rPr>
          <w:rFonts w:cs="Arial"/>
        </w:rPr>
        <w:t>.</w:t>
      </w:r>
      <w:r w:rsidR="00354ACE" w:rsidDel="00354ACE">
        <w:rPr>
          <w:rFonts w:cs="Arial"/>
        </w:rPr>
        <w:t xml:space="preserve"> </w:t>
      </w:r>
    </w:p>
    <w:p w14:paraId="353B20BF" w14:textId="0AEDEAD6" w:rsidR="006357D8" w:rsidRDefault="00F153BE" w:rsidP="00705BD3">
      <w:pPr>
        <w:rPr>
          <w:rFonts w:cs="Arial"/>
        </w:rPr>
      </w:pPr>
      <w:r>
        <w:rPr>
          <w:rFonts w:cs="Arial"/>
        </w:rPr>
        <w:t xml:space="preserve">The TWA is recommended after applying an uncertainty factor of 10 to the LOAEL for CNS effects reported after an accidental spill. The recommended TWA is considered protective for these effects and no additional uncertainty factor for an incomplete dataset is necessary. However, a review of additional data sources is recommended at the next scheduled review. </w:t>
      </w:r>
    </w:p>
    <w:p w14:paraId="3AB94287" w14:textId="77777777" w:rsidR="004529F0" w:rsidRPr="004C23F4" w:rsidRDefault="004529F0" w:rsidP="004529F0">
      <w:pPr>
        <w:pStyle w:val="Heading2"/>
      </w:pPr>
      <w:r>
        <w:t>Recommendation for notations</w:t>
      </w:r>
    </w:p>
    <w:p w14:paraId="703A1A1E" w14:textId="77777777" w:rsidR="00705BD3" w:rsidRPr="00E30DB5" w:rsidRDefault="00020EA5" w:rsidP="00705BD3">
      <w:pPr>
        <w:rPr>
          <w:rFonts w:cs="Arial"/>
        </w:rPr>
      </w:pPr>
      <w:r>
        <w:rPr>
          <w:rFonts w:cs="Arial"/>
        </w:rPr>
        <w:t>Not</w:t>
      </w:r>
      <w:r w:rsidR="00705BD3" w:rsidRPr="00E30DB5">
        <w:rPr>
          <w:rFonts w:cs="Arial"/>
        </w:rPr>
        <w:t xml:space="preserve"> classified as a carcinogen according to the Globally Harmonized System of Classification and Labelling of Chemicals (GHS).</w:t>
      </w:r>
    </w:p>
    <w:p w14:paraId="0008F261" w14:textId="77777777" w:rsidR="00705BD3" w:rsidRDefault="00020EA5" w:rsidP="00705BD3">
      <w:pPr>
        <w:rPr>
          <w:rFonts w:cs="Arial"/>
        </w:rPr>
      </w:pPr>
      <w:r>
        <w:rPr>
          <w:rFonts w:cs="Arial"/>
        </w:rPr>
        <w:t>Not</w:t>
      </w:r>
      <w:r w:rsidR="00705BD3" w:rsidRPr="00E30DB5">
        <w:rPr>
          <w:rFonts w:cs="Arial"/>
        </w:rPr>
        <w:t xml:space="preserve"> classified as a skin </w:t>
      </w:r>
      <w:r w:rsidR="00360266">
        <w:rPr>
          <w:rFonts w:cs="Arial"/>
        </w:rPr>
        <w:t xml:space="preserve">sensitiser </w:t>
      </w:r>
      <w:r w:rsidR="00705BD3" w:rsidRPr="00E30DB5">
        <w:rPr>
          <w:rFonts w:cs="Arial"/>
        </w:rPr>
        <w:t xml:space="preserve">or </w:t>
      </w:r>
      <w:r w:rsidR="00360266">
        <w:rPr>
          <w:rFonts w:cs="Arial"/>
        </w:rPr>
        <w:t xml:space="preserve">a </w:t>
      </w:r>
      <w:r w:rsidR="00705BD3" w:rsidRPr="00E30DB5">
        <w:rPr>
          <w:rFonts w:cs="Arial"/>
        </w:rPr>
        <w:t xml:space="preserve">respiratory sensitiser according to the GHS. </w:t>
      </w:r>
    </w:p>
    <w:p w14:paraId="724721EA" w14:textId="77777777" w:rsidR="00705BD3" w:rsidRPr="004C23F4" w:rsidRDefault="00705BD3" w:rsidP="00705BD3">
      <w:pPr>
        <w:rPr>
          <w:rFonts w:cs="Arial"/>
        </w:rPr>
      </w:pPr>
      <w:r>
        <w:rPr>
          <w:rFonts w:cs="Arial"/>
        </w:rPr>
        <w:t xml:space="preserve">A skin notation is recommended based on </w:t>
      </w:r>
      <w:r w:rsidRPr="00705BD3">
        <w:rPr>
          <w:rFonts w:cs="Arial"/>
        </w:rPr>
        <w:t xml:space="preserve">likely </w:t>
      </w:r>
      <w:r>
        <w:rPr>
          <w:rFonts w:cs="Arial"/>
        </w:rPr>
        <w:t xml:space="preserve">skin absorption </w:t>
      </w:r>
      <w:r w:rsidR="008D537F">
        <w:rPr>
          <w:rFonts w:cs="Arial"/>
        </w:rPr>
        <w:t xml:space="preserve">resulting in systemic effects </w:t>
      </w:r>
      <w:r w:rsidR="00360266">
        <w:rPr>
          <w:rFonts w:cs="Arial"/>
        </w:rPr>
        <w:t>in a human case report</w:t>
      </w:r>
      <w:r w:rsidRPr="00E30DB5">
        <w:rPr>
          <w:rFonts w:cs="Arial"/>
        </w:rPr>
        <w:t>.</w:t>
      </w:r>
    </w:p>
    <w:p w14:paraId="2DED146F" w14:textId="77777777" w:rsidR="0025734A" w:rsidRPr="004C23F4" w:rsidRDefault="0025734A">
      <w:pPr>
        <w:rPr>
          <w:rFonts w:cs="Arial"/>
        </w:rPr>
      </w:pPr>
    </w:p>
    <w:p w14:paraId="7B35A257" w14:textId="77777777" w:rsidR="005E6979" w:rsidRPr="004C23F4" w:rsidRDefault="005E6979">
      <w:pPr>
        <w:rPr>
          <w:rFonts w:cs="Arial"/>
        </w:rPr>
        <w:sectPr w:rsidR="005E6979" w:rsidRPr="004C23F4" w:rsidSect="00B479A9">
          <w:headerReference w:type="default" r:id="rId11"/>
          <w:footerReference w:type="default" r:id="rId12"/>
          <w:pgSz w:w="11906" w:h="16838"/>
          <w:pgMar w:top="1985" w:right="1440" w:bottom="1440" w:left="1440" w:header="708" w:footer="283" w:gutter="0"/>
          <w:cols w:space="708"/>
          <w:docGrid w:linePitch="360"/>
        </w:sectPr>
      </w:pPr>
    </w:p>
    <w:p w14:paraId="53A1D067"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01C4CF5F"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13B84222" w14:textId="77777777" w:rsidTr="00DE26E8">
        <w:trPr>
          <w:gridAfter w:val="1"/>
          <w:wAfter w:w="8" w:type="pct"/>
          <w:cantSplit/>
          <w:trHeight w:val="393"/>
          <w:tblHeader/>
        </w:trPr>
        <w:tc>
          <w:tcPr>
            <w:tcW w:w="4992" w:type="pct"/>
            <w:shd w:val="clear" w:color="auto" w:fill="BFBFBF" w:themeFill="background1" w:themeFillShade="BF"/>
            <w:vAlign w:val="center"/>
          </w:tcPr>
          <w:p w14:paraId="76541BB7"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5736A72B" w14:textId="77777777" w:rsidTr="00DE26E8">
        <w:trPr>
          <w:cantSplit/>
        </w:trPr>
        <w:tc>
          <w:tcPr>
            <w:tcW w:w="5000" w:type="pct"/>
            <w:gridSpan w:val="2"/>
            <w:shd w:val="clear" w:color="auto" w:fill="F2F2F2" w:themeFill="background1" w:themeFillShade="F2"/>
          </w:tcPr>
          <w:p w14:paraId="1ECDC621"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0A3BD2">
                  <w:t>1991</w:t>
                </w:r>
              </w:sdtContent>
            </w:sdt>
            <w:r w:rsidRPr="003365A5">
              <w:tab/>
            </w:r>
            <w:r>
              <w:tab/>
            </w:r>
            <w:sdt>
              <w:sdtPr>
                <w:alias w:val="SWA WES"/>
                <w:tag w:val="SWA WES"/>
                <w:id w:val="857077202"/>
                <w:placeholder>
                  <w:docPart w:val="81CFEC2FDBC5451289F394E66D92D1A0"/>
                </w:placeholder>
              </w:sdtPr>
              <w:sdtEndPr/>
              <w:sdtContent>
                <w:r w:rsidR="000A3BD2">
                  <w:t>TWA: 0.5 ppm (2 mg/m</w:t>
                </w:r>
                <w:r w:rsidR="000A3BD2">
                  <w:rPr>
                    <w:vertAlign w:val="superscript"/>
                  </w:rPr>
                  <w:t>3</w:t>
                </w:r>
                <w:r w:rsidR="000A3BD2">
                  <w:t>)</w:t>
                </w:r>
              </w:sdtContent>
            </w:sdt>
          </w:p>
        </w:tc>
      </w:tr>
      <w:tr w:rsidR="00C978F0" w:rsidRPr="00DA352E" w14:paraId="3DACF98D" w14:textId="77777777" w:rsidTr="00DE26E8">
        <w:trPr>
          <w:gridAfter w:val="1"/>
          <w:wAfter w:w="8" w:type="pct"/>
          <w:cantSplit/>
        </w:trPr>
        <w:tc>
          <w:tcPr>
            <w:tcW w:w="4992" w:type="pct"/>
          </w:tcPr>
          <w:p w14:paraId="66B80BE3" w14:textId="77777777" w:rsidR="00C978F0" w:rsidRPr="00DA352E" w:rsidRDefault="00C978F0" w:rsidP="003365A5">
            <w:pPr>
              <w:pStyle w:val="Tabletextprimarysource"/>
            </w:pPr>
          </w:p>
        </w:tc>
      </w:tr>
      <w:tr w:rsidR="00C978F0" w:rsidRPr="00DA352E" w14:paraId="6AD4D5E5" w14:textId="77777777" w:rsidTr="00DE26E8">
        <w:trPr>
          <w:gridAfter w:val="1"/>
          <w:wAfter w:w="8" w:type="pct"/>
          <w:cantSplit/>
        </w:trPr>
        <w:tc>
          <w:tcPr>
            <w:tcW w:w="4992" w:type="pct"/>
            <w:shd w:val="clear" w:color="auto" w:fill="F2F2F2" w:themeFill="background1" w:themeFillShade="F2"/>
          </w:tcPr>
          <w:p w14:paraId="2FEE7A41"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C91F6D">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sdt>
                  <w:sdtPr>
                    <w:alias w:val="SWA WES"/>
                    <w:tag w:val="SWA WES"/>
                    <w:id w:val="-1259292576"/>
                    <w:placeholder>
                      <w:docPart w:val="C7866535C1E84B70A13A2D184294D149"/>
                    </w:placeholder>
                  </w:sdtPr>
                  <w:sdtEndPr/>
                  <w:sdtContent>
                    <w:r w:rsidR="00C91F6D">
                      <w:t>TLV-TWA: 0.5 ppm (1.9 mg/m</w:t>
                    </w:r>
                    <w:r w:rsidR="00C91F6D">
                      <w:rPr>
                        <w:vertAlign w:val="superscript"/>
                      </w:rPr>
                      <w:t>3</w:t>
                    </w:r>
                    <w:r w:rsidR="00C91F6D">
                      <w:t>)</w:t>
                    </w:r>
                  </w:sdtContent>
                </w:sdt>
              </w:sdtContent>
            </w:sdt>
          </w:p>
        </w:tc>
      </w:tr>
      <w:tr w:rsidR="00C978F0" w:rsidRPr="00DA352E" w14:paraId="598568F6" w14:textId="77777777" w:rsidTr="00DE26E8">
        <w:trPr>
          <w:gridAfter w:val="1"/>
          <w:wAfter w:w="8" w:type="pct"/>
          <w:cantSplit/>
        </w:trPr>
        <w:tc>
          <w:tcPr>
            <w:tcW w:w="4992" w:type="pct"/>
          </w:tcPr>
          <w:p w14:paraId="021E9A92" w14:textId="77777777" w:rsidR="00C978F0" w:rsidRDefault="00C91F6D" w:rsidP="003365A5">
            <w:pPr>
              <w:pStyle w:val="Tabletextprimarysource"/>
            </w:pPr>
            <w:r>
              <w:t xml:space="preserve">TLV-TWA recommended to minimise the potential </w:t>
            </w:r>
            <w:r w:rsidR="008D537F">
              <w:t>for headache, dizziness, nausea</w:t>
            </w:r>
            <w:r>
              <w:t xml:space="preserve"> and related </w:t>
            </w:r>
            <w:r w:rsidR="00020EA5">
              <w:t xml:space="preserve">CNS </w:t>
            </w:r>
            <w:r>
              <w:t>effects.</w:t>
            </w:r>
          </w:p>
          <w:p w14:paraId="6B1C8790" w14:textId="77777777" w:rsidR="00C91F6D" w:rsidRDefault="00C91F6D" w:rsidP="003365A5">
            <w:pPr>
              <w:pStyle w:val="Tabletextprimarysource"/>
            </w:pPr>
            <w:r>
              <w:t>Summary of data:</w:t>
            </w:r>
          </w:p>
          <w:p w14:paraId="408985D1" w14:textId="77777777" w:rsidR="00C91F6D" w:rsidRDefault="00C91F6D" w:rsidP="00020EA5">
            <w:pPr>
              <w:pStyle w:val="ListBullet"/>
              <w:numPr>
                <w:ilvl w:val="0"/>
                <w:numId w:val="0"/>
              </w:numPr>
              <w:ind w:left="360" w:hanging="360"/>
            </w:pPr>
            <w:r>
              <w:t>Human data</w:t>
            </w:r>
          </w:p>
          <w:p w14:paraId="76DF800F" w14:textId="77777777" w:rsidR="002D634B" w:rsidRDefault="008D537F" w:rsidP="002D634B">
            <w:pPr>
              <w:pStyle w:val="ListBullet"/>
              <w:ind w:left="720"/>
            </w:pPr>
            <w:r>
              <w:t>L</w:t>
            </w:r>
            <w:r w:rsidR="002D634B">
              <w:t xml:space="preserve">imited </w:t>
            </w:r>
            <w:r w:rsidR="00FA563B">
              <w:t xml:space="preserve">human </w:t>
            </w:r>
            <w:r w:rsidR="00360266">
              <w:t>data</w:t>
            </w:r>
          </w:p>
          <w:p w14:paraId="7740B72E" w14:textId="77777777" w:rsidR="00360266" w:rsidRDefault="008D537F" w:rsidP="00360266">
            <w:pPr>
              <w:pStyle w:val="ListBullet"/>
              <w:ind w:left="720"/>
            </w:pPr>
            <w:r>
              <w:t>F</w:t>
            </w:r>
            <w:r w:rsidR="00360266">
              <w:t xml:space="preserve">atal acute poisoning: </w:t>
            </w:r>
          </w:p>
          <w:p w14:paraId="08C06A1B" w14:textId="77777777" w:rsidR="00360266" w:rsidRDefault="000D25E6" w:rsidP="00360266">
            <w:pPr>
              <w:pStyle w:val="ListBullet"/>
              <w:numPr>
                <w:ilvl w:val="0"/>
                <w:numId w:val="2"/>
              </w:numPr>
              <w:ind w:left="1156"/>
            </w:pPr>
            <w:r>
              <w:t>a</w:t>
            </w:r>
            <w:r w:rsidR="008D537F">
              <w:t>ccidental spill with c</w:t>
            </w:r>
            <w:r w:rsidR="00360266">
              <w:t>ontaminated clothing left on for 1.5 h</w:t>
            </w:r>
          </w:p>
          <w:p w14:paraId="58B3542A" w14:textId="5F79FA4D" w:rsidR="00360266" w:rsidRDefault="000D25E6" w:rsidP="00360266">
            <w:pPr>
              <w:pStyle w:val="ListBullet"/>
              <w:numPr>
                <w:ilvl w:val="0"/>
                <w:numId w:val="2"/>
              </w:numPr>
              <w:ind w:left="1156"/>
            </w:pPr>
            <w:r>
              <w:t>a</w:t>
            </w:r>
            <w:r w:rsidR="00360266">
              <w:t>fter 2 h symptoms were dizziness, headache, respiratory distress</w:t>
            </w:r>
            <w:r w:rsidR="00F153BE">
              <w:t xml:space="preserve"> and</w:t>
            </w:r>
            <w:r w:rsidR="00360266">
              <w:t xml:space="preserve"> convulsions leading to respiratory failure and death</w:t>
            </w:r>
          </w:p>
          <w:p w14:paraId="72B0BE99" w14:textId="77777777" w:rsidR="00360266" w:rsidRDefault="000D25E6" w:rsidP="00360266">
            <w:pPr>
              <w:pStyle w:val="ListBullet"/>
              <w:numPr>
                <w:ilvl w:val="0"/>
                <w:numId w:val="2"/>
              </w:numPr>
              <w:ind w:left="1156"/>
            </w:pPr>
            <w:r>
              <w:t>v</w:t>
            </w:r>
            <w:r w:rsidR="00360266">
              <w:t>apour inhalation and dermal absorption likely</w:t>
            </w:r>
          </w:p>
          <w:p w14:paraId="018CF0A4" w14:textId="590003DE" w:rsidR="00FE2B99" w:rsidRDefault="000D25E6" w:rsidP="00F45883">
            <w:pPr>
              <w:pStyle w:val="ListBullet"/>
              <w:numPr>
                <w:ilvl w:val="0"/>
                <w:numId w:val="2"/>
              </w:numPr>
              <w:ind w:left="1156"/>
            </w:pPr>
            <w:r>
              <w:t>non-fatal</w:t>
            </w:r>
            <w:r w:rsidR="00360266">
              <w:t xml:space="preserve"> acute poisoning</w:t>
            </w:r>
            <w:r w:rsidR="00F45883">
              <w:t xml:space="preserve"> (</w:t>
            </w:r>
            <w:r w:rsidR="00F45883">
              <w:rPr>
                <w:rFonts w:cs="Arial"/>
              </w:rPr>
              <w:t>≈</w:t>
            </w:r>
            <w:r w:rsidR="00881CAD">
              <w:rPr>
                <w:rFonts w:cs="Arial"/>
              </w:rPr>
              <w:t xml:space="preserve"> </w:t>
            </w:r>
            <w:r w:rsidR="00F45883" w:rsidRPr="00FE2B99">
              <w:t>5.2 ppm</w:t>
            </w:r>
            <w:r w:rsidR="00F45883">
              <w:t>, 5 h) resulted in</w:t>
            </w:r>
            <w:r w:rsidR="00FE2B99">
              <w:t xml:space="preserve"> severe headache, increased blood pressure, flushing</w:t>
            </w:r>
            <w:r w:rsidR="00FA563B">
              <w:t xml:space="preserve"> of the extremities</w:t>
            </w:r>
            <w:r w:rsidR="00360266">
              <w:t xml:space="preserve"> </w:t>
            </w:r>
            <w:r w:rsidR="00FA563B">
              <w:t>and nausea</w:t>
            </w:r>
            <w:r w:rsidR="008D537F">
              <w:t>;</w:t>
            </w:r>
            <w:r w:rsidR="00F45883">
              <w:t xml:space="preserve"> </w:t>
            </w:r>
            <w:r w:rsidR="008D537F">
              <w:t>c</w:t>
            </w:r>
            <w:r w:rsidR="00F45883">
              <w:t xml:space="preserve">omplete recovery </w:t>
            </w:r>
            <w:r w:rsidR="008D537F">
              <w:t>with</w:t>
            </w:r>
            <w:r w:rsidR="00F45883">
              <w:t>in 24 h.</w:t>
            </w:r>
          </w:p>
          <w:p w14:paraId="16F87D33" w14:textId="77777777" w:rsidR="002D634B" w:rsidRDefault="002D634B" w:rsidP="00020EA5">
            <w:pPr>
              <w:pStyle w:val="ListBullet"/>
              <w:numPr>
                <w:ilvl w:val="0"/>
                <w:numId w:val="0"/>
              </w:numPr>
              <w:ind w:left="360" w:hanging="360"/>
            </w:pPr>
            <w:r>
              <w:t>Animal data:</w:t>
            </w:r>
          </w:p>
          <w:p w14:paraId="55E7DB27" w14:textId="77777777" w:rsidR="002D634B" w:rsidRPr="002D634B" w:rsidRDefault="002D634B" w:rsidP="002D634B">
            <w:pPr>
              <w:pStyle w:val="ListBullet"/>
              <w:ind w:left="720"/>
            </w:pPr>
            <w:r w:rsidRPr="002D634B">
              <w:t xml:space="preserve">Limited </w:t>
            </w:r>
            <w:r w:rsidR="00FA563B">
              <w:t>studies available</w:t>
            </w:r>
          </w:p>
          <w:p w14:paraId="3ACF5367" w14:textId="77777777" w:rsidR="002D634B" w:rsidRDefault="002D634B" w:rsidP="002D634B">
            <w:pPr>
              <w:pStyle w:val="ListBullet"/>
              <w:ind w:left="720"/>
            </w:pPr>
            <w:r>
              <w:t>LD</w:t>
            </w:r>
            <w:r>
              <w:rPr>
                <w:vertAlign w:val="subscript"/>
              </w:rPr>
              <w:t>50</w:t>
            </w:r>
            <w:r w:rsidR="00020EA5" w:rsidRPr="00FA563B">
              <w:t>:</w:t>
            </w:r>
            <w:r>
              <w:rPr>
                <w:vertAlign w:val="subscript"/>
              </w:rPr>
              <w:t xml:space="preserve"> </w:t>
            </w:r>
            <w:r w:rsidR="006C21CD">
              <w:t xml:space="preserve">28 </w:t>
            </w:r>
            <w:r>
              <w:t xml:space="preserve">mg/kg </w:t>
            </w:r>
            <w:r w:rsidR="00020EA5">
              <w:t>(mice,</w:t>
            </w:r>
            <w:r>
              <w:t xml:space="preserve"> </w:t>
            </w:r>
            <w:r w:rsidRPr="002D634B">
              <w:t>intraperitoneal</w:t>
            </w:r>
            <w:r w:rsidR="00020EA5">
              <w:t>)</w:t>
            </w:r>
          </w:p>
          <w:p w14:paraId="3EBF6BB0" w14:textId="77777777" w:rsidR="002D634B" w:rsidRDefault="002D634B" w:rsidP="00F45883">
            <w:pPr>
              <w:pStyle w:val="ListBullet"/>
              <w:ind w:left="720"/>
            </w:pPr>
            <w:r>
              <w:t>LD</w:t>
            </w:r>
            <w:r>
              <w:rPr>
                <w:vertAlign w:val="subscript"/>
              </w:rPr>
              <w:t>50</w:t>
            </w:r>
            <w:r w:rsidR="00020EA5" w:rsidRPr="00FA563B">
              <w:t>:</w:t>
            </w:r>
            <w:r>
              <w:rPr>
                <w:vertAlign w:val="subscript"/>
              </w:rPr>
              <w:t xml:space="preserve"> </w:t>
            </w:r>
            <w:r w:rsidR="006C21CD">
              <w:t xml:space="preserve">70 </w:t>
            </w:r>
            <w:r w:rsidR="00020EA5">
              <w:t>mg/kg (mice,</w:t>
            </w:r>
            <w:r>
              <w:t xml:space="preserve"> </w:t>
            </w:r>
            <w:r w:rsidR="00F45883">
              <w:t>subcutaneous</w:t>
            </w:r>
            <w:r w:rsidR="00020EA5">
              <w:t>)</w:t>
            </w:r>
          </w:p>
          <w:p w14:paraId="50930D89" w14:textId="77777777" w:rsidR="00F45883" w:rsidRDefault="00F45883" w:rsidP="00F45883">
            <w:pPr>
              <w:pStyle w:val="ListBullet"/>
              <w:ind w:left="720"/>
            </w:pPr>
            <w:r>
              <w:t>LD</w:t>
            </w:r>
            <w:r>
              <w:rPr>
                <w:vertAlign w:val="subscript"/>
              </w:rPr>
              <w:t>50</w:t>
            </w:r>
            <w:r w:rsidRPr="00FA563B">
              <w:t>:</w:t>
            </w:r>
            <w:r>
              <w:rPr>
                <w:vertAlign w:val="subscript"/>
              </w:rPr>
              <w:t xml:space="preserve"> </w:t>
            </w:r>
            <w:r>
              <w:t>23 mg/kg (mice, intravenous)</w:t>
            </w:r>
          </w:p>
          <w:p w14:paraId="347B2F5D" w14:textId="77777777" w:rsidR="00F45883" w:rsidRDefault="00F45883" w:rsidP="00F45883">
            <w:pPr>
              <w:pStyle w:val="ListBullet"/>
              <w:ind w:left="720"/>
            </w:pPr>
            <w:r>
              <w:t>LD</w:t>
            </w:r>
            <w:r>
              <w:rPr>
                <w:vertAlign w:val="subscript"/>
              </w:rPr>
              <w:t>50</w:t>
            </w:r>
            <w:r w:rsidRPr="00FA563B">
              <w:t>:</w:t>
            </w:r>
            <w:r>
              <w:rPr>
                <w:vertAlign w:val="subscript"/>
              </w:rPr>
              <w:t xml:space="preserve"> </w:t>
            </w:r>
            <w:r>
              <w:t>200 mg/kg (rats, oral)</w:t>
            </w:r>
          </w:p>
          <w:p w14:paraId="74D4E084" w14:textId="77777777" w:rsidR="00F45883" w:rsidRDefault="00F45883" w:rsidP="00FA6436">
            <w:pPr>
              <w:pStyle w:val="ListBullet"/>
              <w:ind w:left="720"/>
            </w:pPr>
            <w:r>
              <w:t>LD</w:t>
            </w:r>
            <w:r>
              <w:rPr>
                <w:vertAlign w:val="subscript"/>
              </w:rPr>
              <w:t>50</w:t>
            </w:r>
            <w:r w:rsidRPr="00FA563B">
              <w:t>:</w:t>
            </w:r>
            <w:r>
              <w:rPr>
                <w:vertAlign w:val="subscript"/>
              </w:rPr>
              <w:t xml:space="preserve"> </w:t>
            </w:r>
            <w:r>
              <w:t xml:space="preserve">50 mg/kg (mice, oral). </w:t>
            </w:r>
          </w:p>
          <w:p w14:paraId="25B63113" w14:textId="77777777" w:rsidR="008D537F" w:rsidRPr="00DA352E" w:rsidRDefault="008D537F" w:rsidP="008D537F">
            <w:pPr>
              <w:pStyle w:val="ListBullet"/>
              <w:numPr>
                <w:ilvl w:val="0"/>
                <w:numId w:val="0"/>
              </w:numPr>
              <w:ind w:left="360" w:hanging="360"/>
            </w:pPr>
          </w:p>
        </w:tc>
      </w:tr>
      <w:tr w:rsidR="00C978F0" w:rsidRPr="00DA352E" w14:paraId="4019604B" w14:textId="77777777" w:rsidTr="00DE26E8">
        <w:trPr>
          <w:gridAfter w:val="1"/>
          <w:wAfter w:w="8" w:type="pct"/>
          <w:cantSplit/>
        </w:trPr>
        <w:tc>
          <w:tcPr>
            <w:tcW w:w="4992" w:type="pct"/>
            <w:shd w:val="clear" w:color="auto" w:fill="F2F2F2" w:themeFill="background1" w:themeFillShade="F2"/>
          </w:tcPr>
          <w:p w14:paraId="6E189502" w14:textId="77777777"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30787F">
                  <w:t>2000</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30787F">
                  <w:t>NA</w:t>
                </w:r>
              </w:sdtContent>
            </w:sdt>
          </w:p>
        </w:tc>
      </w:tr>
      <w:tr w:rsidR="00C978F0" w:rsidRPr="00DA352E" w14:paraId="1552C8BE" w14:textId="77777777" w:rsidTr="00DE26E8">
        <w:trPr>
          <w:gridAfter w:val="1"/>
          <w:wAfter w:w="8" w:type="pct"/>
          <w:cantSplit/>
        </w:trPr>
        <w:tc>
          <w:tcPr>
            <w:tcW w:w="4992" w:type="pct"/>
          </w:tcPr>
          <w:p w14:paraId="288FECBF" w14:textId="77777777" w:rsidR="008D537F" w:rsidRDefault="00FA6436" w:rsidP="00FA6436">
            <w:pPr>
              <w:pStyle w:val="ListBullet"/>
              <w:numPr>
                <w:ilvl w:val="0"/>
                <w:numId w:val="0"/>
              </w:numPr>
              <w:ind w:left="360" w:hanging="360"/>
            </w:pPr>
            <w:r>
              <w:t xml:space="preserve">No MAK value is assigned. </w:t>
            </w:r>
          </w:p>
          <w:p w14:paraId="347A2A83" w14:textId="77777777" w:rsidR="008D537F" w:rsidRDefault="008D537F" w:rsidP="00FA6436">
            <w:pPr>
              <w:pStyle w:val="ListBullet"/>
              <w:numPr>
                <w:ilvl w:val="0"/>
                <w:numId w:val="0"/>
              </w:numPr>
              <w:ind w:left="360" w:hanging="360"/>
            </w:pPr>
          </w:p>
          <w:p w14:paraId="4DBDB63C" w14:textId="77777777" w:rsidR="00C978F0" w:rsidRDefault="00FA6436" w:rsidP="00FA6436">
            <w:pPr>
              <w:pStyle w:val="ListBullet"/>
              <w:numPr>
                <w:ilvl w:val="0"/>
                <w:numId w:val="0"/>
              </w:numPr>
              <w:ind w:left="360" w:hanging="360"/>
            </w:pPr>
            <w:r>
              <w:t>No additional information is available.</w:t>
            </w:r>
            <w:r w:rsidR="00625E9C">
              <w:t xml:space="preserve"> </w:t>
            </w:r>
          </w:p>
          <w:p w14:paraId="0205030D" w14:textId="77777777" w:rsidR="008D537F" w:rsidRPr="00DA352E" w:rsidRDefault="008D537F" w:rsidP="00FA6436">
            <w:pPr>
              <w:pStyle w:val="ListBullet"/>
              <w:numPr>
                <w:ilvl w:val="0"/>
                <w:numId w:val="0"/>
              </w:numPr>
              <w:ind w:left="360" w:hanging="360"/>
            </w:pPr>
          </w:p>
        </w:tc>
      </w:tr>
      <w:tr w:rsidR="00C978F0" w:rsidRPr="00DA352E" w14:paraId="27E28B15" w14:textId="77777777" w:rsidTr="00DE26E8">
        <w:trPr>
          <w:gridAfter w:val="1"/>
          <w:wAfter w:w="8" w:type="pct"/>
          <w:cantSplit/>
        </w:trPr>
        <w:tc>
          <w:tcPr>
            <w:tcW w:w="4992" w:type="pct"/>
            <w:shd w:val="clear" w:color="auto" w:fill="F2F2F2" w:themeFill="background1" w:themeFillShade="F2"/>
          </w:tcPr>
          <w:p w14:paraId="23EBCB4A" w14:textId="77777777"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E32966">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E32966">
                  <w:t>NA</w:t>
                </w:r>
              </w:sdtContent>
            </w:sdt>
          </w:p>
        </w:tc>
      </w:tr>
      <w:tr w:rsidR="00C978F0" w:rsidRPr="00DA352E" w14:paraId="1612D599" w14:textId="77777777" w:rsidTr="00DE26E8">
        <w:trPr>
          <w:gridAfter w:val="1"/>
          <w:wAfter w:w="8" w:type="pct"/>
          <w:cantSplit/>
        </w:trPr>
        <w:tc>
          <w:tcPr>
            <w:tcW w:w="4992" w:type="pct"/>
          </w:tcPr>
          <w:p w14:paraId="38FE7D1F" w14:textId="77777777" w:rsidR="00C978F0" w:rsidRPr="00DA352E" w:rsidRDefault="00E32966" w:rsidP="003365A5">
            <w:pPr>
              <w:pStyle w:val="Tabletextprimarysource"/>
            </w:pPr>
            <w:r>
              <w:t>No report</w:t>
            </w:r>
          </w:p>
        </w:tc>
      </w:tr>
      <w:tr w:rsidR="00DA352E" w:rsidRPr="00DA352E" w14:paraId="677DD04B" w14:textId="77777777" w:rsidTr="00DE26E8">
        <w:trPr>
          <w:gridAfter w:val="1"/>
          <w:wAfter w:w="8" w:type="pct"/>
          <w:cantSplit/>
        </w:trPr>
        <w:tc>
          <w:tcPr>
            <w:tcW w:w="4992" w:type="pct"/>
            <w:shd w:val="clear" w:color="auto" w:fill="F2F2F2" w:themeFill="background1" w:themeFillShade="F2"/>
          </w:tcPr>
          <w:p w14:paraId="6B98FF0F"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705BD3">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705BD3">
                  <w:t>NA</w:t>
                </w:r>
              </w:sdtContent>
            </w:sdt>
          </w:p>
        </w:tc>
      </w:tr>
      <w:tr w:rsidR="00DA352E" w:rsidRPr="00DA352E" w14:paraId="5C3C3586" w14:textId="77777777" w:rsidTr="00DE26E8">
        <w:trPr>
          <w:gridAfter w:val="1"/>
          <w:wAfter w:w="8" w:type="pct"/>
          <w:cantSplit/>
        </w:trPr>
        <w:tc>
          <w:tcPr>
            <w:tcW w:w="4992" w:type="pct"/>
          </w:tcPr>
          <w:p w14:paraId="60ACB22C" w14:textId="77777777" w:rsidR="00DA352E" w:rsidRPr="00DA352E" w:rsidRDefault="00705BD3" w:rsidP="003365A5">
            <w:pPr>
              <w:pStyle w:val="Tabletextprimarysource"/>
            </w:pPr>
            <w:r>
              <w:t>No report</w:t>
            </w:r>
          </w:p>
        </w:tc>
      </w:tr>
      <w:tr w:rsidR="00DA352E" w:rsidRPr="00DA352E" w14:paraId="43560D0A" w14:textId="77777777" w:rsidTr="00DE26E8">
        <w:trPr>
          <w:gridAfter w:val="1"/>
          <w:wAfter w:w="8" w:type="pct"/>
          <w:cantSplit/>
        </w:trPr>
        <w:tc>
          <w:tcPr>
            <w:tcW w:w="4992" w:type="pct"/>
            <w:shd w:val="clear" w:color="auto" w:fill="F2F2F2" w:themeFill="background1" w:themeFillShade="F2"/>
          </w:tcPr>
          <w:p w14:paraId="0CDE32F8"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E32966">
                  <w:t>2002</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E32966">
                  <w:t>NA</w:t>
                </w:r>
              </w:sdtContent>
            </w:sdt>
          </w:p>
        </w:tc>
      </w:tr>
      <w:tr w:rsidR="00DA352E" w:rsidRPr="00DA352E" w14:paraId="29F97A87" w14:textId="77777777" w:rsidTr="00DE26E8">
        <w:trPr>
          <w:gridAfter w:val="1"/>
          <w:wAfter w:w="8" w:type="pct"/>
          <w:cantSplit/>
        </w:trPr>
        <w:tc>
          <w:tcPr>
            <w:tcW w:w="4992" w:type="pct"/>
          </w:tcPr>
          <w:p w14:paraId="573F1445" w14:textId="77777777" w:rsidR="00DA352E" w:rsidRPr="00DA352E" w:rsidRDefault="00625E9C" w:rsidP="00625E9C">
            <w:pPr>
              <w:pStyle w:val="ListBullet"/>
              <w:numPr>
                <w:ilvl w:val="0"/>
                <w:numId w:val="0"/>
              </w:numPr>
              <w:ind w:left="22"/>
            </w:pPr>
            <w:r>
              <w:t>T</w:t>
            </w:r>
            <w:r w:rsidR="00E32966">
              <w:t xml:space="preserve">oxicological database too </w:t>
            </w:r>
            <w:r>
              <w:t>limited</w:t>
            </w:r>
            <w:r w:rsidR="00E32966">
              <w:t xml:space="preserve"> to justify recommendation of health-based </w:t>
            </w:r>
            <w:r>
              <w:t>OEL</w:t>
            </w:r>
            <w:r w:rsidR="006C21CD">
              <w:t>.</w:t>
            </w:r>
          </w:p>
        </w:tc>
      </w:tr>
    </w:tbl>
    <w:p w14:paraId="62DE5040" w14:textId="77777777" w:rsidR="00A20751" w:rsidRDefault="00A20751" w:rsidP="003365A5">
      <w:pPr>
        <w:pStyle w:val="Heading3"/>
      </w:pPr>
      <w:bookmarkStart w:id="1" w:name="SecondSource"/>
      <w:r w:rsidRPr="004C23F4">
        <w:t xml:space="preserve">Secondary </w:t>
      </w:r>
      <w:r w:rsidR="0088798F">
        <w:t xml:space="preserve">source reports relied upon </w:t>
      </w:r>
    </w:p>
    <w:p w14:paraId="05B9A4D5" w14:textId="77777777" w:rsidR="00625E9C" w:rsidRPr="00625E9C" w:rsidRDefault="00625E9C" w:rsidP="00625E9C">
      <w:pPr>
        <w:rPr>
          <w:lang w:eastAsia="en-AU"/>
        </w:rPr>
      </w:pPr>
      <w:r>
        <w:rPr>
          <w:lang w:eastAsia="en-AU"/>
        </w:rPr>
        <w:t xml:space="preserve">NIL </w:t>
      </w:r>
    </w:p>
    <w:p w14:paraId="3DF54357" w14:textId="77777777" w:rsidR="007E2A4B" w:rsidRDefault="007E2A4B"/>
    <w:bookmarkEnd w:id="1"/>
    <w:p w14:paraId="052530C8" w14:textId="77777777" w:rsidR="007E2A4B" w:rsidRDefault="007E2A4B" w:rsidP="007E2A4B">
      <w:pPr>
        <w:pStyle w:val="Heading3"/>
      </w:pPr>
      <w:r>
        <w:lastRenderedPageBreak/>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rcinogenicity – non-threshold based genotoxic carcinogens"/>
        <w:tblDescription w:val="Is the chemical mutagenic? No, therefore the chemical is not a non-threshold based genotoxic carcinogen. "/>
      </w:tblPr>
      <w:tblGrid>
        <w:gridCol w:w="6603"/>
        <w:gridCol w:w="2423"/>
      </w:tblGrid>
      <w:tr w:rsidR="00FA563B" w14:paraId="601205AB" w14:textId="77777777" w:rsidTr="00FA563B">
        <w:trPr>
          <w:trHeight w:val="454"/>
          <w:tblHeader/>
        </w:trPr>
        <w:tc>
          <w:tcPr>
            <w:tcW w:w="6603" w:type="dxa"/>
            <w:vAlign w:val="center"/>
          </w:tcPr>
          <w:p w14:paraId="7ECD29C4" w14:textId="77777777" w:rsidR="00FA563B" w:rsidRDefault="00FA563B" w:rsidP="00C33562">
            <w:pPr>
              <w:pStyle w:val="Tablefont"/>
              <w:keepNext/>
              <w:keepLines/>
              <w:spacing w:before="40" w:after="40"/>
            </w:pPr>
            <w:bookmarkStart w:id="2" w:name="_GoBack"/>
            <w:r>
              <w:t>Is the chemical mutagenic?</w:t>
            </w:r>
          </w:p>
        </w:tc>
        <w:sdt>
          <w:sdtPr>
            <w:id w:val="319705052"/>
            <w:placeholder>
              <w:docPart w:val="0409769BDEB6486998512527E81EA61C"/>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1FC83E7D" w14:textId="77777777" w:rsidR="00FA563B" w:rsidRDefault="00FA563B" w:rsidP="00C33562">
                <w:pPr>
                  <w:pStyle w:val="Tablefont"/>
                  <w:keepNext/>
                  <w:keepLines/>
                  <w:spacing w:before="40" w:after="40"/>
                </w:pPr>
                <w:r>
                  <w:t>No</w:t>
                </w:r>
              </w:p>
            </w:tc>
          </w:sdtContent>
        </w:sdt>
      </w:tr>
      <w:tr w:rsidR="00FA563B" w14:paraId="1BB78975" w14:textId="77777777" w:rsidTr="00FA563B">
        <w:trPr>
          <w:trHeight w:val="454"/>
        </w:trPr>
        <w:sdt>
          <w:sdtPr>
            <w:rPr>
              <w:b/>
            </w:rPr>
            <w:id w:val="1830936485"/>
            <w:placeholder>
              <w:docPart w:val="4517686EBB5D45CF880DEF75409BD596"/>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2E705D2B" w14:textId="50CFB397" w:rsidR="00FA563B" w:rsidRPr="006901A2" w:rsidRDefault="00FA563B" w:rsidP="00C33562">
                <w:pPr>
                  <w:pStyle w:val="Tablefont"/>
                  <w:keepNext/>
                  <w:keepLines/>
                  <w:spacing w:before="40" w:after="40"/>
                  <w:rPr>
                    <w:b/>
                  </w:rPr>
                </w:pPr>
                <w:r>
                  <w:rPr>
                    <w:b/>
                  </w:rPr>
                  <w:t>The chemical is not a non-threshold based genotoxic carcinogen.</w:t>
                </w:r>
              </w:p>
            </w:tc>
          </w:sdtContent>
        </w:sdt>
        <w:tc>
          <w:tcPr>
            <w:tcW w:w="2423" w:type="dxa"/>
            <w:vAlign w:val="center"/>
          </w:tcPr>
          <w:p w14:paraId="27B3119D" w14:textId="77777777" w:rsidR="00FA563B" w:rsidRDefault="00FA563B" w:rsidP="00C33562">
            <w:pPr>
              <w:pStyle w:val="Tablefont"/>
              <w:keepNext/>
              <w:keepLines/>
              <w:spacing w:before="40" w:after="40"/>
            </w:pPr>
          </w:p>
        </w:tc>
      </w:tr>
    </w:tbl>
    <w:bookmarkEnd w:id="2"/>
    <w:p w14:paraId="6B2103AD"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40385F9E" w14:textId="77777777" w:rsidTr="00812887">
        <w:trPr>
          <w:cantSplit/>
          <w:tblHeader/>
        </w:trPr>
        <w:tc>
          <w:tcPr>
            <w:tcW w:w="3227" w:type="dxa"/>
            <w:shd w:val="clear" w:color="auto" w:fill="BFBFBF" w:themeFill="background1" w:themeFillShade="BF"/>
            <w:vAlign w:val="center"/>
          </w:tcPr>
          <w:p w14:paraId="6C96EA33" w14:textId="77777777" w:rsidR="00687890" w:rsidRPr="004C23F4" w:rsidRDefault="00687890" w:rsidP="00263255">
            <w:pPr>
              <w:pStyle w:val="Tableheader"/>
            </w:pPr>
            <w:bookmarkStart w:id="3" w:name="Notations"/>
            <w:r w:rsidRPr="004C23F4">
              <w:t>Source</w:t>
            </w:r>
          </w:p>
        </w:tc>
        <w:tc>
          <w:tcPr>
            <w:tcW w:w="6015" w:type="dxa"/>
            <w:shd w:val="clear" w:color="auto" w:fill="BFBFBF" w:themeFill="background1" w:themeFillShade="BF"/>
            <w:vAlign w:val="center"/>
          </w:tcPr>
          <w:p w14:paraId="74A38529" w14:textId="77777777" w:rsidR="00687890" w:rsidRPr="004C23F4" w:rsidRDefault="00687890" w:rsidP="00F4402E">
            <w:pPr>
              <w:pStyle w:val="Tableheader"/>
              <w:tabs>
                <w:tab w:val="right" w:pos="5272"/>
              </w:tabs>
            </w:pPr>
            <w:r w:rsidRPr="004C23F4">
              <w:t>Notations</w:t>
            </w:r>
            <w:r w:rsidR="003A2B94">
              <w:tab/>
            </w:r>
          </w:p>
        </w:tc>
      </w:tr>
      <w:tr w:rsidR="00687890" w:rsidRPr="004C23F4" w14:paraId="46FE7F26" w14:textId="77777777" w:rsidTr="00812887">
        <w:trPr>
          <w:cantSplit/>
        </w:trPr>
        <w:tc>
          <w:tcPr>
            <w:tcW w:w="3227" w:type="dxa"/>
          </w:tcPr>
          <w:p w14:paraId="4DB915A0" w14:textId="77777777" w:rsidR="004079B4" w:rsidRPr="004C23F4" w:rsidRDefault="00084513" w:rsidP="00F4402E">
            <w:pPr>
              <w:pStyle w:val="Tablefont"/>
            </w:pPr>
            <w:r w:rsidRPr="004C23F4">
              <w:t>SWA</w:t>
            </w:r>
          </w:p>
        </w:tc>
        <w:tc>
          <w:tcPr>
            <w:tcW w:w="6015" w:type="dxa"/>
          </w:tcPr>
          <w:p w14:paraId="507F842C" w14:textId="77777777" w:rsidR="00687890" w:rsidRPr="00DD2F9B" w:rsidRDefault="000D25E6" w:rsidP="00DD2F9B">
            <w:pPr>
              <w:pStyle w:val="Tablefont"/>
            </w:pPr>
            <w:r>
              <w:t>—</w:t>
            </w:r>
          </w:p>
        </w:tc>
      </w:tr>
      <w:tr w:rsidR="007925F0" w:rsidRPr="004C23F4" w14:paraId="245CF542" w14:textId="77777777" w:rsidTr="00812887">
        <w:trPr>
          <w:cantSplit/>
        </w:trPr>
        <w:tc>
          <w:tcPr>
            <w:tcW w:w="3227" w:type="dxa"/>
          </w:tcPr>
          <w:p w14:paraId="2C60B59D" w14:textId="77777777" w:rsidR="004079B4" w:rsidRPr="004C23F4" w:rsidRDefault="007925F0" w:rsidP="00F4402E">
            <w:pPr>
              <w:pStyle w:val="Tablefont"/>
            </w:pPr>
            <w:r>
              <w:t>HCIS</w:t>
            </w:r>
          </w:p>
        </w:tc>
        <w:tc>
          <w:tcPr>
            <w:tcW w:w="6015" w:type="dxa"/>
          </w:tcPr>
          <w:p w14:paraId="15241597" w14:textId="77777777" w:rsidR="007925F0" w:rsidRPr="00DD2F9B" w:rsidRDefault="00C91F6D" w:rsidP="00DD2F9B">
            <w:pPr>
              <w:pStyle w:val="Tablefont"/>
            </w:pPr>
            <w:r>
              <w:t>NA</w:t>
            </w:r>
          </w:p>
        </w:tc>
      </w:tr>
      <w:tr w:rsidR="00AF483F" w:rsidRPr="004C23F4" w14:paraId="596B1E0E" w14:textId="77777777" w:rsidTr="00812887">
        <w:trPr>
          <w:cantSplit/>
        </w:trPr>
        <w:tc>
          <w:tcPr>
            <w:tcW w:w="3227" w:type="dxa"/>
          </w:tcPr>
          <w:p w14:paraId="1D39AFAF" w14:textId="77777777" w:rsidR="00AF483F" w:rsidRPr="004C23F4" w:rsidRDefault="00AF483F" w:rsidP="00F4402E">
            <w:pPr>
              <w:pStyle w:val="Tablefont"/>
            </w:pPr>
            <w:r>
              <w:t>NICNAS</w:t>
            </w:r>
          </w:p>
        </w:tc>
        <w:tc>
          <w:tcPr>
            <w:tcW w:w="6015" w:type="dxa"/>
          </w:tcPr>
          <w:p w14:paraId="491583B9" w14:textId="77777777" w:rsidR="00AF483F" w:rsidRPr="00DD2F9B" w:rsidRDefault="00705BD3" w:rsidP="00DD2F9B">
            <w:pPr>
              <w:pStyle w:val="Tablefont"/>
            </w:pPr>
            <w:r>
              <w:t>NA</w:t>
            </w:r>
          </w:p>
        </w:tc>
      </w:tr>
      <w:tr w:rsidR="00687890" w:rsidRPr="004C23F4" w14:paraId="76504D77" w14:textId="77777777" w:rsidTr="00812887">
        <w:trPr>
          <w:cantSplit/>
        </w:trPr>
        <w:tc>
          <w:tcPr>
            <w:tcW w:w="3227" w:type="dxa"/>
          </w:tcPr>
          <w:p w14:paraId="7D6CF4B8" w14:textId="77777777" w:rsidR="004079B4" w:rsidRPr="004C23F4" w:rsidRDefault="00687890" w:rsidP="00F4402E">
            <w:pPr>
              <w:pStyle w:val="Tablefont"/>
            </w:pPr>
            <w:r w:rsidRPr="004C23F4">
              <w:t>EU Annex</w:t>
            </w:r>
          </w:p>
        </w:tc>
        <w:tc>
          <w:tcPr>
            <w:tcW w:w="6015" w:type="dxa"/>
          </w:tcPr>
          <w:p w14:paraId="57F53DCA" w14:textId="77777777" w:rsidR="00687890" w:rsidRPr="00DD2F9B" w:rsidRDefault="00705BD3" w:rsidP="00DD2F9B">
            <w:pPr>
              <w:pStyle w:val="Tablefont"/>
            </w:pPr>
            <w:r>
              <w:t>NA</w:t>
            </w:r>
          </w:p>
        </w:tc>
      </w:tr>
      <w:tr w:rsidR="00E41A26" w:rsidRPr="004C23F4" w14:paraId="78041AE8" w14:textId="77777777" w:rsidTr="00812887">
        <w:trPr>
          <w:cantSplit/>
        </w:trPr>
        <w:tc>
          <w:tcPr>
            <w:tcW w:w="3227" w:type="dxa"/>
          </w:tcPr>
          <w:p w14:paraId="01B8BB55" w14:textId="77777777" w:rsidR="00E41A26" w:rsidRDefault="00E41A26" w:rsidP="00F4402E">
            <w:pPr>
              <w:pStyle w:val="Tablefont"/>
            </w:pPr>
            <w:r>
              <w:t>ECHA</w:t>
            </w:r>
          </w:p>
        </w:tc>
        <w:tc>
          <w:tcPr>
            <w:tcW w:w="6015" w:type="dxa"/>
          </w:tcPr>
          <w:p w14:paraId="26F74AFA" w14:textId="77777777" w:rsidR="00E41A26" w:rsidRPr="00DD2F9B" w:rsidRDefault="00705BD3" w:rsidP="00DD2F9B">
            <w:pPr>
              <w:pStyle w:val="Tablefont"/>
            </w:pPr>
            <w:r>
              <w:t>NA</w:t>
            </w:r>
          </w:p>
        </w:tc>
      </w:tr>
      <w:tr w:rsidR="002E0D61" w:rsidRPr="004C23F4" w14:paraId="4C12ED0F" w14:textId="77777777" w:rsidTr="00812887">
        <w:trPr>
          <w:cantSplit/>
        </w:trPr>
        <w:tc>
          <w:tcPr>
            <w:tcW w:w="3227" w:type="dxa"/>
          </w:tcPr>
          <w:p w14:paraId="50892F11" w14:textId="77777777" w:rsidR="004079B4" w:rsidRPr="004C23F4" w:rsidRDefault="002E0D61" w:rsidP="00F4402E">
            <w:pPr>
              <w:pStyle w:val="Tablefont"/>
            </w:pPr>
            <w:r>
              <w:t>ACGIH</w:t>
            </w:r>
          </w:p>
        </w:tc>
        <w:tc>
          <w:tcPr>
            <w:tcW w:w="6015" w:type="dxa"/>
          </w:tcPr>
          <w:p w14:paraId="39DF7186" w14:textId="77777777" w:rsidR="002E0D61" w:rsidRPr="00DD2F9B" w:rsidRDefault="000D25E6" w:rsidP="00DD2F9B">
            <w:pPr>
              <w:pStyle w:val="Tablefont"/>
            </w:pPr>
            <w:r>
              <w:t>—</w:t>
            </w:r>
          </w:p>
        </w:tc>
      </w:tr>
      <w:tr w:rsidR="002E0D61" w:rsidRPr="004C23F4" w14:paraId="35229611" w14:textId="77777777" w:rsidTr="00812887">
        <w:trPr>
          <w:cantSplit/>
        </w:trPr>
        <w:tc>
          <w:tcPr>
            <w:tcW w:w="3227" w:type="dxa"/>
          </w:tcPr>
          <w:p w14:paraId="0D1D27F4" w14:textId="77777777" w:rsidR="004079B4" w:rsidRPr="004C23F4" w:rsidRDefault="002E0D61" w:rsidP="00F4402E">
            <w:pPr>
              <w:pStyle w:val="Tablefont"/>
            </w:pPr>
            <w:r>
              <w:t>DFG</w:t>
            </w:r>
          </w:p>
        </w:tc>
        <w:tc>
          <w:tcPr>
            <w:tcW w:w="6015" w:type="dxa"/>
          </w:tcPr>
          <w:p w14:paraId="32926467" w14:textId="77777777" w:rsidR="002E0D61" w:rsidRPr="00DD2F9B" w:rsidRDefault="000D25E6" w:rsidP="00DD2F9B">
            <w:pPr>
              <w:pStyle w:val="Tablefont"/>
            </w:pPr>
            <w:r>
              <w:t>—</w:t>
            </w:r>
          </w:p>
        </w:tc>
      </w:tr>
      <w:tr w:rsidR="002E0D61" w:rsidRPr="004C23F4" w14:paraId="637DCA6C" w14:textId="77777777" w:rsidTr="00812887">
        <w:trPr>
          <w:cantSplit/>
        </w:trPr>
        <w:tc>
          <w:tcPr>
            <w:tcW w:w="3227" w:type="dxa"/>
          </w:tcPr>
          <w:p w14:paraId="0AE3CB11" w14:textId="77777777" w:rsidR="004079B4" w:rsidRPr="004C23F4" w:rsidRDefault="002E0D61" w:rsidP="00F4402E">
            <w:pPr>
              <w:pStyle w:val="Tablefont"/>
            </w:pPr>
            <w:r>
              <w:t>SCOEL</w:t>
            </w:r>
          </w:p>
        </w:tc>
        <w:tc>
          <w:tcPr>
            <w:tcW w:w="6015" w:type="dxa"/>
          </w:tcPr>
          <w:p w14:paraId="5FF20A30" w14:textId="77777777" w:rsidR="002E0D61" w:rsidRPr="00DD2F9B" w:rsidRDefault="00705BD3" w:rsidP="00DD2F9B">
            <w:pPr>
              <w:pStyle w:val="Tablefont"/>
            </w:pPr>
            <w:r>
              <w:t>NA</w:t>
            </w:r>
          </w:p>
        </w:tc>
      </w:tr>
      <w:tr w:rsidR="002E0D61" w:rsidRPr="004C23F4" w14:paraId="1F7BF504" w14:textId="77777777" w:rsidTr="00812887">
        <w:trPr>
          <w:cantSplit/>
        </w:trPr>
        <w:tc>
          <w:tcPr>
            <w:tcW w:w="3227" w:type="dxa"/>
          </w:tcPr>
          <w:p w14:paraId="6BCB7C28" w14:textId="77777777" w:rsidR="004079B4" w:rsidRDefault="002E0D61" w:rsidP="00F4402E">
            <w:pPr>
              <w:pStyle w:val="Tablefont"/>
            </w:pPr>
            <w:r>
              <w:t>HCOTN</w:t>
            </w:r>
          </w:p>
        </w:tc>
        <w:tc>
          <w:tcPr>
            <w:tcW w:w="6015" w:type="dxa"/>
          </w:tcPr>
          <w:p w14:paraId="7866EC16" w14:textId="77777777" w:rsidR="002E0D61" w:rsidRPr="00DD2F9B" w:rsidRDefault="000D25E6" w:rsidP="00DD2F9B">
            <w:pPr>
              <w:pStyle w:val="Tablefont"/>
            </w:pPr>
            <w:r>
              <w:t>—</w:t>
            </w:r>
          </w:p>
        </w:tc>
      </w:tr>
      <w:tr w:rsidR="00386093" w:rsidRPr="004C23F4" w14:paraId="152CAAB6" w14:textId="77777777" w:rsidTr="00812887">
        <w:trPr>
          <w:cantSplit/>
        </w:trPr>
        <w:tc>
          <w:tcPr>
            <w:tcW w:w="3227" w:type="dxa"/>
          </w:tcPr>
          <w:p w14:paraId="71735904" w14:textId="77777777" w:rsidR="004079B4" w:rsidRDefault="00386093" w:rsidP="00F4402E">
            <w:pPr>
              <w:pStyle w:val="Tablefont"/>
            </w:pPr>
            <w:r>
              <w:t>IARC</w:t>
            </w:r>
          </w:p>
        </w:tc>
        <w:tc>
          <w:tcPr>
            <w:tcW w:w="6015" w:type="dxa"/>
          </w:tcPr>
          <w:p w14:paraId="712AE1FD" w14:textId="77777777" w:rsidR="00386093" w:rsidRPr="00DD2F9B" w:rsidRDefault="00705BD3" w:rsidP="00DD2F9B">
            <w:pPr>
              <w:pStyle w:val="Tablefont"/>
            </w:pPr>
            <w:r>
              <w:t>NA</w:t>
            </w:r>
          </w:p>
        </w:tc>
      </w:tr>
      <w:tr w:rsidR="00386093" w:rsidRPr="004C23F4" w14:paraId="48179AF1" w14:textId="77777777" w:rsidTr="00812887">
        <w:trPr>
          <w:cantSplit/>
        </w:trPr>
        <w:tc>
          <w:tcPr>
            <w:tcW w:w="3227" w:type="dxa"/>
          </w:tcPr>
          <w:p w14:paraId="6D9DCF12" w14:textId="77777777" w:rsidR="004079B4" w:rsidRDefault="00386093" w:rsidP="00F4402E">
            <w:pPr>
              <w:pStyle w:val="Tablefont"/>
              <w:keepNext/>
            </w:pPr>
            <w:r>
              <w:t>US NIOSH</w:t>
            </w:r>
          </w:p>
        </w:tc>
        <w:tc>
          <w:tcPr>
            <w:tcW w:w="6015" w:type="dxa"/>
          </w:tcPr>
          <w:p w14:paraId="5A1DE644" w14:textId="77777777" w:rsidR="00386093" w:rsidRPr="00DD2F9B" w:rsidRDefault="00705BD3" w:rsidP="00D87570">
            <w:pPr>
              <w:pStyle w:val="Tablefont"/>
              <w:keepNext/>
            </w:pPr>
            <w:r>
              <w:t>NA</w:t>
            </w:r>
          </w:p>
        </w:tc>
      </w:tr>
    </w:tbl>
    <w:bookmarkEnd w:id="3"/>
    <w:p w14:paraId="4C9FDA07"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2B7C2D83"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2CF2B0FD" w14:textId="77777777" w:rsidTr="00EA6243">
        <w:trPr>
          <w:cantSplit/>
          <w:tblHeader/>
        </w:trPr>
        <w:tc>
          <w:tcPr>
            <w:tcW w:w="5000" w:type="pct"/>
            <w:shd w:val="clear" w:color="auto" w:fill="BFBFBF" w:themeFill="background1" w:themeFillShade="BF"/>
            <w:vAlign w:val="center"/>
          </w:tcPr>
          <w:p w14:paraId="55EAD4CD"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6DDD0833" w14:textId="77777777" w:rsidTr="00EA6243">
        <w:trPr>
          <w:cantSplit/>
          <w:tblHeader/>
        </w:trPr>
        <w:tc>
          <w:tcPr>
            <w:tcW w:w="5000" w:type="pct"/>
            <w:vAlign w:val="center"/>
          </w:tcPr>
          <w:tbl>
            <w:tblPr>
              <w:tblW w:w="8963" w:type="dxa"/>
              <w:tblLook w:val="04A0" w:firstRow="1" w:lastRow="0" w:firstColumn="1" w:lastColumn="0" w:noHBand="0" w:noVBand="1"/>
            </w:tblPr>
            <w:tblGrid>
              <w:gridCol w:w="3824"/>
              <w:gridCol w:w="1129"/>
              <w:gridCol w:w="1129"/>
              <w:gridCol w:w="1364"/>
              <w:gridCol w:w="1364"/>
            </w:tblGrid>
            <w:tr w:rsidR="00705BD3" w:rsidRPr="00705BD3" w14:paraId="2D5C3D40" w14:textId="77777777" w:rsidTr="00705BD3">
              <w:trPr>
                <w:trHeight w:val="358"/>
              </w:trPr>
              <w:tc>
                <w:tcPr>
                  <w:tcW w:w="3895" w:type="dxa"/>
                  <w:tcBorders>
                    <w:top w:val="nil"/>
                    <w:left w:val="nil"/>
                    <w:bottom w:val="nil"/>
                    <w:right w:val="nil"/>
                  </w:tcBorders>
                  <w:shd w:val="clear" w:color="000000" w:fill="C5D9F1"/>
                  <w:noWrap/>
                  <w:vAlign w:val="center"/>
                  <w:hideMark/>
                </w:tcPr>
                <w:p w14:paraId="757C9EB1" w14:textId="77777777" w:rsidR="00705BD3" w:rsidRPr="00705BD3" w:rsidRDefault="00705BD3" w:rsidP="00705BD3">
                  <w:pPr>
                    <w:spacing w:after="0" w:line="240" w:lineRule="auto"/>
                    <w:jc w:val="right"/>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Adverse effects in human case study:</w:t>
                  </w:r>
                </w:p>
              </w:tc>
              <w:tc>
                <w:tcPr>
                  <w:tcW w:w="1147" w:type="dxa"/>
                  <w:tcBorders>
                    <w:top w:val="nil"/>
                    <w:left w:val="nil"/>
                    <w:bottom w:val="nil"/>
                    <w:right w:val="nil"/>
                  </w:tcBorders>
                  <w:shd w:val="clear" w:color="000000" w:fill="FFEB9C"/>
                  <w:noWrap/>
                  <w:vAlign w:val="center"/>
                  <w:hideMark/>
                </w:tcPr>
                <w:p w14:paraId="48E0E2C3" w14:textId="77777777" w:rsidR="00705BD3" w:rsidRPr="00705BD3" w:rsidRDefault="00705BD3" w:rsidP="00705BD3">
                  <w:pPr>
                    <w:spacing w:after="0" w:line="240" w:lineRule="auto"/>
                    <w:jc w:val="center"/>
                    <w:rPr>
                      <w:rFonts w:ascii="Segoe UI" w:eastAsia="Times New Roman" w:hAnsi="Segoe UI" w:cs="Segoe UI"/>
                      <w:color w:val="9C6500"/>
                      <w:sz w:val="18"/>
                      <w:szCs w:val="18"/>
                      <w:lang w:eastAsia="en-AU"/>
                    </w:rPr>
                  </w:pPr>
                  <w:r w:rsidRPr="00705BD3">
                    <w:rPr>
                      <w:rFonts w:ascii="Segoe UI" w:eastAsia="Times New Roman" w:hAnsi="Segoe UI" w:cs="Segoe UI"/>
                      <w:color w:val="9C6500"/>
                      <w:sz w:val="18"/>
                      <w:szCs w:val="18"/>
                      <w:lang w:eastAsia="en-AU"/>
                    </w:rPr>
                    <w:t>yes</w:t>
                  </w:r>
                </w:p>
              </w:tc>
              <w:tc>
                <w:tcPr>
                  <w:tcW w:w="1147" w:type="dxa"/>
                  <w:tcBorders>
                    <w:top w:val="nil"/>
                    <w:left w:val="nil"/>
                    <w:bottom w:val="nil"/>
                    <w:right w:val="nil"/>
                  </w:tcBorders>
                  <w:shd w:val="clear" w:color="000000" w:fill="C5D9F1"/>
                  <w:noWrap/>
                  <w:vAlign w:val="center"/>
                  <w:hideMark/>
                </w:tcPr>
                <w:p w14:paraId="7668336B" w14:textId="77777777" w:rsidR="00705BD3" w:rsidRPr="00705BD3" w:rsidRDefault="00705BD3" w:rsidP="00705BD3">
                  <w:pPr>
                    <w:spacing w:after="0" w:line="240" w:lineRule="auto"/>
                    <w:jc w:val="right"/>
                    <w:rPr>
                      <w:rFonts w:ascii="Segoe UI" w:eastAsia="Times New Roman" w:hAnsi="Segoe UI" w:cs="Segoe UI"/>
                      <w:color w:val="C5D9F1"/>
                      <w:sz w:val="18"/>
                      <w:szCs w:val="18"/>
                      <w:lang w:eastAsia="en-AU"/>
                    </w:rPr>
                  </w:pPr>
                  <w:r w:rsidRPr="00705BD3">
                    <w:rPr>
                      <w:rFonts w:ascii="Segoe UI" w:eastAsia="Times New Roman" w:hAnsi="Segoe UI" w:cs="Segoe UI"/>
                      <w:color w:val="C5D9F1"/>
                      <w:sz w:val="18"/>
                      <w:szCs w:val="18"/>
                      <w:lang w:eastAsia="en-AU"/>
                    </w:rPr>
                    <w:t>4.00</w:t>
                  </w:r>
                </w:p>
              </w:tc>
              <w:tc>
                <w:tcPr>
                  <w:tcW w:w="1387" w:type="dxa"/>
                  <w:tcBorders>
                    <w:top w:val="nil"/>
                    <w:left w:val="nil"/>
                    <w:bottom w:val="nil"/>
                    <w:right w:val="nil"/>
                  </w:tcBorders>
                  <w:shd w:val="clear" w:color="000000" w:fill="C5D9F1"/>
                  <w:noWrap/>
                  <w:vAlign w:val="center"/>
                  <w:hideMark/>
                </w:tcPr>
                <w:p w14:paraId="1689953F"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387" w:type="dxa"/>
                  <w:tcBorders>
                    <w:top w:val="nil"/>
                    <w:left w:val="nil"/>
                    <w:bottom w:val="nil"/>
                    <w:right w:val="nil"/>
                  </w:tcBorders>
                  <w:shd w:val="clear" w:color="000000" w:fill="C5D9F1"/>
                  <w:noWrap/>
                  <w:vAlign w:val="center"/>
                  <w:hideMark/>
                </w:tcPr>
                <w:p w14:paraId="372F51A7"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r>
            <w:tr w:rsidR="00705BD3" w:rsidRPr="00705BD3" w14:paraId="0F09C251" w14:textId="77777777" w:rsidTr="00705BD3">
              <w:trPr>
                <w:trHeight w:val="358"/>
              </w:trPr>
              <w:tc>
                <w:tcPr>
                  <w:tcW w:w="3895" w:type="dxa"/>
                  <w:tcBorders>
                    <w:top w:val="nil"/>
                    <w:left w:val="nil"/>
                    <w:bottom w:val="nil"/>
                    <w:right w:val="nil"/>
                  </w:tcBorders>
                  <w:shd w:val="clear" w:color="000000" w:fill="C5D9F1"/>
                  <w:noWrap/>
                  <w:vAlign w:val="center"/>
                  <w:hideMark/>
                </w:tcPr>
                <w:p w14:paraId="46A681F6" w14:textId="77777777" w:rsidR="00705BD3" w:rsidRPr="00705BD3" w:rsidRDefault="00705BD3" w:rsidP="00705BD3">
                  <w:pPr>
                    <w:spacing w:after="0" w:line="240" w:lineRule="auto"/>
                    <w:jc w:val="right"/>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Dermal LD</w:t>
                  </w:r>
                  <w:r w:rsidRPr="00705BD3">
                    <w:rPr>
                      <w:rFonts w:ascii="Segoe UI" w:eastAsia="Times New Roman" w:hAnsi="Segoe UI" w:cs="Segoe UI"/>
                      <w:color w:val="000000"/>
                      <w:sz w:val="18"/>
                      <w:szCs w:val="18"/>
                      <w:vertAlign w:val="subscript"/>
                      <w:lang w:eastAsia="en-AU"/>
                    </w:rPr>
                    <w:t>50</w:t>
                  </w:r>
                  <w:r w:rsidRPr="00705BD3">
                    <w:rPr>
                      <w:rFonts w:ascii="Segoe UI" w:eastAsia="Times New Roman" w:hAnsi="Segoe UI" w:cs="Segoe UI"/>
                      <w:color w:val="000000"/>
                      <w:sz w:val="18"/>
                      <w:szCs w:val="18"/>
                      <w:lang w:eastAsia="en-AU"/>
                    </w:rPr>
                    <w:t xml:space="preserve"> ≤1000 mg/kg:</w:t>
                  </w:r>
                </w:p>
              </w:tc>
              <w:tc>
                <w:tcPr>
                  <w:tcW w:w="1147" w:type="dxa"/>
                  <w:tcBorders>
                    <w:top w:val="nil"/>
                    <w:left w:val="nil"/>
                    <w:bottom w:val="nil"/>
                    <w:right w:val="nil"/>
                  </w:tcBorders>
                  <w:shd w:val="clear" w:color="000000" w:fill="C5D9F1"/>
                  <w:noWrap/>
                  <w:vAlign w:val="center"/>
                  <w:hideMark/>
                </w:tcPr>
                <w:p w14:paraId="7CD49FAB" w14:textId="77777777" w:rsidR="00705BD3" w:rsidRPr="00705BD3" w:rsidRDefault="00705BD3" w:rsidP="00705BD3">
                  <w:pPr>
                    <w:spacing w:after="0" w:line="240" w:lineRule="auto"/>
                    <w:jc w:val="center"/>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147" w:type="dxa"/>
                  <w:tcBorders>
                    <w:top w:val="nil"/>
                    <w:left w:val="nil"/>
                    <w:bottom w:val="nil"/>
                    <w:right w:val="nil"/>
                  </w:tcBorders>
                  <w:shd w:val="clear" w:color="000000" w:fill="C5D9F1"/>
                  <w:noWrap/>
                  <w:vAlign w:val="center"/>
                  <w:hideMark/>
                </w:tcPr>
                <w:p w14:paraId="03FE5325" w14:textId="77777777" w:rsidR="00705BD3" w:rsidRPr="00705BD3" w:rsidRDefault="00705BD3" w:rsidP="00705BD3">
                  <w:pPr>
                    <w:spacing w:after="0" w:line="240" w:lineRule="auto"/>
                    <w:rPr>
                      <w:rFonts w:ascii="Segoe UI" w:eastAsia="Times New Roman" w:hAnsi="Segoe UI" w:cs="Segoe UI"/>
                      <w:color w:val="C5D9F1"/>
                      <w:sz w:val="18"/>
                      <w:szCs w:val="18"/>
                      <w:lang w:eastAsia="en-AU"/>
                    </w:rPr>
                  </w:pPr>
                  <w:r w:rsidRPr="00705BD3">
                    <w:rPr>
                      <w:rFonts w:ascii="Segoe UI" w:eastAsia="Times New Roman" w:hAnsi="Segoe UI" w:cs="Segoe UI"/>
                      <w:color w:val="C5D9F1"/>
                      <w:sz w:val="18"/>
                      <w:szCs w:val="18"/>
                      <w:lang w:eastAsia="en-AU"/>
                    </w:rPr>
                    <w:t> </w:t>
                  </w:r>
                </w:p>
              </w:tc>
              <w:tc>
                <w:tcPr>
                  <w:tcW w:w="1387" w:type="dxa"/>
                  <w:tcBorders>
                    <w:top w:val="nil"/>
                    <w:left w:val="nil"/>
                    <w:bottom w:val="nil"/>
                    <w:right w:val="nil"/>
                  </w:tcBorders>
                  <w:shd w:val="clear" w:color="000000" w:fill="C5D9F1"/>
                  <w:noWrap/>
                  <w:vAlign w:val="center"/>
                  <w:hideMark/>
                </w:tcPr>
                <w:p w14:paraId="4EC854D5"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387" w:type="dxa"/>
                  <w:tcBorders>
                    <w:top w:val="nil"/>
                    <w:left w:val="nil"/>
                    <w:bottom w:val="nil"/>
                    <w:right w:val="nil"/>
                  </w:tcBorders>
                  <w:shd w:val="clear" w:color="000000" w:fill="C5D9F1"/>
                  <w:noWrap/>
                  <w:vAlign w:val="center"/>
                  <w:hideMark/>
                </w:tcPr>
                <w:p w14:paraId="766B5787"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r>
            <w:tr w:rsidR="00705BD3" w:rsidRPr="00705BD3" w14:paraId="096DBE39" w14:textId="77777777" w:rsidTr="00705BD3">
              <w:trPr>
                <w:trHeight w:val="358"/>
              </w:trPr>
              <w:tc>
                <w:tcPr>
                  <w:tcW w:w="3895" w:type="dxa"/>
                  <w:tcBorders>
                    <w:top w:val="nil"/>
                    <w:left w:val="nil"/>
                    <w:bottom w:val="nil"/>
                    <w:right w:val="nil"/>
                  </w:tcBorders>
                  <w:shd w:val="clear" w:color="000000" w:fill="C5D9F1"/>
                  <w:noWrap/>
                  <w:vAlign w:val="center"/>
                  <w:hideMark/>
                </w:tcPr>
                <w:p w14:paraId="0470630A" w14:textId="77777777" w:rsidR="00705BD3" w:rsidRPr="00705BD3" w:rsidRDefault="00705BD3" w:rsidP="00705BD3">
                  <w:pPr>
                    <w:spacing w:after="0" w:line="240" w:lineRule="auto"/>
                    <w:jc w:val="right"/>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Dermal repeat-dose NOAEL ≤200 mg/kg:</w:t>
                  </w:r>
                </w:p>
              </w:tc>
              <w:tc>
                <w:tcPr>
                  <w:tcW w:w="1147" w:type="dxa"/>
                  <w:tcBorders>
                    <w:top w:val="nil"/>
                    <w:left w:val="nil"/>
                    <w:bottom w:val="nil"/>
                    <w:right w:val="nil"/>
                  </w:tcBorders>
                  <w:shd w:val="clear" w:color="000000" w:fill="C5D9F1"/>
                  <w:noWrap/>
                  <w:vAlign w:val="center"/>
                  <w:hideMark/>
                </w:tcPr>
                <w:p w14:paraId="6694204A" w14:textId="77777777" w:rsidR="00705BD3" w:rsidRPr="00705BD3" w:rsidRDefault="00705BD3" w:rsidP="00705BD3">
                  <w:pPr>
                    <w:spacing w:after="0" w:line="240" w:lineRule="auto"/>
                    <w:jc w:val="center"/>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147" w:type="dxa"/>
                  <w:tcBorders>
                    <w:top w:val="nil"/>
                    <w:left w:val="nil"/>
                    <w:bottom w:val="nil"/>
                    <w:right w:val="nil"/>
                  </w:tcBorders>
                  <w:shd w:val="clear" w:color="000000" w:fill="C5D9F1"/>
                  <w:noWrap/>
                  <w:vAlign w:val="center"/>
                  <w:hideMark/>
                </w:tcPr>
                <w:p w14:paraId="5BA7B6C9" w14:textId="77777777" w:rsidR="00705BD3" w:rsidRPr="00705BD3" w:rsidRDefault="00705BD3" w:rsidP="00705BD3">
                  <w:pPr>
                    <w:spacing w:after="0" w:line="240" w:lineRule="auto"/>
                    <w:rPr>
                      <w:rFonts w:ascii="Segoe UI" w:eastAsia="Times New Roman" w:hAnsi="Segoe UI" w:cs="Segoe UI"/>
                      <w:color w:val="C5D9F1"/>
                      <w:sz w:val="18"/>
                      <w:szCs w:val="18"/>
                      <w:lang w:eastAsia="en-AU"/>
                    </w:rPr>
                  </w:pPr>
                  <w:r w:rsidRPr="00705BD3">
                    <w:rPr>
                      <w:rFonts w:ascii="Segoe UI" w:eastAsia="Times New Roman" w:hAnsi="Segoe UI" w:cs="Segoe UI"/>
                      <w:color w:val="C5D9F1"/>
                      <w:sz w:val="18"/>
                      <w:szCs w:val="18"/>
                      <w:lang w:eastAsia="en-AU"/>
                    </w:rPr>
                    <w:t> </w:t>
                  </w:r>
                </w:p>
              </w:tc>
              <w:tc>
                <w:tcPr>
                  <w:tcW w:w="1387" w:type="dxa"/>
                  <w:tcBorders>
                    <w:top w:val="nil"/>
                    <w:left w:val="nil"/>
                    <w:bottom w:val="nil"/>
                    <w:right w:val="nil"/>
                  </w:tcBorders>
                  <w:shd w:val="clear" w:color="000000" w:fill="C5D9F1"/>
                  <w:noWrap/>
                  <w:vAlign w:val="center"/>
                  <w:hideMark/>
                </w:tcPr>
                <w:p w14:paraId="4C1C192E"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387" w:type="dxa"/>
                  <w:tcBorders>
                    <w:top w:val="nil"/>
                    <w:left w:val="nil"/>
                    <w:bottom w:val="nil"/>
                    <w:right w:val="nil"/>
                  </w:tcBorders>
                  <w:shd w:val="clear" w:color="000000" w:fill="C5D9F1"/>
                  <w:noWrap/>
                  <w:vAlign w:val="center"/>
                  <w:hideMark/>
                </w:tcPr>
                <w:p w14:paraId="6CFEE395"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r>
            <w:tr w:rsidR="00705BD3" w:rsidRPr="00705BD3" w14:paraId="08BA9885" w14:textId="77777777" w:rsidTr="00705BD3">
              <w:trPr>
                <w:trHeight w:val="358"/>
              </w:trPr>
              <w:tc>
                <w:tcPr>
                  <w:tcW w:w="3895" w:type="dxa"/>
                  <w:tcBorders>
                    <w:top w:val="nil"/>
                    <w:left w:val="nil"/>
                    <w:bottom w:val="nil"/>
                    <w:right w:val="nil"/>
                  </w:tcBorders>
                  <w:shd w:val="clear" w:color="000000" w:fill="C5D9F1"/>
                  <w:noWrap/>
                  <w:vAlign w:val="center"/>
                  <w:hideMark/>
                </w:tcPr>
                <w:p w14:paraId="5227442F" w14:textId="77777777" w:rsidR="00705BD3" w:rsidRPr="00705BD3" w:rsidRDefault="00705BD3" w:rsidP="00705BD3">
                  <w:pPr>
                    <w:spacing w:after="0" w:line="240" w:lineRule="auto"/>
                    <w:jc w:val="right"/>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Dermal LD</w:t>
                  </w:r>
                  <w:r w:rsidRPr="00705BD3">
                    <w:rPr>
                      <w:rFonts w:ascii="Segoe UI" w:eastAsia="Times New Roman" w:hAnsi="Segoe UI" w:cs="Segoe UI"/>
                      <w:color w:val="000000"/>
                      <w:sz w:val="18"/>
                      <w:szCs w:val="18"/>
                      <w:vertAlign w:val="subscript"/>
                      <w:lang w:eastAsia="en-AU"/>
                    </w:rPr>
                    <w:t>50</w:t>
                  </w:r>
                  <w:r w:rsidRPr="00705BD3">
                    <w:rPr>
                      <w:rFonts w:ascii="Segoe UI" w:eastAsia="Times New Roman" w:hAnsi="Segoe UI" w:cs="Segoe UI"/>
                      <w:color w:val="000000"/>
                      <w:sz w:val="18"/>
                      <w:szCs w:val="18"/>
                      <w:lang w:eastAsia="en-AU"/>
                    </w:rPr>
                    <w:t>/Inhalation LD</w:t>
                  </w:r>
                  <w:r w:rsidRPr="00705BD3">
                    <w:rPr>
                      <w:rFonts w:ascii="Segoe UI" w:eastAsia="Times New Roman" w:hAnsi="Segoe UI" w:cs="Segoe UI"/>
                      <w:color w:val="000000"/>
                      <w:sz w:val="18"/>
                      <w:szCs w:val="18"/>
                      <w:vertAlign w:val="subscript"/>
                      <w:lang w:eastAsia="en-AU"/>
                    </w:rPr>
                    <w:t>50</w:t>
                  </w:r>
                  <w:r w:rsidRPr="00705BD3">
                    <w:rPr>
                      <w:rFonts w:ascii="Segoe UI" w:eastAsia="Times New Roman" w:hAnsi="Segoe UI" w:cs="Segoe UI"/>
                      <w:color w:val="000000"/>
                      <w:sz w:val="18"/>
                      <w:szCs w:val="18"/>
                      <w:lang w:eastAsia="en-AU"/>
                    </w:rPr>
                    <w:t xml:space="preserve"> &lt;10:</w:t>
                  </w:r>
                </w:p>
              </w:tc>
              <w:tc>
                <w:tcPr>
                  <w:tcW w:w="1147" w:type="dxa"/>
                  <w:tcBorders>
                    <w:top w:val="nil"/>
                    <w:left w:val="nil"/>
                    <w:bottom w:val="nil"/>
                    <w:right w:val="nil"/>
                  </w:tcBorders>
                  <w:shd w:val="clear" w:color="000000" w:fill="C5D9F1"/>
                  <w:noWrap/>
                  <w:vAlign w:val="center"/>
                  <w:hideMark/>
                </w:tcPr>
                <w:p w14:paraId="476F90BF" w14:textId="77777777" w:rsidR="00705BD3" w:rsidRPr="00705BD3" w:rsidRDefault="00705BD3" w:rsidP="00705BD3">
                  <w:pPr>
                    <w:spacing w:after="0" w:line="240" w:lineRule="auto"/>
                    <w:jc w:val="center"/>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147" w:type="dxa"/>
                  <w:tcBorders>
                    <w:top w:val="nil"/>
                    <w:left w:val="nil"/>
                    <w:bottom w:val="nil"/>
                    <w:right w:val="nil"/>
                  </w:tcBorders>
                  <w:shd w:val="clear" w:color="000000" w:fill="C5D9F1"/>
                  <w:noWrap/>
                  <w:vAlign w:val="center"/>
                  <w:hideMark/>
                </w:tcPr>
                <w:p w14:paraId="1E10C8C7" w14:textId="77777777" w:rsidR="00705BD3" w:rsidRPr="00705BD3" w:rsidRDefault="00705BD3" w:rsidP="00705BD3">
                  <w:pPr>
                    <w:spacing w:after="0" w:line="240" w:lineRule="auto"/>
                    <w:rPr>
                      <w:rFonts w:ascii="Segoe UI" w:eastAsia="Times New Roman" w:hAnsi="Segoe UI" w:cs="Segoe UI"/>
                      <w:color w:val="C5D9F1"/>
                      <w:sz w:val="18"/>
                      <w:szCs w:val="18"/>
                      <w:lang w:eastAsia="en-AU"/>
                    </w:rPr>
                  </w:pPr>
                  <w:r w:rsidRPr="00705BD3">
                    <w:rPr>
                      <w:rFonts w:ascii="Segoe UI" w:eastAsia="Times New Roman" w:hAnsi="Segoe UI" w:cs="Segoe UI"/>
                      <w:color w:val="C5D9F1"/>
                      <w:sz w:val="18"/>
                      <w:szCs w:val="18"/>
                      <w:lang w:eastAsia="en-AU"/>
                    </w:rPr>
                    <w:t> </w:t>
                  </w:r>
                </w:p>
              </w:tc>
              <w:tc>
                <w:tcPr>
                  <w:tcW w:w="1387" w:type="dxa"/>
                  <w:tcBorders>
                    <w:top w:val="nil"/>
                    <w:left w:val="nil"/>
                    <w:bottom w:val="nil"/>
                    <w:right w:val="nil"/>
                  </w:tcBorders>
                  <w:shd w:val="clear" w:color="000000" w:fill="C5D9F1"/>
                  <w:noWrap/>
                  <w:vAlign w:val="center"/>
                  <w:hideMark/>
                </w:tcPr>
                <w:p w14:paraId="04F34886"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387" w:type="dxa"/>
                  <w:tcBorders>
                    <w:top w:val="nil"/>
                    <w:left w:val="nil"/>
                    <w:bottom w:val="nil"/>
                    <w:right w:val="nil"/>
                  </w:tcBorders>
                  <w:shd w:val="clear" w:color="000000" w:fill="C5D9F1"/>
                  <w:noWrap/>
                  <w:vAlign w:val="center"/>
                  <w:hideMark/>
                </w:tcPr>
                <w:p w14:paraId="0431E213"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r>
            <w:tr w:rsidR="00705BD3" w:rsidRPr="00705BD3" w14:paraId="77A23B24" w14:textId="77777777" w:rsidTr="00705BD3">
              <w:trPr>
                <w:trHeight w:val="358"/>
              </w:trPr>
              <w:tc>
                <w:tcPr>
                  <w:tcW w:w="3895" w:type="dxa"/>
                  <w:tcBorders>
                    <w:top w:val="nil"/>
                    <w:left w:val="nil"/>
                    <w:bottom w:val="nil"/>
                    <w:right w:val="nil"/>
                  </w:tcBorders>
                  <w:shd w:val="clear" w:color="000000" w:fill="C5D9F1"/>
                  <w:noWrap/>
                  <w:vAlign w:val="center"/>
                  <w:hideMark/>
                </w:tcPr>
                <w:p w14:paraId="7979E0D5" w14:textId="77777777" w:rsidR="00705BD3" w:rsidRPr="00705BD3" w:rsidRDefault="00705BD3" w:rsidP="00705BD3">
                  <w:pPr>
                    <w:spacing w:after="0" w:line="240" w:lineRule="auto"/>
                    <w:jc w:val="right"/>
                    <w:rPr>
                      <w:rFonts w:ascii="Segoe UI" w:eastAsia="Times New Roman" w:hAnsi="Segoe UI" w:cs="Segoe UI"/>
                      <w:i/>
                      <w:iCs/>
                      <w:color w:val="000000"/>
                      <w:sz w:val="18"/>
                      <w:szCs w:val="18"/>
                      <w:lang w:eastAsia="en-AU"/>
                    </w:rPr>
                  </w:pPr>
                  <w:r w:rsidRPr="00705BD3">
                    <w:rPr>
                      <w:rFonts w:ascii="Segoe UI" w:eastAsia="Times New Roman" w:hAnsi="Segoe UI" w:cs="Segoe UI"/>
                      <w:i/>
                      <w:iCs/>
                      <w:color w:val="000000"/>
                      <w:sz w:val="18"/>
                      <w:szCs w:val="18"/>
                      <w:lang w:eastAsia="en-AU"/>
                    </w:rPr>
                    <w:t>In vivo</w:t>
                  </w:r>
                  <w:r w:rsidRPr="00705BD3">
                    <w:rPr>
                      <w:rFonts w:ascii="Segoe UI" w:eastAsia="Times New Roman" w:hAnsi="Segoe UI" w:cs="Segoe UI"/>
                      <w:color w:val="000000"/>
                      <w:sz w:val="18"/>
                      <w:szCs w:val="18"/>
                      <w:lang w:eastAsia="en-AU"/>
                    </w:rPr>
                    <w:t xml:space="preserve"> dermal absorption rate &gt;10%:</w:t>
                  </w:r>
                </w:p>
              </w:tc>
              <w:tc>
                <w:tcPr>
                  <w:tcW w:w="1147" w:type="dxa"/>
                  <w:tcBorders>
                    <w:top w:val="nil"/>
                    <w:left w:val="nil"/>
                    <w:bottom w:val="nil"/>
                    <w:right w:val="nil"/>
                  </w:tcBorders>
                  <w:shd w:val="clear" w:color="000000" w:fill="C5D9F1"/>
                  <w:noWrap/>
                  <w:vAlign w:val="center"/>
                  <w:hideMark/>
                </w:tcPr>
                <w:p w14:paraId="53B34643" w14:textId="77777777" w:rsidR="00705BD3" w:rsidRPr="00705BD3" w:rsidRDefault="00705BD3" w:rsidP="00705BD3">
                  <w:pPr>
                    <w:spacing w:after="0" w:line="240" w:lineRule="auto"/>
                    <w:jc w:val="center"/>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147" w:type="dxa"/>
                  <w:tcBorders>
                    <w:top w:val="nil"/>
                    <w:left w:val="nil"/>
                    <w:bottom w:val="nil"/>
                    <w:right w:val="nil"/>
                  </w:tcBorders>
                  <w:shd w:val="clear" w:color="000000" w:fill="C5D9F1"/>
                  <w:noWrap/>
                  <w:vAlign w:val="center"/>
                  <w:hideMark/>
                </w:tcPr>
                <w:p w14:paraId="1F9B4DFC" w14:textId="77777777" w:rsidR="00705BD3" w:rsidRPr="00705BD3" w:rsidRDefault="00705BD3" w:rsidP="00705BD3">
                  <w:pPr>
                    <w:spacing w:after="0" w:line="240" w:lineRule="auto"/>
                    <w:rPr>
                      <w:rFonts w:ascii="Segoe UI" w:eastAsia="Times New Roman" w:hAnsi="Segoe UI" w:cs="Segoe UI"/>
                      <w:color w:val="C5D9F1"/>
                      <w:sz w:val="18"/>
                      <w:szCs w:val="18"/>
                      <w:lang w:eastAsia="en-AU"/>
                    </w:rPr>
                  </w:pPr>
                  <w:r w:rsidRPr="00705BD3">
                    <w:rPr>
                      <w:rFonts w:ascii="Segoe UI" w:eastAsia="Times New Roman" w:hAnsi="Segoe UI" w:cs="Segoe UI"/>
                      <w:color w:val="C5D9F1"/>
                      <w:sz w:val="18"/>
                      <w:szCs w:val="18"/>
                      <w:lang w:eastAsia="en-AU"/>
                    </w:rPr>
                    <w:t> </w:t>
                  </w:r>
                </w:p>
              </w:tc>
              <w:tc>
                <w:tcPr>
                  <w:tcW w:w="1387" w:type="dxa"/>
                  <w:tcBorders>
                    <w:top w:val="nil"/>
                    <w:left w:val="nil"/>
                    <w:bottom w:val="nil"/>
                    <w:right w:val="nil"/>
                  </w:tcBorders>
                  <w:shd w:val="clear" w:color="000000" w:fill="C5D9F1"/>
                  <w:noWrap/>
                  <w:vAlign w:val="center"/>
                  <w:hideMark/>
                </w:tcPr>
                <w:p w14:paraId="240B87A1"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387" w:type="dxa"/>
                  <w:tcBorders>
                    <w:top w:val="nil"/>
                    <w:left w:val="nil"/>
                    <w:bottom w:val="nil"/>
                    <w:right w:val="nil"/>
                  </w:tcBorders>
                  <w:shd w:val="clear" w:color="000000" w:fill="C5D9F1"/>
                  <w:noWrap/>
                  <w:vAlign w:val="center"/>
                  <w:hideMark/>
                </w:tcPr>
                <w:p w14:paraId="695EDF1D"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r>
            <w:tr w:rsidR="00705BD3" w:rsidRPr="00705BD3" w14:paraId="6CC6E1E1" w14:textId="77777777" w:rsidTr="00705BD3">
              <w:trPr>
                <w:trHeight w:val="358"/>
              </w:trPr>
              <w:tc>
                <w:tcPr>
                  <w:tcW w:w="3895" w:type="dxa"/>
                  <w:tcBorders>
                    <w:top w:val="nil"/>
                    <w:left w:val="nil"/>
                    <w:bottom w:val="nil"/>
                    <w:right w:val="nil"/>
                  </w:tcBorders>
                  <w:shd w:val="clear" w:color="000000" w:fill="C5D9F1"/>
                  <w:noWrap/>
                  <w:vAlign w:val="center"/>
                  <w:hideMark/>
                </w:tcPr>
                <w:p w14:paraId="25C3CB97" w14:textId="77777777" w:rsidR="00705BD3" w:rsidRPr="00705BD3" w:rsidRDefault="00705BD3" w:rsidP="00705BD3">
                  <w:pPr>
                    <w:spacing w:after="0" w:line="240" w:lineRule="auto"/>
                    <w:jc w:val="right"/>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Estimated dermal exposure at WES &gt;10%:</w:t>
                  </w:r>
                </w:p>
              </w:tc>
              <w:tc>
                <w:tcPr>
                  <w:tcW w:w="1147" w:type="dxa"/>
                  <w:tcBorders>
                    <w:top w:val="nil"/>
                    <w:left w:val="nil"/>
                    <w:bottom w:val="nil"/>
                    <w:right w:val="nil"/>
                  </w:tcBorders>
                  <w:shd w:val="clear" w:color="000000" w:fill="C5D9F1"/>
                  <w:noWrap/>
                  <w:vAlign w:val="center"/>
                  <w:hideMark/>
                </w:tcPr>
                <w:p w14:paraId="63662EE7" w14:textId="77777777" w:rsidR="00705BD3" w:rsidRPr="00705BD3" w:rsidRDefault="00705BD3" w:rsidP="00705BD3">
                  <w:pPr>
                    <w:spacing w:after="0" w:line="240" w:lineRule="auto"/>
                    <w:jc w:val="center"/>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147" w:type="dxa"/>
                  <w:tcBorders>
                    <w:top w:val="nil"/>
                    <w:left w:val="nil"/>
                    <w:bottom w:val="nil"/>
                    <w:right w:val="nil"/>
                  </w:tcBorders>
                  <w:shd w:val="clear" w:color="000000" w:fill="C5D9F1"/>
                  <w:noWrap/>
                  <w:vAlign w:val="center"/>
                  <w:hideMark/>
                </w:tcPr>
                <w:p w14:paraId="622245F5" w14:textId="77777777" w:rsidR="00705BD3" w:rsidRPr="00705BD3" w:rsidRDefault="00705BD3" w:rsidP="00705BD3">
                  <w:pPr>
                    <w:spacing w:after="0" w:line="240" w:lineRule="auto"/>
                    <w:rPr>
                      <w:rFonts w:ascii="Segoe UI" w:eastAsia="Times New Roman" w:hAnsi="Segoe UI" w:cs="Segoe UI"/>
                      <w:color w:val="C5D9F1"/>
                      <w:sz w:val="18"/>
                      <w:szCs w:val="18"/>
                      <w:lang w:eastAsia="en-AU"/>
                    </w:rPr>
                  </w:pPr>
                  <w:r w:rsidRPr="00705BD3">
                    <w:rPr>
                      <w:rFonts w:ascii="Segoe UI" w:eastAsia="Times New Roman" w:hAnsi="Segoe UI" w:cs="Segoe UI"/>
                      <w:color w:val="C5D9F1"/>
                      <w:sz w:val="18"/>
                      <w:szCs w:val="18"/>
                      <w:lang w:eastAsia="en-AU"/>
                    </w:rPr>
                    <w:t> </w:t>
                  </w:r>
                </w:p>
              </w:tc>
              <w:tc>
                <w:tcPr>
                  <w:tcW w:w="1387" w:type="dxa"/>
                  <w:tcBorders>
                    <w:top w:val="nil"/>
                    <w:left w:val="nil"/>
                    <w:bottom w:val="nil"/>
                    <w:right w:val="nil"/>
                  </w:tcBorders>
                  <w:shd w:val="clear" w:color="000000" w:fill="C5D9F1"/>
                  <w:noWrap/>
                  <w:vAlign w:val="center"/>
                  <w:hideMark/>
                </w:tcPr>
                <w:p w14:paraId="57E2B360"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387" w:type="dxa"/>
                  <w:tcBorders>
                    <w:top w:val="nil"/>
                    <w:left w:val="nil"/>
                    <w:bottom w:val="nil"/>
                    <w:right w:val="nil"/>
                  </w:tcBorders>
                  <w:shd w:val="clear" w:color="000000" w:fill="C5D9F1"/>
                  <w:noWrap/>
                  <w:vAlign w:val="center"/>
                  <w:hideMark/>
                </w:tcPr>
                <w:p w14:paraId="2F084EE1" w14:textId="77777777" w:rsidR="00705BD3" w:rsidRPr="00705BD3" w:rsidRDefault="00705BD3" w:rsidP="00705BD3">
                  <w:pPr>
                    <w:spacing w:after="0" w:line="240" w:lineRule="auto"/>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r>
            <w:tr w:rsidR="00705BD3" w:rsidRPr="00705BD3" w14:paraId="2665CC8A" w14:textId="77777777" w:rsidTr="00705BD3">
              <w:trPr>
                <w:trHeight w:val="358"/>
              </w:trPr>
              <w:tc>
                <w:tcPr>
                  <w:tcW w:w="3895" w:type="dxa"/>
                  <w:tcBorders>
                    <w:top w:val="nil"/>
                    <w:left w:val="nil"/>
                    <w:bottom w:val="nil"/>
                    <w:right w:val="nil"/>
                  </w:tcBorders>
                  <w:shd w:val="clear" w:color="000000" w:fill="C5D9F1"/>
                  <w:noWrap/>
                  <w:vAlign w:val="center"/>
                  <w:hideMark/>
                </w:tcPr>
                <w:p w14:paraId="24D47445" w14:textId="77777777" w:rsidR="00705BD3" w:rsidRPr="00705BD3" w:rsidRDefault="00705BD3" w:rsidP="00705BD3">
                  <w:pPr>
                    <w:spacing w:after="0" w:line="240" w:lineRule="auto"/>
                    <w:jc w:val="right"/>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147" w:type="dxa"/>
                  <w:tcBorders>
                    <w:top w:val="nil"/>
                    <w:left w:val="nil"/>
                    <w:bottom w:val="nil"/>
                    <w:right w:val="nil"/>
                  </w:tcBorders>
                  <w:shd w:val="clear" w:color="000000" w:fill="C5D9F1"/>
                  <w:noWrap/>
                  <w:vAlign w:val="center"/>
                  <w:hideMark/>
                </w:tcPr>
                <w:p w14:paraId="057D348A" w14:textId="77777777" w:rsidR="00705BD3" w:rsidRPr="00705BD3" w:rsidRDefault="00705BD3" w:rsidP="00705BD3">
                  <w:pPr>
                    <w:spacing w:after="0" w:line="240" w:lineRule="auto"/>
                    <w:jc w:val="center"/>
                    <w:rPr>
                      <w:rFonts w:ascii="Segoe UI" w:eastAsia="Times New Roman" w:hAnsi="Segoe UI" w:cs="Segoe UI"/>
                      <w:color w:val="000000"/>
                      <w:sz w:val="18"/>
                      <w:szCs w:val="18"/>
                      <w:lang w:eastAsia="en-AU"/>
                    </w:rPr>
                  </w:pPr>
                  <w:r w:rsidRPr="00705BD3">
                    <w:rPr>
                      <w:rFonts w:ascii="Segoe UI" w:eastAsia="Times New Roman" w:hAnsi="Segoe UI" w:cs="Segoe UI"/>
                      <w:color w:val="000000"/>
                      <w:sz w:val="18"/>
                      <w:szCs w:val="18"/>
                      <w:lang w:eastAsia="en-AU"/>
                    </w:rPr>
                    <w:t> </w:t>
                  </w:r>
                </w:p>
              </w:tc>
              <w:tc>
                <w:tcPr>
                  <w:tcW w:w="1147" w:type="dxa"/>
                  <w:tcBorders>
                    <w:top w:val="nil"/>
                    <w:left w:val="nil"/>
                    <w:bottom w:val="nil"/>
                    <w:right w:val="nil"/>
                  </w:tcBorders>
                  <w:shd w:val="clear" w:color="000000" w:fill="C5D9F1"/>
                  <w:noWrap/>
                  <w:vAlign w:val="center"/>
                  <w:hideMark/>
                </w:tcPr>
                <w:p w14:paraId="2F5551D3" w14:textId="77777777" w:rsidR="00705BD3" w:rsidRPr="00705BD3" w:rsidRDefault="00705BD3" w:rsidP="00705BD3">
                  <w:pPr>
                    <w:spacing w:after="0" w:line="240" w:lineRule="auto"/>
                    <w:rPr>
                      <w:rFonts w:ascii="Segoe UI" w:eastAsia="Times New Roman" w:hAnsi="Segoe UI" w:cs="Segoe UI"/>
                      <w:color w:val="C5D9F1"/>
                      <w:sz w:val="18"/>
                      <w:szCs w:val="18"/>
                      <w:lang w:eastAsia="en-AU"/>
                    </w:rPr>
                  </w:pPr>
                  <w:r w:rsidRPr="00705BD3">
                    <w:rPr>
                      <w:rFonts w:ascii="Segoe UI" w:eastAsia="Times New Roman" w:hAnsi="Segoe UI" w:cs="Segoe UI"/>
                      <w:color w:val="C5D9F1"/>
                      <w:sz w:val="18"/>
                      <w:szCs w:val="18"/>
                      <w:lang w:eastAsia="en-AU"/>
                    </w:rPr>
                    <w:t> </w:t>
                  </w:r>
                </w:p>
              </w:tc>
              <w:tc>
                <w:tcPr>
                  <w:tcW w:w="2774" w:type="dxa"/>
                  <w:gridSpan w:val="2"/>
                  <w:tcBorders>
                    <w:top w:val="nil"/>
                    <w:left w:val="nil"/>
                    <w:bottom w:val="nil"/>
                    <w:right w:val="nil"/>
                  </w:tcBorders>
                  <w:shd w:val="clear" w:color="000000" w:fill="C5D9F1"/>
                  <w:noWrap/>
                  <w:vAlign w:val="center"/>
                  <w:hideMark/>
                </w:tcPr>
                <w:p w14:paraId="7730CE43" w14:textId="77777777" w:rsidR="00705BD3" w:rsidRPr="00705BD3" w:rsidRDefault="00705BD3" w:rsidP="00705BD3">
                  <w:pPr>
                    <w:spacing w:after="0" w:line="240" w:lineRule="auto"/>
                    <w:rPr>
                      <w:rFonts w:ascii="Segoe UI" w:eastAsia="Times New Roman" w:hAnsi="Segoe UI" w:cs="Segoe UI"/>
                      <w:b/>
                      <w:bCs/>
                      <w:color w:val="000000"/>
                      <w:sz w:val="18"/>
                      <w:szCs w:val="18"/>
                      <w:lang w:eastAsia="en-AU"/>
                    </w:rPr>
                  </w:pPr>
                  <w:r w:rsidRPr="00705BD3">
                    <w:rPr>
                      <w:rFonts w:ascii="Segoe UI" w:eastAsia="Times New Roman" w:hAnsi="Segoe UI" w:cs="Segoe UI"/>
                      <w:b/>
                      <w:bCs/>
                      <w:color w:val="000000"/>
                      <w:sz w:val="18"/>
                      <w:szCs w:val="18"/>
                      <w:lang w:eastAsia="en-AU"/>
                    </w:rPr>
                    <w:t>a skin notation is warranted</w:t>
                  </w:r>
                </w:p>
              </w:tc>
            </w:tr>
          </w:tbl>
          <w:p w14:paraId="2A6488B3" w14:textId="77777777" w:rsidR="00932DCE" w:rsidRPr="004C23F4" w:rsidRDefault="00932DCE" w:rsidP="00F9496B">
            <w:pPr>
              <w:pStyle w:val="Tablefont"/>
            </w:pPr>
          </w:p>
        </w:tc>
      </w:tr>
    </w:tbl>
    <w:bookmarkEnd w:id="4"/>
    <w:p w14:paraId="5390902D"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2E0FE679" w14:textId="77777777" w:rsidTr="00610F2E">
        <w:trPr>
          <w:trHeight w:val="454"/>
          <w:tblHeader/>
        </w:trPr>
        <w:tc>
          <w:tcPr>
            <w:tcW w:w="4361" w:type="dxa"/>
            <w:vAlign w:val="center"/>
          </w:tcPr>
          <w:p w14:paraId="6BF7EDBB"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2168018B" w14:textId="77777777" w:rsidR="00EB3D1B" w:rsidRDefault="00705BD3" w:rsidP="00EB3D1B">
                <w:pPr>
                  <w:pStyle w:val="Tablefont"/>
                </w:pPr>
                <w:r>
                  <w:t>Yes</w:t>
                </w:r>
              </w:p>
            </w:tc>
          </w:sdtContent>
        </w:sdt>
      </w:tr>
    </w:tbl>
    <w:p w14:paraId="3309738B" w14:textId="77777777" w:rsidR="00687890" w:rsidRPr="004C23F4" w:rsidRDefault="00B479A9" w:rsidP="00474E33">
      <w:pPr>
        <w:pStyle w:val="Heading2"/>
      </w:pPr>
      <w:r w:rsidRPr="004C23F4">
        <w:lastRenderedPageBreak/>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189F405E" w14:textId="77777777" w:rsidTr="00EA6243">
        <w:trPr>
          <w:cantSplit/>
          <w:tblHeader/>
        </w:trPr>
        <w:tc>
          <w:tcPr>
            <w:tcW w:w="4077" w:type="dxa"/>
            <w:vAlign w:val="center"/>
          </w:tcPr>
          <w:p w14:paraId="0CA26F32"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E908085" w14:textId="77777777" w:rsidR="001B79E5" w:rsidRDefault="00625E9C" w:rsidP="001B79E5">
                <w:pPr>
                  <w:pStyle w:val="Tablefont"/>
                </w:pPr>
                <w:r>
                  <w:t>94.12</w:t>
                </w:r>
              </w:p>
            </w:tc>
          </w:sdtContent>
        </w:sdt>
      </w:tr>
      <w:tr w:rsidR="00A31D99" w:rsidRPr="004C23F4" w14:paraId="43A04F4B" w14:textId="77777777" w:rsidTr="00EA6243">
        <w:trPr>
          <w:cantSplit/>
          <w:tblHeader/>
        </w:trPr>
        <w:tc>
          <w:tcPr>
            <w:tcW w:w="4077" w:type="dxa"/>
            <w:vAlign w:val="center"/>
          </w:tcPr>
          <w:p w14:paraId="307505A7"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1466B7A7"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5A5B843D" w14:textId="77777777" w:rsidTr="00EA6243">
        <w:trPr>
          <w:cantSplit/>
          <w:tblHeader/>
        </w:trPr>
        <w:tc>
          <w:tcPr>
            <w:tcW w:w="4077" w:type="dxa"/>
            <w:vAlign w:val="center"/>
          </w:tcPr>
          <w:p w14:paraId="780ED0FA"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6B73F3C4"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4A08490F" w14:textId="77777777" w:rsidTr="00EA6243">
        <w:trPr>
          <w:cantSplit/>
        </w:trPr>
        <w:tc>
          <w:tcPr>
            <w:tcW w:w="4077" w:type="dxa"/>
            <w:vAlign w:val="center"/>
          </w:tcPr>
          <w:p w14:paraId="03ECF081"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33D33E42"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5572C4E0" w14:textId="77777777" w:rsidTr="00EA6243">
        <w:trPr>
          <w:cantSplit/>
        </w:trPr>
        <w:tc>
          <w:tcPr>
            <w:tcW w:w="4077" w:type="dxa"/>
            <w:vAlign w:val="center"/>
          </w:tcPr>
          <w:p w14:paraId="3AE7B18C"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65930D51"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0CFD0279" w14:textId="77777777" w:rsidTr="00EA6243">
        <w:trPr>
          <w:cantSplit/>
        </w:trPr>
        <w:tc>
          <w:tcPr>
            <w:tcW w:w="4077" w:type="dxa"/>
            <w:vAlign w:val="center"/>
          </w:tcPr>
          <w:p w14:paraId="2EF7A72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6DD484F1" w14:textId="77777777" w:rsidR="00E06F40" w:rsidRPr="00A006A0" w:rsidRDefault="00893862"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6154853E"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78D52531" w14:textId="77777777" w:rsidTr="00F053FA">
        <w:trPr>
          <w:tblHeader/>
        </w:trPr>
        <w:tc>
          <w:tcPr>
            <w:tcW w:w="4077" w:type="dxa"/>
            <w:shd w:val="clear" w:color="auto" w:fill="BFBFBF" w:themeFill="background1" w:themeFillShade="BF"/>
            <w:vAlign w:val="center"/>
          </w:tcPr>
          <w:p w14:paraId="02887897"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4886DCE5" w14:textId="77777777" w:rsidR="00224EE2" w:rsidRPr="004C23F4" w:rsidRDefault="00224EE2" w:rsidP="00EB3D1B">
            <w:pPr>
              <w:pStyle w:val="Tableheader"/>
              <w:keepNext/>
              <w:keepLines/>
            </w:pPr>
            <w:r>
              <w:t>Standard</w:t>
            </w:r>
          </w:p>
        </w:tc>
      </w:tr>
      <w:tr w:rsidR="007F1005" w:rsidRPr="004C23F4" w14:paraId="35BAE141" w14:textId="77777777" w:rsidTr="00F053FA">
        <w:trPr>
          <w:tblHeader/>
        </w:trPr>
        <w:sdt>
          <w:sdtPr>
            <w:id w:val="-25557549"/>
            <w:placeholder>
              <w:docPart w:val="2BF891C0AB704CDAB9BC6E80D556473F"/>
            </w:placeholder>
            <w:showingPlcHdr/>
            <w:text/>
          </w:sdtPr>
          <w:sdtEndPr/>
          <w:sdtContent>
            <w:tc>
              <w:tcPr>
                <w:tcW w:w="4077" w:type="dxa"/>
                <w:vAlign w:val="center"/>
              </w:tcPr>
              <w:p w14:paraId="2400BE24"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4B8B2FF0" w14:textId="77777777" w:rsidR="007F1005" w:rsidRPr="004C23F4" w:rsidRDefault="007F1005" w:rsidP="00EB3D1B">
            <w:pPr>
              <w:pStyle w:val="Tablefont"/>
              <w:keepLines/>
            </w:pPr>
          </w:p>
        </w:tc>
      </w:tr>
    </w:tbl>
    <w:bookmarkEnd w:id="5"/>
    <w:p w14:paraId="5D605700" w14:textId="77777777" w:rsidR="00F87D92" w:rsidRDefault="00F87D92" w:rsidP="00EF7F78">
      <w:pPr>
        <w:pStyle w:val="Heading2"/>
        <w:tabs>
          <w:tab w:val="right" w:pos="8505"/>
        </w:tabs>
      </w:pPr>
      <w:r>
        <w:t>References</w:t>
      </w:r>
      <w:r w:rsidR="00EF7F78">
        <w:tab/>
      </w:r>
    </w:p>
    <w:p w14:paraId="53F6736A"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3"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30B6903C" w14:textId="77777777" w:rsidR="00B81308" w:rsidRDefault="00B81308" w:rsidP="00084859">
      <w:r w:rsidRPr="002022B6">
        <w:t>Deutsche Forschungsgemeinschaft (DFG)</w:t>
      </w:r>
      <w:r>
        <w:t xml:space="preserve"> (2000) 2-Aminopyridine – MAK value documentation.</w:t>
      </w:r>
    </w:p>
    <w:p w14:paraId="66C828C2" w14:textId="77777777" w:rsidR="00B81308" w:rsidRDefault="00B81308" w:rsidP="00084859">
      <w:r w:rsidRPr="002022B6">
        <w:t>Health Council of the Netherlands</w:t>
      </w:r>
      <w:r>
        <w:t xml:space="preserve"> (HCOTN) (2002) 2-Aminopyridine</w:t>
      </w:r>
      <w:r w:rsidRPr="005F7416">
        <w:t xml:space="preserve">. Health-based calculated occupational cancer risk values. The Hague: Health Council of the Netherlands; publication no. </w:t>
      </w:r>
      <w:r>
        <w:t>2002/23</w:t>
      </w:r>
    </w:p>
    <w:p w14:paraId="27D087F3" w14:textId="77777777" w:rsidR="0032037E" w:rsidRPr="00351FE0" w:rsidRDefault="0032037E" w:rsidP="0032037E">
      <w:r w:rsidRPr="00A3629A">
        <w:t xml:space="preserve">US National Institute for Occupational Safety and Health (NIOSH) (1994) Immediately dangerous to life or health concentrations – </w:t>
      </w:r>
      <w:r>
        <w:t>2-Aminopyridine</w:t>
      </w:r>
    </w:p>
    <w:p w14:paraId="05FC3738" w14:textId="77777777" w:rsidR="0032037E" w:rsidRPr="00351FE0" w:rsidRDefault="0032037E" w:rsidP="00084859"/>
    <w:sectPr w:rsidR="0032037E" w:rsidRPr="00351FE0" w:rsidSect="00B87D4C">
      <w:headerReference w:type="default" r:id="rId14"/>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3A3A6" w16cid:durableId="20EC0A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F50F" w14:textId="77777777" w:rsidR="00D57BCB" w:rsidRDefault="00D57BCB" w:rsidP="00F43AD5">
      <w:pPr>
        <w:spacing w:after="0" w:line="240" w:lineRule="auto"/>
      </w:pPr>
      <w:r>
        <w:separator/>
      </w:r>
    </w:p>
  </w:endnote>
  <w:endnote w:type="continuationSeparator" w:id="0">
    <w:p w14:paraId="666E8B6C" w14:textId="77777777" w:rsidR="00D57BCB" w:rsidRDefault="00D57BCB"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2A85F7E6" w14:textId="77777777" w:rsidR="008A36CF" w:rsidRDefault="000A3BD2" w:rsidP="0034744C">
        <w:pPr>
          <w:pStyle w:val="Footer"/>
          <w:rPr>
            <w:sz w:val="18"/>
            <w:szCs w:val="18"/>
          </w:rPr>
        </w:pPr>
        <w:r w:rsidRPr="000A3BD2">
          <w:rPr>
            <w:b/>
            <w:sz w:val="18"/>
            <w:szCs w:val="18"/>
          </w:rPr>
          <w:t>2-Aminopyridine</w:t>
        </w:r>
        <w:r w:rsidR="008A36CF">
          <w:rPr>
            <w:b/>
            <w:sz w:val="18"/>
            <w:szCs w:val="18"/>
          </w:rPr>
          <w:t xml:space="preserve"> (</w:t>
        </w:r>
        <w:r>
          <w:rPr>
            <w:b/>
            <w:sz w:val="18"/>
            <w:szCs w:val="18"/>
          </w:rPr>
          <w:t>504-29-0</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7083F7B6" w14:textId="63AA85F9"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893862">
          <w:rPr>
            <w:noProof/>
            <w:sz w:val="18"/>
            <w:szCs w:val="18"/>
          </w:rPr>
          <w:t>3</w:t>
        </w:r>
        <w:r w:rsidRPr="00F43AD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5ABA" w14:textId="77777777" w:rsidR="00D57BCB" w:rsidRDefault="00D57BCB" w:rsidP="00F43AD5">
      <w:pPr>
        <w:spacing w:after="0" w:line="240" w:lineRule="auto"/>
      </w:pPr>
      <w:r>
        <w:separator/>
      </w:r>
    </w:p>
  </w:footnote>
  <w:footnote w:type="continuationSeparator" w:id="0">
    <w:p w14:paraId="5470B46E" w14:textId="77777777" w:rsidR="00D57BCB" w:rsidRDefault="00D57BCB"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40F4" w14:textId="77777777" w:rsidR="008A36CF" w:rsidRDefault="008A36CF" w:rsidP="00F43AD5">
    <w:pPr>
      <w:pStyle w:val="Header"/>
      <w:jc w:val="right"/>
    </w:pPr>
    <w:r>
      <w:rPr>
        <w:noProof/>
        <w:lang w:eastAsia="en-AU"/>
      </w:rPr>
      <w:drawing>
        <wp:inline distT="0" distB="0" distL="0" distR="0" wp14:anchorId="0AB9D87B" wp14:editId="16B2A600">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AF7F" w14:textId="77777777" w:rsidR="008A36CF" w:rsidRDefault="008A36CF" w:rsidP="00F43A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9AC0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938F7"/>
    <w:multiLevelType w:val="hybridMultilevel"/>
    <w:tmpl w:val="41221BAE"/>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20EA5"/>
    <w:rsid w:val="00032B88"/>
    <w:rsid w:val="00046DF5"/>
    <w:rsid w:val="00052060"/>
    <w:rsid w:val="0005574A"/>
    <w:rsid w:val="00055FE1"/>
    <w:rsid w:val="00056EC2"/>
    <w:rsid w:val="00060B48"/>
    <w:rsid w:val="0006304C"/>
    <w:rsid w:val="00067F32"/>
    <w:rsid w:val="00071807"/>
    <w:rsid w:val="000803E1"/>
    <w:rsid w:val="00084513"/>
    <w:rsid w:val="00084859"/>
    <w:rsid w:val="00092D94"/>
    <w:rsid w:val="000A3BD2"/>
    <w:rsid w:val="000B0868"/>
    <w:rsid w:val="000B3E12"/>
    <w:rsid w:val="000B3E78"/>
    <w:rsid w:val="000B7B48"/>
    <w:rsid w:val="000C096D"/>
    <w:rsid w:val="000C139A"/>
    <w:rsid w:val="000C2053"/>
    <w:rsid w:val="000C248C"/>
    <w:rsid w:val="000D25E6"/>
    <w:rsid w:val="000D291C"/>
    <w:rsid w:val="000E5A54"/>
    <w:rsid w:val="000E63D3"/>
    <w:rsid w:val="000E67CF"/>
    <w:rsid w:val="0010461E"/>
    <w:rsid w:val="00106FAA"/>
    <w:rsid w:val="00113443"/>
    <w:rsid w:val="001269A7"/>
    <w:rsid w:val="00131092"/>
    <w:rsid w:val="00140E6A"/>
    <w:rsid w:val="00146545"/>
    <w:rsid w:val="00146B75"/>
    <w:rsid w:val="0015266D"/>
    <w:rsid w:val="0015288A"/>
    <w:rsid w:val="00160F47"/>
    <w:rsid w:val="00177CA1"/>
    <w:rsid w:val="00183823"/>
    <w:rsid w:val="00183942"/>
    <w:rsid w:val="001A009E"/>
    <w:rsid w:val="001A1287"/>
    <w:rsid w:val="001A3859"/>
    <w:rsid w:val="001A3C9D"/>
    <w:rsid w:val="001A43F8"/>
    <w:rsid w:val="001B79E5"/>
    <w:rsid w:val="001D56F0"/>
    <w:rsid w:val="001D663B"/>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76494"/>
    <w:rsid w:val="00277B0C"/>
    <w:rsid w:val="002B1A2C"/>
    <w:rsid w:val="002C09A2"/>
    <w:rsid w:val="002C34F2"/>
    <w:rsid w:val="002C58FF"/>
    <w:rsid w:val="002C7AFE"/>
    <w:rsid w:val="002D05D2"/>
    <w:rsid w:val="002D634B"/>
    <w:rsid w:val="002E0D61"/>
    <w:rsid w:val="002E4C7B"/>
    <w:rsid w:val="002E76E1"/>
    <w:rsid w:val="0030740C"/>
    <w:rsid w:val="0030787F"/>
    <w:rsid w:val="00315833"/>
    <w:rsid w:val="0032037E"/>
    <w:rsid w:val="003215EE"/>
    <w:rsid w:val="003224BF"/>
    <w:rsid w:val="003241A8"/>
    <w:rsid w:val="003253F0"/>
    <w:rsid w:val="003337DA"/>
    <w:rsid w:val="00334EFB"/>
    <w:rsid w:val="00335CDE"/>
    <w:rsid w:val="003365A5"/>
    <w:rsid w:val="00347192"/>
    <w:rsid w:val="0034744C"/>
    <w:rsid w:val="00351FE0"/>
    <w:rsid w:val="00352615"/>
    <w:rsid w:val="0035412B"/>
    <w:rsid w:val="00354ACE"/>
    <w:rsid w:val="003567A8"/>
    <w:rsid w:val="00360266"/>
    <w:rsid w:val="00362895"/>
    <w:rsid w:val="00370DBF"/>
    <w:rsid w:val="00386093"/>
    <w:rsid w:val="003904A4"/>
    <w:rsid w:val="00391841"/>
    <w:rsid w:val="00391B6D"/>
    <w:rsid w:val="00394922"/>
    <w:rsid w:val="003A0E32"/>
    <w:rsid w:val="003A2B94"/>
    <w:rsid w:val="003B387D"/>
    <w:rsid w:val="003C0D58"/>
    <w:rsid w:val="003D4FA3"/>
    <w:rsid w:val="003E0807"/>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E44"/>
    <w:rsid w:val="004509E2"/>
    <w:rsid w:val="004515EE"/>
    <w:rsid w:val="004529F0"/>
    <w:rsid w:val="00460A03"/>
    <w:rsid w:val="00472A11"/>
    <w:rsid w:val="00472AAD"/>
    <w:rsid w:val="00474E33"/>
    <w:rsid w:val="00476803"/>
    <w:rsid w:val="00485BFD"/>
    <w:rsid w:val="004867A2"/>
    <w:rsid w:val="004873F2"/>
    <w:rsid w:val="00490D4C"/>
    <w:rsid w:val="00493A35"/>
    <w:rsid w:val="0049527A"/>
    <w:rsid w:val="004966BF"/>
    <w:rsid w:val="00497984"/>
    <w:rsid w:val="004A5088"/>
    <w:rsid w:val="004C1E3F"/>
    <w:rsid w:val="004C23F4"/>
    <w:rsid w:val="004C3475"/>
    <w:rsid w:val="004C58B6"/>
    <w:rsid w:val="004C76BA"/>
    <w:rsid w:val="004D16A3"/>
    <w:rsid w:val="004D4AA1"/>
    <w:rsid w:val="004D6D68"/>
    <w:rsid w:val="004E5EDD"/>
    <w:rsid w:val="004F448A"/>
    <w:rsid w:val="004F493D"/>
    <w:rsid w:val="004F65E8"/>
    <w:rsid w:val="0050005E"/>
    <w:rsid w:val="00502B88"/>
    <w:rsid w:val="005142C4"/>
    <w:rsid w:val="0051509C"/>
    <w:rsid w:val="005272E2"/>
    <w:rsid w:val="0053108F"/>
    <w:rsid w:val="00532B56"/>
    <w:rsid w:val="00534B10"/>
    <w:rsid w:val="00536C83"/>
    <w:rsid w:val="005446A2"/>
    <w:rsid w:val="00544D2F"/>
    <w:rsid w:val="00551BD8"/>
    <w:rsid w:val="00581055"/>
    <w:rsid w:val="00591E38"/>
    <w:rsid w:val="005A19C5"/>
    <w:rsid w:val="005A3034"/>
    <w:rsid w:val="005A462D"/>
    <w:rsid w:val="005B253B"/>
    <w:rsid w:val="005B771D"/>
    <w:rsid w:val="005C5D16"/>
    <w:rsid w:val="005D3193"/>
    <w:rsid w:val="005D4A6E"/>
    <w:rsid w:val="005E6979"/>
    <w:rsid w:val="005E75CB"/>
    <w:rsid w:val="006013C1"/>
    <w:rsid w:val="0060669E"/>
    <w:rsid w:val="00610F2E"/>
    <w:rsid w:val="00611399"/>
    <w:rsid w:val="00624C4E"/>
    <w:rsid w:val="00625200"/>
    <w:rsid w:val="00625E9C"/>
    <w:rsid w:val="006357D8"/>
    <w:rsid w:val="006363A8"/>
    <w:rsid w:val="00636DB7"/>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C21CD"/>
    <w:rsid w:val="006D79EA"/>
    <w:rsid w:val="006E5D05"/>
    <w:rsid w:val="00701053"/>
    <w:rsid w:val="00701507"/>
    <w:rsid w:val="00705BD3"/>
    <w:rsid w:val="00707FFD"/>
    <w:rsid w:val="00714021"/>
    <w:rsid w:val="00716A0F"/>
    <w:rsid w:val="00717D45"/>
    <w:rsid w:val="007208F7"/>
    <w:rsid w:val="007218AF"/>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E063C"/>
    <w:rsid w:val="007E2A4B"/>
    <w:rsid w:val="007E307D"/>
    <w:rsid w:val="007E6A4E"/>
    <w:rsid w:val="007E6C94"/>
    <w:rsid w:val="007F1005"/>
    <w:rsid w:val="007F25E0"/>
    <w:rsid w:val="007F5328"/>
    <w:rsid w:val="007F7D2B"/>
    <w:rsid w:val="00804F5A"/>
    <w:rsid w:val="00805839"/>
    <w:rsid w:val="00810C6D"/>
    <w:rsid w:val="00812887"/>
    <w:rsid w:val="00825C44"/>
    <w:rsid w:val="00826F21"/>
    <w:rsid w:val="00834CC8"/>
    <w:rsid w:val="00835E00"/>
    <w:rsid w:val="00837113"/>
    <w:rsid w:val="008414E4"/>
    <w:rsid w:val="00843E21"/>
    <w:rsid w:val="0084508E"/>
    <w:rsid w:val="00857A8A"/>
    <w:rsid w:val="008630EE"/>
    <w:rsid w:val="00864D13"/>
    <w:rsid w:val="00871CD5"/>
    <w:rsid w:val="008745A2"/>
    <w:rsid w:val="008768A8"/>
    <w:rsid w:val="00881CAD"/>
    <w:rsid w:val="0088798F"/>
    <w:rsid w:val="00887E4B"/>
    <w:rsid w:val="008915C8"/>
    <w:rsid w:val="00893862"/>
    <w:rsid w:val="008A36CF"/>
    <w:rsid w:val="008A3BC4"/>
    <w:rsid w:val="008B403C"/>
    <w:rsid w:val="008B7983"/>
    <w:rsid w:val="008C2511"/>
    <w:rsid w:val="008D026D"/>
    <w:rsid w:val="008D23AB"/>
    <w:rsid w:val="008D4B8B"/>
    <w:rsid w:val="008D537F"/>
    <w:rsid w:val="008D5A78"/>
    <w:rsid w:val="008D72CC"/>
    <w:rsid w:val="008E7B64"/>
    <w:rsid w:val="008F5DCD"/>
    <w:rsid w:val="00900951"/>
    <w:rsid w:val="009118A6"/>
    <w:rsid w:val="00915083"/>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53681"/>
    <w:rsid w:val="00A633D4"/>
    <w:rsid w:val="00A6461A"/>
    <w:rsid w:val="00A84504"/>
    <w:rsid w:val="00A8672F"/>
    <w:rsid w:val="00A93057"/>
    <w:rsid w:val="00A968B0"/>
    <w:rsid w:val="00AB2672"/>
    <w:rsid w:val="00AB2817"/>
    <w:rsid w:val="00AB43C4"/>
    <w:rsid w:val="00AC32E7"/>
    <w:rsid w:val="00AC3A9F"/>
    <w:rsid w:val="00AC6D2F"/>
    <w:rsid w:val="00AC755D"/>
    <w:rsid w:val="00AE2745"/>
    <w:rsid w:val="00AE2F64"/>
    <w:rsid w:val="00AF42CB"/>
    <w:rsid w:val="00AF483F"/>
    <w:rsid w:val="00AF5E07"/>
    <w:rsid w:val="00AF5F06"/>
    <w:rsid w:val="00B00A25"/>
    <w:rsid w:val="00B1422A"/>
    <w:rsid w:val="00B1765C"/>
    <w:rsid w:val="00B213C4"/>
    <w:rsid w:val="00B40C60"/>
    <w:rsid w:val="00B479A9"/>
    <w:rsid w:val="00B52EDF"/>
    <w:rsid w:val="00B71188"/>
    <w:rsid w:val="00B76A41"/>
    <w:rsid w:val="00B81308"/>
    <w:rsid w:val="00B87D4C"/>
    <w:rsid w:val="00B93646"/>
    <w:rsid w:val="00BA0B38"/>
    <w:rsid w:val="00BA1DBB"/>
    <w:rsid w:val="00BA4510"/>
    <w:rsid w:val="00BA529A"/>
    <w:rsid w:val="00BB612A"/>
    <w:rsid w:val="00BD499F"/>
    <w:rsid w:val="00BD56DE"/>
    <w:rsid w:val="00BF2406"/>
    <w:rsid w:val="00C16315"/>
    <w:rsid w:val="00C3091E"/>
    <w:rsid w:val="00C37EB7"/>
    <w:rsid w:val="00C40FF1"/>
    <w:rsid w:val="00C419E2"/>
    <w:rsid w:val="00C5020E"/>
    <w:rsid w:val="00C57452"/>
    <w:rsid w:val="00C61EDF"/>
    <w:rsid w:val="00C6239D"/>
    <w:rsid w:val="00C6594B"/>
    <w:rsid w:val="00C67FFB"/>
    <w:rsid w:val="00C7155E"/>
    <w:rsid w:val="00C71D1E"/>
    <w:rsid w:val="00C71D7D"/>
    <w:rsid w:val="00C74833"/>
    <w:rsid w:val="00C847F8"/>
    <w:rsid w:val="00C850A0"/>
    <w:rsid w:val="00C85A86"/>
    <w:rsid w:val="00C91F6D"/>
    <w:rsid w:val="00C978F0"/>
    <w:rsid w:val="00CA58FE"/>
    <w:rsid w:val="00CB1CB1"/>
    <w:rsid w:val="00CB6BC1"/>
    <w:rsid w:val="00CB6CB8"/>
    <w:rsid w:val="00CC1A68"/>
    <w:rsid w:val="00CC2123"/>
    <w:rsid w:val="00CD2BFD"/>
    <w:rsid w:val="00CE5AD6"/>
    <w:rsid w:val="00CE617F"/>
    <w:rsid w:val="00CE78EF"/>
    <w:rsid w:val="00D048F7"/>
    <w:rsid w:val="00D0517E"/>
    <w:rsid w:val="00D140FC"/>
    <w:rsid w:val="00D21D8C"/>
    <w:rsid w:val="00D31357"/>
    <w:rsid w:val="00D33220"/>
    <w:rsid w:val="00D334D1"/>
    <w:rsid w:val="00D44C89"/>
    <w:rsid w:val="00D516CD"/>
    <w:rsid w:val="00D57BCB"/>
    <w:rsid w:val="00D668E6"/>
    <w:rsid w:val="00D70670"/>
    <w:rsid w:val="00D74D80"/>
    <w:rsid w:val="00D76624"/>
    <w:rsid w:val="00D87570"/>
    <w:rsid w:val="00D91CB9"/>
    <w:rsid w:val="00D97989"/>
    <w:rsid w:val="00D97D8D"/>
    <w:rsid w:val="00DA352E"/>
    <w:rsid w:val="00DC7694"/>
    <w:rsid w:val="00DD1BF6"/>
    <w:rsid w:val="00DD2F9B"/>
    <w:rsid w:val="00DE2513"/>
    <w:rsid w:val="00DE26E8"/>
    <w:rsid w:val="00DF6F36"/>
    <w:rsid w:val="00E0084C"/>
    <w:rsid w:val="00E025AB"/>
    <w:rsid w:val="00E02B23"/>
    <w:rsid w:val="00E06F40"/>
    <w:rsid w:val="00E07CE8"/>
    <w:rsid w:val="00E10049"/>
    <w:rsid w:val="00E26A07"/>
    <w:rsid w:val="00E32595"/>
    <w:rsid w:val="00E32966"/>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66BC"/>
    <w:rsid w:val="00EF233A"/>
    <w:rsid w:val="00EF303E"/>
    <w:rsid w:val="00EF3A40"/>
    <w:rsid w:val="00EF7F78"/>
    <w:rsid w:val="00F01B08"/>
    <w:rsid w:val="00F01C4D"/>
    <w:rsid w:val="00F053FA"/>
    <w:rsid w:val="00F10C97"/>
    <w:rsid w:val="00F11C71"/>
    <w:rsid w:val="00F153BE"/>
    <w:rsid w:val="00F16019"/>
    <w:rsid w:val="00F20E68"/>
    <w:rsid w:val="00F22093"/>
    <w:rsid w:val="00F236DF"/>
    <w:rsid w:val="00F23CAA"/>
    <w:rsid w:val="00F43AD5"/>
    <w:rsid w:val="00F4402E"/>
    <w:rsid w:val="00F45883"/>
    <w:rsid w:val="00F56DD0"/>
    <w:rsid w:val="00F6491C"/>
    <w:rsid w:val="00F64BE3"/>
    <w:rsid w:val="00F67BBB"/>
    <w:rsid w:val="00F87D92"/>
    <w:rsid w:val="00F90AA7"/>
    <w:rsid w:val="00F92498"/>
    <w:rsid w:val="00F9496B"/>
    <w:rsid w:val="00F970C9"/>
    <w:rsid w:val="00FA06A8"/>
    <w:rsid w:val="00FA3DF5"/>
    <w:rsid w:val="00FA563B"/>
    <w:rsid w:val="00FA6436"/>
    <w:rsid w:val="00FA741F"/>
    <w:rsid w:val="00FB4E07"/>
    <w:rsid w:val="00FB755A"/>
    <w:rsid w:val="00FC60A2"/>
    <w:rsid w:val="00FD1871"/>
    <w:rsid w:val="00FD3110"/>
    <w:rsid w:val="00FE2B99"/>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C36CA"/>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C91F6D"/>
    <w:pPr>
      <w:numPr>
        <w:numId w:val="1"/>
      </w:numPr>
      <w:contextualSpacing/>
    </w:pPr>
  </w:style>
  <w:style w:type="character" w:styleId="CommentReference">
    <w:name w:val="annotation reference"/>
    <w:basedOn w:val="DefaultParagraphFont"/>
    <w:uiPriority w:val="99"/>
    <w:semiHidden/>
    <w:unhideWhenUsed/>
    <w:rsid w:val="008D72CC"/>
    <w:rPr>
      <w:sz w:val="16"/>
      <w:szCs w:val="16"/>
    </w:rPr>
  </w:style>
  <w:style w:type="paragraph" w:styleId="CommentText">
    <w:name w:val="annotation text"/>
    <w:basedOn w:val="Normal"/>
    <w:link w:val="CommentTextChar"/>
    <w:uiPriority w:val="99"/>
    <w:semiHidden/>
    <w:unhideWhenUsed/>
    <w:rsid w:val="008D72CC"/>
    <w:pPr>
      <w:spacing w:line="240" w:lineRule="auto"/>
    </w:pPr>
    <w:rPr>
      <w:szCs w:val="20"/>
    </w:rPr>
  </w:style>
  <w:style w:type="character" w:customStyle="1" w:styleId="CommentTextChar">
    <w:name w:val="Comment Text Char"/>
    <w:basedOn w:val="DefaultParagraphFont"/>
    <w:link w:val="CommentText"/>
    <w:uiPriority w:val="99"/>
    <w:semiHidden/>
    <w:rsid w:val="008D72CC"/>
    <w:rPr>
      <w:szCs w:val="20"/>
    </w:rPr>
  </w:style>
  <w:style w:type="paragraph" w:styleId="CommentSubject">
    <w:name w:val="annotation subject"/>
    <w:basedOn w:val="CommentText"/>
    <w:next w:val="CommentText"/>
    <w:link w:val="CommentSubjectChar"/>
    <w:uiPriority w:val="99"/>
    <w:semiHidden/>
    <w:unhideWhenUsed/>
    <w:rsid w:val="008D72CC"/>
    <w:rPr>
      <w:b/>
      <w:bCs/>
    </w:rPr>
  </w:style>
  <w:style w:type="character" w:customStyle="1" w:styleId="CommentSubjectChar">
    <w:name w:val="Comment Subject Char"/>
    <w:basedOn w:val="CommentTextChar"/>
    <w:link w:val="CommentSubject"/>
    <w:uiPriority w:val="99"/>
    <w:semiHidden/>
    <w:rsid w:val="008D72C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97850">
      <w:bodyDiv w:val="1"/>
      <w:marLeft w:val="0"/>
      <w:marRight w:val="0"/>
      <w:marTop w:val="0"/>
      <w:marBottom w:val="0"/>
      <w:divBdr>
        <w:top w:val="none" w:sz="0" w:space="0" w:color="auto"/>
        <w:left w:val="none" w:sz="0" w:space="0" w:color="auto"/>
        <w:bottom w:val="none" w:sz="0" w:space="0" w:color="auto"/>
        <w:right w:val="none" w:sz="0" w:space="0" w:color="auto"/>
      </w:divBdr>
    </w:div>
    <w:div w:id="1105155456">
      <w:bodyDiv w:val="1"/>
      <w:marLeft w:val="0"/>
      <w:marRight w:val="0"/>
      <w:marTop w:val="0"/>
      <w:marBottom w:val="0"/>
      <w:divBdr>
        <w:top w:val="none" w:sz="0" w:space="0" w:color="auto"/>
        <w:left w:val="none" w:sz="0" w:space="0" w:color="auto"/>
        <w:bottom w:val="none" w:sz="0" w:space="0" w:color="auto"/>
        <w:right w:val="none" w:sz="0" w:space="0" w:color="auto"/>
      </w:divBdr>
    </w:div>
    <w:div w:id="1200314726">
      <w:bodyDiv w:val="1"/>
      <w:marLeft w:val="0"/>
      <w:marRight w:val="0"/>
      <w:marTop w:val="0"/>
      <w:marBottom w:val="0"/>
      <w:divBdr>
        <w:top w:val="none" w:sz="0" w:space="0" w:color="auto"/>
        <w:left w:val="none" w:sz="0" w:space="0" w:color="auto"/>
        <w:bottom w:val="none" w:sz="0" w:space="0" w:color="auto"/>
        <w:right w:val="none" w:sz="0" w:space="0" w:color="auto"/>
      </w:divBdr>
    </w:div>
    <w:div w:id="15846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gih.org/tlv-bei-guidelines/policies-procedures-presentations"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C7866535C1E84B70A13A2D184294D149"/>
        <w:category>
          <w:name w:val="General"/>
          <w:gallery w:val="placeholder"/>
        </w:category>
        <w:types>
          <w:type w:val="bbPlcHdr"/>
        </w:types>
        <w:behaviors>
          <w:behavior w:val="content"/>
        </w:behaviors>
        <w:guid w:val="{4BA8233C-267B-4987-9ABB-950F32E92F81}"/>
      </w:docPartPr>
      <w:docPartBody>
        <w:p w:rsidR="00032840" w:rsidRDefault="00013E0B" w:rsidP="00013E0B">
          <w:pPr>
            <w:pStyle w:val="C7866535C1E84B70A13A2D184294D149"/>
          </w:pPr>
          <w:r w:rsidRPr="0051509C">
            <w:rPr>
              <w:rStyle w:val="PlaceholderText"/>
            </w:rPr>
            <w:t>Click here to enter standard</w:t>
          </w:r>
        </w:p>
      </w:docPartBody>
    </w:docPart>
    <w:docPart>
      <w:docPartPr>
        <w:name w:val="0409769BDEB6486998512527E81EA61C"/>
        <w:category>
          <w:name w:val="General"/>
          <w:gallery w:val="placeholder"/>
        </w:category>
        <w:types>
          <w:type w:val="bbPlcHdr"/>
        </w:types>
        <w:behaviors>
          <w:behavior w:val="content"/>
        </w:behaviors>
        <w:guid w:val="{B12443A7-41E2-4B4A-9A0B-0172C23B018D}"/>
      </w:docPartPr>
      <w:docPartBody>
        <w:p w:rsidR="00642F33" w:rsidRDefault="004138DA" w:rsidP="004138DA">
          <w:pPr>
            <w:pStyle w:val="0409769BDEB6486998512527E81EA61C"/>
          </w:pPr>
          <w:r w:rsidRPr="00F4402E">
            <w:rPr>
              <w:rStyle w:val="PlaceholderText"/>
              <w:color w:val="FFFFFF" w:themeColor="background1"/>
            </w:rPr>
            <w:t>Choose an item.</w:t>
          </w:r>
        </w:p>
      </w:docPartBody>
    </w:docPart>
    <w:docPart>
      <w:docPartPr>
        <w:name w:val="4517686EBB5D45CF880DEF75409BD596"/>
        <w:category>
          <w:name w:val="General"/>
          <w:gallery w:val="placeholder"/>
        </w:category>
        <w:types>
          <w:type w:val="bbPlcHdr"/>
        </w:types>
        <w:behaviors>
          <w:behavior w:val="content"/>
        </w:behaviors>
        <w:guid w:val="{2F844EB0-E742-414D-B642-BD55D30DB7A1}"/>
      </w:docPartPr>
      <w:docPartBody>
        <w:p w:rsidR="00642F33" w:rsidRDefault="004138DA" w:rsidP="004138DA">
          <w:pPr>
            <w:pStyle w:val="4517686EBB5D45CF880DEF75409BD596"/>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13E0B"/>
    <w:rsid w:val="00032840"/>
    <w:rsid w:val="004138DA"/>
    <w:rsid w:val="00475226"/>
    <w:rsid w:val="00642F33"/>
    <w:rsid w:val="00861128"/>
    <w:rsid w:val="009340EB"/>
    <w:rsid w:val="00BA2ECF"/>
    <w:rsid w:val="00D21A9F"/>
    <w:rsid w:val="00DC2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8DA"/>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C7866535C1E84B70A13A2D184294D149">
    <w:name w:val="C7866535C1E84B70A13A2D184294D149"/>
    <w:rsid w:val="00013E0B"/>
  </w:style>
  <w:style w:type="paragraph" w:customStyle="1" w:styleId="CA4C32131C3740EEADC29C03AA04D65D">
    <w:name w:val="CA4C32131C3740EEADC29C03AA04D65D"/>
    <w:rsid w:val="00861128"/>
  </w:style>
  <w:style w:type="paragraph" w:customStyle="1" w:styleId="C9863456D36947C5BBB02B16A7BF6879">
    <w:name w:val="C9863456D36947C5BBB02B16A7BF6879"/>
    <w:rsid w:val="00861128"/>
  </w:style>
  <w:style w:type="paragraph" w:customStyle="1" w:styleId="53CE0571DEAF409A9FE2FCD9513626A3">
    <w:name w:val="53CE0571DEAF409A9FE2FCD9513626A3"/>
    <w:rsid w:val="00861128"/>
  </w:style>
  <w:style w:type="paragraph" w:customStyle="1" w:styleId="51762DA4681442A1A78E157EE82FE567">
    <w:name w:val="51762DA4681442A1A78E157EE82FE567"/>
    <w:rsid w:val="00861128"/>
  </w:style>
  <w:style w:type="paragraph" w:customStyle="1" w:styleId="F25C8025130B4D41A35FAA8EDD41F9B9">
    <w:name w:val="F25C8025130B4D41A35FAA8EDD41F9B9"/>
    <w:rsid w:val="00861128"/>
  </w:style>
  <w:style w:type="paragraph" w:customStyle="1" w:styleId="799D2ED1FDA543F6AF8DB935FE04A7F7">
    <w:name w:val="799D2ED1FDA543F6AF8DB935FE04A7F7"/>
    <w:rsid w:val="004138DA"/>
  </w:style>
  <w:style w:type="paragraph" w:customStyle="1" w:styleId="0409769BDEB6486998512527E81EA61C">
    <w:name w:val="0409769BDEB6486998512527E81EA61C"/>
    <w:rsid w:val="004138DA"/>
  </w:style>
  <w:style w:type="paragraph" w:customStyle="1" w:styleId="2BB9DFAE66884E53BAD1CB0CB4CD023C">
    <w:name w:val="2BB9DFAE66884E53BAD1CB0CB4CD023C"/>
    <w:rsid w:val="004138DA"/>
  </w:style>
  <w:style w:type="paragraph" w:customStyle="1" w:styleId="4517686EBB5D45CF880DEF75409BD596">
    <w:name w:val="4517686EBB5D45CF880DEF75409BD596"/>
    <w:rsid w:val="004138DA"/>
  </w:style>
  <w:style w:type="paragraph" w:customStyle="1" w:styleId="DBF2909A80754B028C256E7E0DF41B88">
    <w:name w:val="DBF2909A80754B028C256E7E0DF41B88"/>
    <w:rsid w:val="00413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schemas.openxmlformats.org/package/2006/metadata/core-properties"/>
    <ds:schemaRef ds:uri="http://purl.org/dc/dcmitype/"/>
    <ds:schemaRef ds:uri="bf54d604-3e62-4e70-ba33-9e9084b96a66"/>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3.xml><?xml version="1.0" encoding="utf-8"?>
<ds:datastoreItem xmlns:ds="http://schemas.openxmlformats.org/officeDocument/2006/customXml" ds:itemID="{D4B70167-A696-4C59-9465-A5A727F80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5D432-4E60-449B-94FF-9D18FD7E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3F00ED4B.dotm</Template>
  <TotalTime>99</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HEARD,Jonathan</cp:lastModifiedBy>
  <cp:revision>11</cp:revision>
  <cp:lastPrinted>2018-10-22T22:41:00Z</cp:lastPrinted>
  <dcterms:created xsi:type="dcterms:W3CDTF">2019-07-05T04:41:00Z</dcterms:created>
  <dcterms:modified xsi:type="dcterms:W3CDTF">2019-08-20T22:49:00Z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