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:rsidR="00BD499F" w:rsidRPr="004C23F4" w:rsidRDefault="005E01AC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Acetaldehyde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0"/>
        <w:gridCol w:w="5036"/>
      </w:tblGrid>
      <w:tr w:rsidR="00F43AD5" w:rsidRPr="004C23F4" w:rsidTr="00B76A41">
        <w:trPr>
          <w:cantSplit/>
          <w:tblHeader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:rsidR="00F43AD5" w:rsidRPr="00717D45" w:rsidRDefault="00412F08" w:rsidP="00B76A41">
            <w:pPr>
              <w:pStyle w:val="Tablefont"/>
            </w:pPr>
            <w:r>
              <w:t>75-07-0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:rsidR="00F43AD5" w:rsidRPr="00717D45" w:rsidRDefault="00D6019D" w:rsidP="00301F10">
            <w:pPr>
              <w:pStyle w:val="Tablefont"/>
            </w:pPr>
            <w:proofErr w:type="spellStart"/>
            <w:r>
              <w:t>Ethanal</w:t>
            </w:r>
            <w:proofErr w:type="spellEnd"/>
            <w:r>
              <w:t>,</w:t>
            </w:r>
            <w:r w:rsidR="00301F10">
              <w:t xml:space="preserve"> ethyl aldehyde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:rsidR="00F43AD5" w:rsidRPr="00717D45" w:rsidRDefault="00732628" w:rsidP="00B76A41">
            <w:pPr>
              <w:pStyle w:val="Tablefont"/>
            </w:pPr>
            <w:r>
              <w:t>C</w:t>
            </w:r>
            <w:r w:rsidR="00614FC5" w:rsidRPr="00614FC5">
              <w:rPr>
                <w:vertAlign w:val="subscript"/>
              </w:rPr>
              <w:t>2</w:t>
            </w:r>
            <w:r>
              <w:t>H</w:t>
            </w:r>
            <w:r w:rsidR="00614FC5">
              <w:rPr>
                <w:vertAlign w:val="subscript"/>
              </w:rPr>
              <w:t>4</w:t>
            </w:r>
            <w:r>
              <w:t>O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5C7504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:rsidTr="00610F2E">
        <w:trPr>
          <w:cantSplit/>
          <w:tblHeader/>
        </w:trPr>
        <w:tc>
          <w:tcPr>
            <w:tcW w:w="4077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:rsidR="002C7AFE" w:rsidRPr="005C7504" w:rsidRDefault="008336A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921DE7">
        <w:trPr>
          <w:cantSplit/>
        </w:trPr>
        <w:tc>
          <w:tcPr>
            <w:tcW w:w="4077" w:type="dxa"/>
            <w:vAlign w:val="center"/>
          </w:tcPr>
          <w:p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:rsidR="002C7AFE" w:rsidRPr="00EB3D1B" w:rsidRDefault="008336A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921DE7">
        <w:trPr>
          <w:cantSplit/>
        </w:trPr>
        <w:tc>
          <w:tcPr>
            <w:tcW w:w="4077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:rsidR="002C7AFE" w:rsidRPr="00EB3D1B" w:rsidRDefault="00E8354E" w:rsidP="00017C82">
            <w:pPr>
              <w:pStyle w:val="Tablefont"/>
              <w:rPr>
                <w:b/>
              </w:rPr>
            </w:pPr>
            <w:r w:rsidRPr="00E8354E">
              <w:rPr>
                <w:b/>
              </w:rPr>
              <w:t>2</w:t>
            </w:r>
            <w:r w:rsidR="007A552C">
              <w:rPr>
                <w:b/>
              </w:rPr>
              <w:t>0</w:t>
            </w:r>
            <w:r w:rsidRPr="00E8354E">
              <w:rPr>
                <w:b/>
              </w:rPr>
              <w:t xml:space="preserve"> ppm (</w:t>
            </w:r>
            <w:r w:rsidR="007A552C">
              <w:rPr>
                <w:b/>
              </w:rPr>
              <w:t>36</w:t>
            </w:r>
            <w:r w:rsidRPr="00E8354E">
              <w:rPr>
                <w:b/>
              </w:rPr>
              <w:t xml:space="preserve"> mg/m</w:t>
            </w:r>
            <w:r w:rsidRPr="00E8354E">
              <w:rPr>
                <w:b/>
                <w:vertAlign w:val="superscript"/>
              </w:rPr>
              <w:t>3</w:t>
            </w:r>
            <w:r w:rsidRPr="00E8354E">
              <w:rPr>
                <w:b/>
              </w:rPr>
              <w:t>)</w:t>
            </w:r>
          </w:p>
        </w:tc>
      </w:tr>
      <w:tr w:rsidR="002C7AFE" w:rsidRPr="004C23F4" w:rsidTr="00A2073D">
        <w:trPr>
          <w:cantSplit/>
        </w:trPr>
        <w:tc>
          <w:tcPr>
            <w:tcW w:w="4077" w:type="dxa"/>
          </w:tcPr>
          <w:p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:rsidR="002C7AFE" w:rsidRPr="00EB3D1B" w:rsidRDefault="001D135A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Carc. Cat 2</w:t>
            </w:r>
          </w:p>
        </w:tc>
      </w:tr>
      <w:tr w:rsidR="002C7AFE" w:rsidRPr="004C23F4" w:rsidTr="00921DE7">
        <w:trPr>
          <w:cantSplit/>
        </w:trPr>
        <w:tc>
          <w:tcPr>
            <w:tcW w:w="4077" w:type="dxa"/>
            <w:vAlign w:val="center"/>
          </w:tcPr>
          <w:p w:rsidR="00F10C97" w:rsidRPr="002C58FF" w:rsidRDefault="00921DE7" w:rsidP="00830B68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:rsidR="002C7AFE" w:rsidRPr="00EB3D1B" w:rsidRDefault="00A2625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2,000 ppm</w:t>
            </w:r>
          </w:p>
        </w:tc>
      </w:tr>
      <w:tr w:rsidR="00830B68" w:rsidRPr="004C23F4" w:rsidTr="00830B68">
        <w:trPr>
          <w:cantSplit/>
        </w:trPr>
        <w:tc>
          <w:tcPr>
            <w:tcW w:w="4077" w:type="dxa"/>
          </w:tcPr>
          <w:p w:rsidR="00830B68" w:rsidRDefault="00830B68" w:rsidP="00830B68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:rsidR="00830B68" w:rsidRPr="00830B68" w:rsidRDefault="00830B68" w:rsidP="00017C82">
            <w:pPr>
              <w:pStyle w:val="Tablefont"/>
            </w:pPr>
            <w:r w:rsidRPr="00830B68">
              <w:t xml:space="preserve">The recommended value is readily quantifiable through currently available sampling and analysis techniques. </w:t>
            </w:r>
            <w:bookmarkStart w:id="0" w:name="_GoBack"/>
            <w:bookmarkEnd w:id="0"/>
          </w:p>
        </w:tc>
      </w:tr>
    </w:tbl>
    <w:p w:rsidR="00CB1CB1" w:rsidRPr="003365A5" w:rsidRDefault="00F10C97" w:rsidP="003365A5">
      <w:pPr>
        <w:pStyle w:val="Heading2"/>
      </w:pPr>
      <w:r>
        <w:t>Recommendation and basis for workplace exposure standard</w:t>
      </w:r>
    </w:p>
    <w:p w:rsidR="00842279" w:rsidRPr="00842279" w:rsidRDefault="00842279" w:rsidP="000C139A">
      <w:pPr>
        <w:rPr>
          <w:rFonts w:cs="Arial"/>
        </w:rPr>
      </w:pPr>
      <w:r>
        <w:rPr>
          <w:rFonts w:cs="Arial"/>
        </w:rPr>
        <w:t>A peak limitation of 20 ppm (36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</w:t>
      </w:r>
      <w:r w:rsidR="006247CD">
        <w:rPr>
          <w:rFonts w:cs="Arial"/>
        </w:rPr>
        <w:t>f</w:t>
      </w:r>
      <w:r w:rsidR="00AE52C9">
        <w:rPr>
          <w:rFonts w:cs="Arial"/>
        </w:rPr>
        <w:t>or</w:t>
      </w:r>
      <w:r w:rsidR="006247CD">
        <w:rPr>
          <w:rFonts w:cs="Arial"/>
        </w:rPr>
        <w:t xml:space="preserve"> </w:t>
      </w:r>
      <w:r>
        <w:rPr>
          <w:rFonts w:cs="Arial"/>
        </w:rPr>
        <w:t>eye and respiratory tract irritation and the consequent risk of cancer in workers exposed to acetaldehyde at the workplace.</w:t>
      </w:r>
    </w:p>
    <w:p w:rsidR="00301F10" w:rsidRPr="004C23F4" w:rsidRDefault="007C7F2E" w:rsidP="000C139A">
      <w:pPr>
        <w:rPr>
          <w:rFonts w:cs="Arial"/>
        </w:rPr>
      </w:pPr>
      <w:r>
        <w:rPr>
          <w:rFonts w:cs="Arial"/>
        </w:rPr>
        <w:t>It is recommended that f</w:t>
      </w:r>
      <w:r w:rsidR="00301F10">
        <w:rPr>
          <w:rFonts w:cs="Arial"/>
        </w:rPr>
        <w:t xml:space="preserve">urther assessment of the genotoxicity and mutagenicity data </w:t>
      </w:r>
      <w:r>
        <w:rPr>
          <w:rFonts w:cs="Arial"/>
        </w:rPr>
        <w:t>be undertaken at</w:t>
      </w:r>
      <w:r w:rsidR="00301F10">
        <w:rPr>
          <w:rFonts w:cs="Arial"/>
        </w:rPr>
        <w:t xml:space="preserve"> the next scheduled review of the workplace exposure standards</w:t>
      </w:r>
      <w:r>
        <w:rPr>
          <w:rFonts w:cs="Arial"/>
        </w:rPr>
        <w:t>.</w:t>
      </w:r>
    </w:p>
    <w:p w:rsidR="00C7155E" w:rsidRPr="004C23F4" w:rsidRDefault="00F10C97" w:rsidP="003365A5">
      <w:pPr>
        <w:pStyle w:val="Heading2"/>
      </w:pPr>
      <w:r>
        <w:t>Discussion and conclusions</w:t>
      </w:r>
    </w:p>
    <w:p w:rsidR="006639B4" w:rsidRDefault="00AF44E2" w:rsidP="006639B4">
      <w:pPr>
        <w:rPr>
          <w:rFonts w:cs="Arial"/>
        </w:rPr>
      </w:pPr>
      <w:r>
        <w:rPr>
          <w:rFonts w:cs="Arial"/>
        </w:rPr>
        <w:t>Data</w:t>
      </w:r>
      <w:r w:rsidR="008C0B58">
        <w:rPr>
          <w:rFonts w:cs="Arial"/>
        </w:rPr>
        <w:t xml:space="preserve"> in</w:t>
      </w:r>
      <w:r>
        <w:rPr>
          <w:rFonts w:cs="Arial"/>
        </w:rPr>
        <w:t xml:space="preserve"> humans</w:t>
      </w:r>
      <w:r w:rsidR="008C0B58">
        <w:rPr>
          <w:rFonts w:cs="Arial"/>
        </w:rPr>
        <w:t xml:space="preserve"> from observational studies</w:t>
      </w:r>
      <w:r w:rsidR="00DC271E">
        <w:rPr>
          <w:rFonts w:cs="Arial"/>
        </w:rPr>
        <w:t xml:space="preserve"> indicate </w:t>
      </w:r>
      <w:r w:rsidR="008C0B58">
        <w:rPr>
          <w:rFonts w:cs="Arial"/>
        </w:rPr>
        <w:t xml:space="preserve">that </w:t>
      </w:r>
      <w:r w:rsidR="00DC271E">
        <w:rPr>
          <w:rFonts w:cs="Arial"/>
        </w:rPr>
        <w:t xml:space="preserve">acute exposures above 25 ppm </w:t>
      </w:r>
      <w:r w:rsidR="00A2625C">
        <w:rPr>
          <w:rFonts w:cs="Arial"/>
        </w:rPr>
        <w:t>result in</w:t>
      </w:r>
      <w:r w:rsidR="00DC271E">
        <w:rPr>
          <w:rFonts w:cs="Arial"/>
        </w:rPr>
        <w:t xml:space="preserve"> </w:t>
      </w:r>
      <w:r w:rsidR="005E01AC">
        <w:rPr>
          <w:rFonts w:cs="Arial"/>
        </w:rPr>
        <w:t>irritation of the eyes</w:t>
      </w:r>
      <w:r w:rsidR="007C7F2E">
        <w:rPr>
          <w:rFonts w:cs="Arial"/>
        </w:rPr>
        <w:t>,</w:t>
      </w:r>
      <w:r w:rsidR="005E01AC">
        <w:rPr>
          <w:rFonts w:cs="Arial"/>
        </w:rPr>
        <w:t xml:space="preserve"> and</w:t>
      </w:r>
      <w:r w:rsidR="00B972C6">
        <w:rPr>
          <w:rFonts w:cs="Arial"/>
        </w:rPr>
        <w:t xml:space="preserve"> </w:t>
      </w:r>
      <w:r w:rsidR="008C0B58">
        <w:rPr>
          <w:rFonts w:cs="Arial"/>
        </w:rPr>
        <w:t>exposures above 135 ppm result in upper respiratory tract irritation</w:t>
      </w:r>
      <w:r w:rsidR="006247CD">
        <w:rPr>
          <w:rFonts w:cs="Arial"/>
        </w:rPr>
        <w:t xml:space="preserve">. </w:t>
      </w:r>
      <w:r w:rsidR="00B972C6">
        <w:rPr>
          <w:rFonts w:cs="Arial"/>
        </w:rPr>
        <w:t>An experimental study in humans demonstrated no significant effects below 50 ppm</w:t>
      </w:r>
      <w:r w:rsidR="001C3EEE">
        <w:rPr>
          <w:rFonts w:cs="Arial"/>
        </w:rPr>
        <w:t xml:space="preserve"> </w:t>
      </w:r>
      <w:r w:rsidR="00B972C6">
        <w:rPr>
          <w:rFonts w:cs="Arial"/>
        </w:rPr>
        <w:t>(ACGIH, 2018</w:t>
      </w:r>
      <w:r w:rsidR="00861091">
        <w:rPr>
          <w:rFonts w:cs="Arial"/>
        </w:rPr>
        <w:t xml:space="preserve">; </w:t>
      </w:r>
      <w:r w:rsidR="00A17E40">
        <w:rPr>
          <w:rFonts w:cs="Arial"/>
        </w:rPr>
        <w:t>DFG, </w:t>
      </w:r>
      <w:r w:rsidR="00861091">
        <w:rPr>
          <w:rFonts w:cs="Arial"/>
        </w:rPr>
        <w:t>2008</w:t>
      </w:r>
      <w:r w:rsidR="00B972C6">
        <w:rPr>
          <w:rFonts w:cs="Arial"/>
        </w:rPr>
        <w:t xml:space="preserve">). </w:t>
      </w:r>
    </w:p>
    <w:p w:rsidR="00B972C6" w:rsidRPr="00DC271E" w:rsidRDefault="00AE52C9" w:rsidP="006639B4">
      <w:pPr>
        <w:rPr>
          <w:rFonts w:cs="Arial"/>
        </w:rPr>
      </w:pPr>
      <w:r>
        <w:rPr>
          <w:rFonts w:cs="Arial"/>
        </w:rPr>
        <w:t xml:space="preserve">There is no evidence </w:t>
      </w:r>
      <w:r w:rsidR="00BF1A3C">
        <w:rPr>
          <w:rFonts w:cs="Arial"/>
        </w:rPr>
        <w:t xml:space="preserve">of </w:t>
      </w:r>
      <w:r>
        <w:rPr>
          <w:rFonts w:cs="Arial"/>
        </w:rPr>
        <w:t xml:space="preserve">mutagenic effects in identified bacterial reverse mutation assays. </w:t>
      </w:r>
      <w:r w:rsidR="003247A2">
        <w:rPr>
          <w:rFonts w:cs="Arial"/>
        </w:rPr>
        <w:t>Data sources indicate that acetaldehyde is carcinogenic in animals</w:t>
      </w:r>
      <w:r>
        <w:rPr>
          <w:rFonts w:cs="Arial"/>
        </w:rPr>
        <w:t>.</w:t>
      </w:r>
      <w:r w:rsidR="009B57A6">
        <w:rPr>
          <w:rFonts w:cs="Arial"/>
        </w:rPr>
        <w:t xml:space="preserve"> </w:t>
      </w:r>
      <w:r>
        <w:rPr>
          <w:rFonts w:cs="Arial"/>
        </w:rPr>
        <w:t>H</w:t>
      </w:r>
      <w:r w:rsidR="003247A2">
        <w:rPr>
          <w:rFonts w:cs="Arial"/>
        </w:rPr>
        <w:t>owever</w:t>
      </w:r>
      <w:r>
        <w:rPr>
          <w:rFonts w:cs="Arial"/>
        </w:rPr>
        <w:t>,</w:t>
      </w:r>
      <w:r w:rsidR="003247A2">
        <w:rPr>
          <w:rFonts w:cs="Arial"/>
        </w:rPr>
        <w:t xml:space="preserve"> evidence is limited in humans. </w:t>
      </w:r>
      <w:r w:rsidR="006F7123">
        <w:t xml:space="preserve">Tumour formation at the site of exposure </w:t>
      </w:r>
      <w:r>
        <w:t>(</w:t>
      </w:r>
      <w:r w:rsidR="00D67F89">
        <w:rPr>
          <w:rFonts w:cs="Arial"/>
          <w:color w:val="262626"/>
        </w:rPr>
        <w:t>respiratory tract</w:t>
      </w:r>
      <w:r>
        <w:t xml:space="preserve">) </w:t>
      </w:r>
      <w:r w:rsidR="006F7123">
        <w:t>suggests a threshold and therefore a non-genotoxic mechanism of carcinogenicity is assumed</w:t>
      </w:r>
      <w:r w:rsidR="006A6374" w:rsidRPr="00670F94">
        <w:rPr>
          <w:rFonts w:cs="Arial"/>
        </w:rPr>
        <w:t>. Inflammation caused</w:t>
      </w:r>
      <w:r w:rsidR="006A6374">
        <w:rPr>
          <w:rFonts w:cs="Arial"/>
        </w:rPr>
        <w:t xml:space="preserve"> by repeated irritation and subsequent regenerative growth of the epithelia in organs of the olfactory/respiratory tract</w:t>
      </w:r>
      <w:r w:rsidR="009B57A6">
        <w:rPr>
          <w:rFonts w:cs="Arial"/>
        </w:rPr>
        <w:t xml:space="preserve"> </w:t>
      </w:r>
      <w:r w:rsidR="00352C43">
        <w:rPr>
          <w:rFonts w:cs="Arial"/>
        </w:rPr>
        <w:t>has</w:t>
      </w:r>
      <w:r w:rsidR="006A6374">
        <w:rPr>
          <w:rFonts w:cs="Arial"/>
        </w:rPr>
        <w:t xml:space="preserve"> been noted as a </w:t>
      </w:r>
      <w:r w:rsidR="00352C43">
        <w:rPr>
          <w:rFonts w:cs="Arial"/>
        </w:rPr>
        <w:t>mechanism of action for nasal and laryngeal cancers</w:t>
      </w:r>
      <w:r w:rsidR="000B23AA">
        <w:rPr>
          <w:rFonts w:cs="Arial"/>
        </w:rPr>
        <w:t xml:space="preserve">. </w:t>
      </w:r>
      <w:r w:rsidR="008336AE">
        <w:rPr>
          <w:rFonts w:cs="Arial"/>
        </w:rPr>
        <w:t>The recommended peak limitation is</w:t>
      </w:r>
      <w:r w:rsidR="008336AE">
        <w:t xml:space="preserve"> expected to prevent the possibility of excess cancers in workers.</w:t>
      </w:r>
    </w:p>
    <w:p w:rsidR="004529F0" w:rsidRPr="004C23F4" w:rsidRDefault="004529F0" w:rsidP="004529F0">
      <w:pPr>
        <w:pStyle w:val="Heading2"/>
      </w:pPr>
      <w:r>
        <w:t>Recommendation for notations</w:t>
      </w:r>
    </w:p>
    <w:p w:rsidR="0001452A" w:rsidRPr="00F95804" w:rsidRDefault="0001452A" w:rsidP="0001452A">
      <w:pPr>
        <w:rPr>
          <w:rFonts w:cs="Arial"/>
        </w:rPr>
      </w:pPr>
      <w:r>
        <w:rPr>
          <w:rFonts w:cs="Arial"/>
        </w:rPr>
        <w:t xml:space="preserve">Classified as a category 2 carcinogen </w:t>
      </w:r>
      <w:r w:rsidRPr="00F95804">
        <w:rPr>
          <w:rFonts w:cs="Arial"/>
        </w:rPr>
        <w:t>according to the Globally Harmoni</w:t>
      </w:r>
      <w:r>
        <w:rPr>
          <w:rFonts w:cs="Arial"/>
        </w:rPr>
        <w:t>z</w:t>
      </w:r>
      <w:r w:rsidRPr="00F95804">
        <w:rPr>
          <w:rFonts w:cs="Arial"/>
        </w:rPr>
        <w:t xml:space="preserve">ed System of Classification and Labelling on Chemicals (GHS). </w:t>
      </w:r>
    </w:p>
    <w:p w:rsidR="0001452A" w:rsidRDefault="0001452A" w:rsidP="0001452A">
      <w:pPr>
        <w:rPr>
          <w:rFonts w:cs="Arial"/>
        </w:rPr>
      </w:pPr>
      <w:r>
        <w:rPr>
          <w:rFonts w:cs="Arial"/>
        </w:rPr>
        <w:t xml:space="preserve">Not </w:t>
      </w:r>
      <w:r w:rsidRPr="00F95804">
        <w:rPr>
          <w:rFonts w:cs="Arial"/>
        </w:rPr>
        <w:t xml:space="preserve">classified as a skin sensitiser </w:t>
      </w:r>
      <w:r>
        <w:rPr>
          <w:rFonts w:cs="Arial"/>
        </w:rPr>
        <w:t xml:space="preserve">or </w:t>
      </w:r>
      <w:r w:rsidRPr="00F95804">
        <w:rPr>
          <w:rFonts w:cs="Arial"/>
        </w:rPr>
        <w:t xml:space="preserve">respiratory sensitiser according to the </w:t>
      </w:r>
      <w:r>
        <w:rPr>
          <w:rFonts w:cs="Arial"/>
        </w:rPr>
        <w:t>GHS.</w:t>
      </w:r>
    </w:p>
    <w:p w:rsidR="004529F0" w:rsidRDefault="00DC271E" w:rsidP="004529F0">
      <w:pPr>
        <w:rPr>
          <w:rFonts w:cs="Arial"/>
        </w:rPr>
      </w:pPr>
      <w:r>
        <w:lastRenderedPageBreak/>
        <w:t xml:space="preserve">A skin notation is not warranted as there is no indication that </w:t>
      </w:r>
      <w:r w:rsidR="008C0B58">
        <w:t>acetaldehyde</w:t>
      </w:r>
      <w:r>
        <w:t xml:space="preserve"> is absorbed through skin.</w:t>
      </w:r>
      <w:r>
        <w:rPr>
          <w:rFonts w:cs="Arial"/>
        </w:rPr>
        <w:t xml:space="preserve"> </w:t>
      </w:r>
    </w:p>
    <w:p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5C7504">
                  <w:t>2001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-1376230627"/>
                    <w:placeholder>
                      <w:docPart w:val="461D0242687848DDA4A31FC561A6AF0C"/>
                    </w:placeholder>
                  </w:sdtPr>
                  <w:sdtEndPr/>
                  <w:sdtContent>
                    <w:r w:rsidR="00412F08">
                      <w:t xml:space="preserve">TWA: 20 ppm (36 </w:t>
                    </w:r>
                    <w:r w:rsidR="00412F08" w:rsidRPr="001C3EEE">
                      <w:rPr>
                        <w:rFonts w:cs="Arial"/>
                        <w:szCs w:val="20"/>
                      </w:rPr>
                      <w:t>mg/m</w:t>
                    </w:r>
                    <w:r w:rsidR="00412F08" w:rsidRPr="001C3EEE">
                      <w:rPr>
                        <w:rFonts w:cs="Arial"/>
                        <w:szCs w:val="20"/>
                        <w:vertAlign w:val="superscript"/>
                      </w:rPr>
                      <w:t>3</w:t>
                    </w:r>
                    <w:r w:rsidR="00412F08">
                      <w:t>); STEL: 36 ppm (91 mg/m</w:t>
                    </w:r>
                    <w:r w:rsidR="00412F08">
                      <w:rPr>
                        <w:vertAlign w:val="superscript"/>
                      </w:rPr>
                      <w:t>3</w:t>
                    </w:r>
                    <w:r w:rsidR="00412F08">
                      <w:t>)</w:t>
                    </w:r>
                  </w:sdtContent>
                </w:sdt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57062">
                  <w:t>2014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457062">
                  <w:t>TLV - Ceiling: 25 ppm</w:t>
                </w:r>
                <w:r w:rsidR="00457062" w:rsidRPr="0013389F">
                  <w:rPr>
                    <w:szCs w:val="20"/>
                  </w:rPr>
                  <w:t xml:space="preserve"> (45 </w:t>
                </w:r>
                <w:r w:rsidR="00457062" w:rsidRPr="0013389F">
                  <w:rPr>
                    <w:rFonts w:cs="Arial"/>
                    <w:szCs w:val="20"/>
                  </w:rPr>
                  <w:t>mg/m</w:t>
                </w:r>
                <w:r w:rsidR="00457062" w:rsidRPr="0013389F">
                  <w:rPr>
                    <w:rFonts w:cs="Arial"/>
                    <w:szCs w:val="20"/>
                    <w:vertAlign w:val="superscript"/>
                  </w:rPr>
                  <w:t>3</w:t>
                </w:r>
                <w:r w:rsidR="00457062" w:rsidRPr="0013389F">
                  <w:rPr>
                    <w:szCs w:val="20"/>
                  </w:rPr>
                  <w:t>)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6D5E" w:rsidRDefault="00C96D5E" w:rsidP="00C96D5E">
            <w:pPr>
              <w:pStyle w:val="Tabletextprimarysource"/>
            </w:pPr>
            <w:r>
              <w:t xml:space="preserve">TLV-Ceiling </w:t>
            </w:r>
            <w:r w:rsidR="00F74C91">
              <w:t xml:space="preserve">recommended to prevent irritation of the eye and </w:t>
            </w:r>
            <w:r>
              <w:t xml:space="preserve">upper respiratory tract </w:t>
            </w:r>
            <w:r w:rsidR="007A7DE6">
              <w:t>and is expected to prevent the possibility of excess cancers.</w:t>
            </w:r>
          </w:p>
          <w:p w:rsidR="00481142" w:rsidRDefault="00C96D5E" w:rsidP="00C96D5E">
            <w:pPr>
              <w:pStyle w:val="Tabletextprimarysource"/>
            </w:pPr>
            <w:r>
              <w:t>Summary of data:</w:t>
            </w:r>
          </w:p>
          <w:p w:rsidR="00C96D5E" w:rsidRDefault="00C96D5E" w:rsidP="00AE52C9">
            <w:pPr>
              <w:pStyle w:val="Tabletextprimarysource"/>
            </w:pPr>
            <w:r>
              <w:t xml:space="preserve">Human </w:t>
            </w:r>
            <w:r w:rsidR="00EB3E9B">
              <w:t>data</w:t>
            </w:r>
            <w:r>
              <w:t>:</w:t>
            </w:r>
          </w:p>
          <w:p w:rsidR="00C96D5E" w:rsidRDefault="00C96D5E" w:rsidP="00AE52C9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Study of </w:t>
            </w:r>
            <w:r w:rsidR="00057102">
              <w:t xml:space="preserve">12 </w:t>
            </w:r>
            <w:r>
              <w:t>workers</w:t>
            </w:r>
            <w:r w:rsidR="00E94716">
              <w:t xml:space="preserve">: </w:t>
            </w:r>
            <w:r>
              <w:t>eye irritation</w:t>
            </w:r>
            <w:r w:rsidR="00E94716">
              <w:t xml:space="preserve"> </w:t>
            </w:r>
            <w:r>
              <w:t xml:space="preserve">in </w:t>
            </w:r>
            <w:r w:rsidR="00057102">
              <w:t xml:space="preserve">several </w:t>
            </w:r>
            <w:r w:rsidR="00DC271E">
              <w:t>individuals</w:t>
            </w:r>
            <w:r w:rsidR="00E94716">
              <w:t xml:space="preserve"> at 25</w:t>
            </w:r>
            <w:r w:rsidR="00057102">
              <w:t> </w:t>
            </w:r>
            <w:r w:rsidR="00E94716">
              <w:t>ppm (15 min) and in most subjects at</w:t>
            </w:r>
            <w:r>
              <w:t xml:space="preserve"> 50 ppm</w:t>
            </w:r>
            <w:r w:rsidR="005E01AC">
              <w:t xml:space="preserve">. 200 ppm resulted in </w:t>
            </w:r>
            <w:r w:rsidR="00057102">
              <w:t xml:space="preserve">eye irritation for all subjects and </w:t>
            </w:r>
            <w:r w:rsidR="005E01AC">
              <w:t>respiratory irritation</w:t>
            </w:r>
            <w:r w:rsidR="00057102">
              <w:t xml:space="preserve"> for most subjects.</w:t>
            </w:r>
          </w:p>
          <w:p w:rsidR="00C96D5E" w:rsidRDefault="00057102" w:rsidP="00AE52C9">
            <w:pPr>
              <w:pStyle w:val="Tabletextprimarysource"/>
              <w:numPr>
                <w:ilvl w:val="0"/>
                <w:numId w:val="1"/>
              </w:numPr>
            </w:pPr>
            <w:r>
              <w:t>A controlled exposure s</w:t>
            </w:r>
            <w:r w:rsidR="00C96D5E">
              <w:t>tudy of 14 workers</w:t>
            </w:r>
            <w:r>
              <w:t xml:space="preserve"> reported</w:t>
            </w:r>
            <w:r w:rsidR="00E94716">
              <w:t xml:space="preserve"> mild upper respiratory tract irritation in all subjects </w:t>
            </w:r>
            <w:r>
              <w:t>(</w:t>
            </w:r>
            <w:r w:rsidR="00C96D5E">
              <w:t>135</w:t>
            </w:r>
            <w:r>
              <w:t> </w:t>
            </w:r>
            <w:r w:rsidR="00BA5CA1">
              <w:t>ppm</w:t>
            </w:r>
            <w:r>
              <w:t xml:space="preserve">, </w:t>
            </w:r>
            <w:r w:rsidR="00BA5CA1">
              <w:t>30 min</w:t>
            </w:r>
            <w:r w:rsidR="00C96D5E">
              <w:t>)</w:t>
            </w:r>
          </w:p>
          <w:p w:rsidR="00BA5CA1" w:rsidRDefault="00057102" w:rsidP="00AE52C9">
            <w:pPr>
              <w:pStyle w:val="Tabletextprimarysource"/>
              <w:numPr>
                <w:ilvl w:val="0"/>
                <w:numId w:val="1"/>
              </w:numPr>
            </w:pPr>
            <w:r>
              <w:t>An exposure chamber</w:t>
            </w:r>
            <w:r w:rsidR="00BA5CA1">
              <w:t xml:space="preserve"> study </w:t>
            </w:r>
            <w:r>
              <w:t xml:space="preserve">of </w:t>
            </w:r>
            <w:r w:rsidR="00BA5CA1">
              <w:t xml:space="preserve">20 males </w:t>
            </w:r>
            <w:r>
              <w:t xml:space="preserve">showed </w:t>
            </w:r>
            <w:r w:rsidR="00BA5CA1">
              <w:t>no significant effects on nasal mucosa</w:t>
            </w:r>
            <w:r w:rsidR="00E94716">
              <w:t xml:space="preserve"> </w:t>
            </w:r>
            <w:r>
              <w:t>(50 ppm</w:t>
            </w:r>
            <w:r w:rsidR="00A17E40">
              <w:t>;</w:t>
            </w:r>
            <w:r>
              <w:t xml:space="preserve"> 4 </w:t>
            </w:r>
            <w:r w:rsidRPr="003D6497">
              <w:t>h</w:t>
            </w:r>
            <w:r>
              <w:t>):</w:t>
            </w:r>
          </w:p>
          <w:p w:rsidR="00D614A0" w:rsidRDefault="009344B0" w:rsidP="00D614A0">
            <w:pPr>
              <w:pStyle w:val="Tabletextprimarysource"/>
              <w:numPr>
                <w:ilvl w:val="0"/>
                <w:numId w:val="1"/>
              </w:numPr>
            </w:pPr>
            <w:r>
              <w:t>Epidemiological study (150 workers)</w:t>
            </w:r>
            <w:r w:rsidR="00D8291C">
              <w:t>:</w:t>
            </w:r>
            <w:r w:rsidR="0036706E">
              <w:t xml:space="preserve"> </w:t>
            </w:r>
            <w:r>
              <w:t xml:space="preserve">excess risk of respiratory tract (N=5) and oral cavity (N=2) </w:t>
            </w:r>
            <w:r w:rsidR="00F50689">
              <w:t xml:space="preserve">cancers </w:t>
            </w:r>
            <w:r>
              <w:t xml:space="preserve">in </w:t>
            </w:r>
            <w:r w:rsidR="00F50689">
              <w:t>workers at</w:t>
            </w:r>
            <w:r w:rsidR="00425EC3">
              <w:t xml:space="preserve"> </w:t>
            </w:r>
            <w:r w:rsidR="00F50689">
              <w:t>a</w:t>
            </w:r>
            <w:r w:rsidR="00D8291C">
              <w:t>n</w:t>
            </w:r>
            <w:r w:rsidR="00F50689">
              <w:t xml:space="preserve"> </w:t>
            </w:r>
            <w:r w:rsidR="00D8291C">
              <w:t xml:space="preserve">aldehydes </w:t>
            </w:r>
            <w:r w:rsidR="00F50689">
              <w:t>chemical plant.</w:t>
            </w:r>
            <w:r>
              <w:t xml:space="preserve"> </w:t>
            </w:r>
            <w:r w:rsidR="00F50689">
              <w:t>H</w:t>
            </w:r>
            <w:r>
              <w:t>owever</w:t>
            </w:r>
            <w:r w:rsidR="00F50689">
              <w:t>,</w:t>
            </w:r>
            <w:r>
              <w:t xml:space="preserve"> evidence </w:t>
            </w:r>
            <w:r w:rsidR="00F50689">
              <w:t xml:space="preserve">of carcinogenicity </w:t>
            </w:r>
            <w:r>
              <w:t xml:space="preserve">is not </w:t>
            </w:r>
            <w:r w:rsidR="0022797B">
              <w:t xml:space="preserve">considered </w:t>
            </w:r>
            <w:r>
              <w:t>robust due to multiple chemical exposure</w:t>
            </w:r>
            <w:r w:rsidR="0022797B">
              <w:t>s</w:t>
            </w:r>
            <w:r w:rsidR="00D614A0">
              <w:t xml:space="preserve"> </w:t>
            </w:r>
          </w:p>
          <w:p w:rsidR="00D614A0" w:rsidRDefault="00D614A0" w:rsidP="00D614A0">
            <w:pPr>
              <w:pStyle w:val="Tabletextprimarysource"/>
              <w:numPr>
                <w:ilvl w:val="0"/>
                <w:numId w:val="1"/>
              </w:numPr>
            </w:pPr>
            <w:r>
              <w:t>Odour threshold in humans reported at 0.21 ppm</w:t>
            </w:r>
            <w:r w:rsidR="006670FA">
              <w:t>.</w:t>
            </w:r>
            <w:r>
              <w:t xml:space="preserve"> </w:t>
            </w:r>
          </w:p>
          <w:p w:rsidR="009344B0" w:rsidRDefault="009344B0" w:rsidP="005C4220">
            <w:pPr>
              <w:pStyle w:val="Tabletextprimarysource"/>
              <w:ind w:left="720"/>
            </w:pPr>
          </w:p>
          <w:p w:rsidR="009D2441" w:rsidRDefault="009D2441" w:rsidP="00AE52C9">
            <w:pPr>
              <w:pStyle w:val="Tabletextprimarysource"/>
            </w:pPr>
            <w:r>
              <w:t xml:space="preserve">Animal </w:t>
            </w:r>
            <w:r w:rsidR="00EB3E9B">
              <w:t>data</w:t>
            </w:r>
            <w:r>
              <w:t>:</w:t>
            </w:r>
          </w:p>
          <w:p w:rsidR="009D2441" w:rsidRDefault="009D2441" w:rsidP="00AE52C9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rPr>
                <w:vertAlign w:val="subscript"/>
              </w:rPr>
              <w:softHyphen/>
            </w:r>
            <w:r>
              <w:t>: 20,000 ppm (rats, 30 min);</w:t>
            </w:r>
            <w:r w:rsidR="0013389F">
              <w:t xml:space="preserve"> 13,300 ppm (rats, </w:t>
            </w:r>
            <w:r w:rsidR="0013389F" w:rsidRPr="003D6497">
              <w:t>4 h</w:t>
            </w:r>
            <w:r w:rsidR="0013389F">
              <w:t>)</w:t>
            </w:r>
          </w:p>
          <w:p w:rsidR="00DC271E" w:rsidRDefault="00DC271E" w:rsidP="00C96D5E">
            <w:pPr>
              <w:pStyle w:val="Tabletextprimarysource"/>
              <w:numPr>
                <w:ilvl w:val="0"/>
                <w:numId w:val="1"/>
              </w:numPr>
            </w:pPr>
            <w:r>
              <w:t>Evidence of carcinogenicity in animals</w:t>
            </w:r>
            <w:r w:rsidR="00F74C91">
              <w:t xml:space="preserve"> (nasal, laryngeal)</w:t>
            </w:r>
            <w:r>
              <w:t>; limited evidence in humans</w:t>
            </w:r>
            <w:r w:rsidR="00F74C91">
              <w:t xml:space="preserve"> (oral cavity)</w:t>
            </w:r>
            <w:r>
              <w:t xml:space="preserve"> </w:t>
            </w:r>
          </w:p>
          <w:p w:rsidR="00761E98" w:rsidRDefault="00761E98" w:rsidP="00C96D5E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evidence of </w:t>
            </w:r>
            <w:r w:rsidR="00142A55">
              <w:t>mutagenic</w:t>
            </w:r>
            <w:r>
              <w:t xml:space="preserve"> effects in ba</w:t>
            </w:r>
            <w:r w:rsidR="006F7123">
              <w:t>cterial reverse mutation assays</w:t>
            </w:r>
          </w:p>
          <w:p w:rsidR="00EB3E9B" w:rsidRDefault="007A7DE6" w:rsidP="005C4220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Positive </w:t>
            </w:r>
            <w:r>
              <w:rPr>
                <w:i/>
              </w:rPr>
              <w:t xml:space="preserve">in vitro </w:t>
            </w:r>
            <w:r>
              <w:t xml:space="preserve">results for genotoxicity in </w:t>
            </w:r>
            <w:r w:rsidR="005C4220" w:rsidRPr="006C2531">
              <w:rPr>
                <w:i/>
              </w:rPr>
              <w:t>Drosophila</w:t>
            </w:r>
            <w:r w:rsidR="006D04C7">
              <w:rPr>
                <w:i/>
              </w:rPr>
              <w:t>;</w:t>
            </w:r>
            <w:r w:rsidR="00022B91">
              <w:t xml:space="preserve"> mechanisms of mutagenicity n</w:t>
            </w:r>
            <w:r w:rsidR="00614982">
              <w:t>ot firmly established</w:t>
            </w:r>
            <w:r w:rsidR="0059148A">
              <w:t>.</w:t>
            </w:r>
          </w:p>
          <w:p w:rsidR="0059148A" w:rsidRDefault="0059148A" w:rsidP="0059148A">
            <w:pPr>
              <w:pStyle w:val="Tabletextprimarysource"/>
            </w:pPr>
          </w:p>
          <w:p w:rsidR="00DC271E" w:rsidRDefault="00DC271E" w:rsidP="002E0F4B">
            <w:pPr>
              <w:pStyle w:val="Tabletextprimarysource"/>
              <w:ind w:left="22"/>
            </w:pPr>
            <w:r>
              <w:t>No studies reported on dermal absorption</w:t>
            </w:r>
            <w:r w:rsidR="005C4220">
              <w:t>.</w:t>
            </w:r>
          </w:p>
          <w:p w:rsidR="00C96D5E" w:rsidRDefault="002E0F4B" w:rsidP="002E0F4B">
            <w:pPr>
              <w:pStyle w:val="Tabletextprimarysource"/>
              <w:ind w:left="22"/>
            </w:pPr>
            <w:r>
              <w:t>Ins</w:t>
            </w:r>
            <w:r w:rsidR="00614982" w:rsidRPr="00614982">
              <w:t xml:space="preserve">ufficient data available to assign a </w:t>
            </w:r>
            <w:r w:rsidR="00614982">
              <w:t>dermal or respiratory sensitiser notation</w:t>
            </w:r>
            <w:r w:rsidR="005C4220">
              <w:t>.</w:t>
            </w:r>
          </w:p>
          <w:p w:rsidR="00C978F0" w:rsidRDefault="002E0F4B" w:rsidP="002E0F4B">
            <w:pPr>
              <w:pStyle w:val="Tabletextprimarysource"/>
              <w:ind w:left="22"/>
            </w:pPr>
            <w:r>
              <w:t>Ins</w:t>
            </w:r>
            <w:r w:rsidR="00C96D5E">
              <w:t>ufficient data available to assign a Skin notation</w:t>
            </w:r>
            <w:r w:rsidR="00142A55">
              <w:t>.</w:t>
            </w:r>
          </w:p>
          <w:p w:rsidR="00692E67" w:rsidRPr="00DA352E" w:rsidRDefault="00692E67" w:rsidP="002E0F4B">
            <w:pPr>
              <w:pStyle w:val="Tabletextprimarysource"/>
              <w:ind w:left="22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457062">
                  <w:t>2008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sdt>
                  <w:sdtPr>
                    <w:alias w:val="DFG WES equivalent"/>
                    <w:tag w:val="DFG WES equivalent"/>
                    <w:id w:val="403492278"/>
                    <w:placeholder>
                      <w:docPart w:val="D7F9509F43AB4014B323510C7B83BB8E"/>
                    </w:placeholder>
                  </w:sdtPr>
                  <w:sdtEndPr/>
                  <w:sdtContent>
                    <w:r w:rsidR="00C96D5E">
                      <w:t>MAK: 50 ppm (91 mg/m³)</w:t>
                    </w:r>
                  </w:sdtContent>
                </w:sdt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Default="00BE0630" w:rsidP="00BE0630">
            <w:pPr>
              <w:pStyle w:val="Tabletextprimarysource"/>
            </w:pPr>
            <w:r>
              <w:t xml:space="preserve">MAK value </w:t>
            </w:r>
            <w:r w:rsidR="00E94716">
              <w:t>recommended to reduce the potential for</w:t>
            </w:r>
            <w:r>
              <w:t xml:space="preserve"> irritant effects in the nasal mucosa </w:t>
            </w:r>
            <w:r w:rsidR="00E94716">
              <w:t>and</w:t>
            </w:r>
            <w:r>
              <w:t xml:space="preserve"> is</w:t>
            </w:r>
            <w:r w:rsidR="00E94716">
              <w:t xml:space="preserve"> also</w:t>
            </w:r>
            <w:r>
              <w:t xml:space="preserve"> expected </w:t>
            </w:r>
            <w:r w:rsidR="00E94716">
              <w:t>to be protective against cancer in exposed workers.</w:t>
            </w:r>
          </w:p>
          <w:p w:rsidR="007029B1" w:rsidRDefault="007029B1" w:rsidP="00BE0630">
            <w:pPr>
              <w:pStyle w:val="Tabletextprimarysource"/>
            </w:pPr>
            <w:r>
              <w:t>Summary of data:</w:t>
            </w:r>
          </w:p>
          <w:p w:rsidR="00481142" w:rsidRDefault="00481142" w:rsidP="00BE0630">
            <w:pPr>
              <w:pStyle w:val="Tabletextprimarysource"/>
              <w:numPr>
                <w:ilvl w:val="0"/>
                <w:numId w:val="1"/>
              </w:numPr>
            </w:pPr>
            <w:r>
              <w:t>NOAEC</w:t>
            </w:r>
            <w:r w:rsidR="007C7F2E">
              <w:t>:</w:t>
            </w:r>
            <w:r>
              <w:t xml:space="preserve"> 150</w:t>
            </w:r>
            <w:r w:rsidR="00151973">
              <w:t xml:space="preserve"> ppm</w:t>
            </w:r>
            <w:r>
              <w:t xml:space="preserve"> </w:t>
            </w:r>
            <w:r w:rsidR="00151973">
              <w:t>and LOAEC</w:t>
            </w:r>
            <w:r w:rsidR="007C7F2E">
              <w:t>:</w:t>
            </w:r>
            <w:r w:rsidR="008062DA">
              <w:t xml:space="preserve"> 500 </w:t>
            </w:r>
            <w:r w:rsidR="00151973">
              <w:t>ppm</w:t>
            </w:r>
            <w:r>
              <w:t xml:space="preserve"> (rats, 4 wk)</w:t>
            </w:r>
          </w:p>
          <w:p w:rsidR="001C0672" w:rsidRPr="001C0672" w:rsidRDefault="001C0672" w:rsidP="001C0672">
            <w:pPr>
              <w:pStyle w:val="Tabletextprimarysource"/>
              <w:numPr>
                <w:ilvl w:val="0"/>
                <w:numId w:val="1"/>
              </w:numPr>
            </w:pPr>
            <w:r w:rsidRPr="001C0672">
              <w:t>Tumour formation attributed to genotoxic effects</w:t>
            </w:r>
            <w:r w:rsidRPr="001C0672">
              <w:rPr>
                <w:i/>
              </w:rPr>
              <w:t xml:space="preserve"> </w:t>
            </w:r>
          </w:p>
          <w:p w:rsidR="001C0672" w:rsidRDefault="001C0672" w:rsidP="001C0672">
            <w:pPr>
              <w:pStyle w:val="Tabletextprimarysource"/>
              <w:numPr>
                <w:ilvl w:val="0"/>
                <w:numId w:val="1"/>
              </w:numPr>
            </w:pPr>
            <w:r w:rsidRPr="001C0672">
              <w:t>Lethal mutation</w:t>
            </w:r>
            <w:r>
              <w:t>s</w:t>
            </w:r>
            <w:r w:rsidRPr="001C0672">
              <w:t xml:space="preserve"> observed in</w:t>
            </w:r>
            <w:r w:rsidRPr="001C0672">
              <w:rPr>
                <w:i/>
              </w:rPr>
              <w:t xml:space="preserve"> Drosophila melanogaster</w:t>
            </w:r>
            <w:r w:rsidRPr="001C0672">
              <w:t xml:space="preserve"> </w:t>
            </w:r>
          </w:p>
          <w:p w:rsidR="00BE0630" w:rsidRDefault="00BE0630" w:rsidP="00BE0630">
            <w:pPr>
              <w:pStyle w:val="Tabletextprimarysource"/>
              <w:numPr>
                <w:ilvl w:val="0"/>
                <w:numId w:val="1"/>
              </w:numPr>
            </w:pPr>
            <w:r>
              <w:t>N</w:t>
            </w:r>
            <w:r w:rsidRPr="00BE0630">
              <w:t>o studies of dermal absorption</w:t>
            </w:r>
            <w:r>
              <w:t xml:space="preserve"> identified</w:t>
            </w:r>
          </w:p>
          <w:p w:rsidR="001D135A" w:rsidRDefault="001D135A" w:rsidP="001D135A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Based on a systemic NOAEC of </w:t>
            </w:r>
            <w:r w:rsidRPr="001D135A">
              <w:t>1</w:t>
            </w:r>
            <w:r w:rsidR="005673D4">
              <w:t>,</w:t>
            </w:r>
            <w:r w:rsidRPr="001D135A">
              <w:t>365 mg/m</w:t>
            </w:r>
            <w:r w:rsidRPr="001D135A">
              <w:rPr>
                <w:vertAlign w:val="superscript"/>
              </w:rPr>
              <w:t>3</w:t>
            </w:r>
            <w:r>
              <w:t xml:space="preserve"> and physicochemical data,</w:t>
            </w:r>
            <w:r w:rsidRPr="001D135A">
              <w:t xml:space="preserve"> </w:t>
            </w:r>
            <w:r>
              <w:t>the contribution of dermal exposure to systemic toxicity is low</w:t>
            </w:r>
          </w:p>
          <w:p w:rsidR="00BE0630" w:rsidRDefault="00BE0630" w:rsidP="00BE0630">
            <w:pPr>
              <w:pStyle w:val="Tabletextprimarysource"/>
              <w:numPr>
                <w:ilvl w:val="0"/>
                <w:numId w:val="1"/>
              </w:numPr>
            </w:pPr>
            <w:r>
              <w:t>No data available for respiratory sensitisation</w:t>
            </w:r>
          </w:p>
          <w:p w:rsidR="00BE0630" w:rsidRDefault="00BE0630" w:rsidP="00BE0630">
            <w:pPr>
              <w:pStyle w:val="Tabletextprimarysource"/>
              <w:numPr>
                <w:ilvl w:val="0"/>
                <w:numId w:val="1"/>
              </w:numPr>
            </w:pPr>
            <w:r>
              <w:t>Limited data available for contact (skin) sensitisation</w:t>
            </w:r>
            <w:r w:rsidR="00142A55">
              <w:t>.</w:t>
            </w:r>
          </w:p>
          <w:p w:rsidR="00692E67" w:rsidRPr="00DA352E" w:rsidRDefault="00692E67" w:rsidP="00692E67">
            <w:pPr>
              <w:pStyle w:val="Tabletextprimarysource"/>
              <w:ind w:left="720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AF485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AF4851">
                  <w:t>NA</w:t>
                </w:r>
                <w:proofErr w:type="spellEnd"/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C978F0" w:rsidP="003365A5">
            <w:pPr>
              <w:pStyle w:val="Tabletextprimarysource"/>
            </w:pP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49378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49378F">
                  <w:t>NA</w:t>
                </w:r>
                <w:proofErr w:type="spellEnd"/>
              </w:sdtContent>
            </w:sdt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DA352E" w:rsidRPr="00DA352E" w:rsidRDefault="00DA352E" w:rsidP="003365A5">
            <w:pPr>
              <w:pStyle w:val="Tabletextprimarysource"/>
            </w:pP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5323F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5323FB">
                  <w:t>NA</w:t>
                </w:r>
                <w:proofErr w:type="spellEnd"/>
              </w:sdtContent>
            </w:sdt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DA352E" w:rsidRPr="00DA352E" w:rsidRDefault="00DA352E" w:rsidP="003365A5">
            <w:pPr>
              <w:pStyle w:val="Tabletextprimarysource"/>
            </w:pPr>
          </w:p>
        </w:tc>
      </w:tr>
    </w:tbl>
    <w:p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5"/>
        <w:gridCol w:w="423"/>
        <w:gridCol w:w="661"/>
        <w:gridCol w:w="6447"/>
      </w:tblGrid>
      <w:tr w:rsidR="004966BF" w:rsidRPr="00263255" w:rsidTr="00614FC5">
        <w:trPr>
          <w:cantSplit/>
          <w:trHeight w:val="393"/>
          <w:tblHeader/>
        </w:trPr>
        <w:tc>
          <w:tcPr>
            <w:tcW w:w="1495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7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:rsidTr="00614FC5">
        <w:trPr>
          <w:cantSplit/>
        </w:trPr>
        <w:tc>
          <w:tcPr>
            <w:tcW w:w="1495" w:type="dxa"/>
          </w:tcPr>
          <w:p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:rsidR="004966BF" w:rsidRPr="00CE617F" w:rsidRDefault="00830B6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E081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:rsidR="004966BF" w:rsidRPr="004C23F4" w:rsidRDefault="005E0813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2017</w:t>
            </w:r>
          </w:p>
        </w:tc>
        <w:tc>
          <w:tcPr>
            <w:tcW w:w="6447" w:type="dxa"/>
          </w:tcPr>
          <w:p w:rsidR="004966BF" w:rsidRPr="002E3972" w:rsidRDefault="005E0813" w:rsidP="005E0813">
            <w:pPr>
              <w:pStyle w:val="ListBullet"/>
              <w:rPr>
                <w:rFonts w:cs="Arial"/>
              </w:rPr>
            </w:pPr>
            <w:r>
              <w:rPr>
                <w:rFonts w:cs="Arial"/>
                <w:color w:val="262626"/>
              </w:rPr>
              <w:t>Based on the weight of evidence, considered to be genotoxic</w:t>
            </w:r>
          </w:p>
          <w:p w:rsidR="002E3972" w:rsidRPr="005C7504" w:rsidRDefault="005C7504" w:rsidP="005C7504">
            <w:pPr>
              <w:pStyle w:val="ListBullet"/>
              <w:rPr>
                <w:rFonts w:cs="Arial"/>
              </w:rPr>
            </w:pPr>
            <w:r w:rsidRPr="005C7504">
              <w:rPr>
                <w:rFonts w:cs="Arial"/>
                <w:color w:val="262626"/>
              </w:rPr>
              <w:t>Tumour formation at the site of exposure suggests a threshold (non-genotoxic) mechanism of carcinogenicity</w:t>
            </w:r>
          </w:p>
          <w:p w:rsidR="005C7504" w:rsidRPr="004C23F4" w:rsidRDefault="005C7504" w:rsidP="005C7504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Does not</w:t>
            </w:r>
            <w:r w:rsidRPr="005C7504">
              <w:rPr>
                <w:rStyle w:val="checkbox"/>
                <w:rFonts w:ascii="Arial" w:hAnsi="Arial" w:cs="Arial"/>
              </w:rPr>
              <w:t xml:space="preserve"> exhibit mutagenic activity in </w:t>
            </w:r>
            <w:r w:rsidRPr="005C7504">
              <w:rPr>
                <w:rStyle w:val="checkbox"/>
                <w:rFonts w:ascii="Arial" w:hAnsi="Arial" w:cs="Arial"/>
                <w:i/>
              </w:rPr>
              <w:t>Salmonella typhimurium</w:t>
            </w:r>
            <w:r w:rsidR="0059148A">
              <w:rPr>
                <w:rStyle w:val="checkbox"/>
                <w:rFonts w:ascii="Arial" w:hAnsi="Arial" w:cs="Arial"/>
                <w:i/>
              </w:rPr>
              <w:t>.</w:t>
            </w:r>
          </w:p>
        </w:tc>
      </w:tr>
    </w:tbl>
    <w:bookmarkEnd w:id="1"/>
    <w:p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12"/>
        <w:gridCol w:w="2414"/>
      </w:tblGrid>
      <w:tr w:rsidR="002E0D61" w:rsidTr="0036706E">
        <w:trPr>
          <w:trHeight w:val="454"/>
          <w:tblHeader/>
        </w:trPr>
        <w:tc>
          <w:tcPr>
            <w:tcW w:w="6612" w:type="dxa"/>
            <w:vAlign w:val="center"/>
          </w:tcPr>
          <w:p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4" w:type="dxa"/>
                <w:vAlign w:val="center"/>
              </w:tcPr>
              <w:p w:rsidR="002E0D61" w:rsidRDefault="005323FB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</w:tbl>
    <w:bookmarkEnd w:id="2"/>
    <w:p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:rsidTr="00680418">
        <w:trPr>
          <w:cantSplit/>
          <w:tblHeader/>
        </w:trPr>
        <w:tc>
          <w:tcPr>
            <w:tcW w:w="3153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5873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:rsidTr="00680418">
        <w:trPr>
          <w:cantSplit/>
        </w:trPr>
        <w:tc>
          <w:tcPr>
            <w:tcW w:w="3153" w:type="dxa"/>
          </w:tcPr>
          <w:p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5873" w:type="dxa"/>
          </w:tcPr>
          <w:p w:rsidR="00687890" w:rsidRPr="00DD2F9B" w:rsidRDefault="00636091" w:rsidP="00DD2F9B">
            <w:pPr>
              <w:pStyle w:val="Tablefont"/>
            </w:pPr>
            <w:r>
              <w:t>Carc.</w:t>
            </w:r>
            <w:r w:rsidR="004E7B2C">
              <w:t xml:space="preserve"> </w:t>
            </w:r>
            <w:r>
              <w:t>2</w:t>
            </w:r>
            <w:r w:rsidR="009344B0" w:rsidRPr="009344B0">
              <w:t xml:space="preserve"> </w:t>
            </w:r>
          </w:p>
        </w:tc>
      </w:tr>
      <w:tr w:rsidR="007925F0" w:rsidRPr="004C23F4" w:rsidTr="00680418">
        <w:trPr>
          <w:cantSplit/>
        </w:trPr>
        <w:tc>
          <w:tcPr>
            <w:tcW w:w="3153" w:type="dxa"/>
          </w:tcPr>
          <w:p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5873" w:type="dxa"/>
          </w:tcPr>
          <w:p w:rsidR="007925F0" w:rsidRPr="00DD2F9B" w:rsidRDefault="006D452F" w:rsidP="00DD2F9B">
            <w:pPr>
              <w:pStyle w:val="Tablefont"/>
            </w:pPr>
            <w:r>
              <w:t>—</w:t>
            </w:r>
          </w:p>
        </w:tc>
      </w:tr>
      <w:tr w:rsidR="00AF483F" w:rsidRPr="004C23F4" w:rsidTr="00680418">
        <w:trPr>
          <w:cantSplit/>
        </w:trPr>
        <w:tc>
          <w:tcPr>
            <w:tcW w:w="3153" w:type="dxa"/>
          </w:tcPr>
          <w:p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5873" w:type="dxa"/>
          </w:tcPr>
          <w:p w:rsidR="00AF483F" w:rsidRPr="00DD2F9B" w:rsidRDefault="00C04975" w:rsidP="00DD2F9B">
            <w:pPr>
              <w:pStyle w:val="Tablefont"/>
            </w:pPr>
            <w:r>
              <w:rPr>
                <w:rFonts w:cs="Arial"/>
                <w:color w:val="262626"/>
              </w:rPr>
              <w:t>Carc. Cat. 3</w:t>
            </w:r>
          </w:p>
        </w:tc>
      </w:tr>
      <w:tr w:rsidR="00687890" w:rsidRPr="004C23F4" w:rsidTr="00680418">
        <w:trPr>
          <w:cantSplit/>
        </w:trPr>
        <w:tc>
          <w:tcPr>
            <w:tcW w:w="3153" w:type="dxa"/>
          </w:tcPr>
          <w:p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5873" w:type="dxa"/>
          </w:tcPr>
          <w:p w:rsidR="00C04975" w:rsidRPr="00DD2F9B" w:rsidRDefault="00C04975" w:rsidP="00680418">
            <w:pPr>
              <w:pStyle w:val="Tablefont"/>
            </w:pPr>
            <w:r>
              <w:t>NA</w:t>
            </w:r>
          </w:p>
        </w:tc>
      </w:tr>
      <w:tr w:rsidR="00E41A26" w:rsidRPr="004C23F4" w:rsidTr="00680418">
        <w:trPr>
          <w:cantSplit/>
        </w:trPr>
        <w:tc>
          <w:tcPr>
            <w:tcW w:w="3153" w:type="dxa"/>
          </w:tcPr>
          <w:p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5873" w:type="dxa"/>
          </w:tcPr>
          <w:p w:rsidR="00E41A26" w:rsidRPr="00DD2F9B" w:rsidRDefault="00680418" w:rsidP="00DD2F9B">
            <w:pPr>
              <w:pStyle w:val="Tablefont"/>
            </w:pPr>
            <w:r w:rsidRPr="009344B0">
              <w:t xml:space="preserve">Carcinogenicity – </w:t>
            </w:r>
            <w:r w:rsidR="002C7A11">
              <w:t xml:space="preserve">category </w:t>
            </w:r>
            <w:r>
              <w:t>2</w:t>
            </w:r>
          </w:p>
        </w:tc>
      </w:tr>
      <w:tr w:rsidR="002E0D61" w:rsidRPr="004C23F4" w:rsidTr="00680418">
        <w:trPr>
          <w:cantSplit/>
        </w:trPr>
        <w:tc>
          <w:tcPr>
            <w:tcW w:w="3153" w:type="dxa"/>
          </w:tcPr>
          <w:p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5873" w:type="dxa"/>
          </w:tcPr>
          <w:p w:rsidR="002E0D61" w:rsidRPr="00DD2F9B" w:rsidRDefault="009344B0" w:rsidP="00DD2F9B">
            <w:pPr>
              <w:pStyle w:val="Tablefont"/>
            </w:pPr>
            <w:r w:rsidRPr="009344B0">
              <w:t xml:space="preserve">Carcinogenicity – </w:t>
            </w:r>
            <w:r>
              <w:t>A2</w:t>
            </w:r>
          </w:p>
        </w:tc>
      </w:tr>
      <w:tr w:rsidR="002E0D61" w:rsidRPr="004C23F4" w:rsidTr="00680418">
        <w:trPr>
          <w:cantSplit/>
        </w:trPr>
        <w:tc>
          <w:tcPr>
            <w:tcW w:w="3153" w:type="dxa"/>
          </w:tcPr>
          <w:p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5873" w:type="dxa"/>
          </w:tcPr>
          <w:p w:rsidR="002E0D61" w:rsidRPr="00DD2F9B" w:rsidRDefault="009344B0" w:rsidP="00DD2F9B">
            <w:pPr>
              <w:pStyle w:val="Tablefont"/>
            </w:pPr>
            <w:r>
              <w:t xml:space="preserve">Carcinogenicity – </w:t>
            </w:r>
            <w:r w:rsidR="002C7A11">
              <w:t xml:space="preserve">category </w:t>
            </w:r>
            <w:r>
              <w:t>5</w:t>
            </w:r>
          </w:p>
        </w:tc>
      </w:tr>
      <w:tr w:rsidR="00680418" w:rsidRPr="004C23F4" w:rsidTr="00680418">
        <w:trPr>
          <w:cantSplit/>
        </w:trPr>
        <w:tc>
          <w:tcPr>
            <w:tcW w:w="3153" w:type="dxa"/>
          </w:tcPr>
          <w:p w:rsidR="00680418" w:rsidRPr="004C23F4" w:rsidRDefault="00680418" w:rsidP="00680418">
            <w:pPr>
              <w:pStyle w:val="Tablefont"/>
            </w:pPr>
            <w:r>
              <w:lastRenderedPageBreak/>
              <w:t>SCOEL</w:t>
            </w:r>
          </w:p>
        </w:tc>
        <w:tc>
          <w:tcPr>
            <w:tcW w:w="5873" w:type="dxa"/>
          </w:tcPr>
          <w:p w:rsidR="00680418" w:rsidRPr="00250204" w:rsidRDefault="00CB79F6" w:rsidP="00680418">
            <w:pPr>
              <w:pStyle w:val="Tablefont"/>
            </w:pPr>
            <w:r>
              <w:t>NA</w:t>
            </w:r>
          </w:p>
        </w:tc>
      </w:tr>
      <w:tr w:rsidR="00680418" w:rsidRPr="004C23F4" w:rsidTr="00680418">
        <w:trPr>
          <w:cantSplit/>
        </w:trPr>
        <w:tc>
          <w:tcPr>
            <w:tcW w:w="3153" w:type="dxa"/>
          </w:tcPr>
          <w:p w:rsidR="00680418" w:rsidRDefault="00680418" w:rsidP="00680418">
            <w:pPr>
              <w:pStyle w:val="Tablefont"/>
            </w:pPr>
            <w:r>
              <w:t>HCOTN</w:t>
            </w:r>
          </w:p>
        </w:tc>
        <w:tc>
          <w:tcPr>
            <w:tcW w:w="5873" w:type="dxa"/>
          </w:tcPr>
          <w:p w:rsidR="00680418" w:rsidRPr="00250204" w:rsidRDefault="002C7A11" w:rsidP="00680418">
            <w:pPr>
              <w:pStyle w:val="Tablefont"/>
            </w:pPr>
            <w:r>
              <w:t>Carcinogenicity – category 1B</w:t>
            </w:r>
          </w:p>
        </w:tc>
      </w:tr>
      <w:tr w:rsidR="00680418" w:rsidRPr="004C23F4" w:rsidTr="00680418">
        <w:trPr>
          <w:cantSplit/>
        </w:trPr>
        <w:tc>
          <w:tcPr>
            <w:tcW w:w="3153" w:type="dxa"/>
          </w:tcPr>
          <w:p w:rsidR="00680418" w:rsidRDefault="00680418" w:rsidP="00680418">
            <w:pPr>
              <w:pStyle w:val="Tablefont"/>
            </w:pPr>
            <w:r>
              <w:t>IARC</w:t>
            </w:r>
          </w:p>
        </w:tc>
        <w:tc>
          <w:tcPr>
            <w:tcW w:w="5873" w:type="dxa"/>
          </w:tcPr>
          <w:p w:rsidR="00680418" w:rsidRPr="00DD2F9B" w:rsidRDefault="002C7A11" w:rsidP="00680418">
            <w:pPr>
              <w:pStyle w:val="Tablefont"/>
            </w:pPr>
            <w:r>
              <w:t>Carcinogenicity – Group 2B</w:t>
            </w:r>
          </w:p>
        </w:tc>
      </w:tr>
      <w:tr w:rsidR="00680418" w:rsidRPr="004C23F4" w:rsidTr="00680418">
        <w:trPr>
          <w:cantSplit/>
        </w:trPr>
        <w:tc>
          <w:tcPr>
            <w:tcW w:w="3153" w:type="dxa"/>
          </w:tcPr>
          <w:p w:rsidR="00680418" w:rsidRDefault="00680418" w:rsidP="00680418">
            <w:pPr>
              <w:pStyle w:val="Tablefont"/>
              <w:keepNext/>
            </w:pPr>
            <w:r>
              <w:t>US NIOSH</w:t>
            </w:r>
          </w:p>
        </w:tc>
        <w:tc>
          <w:tcPr>
            <w:tcW w:w="5873" w:type="dxa"/>
          </w:tcPr>
          <w:p w:rsidR="00680418" w:rsidRPr="00DD2F9B" w:rsidRDefault="008B4A6C" w:rsidP="00680418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6"/>
              <w:gridCol w:w="266"/>
              <w:gridCol w:w="3530"/>
              <w:gridCol w:w="424"/>
              <w:gridCol w:w="266"/>
              <w:gridCol w:w="972"/>
              <w:gridCol w:w="972"/>
              <w:gridCol w:w="972"/>
              <w:gridCol w:w="266"/>
              <w:gridCol w:w="266"/>
            </w:tblGrid>
            <w:tr w:rsidR="001D135A" w:rsidRPr="001D135A" w:rsidTr="005315B4">
              <w:trPr>
                <w:trHeight w:val="3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D135A" w:rsidRPr="001D135A" w:rsidTr="005315B4">
              <w:trPr>
                <w:trHeight w:val="3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D135A" w:rsidRPr="001D135A" w:rsidTr="005315B4">
              <w:trPr>
                <w:trHeight w:val="3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D135A" w:rsidRPr="001D135A" w:rsidTr="005315B4">
              <w:trPr>
                <w:trHeight w:val="3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D135A" w:rsidRPr="001D135A" w:rsidTr="005315B4">
              <w:trPr>
                <w:trHeight w:val="3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D135A" w:rsidRPr="001D135A" w:rsidTr="005315B4">
              <w:trPr>
                <w:trHeight w:val="3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D135A" w:rsidRPr="001D135A" w:rsidTr="005315B4">
              <w:trPr>
                <w:trHeight w:val="3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 skin notation is not warranted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D135A" w:rsidRPr="001D135A" w:rsidTr="005315B4">
              <w:trPr>
                <w:trHeight w:val="2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1D135A" w:rsidRPr="001D135A" w:rsidRDefault="001D135A" w:rsidP="001D13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1D13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</w:tbl>
          <w:p w:rsidR="00932DCE" w:rsidRPr="004C23F4" w:rsidRDefault="00932DCE" w:rsidP="00F9496B">
            <w:pPr>
              <w:pStyle w:val="Tablefont"/>
            </w:pPr>
          </w:p>
        </w:tc>
      </w:tr>
    </w:tbl>
    <w:bookmarkEnd w:id="4"/>
    <w:p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:rsidTr="00610F2E">
        <w:trPr>
          <w:trHeight w:val="454"/>
          <w:tblHeader/>
        </w:trPr>
        <w:tc>
          <w:tcPr>
            <w:tcW w:w="4361" w:type="dxa"/>
            <w:vAlign w:val="center"/>
          </w:tcPr>
          <w:p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:rsidR="00EB3D1B" w:rsidRDefault="002000CF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:rsidR="001B79E5" w:rsidRDefault="00672376" w:rsidP="001B79E5">
                <w:pPr>
                  <w:pStyle w:val="Tablefont"/>
                </w:pPr>
                <w:r>
                  <w:t>44.05</w:t>
                </w:r>
              </w:p>
            </w:tc>
          </w:sdtContent>
        </w:sdt>
      </w:tr>
      <w:tr w:rsidR="00A31D99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:rsidTr="00EA6243">
        <w:trPr>
          <w:cantSplit/>
        </w:trPr>
        <w:tc>
          <w:tcPr>
            <w:tcW w:w="4077" w:type="dxa"/>
            <w:vAlign w:val="center"/>
          </w:tcPr>
          <w:p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:rsidR="00E06F40" w:rsidRPr="00A006A0" w:rsidRDefault="00830B68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:rsidR="007F1005" w:rsidRPr="004C23F4" w:rsidRDefault="007F1005" w:rsidP="00EB3D1B">
            <w:pPr>
              <w:pStyle w:val="Tablefont"/>
              <w:keepLines/>
            </w:pPr>
          </w:p>
        </w:tc>
      </w:tr>
      <w:bookmarkEnd w:id="5"/>
    </w:tbl>
    <w:p w:rsidR="0026685B" w:rsidRDefault="0026685B" w:rsidP="00EF7F78">
      <w:pPr>
        <w:pStyle w:val="Heading2"/>
        <w:tabs>
          <w:tab w:val="right" w:pos="8505"/>
        </w:tabs>
      </w:pPr>
    </w:p>
    <w:p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:rsidR="002C7A11" w:rsidRDefault="003247A2" w:rsidP="00084859">
      <w:r>
        <w:t>Deutsche Fo</w:t>
      </w:r>
      <w:r w:rsidR="000B23AA">
        <w:t>rschungsgemeinschaft (DFG) (2008</w:t>
      </w:r>
      <w:r>
        <w:t xml:space="preserve">) </w:t>
      </w:r>
      <w:r w:rsidR="000B23AA">
        <w:t xml:space="preserve">Acetaldehyde </w:t>
      </w:r>
      <w:r w:rsidR="002C7A11" w:rsidRPr="004A63B8">
        <w:t>– MAK value documentation.</w:t>
      </w:r>
    </w:p>
    <w:p w:rsidR="003247A2" w:rsidRDefault="002C7A11" w:rsidP="002C7A11">
      <w:r w:rsidRPr="00710012">
        <w:t>European Chemicals Agency (ECHA) (</w:t>
      </w:r>
      <w:r>
        <w:t>2008</w:t>
      </w:r>
      <w:r w:rsidRPr="00710012">
        <w:t xml:space="preserve">) </w:t>
      </w:r>
      <w:r>
        <w:t>Acetaldehyde</w:t>
      </w:r>
      <w:r w:rsidRPr="00710012">
        <w:t xml:space="preserve"> – </w:t>
      </w:r>
      <w:r>
        <w:t>IFRA Response to the ECHA Public Consultation on the CLH report “Proposal for Harmonized Classification and Labelling of acetaldehyde” based on regulation (EC) 1272/2008 (CLP Regulation), Annex VI, Part 2.</w:t>
      </w:r>
    </w:p>
    <w:p w:rsidR="000B23AA" w:rsidRDefault="000B23AA" w:rsidP="00861091">
      <w:r>
        <w:t xml:space="preserve">Health Council </w:t>
      </w:r>
      <w:r w:rsidR="00861091">
        <w:t>of the Netherlands (HCOTN) (2014</w:t>
      </w:r>
      <w:r>
        <w:t xml:space="preserve">) </w:t>
      </w:r>
      <w:r w:rsidR="00861091">
        <w:t>Subcommittee on the Classification of Carcinogenic Substances of the Dutch Expert Committee on Occupational Safety</w:t>
      </w:r>
      <w:r>
        <w:t xml:space="preserve">. </w:t>
      </w:r>
      <w:r w:rsidR="00861091">
        <w:t>Acetaldehyde: Re-evaluation of the carcinogenicity and genotoxicity</w:t>
      </w:r>
      <w:r>
        <w:t xml:space="preserve">. The Hague: Health </w:t>
      </w:r>
      <w:r w:rsidR="00861091">
        <w:t>Council of the Netherlands, 2014/28.</w:t>
      </w:r>
    </w:p>
    <w:p w:rsidR="00585B5C" w:rsidRDefault="00585B5C" w:rsidP="00861091">
      <w:r w:rsidRPr="00710012">
        <w:t>International Agency for Research on Cancer (IARC) (</w:t>
      </w:r>
      <w:r w:rsidRPr="0026685B">
        <w:t>1999</w:t>
      </w:r>
      <w:r w:rsidRPr="00585B5C">
        <w:t xml:space="preserve">) </w:t>
      </w:r>
      <w:r>
        <w:t>Acetaldehyde</w:t>
      </w:r>
      <w:r w:rsidRPr="00710012">
        <w:t>. IARC Monographs on the evaluation of the carcinogenic risk to humans.</w:t>
      </w:r>
      <w:r>
        <w:t xml:space="preserve"> </w:t>
      </w:r>
    </w:p>
    <w:p w:rsidR="000B23AA" w:rsidRDefault="000B23AA" w:rsidP="000B23AA">
      <w:r>
        <w:t>National Industrial Chemicals Notification and Assessment Scheme (NICNAS) (2017). Acetaldehyde: Human health tier II assessment – IMAP report.</w:t>
      </w:r>
    </w:p>
    <w:p w:rsidR="008B47E1" w:rsidRPr="00710012" w:rsidRDefault="008B47E1" w:rsidP="008B47E1">
      <w:r w:rsidRPr="00181257">
        <w:t xml:space="preserve">US </w:t>
      </w:r>
      <w:r>
        <w:t xml:space="preserve">National institute for Occupational Safety and Health (NIOSH) (1994) Immediately dangerous to life and </w:t>
      </w:r>
      <w:r w:rsidRPr="00710012">
        <w:t xml:space="preserve">health concentrations – </w:t>
      </w:r>
      <w:r>
        <w:t>acetaldehyde</w:t>
      </w:r>
      <w:r w:rsidRPr="00710012">
        <w:t xml:space="preserve">. </w:t>
      </w:r>
    </w:p>
    <w:p w:rsidR="000B23AA" w:rsidRPr="00351FE0" w:rsidRDefault="000B23AA" w:rsidP="00084859"/>
    <w:sectPr w:rsidR="000B23AA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FFD627" w16cid:durableId="20A525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D81" w:rsidRDefault="00740D81" w:rsidP="00F43AD5">
      <w:pPr>
        <w:spacing w:after="0" w:line="240" w:lineRule="auto"/>
      </w:pPr>
      <w:r>
        <w:separator/>
      </w:r>
    </w:p>
  </w:endnote>
  <w:endnote w:type="continuationSeparator" w:id="0">
    <w:p w:rsidR="00740D81" w:rsidRDefault="00740D81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AF44E2" w:rsidRDefault="00AF44E2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Acetaldehyde (75-07-0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:rsidR="00AF44E2" w:rsidRPr="00F43AD5" w:rsidRDefault="00AF44E2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830B68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D81" w:rsidRDefault="00740D81" w:rsidP="00F43AD5">
      <w:pPr>
        <w:spacing w:after="0" w:line="240" w:lineRule="auto"/>
      </w:pPr>
      <w:r>
        <w:separator/>
      </w:r>
    </w:p>
  </w:footnote>
  <w:footnote w:type="continuationSeparator" w:id="0">
    <w:p w:rsidR="00740D81" w:rsidRDefault="00740D81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E2" w:rsidRDefault="00AF44E2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070C39C8" wp14:editId="7B1166C0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E2" w:rsidRDefault="00AF44E2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44DA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993086"/>
    <w:multiLevelType w:val="hybridMultilevel"/>
    <w:tmpl w:val="486022EC"/>
    <w:lvl w:ilvl="0" w:tplc="53E62DB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E138A"/>
    <w:multiLevelType w:val="hybridMultilevel"/>
    <w:tmpl w:val="4CE675D4"/>
    <w:lvl w:ilvl="0" w:tplc="E612CE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458A0"/>
    <w:multiLevelType w:val="hybridMultilevel"/>
    <w:tmpl w:val="8B744266"/>
    <w:lvl w:ilvl="0" w:tplc="EBC81F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903E4"/>
    <w:multiLevelType w:val="hybridMultilevel"/>
    <w:tmpl w:val="F96E8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931"/>
    <w:rsid w:val="00007B80"/>
    <w:rsid w:val="00013A22"/>
    <w:rsid w:val="0001452A"/>
    <w:rsid w:val="00014C3F"/>
    <w:rsid w:val="00017C82"/>
    <w:rsid w:val="00022B91"/>
    <w:rsid w:val="00032B88"/>
    <w:rsid w:val="00046DF5"/>
    <w:rsid w:val="00052060"/>
    <w:rsid w:val="000527BF"/>
    <w:rsid w:val="0005574A"/>
    <w:rsid w:val="00055FE1"/>
    <w:rsid w:val="00056EC2"/>
    <w:rsid w:val="00057102"/>
    <w:rsid w:val="00060B48"/>
    <w:rsid w:val="00067F32"/>
    <w:rsid w:val="00071807"/>
    <w:rsid w:val="000803E1"/>
    <w:rsid w:val="00084513"/>
    <w:rsid w:val="00084859"/>
    <w:rsid w:val="00092D94"/>
    <w:rsid w:val="00093345"/>
    <w:rsid w:val="000B0868"/>
    <w:rsid w:val="000B23AA"/>
    <w:rsid w:val="000B3E12"/>
    <w:rsid w:val="000B3E78"/>
    <w:rsid w:val="000B7B48"/>
    <w:rsid w:val="000C096D"/>
    <w:rsid w:val="000C139A"/>
    <w:rsid w:val="000C2053"/>
    <w:rsid w:val="000C248C"/>
    <w:rsid w:val="000C2646"/>
    <w:rsid w:val="000D291C"/>
    <w:rsid w:val="000E301A"/>
    <w:rsid w:val="000E45B2"/>
    <w:rsid w:val="000E5A54"/>
    <w:rsid w:val="000E63D3"/>
    <w:rsid w:val="000E67CF"/>
    <w:rsid w:val="0010461E"/>
    <w:rsid w:val="00106FAA"/>
    <w:rsid w:val="00113443"/>
    <w:rsid w:val="00116AEF"/>
    <w:rsid w:val="001269A7"/>
    <w:rsid w:val="00131092"/>
    <w:rsid w:val="00132315"/>
    <w:rsid w:val="0013389F"/>
    <w:rsid w:val="00140E6A"/>
    <w:rsid w:val="00142A55"/>
    <w:rsid w:val="00146545"/>
    <w:rsid w:val="00146B75"/>
    <w:rsid w:val="00151973"/>
    <w:rsid w:val="0015266D"/>
    <w:rsid w:val="0015288A"/>
    <w:rsid w:val="00160F47"/>
    <w:rsid w:val="00176BB2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C0672"/>
    <w:rsid w:val="001C3EEE"/>
    <w:rsid w:val="001D135A"/>
    <w:rsid w:val="001D56F0"/>
    <w:rsid w:val="001D5DE5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00CF"/>
    <w:rsid w:val="002046A6"/>
    <w:rsid w:val="00204956"/>
    <w:rsid w:val="00213640"/>
    <w:rsid w:val="00221547"/>
    <w:rsid w:val="002216FC"/>
    <w:rsid w:val="00222533"/>
    <w:rsid w:val="00222F30"/>
    <w:rsid w:val="00224EE2"/>
    <w:rsid w:val="0022797B"/>
    <w:rsid w:val="00227EC7"/>
    <w:rsid w:val="00244AD1"/>
    <w:rsid w:val="002463BC"/>
    <w:rsid w:val="002465CE"/>
    <w:rsid w:val="00250204"/>
    <w:rsid w:val="0025734A"/>
    <w:rsid w:val="00263255"/>
    <w:rsid w:val="0026685B"/>
    <w:rsid w:val="00276494"/>
    <w:rsid w:val="00277B0C"/>
    <w:rsid w:val="00292393"/>
    <w:rsid w:val="002970C9"/>
    <w:rsid w:val="002B1A2C"/>
    <w:rsid w:val="002C34F2"/>
    <w:rsid w:val="002C58FF"/>
    <w:rsid w:val="002C7A11"/>
    <w:rsid w:val="002C7AFE"/>
    <w:rsid w:val="002D05D2"/>
    <w:rsid w:val="002E0D61"/>
    <w:rsid w:val="002E0F4B"/>
    <w:rsid w:val="002E3972"/>
    <w:rsid w:val="002E4C7B"/>
    <w:rsid w:val="00301F10"/>
    <w:rsid w:val="0030740C"/>
    <w:rsid w:val="00315833"/>
    <w:rsid w:val="00315DCF"/>
    <w:rsid w:val="003215EE"/>
    <w:rsid w:val="003224BF"/>
    <w:rsid w:val="003241A8"/>
    <w:rsid w:val="003247A2"/>
    <w:rsid w:val="003253F0"/>
    <w:rsid w:val="00325594"/>
    <w:rsid w:val="003337DA"/>
    <w:rsid w:val="00334EFB"/>
    <w:rsid w:val="00335CDE"/>
    <w:rsid w:val="003365A5"/>
    <w:rsid w:val="00344450"/>
    <w:rsid w:val="003453DF"/>
    <w:rsid w:val="00347192"/>
    <w:rsid w:val="0034744C"/>
    <w:rsid w:val="00351FE0"/>
    <w:rsid w:val="00352615"/>
    <w:rsid w:val="00352C43"/>
    <w:rsid w:val="0035412B"/>
    <w:rsid w:val="003567A8"/>
    <w:rsid w:val="00362895"/>
    <w:rsid w:val="0036706E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70EE"/>
    <w:rsid w:val="003D4FA3"/>
    <w:rsid w:val="003D6497"/>
    <w:rsid w:val="003E0807"/>
    <w:rsid w:val="003E51FB"/>
    <w:rsid w:val="003E6B39"/>
    <w:rsid w:val="003F07E1"/>
    <w:rsid w:val="003F7CF0"/>
    <w:rsid w:val="004030BC"/>
    <w:rsid w:val="00403F7D"/>
    <w:rsid w:val="00406785"/>
    <w:rsid w:val="004079B4"/>
    <w:rsid w:val="00412F08"/>
    <w:rsid w:val="00417A56"/>
    <w:rsid w:val="00420957"/>
    <w:rsid w:val="00422A10"/>
    <w:rsid w:val="00425EC3"/>
    <w:rsid w:val="00430179"/>
    <w:rsid w:val="004414B5"/>
    <w:rsid w:val="00444482"/>
    <w:rsid w:val="00444B42"/>
    <w:rsid w:val="00445E44"/>
    <w:rsid w:val="004509E2"/>
    <w:rsid w:val="004515EE"/>
    <w:rsid w:val="004529F0"/>
    <w:rsid w:val="00457062"/>
    <w:rsid w:val="00460A03"/>
    <w:rsid w:val="00472A11"/>
    <w:rsid w:val="00472AAD"/>
    <w:rsid w:val="00474E33"/>
    <w:rsid w:val="00476803"/>
    <w:rsid w:val="00481142"/>
    <w:rsid w:val="00485BFD"/>
    <w:rsid w:val="004867A2"/>
    <w:rsid w:val="004873F2"/>
    <w:rsid w:val="00490D4C"/>
    <w:rsid w:val="0049378F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E7B2C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15B4"/>
    <w:rsid w:val="005323FB"/>
    <w:rsid w:val="00532B56"/>
    <w:rsid w:val="00534B10"/>
    <w:rsid w:val="005446A2"/>
    <w:rsid w:val="00544D2F"/>
    <w:rsid w:val="00551BD8"/>
    <w:rsid w:val="005673D4"/>
    <w:rsid w:val="00581055"/>
    <w:rsid w:val="00585B5C"/>
    <w:rsid w:val="0059148A"/>
    <w:rsid w:val="00591E38"/>
    <w:rsid w:val="005A19C5"/>
    <w:rsid w:val="005A3034"/>
    <w:rsid w:val="005A462D"/>
    <w:rsid w:val="005B253B"/>
    <w:rsid w:val="005B771D"/>
    <w:rsid w:val="005C4220"/>
    <w:rsid w:val="005C5D16"/>
    <w:rsid w:val="005C7504"/>
    <w:rsid w:val="005D3193"/>
    <w:rsid w:val="005D4A6E"/>
    <w:rsid w:val="005E01AC"/>
    <w:rsid w:val="005E0813"/>
    <w:rsid w:val="005E6979"/>
    <w:rsid w:val="005E75CB"/>
    <w:rsid w:val="005F7BEA"/>
    <w:rsid w:val="006013C1"/>
    <w:rsid w:val="0060669E"/>
    <w:rsid w:val="00610F2E"/>
    <w:rsid w:val="00611399"/>
    <w:rsid w:val="00613F22"/>
    <w:rsid w:val="00614982"/>
    <w:rsid w:val="00614FC5"/>
    <w:rsid w:val="006247CD"/>
    <w:rsid w:val="00624C4E"/>
    <w:rsid w:val="00625200"/>
    <w:rsid w:val="00636091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670FA"/>
    <w:rsid w:val="00670F94"/>
    <w:rsid w:val="00672376"/>
    <w:rsid w:val="0067305D"/>
    <w:rsid w:val="00673ABC"/>
    <w:rsid w:val="00677D9B"/>
    <w:rsid w:val="00680418"/>
    <w:rsid w:val="006867F3"/>
    <w:rsid w:val="00687890"/>
    <w:rsid w:val="006901A2"/>
    <w:rsid w:val="00690368"/>
    <w:rsid w:val="0069079C"/>
    <w:rsid w:val="00690B53"/>
    <w:rsid w:val="00692E67"/>
    <w:rsid w:val="00695B72"/>
    <w:rsid w:val="006A6374"/>
    <w:rsid w:val="006B160A"/>
    <w:rsid w:val="006B4E6C"/>
    <w:rsid w:val="006B50B6"/>
    <w:rsid w:val="006D04C7"/>
    <w:rsid w:val="006D452F"/>
    <w:rsid w:val="006D79EA"/>
    <w:rsid w:val="006E5D05"/>
    <w:rsid w:val="006F7123"/>
    <w:rsid w:val="00701053"/>
    <w:rsid w:val="00701507"/>
    <w:rsid w:val="007029B1"/>
    <w:rsid w:val="00714021"/>
    <w:rsid w:val="00716A0F"/>
    <w:rsid w:val="00717D45"/>
    <w:rsid w:val="007208F7"/>
    <w:rsid w:val="007218AF"/>
    <w:rsid w:val="00730DE1"/>
    <w:rsid w:val="00732628"/>
    <w:rsid w:val="007365D1"/>
    <w:rsid w:val="00740D81"/>
    <w:rsid w:val="00740E0E"/>
    <w:rsid w:val="00742778"/>
    <w:rsid w:val="00750212"/>
    <w:rsid w:val="00754779"/>
    <w:rsid w:val="0075716D"/>
    <w:rsid w:val="00761E98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552C"/>
    <w:rsid w:val="007A7DE6"/>
    <w:rsid w:val="007B1B42"/>
    <w:rsid w:val="007C30EB"/>
    <w:rsid w:val="007C7F2E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062DA"/>
    <w:rsid w:val="00806DAE"/>
    <w:rsid w:val="00810C6D"/>
    <w:rsid w:val="00812887"/>
    <w:rsid w:val="008173CA"/>
    <w:rsid w:val="00826F21"/>
    <w:rsid w:val="00830B68"/>
    <w:rsid w:val="008336AE"/>
    <w:rsid w:val="00834CC8"/>
    <w:rsid w:val="00835E00"/>
    <w:rsid w:val="00837113"/>
    <w:rsid w:val="008414E4"/>
    <w:rsid w:val="00842279"/>
    <w:rsid w:val="00843E21"/>
    <w:rsid w:val="0084508E"/>
    <w:rsid w:val="00857A8A"/>
    <w:rsid w:val="00861091"/>
    <w:rsid w:val="008630EE"/>
    <w:rsid w:val="00864666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47E1"/>
    <w:rsid w:val="008B4A6C"/>
    <w:rsid w:val="008B7983"/>
    <w:rsid w:val="008C0B58"/>
    <w:rsid w:val="008C2511"/>
    <w:rsid w:val="008D026D"/>
    <w:rsid w:val="008D23AB"/>
    <w:rsid w:val="008D4B8B"/>
    <w:rsid w:val="008D5A78"/>
    <w:rsid w:val="008E7B64"/>
    <w:rsid w:val="008F0A12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44B0"/>
    <w:rsid w:val="0093760E"/>
    <w:rsid w:val="00942E16"/>
    <w:rsid w:val="00946044"/>
    <w:rsid w:val="0094660B"/>
    <w:rsid w:val="00946A33"/>
    <w:rsid w:val="0095260E"/>
    <w:rsid w:val="009578DD"/>
    <w:rsid w:val="00961124"/>
    <w:rsid w:val="009621B6"/>
    <w:rsid w:val="009639DF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57A6"/>
    <w:rsid w:val="009B6543"/>
    <w:rsid w:val="009C199D"/>
    <w:rsid w:val="009C278F"/>
    <w:rsid w:val="009C2B94"/>
    <w:rsid w:val="009C5874"/>
    <w:rsid w:val="009C5FBD"/>
    <w:rsid w:val="009D2441"/>
    <w:rsid w:val="009D3B5A"/>
    <w:rsid w:val="009E0C05"/>
    <w:rsid w:val="009E0D1C"/>
    <w:rsid w:val="009E2072"/>
    <w:rsid w:val="009E2214"/>
    <w:rsid w:val="009E2592"/>
    <w:rsid w:val="009E355A"/>
    <w:rsid w:val="009E4053"/>
    <w:rsid w:val="009E63E2"/>
    <w:rsid w:val="009F05CF"/>
    <w:rsid w:val="009F0F3A"/>
    <w:rsid w:val="00A01D0C"/>
    <w:rsid w:val="00A0643F"/>
    <w:rsid w:val="00A067EE"/>
    <w:rsid w:val="00A10FCE"/>
    <w:rsid w:val="00A16D91"/>
    <w:rsid w:val="00A174CC"/>
    <w:rsid w:val="00A17E40"/>
    <w:rsid w:val="00A2073D"/>
    <w:rsid w:val="00A20751"/>
    <w:rsid w:val="00A2625C"/>
    <w:rsid w:val="00A27E2D"/>
    <w:rsid w:val="00A31D99"/>
    <w:rsid w:val="00A357BA"/>
    <w:rsid w:val="00A35ADC"/>
    <w:rsid w:val="00A402A3"/>
    <w:rsid w:val="00A467DE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10B1"/>
    <w:rsid w:val="00AC32E7"/>
    <w:rsid w:val="00AC3A9F"/>
    <w:rsid w:val="00AC581B"/>
    <w:rsid w:val="00AC6D2F"/>
    <w:rsid w:val="00AE2745"/>
    <w:rsid w:val="00AE2F64"/>
    <w:rsid w:val="00AE52C9"/>
    <w:rsid w:val="00AF42CB"/>
    <w:rsid w:val="00AF44E2"/>
    <w:rsid w:val="00AF483F"/>
    <w:rsid w:val="00AF4851"/>
    <w:rsid w:val="00AF5E07"/>
    <w:rsid w:val="00AF5F06"/>
    <w:rsid w:val="00B00A25"/>
    <w:rsid w:val="00B1422A"/>
    <w:rsid w:val="00B1765C"/>
    <w:rsid w:val="00B213C4"/>
    <w:rsid w:val="00B25B03"/>
    <w:rsid w:val="00B40C60"/>
    <w:rsid w:val="00B479A9"/>
    <w:rsid w:val="00B51E51"/>
    <w:rsid w:val="00B52EDF"/>
    <w:rsid w:val="00B639A6"/>
    <w:rsid w:val="00B71188"/>
    <w:rsid w:val="00B76A41"/>
    <w:rsid w:val="00B815DB"/>
    <w:rsid w:val="00B87D4C"/>
    <w:rsid w:val="00B93646"/>
    <w:rsid w:val="00B972C6"/>
    <w:rsid w:val="00BA0B38"/>
    <w:rsid w:val="00BA1DBB"/>
    <w:rsid w:val="00BA4510"/>
    <w:rsid w:val="00BA529A"/>
    <w:rsid w:val="00BA5CA1"/>
    <w:rsid w:val="00BB612A"/>
    <w:rsid w:val="00BD499F"/>
    <w:rsid w:val="00BD56DE"/>
    <w:rsid w:val="00BE0630"/>
    <w:rsid w:val="00BF1A3C"/>
    <w:rsid w:val="00BF2406"/>
    <w:rsid w:val="00C04975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6D5E"/>
    <w:rsid w:val="00C978F0"/>
    <w:rsid w:val="00CA58FE"/>
    <w:rsid w:val="00CB1CB1"/>
    <w:rsid w:val="00CB6BC1"/>
    <w:rsid w:val="00CB6CB8"/>
    <w:rsid w:val="00CB79F6"/>
    <w:rsid w:val="00CC1A68"/>
    <w:rsid w:val="00CC2123"/>
    <w:rsid w:val="00CD2BFD"/>
    <w:rsid w:val="00CE5AD6"/>
    <w:rsid w:val="00CE617F"/>
    <w:rsid w:val="00CE78EF"/>
    <w:rsid w:val="00CE79BD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019D"/>
    <w:rsid w:val="00D614A0"/>
    <w:rsid w:val="00D668E6"/>
    <w:rsid w:val="00D67F89"/>
    <w:rsid w:val="00D70670"/>
    <w:rsid w:val="00D74D80"/>
    <w:rsid w:val="00D76624"/>
    <w:rsid w:val="00D8291C"/>
    <w:rsid w:val="00D87043"/>
    <w:rsid w:val="00D87570"/>
    <w:rsid w:val="00D91CB9"/>
    <w:rsid w:val="00D97989"/>
    <w:rsid w:val="00D97D8D"/>
    <w:rsid w:val="00DA352E"/>
    <w:rsid w:val="00DC18A3"/>
    <w:rsid w:val="00DC271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56350"/>
    <w:rsid w:val="00E60F04"/>
    <w:rsid w:val="00E62AAC"/>
    <w:rsid w:val="00E65BEC"/>
    <w:rsid w:val="00E67C2F"/>
    <w:rsid w:val="00E67EF5"/>
    <w:rsid w:val="00E804EA"/>
    <w:rsid w:val="00E80A71"/>
    <w:rsid w:val="00E82337"/>
    <w:rsid w:val="00E8354E"/>
    <w:rsid w:val="00E92499"/>
    <w:rsid w:val="00E94716"/>
    <w:rsid w:val="00E949AF"/>
    <w:rsid w:val="00E96077"/>
    <w:rsid w:val="00EA0A06"/>
    <w:rsid w:val="00EA6243"/>
    <w:rsid w:val="00EA6F4E"/>
    <w:rsid w:val="00EA74AB"/>
    <w:rsid w:val="00EB3D1B"/>
    <w:rsid w:val="00EB3E9B"/>
    <w:rsid w:val="00ED01DE"/>
    <w:rsid w:val="00ED1D89"/>
    <w:rsid w:val="00ED66BC"/>
    <w:rsid w:val="00EE6402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0689"/>
    <w:rsid w:val="00F55BF4"/>
    <w:rsid w:val="00F56DD0"/>
    <w:rsid w:val="00F6491C"/>
    <w:rsid w:val="00F67BBB"/>
    <w:rsid w:val="00F74C91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D3804"/>
    <w:rsid w:val="00FF5C3D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582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672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37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37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376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BE0630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730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461D0242687848DDA4A31FC561A6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A73C-B316-4374-8BA9-87D0B61A4181}"/>
      </w:docPartPr>
      <w:docPartBody>
        <w:p w:rsidR="00950D28" w:rsidRDefault="00950D28" w:rsidP="00950D28">
          <w:pPr>
            <w:pStyle w:val="461D0242687848DDA4A31FC561A6AF0C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D7F9509F43AB4014B323510C7B83B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E098-ACA5-4A7E-8C9C-6035CFADDD1C}"/>
      </w:docPartPr>
      <w:docPartBody>
        <w:p w:rsidR="00950D28" w:rsidRDefault="00950D28" w:rsidP="00950D28">
          <w:pPr>
            <w:pStyle w:val="D7F9509F43AB4014B323510C7B83BB8E"/>
          </w:pPr>
          <w:r w:rsidRPr="0051509C">
            <w:rPr>
              <w:rStyle w:val="PlaceholderText"/>
            </w:rPr>
            <w:t>Click here to enter standard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306F5"/>
    <w:rsid w:val="00607DFF"/>
    <w:rsid w:val="006149C6"/>
    <w:rsid w:val="00646640"/>
    <w:rsid w:val="00735B6F"/>
    <w:rsid w:val="008C7279"/>
    <w:rsid w:val="00950D28"/>
    <w:rsid w:val="00BF26E8"/>
    <w:rsid w:val="00D21A9F"/>
    <w:rsid w:val="00D57424"/>
    <w:rsid w:val="00E2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0D28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461D0242687848DDA4A31FC561A6AF0C">
    <w:name w:val="461D0242687848DDA4A31FC561A6AF0C"/>
    <w:rsid w:val="00950D28"/>
    <w:rPr>
      <w:lang w:val="en-US" w:eastAsia="en-US"/>
    </w:rPr>
  </w:style>
  <w:style w:type="paragraph" w:customStyle="1" w:styleId="D7F9509F43AB4014B323510C7B83BB8E">
    <w:name w:val="D7F9509F43AB4014B323510C7B83BB8E"/>
    <w:rsid w:val="00950D28"/>
    <w:rPr>
      <w:lang w:val="en-US" w:eastAsia="en-US"/>
    </w:rPr>
  </w:style>
  <w:style w:type="paragraph" w:customStyle="1" w:styleId="1010F851F6804257BDCA8952F6208AE5">
    <w:name w:val="1010F851F6804257BDCA8952F6208AE5"/>
    <w:rsid w:val="00950D2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7DC76-BCE5-4503-86E0-553ECA864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CE31A-4500-4B16-81B7-1522C0F4A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7301B-F0F5-4A87-8A1A-7AD9E23198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D6E0AC-9FF2-4BF6-8405-87637543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D2328E10.dotm</Template>
  <TotalTime>0</TotalTime>
  <Pages>6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2019-06-07T10:07:00Z</dcterms:created>
  <dcterms:modified xsi:type="dcterms:W3CDTF">2019-08-16T01:07:00Z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