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:rsidR="00BD499F" w:rsidRPr="004C23F4" w:rsidRDefault="008607BF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Acetic Acid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9"/>
        <w:gridCol w:w="5037"/>
      </w:tblGrid>
      <w:tr w:rsidR="00F43AD5" w:rsidRPr="004C23F4" w:rsidTr="00B76A41">
        <w:trPr>
          <w:cantSplit/>
          <w:tblHeader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:rsidR="00F43AD5" w:rsidRPr="00717D45" w:rsidRDefault="00373D06" w:rsidP="00B76A41">
            <w:pPr>
              <w:pStyle w:val="Tablefont"/>
            </w:pPr>
            <w:r>
              <w:t>64-19-7</w:t>
            </w:r>
          </w:p>
        </w:tc>
      </w:tr>
      <w:tr w:rsidR="00F43AD5" w:rsidRPr="004C23F4" w:rsidTr="00B76A41">
        <w:trPr>
          <w:cantSplit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:rsidR="00F43AD5" w:rsidRPr="00717D45" w:rsidRDefault="00DF46B3" w:rsidP="00B76A41">
            <w:pPr>
              <w:pStyle w:val="Tablefont"/>
            </w:pPr>
            <w:r w:rsidRPr="00DF46B3">
              <w:t>ethanoic acid; ethylic acid; methane carboxylic acid</w:t>
            </w:r>
            <w:r w:rsidR="00C42C39">
              <w:t>; glacial acetic acid; vinegar acid</w:t>
            </w:r>
          </w:p>
        </w:tc>
      </w:tr>
      <w:tr w:rsidR="00F43AD5" w:rsidRPr="004C23F4" w:rsidTr="00B76A41">
        <w:trPr>
          <w:cantSplit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:rsidR="00F43AD5" w:rsidRPr="00717D45" w:rsidRDefault="00DF46B3" w:rsidP="00B76A41">
            <w:pPr>
              <w:pStyle w:val="Tablefont"/>
            </w:pPr>
            <w:r w:rsidRPr="00DF46B3">
              <w:t>C</w:t>
            </w:r>
            <w:r w:rsidRPr="00DF46B3">
              <w:rPr>
                <w:vertAlign w:val="subscript"/>
              </w:rPr>
              <w:t>2</w:t>
            </w:r>
            <w:r w:rsidRPr="00DF46B3">
              <w:t>H</w:t>
            </w:r>
            <w:r w:rsidRPr="00DF46B3">
              <w:rPr>
                <w:vertAlign w:val="subscript"/>
              </w:rPr>
              <w:t>4</w:t>
            </w:r>
            <w:r w:rsidRPr="00DF46B3">
              <w:t>O</w:t>
            </w:r>
            <w:r w:rsidRPr="00DF46B3">
              <w:rPr>
                <w:vertAlign w:val="subscript"/>
              </w:rPr>
              <w:t>2</w:t>
            </w:r>
          </w:p>
        </w:tc>
      </w:tr>
      <w:tr w:rsidR="00F43AD5" w:rsidRPr="004C23F4" w:rsidTr="00B76A41">
        <w:trPr>
          <w:cantSplit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2C0F59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:rsidTr="00610F2E">
        <w:trPr>
          <w:cantSplit/>
          <w:tblHeader/>
        </w:trPr>
        <w:tc>
          <w:tcPr>
            <w:tcW w:w="4077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:rsidR="002C7AFE" w:rsidRPr="00EB3D1B" w:rsidRDefault="002C0F5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10 ppm (25 mg/m</w:t>
            </w:r>
            <w:r w:rsidRPr="002C0F59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:rsidTr="00921DE7">
        <w:trPr>
          <w:cantSplit/>
        </w:trPr>
        <w:tc>
          <w:tcPr>
            <w:tcW w:w="4077" w:type="dxa"/>
            <w:vAlign w:val="center"/>
          </w:tcPr>
          <w:p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:rsidR="002C7AFE" w:rsidRPr="00205A34" w:rsidRDefault="007C7925" w:rsidP="00017C82">
            <w:pPr>
              <w:pStyle w:val="Tablefont"/>
              <w:rPr>
                <w:b/>
              </w:rPr>
            </w:pPr>
            <w:r w:rsidRPr="007C7925">
              <w:rPr>
                <w:b/>
              </w:rPr>
              <w:t>15 ppm (37 mg/m</w:t>
            </w:r>
            <w:r w:rsidRPr="00205A34">
              <w:rPr>
                <w:b/>
                <w:vertAlign w:val="superscript"/>
              </w:rPr>
              <w:t>3</w:t>
            </w:r>
            <w:r w:rsidR="00205A34">
              <w:rPr>
                <w:b/>
              </w:rPr>
              <w:t>)</w:t>
            </w:r>
          </w:p>
        </w:tc>
      </w:tr>
      <w:tr w:rsidR="002C7AFE" w:rsidRPr="004C23F4" w:rsidTr="00921DE7">
        <w:trPr>
          <w:cantSplit/>
        </w:trPr>
        <w:tc>
          <w:tcPr>
            <w:tcW w:w="4077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:rsidR="002C7AFE" w:rsidRPr="00EB3D1B" w:rsidRDefault="00CA5B4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A2073D">
        <w:trPr>
          <w:cantSplit/>
        </w:trPr>
        <w:tc>
          <w:tcPr>
            <w:tcW w:w="4077" w:type="dxa"/>
          </w:tcPr>
          <w:p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:rsidR="002C7AFE" w:rsidRPr="00EB3D1B" w:rsidRDefault="00CA5B41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921DE7">
        <w:trPr>
          <w:cantSplit/>
        </w:trPr>
        <w:tc>
          <w:tcPr>
            <w:tcW w:w="4077" w:type="dxa"/>
            <w:vAlign w:val="center"/>
          </w:tcPr>
          <w:p w:rsidR="00F10C97" w:rsidRPr="002C58FF" w:rsidRDefault="00921DE7" w:rsidP="00B5314F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:rsidR="002C7AFE" w:rsidRPr="00EB3D1B" w:rsidRDefault="007C7925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50 ppm</w:t>
            </w:r>
          </w:p>
        </w:tc>
      </w:tr>
      <w:tr w:rsidR="00B5314F" w:rsidRPr="004C23F4" w:rsidTr="00B5314F">
        <w:trPr>
          <w:cantSplit/>
        </w:trPr>
        <w:tc>
          <w:tcPr>
            <w:tcW w:w="4077" w:type="dxa"/>
          </w:tcPr>
          <w:p w:rsidR="00B5314F" w:rsidRDefault="00B5314F" w:rsidP="00B5314F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:rsidR="00B5314F" w:rsidRPr="00B5314F" w:rsidRDefault="00B5314F" w:rsidP="00017C82">
            <w:pPr>
              <w:pStyle w:val="Tablefont"/>
            </w:pPr>
            <w:r w:rsidRPr="00B5314F">
              <w:t xml:space="preserve">The recommended value is readily quantifiable through currently available sampling and analysis techniques. </w:t>
            </w:r>
            <w:bookmarkStart w:id="0" w:name="_GoBack"/>
            <w:bookmarkEnd w:id="0"/>
          </w:p>
        </w:tc>
      </w:tr>
    </w:tbl>
    <w:p w:rsidR="00CB1CB1" w:rsidRPr="003365A5" w:rsidRDefault="00F10C97" w:rsidP="003365A5">
      <w:pPr>
        <w:pStyle w:val="Heading2"/>
      </w:pPr>
      <w:r>
        <w:t>Recommendation and basis for workplace exposure standard</w:t>
      </w:r>
    </w:p>
    <w:p w:rsidR="006639B4" w:rsidRDefault="00205A34" w:rsidP="000C139A">
      <w:r>
        <w:t xml:space="preserve">The TWA of </w:t>
      </w:r>
      <w:r w:rsidRPr="00205A34">
        <w:t>10 ppm (25 mg/m</w:t>
      </w:r>
      <w:r w:rsidRPr="00205A34">
        <w:rPr>
          <w:vertAlign w:val="superscript"/>
        </w:rPr>
        <w:t>3</w:t>
      </w:r>
      <w:r w:rsidRPr="00205A34">
        <w:t>)</w:t>
      </w:r>
      <w:r>
        <w:rPr>
          <w:b/>
        </w:rPr>
        <w:t xml:space="preserve"> </w:t>
      </w:r>
      <w:r w:rsidR="00A5478A">
        <w:t xml:space="preserve">is recommended to </w:t>
      </w:r>
      <w:r>
        <w:t xml:space="preserve">protect </w:t>
      </w:r>
      <w:r w:rsidR="00A5478A">
        <w:rPr>
          <w:rFonts w:cs="Arial"/>
        </w:rPr>
        <w:t xml:space="preserve">for </w:t>
      </w:r>
      <w:r>
        <w:t>irritant effects</w:t>
      </w:r>
      <w:r w:rsidR="00CD771E">
        <w:t xml:space="preserve"> and chronic respiratory conditions</w:t>
      </w:r>
      <w:r>
        <w:t xml:space="preserve"> in </w:t>
      </w:r>
      <w:r w:rsidR="008608FD">
        <w:t xml:space="preserve">exposed </w:t>
      </w:r>
      <w:r>
        <w:t xml:space="preserve">workers. </w:t>
      </w:r>
    </w:p>
    <w:p w:rsidR="00205A34" w:rsidRPr="004C23F4" w:rsidRDefault="00205A34" w:rsidP="000C139A">
      <w:pPr>
        <w:rPr>
          <w:rFonts w:cs="Arial"/>
        </w:rPr>
      </w:pPr>
      <w:r>
        <w:t xml:space="preserve">A STEL of </w:t>
      </w:r>
      <w:r w:rsidRPr="00205A34">
        <w:t>15 ppm (37 mg/m</w:t>
      </w:r>
      <w:r w:rsidRPr="00205A34">
        <w:rPr>
          <w:vertAlign w:val="superscript"/>
        </w:rPr>
        <w:t>3</w:t>
      </w:r>
      <w:r w:rsidRPr="00205A34">
        <w:t>)</w:t>
      </w:r>
      <w:r>
        <w:t xml:space="preserve"> is recommended to protect </w:t>
      </w:r>
      <w:r w:rsidR="00512906">
        <w:t>for</w:t>
      </w:r>
      <w:r>
        <w:t xml:space="preserve"> </w:t>
      </w:r>
      <w:r w:rsidR="00512906">
        <w:t>irritant effects in relation to acute exposures in the workplace</w:t>
      </w:r>
      <w:r w:rsidR="00555B6E">
        <w:t>.</w:t>
      </w:r>
    </w:p>
    <w:p w:rsidR="00C7155E" w:rsidRPr="004C23F4" w:rsidRDefault="00F10C97" w:rsidP="003365A5">
      <w:pPr>
        <w:pStyle w:val="Heading2"/>
      </w:pPr>
      <w:r>
        <w:t>Discussion and conclusions</w:t>
      </w:r>
    </w:p>
    <w:p w:rsidR="00752BE1" w:rsidRDefault="00752BE1" w:rsidP="00512906">
      <w:pPr>
        <w:rPr>
          <w:rFonts w:cs="Arial"/>
        </w:rPr>
      </w:pPr>
      <w:r>
        <w:rPr>
          <w:rFonts w:cs="Arial"/>
        </w:rPr>
        <w:t xml:space="preserve">The critical effects of exposure are irritation of the mucous membranes and chronic respiratory </w:t>
      </w:r>
      <w:r w:rsidR="006736BA">
        <w:rPr>
          <w:rFonts w:cs="Arial"/>
        </w:rPr>
        <w:t xml:space="preserve">symptoms. </w:t>
      </w:r>
      <w:r w:rsidR="00512906">
        <w:rPr>
          <w:rFonts w:cs="Arial"/>
        </w:rPr>
        <w:t xml:space="preserve">Data </w:t>
      </w:r>
      <w:r w:rsidR="00CD771E">
        <w:rPr>
          <w:rFonts w:cs="Arial"/>
        </w:rPr>
        <w:t xml:space="preserve">from human studies </w:t>
      </w:r>
      <w:r w:rsidR="00512906">
        <w:rPr>
          <w:rFonts w:cs="Arial"/>
        </w:rPr>
        <w:t xml:space="preserve">indicate that exposures </w:t>
      </w:r>
      <w:r w:rsidR="00CD771E">
        <w:rPr>
          <w:rFonts w:cs="Arial"/>
        </w:rPr>
        <w:t>below</w:t>
      </w:r>
      <w:r w:rsidR="00512906">
        <w:rPr>
          <w:rFonts w:cs="Arial"/>
        </w:rPr>
        <w:t xml:space="preserve"> </w:t>
      </w:r>
      <w:r w:rsidR="00CD771E">
        <w:rPr>
          <w:rFonts w:cs="Arial"/>
        </w:rPr>
        <w:t>10</w:t>
      </w:r>
      <w:r w:rsidR="00512906">
        <w:rPr>
          <w:rFonts w:cs="Arial"/>
        </w:rPr>
        <w:t xml:space="preserve"> ppm </w:t>
      </w:r>
      <w:r w:rsidR="00CD771E">
        <w:rPr>
          <w:rFonts w:cs="Arial"/>
        </w:rPr>
        <w:t>are</w:t>
      </w:r>
      <w:r w:rsidR="00E3616F">
        <w:rPr>
          <w:rFonts w:cs="Arial"/>
        </w:rPr>
        <w:t xml:space="preserve"> reported to be</w:t>
      </w:r>
      <w:r w:rsidR="00CD771E">
        <w:rPr>
          <w:rFonts w:cs="Arial"/>
        </w:rPr>
        <w:t xml:space="preserve"> relatively non</w:t>
      </w:r>
      <w:r w:rsidR="00555B6E">
        <w:rPr>
          <w:rFonts w:cs="Arial"/>
        </w:rPr>
        <w:t>-</w:t>
      </w:r>
      <w:r w:rsidR="00CD771E">
        <w:rPr>
          <w:rFonts w:cs="Arial"/>
        </w:rPr>
        <w:t>irritating</w:t>
      </w:r>
      <w:r w:rsidR="006736BA">
        <w:rPr>
          <w:rFonts w:cs="Arial"/>
        </w:rPr>
        <w:t xml:space="preserve"> and not associated with chronic respiratory symptoms (ACGIH, 2018). A</w:t>
      </w:r>
      <w:r w:rsidR="00E3616F">
        <w:rPr>
          <w:rFonts w:cs="Arial"/>
        </w:rPr>
        <w:t xml:space="preserve"> later</w:t>
      </w:r>
      <w:r w:rsidR="00555B6E">
        <w:rPr>
          <w:rFonts w:cs="Arial"/>
        </w:rPr>
        <w:t>a</w:t>
      </w:r>
      <w:r w:rsidR="00E3616F">
        <w:rPr>
          <w:rFonts w:cs="Arial"/>
        </w:rPr>
        <w:t>lisation (irritation) threshold</w:t>
      </w:r>
      <w:r w:rsidR="006736BA">
        <w:rPr>
          <w:rFonts w:cs="Arial"/>
        </w:rPr>
        <w:t xml:space="preserve"> was</w:t>
      </w:r>
      <w:r w:rsidR="00E3616F">
        <w:rPr>
          <w:rFonts w:cs="Arial"/>
        </w:rPr>
        <w:t xml:space="preserve"> identified at 40 ppm</w:t>
      </w:r>
      <w:r w:rsidR="006736BA">
        <w:rPr>
          <w:rFonts w:cs="Arial"/>
        </w:rPr>
        <w:t xml:space="preserve"> with no systemic effects identified at concentrations related to excessive irritation effects</w:t>
      </w:r>
      <w:r w:rsidR="006736BA" w:rsidRPr="006736BA">
        <w:rPr>
          <w:rFonts w:cs="Arial"/>
        </w:rPr>
        <w:t xml:space="preserve"> </w:t>
      </w:r>
      <w:r w:rsidR="00150835">
        <w:rPr>
          <w:rFonts w:cs="Arial"/>
        </w:rPr>
        <w:t>(DFG, 2008; SCOEL, 2012).</w:t>
      </w:r>
    </w:p>
    <w:p w:rsidR="00512906" w:rsidRDefault="00512906" w:rsidP="00512906">
      <w:pPr>
        <w:rPr>
          <w:rFonts w:cs="Arial"/>
        </w:rPr>
      </w:pPr>
      <w:r>
        <w:rPr>
          <w:rFonts w:cs="Arial"/>
        </w:rPr>
        <w:t xml:space="preserve">The recommended </w:t>
      </w:r>
      <w:r w:rsidR="008B77BA">
        <w:rPr>
          <w:rFonts w:cs="Arial"/>
        </w:rPr>
        <w:t>TWA and STEL</w:t>
      </w:r>
      <w:r>
        <w:rPr>
          <w:rFonts w:cs="Arial"/>
        </w:rPr>
        <w:t xml:space="preserve"> </w:t>
      </w:r>
      <w:r w:rsidR="008B77BA">
        <w:rPr>
          <w:rFonts w:cs="Arial"/>
        </w:rPr>
        <w:t>are expected</w:t>
      </w:r>
      <w:r>
        <w:t xml:space="preserve"> to </w:t>
      </w:r>
      <w:r w:rsidR="008B77BA">
        <w:t>protect</w:t>
      </w:r>
      <w:r>
        <w:t xml:space="preserve"> </w:t>
      </w:r>
      <w:r w:rsidR="00627C77">
        <w:t>for</w:t>
      </w:r>
      <w:r w:rsidR="00D103FF">
        <w:t xml:space="preserve"> </w:t>
      </w:r>
      <w:r w:rsidR="008B77BA">
        <w:t>irritation effects and reduce the risk of the development of chronic respiratory symptoms</w:t>
      </w:r>
      <w:r>
        <w:t xml:space="preserve"> in workers</w:t>
      </w:r>
      <w:r w:rsidR="00CA5B41">
        <w:t xml:space="preserve"> exposed at the workplace</w:t>
      </w:r>
      <w:r>
        <w:t>.</w:t>
      </w:r>
    </w:p>
    <w:p w:rsidR="004529F0" w:rsidRPr="004C23F4" w:rsidRDefault="004529F0" w:rsidP="004529F0">
      <w:pPr>
        <w:pStyle w:val="Heading2"/>
      </w:pPr>
      <w:r>
        <w:t>Recommendation for notations</w:t>
      </w:r>
    </w:p>
    <w:p w:rsidR="00512906" w:rsidRDefault="00555B6E" w:rsidP="00512906">
      <w:r>
        <w:t>Not</w:t>
      </w:r>
      <w:r w:rsidR="00A62C66">
        <w:t xml:space="preserve"> classified as a carcinogen according to the Globally Harmonized System of Classification and Labelling of Chemicals</w:t>
      </w:r>
      <w:r>
        <w:t xml:space="preserve"> (GHS)</w:t>
      </w:r>
      <w:r w:rsidR="00D60B1D">
        <w:t>.</w:t>
      </w:r>
    </w:p>
    <w:p w:rsidR="00D60B1D" w:rsidRDefault="00555B6E" w:rsidP="00D60B1D">
      <w:r>
        <w:t>Not</w:t>
      </w:r>
      <w:r w:rsidR="00D60B1D">
        <w:t xml:space="preserve"> classified as a skin </w:t>
      </w:r>
      <w:r w:rsidR="00FE405E">
        <w:t>sensitiser or</w:t>
      </w:r>
      <w:r w:rsidR="00D60B1D">
        <w:t xml:space="preserve"> respiratory sensitiser according to the G</w:t>
      </w:r>
      <w:r>
        <w:t>HS</w:t>
      </w:r>
      <w:r w:rsidR="00D60B1D">
        <w:t>.</w:t>
      </w:r>
    </w:p>
    <w:p w:rsidR="004529F0" w:rsidRPr="004C23F4" w:rsidRDefault="00205A34" w:rsidP="004529F0">
      <w:pPr>
        <w:rPr>
          <w:rFonts w:cs="Arial"/>
        </w:rPr>
      </w:pPr>
      <w:r>
        <w:t xml:space="preserve">A skin notation is not </w:t>
      </w:r>
      <w:r w:rsidR="00260257">
        <w:t xml:space="preserve">recommended </w:t>
      </w:r>
      <w:r>
        <w:t xml:space="preserve">as there is no indication </w:t>
      </w:r>
      <w:r w:rsidR="00512906">
        <w:t xml:space="preserve">of systemic effects </w:t>
      </w:r>
      <w:r w:rsidR="00D60B1D">
        <w:t xml:space="preserve">resulting from </w:t>
      </w:r>
      <w:r w:rsidR="00512906">
        <w:t>skin absorption</w:t>
      </w:r>
      <w:r w:rsidR="00555B6E">
        <w:t xml:space="preserve">. </w:t>
      </w:r>
    </w:p>
    <w:p w:rsidR="0025734A" w:rsidRPr="004C23F4" w:rsidRDefault="0025734A">
      <w:pPr>
        <w:rPr>
          <w:rFonts w:cs="Arial"/>
        </w:rPr>
      </w:pPr>
    </w:p>
    <w:p w:rsidR="005E6979" w:rsidRPr="004C23F4" w:rsidRDefault="005E6979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:rsidR="008D026D" w:rsidRPr="003365A5" w:rsidRDefault="00B479A9" w:rsidP="0023051F">
      <w:pPr>
        <w:pStyle w:val="Heading2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373D06">
                  <w:t>1996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rPr>
                  <w:szCs w:val="20"/>
                </w:r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sdt>
                  <w:sdtPr>
                    <w:rPr>
                      <w:szCs w:val="20"/>
                    </w:rPr>
                    <w:alias w:val="SWA WES"/>
                    <w:tag w:val="SWA WES"/>
                    <w:id w:val="-1376230627"/>
                    <w:placeholder>
                      <w:docPart w:val="B197B4D42BC84C7CA5DE92E82BF99029"/>
                    </w:placeholder>
                  </w:sdtPr>
                  <w:sdtEndPr/>
                  <w:sdtContent>
                    <w:r w:rsidR="00373D06" w:rsidRPr="00CA5B41">
                      <w:rPr>
                        <w:szCs w:val="20"/>
                      </w:rPr>
                      <w:t xml:space="preserve">TWA: 10 ppm (25 </w:t>
                    </w:r>
                    <w:r w:rsidR="00373D06" w:rsidRPr="00CA5B41">
                      <w:rPr>
                        <w:rFonts w:cs="Arial"/>
                        <w:szCs w:val="20"/>
                      </w:rPr>
                      <w:t>mg/m</w:t>
                    </w:r>
                    <w:r w:rsidR="00373D06" w:rsidRPr="00CA5B41">
                      <w:rPr>
                        <w:rFonts w:cs="Arial"/>
                        <w:szCs w:val="20"/>
                        <w:vertAlign w:val="superscript"/>
                      </w:rPr>
                      <w:t>3</w:t>
                    </w:r>
                    <w:r w:rsidR="00373D06" w:rsidRPr="00CA5B41">
                      <w:rPr>
                        <w:szCs w:val="20"/>
                      </w:rPr>
                      <w:t>); STEL: 15 ppm (37 mg/m</w:t>
                    </w:r>
                    <w:r w:rsidR="00373D06" w:rsidRPr="00CA5B41">
                      <w:rPr>
                        <w:szCs w:val="20"/>
                        <w:vertAlign w:val="superscript"/>
                      </w:rPr>
                      <w:t>3</w:t>
                    </w:r>
                    <w:r w:rsidR="00373D06" w:rsidRPr="00CA5B41">
                      <w:rPr>
                        <w:szCs w:val="20"/>
                      </w:rPr>
                      <w:t>)</w:t>
                    </w:r>
                  </w:sdtContent>
                </w:sdt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373D06">
                  <w:t>2018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373D06">
                  <w:t xml:space="preserve">TLV-TWA: </w:t>
                </w:r>
                <w:r w:rsidR="00373D06" w:rsidRPr="00CA5B41">
                  <w:rPr>
                    <w:szCs w:val="20"/>
                  </w:rPr>
                  <w:t xml:space="preserve">10 ppm (25 </w:t>
                </w:r>
                <w:r w:rsidR="00373D06" w:rsidRPr="00CA5B41">
                  <w:rPr>
                    <w:rFonts w:cs="Arial"/>
                    <w:szCs w:val="20"/>
                  </w:rPr>
                  <w:t>mg/m</w:t>
                </w:r>
                <w:r w:rsidR="00373D06" w:rsidRPr="00CA5B41">
                  <w:rPr>
                    <w:rFonts w:cs="Arial"/>
                    <w:szCs w:val="20"/>
                    <w:vertAlign w:val="superscript"/>
                  </w:rPr>
                  <w:t>3</w:t>
                </w:r>
                <w:r w:rsidR="00373D06" w:rsidRPr="00CA5B41">
                  <w:rPr>
                    <w:szCs w:val="20"/>
                  </w:rPr>
                  <w:t>); TLV-STEL: 15 ppm (37 mg/m</w:t>
                </w:r>
                <w:r w:rsidR="00373D06" w:rsidRPr="00CA5B41">
                  <w:rPr>
                    <w:szCs w:val="20"/>
                    <w:vertAlign w:val="superscript"/>
                  </w:rPr>
                  <w:t>3</w:t>
                </w:r>
              </w:sdtContent>
            </w:sdt>
            <w:r w:rsidR="00CA5B41">
              <w:t>)</w:t>
            </w: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Default="004C666C" w:rsidP="003365A5">
            <w:pPr>
              <w:pStyle w:val="Tabletextprimarysource"/>
            </w:pPr>
            <w:r w:rsidRPr="004C666C">
              <w:t>TLV-</w:t>
            </w:r>
            <w:r>
              <w:t>TWA</w:t>
            </w:r>
            <w:r w:rsidRPr="004C666C">
              <w:t xml:space="preserve"> </w:t>
            </w:r>
            <w:r w:rsidR="004D4587">
              <w:t xml:space="preserve">and TLV-STEL </w:t>
            </w:r>
            <w:r w:rsidR="00CA5B41">
              <w:t>recommended to reduce the possibility of</w:t>
            </w:r>
            <w:r w:rsidR="004D4587">
              <w:t xml:space="preserve"> upper airway irritation and development of chronic respiratory symptoms in exposed workers.</w:t>
            </w:r>
            <w:r w:rsidRPr="004C666C">
              <w:t xml:space="preserve"> </w:t>
            </w:r>
          </w:p>
          <w:p w:rsidR="004C7E3D" w:rsidRDefault="004C7E3D" w:rsidP="003365A5">
            <w:pPr>
              <w:pStyle w:val="Tabletextprimarysource"/>
            </w:pPr>
            <w:r>
              <w:t>Summary of data:</w:t>
            </w:r>
          </w:p>
          <w:p w:rsidR="004C7E3D" w:rsidRDefault="004C7E3D" w:rsidP="001A148A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Human </w:t>
            </w:r>
            <w:r w:rsidR="00952E6B">
              <w:t>studies:</w:t>
            </w:r>
          </w:p>
          <w:p w:rsidR="00952E6B" w:rsidRDefault="00952E6B" w:rsidP="006C7626">
            <w:pPr>
              <w:pStyle w:val="ListBullet"/>
              <w:spacing w:before="0" w:after="80"/>
              <w:ind w:left="714" w:hanging="357"/>
              <w:contextualSpacing w:val="0"/>
            </w:pPr>
            <w:r>
              <w:t>In industrial setting</w:t>
            </w:r>
            <w:r w:rsidR="00637C60">
              <w:t>s,</w:t>
            </w:r>
            <w:r>
              <w:t xml:space="preserve"> exposures</w:t>
            </w:r>
            <w:r w:rsidR="00FE405E">
              <w:t xml:space="preserve"> </w:t>
            </w:r>
            <w:r w:rsidR="000335DA">
              <w:t xml:space="preserve">at </w:t>
            </w:r>
            <w:r w:rsidRPr="003343A2">
              <w:t>10</w:t>
            </w:r>
            <w:r>
              <w:t xml:space="preserve"> ppm </w:t>
            </w:r>
            <w:r w:rsidR="00637C60">
              <w:t xml:space="preserve">were reported </w:t>
            </w:r>
            <w:r w:rsidR="000335DA">
              <w:t>as</w:t>
            </w:r>
            <w:r>
              <w:t xml:space="preserve"> relatively non</w:t>
            </w:r>
            <w:r w:rsidR="00C42C39">
              <w:noBreakHyphen/>
            </w:r>
            <w:r>
              <w:t>irritating</w:t>
            </w:r>
          </w:p>
          <w:p w:rsidR="00952E6B" w:rsidRDefault="00952E6B" w:rsidP="006C7626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Exposures </w:t>
            </w:r>
            <w:r w:rsidR="000335DA">
              <w:t xml:space="preserve">at </w:t>
            </w:r>
            <w:r w:rsidRPr="003343A2">
              <w:t>20</w:t>
            </w:r>
            <w:r w:rsidR="00FE405E">
              <w:t>–</w:t>
            </w:r>
            <w:r>
              <w:t xml:space="preserve">30 ppm </w:t>
            </w:r>
            <w:r w:rsidR="000335DA">
              <w:t>not considered dangerous</w:t>
            </w:r>
          </w:p>
          <w:p w:rsidR="00952E6B" w:rsidRDefault="008608FD" w:rsidP="006C7626">
            <w:pPr>
              <w:pStyle w:val="ListBullet"/>
              <w:spacing w:before="0" w:after="80"/>
              <w:ind w:left="714" w:hanging="357"/>
              <w:contextualSpacing w:val="0"/>
            </w:pPr>
            <w:r>
              <w:t>Workers exposed to 60 ppm (7</w:t>
            </w:r>
            <w:r w:rsidR="00FE405E">
              <w:t>–</w:t>
            </w:r>
            <w:r w:rsidR="00952E6B">
              <w:t xml:space="preserve">12 </w:t>
            </w:r>
            <w:r w:rsidR="004F77C6">
              <w:t>yr</w:t>
            </w:r>
            <w:r w:rsidR="00952E6B">
              <w:t xml:space="preserve">) plus 1 </w:t>
            </w:r>
            <w:r w:rsidR="00952E6B" w:rsidRPr="003343A2">
              <w:t>h</w:t>
            </w:r>
            <w:r w:rsidR="00952E6B">
              <w:t xml:space="preserve"> daily at 100</w:t>
            </w:r>
            <w:r w:rsidR="00FE405E">
              <w:t>–</w:t>
            </w:r>
            <w:r w:rsidR="00952E6B">
              <w:t xml:space="preserve">260 ppm had no injury except slight </w:t>
            </w:r>
            <w:r w:rsidR="000335DA">
              <w:t xml:space="preserve">respiratory tract </w:t>
            </w:r>
            <w:r w:rsidR="00952E6B">
              <w:t>irritation</w:t>
            </w:r>
          </w:p>
          <w:p w:rsidR="004B1285" w:rsidRDefault="00C81504" w:rsidP="004B1285">
            <w:pPr>
              <w:pStyle w:val="ListBullet"/>
              <w:spacing w:before="0" w:after="0"/>
              <w:ind w:left="714" w:hanging="357"/>
              <w:contextualSpacing w:val="0"/>
            </w:pPr>
            <w:r>
              <w:t>In a</w:t>
            </w:r>
            <w:r w:rsidR="00532631">
              <w:t xml:space="preserve"> study involving 18 male volunteers</w:t>
            </w:r>
            <w:r>
              <w:t>, subjects</w:t>
            </w:r>
            <w:r w:rsidR="00F23262">
              <w:t xml:space="preserve"> reported odour initially, but</w:t>
            </w:r>
            <w:r>
              <w:t xml:space="preserve"> did not report unpleasant upper respiratory changes</w:t>
            </w:r>
            <w:r w:rsidR="00CD771E">
              <w:t xml:space="preserve"> when exposed to</w:t>
            </w:r>
            <w:r>
              <w:t xml:space="preserve"> concentrations </w:t>
            </w:r>
            <w:r w:rsidR="000335DA">
              <w:t xml:space="preserve">of </w:t>
            </w:r>
            <w:r w:rsidR="00C42C39">
              <w:t>2</w:t>
            </w:r>
            <w:r w:rsidR="00FE405E">
              <w:t>–</w:t>
            </w:r>
            <w:r w:rsidR="000335DA">
              <w:t xml:space="preserve">10 </w:t>
            </w:r>
            <w:r w:rsidR="00532631">
              <w:t>ppm</w:t>
            </w:r>
            <w:r w:rsidR="004B1285">
              <w:t> </w:t>
            </w:r>
          </w:p>
          <w:p w:rsidR="00532631" w:rsidRDefault="000369AB" w:rsidP="004B1285">
            <w:pPr>
              <w:pStyle w:val="ListBullet"/>
              <w:numPr>
                <w:ilvl w:val="0"/>
                <w:numId w:val="0"/>
              </w:numPr>
              <w:spacing w:before="0" w:after="80"/>
              <w:ind w:left="714"/>
              <w:contextualSpacing w:val="0"/>
            </w:pPr>
            <w:r>
              <w:t>(</w:t>
            </w:r>
            <w:r w:rsidR="000335DA">
              <w:t>15</w:t>
            </w:r>
            <w:r w:rsidR="00FE405E">
              <w:t>–</w:t>
            </w:r>
            <w:r>
              <w:t>22</w:t>
            </w:r>
            <w:r w:rsidR="00FE405E">
              <w:t> </w:t>
            </w:r>
            <w:r>
              <w:t>d)</w:t>
            </w:r>
          </w:p>
          <w:p w:rsidR="004D2B93" w:rsidRDefault="004D2B93" w:rsidP="006C7626">
            <w:pPr>
              <w:pStyle w:val="ListBullet"/>
              <w:spacing w:before="0" w:after="80"/>
              <w:ind w:left="714" w:hanging="357"/>
              <w:contextualSpacing w:val="0"/>
            </w:pPr>
            <w:r>
              <w:t>Odour threshold of 0.48 to 1 ppm</w:t>
            </w:r>
            <w:r w:rsidR="00FE405E">
              <w:t>.</w:t>
            </w:r>
          </w:p>
          <w:p w:rsidR="004D2B93" w:rsidRDefault="004D2B93" w:rsidP="008608FD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:rsidR="00952E6B" w:rsidRDefault="00952E6B" w:rsidP="001A148A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studies:</w:t>
            </w:r>
          </w:p>
          <w:p w:rsidR="00952E6B" w:rsidRDefault="00952E6B" w:rsidP="006C7626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Inhalation of concentrations </w:t>
            </w:r>
            <w:r w:rsidR="008608FD">
              <w:t>&gt;1</w:t>
            </w:r>
            <w:r w:rsidR="00241556">
              <w:t>,</w:t>
            </w:r>
            <w:r>
              <w:t>000 ppm produced upper respiratory</w:t>
            </w:r>
            <w:r w:rsidR="00684A32">
              <w:t xml:space="preserve"> tract</w:t>
            </w:r>
            <w:r>
              <w:t xml:space="preserve"> irritation</w:t>
            </w:r>
            <w:r w:rsidR="00532631">
              <w:t xml:space="preserve"> and conjunctiva in mice</w:t>
            </w:r>
          </w:p>
          <w:p w:rsidR="00532631" w:rsidRDefault="00532631" w:rsidP="006C7626">
            <w:pPr>
              <w:pStyle w:val="ListBullet"/>
              <w:spacing w:before="0" w:after="80"/>
              <w:ind w:left="714" w:hanging="357"/>
              <w:contextualSpacing w:val="0"/>
            </w:pPr>
            <w:r>
              <w:t>LC</w:t>
            </w:r>
            <w:r w:rsidRPr="00573763">
              <w:rPr>
                <w:vertAlign w:val="subscript"/>
              </w:rPr>
              <w:t>50</w:t>
            </w:r>
            <w:r w:rsidR="00C42C39">
              <w:t>:</w:t>
            </w:r>
            <w:r>
              <w:t xml:space="preserve"> 5</w:t>
            </w:r>
            <w:r w:rsidR="00241556">
              <w:t>,</w:t>
            </w:r>
            <w:r>
              <w:t>620 ppm (</w:t>
            </w:r>
            <w:r w:rsidR="00C42C39" w:rsidRPr="003343A2">
              <w:t>1 h</w:t>
            </w:r>
            <w:r w:rsidR="00C42C39">
              <w:t xml:space="preserve">, </w:t>
            </w:r>
            <w:r>
              <w:t>mice)</w:t>
            </w:r>
          </w:p>
          <w:p w:rsidR="00532631" w:rsidRDefault="00532631" w:rsidP="006C7626">
            <w:pPr>
              <w:pStyle w:val="ListBullet"/>
              <w:spacing w:before="0" w:after="80"/>
              <w:ind w:left="714" w:hanging="357"/>
              <w:contextualSpacing w:val="0"/>
            </w:pPr>
            <w:r>
              <w:t>Limited evidence on the effects of repeated inhalation exposures</w:t>
            </w:r>
          </w:p>
          <w:p w:rsidR="008B236E" w:rsidRDefault="008B236E" w:rsidP="006C7626">
            <w:pPr>
              <w:pStyle w:val="ListBullet"/>
              <w:spacing w:before="0" w:after="80"/>
              <w:ind w:left="714" w:hanging="357"/>
              <w:contextualSpacing w:val="0"/>
            </w:pPr>
            <w:r>
              <w:t>LD</w:t>
            </w:r>
            <w:r w:rsidRPr="00573763">
              <w:rPr>
                <w:vertAlign w:val="subscript"/>
              </w:rPr>
              <w:softHyphen/>
            </w:r>
            <w:r w:rsidR="00DE558F" w:rsidRPr="00573763">
              <w:rPr>
                <w:vertAlign w:val="subscript"/>
              </w:rPr>
              <w:t>50</w:t>
            </w:r>
            <w:r w:rsidR="00C42C39">
              <w:t xml:space="preserve">: </w:t>
            </w:r>
            <w:r w:rsidR="00DE558F">
              <w:t>1</w:t>
            </w:r>
            <w:r w:rsidR="00241556">
              <w:t>,</w:t>
            </w:r>
            <w:r w:rsidR="00DE558F">
              <w:t>060 mg/kg (rabbits</w:t>
            </w:r>
            <w:r w:rsidR="00555B6E">
              <w:t>, dermal</w:t>
            </w:r>
            <w:r w:rsidR="00DE558F">
              <w:t>)</w:t>
            </w:r>
          </w:p>
          <w:p w:rsidR="00684A32" w:rsidRDefault="00684A32" w:rsidP="006C7626">
            <w:pPr>
              <w:pStyle w:val="ListBullet"/>
              <w:spacing w:before="0" w:after="80"/>
              <w:ind w:left="714" w:hanging="357"/>
              <w:contextualSpacing w:val="0"/>
            </w:pPr>
            <w:r>
              <w:t>RD</w:t>
            </w:r>
            <w:r w:rsidRPr="00573763">
              <w:rPr>
                <w:vertAlign w:val="subscript"/>
              </w:rPr>
              <w:softHyphen/>
              <w:t>50</w:t>
            </w:r>
            <w:r w:rsidRPr="006C7626">
              <w:t xml:space="preserve">: </w:t>
            </w:r>
            <w:r>
              <w:t>163 ppm and 227 ppm (mice)</w:t>
            </w:r>
            <w:r w:rsidR="000476D9">
              <w:t>.</w:t>
            </w:r>
            <w:r>
              <w:t xml:space="preserve"> </w:t>
            </w:r>
          </w:p>
          <w:p w:rsidR="00D95231" w:rsidRDefault="00D95231" w:rsidP="001A148A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32631" w:rsidRDefault="00532631" w:rsidP="001A148A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532631">
              <w:t>No evid</w:t>
            </w:r>
            <w:r w:rsidR="008608FD">
              <w:t>ence of mutagen</w:t>
            </w:r>
            <w:r w:rsidRPr="00532631">
              <w:t>ic effects in identified bacterial reverse mutation assays</w:t>
            </w:r>
            <w:r w:rsidR="008608FD">
              <w:t>.</w:t>
            </w:r>
          </w:p>
          <w:p w:rsidR="004D4587" w:rsidRDefault="004C7E3D" w:rsidP="000D4600">
            <w:pPr>
              <w:pStyle w:val="ListBullet"/>
              <w:numPr>
                <w:ilvl w:val="0"/>
                <w:numId w:val="0"/>
              </w:numPr>
              <w:ind w:left="22" w:hanging="54"/>
            </w:pPr>
            <w:r>
              <w:t>Sufficient data not available to assign a</w:t>
            </w:r>
            <w:r w:rsidR="00555B6E">
              <w:t xml:space="preserve"> sensitiser or skin notation, nor a carcinogen notation</w:t>
            </w:r>
            <w:r w:rsidR="006E6CA0">
              <w:t>.</w:t>
            </w:r>
          </w:p>
          <w:p w:rsidR="00FE405E" w:rsidRPr="00DA352E" w:rsidRDefault="00FE405E" w:rsidP="000D4600">
            <w:pPr>
              <w:pStyle w:val="ListBullet"/>
              <w:numPr>
                <w:ilvl w:val="0"/>
                <w:numId w:val="0"/>
              </w:numPr>
              <w:ind w:left="22" w:hanging="54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FF5BEC">
                  <w:t>2008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sdt>
                  <w:sdtPr>
                    <w:alias w:val="DFG WES equivalent"/>
                    <w:tag w:val="DFG WES equivalent"/>
                    <w:id w:val="-1036661569"/>
                    <w:placeholder>
                      <w:docPart w:val="BD5C05A797BB4166A1896BCCAFAEBFB0"/>
                    </w:placeholder>
                  </w:sdtPr>
                  <w:sdtEndPr/>
                  <w:sdtContent>
                    <w:sdt>
                      <w:sdtPr>
                        <w:alias w:val="DFG WES equivalent"/>
                        <w:tag w:val="DFG WES equivalent"/>
                        <w:id w:val="403492278"/>
                        <w:placeholder>
                          <w:docPart w:val="DFCA2BECC86A4E9F8D5AF2EB75F2FE9F"/>
                        </w:placeholder>
                      </w:sdtPr>
                      <w:sdtEndPr/>
                      <w:sdtContent>
                        <w:r w:rsidR="00FF5BEC">
                          <w:t>MAK: 10 ppm (25 mg/m³)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Default="00FF5BEC" w:rsidP="003365A5">
            <w:pPr>
              <w:pStyle w:val="Tabletextprimarysource"/>
            </w:pPr>
            <w:r>
              <w:t>MAK value based on the avoidance of irritant effects.</w:t>
            </w:r>
          </w:p>
          <w:p w:rsidR="00FF5BEC" w:rsidRDefault="00FF5BEC" w:rsidP="003365A5">
            <w:pPr>
              <w:pStyle w:val="Tabletextprimarysource"/>
            </w:pPr>
            <w:r>
              <w:t>Summary of additional data:</w:t>
            </w:r>
          </w:p>
          <w:p w:rsidR="00FF5BEC" w:rsidRDefault="00627C77" w:rsidP="006C7626">
            <w:pPr>
              <w:pStyle w:val="ListBullet"/>
              <w:spacing w:before="0" w:after="80"/>
              <w:ind w:left="714" w:hanging="357"/>
              <w:contextualSpacing w:val="0"/>
            </w:pPr>
            <w:r>
              <w:t>Human i</w:t>
            </w:r>
            <w:r w:rsidR="00FF5BEC">
              <w:t>rritation threshold</w:t>
            </w:r>
            <w:r>
              <w:t>:</w:t>
            </w:r>
            <w:r w:rsidR="00FF5BEC">
              <w:t xml:space="preserve"> 40 ppm</w:t>
            </w:r>
          </w:p>
          <w:p w:rsidR="004669B0" w:rsidRDefault="00C7286D" w:rsidP="006C7626">
            <w:pPr>
              <w:pStyle w:val="ListBullet"/>
              <w:spacing w:before="0" w:after="80"/>
              <w:ind w:left="714" w:hanging="357"/>
              <w:contextualSpacing w:val="0"/>
            </w:pPr>
            <w:r>
              <w:t>A NOAEC in humans was identified at 10 ppm for subjective effects of irritation to the nose and eyes</w:t>
            </w:r>
            <w:r w:rsidR="006E6CA0">
              <w:t>.</w:t>
            </w:r>
          </w:p>
          <w:p w:rsidR="00FE405E" w:rsidRPr="00DA352E" w:rsidRDefault="00FE405E" w:rsidP="00FE405E">
            <w:pPr>
              <w:pStyle w:val="ListBullet"/>
              <w:numPr>
                <w:ilvl w:val="0"/>
                <w:numId w:val="0"/>
              </w:numPr>
              <w:ind w:left="731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C7286D">
                  <w:t>2</w:t>
                </w:r>
                <w:r w:rsidR="00CD771E">
                  <w:t>012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sdt>
                  <w:sdtPr>
                    <w:alias w:val="DFG WES equivalent"/>
                    <w:tag w:val="DFG WES equivalent"/>
                    <w:id w:val="-1878854425"/>
                    <w:placeholder>
                      <w:docPart w:val="6656CD3D38E9424B982E1D75115ECD09"/>
                    </w:placeholder>
                  </w:sdtPr>
                  <w:sdtEndPr/>
                  <w:sdtContent>
                    <w:r w:rsidR="004669B0">
                      <w:t>TWA: 10 ppm (25 mg/m³)</w:t>
                    </w:r>
                    <w:r w:rsidR="009D321D">
                      <w:t xml:space="preserve">; STEL: </w:t>
                    </w:r>
                    <w:r w:rsidR="008B236E">
                      <w:t>20 ppm (50</w:t>
                    </w:r>
                    <w:r w:rsidR="009D321D">
                      <w:t xml:space="preserve"> mg/m</w:t>
                    </w:r>
                    <w:r w:rsidR="009D321D">
                      <w:rPr>
                        <w:vertAlign w:val="superscript"/>
                      </w:rPr>
                      <w:t>3</w:t>
                    </w:r>
                    <w:r w:rsidR="009D321D">
                      <w:t>)</w:t>
                    </w:r>
                  </w:sdtContent>
                </w:sdt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Default="004669B0" w:rsidP="003365A5">
            <w:pPr>
              <w:pStyle w:val="Tabletextprimarysource"/>
            </w:pPr>
            <w:r>
              <w:t>TWA</w:t>
            </w:r>
            <w:r w:rsidR="008B236E">
              <w:t xml:space="preserve"> based on the avoidance of irritant effects</w:t>
            </w:r>
            <w:r>
              <w:t>.</w:t>
            </w:r>
          </w:p>
          <w:p w:rsidR="004669B0" w:rsidRDefault="004669B0" w:rsidP="003365A5">
            <w:pPr>
              <w:pStyle w:val="Tabletextprimarysource"/>
            </w:pPr>
            <w:r>
              <w:t>Summary of additional data:</w:t>
            </w:r>
          </w:p>
          <w:p w:rsidR="006059C1" w:rsidRDefault="008B236E" w:rsidP="006C7626">
            <w:pPr>
              <w:pStyle w:val="ListBullet"/>
              <w:spacing w:before="0" w:after="80"/>
              <w:ind w:left="714" w:hanging="357"/>
              <w:contextualSpacing w:val="0"/>
            </w:pPr>
            <w:r>
              <w:t>With an</w:t>
            </w:r>
            <w:r w:rsidRPr="008B236E">
              <w:t xml:space="preserve"> irritation threshold</w:t>
            </w:r>
            <w:r>
              <w:t xml:space="preserve"> </w:t>
            </w:r>
            <w:r w:rsidRPr="008B236E">
              <w:t>identified at 40 ppm</w:t>
            </w:r>
            <w:r w:rsidR="001A148A">
              <w:t xml:space="preserve">, </w:t>
            </w:r>
            <w:r>
              <w:t xml:space="preserve">exposures to 20 ppm would not result in noticeable irritation over the short term, </w:t>
            </w:r>
            <w:r w:rsidR="00CD771E">
              <w:t xml:space="preserve">therefore </w:t>
            </w:r>
            <w:r w:rsidR="006E6CA0">
              <w:t>recommending a 20 ppm STEL</w:t>
            </w:r>
          </w:p>
          <w:p w:rsidR="008B77BA" w:rsidRDefault="001A148A" w:rsidP="006C7626">
            <w:pPr>
              <w:pStyle w:val="ListBullet"/>
              <w:spacing w:before="0" w:after="80"/>
              <w:ind w:left="714" w:hanging="357"/>
              <w:contextualSpacing w:val="0"/>
            </w:pPr>
            <w:r>
              <w:t>O</w:t>
            </w:r>
            <w:r w:rsidR="008B77BA">
              <w:t>dour</w:t>
            </w:r>
            <w:r w:rsidR="008B77BA" w:rsidRPr="008B77BA">
              <w:t xml:space="preserve"> may </w:t>
            </w:r>
            <w:r w:rsidR="008B77BA">
              <w:t>affect</w:t>
            </w:r>
            <w:r w:rsidR="008B77BA" w:rsidRPr="008B77BA">
              <w:t xml:space="preserve"> some self</w:t>
            </w:r>
            <w:r w:rsidR="008B77BA">
              <w:t>-</w:t>
            </w:r>
            <w:r w:rsidR="008B77BA" w:rsidRPr="008B77BA">
              <w:t xml:space="preserve">reported ratings of irritation </w:t>
            </w:r>
            <w:r w:rsidR="008B77BA">
              <w:t>by non-familiarised volunteers in inhalation studies</w:t>
            </w:r>
            <w:r w:rsidR="008B77BA" w:rsidRPr="008B77BA">
              <w:t xml:space="preserve"> </w:t>
            </w:r>
          </w:p>
          <w:p w:rsidR="00E3616F" w:rsidRDefault="00E3616F" w:rsidP="006C7626">
            <w:pPr>
              <w:pStyle w:val="ListBullet"/>
              <w:spacing w:before="0" w:after="80"/>
              <w:ind w:left="714" w:hanging="357"/>
              <w:contextualSpacing w:val="0"/>
            </w:pPr>
            <w:r>
              <w:t>In patch t</w:t>
            </w:r>
            <w:r w:rsidR="003D3246">
              <w:t>ests with human volunteers a 10</w:t>
            </w:r>
            <w:r>
              <w:t>% aqueous solution of acetic acid resulted in slight irritation (4, 24 and 48</w:t>
            </w:r>
            <w:r w:rsidR="003343A2">
              <w:t xml:space="preserve"> h</w:t>
            </w:r>
            <w:r>
              <w:t>)</w:t>
            </w:r>
            <w:r w:rsidR="006E6CA0">
              <w:t>.</w:t>
            </w:r>
          </w:p>
          <w:p w:rsidR="00FE405E" w:rsidRPr="00DA352E" w:rsidRDefault="00FE405E" w:rsidP="00FE405E">
            <w:pPr>
              <w:pStyle w:val="ListBullet"/>
              <w:numPr>
                <w:ilvl w:val="0"/>
                <w:numId w:val="0"/>
              </w:numPr>
              <w:ind w:left="731"/>
            </w:pPr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826B5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826B5D">
                  <w:t>NA</w:t>
                </w:r>
                <w:proofErr w:type="spellEnd"/>
              </w:sdtContent>
            </w:sdt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DA352E" w:rsidRPr="00DA352E" w:rsidRDefault="001D4B3D" w:rsidP="003365A5">
            <w:pPr>
              <w:pStyle w:val="Tabletextprimarysource"/>
            </w:pPr>
            <w:r>
              <w:t xml:space="preserve">No report </w:t>
            </w:r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826B5D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sdt>
                  <w:sdtPr>
                    <w:alias w:val="DFG WES equivalent"/>
                    <w:tag w:val="DFG WES equivalent"/>
                    <w:id w:val="73947210"/>
                    <w:placeholder>
                      <w:docPart w:val="967B545056EE4C87936835418924DF7E"/>
                    </w:placeholder>
                  </w:sdtPr>
                  <w:sdtEndPr/>
                  <w:sdtContent>
                    <w:r w:rsidR="00826B5D">
                      <w:t>TWA: 10 ppm (25 mg/m³)</w:t>
                    </w:r>
                  </w:sdtContent>
                </w:sdt>
              </w:sdtContent>
            </w:sdt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826B5D" w:rsidRDefault="00826B5D" w:rsidP="00826B5D">
            <w:pPr>
              <w:pStyle w:val="Tabletextprimarysource"/>
            </w:pPr>
            <w:r>
              <w:t xml:space="preserve">TWA </w:t>
            </w:r>
            <w:r w:rsidR="008608FD">
              <w:t>recommended to protect for</w:t>
            </w:r>
            <w:r w:rsidRPr="004669B0">
              <w:t xml:space="preserve"> local irritation and corrosion</w:t>
            </w:r>
            <w:r>
              <w:t>.</w:t>
            </w:r>
          </w:p>
          <w:p w:rsidR="00826B5D" w:rsidRDefault="00826B5D" w:rsidP="00826B5D">
            <w:pPr>
              <w:pStyle w:val="Tabletextprimarysource"/>
            </w:pPr>
            <w:r>
              <w:t>Summary of additional data:</w:t>
            </w:r>
          </w:p>
          <w:p w:rsidR="00826B5D" w:rsidRDefault="00826B5D" w:rsidP="00502110">
            <w:pPr>
              <w:pStyle w:val="ListBullet"/>
              <w:ind w:left="720"/>
            </w:pPr>
            <w:r>
              <w:t xml:space="preserve">Based on poorly documented industrial observations: </w:t>
            </w:r>
          </w:p>
          <w:p w:rsidR="00826B5D" w:rsidRDefault="00826B5D" w:rsidP="00826B5D">
            <w:pPr>
              <w:pStyle w:val="ListBullet"/>
              <w:ind w:left="720"/>
            </w:pPr>
            <w:r>
              <w:t>8</w:t>
            </w:r>
            <w:r w:rsidR="003343A2">
              <w:t xml:space="preserve"> h</w:t>
            </w:r>
            <w:r>
              <w:t xml:space="preserve"> exposure to a concentration of 10 ppm may induce irritation of the upper respiratory tract and eyes</w:t>
            </w:r>
          </w:p>
          <w:p w:rsidR="00826B5D" w:rsidRDefault="00826B5D" w:rsidP="00826B5D">
            <w:pPr>
              <w:pStyle w:val="ListBullet"/>
              <w:ind w:left="720"/>
            </w:pPr>
            <w:r>
              <w:t>Concentrations of 100 ppm reported to induce marked irritation of the respiratory tract and eyes</w:t>
            </w:r>
          </w:p>
          <w:p w:rsidR="00DA352E" w:rsidRDefault="00826B5D" w:rsidP="00FE405E">
            <w:pPr>
              <w:pStyle w:val="Tabletextprimarysource"/>
            </w:pPr>
            <w:r>
              <w:t>Concentrations of 800</w:t>
            </w:r>
            <w:r w:rsidR="00FE405E">
              <w:t>–</w:t>
            </w:r>
            <w:r>
              <w:t>1</w:t>
            </w:r>
            <w:r w:rsidR="00E82721">
              <w:t>,</w:t>
            </w:r>
            <w:r>
              <w:t xml:space="preserve">200 ppm reported tolerable for 3 </w:t>
            </w:r>
            <w:r w:rsidR="00D65350">
              <w:t>min</w:t>
            </w:r>
            <w:r>
              <w:t xml:space="preserve"> only, resulting in marked irritation </w:t>
            </w:r>
            <w:r w:rsidR="001A2ADE">
              <w:t xml:space="preserve">of </w:t>
            </w:r>
            <w:r>
              <w:t>upper respiratory tract and eyes</w:t>
            </w:r>
            <w:r w:rsidR="006E6CA0">
              <w:t>.</w:t>
            </w:r>
          </w:p>
          <w:p w:rsidR="00FE405E" w:rsidRPr="00DA352E" w:rsidRDefault="00FE405E" w:rsidP="00FE405E">
            <w:pPr>
              <w:pStyle w:val="Tabletextprimarysource"/>
            </w:pPr>
          </w:p>
        </w:tc>
      </w:tr>
    </w:tbl>
    <w:p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3"/>
        <w:gridCol w:w="650"/>
        <w:gridCol w:w="6456"/>
      </w:tblGrid>
      <w:tr w:rsidR="004966BF" w:rsidRPr="00263255" w:rsidTr="00555B6E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</w:p>
        </w:tc>
        <w:tc>
          <w:tcPr>
            <w:tcW w:w="650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6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:rsidTr="00555B6E">
        <w:trPr>
          <w:cantSplit/>
        </w:trPr>
        <w:tc>
          <w:tcPr>
            <w:tcW w:w="1497" w:type="dxa"/>
          </w:tcPr>
          <w:p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:rsidR="004966BF" w:rsidRPr="00CE617F" w:rsidRDefault="00B5314F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C0F5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50" w:type="dxa"/>
          </w:tcPr>
          <w:p w:rsidR="004966BF" w:rsidRPr="004C23F4" w:rsidRDefault="004966B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</w:p>
        </w:tc>
        <w:tc>
          <w:tcPr>
            <w:tcW w:w="6456" w:type="dxa"/>
          </w:tcPr>
          <w:p w:rsidR="004966BF" w:rsidRDefault="002C0F59" w:rsidP="002C0F59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</w:t>
            </w:r>
            <w:r w:rsidRPr="002C0F59">
              <w:rPr>
                <w:rStyle w:val="checkbox"/>
                <w:rFonts w:ascii="Arial" w:hAnsi="Arial" w:cs="Arial"/>
              </w:rPr>
              <w:t>onsidered to be of low systemic toxicity</w:t>
            </w:r>
          </w:p>
          <w:p w:rsidR="00B032D5" w:rsidRDefault="00B032D5" w:rsidP="00B032D5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Severe</w:t>
            </w:r>
            <w:r w:rsidRPr="00B032D5">
              <w:rPr>
                <w:rStyle w:val="checkbox"/>
                <w:rFonts w:ascii="Arial" w:hAnsi="Arial" w:cs="Arial"/>
              </w:rPr>
              <w:t xml:space="preserve"> eye and nasal irritation </w:t>
            </w:r>
            <w:r w:rsidR="00D65350">
              <w:rPr>
                <w:rStyle w:val="checkbox"/>
                <w:rFonts w:ascii="Arial" w:hAnsi="Arial" w:cs="Arial"/>
              </w:rPr>
              <w:t>in humans</w:t>
            </w:r>
            <w:r w:rsidRPr="00B032D5">
              <w:rPr>
                <w:rStyle w:val="checkbox"/>
                <w:rFonts w:ascii="Arial" w:hAnsi="Arial" w:cs="Arial"/>
              </w:rPr>
              <w:t xml:space="preserve"> </w:t>
            </w:r>
            <w:r w:rsidR="00D65350" w:rsidRPr="003343A2">
              <w:rPr>
                <w:rStyle w:val="checkbox"/>
                <w:rFonts w:ascii="Arial" w:hAnsi="Arial" w:cs="Arial"/>
              </w:rPr>
              <w:t>&gt;</w:t>
            </w:r>
            <w:r w:rsidRPr="003343A2">
              <w:rPr>
                <w:rStyle w:val="checkbox"/>
                <w:rFonts w:ascii="Arial" w:hAnsi="Arial" w:cs="Arial"/>
              </w:rPr>
              <w:t>25</w:t>
            </w:r>
            <w:r>
              <w:rPr>
                <w:rStyle w:val="checkbox"/>
                <w:rFonts w:ascii="Arial" w:hAnsi="Arial" w:cs="Arial"/>
              </w:rPr>
              <w:t xml:space="preserve"> ppm</w:t>
            </w:r>
          </w:p>
          <w:p w:rsidR="008B77BA" w:rsidRDefault="008B77BA" w:rsidP="00B032D5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data on repeated inhalation exposure</w:t>
            </w:r>
          </w:p>
          <w:p w:rsidR="002C0F59" w:rsidRPr="004C23F4" w:rsidRDefault="002C0F59" w:rsidP="002C0F59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LC</w:t>
            </w:r>
            <w:r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="00B032D5">
              <w:rPr>
                <w:rStyle w:val="checkbox"/>
                <w:rFonts w:ascii="Arial" w:hAnsi="Arial" w:cs="Arial"/>
              </w:rPr>
              <w:t>(rats</w:t>
            </w:r>
            <w:r w:rsidR="00555B6E">
              <w:rPr>
                <w:rStyle w:val="checkbox"/>
                <w:rFonts w:ascii="Arial" w:hAnsi="Arial" w:cs="Arial"/>
              </w:rPr>
              <w:t>,</w:t>
            </w:r>
            <w:r w:rsidR="00B032D5">
              <w:rPr>
                <w:rStyle w:val="checkbox"/>
                <w:rFonts w:ascii="Arial" w:hAnsi="Arial" w:cs="Arial"/>
              </w:rPr>
              <w:t xml:space="preserve"> 4 </w:t>
            </w:r>
            <w:r w:rsidR="00B032D5" w:rsidRPr="003343A2">
              <w:rPr>
                <w:rStyle w:val="checkbox"/>
                <w:rFonts w:ascii="Arial" w:hAnsi="Arial" w:cs="Arial"/>
              </w:rPr>
              <w:t>h</w:t>
            </w:r>
            <w:r w:rsidR="00B032D5">
              <w:rPr>
                <w:rStyle w:val="checkbox"/>
                <w:rFonts w:ascii="Arial" w:hAnsi="Arial" w:cs="Arial"/>
              </w:rPr>
              <w:t>) 11.4 mg/L (~4,560 ppm or 11,400 mg/m</w:t>
            </w:r>
            <w:r w:rsidR="00B032D5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B032D5">
              <w:rPr>
                <w:rStyle w:val="checkbox"/>
                <w:rFonts w:ascii="Arial" w:hAnsi="Arial" w:cs="Arial"/>
              </w:rPr>
              <w:t>)</w:t>
            </w:r>
          </w:p>
        </w:tc>
      </w:tr>
    </w:tbl>
    <w:bookmarkEnd w:id="1"/>
    <w:p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9"/>
        <w:gridCol w:w="2417"/>
      </w:tblGrid>
      <w:tr w:rsidR="002E0D61" w:rsidTr="001D4B3D">
        <w:trPr>
          <w:trHeight w:val="454"/>
          <w:tblHeader/>
        </w:trPr>
        <w:tc>
          <w:tcPr>
            <w:tcW w:w="6609" w:type="dxa"/>
            <w:vAlign w:val="center"/>
          </w:tcPr>
          <w:p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7" w:type="dxa"/>
                <w:vAlign w:val="center"/>
              </w:tcPr>
              <w:p w:rsidR="002E0D61" w:rsidRDefault="008B236E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</w:tbl>
    <w:bookmarkEnd w:id="2"/>
    <w:p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:rsidTr="00812887">
        <w:trPr>
          <w:cantSplit/>
        </w:trPr>
        <w:tc>
          <w:tcPr>
            <w:tcW w:w="3227" w:type="dxa"/>
          </w:tcPr>
          <w:p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:rsidR="00687890" w:rsidRPr="00DD2F9B" w:rsidRDefault="0036737E" w:rsidP="00DD2F9B">
            <w:pPr>
              <w:pStyle w:val="Tablefont"/>
            </w:pPr>
            <w:r>
              <w:t>—</w:t>
            </w:r>
          </w:p>
        </w:tc>
      </w:tr>
      <w:tr w:rsidR="007925F0" w:rsidRPr="004C23F4" w:rsidTr="00812887">
        <w:trPr>
          <w:cantSplit/>
        </w:trPr>
        <w:tc>
          <w:tcPr>
            <w:tcW w:w="3227" w:type="dxa"/>
          </w:tcPr>
          <w:p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:rsidR="007925F0" w:rsidRPr="00DD2F9B" w:rsidRDefault="0036737E" w:rsidP="00DD2F9B">
            <w:pPr>
              <w:pStyle w:val="Tablefont"/>
            </w:pPr>
            <w:r>
              <w:t>—</w:t>
            </w:r>
          </w:p>
        </w:tc>
      </w:tr>
      <w:tr w:rsidR="00AF483F" w:rsidRPr="004C23F4" w:rsidTr="00812887">
        <w:trPr>
          <w:cantSplit/>
        </w:trPr>
        <w:tc>
          <w:tcPr>
            <w:tcW w:w="3227" w:type="dxa"/>
          </w:tcPr>
          <w:p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:rsidR="00AF483F" w:rsidRPr="00DD2F9B" w:rsidRDefault="0036737E" w:rsidP="00DD2F9B">
            <w:pPr>
              <w:pStyle w:val="Tablefont"/>
            </w:pPr>
            <w:r>
              <w:t>—</w:t>
            </w:r>
          </w:p>
        </w:tc>
      </w:tr>
      <w:tr w:rsidR="00687890" w:rsidRPr="004C23F4" w:rsidTr="00812887">
        <w:trPr>
          <w:cantSplit/>
        </w:trPr>
        <w:tc>
          <w:tcPr>
            <w:tcW w:w="3227" w:type="dxa"/>
          </w:tcPr>
          <w:p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:rsidR="00687890" w:rsidRPr="00DD2F9B" w:rsidRDefault="0036737E" w:rsidP="00DD2F9B">
            <w:pPr>
              <w:pStyle w:val="Tablefont"/>
            </w:pPr>
            <w:r>
              <w:t>NA</w:t>
            </w:r>
          </w:p>
        </w:tc>
      </w:tr>
      <w:tr w:rsidR="00E41A26" w:rsidRPr="004C23F4" w:rsidTr="00812887">
        <w:trPr>
          <w:cantSplit/>
        </w:trPr>
        <w:tc>
          <w:tcPr>
            <w:tcW w:w="3227" w:type="dxa"/>
          </w:tcPr>
          <w:p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:rsidR="00E41A26" w:rsidRPr="00DD2F9B" w:rsidRDefault="006E6CA0" w:rsidP="00DD2F9B">
            <w:pPr>
              <w:pStyle w:val="Tablefont"/>
            </w:pPr>
            <w:r>
              <w:t>NA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lastRenderedPageBreak/>
              <w:t>ACGIH</w:t>
            </w:r>
          </w:p>
        </w:tc>
        <w:tc>
          <w:tcPr>
            <w:tcW w:w="6015" w:type="dxa"/>
          </w:tcPr>
          <w:p w:rsidR="002E0D61" w:rsidRPr="00DD2F9B" w:rsidRDefault="0036737E" w:rsidP="00DD2F9B">
            <w:pPr>
              <w:pStyle w:val="Tablefont"/>
            </w:pPr>
            <w:r>
              <w:t>—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:rsidR="002E0D61" w:rsidRPr="00DD2F9B" w:rsidRDefault="0036737E" w:rsidP="00DD2F9B">
            <w:pPr>
              <w:pStyle w:val="Tablefont"/>
            </w:pPr>
            <w:r>
              <w:t>—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:rsidR="002E0D61" w:rsidRPr="00DD2F9B" w:rsidRDefault="0036737E" w:rsidP="00DD2F9B">
            <w:pPr>
              <w:pStyle w:val="Tablefont"/>
            </w:pPr>
            <w:r>
              <w:t>—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:rsidR="002E0D61" w:rsidRPr="00DD2F9B" w:rsidRDefault="0036737E" w:rsidP="00DD2F9B">
            <w:pPr>
              <w:pStyle w:val="Tablefont"/>
            </w:pPr>
            <w:r>
              <w:t>—</w:t>
            </w:r>
          </w:p>
        </w:tc>
      </w:tr>
      <w:tr w:rsidR="00386093" w:rsidRPr="004C23F4" w:rsidTr="00812887">
        <w:trPr>
          <w:cantSplit/>
        </w:trPr>
        <w:tc>
          <w:tcPr>
            <w:tcW w:w="3227" w:type="dxa"/>
          </w:tcPr>
          <w:p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:rsidR="00386093" w:rsidRPr="00DD2F9B" w:rsidRDefault="001D4B3D" w:rsidP="00DD2F9B">
            <w:pPr>
              <w:pStyle w:val="Tablefont"/>
            </w:pPr>
            <w:r>
              <w:t>NA</w:t>
            </w:r>
          </w:p>
        </w:tc>
      </w:tr>
      <w:tr w:rsidR="00386093" w:rsidRPr="004C23F4" w:rsidTr="00812887">
        <w:trPr>
          <w:cantSplit/>
        </w:trPr>
        <w:tc>
          <w:tcPr>
            <w:tcW w:w="3227" w:type="dxa"/>
          </w:tcPr>
          <w:p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:rsidR="00386093" w:rsidRPr="00DD2F9B" w:rsidRDefault="0036737E" w:rsidP="00D87570">
            <w:pPr>
              <w:pStyle w:val="Tablefont"/>
              <w:keepNext/>
            </w:pPr>
            <w:r>
              <w:t>—</w:t>
            </w:r>
          </w:p>
        </w:tc>
      </w:tr>
    </w:tbl>
    <w:bookmarkEnd w:id="3"/>
    <w:p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530"/>
              <w:gridCol w:w="591"/>
              <w:gridCol w:w="591"/>
              <w:gridCol w:w="973"/>
              <w:gridCol w:w="973"/>
              <w:gridCol w:w="971"/>
              <w:gridCol w:w="594"/>
              <w:gridCol w:w="587"/>
            </w:tblGrid>
            <w:tr w:rsidR="005F3DC6" w:rsidRPr="00DE558F" w:rsidTr="00651845">
              <w:trPr>
                <w:trHeight w:val="342"/>
              </w:trPr>
              <w:tc>
                <w:tcPr>
                  <w:tcW w:w="20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5F3DC6" w:rsidRPr="00DE558F" w:rsidTr="00651845">
              <w:trPr>
                <w:trHeight w:val="342"/>
              </w:trPr>
              <w:tc>
                <w:tcPr>
                  <w:tcW w:w="20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5F3DC6" w:rsidRPr="00DE558F" w:rsidTr="00651845">
              <w:trPr>
                <w:trHeight w:val="342"/>
              </w:trPr>
              <w:tc>
                <w:tcPr>
                  <w:tcW w:w="20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5F3DC6" w:rsidRPr="00DE558F" w:rsidTr="00651845">
              <w:trPr>
                <w:trHeight w:val="342"/>
              </w:trPr>
              <w:tc>
                <w:tcPr>
                  <w:tcW w:w="20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5F3DC6" w:rsidRPr="00DE558F" w:rsidTr="00651845">
              <w:trPr>
                <w:trHeight w:val="342"/>
              </w:trPr>
              <w:tc>
                <w:tcPr>
                  <w:tcW w:w="20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5F3DC6" w:rsidRPr="00DE558F" w:rsidTr="00651845">
              <w:trPr>
                <w:trHeight w:val="342"/>
              </w:trPr>
              <w:tc>
                <w:tcPr>
                  <w:tcW w:w="20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5F3DC6" w:rsidRPr="00DE558F" w:rsidTr="00651845">
              <w:trPr>
                <w:trHeight w:val="342"/>
              </w:trPr>
              <w:tc>
                <w:tcPr>
                  <w:tcW w:w="20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65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a skin notation is not warranted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5F3DC6" w:rsidRPr="00DE558F" w:rsidTr="00651845">
              <w:trPr>
                <w:trHeight w:val="240"/>
              </w:trPr>
              <w:tc>
                <w:tcPr>
                  <w:tcW w:w="20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</w:tbl>
          <w:p w:rsidR="00932DCE" w:rsidRPr="004C23F4" w:rsidRDefault="00932DCE" w:rsidP="00F9496B">
            <w:pPr>
              <w:pStyle w:val="Tablefont"/>
            </w:pPr>
          </w:p>
        </w:tc>
      </w:tr>
    </w:tbl>
    <w:bookmarkEnd w:id="4"/>
    <w:p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:rsidTr="00610F2E">
        <w:trPr>
          <w:trHeight w:val="454"/>
          <w:tblHeader/>
        </w:trPr>
        <w:tc>
          <w:tcPr>
            <w:tcW w:w="4361" w:type="dxa"/>
            <w:vAlign w:val="center"/>
          </w:tcPr>
          <w:p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:rsidR="00EB3D1B" w:rsidRDefault="00480F55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:rsidR="001B79E5" w:rsidRDefault="004C7E3D" w:rsidP="001B79E5">
                <w:pPr>
                  <w:pStyle w:val="Tablefont"/>
                </w:pPr>
                <w:r>
                  <w:t>60.05</w:t>
                </w:r>
              </w:p>
            </w:tc>
          </w:sdtContent>
        </w:sdt>
      </w:tr>
      <w:tr w:rsidR="00A31D99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:rsidTr="00EA6243">
        <w:trPr>
          <w:cantSplit/>
        </w:trPr>
        <w:tc>
          <w:tcPr>
            <w:tcW w:w="4077" w:type="dxa"/>
            <w:vAlign w:val="center"/>
          </w:tcPr>
          <w:p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:rsidR="00E06F40" w:rsidRPr="00A006A0" w:rsidRDefault="00B5314F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55B6E">
                  <w:rPr>
                    <w:rFonts w:ascii="MS Gothic" w:eastAsia="MS Gothic" w:hAnsi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55B6E"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:rsidR="00F87D92" w:rsidRDefault="00F87D92" w:rsidP="00EF7F78">
      <w:pPr>
        <w:pStyle w:val="Heading2"/>
        <w:tabs>
          <w:tab w:val="right" w:pos="8505"/>
        </w:tabs>
      </w:pPr>
      <w:r>
        <w:lastRenderedPageBreak/>
        <w:t>References</w:t>
      </w:r>
      <w:r w:rsidR="00EF7F78">
        <w:tab/>
      </w:r>
    </w:p>
    <w:p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:rsidR="008B77BA" w:rsidRDefault="008B77BA" w:rsidP="008B77BA">
      <w:r>
        <w:t>Deutsche Forschungsgemeinschaft (DFG) (2008) Acetic Acid [MAK value supplement documentation, 2008].</w:t>
      </w:r>
    </w:p>
    <w:p w:rsidR="008B77BA" w:rsidRDefault="008B77BA" w:rsidP="008B77BA">
      <w:r>
        <w:t>EU Scientific Committee on Occupational Exposure Limits (SCOEL) (2012) Recommendation from the scientific committee on occupational exposure limits for acetic acid. SCOEL/SUM/98.</w:t>
      </w:r>
    </w:p>
    <w:p w:rsidR="006F3BAF" w:rsidRDefault="006F3BAF" w:rsidP="006F3BAF">
      <w:r>
        <w:t>Health Council of the Netherlands (HCOTN) (2004) Committee on updating occupational exposure limits. Acetic acid: health-based reassessment of administrative occupational exposure limits. The Hague: Health Council of the Netherlands, 2004, 2000/15OSH/113.</w:t>
      </w:r>
    </w:p>
    <w:p w:rsidR="008B77BA" w:rsidRDefault="008B77BA" w:rsidP="006F3BAF">
      <w:r>
        <w:t xml:space="preserve">National Industrial Chemicals Notification and </w:t>
      </w:r>
      <w:r w:rsidR="006F3BAF">
        <w:t>Assessment Scheme (NICNAS) (2013</w:t>
      </w:r>
      <w:r>
        <w:t xml:space="preserve">). </w:t>
      </w:r>
      <w:r w:rsidR="006F3BAF">
        <w:t>Acetic acid</w:t>
      </w:r>
      <w:r>
        <w:t>: Human health tier II assessment – IMAP report.</w:t>
      </w:r>
    </w:p>
    <w:p w:rsidR="00555B6E" w:rsidRDefault="00555B6E" w:rsidP="006F3BAF">
      <w:r w:rsidRPr="00181257">
        <w:t xml:space="preserve">US </w:t>
      </w:r>
      <w:r>
        <w:t xml:space="preserve">National Institute for Occupational Safety and Health (NIOSH) (1994) </w:t>
      </w:r>
      <w:proofErr w:type="gramStart"/>
      <w:r>
        <w:t>Immediately</w:t>
      </w:r>
      <w:proofErr w:type="gramEnd"/>
      <w:r>
        <w:t xml:space="preserve"> dangerous to life and health concentrations – acetic acid. </w:t>
      </w:r>
    </w:p>
    <w:p w:rsidR="008B77BA" w:rsidRPr="00351FE0" w:rsidRDefault="008B77BA" w:rsidP="00084859"/>
    <w:sectPr w:rsidR="008B77BA" w:rsidRPr="00351FE0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C1D0A5" w16cid:durableId="20A4F1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F17" w:rsidRDefault="00836F17" w:rsidP="00F43AD5">
      <w:pPr>
        <w:spacing w:after="0" w:line="240" w:lineRule="auto"/>
      </w:pPr>
      <w:r>
        <w:separator/>
      </w:r>
    </w:p>
  </w:endnote>
  <w:endnote w:type="continuationSeparator" w:id="0">
    <w:p w:rsidR="00836F17" w:rsidRDefault="00836F17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E3616F" w:rsidRDefault="00E3616F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Acetic Acid (64-19-7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:rsidR="00E3616F" w:rsidRPr="00F43AD5" w:rsidRDefault="00E3616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B5314F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F17" w:rsidRDefault="00836F17" w:rsidP="00F43AD5">
      <w:pPr>
        <w:spacing w:after="0" w:line="240" w:lineRule="auto"/>
      </w:pPr>
      <w:r>
        <w:separator/>
      </w:r>
    </w:p>
  </w:footnote>
  <w:footnote w:type="continuationSeparator" w:id="0">
    <w:p w:rsidR="00836F17" w:rsidRDefault="00836F17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16F" w:rsidRDefault="00E3616F" w:rsidP="00F43AD5">
    <w:pPr>
      <w:pStyle w:val="Header"/>
      <w:jc w:val="right"/>
    </w:pPr>
    <w:r>
      <w:rPr>
        <w:noProof/>
        <w:lang w:eastAsia="en-AU"/>
      </w:rPr>
      <w:drawing>
        <wp:inline distT="0" distB="0" distL="0" distR="0" wp14:anchorId="3255D0E6" wp14:editId="213BDEEC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16F" w:rsidRDefault="00E3616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62C9A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C43D25"/>
    <w:multiLevelType w:val="hybridMultilevel"/>
    <w:tmpl w:val="EC1C6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35DA"/>
    <w:rsid w:val="000369AB"/>
    <w:rsid w:val="00046DF5"/>
    <w:rsid w:val="000476D9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D4600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0835"/>
    <w:rsid w:val="0015266D"/>
    <w:rsid w:val="0015288A"/>
    <w:rsid w:val="00160F47"/>
    <w:rsid w:val="00177CA1"/>
    <w:rsid w:val="00183823"/>
    <w:rsid w:val="00183942"/>
    <w:rsid w:val="001A009E"/>
    <w:rsid w:val="001A1287"/>
    <w:rsid w:val="001A148A"/>
    <w:rsid w:val="001A2ADE"/>
    <w:rsid w:val="001A3859"/>
    <w:rsid w:val="001A3C9D"/>
    <w:rsid w:val="001A43F8"/>
    <w:rsid w:val="001B79E5"/>
    <w:rsid w:val="001C2CBA"/>
    <w:rsid w:val="001D4B3D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2AFD"/>
    <w:rsid w:val="002046A6"/>
    <w:rsid w:val="00204956"/>
    <w:rsid w:val="00205A34"/>
    <w:rsid w:val="00213640"/>
    <w:rsid w:val="00221547"/>
    <w:rsid w:val="002216FC"/>
    <w:rsid w:val="00222533"/>
    <w:rsid w:val="00222F30"/>
    <w:rsid w:val="00224EE2"/>
    <w:rsid w:val="00227EC7"/>
    <w:rsid w:val="0023051F"/>
    <w:rsid w:val="00241556"/>
    <w:rsid w:val="00244AD1"/>
    <w:rsid w:val="002463BC"/>
    <w:rsid w:val="002465CE"/>
    <w:rsid w:val="0025734A"/>
    <w:rsid w:val="00260257"/>
    <w:rsid w:val="00263255"/>
    <w:rsid w:val="00276494"/>
    <w:rsid w:val="00277B0C"/>
    <w:rsid w:val="002A7BAA"/>
    <w:rsid w:val="002B1A2C"/>
    <w:rsid w:val="002C0F59"/>
    <w:rsid w:val="002C34F2"/>
    <w:rsid w:val="002C58FF"/>
    <w:rsid w:val="002C7AFE"/>
    <w:rsid w:val="002D05D2"/>
    <w:rsid w:val="002E0D61"/>
    <w:rsid w:val="002E4C7B"/>
    <w:rsid w:val="0030740C"/>
    <w:rsid w:val="003130F6"/>
    <w:rsid w:val="00315833"/>
    <w:rsid w:val="003215EE"/>
    <w:rsid w:val="003224BF"/>
    <w:rsid w:val="003241A8"/>
    <w:rsid w:val="003253F0"/>
    <w:rsid w:val="003337DA"/>
    <w:rsid w:val="003343A2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66CAB"/>
    <w:rsid w:val="0036737E"/>
    <w:rsid w:val="00370DBF"/>
    <w:rsid w:val="00373D06"/>
    <w:rsid w:val="003837E7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3246"/>
    <w:rsid w:val="003D4FA3"/>
    <w:rsid w:val="003E0807"/>
    <w:rsid w:val="003E51FB"/>
    <w:rsid w:val="003E52EA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36F00"/>
    <w:rsid w:val="004414B5"/>
    <w:rsid w:val="00444482"/>
    <w:rsid w:val="00444B42"/>
    <w:rsid w:val="00445E44"/>
    <w:rsid w:val="004509E2"/>
    <w:rsid w:val="004515EE"/>
    <w:rsid w:val="004529F0"/>
    <w:rsid w:val="004543BC"/>
    <w:rsid w:val="00460A03"/>
    <w:rsid w:val="004669B0"/>
    <w:rsid w:val="00472A11"/>
    <w:rsid w:val="00472AAD"/>
    <w:rsid w:val="00474E33"/>
    <w:rsid w:val="00476803"/>
    <w:rsid w:val="00480F55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A6ECF"/>
    <w:rsid w:val="004B1285"/>
    <w:rsid w:val="004C0AF2"/>
    <w:rsid w:val="004C1E3F"/>
    <w:rsid w:val="004C23F4"/>
    <w:rsid w:val="004C3475"/>
    <w:rsid w:val="004C58B6"/>
    <w:rsid w:val="004C666C"/>
    <w:rsid w:val="004C7E3D"/>
    <w:rsid w:val="004D16A3"/>
    <w:rsid w:val="004D2B93"/>
    <w:rsid w:val="004D4587"/>
    <w:rsid w:val="004D4AA1"/>
    <w:rsid w:val="004D530E"/>
    <w:rsid w:val="004D6D68"/>
    <w:rsid w:val="004E5EDD"/>
    <w:rsid w:val="004F448A"/>
    <w:rsid w:val="004F493D"/>
    <w:rsid w:val="004F65E8"/>
    <w:rsid w:val="004F77C6"/>
    <w:rsid w:val="0050005E"/>
    <w:rsid w:val="00502110"/>
    <w:rsid w:val="00502B88"/>
    <w:rsid w:val="00512906"/>
    <w:rsid w:val="005142C4"/>
    <w:rsid w:val="0051509C"/>
    <w:rsid w:val="005272E2"/>
    <w:rsid w:val="0053108F"/>
    <w:rsid w:val="00532631"/>
    <w:rsid w:val="00532B56"/>
    <w:rsid w:val="00534B10"/>
    <w:rsid w:val="005446A2"/>
    <w:rsid w:val="00544D2F"/>
    <w:rsid w:val="00551BD8"/>
    <w:rsid w:val="00555B6E"/>
    <w:rsid w:val="00573763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5F3DC6"/>
    <w:rsid w:val="006013C1"/>
    <w:rsid w:val="006059C1"/>
    <w:rsid w:val="0060669E"/>
    <w:rsid w:val="00610F2E"/>
    <w:rsid w:val="00611399"/>
    <w:rsid w:val="00624C4E"/>
    <w:rsid w:val="00625200"/>
    <w:rsid w:val="00627C77"/>
    <w:rsid w:val="006363A8"/>
    <w:rsid w:val="00636DB7"/>
    <w:rsid w:val="00637C60"/>
    <w:rsid w:val="00650905"/>
    <w:rsid w:val="00651845"/>
    <w:rsid w:val="006532ED"/>
    <w:rsid w:val="006549F2"/>
    <w:rsid w:val="006567B7"/>
    <w:rsid w:val="00657BFB"/>
    <w:rsid w:val="0066333C"/>
    <w:rsid w:val="006639B4"/>
    <w:rsid w:val="006650FE"/>
    <w:rsid w:val="0067305D"/>
    <w:rsid w:val="006736BA"/>
    <w:rsid w:val="00677D9B"/>
    <w:rsid w:val="00684A32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7626"/>
    <w:rsid w:val="006D79EA"/>
    <w:rsid w:val="006E5D05"/>
    <w:rsid w:val="006E6CA0"/>
    <w:rsid w:val="006F3BAF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2BE1"/>
    <w:rsid w:val="00754779"/>
    <w:rsid w:val="0075716D"/>
    <w:rsid w:val="00765F14"/>
    <w:rsid w:val="00770E31"/>
    <w:rsid w:val="007770F1"/>
    <w:rsid w:val="0078201D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C7925"/>
    <w:rsid w:val="007D2557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B5D"/>
    <w:rsid w:val="00826F21"/>
    <w:rsid w:val="00834CC8"/>
    <w:rsid w:val="00835E00"/>
    <w:rsid w:val="00836F17"/>
    <w:rsid w:val="00837113"/>
    <w:rsid w:val="008414E4"/>
    <w:rsid w:val="00843E21"/>
    <w:rsid w:val="00844344"/>
    <w:rsid w:val="0084508E"/>
    <w:rsid w:val="00857A8A"/>
    <w:rsid w:val="008607BF"/>
    <w:rsid w:val="008608FD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236E"/>
    <w:rsid w:val="008B403C"/>
    <w:rsid w:val="008B77BA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2E6B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B6F91"/>
    <w:rsid w:val="009C199D"/>
    <w:rsid w:val="009C278F"/>
    <w:rsid w:val="009C2B94"/>
    <w:rsid w:val="009C5874"/>
    <w:rsid w:val="009D321D"/>
    <w:rsid w:val="009D3B5A"/>
    <w:rsid w:val="009E0C05"/>
    <w:rsid w:val="009E0D1C"/>
    <w:rsid w:val="009E2214"/>
    <w:rsid w:val="009E355A"/>
    <w:rsid w:val="009E63E2"/>
    <w:rsid w:val="009F05CF"/>
    <w:rsid w:val="009F0F3A"/>
    <w:rsid w:val="00A00F19"/>
    <w:rsid w:val="00A01D0C"/>
    <w:rsid w:val="00A0643F"/>
    <w:rsid w:val="00A067EE"/>
    <w:rsid w:val="00A10FCE"/>
    <w:rsid w:val="00A16D91"/>
    <w:rsid w:val="00A174CC"/>
    <w:rsid w:val="00A2073D"/>
    <w:rsid w:val="00A20751"/>
    <w:rsid w:val="00A26E14"/>
    <w:rsid w:val="00A27E2D"/>
    <w:rsid w:val="00A31D99"/>
    <w:rsid w:val="00A357BA"/>
    <w:rsid w:val="00A35ADC"/>
    <w:rsid w:val="00A402A3"/>
    <w:rsid w:val="00A53681"/>
    <w:rsid w:val="00A5478A"/>
    <w:rsid w:val="00A62C66"/>
    <w:rsid w:val="00A633D4"/>
    <w:rsid w:val="00A6461A"/>
    <w:rsid w:val="00A84504"/>
    <w:rsid w:val="00A8672F"/>
    <w:rsid w:val="00A93057"/>
    <w:rsid w:val="00A968B0"/>
    <w:rsid w:val="00AA30AF"/>
    <w:rsid w:val="00AB2672"/>
    <w:rsid w:val="00AB2817"/>
    <w:rsid w:val="00AB43C4"/>
    <w:rsid w:val="00AC32E7"/>
    <w:rsid w:val="00AC3A9F"/>
    <w:rsid w:val="00AC6D2F"/>
    <w:rsid w:val="00AE0C44"/>
    <w:rsid w:val="00AE2745"/>
    <w:rsid w:val="00AE2F64"/>
    <w:rsid w:val="00AF42CB"/>
    <w:rsid w:val="00AF483F"/>
    <w:rsid w:val="00AF5E07"/>
    <w:rsid w:val="00AF5F06"/>
    <w:rsid w:val="00B00A25"/>
    <w:rsid w:val="00B032D5"/>
    <w:rsid w:val="00B07F4D"/>
    <w:rsid w:val="00B1422A"/>
    <w:rsid w:val="00B1765C"/>
    <w:rsid w:val="00B213C4"/>
    <w:rsid w:val="00B40C60"/>
    <w:rsid w:val="00B479A9"/>
    <w:rsid w:val="00B52EDF"/>
    <w:rsid w:val="00B5314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16315"/>
    <w:rsid w:val="00C3091E"/>
    <w:rsid w:val="00C36564"/>
    <w:rsid w:val="00C40FF1"/>
    <w:rsid w:val="00C419E2"/>
    <w:rsid w:val="00C42C39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286D"/>
    <w:rsid w:val="00C74833"/>
    <w:rsid w:val="00C81504"/>
    <w:rsid w:val="00C850A0"/>
    <w:rsid w:val="00C85A86"/>
    <w:rsid w:val="00C93E41"/>
    <w:rsid w:val="00C978F0"/>
    <w:rsid w:val="00CA58FE"/>
    <w:rsid w:val="00CA5B41"/>
    <w:rsid w:val="00CB1CB1"/>
    <w:rsid w:val="00CB6BC1"/>
    <w:rsid w:val="00CB6CB8"/>
    <w:rsid w:val="00CC1A68"/>
    <w:rsid w:val="00CC2123"/>
    <w:rsid w:val="00CD2BFD"/>
    <w:rsid w:val="00CD771E"/>
    <w:rsid w:val="00CE5AD6"/>
    <w:rsid w:val="00CE617F"/>
    <w:rsid w:val="00CE78EF"/>
    <w:rsid w:val="00D048F7"/>
    <w:rsid w:val="00D0517E"/>
    <w:rsid w:val="00D103FF"/>
    <w:rsid w:val="00D140FC"/>
    <w:rsid w:val="00D21D8C"/>
    <w:rsid w:val="00D31357"/>
    <w:rsid w:val="00D33220"/>
    <w:rsid w:val="00D334D1"/>
    <w:rsid w:val="00D44C89"/>
    <w:rsid w:val="00D516CD"/>
    <w:rsid w:val="00D60B1D"/>
    <w:rsid w:val="00D61F15"/>
    <w:rsid w:val="00D65350"/>
    <w:rsid w:val="00D668E6"/>
    <w:rsid w:val="00D7019F"/>
    <w:rsid w:val="00D70670"/>
    <w:rsid w:val="00D74D80"/>
    <w:rsid w:val="00D76624"/>
    <w:rsid w:val="00D87570"/>
    <w:rsid w:val="00D91CB9"/>
    <w:rsid w:val="00D95231"/>
    <w:rsid w:val="00D97989"/>
    <w:rsid w:val="00D97D8D"/>
    <w:rsid w:val="00DA352E"/>
    <w:rsid w:val="00DC7694"/>
    <w:rsid w:val="00DD0602"/>
    <w:rsid w:val="00DD1BF6"/>
    <w:rsid w:val="00DD2F9B"/>
    <w:rsid w:val="00DD47B2"/>
    <w:rsid w:val="00DE2513"/>
    <w:rsid w:val="00DE26E8"/>
    <w:rsid w:val="00DE558F"/>
    <w:rsid w:val="00DF46B3"/>
    <w:rsid w:val="00DF6F36"/>
    <w:rsid w:val="00E0084C"/>
    <w:rsid w:val="00E025AB"/>
    <w:rsid w:val="00E02B23"/>
    <w:rsid w:val="00E06F40"/>
    <w:rsid w:val="00E07CE8"/>
    <w:rsid w:val="00E26A07"/>
    <w:rsid w:val="00E32595"/>
    <w:rsid w:val="00E3616F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82721"/>
    <w:rsid w:val="00E92499"/>
    <w:rsid w:val="00E949AF"/>
    <w:rsid w:val="00E96077"/>
    <w:rsid w:val="00EA0A06"/>
    <w:rsid w:val="00EA6243"/>
    <w:rsid w:val="00EA74AB"/>
    <w:rsid w:val="00EB2988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262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2858"/>
    <w:rsid w:val="00FD3110"/>
    <w:rsid w:val="00FE405E"/>
    <w:rsid w:val="00FF5BEC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A2B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4C7E3D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7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BA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BA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BAA"/>
    <w:rPr>
      <w:b/>
      <w:bCs/>
      <w:szCs w:val="20"/>
    </w:rPr>
  </w:style>
  <w:style w:type="paragraph" w:styleId="Revision">
    <w:name w:val="Revision"/>
    <w:hidden/>
    <w:uiPriority w:val="99"/>
    <w:semiHidden/>
    <w:rsid w:val="00033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B197B4D42BC84C7CA5DE92E82BF99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E9B82-ACC3-4165-90AD-FA0E8849C971}"/>
      </w:docPartPr>
      <w:docPartBody>
        <w:p w:rsidR="00DE3D5A" w:rsidRDefault="00DE3D5A" w:rsidP="00DE3D5A">
          <w:pPr>
            <w:pStyle w:val="B197B4D42BC84C7CA5DE92E82BF99029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BD5C05A797BB4166A1896BCCAFAEB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953DC-38AB-4901-99AC-A9F851A9E429}"/>
      </w:docPartPr>
      <w:docPartBody>
        <w:p w:rsidR="00DE3D5A" w:rsidRDefault="00DE3D5A" w:rsidP="00DE3D5A">
          <w:pPr>
            <w:pStyle w:val="BD5C05A797BB4166A1896BCCAFAEBFB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DFCA2BECC86A4E9F8D5AF2EB75F2F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FCC83-E919-4574-B206-AC36A4CD5B77}"/>
      </w:docPartPr>
      <w:docPartBody>
        <w:p w:rsidR="00DE3D5A" w:rsidRDefault="00DE3D5A" w:rsidP="00DE3D5A">
          <w:pPr>
            <w:pStyle w:val="DFCA2BECC86A4E9F8D5AF2EB75F2FE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656CD3D38E9424B982E1D75115EC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ABAB6-DDA4-4682-8F53-D48C2071DBB8}"/>
      </w:docPartPr>
      <w:docPartBody>
        <w:p w:rsidR="00DE3D5A" w:rsidRDefault="00DE3D5A" w:rsidP="00DE3D5A">
          <w:pPr>
            <w:pStyle w:val="6656CD3D38E9424B982E1D75115ECD09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967B545056EE4C87936835418924D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ACE89-6B73-496B-ABB0-E285A4D0E78B}"/>
      </w:docPartPr>
      <w:docPartBody>
        <w:p w:rsidR="00DE3D5A" w:rsidRDefault="00DE3D5A" w:rsidP="00DE3D5A">
          <w:pPr>
            <w:pStyle w:val="967B545056EE4C87936835418924DF7E"/>
          </w:pPr>
          <w:r w:rsidRPr="0051509C">
            <w:rPr>
              <w:rStyle w:val="PlaceholderText"/>
            </w:rPr>
            <w:t>Click here to enter standard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414EC"/>
    <w:rsid w:val="004234E3"/>
    <w:rsid w:val="006223C8"/>
    <w:rsid w:val="00996A26"/>
    <w:rsid w:val="00A4734B"/>
    <w:rsid w:val="00C1630A"/>
    <w:rsid w:val="00D21A9F"/>
    <w:rsid w:val="00DE3D5A"/>
    <w:rsid w:val="00F2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D5A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197B4D42BC84C7CA5DE92E82BF99029">
    <w:name w:val="B197B4D42BC84C7CA5DE92E82BF99029"/>
    <w:rsid w:val="00DE3D5A"/>
    <w:rPr>
      <w:lang w:val="en-US" w:eastAsia="en-US"/>
    </w:rPr>
  </w:style>
  <w:style w:type="paragraph" w:customStyle="1" w:styleId="BD5C05A797BB4166A1896BCCAFAEBFB0">
    <w:name w:val="BD5C05A797BB4166A1896BCCAFAEBFB0"/>
    <w:rsid w:val="00DE3D5A"/>
    <w:rPr>
      <w:lang w:val="en-US" w:eastAsia="en-US"/>
    </w:rPr>
  </w:style>
  <w:style w:type="paragraph" w:customStyle="1" w:styleId="DFCA2BECC86A4E9F8D5AF2EB75F2FE9F">
    <w:name w:val="DFCA2BECC86A4E9F8D5AF2EB75F2FE9F"/>
    <w:rsid w:val="00DE3D5A"/>
    <w:rPr>
      <w:lang w:val="en-US" w:eastAsia="en-US"/>
    </w:rPr>
  </w:style>
  <w:style w:type="paragraph" w:customStyle="1" w:styleId="6656CD3D38E9424B982E1D75115ECD09">
    <w:name w:val="6656CD3D38E9424B982E1D75115ECD09"/>
    <w:rsid w:val="00DE3D5A"/>
    <w:rPr>
      <w:lang w:val="en-US" w:eastAsia="en-US"/>
    </w:rPr>
  </w:style>
  <w:style w:type="paragraph" w:customStyle="1" w:styleId="967B545056EE4C87936835418924DF7E">
    <w:name w:val="967B545056EE4C87936835418924DF7E"/>
    <w:rsid w:val="00DE3D5A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841E-95A5-4FEC-A5C4-243DBBFBF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C124A-863B-438E-B1BE-B022402AD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946B5-FD98-4177-B8E4-EB7219C53E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6FF55F-2965-4CF1-B893-8A6CF860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3FB2C0D8.dotm</Template>
  <TotalTime>0</TotalTime>
  <Pages>5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2019-06-07T06:25:00Z</dcterms:created>
  <dcterms:modified xsi:type="dcterms:W3CDTF">2019-08-16T01:34:00Z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