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9124AA6" w14:textId="77777777" w:rsidR="00BD499F" w:rsidRPr="004C23F4" w:rsidRDefault="001A52C6" w:rsidP="00B40C60">
          <w:pPr>
            <w:pStyle w:val="Heading1"/>
            <w:jc w:val="center"/>
            <w:rPr>
              <w:rFonts w:ascii="Arial" w:hAnsi="Arial" w:cs="Arial"/>
            </w:rPr>
          </w:pPr>
          <w:r w:rsidRPr="001A52C6">
            <w:rPr>
              <w:rFonts w:ascii="Arial" w:hAnsi="Arial" w:cs="Arial"/>
            </w:rPr>
            <w:t>Acetylsalicylic acid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5"/>
        <w:gridCol w:w="5051"/>
      </w:tblGrid>
      <w:tr w:rsidR="00F43AD5" w:rsidRPr="004C23F4" w14:paraId="6AC2C15D" w14:textId="77777777" w:rsidTr="00B76A41">
        <w:trPr>
          <w:cantSplit/>
          <w:tblHeader/>
        </w:trPr>
        <w:tc>
          <w:tcPr>
            <w:tcW w:w="4077" w:type="dxa"/>
          </w:tcPr>
          <w:p w14:paraId="0DC6A570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8C57914" w14:textId="77777777" w:rsidR="00F43AD5" w:rsidRPr="00717D45" w:rsidRDefault="001A52C6" w:rsidP="001A52C6">
            <w:pPr>
              <w:pStyle w:val="Tablefont"/>
            </w:pPr>
            <w:r w:rsidRPr="001A52C6">
              <w:t>50-78-2</w:t>
            </w:r>
          </w:p>
        </w:tc>
      </w:tr>
      <w:tr w:rsidR="00F43AD5" w:rsidRPr="004C23F4" w14:paraId="109417A9" w14:textId="77777777" w:rsidTr="00B76A41">
        <w:trPr>
          <w:cantSplit/>
        </w:trPr>
        <w:tc>
          <w:tcPr>
            <w:tcW w:w="4077" w:type="dxa"/>
          </w:tcPr>
          <w:p w14:paraId="4C810977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D54FDAA" w14:textId="77777777" w:rsidR="00F43AD5" w:rsidRPr="00717D45" w:rsidRDefault="00CF4791" w:rsidP="00B76A41">
            <w:pPr>
              <w:pStyle w:val="Tablefont"/>
            </w:pPr>
            <w:r>
              <w:t xml:space="preserve">Aspirin, </w:t>
            </w:r>
            <w:r w:rsidRPr="00426FF2">
              <w:rPr>
                <w:rFonts w:cs="Arial"/>
                <w:shd w:val="clear" w:color="auto" w:fill="FFFFFF"/>
              </w:rPr>
              <w:t>2-acetoxybenzoic acid</w:t>
            </w:r>
          </w:p>
        </w:tc>
      </w:tr>
      <w:tr w:rsidR="00F43AD5" w:rsidRPr="004C23F4" w14:paraId="3C8E7EA0" w14:textId="77777777" w:rsidTr="00B76A41">
        <w:trPr>
          <w:cantSplit/>
        </w:trPr>
        <w:tc>
          <w:tcPr>
            <w:tcW w:w="4077" w:type="dxa"/>
          </w:tcPr>
          <w:p w14:paraId="1C5C6B04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208229E8" w14:textId="77777777" w:rsidR="00F43AD5" w:rsidRPr="00717D45" w:rsidRDefault="00426FF2" w:rsidP="00B76A41">
            <w:pPr>
              <w:pStyle w:val="Tablefont"/>
            </w:pPr>
            <w:r w:rsidRPr="00426FF2">
              <w:t>C</w:t>
            </w:r>
            <w:r w:rsidRPr="00426FF2">
              <w:rPr>
                <w:vertAlign w:val="subscript"/>
              </w:rPr>
              <w:t>9</w:t>
            </w:r>
            <w:r w:rsidRPr="00426FF2">
              <w:t>H</w:t>
            </w:r>
            <w:r w:rsidRPr="00426FF2">
              <w:rPr>
                <w:vertAlign w:val="subscript"/>
              </w:rPr>
              <w:t>8</w:t>
            </w:r>
            <w:r w:rsidRPr="00426FF2">
              <w:t>O</w:t>
            </w:r>
            <w:r w:rsidRPr="00426FF2">
              <w:rPr>
                <w:vertAlign w:val="subscript"/>
              </w:rPr>
              <w:t>4</w:t>
            </w:r>
          </w:p>
        </w:tc>
      </w:tr>
      <w:tr w:rsidR="00F43AD5" w:rsidRPr="004C23F4" w14:paraId="1C10370B" w14:textId="77777777" w:rsidTr="00B76A41">
        <w:trPr>
          <w:cantSplit/>
        </w:trPr>
        <w:tc>
          <w:tcPr>
            <w:tcW w:w="4077" w:type="dxa"/>
          </w:tcPr>
          <w:p w14:paraId="419C95B1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2F2791C6" w14:textId="77777777" w:rsidR="00F43AD5" w:rsidRPr="00426FF2" w:rsidRDefault="00426FF2" w:rsidP="00B76A41">
            <w:pPr>
              <w:pStyle w:val="Tablerowheading"/>
              <w:rPr>
                <w:b w:val="0"/>
              </w:rPr>
            </w:pPr>
            <w:r w:rsidRPr="00426FF2">
              <w:rPr>
                <w:b w:val="0"/>
              </w:rPr>
              <w:t>CH</w:t>
            </w:r>
            <w:r w:rsidRPr="00426FF2">
              <w:rPr>
                <w:b w:val="0"/>
                <w:vertAlign w:val="subscript"/>
              </w:rPr>
              <w:t>3</w:t>
            </w:r>
            <w:r w:rsidRPr="00426FF2">
              <w:rPr>
                <w:b w:val="0"/>
              </w:rPr>
              <w:t>COOC</w:t>
            </w:r>
            <w:r w:rsidRPr="00426FF2">
              <w:rPr>
                <w:b w:val="0"/>
                <w:vertAlign w:val="subscript"/>
              </w:rPr>
              <w:t>6</w:t>
            </w:r>
            <w:r w:rsidRPr="00426FF2">
              <w:rPr>
                <w:b w:val="0"/>
              </w:rPr>
              <w:t>H</w:t>
            </w:r>
            <w:r w:rsidRPr="00426FF2">
              <w:rPr>
                <w:b w:val="0"/>
                <w:vertAlign w:val="subscript"/>
              </w:rPr>
              <w:t>4</w:t>
            </w:r>
            <w:r w:rsidRPr="00426FF2">
              <w:rPr>
                <w:b w:val="0"/>
              </w:rPr>
              <w:t>COOH</w:t>
            </w:r>
          </w:p>
        </w:tc>
      </w:tr>
    </w:tbl>
    <w:p w14:paraId="351C59DE" w14:textId="0B223D9C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D94C13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3AEAF890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1BB06E52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5A84FD01" w14:textId="4CC0A4D1" w:rsidR="002C7AFE" w:rsidRPr="003430E5" w:rsidRDefault="00B42E1A" w:rsidP="00017C82">
            <w:pPr>
              <w:pStyle w:val="Tablefont"/>
              <w:rPr>
                <w:b/>
              </w:rPr>
            </w:pPr>
            <w:r w:rsidRPr="003430E5">
              <w:rPr>
                <w:b/>
              </w:rPr>
              <w:t>5 mg/m</w:t>
            </w:r>
            <w:r w:rsidRPr="003430E5">
              <w:rPr>
                <w:b/>
                <w:vertAlign w:val="superscript"/>
              </w:rPr>
              <w:t>3</w:t>
            </w:r>
            <w:r w:rsidR="003430E5">
              <w:rPr>
                <w:b/>
              </w:rPr>
              <w:t xml:space="preserve"> (0.68 ppm)</w:t>
            </w:r>
          </w:p>
        </w:tc>
      </w:tr>
      <w:tr w:rsidR="002C7AFE" w:rsidRPr="004C23F4" w14:paraId="4CECA32F" w14:textId="77777777" w:rsidTr="00921DE7">
        <w:trPr>
          <w:cantSplit/>
        </w:trPr>
        <w:tc>
          <w:tcPr>
            <w:tcW w:w="4077" w:type="dxa"/>
            <w:vAlign w:val="center"/>
          </w:tcPr>
          <w:p w14:paraId="634E870D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569FD649" w14:textId="14CC9A85" w:rsidR="002C7AFE" w:rsidRPr="00EB3D1B" w:rsidRDefault="002E7700" w:rsidP="00017C82">
            <w:pPr>
              <w:pStyle w:val="Tablefont"/>
              <w:rPr>
                <w:b/>
              </w:rPr>
            </w:pPr>
            <w:r>
              <w:rPr>
                <w:b/>
              </w:rPr>
              <w:softHyphen/>
              <w:t>—</w:t>
            </w:r>
          </w:p>
        </w:tc>
      </w:tr>
      <w:tr w:rsidR="002C7AFE" w:rsidRPr="004C23F4" w14:paraId="71DFEDFC" w14:textId="77777777" w:rsidTr="00921DE7">
        <w:trPr>
          <w:cantSplit/>
        </w:trPr>
        <w:tc>
          <w:tcPr>
            <w:tcW w:w="4077" w:type="dxa"/>
            <w:vAlign w:val="center"/>
          </w:tcPr>
          <w:p w14:paraId="2D3D14CC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1B539DF8" w14:textId="670ECBF3" w:rsidR="002C7AFE" w:rsidRPr="00EB3D1B" w:rsidRDefault="002E770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48AB066" w14:textId="77777777" w:rsidTr="00A2073D">
        <w:trPr>
          <w:cantSplit/>
        </w:trPr>
        <w:tc>
          <w:tcPr>
            <w:tcW w:w="4077" w:type="dxa"/>
          </w:tcPr>
          <w:p w14:paraId="36B9D3E9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120352C3" w14:textId="1B5BD7B1" w:rsidR="002C7AFE" w:rsidRPr="00EB3D1B" w:rsidRDefault="002E7700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3F1076B" w14:textId="77777777" w:rsidTr="00921DE7">
        <w:trPr>
          <w:cantSplit/>
        </w:trPr>
        <w:tc>
          <w:tcPr>
            <w:tcW w:w="4077" w:type="dxa"/>
            <w:vAlign w:val="center"/>
          </w:tcPr>
          <w:p w14:paraId="030BD21D" w14:textId="63C2E59F" w:rsidR="00F10C97" w:rsidRPr="002C58FF" w:rsidRDefault="00921DE7" w:rsidP="0099252C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7788534F" w14:textId="0B610DBD" w:rsidR="002C7AFE" w:rsidRPr="00EB3D1B" w:rsidRDefault="002E770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99252C" w:rsidRPr="004C23F4" w14:paraId="3C08E21A" w14:textId="77777777" w:rsidTr="0099252C">
        <w:trPr>
          <w:cantSplit/>
        </w:trPr>
        <w:tc>
          <w:tcPr>
            <w:tcW w:w="4077" w:type="dxa"/>
          </w:tcPr>
          <w:p w14:paraId="5D074116" w14:textId="1FFABD7B" w:rsidR="0099252C" w:rsidRDefault="0099252C" w:rsidP="0099252C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7A58CEF7" w14:textId="703F6220" w:rsidR="0099252C" w:rsidRPr="0099252C" w:rsidRDefault="0099252C" w:rsidP="00017C82">
            <w:pPr>
              <w:pStyle w:val="Tablefont"/>
            </w:pPr>
            <w:r w:rsidRPr="0099252C">
              <w:t xml:space="preserve">The recommended value is readily quantifiable through currently available sampling and analysis techniques. </w:t>
            </w:r>
            <w:bookmarkStart w:id="0" w:name="_GoBack"/>
            <w:bookmarkEnd w:id="0"/>
          </w:p>
        </w:tc>
      </w:tr>
    </w:tbl>
    <w:p w14:paraId="10B67F3F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43C5287" w14:textId="0483EE0A" w:rsidR="006639B4" w:rsidRPr="00616321" w:rsidRDefault="00D94C13" w:rsidP="000C139A">
      <w:pPr>
        <w:rPr>
          <w:rFonts w:cs="Arial"/>
        </w:rPr>
      </w:pPr>
      <w:r>
        <w:rPr>
          <w:rFonts w:cs="Arial"/>
        </w:rPr>
        <w:t>A</w:t>
      </w:r>
      <w:r w:rsidR="003A4A98">
        <w:rPr>
          <w:rFonts w:cs="Arial"/>
        </w:rPr>
        <w:t xml:space="preserve"> </w:t>
      </w:r>
      <w:r w:rsidR="00616321">
        <w:rPr>
          <w:rFonts w:cs="Arial"/>
        </w:rPr>
        <w:t>TWA of 5 mg/m</w:t>
      </w:r>
      <w:r w:rsidR="00616321">
        <w:rPr>
          <w:rFonts w:cs="Arial"/>
          <w:vertAlign w:val="superscript"/>
        </w:rPr>
        <w:t>3</w:t>
      </w:r>
      <w:r w:rsidR="003430E5">
        <w:rPr>
          <w:rFonts w:cs="Arial"/>
        </w:rPr>
        <w:t xml:space="preserve"> (0.68 ppm)</w:t>
      </w:r>
      <w:r w:rsidR="00616321">
        <w:rPr>
          <w:rFonts w:cs="Arial"/>
        </w:rPr>
        <w:t xml:space="preserve"> is </w:t>
      </w:r>
      <w:r>
        <w:rPr>
          <w:rFonts w:cs="Arial"/>
        </w:rPr>
        <w:t xml:space="preserve">recommended </w:t>
      </w:r>
      <w:r w:rsidR="00616321">
        <w:rPr>
          <w:rFonts w:cs="Arial"/>
        </w:rPr>
        <w:t xml:space="preserve">to protect </w:t>
      </w:r>
      <w:r w:rsidR="00C935E4">
        <w:rPr>
          <w:rFonts w:cs="Arial"/>
        </w:rPr>
        <w:t xml:space="preserve">for </w:t>
      </w:r>
      <w:r w:rsidR="00616321">
        <w:t>skin, eye and gastric irritation</w:t>
      </w:r>
      <w:r w:rsidR="00E87C2D">
        <w:t xml:space="preserve">, </w:t>
      </w:r>
      <w:r w:rsidR="00616321">
        <w:t>anaphylactic phenomenon</w:t>
      </w:r>
      <w:r w:rsidR="00E87C2D">
        <w:t xml:space="preserve">, </w:t>
      </w:r>
      <w:r w:rsidR="00616321">
        <w:t>increased clotting time</w:t>
      </w:r>
      <w:r w:rsidR="00E87C2D">
        <w:t xml:space="preserve"> </w:t>
      </w:r>
      <w:r w:rsidR="00616321">
        <w:t>and interference with platelet aggregation</w:t>
      </w:r>
      <w:r w:rsidR="006F37B9">
        <w:t xml:space="preserve"> in exposed workers.</w:t>
      </w:r>
    </w:p>
    <w:p w14:paraId="5936D930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836DF9B" w14:textId="4D068166" w:rsidR="000621C4" w:rsidRDefault="00616321" w:rsidP="006639B4">
      <w:pPr>
        <w:rPr>
          <w:rFonts w:cs="Arial"/>
        </w:rPr>
      </w:pPr>
      <w:r>
        <w:rPr>
          <w:rFonts w:cs="Arial"/>
        </w:rPr>
        <w:t>No inhalation pathway</w:t>
      </w:r>
      <w:r w:rsidR="003A4A98">
        <w:rPr>
          <w:rFonts w:cs="Arial"/>
        </w:rPr>
        <w:t xml:space="preserve"> or relevant</w:t>
      </w:r>
      <w:r>
        <w:rPr>
          <w:rFonts w:cs="Arial"/>
        </w:rPr>
        <w:t xml:space="preserve"> toxicological data </w:t>
      </w:r>
      <w:r w:rsidR="002E7700">
        <w:rPr>
          <w:rFonts w:cs="Arial"/>
        </w:rPr>
        <w:t xml:space="preserve">are </w:t>
      </w:r>
      <w:r w:rsidR="00F35B17">
        <w:rPr>
          <w:rFonts w:cs="Arial"/>
        </w:rPr>
        <w:t xml:space="preserve">available </w:t>
      </w:r>
      <w:r>
        <w:rPr>
          <w:rFonts w:cs="Arial"/>
        </w:rPr>
        <w:t xml:space="preserve">for </w:t>
      </w:r>
      <w:r w:rsidR="00F35B17">
        <w:rPr>
          <w:rFonts w:cs="Arial"/>
        </w:rPr>
        <w:t>a</w:t>
      </w:r>
      <w:r>
        <w:rPr>
          <w:rFonts w:cs="Arial"/>
        </w:rPr>
        <w:t>cetylsalicylic</w:t>
      </w:r>
      <w:r w:rsidR="003A4A98">
        <w:rPr>
          <w:rFonts w:cs="Arial"/>
        </w:rPr>
        <w:t xml:space="preserve"> acid (</w:t>
      </w:r>
      <w:r>
        <w:rPr>
          <w:rFonts w:cs="Arial"/>
        </w:rPr>
        <w:t>aspirin</w:t>
      </w:r>
      <w:r w:rsidR="003A4A98">
        <w:rPr>
          <w:rFonts w:cs="Arial"/>
        </w:rPr>
        <w:t>)</w:t>
      </w:r>
      <w:r>
        <w:rPr>
          <w:rFonts w:cs="Arial"/>
        </w:rPr>
        <w:t xml:space="preserve">. </w:t>
      </w:r>
    </w:p>
    <w:p w14:paraId="5C2CF6A1" w14:textId="3B6F0140" w:rsidR="000621C4" w:rsidRDefault="00616321" w:rsidP="006639B4">
      <w:pPr>
        <w:rPr>
          <w:rFonts w:cs="Arial"/>
        </w:rPr>
      </w:pPr>
      <w:r>
        <w:rPr>
          <w:rFonts w:cs="Arial"/>
        </w:rPr>
        <w:t xml:space="preserve">The </w:t>
      </w:r>
      <w:r w:rsidR="00B40716">
        <w:rPr>
          <w:rFonts w:cs="Arial"/>
        </w:rPr>
        <w:t>ACGIH</w:t>
      </w:r>
      <w:r>
        <w:rPr>
          <w:rFonts w:cs="Arial"/>
        </w:rPr>
        <w:t xml:space="preserve"> recommended a TLV-TWA of 5 mg/m</w:t>
      </w:r>
      <w:r>
        <w:rPr>
          <w:rFonts w:cs="Arial"/>
          <w:vertAlign w:val="superscript"/>
        </w:rPr>
        <w:t>3</w:t>
      </w:r>
      <w:r w:rsidR="00163E23">
        <w:rPr>
          <w:rFonts w:cs="Arial"/>
        </w:rPr>
        <w:t xml:space="preserve"> in 2001 and </w:t>
      </w:r>
      <w:r w:rsidR="00F8465C">
        <w:rPr>
          <w:rFonts w:cs="Arial"/>
        </w:rPr>
        <w:t>there is</w:t>
      </w:r>
      <w:r w:rsidR="003A0EE9">
        <w:rPr>
          <w:rFonts w:cs="Arial"/>
        </w:rPr>
        <w:t xml:space="preserve"> limited evidence to support an amended value. </w:t>
      </w:r>
    </w:p>
    <w:p w14:paraId="43FE569B" w14:textId="0D9F16C0" w:rsidR="006639B4" w:rsidRPr="00616321" w:rsidRDefault="00163E23" w:rsidP="006639B4">
      <w:pPr>
        <w:rPr>
          <w:rFonts w:cs="Arial"/>
        </w:rPr>
      </w:pPr>
      <w:r>
        <w:rPr>
          <w:rFonts w:cs="Arial"/>
        </w:rPr>
        <w:t>H</w:t>
      </w:r>
      <w:r w:rsidR="00616321">
        <w:rPr>
          <w:rFonts w:cs="Arial"/>
        </w:rPr>
        <w:t xml:space="preserve">owever </w:t>
      </w:r>
      <w:r w:rsidR="003A4A98">
        <w:rPr>
          <w:rFonts w:cs="Arial"/>
        </w:rPr>
        <w:t xml:space="preserve">due </w:t>
      </w:r>
      <w:r w:rsidR="00B375A6">
        <w:rPr>
          <w:rFonts w:cs="Arial"/>
        </w:rPr>
        <w:t xml:space="preserve">to </w:t>
      </w:r>
      <w:r w:rsidR="00616321">
        <w:rPr>
          <w:rFonts w:cs="Arial"/>
        </w:rPr>
        <w:t>the lack of relevant toxicity data</w:t>
      </w:r>
      <w:r w:rsidR="000621C4">
        <w:rPr>
          <w:rFonts w:cs="Arial"/>
        </w:rPr>
        <w:t>,</w:t>
      </w:r>
      <w:r w:rsidR="00616321">
        <w:rPr>
          <w:rFonts w:cs="Arial"/>
        </w:rPr>
        <w:t xml:space="preserve"> it is recommended that</w:t>
      </w:r>
      <w:r w:rsidR="003A4A98">
        <w:rPr>
          <w:rFonts w:cs="Arial"/>
        </w:rPr>
        <w:t xml:space="preserve"> further assessment of the literature is conducted </w:t>
      </w:r>
      <w:r w:rsidR="007330C9">
        <w:rPr>
          <w:rFonts w:cs="Arial"/>
        </w:rPr>
        <w:t xml:space="preserve">at the next scheduled review </w:t>
      </w:r>
      <w:r w:rsidR="003A4A98">
        <w:rPr>
          <w:rFonts w:cs="Arial"/>
        </w:rPr>
        <w:t>with a view to resolve uncertainty.</w:t>
      </w:r>
    </w:p>
    <w:p w14:paraId="0F4D432A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2166758" w14:textId="6661F4E0" w:rsidR="003A4A98" w:rsidRDefault="00D94C13" w:rsidP="003A4A98">
      <w:r>
        <w:t>N</w:t>
      </w:r>
      <w:r w:rsidR="003A4A98">
        <w:t>ot classified as a carcinogen according to the Globally Harmonized System of Classification and Labelling of Chemicals</w:t>
      </w:r>
      <w:r w:rsidR="00E621BF">
        <w:t xml:space="preserve"> (GHS)</w:t>
      </w:r>
      <w:r w:rsidR="003A4A98">
        <w:t>.</w:t>
      </w:r>
    </w:p>
    <w:p w14:paraId="50876094" w14:textId="487B1221" w:rsidR="003A4A98" w:rsidRDefault="00D94C13" w:rsidP="003A4A98">
      <w:r>
        <w:t>Not</w:t>
      </w:r>
      <w:r w:rsidR="003A4A98">
        <w:t xml:space="preserve"> classified as a skin </w:t>
      </w:r>
      <w:r w:rsidR="002E7700">
        <w:t xml:space="preserve">sensitiser </w:t>
      </w:r>
      <w:r w:rsidR="003A4A98">
        <w:t xml:space="preserve">or respiratory sensitiser according to the </w:t>
      </w:r>
      <w:r w:rsidR="00C2730E">
        <w:t>GHS</w:t>
      </w:r>
    </w:p>
    <w:p w14:paraId="7490DDC9" w14:textId="1FF960AC" w:rsidR="0025734A" w:rsidRPr="004C23F4" w:rsidRDefault="00633DA0" w:rsidP="003A4A98">
      <w:pPr>
        <w:rPr>
          <w:rFonts w:cs="Arial"/>
        </w:rPr>
      </w:pPr>
      <w:r>
        <w:t>In</w:t>
      </w:r>
      <w:r w:rsidR="00163E23">
        <w:t xml:space="preserve">adequate data </w:t>
      </w:r>
      <w:r w:rsidR="00E87C2D">
        <w:t xml:space="preserve">available </w:t>
      </w:r>
      <w:r w:rsidR="00163E23">
        <w:t xml:space="preserve">to assign a </w:t>
      </w:r>
      <w:r w:rsidR="00610667">
        <w:t xml:space="preserve">skin </w:t>
      </w:r>
      <w:r w:rsidR="00163E23">
        <w:t>notation.</w:t>
      </w:r>
    </w:p>
    <w:p w14:paraId="749967EB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C34A4F9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AA9AF03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D30B0D9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AABD5A9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7CD9F79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FFD69B9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9454FB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9454FB">
                  <w:t>TWA: 5 mg/m</w:t>
                </w:r>
                <w:r w:rsidR="009454FB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39F73E2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66BA074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DC0737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D187153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0458A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832729158"/>
                    <w:placeholder>
                      <w:docPart w:val="3016397CE99C424E8D1B9508FA244E2A"/>
                    </w:placeholder>
                  </w:sdtPr>
                  <w:sdtEndPr/>
                  <w:sdtContent>
                    <w:r w:rsidR="0060458A">
                      <w:t>TLV-TWA: 5 mg/m</w:t>
                    </w:r>
                    <w:r w:rsidR="0060458A">
                      <w:rPr>
                        <w:vertAlign w:val="superscript"/>
                      </w:rPr>
                      <w:t>3</w:t>
                    </w:r>
                  </w:sdtContent>
                </w:sdt>
              </w:sdtContent>
            </w:sdt>
          </w:p>
        </w:tc>
      </w:tr>
      <w:tr w:rsidR="00C978F0" w:rsidRPr="00DA352E" w14:paraId="14EAE83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B1A6ECE" w14:textId="3D36F063" w:rsidR="00C978F0" w:rsidRDefault="00F8465C" w:rsidP="003365A5">
            <w:pPr>
              <w:pStyle w:val="Tabletextprimarysource"/>
            </w:pPr>
            <w:r>
              <w:t>TLV-TWA is</w:t>
            </w:r>
            <w:r w:rsidR="0060458A">
              <w:t xml:space="preserve"> </w:t>
            </w:r>
            <w:r>
              <w:t xml:space="preserve">recommended to protect for </w:t>
            </w:r>
            <w:r w:rsidR="0060458A">
              <w:t>potential skin, eye and gastric irritation</w:t>
            </w:r>
            <w:r w:rsidR="00E87C2D">
              <w:t xml:space="preserve">, </w:t>
            </w:r>
            <w:r w:rsidR="0060458A">
              <w:t>anaphylactic phenomenon</w:t>
            </w:r>
            <w:r w:rsidR="00E87C2D">
              <w:t xml:space="preserve">, </w:t>
            </w:r>
            <w:r w:rsidR="0060458A">
              <w:t>increased clotting time</w:t>
            </w:r>
            <w:r w:rsidR="00E87C2D">
              <w:t xml:space="preserve"> </w:t>
            </w:r>
            <w:r w:rsidR="0060458A">
              <w:t>and interference with platelet aggregation.</w:t>
            </w:r>
          </w:p>
          <w:p w14:paraId="3F7A5E4C" w14:textId="77777777" w:rsidR="00633DA0" w:rsidRDefault="00633DA0" w:rsidP="00633DA0">
            <w:pPr>
              <w:pStyle w:val="Tabletextprimarysource"/>
            </w:pPr>
            <w:r>
              <w:t>Summary of data:</w:t>
            </w:r>
          </w:p>
          <w:p w14:paraId="2F8DED85" w14:textId="77777777" w:rsidR="00633DA0" w:rsidRDefault="00633DA0" w:rsidP="00633DA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3F218F23" w14:textId="77777777" w:rsidR="00633DA0" w:rsidRDefault="00633DA0" w:rsidP="0080624B">
            <w:pPr>
              <w:pStyle w:val="ListBullet"/>
              <w:tabs>
                <w:tab w:val="clear" w:pos="360"/>
              </w:tabs>
              <w:spacing w:before="0" w:after="80"/>
              <w:ind w:left="697" w:hanging="357"/>
              <w:contextualSpacing w:val="0"/>
            </w:pPr>
            <w:r>
              <w:t>Known respiratory and systemic allergen and can produce anaphylactic phenomenon at low doses</w:t>
            </w:r>
          </w:p>
          <w:p w14:paraId="057CF767" w14:textId="77777777" w:rsidR="00633DA0" w:rsidRDefault="00633DA0" w:rsidP="0080624B">
            <w:pPr>
              <w:pStyle w:val="ListBullet"/>
              <w:tabs>
                <w:tab w:val="clear" w:pos="360"/>
              </w:tabs>
              <w:spacing w:before="0" w:after="80"/>
              <w:ind w:left="697" w:hanging="357"/>
              <w:contextualSpacing w:val="0"/>
            </w:pPr>
            <w:r>
              <w:t>Known acute irritant to the gastric mucosa, skin and eyes</w:t>
            </w:r>
          </w:p>
          <w:p w14:paraId="262BDB0C" w14:textId="136B38C2" w:rsidR="00633DA0" w:rsidRDefault="00633DA0" w:rsidP="0080624B">
            <w:pPr>
              <w:pStyle w:val="ListBullet"/>
              <w:tabs>
                <w:tab w:val="clear" w:pos="360"/>
              </w:tabs>
              <w:spacing w:before="0" w:after="80"/>
              <w:ind w:left="697" w:hanging="357"/>
              <w:contextualSpacing w:val="0"/>
            </w:pPr>
            <w:r>
              <w:t>Ingestion interferes with platelet aggregation and increases clotting time</w:t>
            </w:r>
            <w:r w:rsidR="002E7700">
              <w:t>.</w:t>
            </w:r>
          </w:p>
          <w:p w14:paraId="6673EF69" w14:textId="77777777" w:rsidR="00F8465C" w:rsidRDefault="00F8465C" w:rsidP="00633DA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7A78E0BE" w14:textId="373424C8" w:rsidR="00633DA0" w:rsidRDefault="00633DA0" w:rsidP="00633DA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1B3C6E64" w14:textId="1FA57D3B" w:rsidR="00633DA0" w:rsidRDefault="00633DA0" w:rsidP="0080624B">
            <w:pPr>
              <w:pStyle w:val="ListBullet"/>
              <w:tabs>
                <w:tab w:val="clear" w:pos="360"/>
              </w:tabs>
              <w:spacing w:before="0" w:after="80"/>
              <w:ind w:left="697" w:hanging="357"/>
              <w:contextualSpacing w:val="0"/>
            </w:pPr>
            <w:r>
              <w:t>LD</w:t>
            </w:r>
            <w:r w:rsidRPr="00F8465C">
              <w:rPr>
                <w:vertAlign w:val="subscript"/>
              </w:rPr>
              <w:t>50</w:t>
            </w:r>
            <w:r>
              <w:t xml:space="preserve"> (unspecified route of administration): </w:t>
            </w:r>
            <w:r w:rsidR="00F8465C">
              <w:t xml:space="preserve">1,100 mg/kg (mice); </w:t>
            </w:r>
            <w:r>
              <w:t xml:space="preserve">1,500 mg/kg (rats) </w:t>
            </w:r>
          </w:p>
          <w:p w14:paraId="06AE6E19" w14:textId="5B5646FE" w:rsidR="00633DA0" w:rsidRDefault="00633DA0" w:rsidP="0080624B">
            <w:pPr>
              <w:pStyle w:val="ListBullet"/>
              <w:tabs>
                <w:tab w:val="clear" w:pos="360"/>
              </w:tabs>
              <w:spacing w:before="0" w:after="80"/>
              <w:ind w:left="697" w:hanging="357"/>
              <w:contextualSpacing w:val="0"/>
            </w:pPr>
            <w:r>
              <w:t>Teratogenic effects reporte</w:t>
            </w:r>
            <w:r w:rsidR="002E7700">
              <w:t>d in animals at very high doses.</w:t>
            </w:r>
          </w:p>
          <w:p w14:paraId="5BD87039" w14:textId="77777777" w:rsidR="00465758" w:rsidRDefault="00465758" w:rsidP="00F8465C">
            <w:pPr>
              <w:pStyle w:val="ListBullet"/>
              <w:numPr>
                <w:ilvl w:val="0"/>
                <w:numId w:val="0"/>
              </w:numPr>
            </w:pPr>
          </w:p>
          <w:p w14:paraId="3D07D465" w14:textId="40D238C3" w:rsidR="00F8465C" w:rsidRDefault="00633DA0" w:rsidP="00F8465C">
            <w:pPr>
              <w:pStyle w:val="ListBullet"/>
              <w:numPr>
                <w:ilvl w:val="0"/>
                <w:numId w:val="0"/>
              </w:numPr>
            </w:pPr>
            <w:r>
              <w:t>No toxici</w:t>
            </w:r>
            <w:r w:rsidR="00F8465C">
              <w:t>ty data by the inhalation route.</w:t>
            </w:r>
          </w:p>
          <w:p w14:paraId="4B58D34F" w14:textId="77777777" w:rsidR="009B0C2E" w:rsidRDefault="00633DA0" w:rsidP="00F8465C">
            <w:pPr>
              <w:pStyle w:val="ListBullet"/>
              <w:numPr>
                <w:ilvl w:val="0"/>
                <w:numId w:val="0"/>
              </w:numPr>
            </w:pPr>
            <w:r>
              <w:t>No presentation of toxicity data used to derive the TLV-TWA.</w:t>
            </w:r>
          </w:p>
          <w:p w14:paraId="66A64D28" w14:textId="0E9A2A63" w:rsidR="002E7700" w:rsidRPr="00DA352E" w:rsidRDefault="002E7700" w:rsidP="00F8465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C978F0" w:rsidRPr="00DA352E" w14:paraId="118B3C1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2DBB3BE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B0C2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9B0C2E">
                  <w:t>NA</w:t>
                </w:r>
                <w:proofErr w:type="spellEnd"/>
              </w:sdtContent>
            </w:sdt>
          </w:p>
        </w:tc>
      </w:tr>
      <w:tr w:rsidR="00C978F0" w:rsidRPr="00DA352E" w14:paraId="57470DC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58E184D" w14:textId="3E672957" w:rsidR="00C978F0" w:rsidRPr="00DA352E" w:rsidRDefault="009B0C2E" w:rsidP="003365A5">
            <w:pPr>
              <w:pStyle w:val="Tabletextprimarysource"/>
            </w:pPr>
            <w:r>
              <w:t>No report</w:t>
            </w:r>
          </w:p>
        </w:tc>
      </w:tr>
      <w:tr w:rsidR="00C978F0" w:rsidRPr="00DA352E" w14:paraId="1EF299A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BE9446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9B0C2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9B0C2E">
                  <w:t>NA</w:t>
                </w:r>
                <w:proofErr w:type="spellEnd"/>
              </w:sdtContent>
            </w:sdt>
          </w:p>
        </w:tc>
      </w:tr>
      <w:tr w:rsidR="00C978F0" w:rsidRPr="00DA352E" w14:paraId="0815618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BFCB0BE" w14:textId="0A1289DF" w:rsidR="00C978F0" w:rsidRPr="00DA352E" w:rsidRDefault="0084281D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434562A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74A9510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9B0C2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9B0C2E">
                  <w:t>NA</w:t>
                </w:r>
                <w:proofErr w:type="spellEnd"/>
              </w:sdtContent>
            </w:sdt>
          </w:p>
        </w:tc>
      </w:tr>
      <w:tr w:rsidR="00DA352E" w:rsidRPr="00DA352E" w14:paraId="60AEE60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7E754D9" w14:textId="0635E019" w:rsidR="00DA352E" w:rsidRPr="00DA352E" w:rsidRDefault="0084281D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39321F0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0BC0C56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9B0C2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9B0C2E">
                  <w:t>NA</w:t>
                </w:r>
                <w:proofErr w:type="spellEnd"/>
              </w:sdtContent>
            </w:sdt>
          </w:p>
        </w:tc>
      </w:tr>
      <w:tr w:rsidR="00DA352E" w:rsidRPr="00DA352E" w14:paraId="62146CB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2DC2215" w14:textId="2F492B60" w:rsidR="00DA352E" w:rsidRPr="00DA352E" w:rsidRDefault="0084281D" w:rsidP="003365A5">
            <w:pPr>
              <w:pStyle w:val="Tabletextprimarysource"/>
            </w:pPr>
            <w:r>
              <w:t>No report</w:t>
            </w:r>
          </w:p>
        </w:tc>
      </w:tr>
    </w:tbl>
    <w:p w14:paraId="449BE107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57"/>
        <w:gridCol w:w="419"/>
        <w:gridCol w:w="1050"/>
        <w:gridCol w:w="6100"/>
      </w:tblGrid>
      <w:tr w:rsidR="004966BF" w:rsidRPr="00263255" w14:paraId="73AE2CA8" w14:textId="77777777" w:rsidTr="00574E07">
        <w:trPr>
          <w:cantSplit/>
          <w:trHeight w:val="393"/>
          <w:tblHeader/>
        </w:trPr>
        <w:tc>
          <w:tcPr>
            <w:tcW w:w="1457" w:type="dxa"/>
            <w:shd w:val="clear" w:color="auto" w:fill="BFBFBF" w:themeFill="background1" w:themeFillShade="BF"/>
            <w:vAlign w:val="center"/>
          </w:tcPr>
          <w:p w14:paraId="2B14B1FF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14:paraId="53FD3F0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1050" w:type="dxa"/>
            <w:shd w:val="clear" w:color="auto" w:fill="BFBFBF" w:themeFill="background1" w:themeFillShade="BF"/>
            <w:vAlign w:val="center"/>
          </w:tcPr>
          <w:p w14:paraId="3568D780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100" w:type="dxa"/>
            <w:shd w:val="clear" w:color="auto" w:fill="BFBFBF" w:themeFill="background1" w:themeFillShade="BF"/>
            <w:vAlign w:val="center"/>
          </w:tcPr>
          <w:p w14:paraId="1220140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56A47CE" w14:textId="77777777" w:rsidTr="00574E07">
        <w:trPr>
          <w:cantSplit/>
        </w:trPr>
        <w:tc>
          <w:tcPr>
            <w:tcW w:w="1457" w:type="dxa"/>
          </w:tcPr>
          <w:p w14:paraId="7BF4257C" w14:textId="77777777" w:rsidR="004966BF" w:rsidRPr="004C23F4" w:rsidRDefault="004966BF" w:rsidP="00224EE2">
            <w:pPr>
              <w:pStyle w:val="Tablefont"/>
            </w:pPr>
            <w:r>
              <w:t>HSE</w:t>
            </w:r>
          </w:p>
        </w:tc>
        <w:tc>
          <w:tcPr>
            <w:tcW w:w="419" w:type="dxa"/>
          </w:tcPr>
          <w:p w14:paraId="604EFB02" w14:textId="77777777" w:rsidR="004966BF" w:rsidRPr="00CE617F" w:rsidRDefault="0099252C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4281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1050" w:type="dxa"/>
          </w:tcPr>
          <w:p w14:paraId="51006A65" w14:textId="77777777" w:rsidR="004966BF" w:rsidRPr="004C23F4" w:rsidRDefault="00163E23" w:rsidP="00717D45">
            <w:pPr>
              <w:pStyle w:val="Tablefont"/>
            </w:pPr>
            <w:r>
              <w:t>1993</w:t>
            </w:r>
          </w:p>
        </w:tc>
        <w:tc>
          <w:tcPr>
            <w:tcW w:w="6100" w:type="dxa"/>
          </w:tcPr>
          <w:p w14:paraId="17FE8966" w14:textId="286ADE10" w:rsidR="00D65671" w:rsidRDefault="00D4483D" w:rsidP="0084281D">
            <w:pPr>
              <w:pStyle w:val="ListBullet"/>
            </w:pPr>
            <w:r>
              <w:t>TWA</w:t>
            </w:r>
            <w:r w:rsidR="00B670F4">
              <w:t>:</w:t>
            </w:r>
            <w:r>
              <w:t xml:space="preserve"> 5 mg/m</w:t>
            </w:r>
            <w:r>
              <w:rPr>
                <w:vertAlign w:val="superscript"/>
              </w:rPr>
              <w:t>3</w:t>
            </w:r>
          </w:p>
          <w:p w14:paraId="1AE9C654" w14:textId="3692583D" w:rsidR="004966BF" w:rsidRPr="004C23F4" w:rsidRDefault="00D4483D" w:rsidP="0084281D">
            <w:pPr>
              <w:pStyle w:val="ListBullet"/>
            </w:pPr>
            <w:r>
              <w:t>No additional information</w:t>
            </w:r>
            <w:r w:rsidR="00F35B17">
              <w:t>.</w:t>
            </w:r>
          </w:p>
        </w:tc>
      </w:tr>
      <w:tr w:rsidR="004966BF" w:rsidRPr="004C23F4" w14:paraId="01C157A6" w14:textId="77777777" w:rsidTr="00574E07">
        <w:trPr>
          <w:cantSplit/>
        </w:trPr>
        <w:tc>
          <w:tcPr>
            <w:tcW w:w="1457" w:type="dxa"/>
          </w:tcPr>
          <w:p w14:paraId="295161A9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19" w:type="dxa"/>
          </w:tcPr>
          <w:p w14:paraId="321C503C" w14:textId="77777777" w:rsidR="004966BF" w:rsidRPr="00CE617F" w:rsidRDefault="0099252C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4483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1050" w:type="dxa"/>
          </w:tcPr>
          <w:p w14:paraId="033EDE59" w14:textId="77777777" w:rsidR="004966BF" w:rsidRPr="004C23F4" w:rsidRDefault="00D4483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Unknown</w:t>
            </w:r>
          </w:p>
        </w:tc>
        <w:tc>
          <w:tcPr>
            <w:tcW w:w="6100" w:type="dxa"/>
          </w:tcPr>
          <w:p w14:paraId="1DE4B9ED" w14:textId="3B7E87A6" w:rsidR="00D65671" w:rsidRDefault="00D4483D" w:rsidP="00D4483D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 additional information </w:t>
            </w:r>
          </w:p>
          <w:p w14:paraId="6ABD786A" w14:textId="1B236E11" w:rsidR="004966BF" w:rsidRPr="004C23F4" w:rsidRDefault="00D4483D" w:rsidP="00D4483D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T</w:t>
            </w:r>
            <w:r w:rsidRPr="00D4483D">
              <w:rPr>
                <w:rStyle w:val="checkbox"/>
                <w:rFonts w:ascii="Arial" w:hAnsi="Arial" w:cs="Arial"/>
              </w:rPr>
              <w:t>herapeutic uses are excluded from assessment by NICNAS</w:t>
            </w:r>
            <w:r w:rsidR="00F35B17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14CAE3B8" w14:textId="77777777" w:rsidTr="00574E07">
        <w:trPr>
          <w:cantSplit/>
        </w:trPr>
        <w:tc>
          <w:tcPr>
            <w:tcW w:w="1457" w:type="dxa"/>
          </w:tcPr>
          <w:p w14:paraId="714C2650" w14:textId="77777777" w:rsidR="004966BF" w:rsidRPr="004C23F4" w:rsidRDefault="004966BF" w:rsidP="00224EE2">
            <w:pPr>
              <w:pStyle w:val="Tablefont"/>
            </w:pPr>
            <w:r>
              <w:t>NTP</w:t>
            </w:r>
          </w:p>
        </w:tc>
        <w:tc>
          <w:tcPr>
            <w:tcW w:w="419" w:type="dxa"/>
          </w:tcPr>
          <w:p w14:paraId="1166AEF3" w14:textId="77777777" w:rsidR="004966BF" w:rsidRPr="00CE617F" w:rsidRDefault="0099252C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954586092"/>
                <w:placeholder>
                  <w:docPart w:val="0599BE4318CD4CC0836196E577CC2921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065F2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1050" w:type="dxa"/>
          </w:tcPr>
          <w:p w14:paraId="2B524944" w14:textId="77777777" w:rsidR="004966BF" w:rsidRPr="004C23F4" w:rsidRDefault="00065F2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Unknown</w:t>
            </w:r>
          </w:p>
        </w:tc>
        <w:tc>
          <w:tcPr>
            <w:tcW w:w="6100" w:type="dxa"/>
          </w:tcPr>
          <w:p w14:paraId="0ED176E5" w14:textId="6ABB073F" w:rsidR="004966BF" w:rsidRPr="004C23F4" w:rsidRDefault="00065F25" w:rsidP="00065F25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Negative in genotoxicity testing </w:t>
            </w:r>
            <w:r w:rsidRPr="00065F25">
              <w:rPr>
                <w:rStyle w:val="checkbox"/>
                <w:rFonts w:ascii="Arial" w:hAnsi="Arial" w:cs="Arial"/>
              </w:rPr>
              <w:t xml:space="preserve">in </w:t>
            </w:r>
            <w:r w:rsidRPr="00065F25">
              <w:rPr>
                <w:rStyle w:val="checkbox"/>
                <w:rFonts w:ascii="Arial" w:hAnsi="Arial" w:cs="Arial"/>
                <w:i/>
              </w:rPr>
              <w:t>Salmonella typhimurium</w:t>
            </w:r>
            <w:r w:rsidRPr="00065F25">
              <w:rPr>
                <w:rStyle w:val="checkbox"/>
                <w:rFonts w:ascii="Arial" w:hAnsi="Arial" w:cs="Arial"/>
              </w:rPr>
              <w:t xml:space="preserve"> and </w:t>
            </w:r>
            <w:r w:rsidR="00F8465C" w:rsidRPr="00065F25">
              <w:rPr>
                <w:rStyle w:val="checkbox"/>
                <w:rFonts w:ascii="Arial" w:hAnsi="Arial" w:cs="Arial"/>
                <w:i/>
              </w:rPr>
              <w:t>Escherichia</w:t>
            </w:r>
            <w:r w:rsidRPr="00065F25">
              <w:rPr>
                <w:rStyle w:val="checkbox"/>
                <w:rFonts w:ascii="Arial" w:hAnsi="Arial" w:cs="Arial"/>
                <w:i/>
              </w:rPr>
              <w:t xml:space="preserve"> coli</w:t>
            </w:r>
            <w:r w:rsidR="00F35B17">
              <w:rPr>
                <w:rStyle w:val="checkbox"/>
                <w:rFonts w:ascii="Arial" w:hAnsi="Arial" w:cs="Arial"/>
              </w:rPr>
              <w:t>.</w:t>
            </w:r>
          </w:p>
        </w:tc>
      </w:tr>
    </w:tbl>
    <w:p w14:paraId="468EC9FB" w14:textId="77777777" w:rsidR="007E2A4B" w:rsidRDefault="007E2A4B"/>
    <w:bookmarkEnd w:id="1"/>
    <w:p w14:paraId="6EE78E9A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14:paraId="0C7CC9C0" w14:textId="77777777" w:rsidTr="00633DA0">
        <w:trPr>
          <w:trHeight w:val="454"/>
          <w:tblHeader/>
        </w:trPr>
        <w:tc>
          <w:tcPr>
            <w:tcW w:w="6609" w:type="dxa"/>
            <w:vAlign w:val="center"/>
          </w:tcPr>
          <w:p w14:paraId="4456A3C7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4AD5F09E" w14:textId="77777777" w:rsidR="002E0D61" w:rsidRDefault="00106BCB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</w:tbl>
    <w:bookmarkEnd w:id="2"/>
    <w:p w14:paraId="278A5060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537E146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03A4094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5CC2F1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3267296" w14:textId="77777777" w:rsidTr="00812887">
        <w:trPr>
          <w:cantSplit/>
        </w:trPr>
        <w:tc>
          <w:tcPr>
            <w:tcW w:w="3227" w:type="dxa"/>
          </w:tcPr>
          <w:p w14:paraId="1BCA00B7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F8A2E7E" w14:textId="77777777" w:rsidR="00687890" w:rsidRPr="00DD2F9B" w:rsidRDefault="0060458A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79F72E4D" w14:textId="77777777" w:rsidTr="00812887">
        <w:trPr>
          <w:cantSplit/>
        </w:trPr>
        <w:tc>
          <w:tcPr>
            <w:tcW w:w="3227" w:type="dxa"/>
          </w:tcPr>
          <w:p w14:paraId="5506C406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F9B0AB8" w14:textId="77777777" w:rsidR="007925F0" w:rsidRPr="00DD2F9B" w:rsidRDefault="0060458A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67CBBC58" w14:textId="77777777" w:rsidTr="00812887">
        <w:trPr>
          <w:cantSplit/>
        </w:trPr>
        <w:tc>
          <w:tcPr>
            <w:tcW w:w="3227" w:type="dxa"/>
          </w:tcPr>
          <w:p w14:paraId="1AB82AC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64CB515" w14:textId="77777777" w:rsidR="00AF483F" w:rsidRPr="00DD2F9B" w:rsidRDefault="004D3C29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190882CB" w14:textId="77777777" w:rsidTr="00812887">
        <w:trPr>
          <w:cantSplit/>
        </w:trPr>
        <w:tc>
          <w:tcPr>
            <w:tcW w:w="3227" w:type="dxa"/>
          </w:tcPr>
          <w:p w14:paraId="0E057462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24E831C" w14:textId="77777777" w:rsidR="00687890" w:rsidRPr="00DD2F9B" w:rsidRDefault="004D3C29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B6F83EB" w14:textId="77777777" w:rsidTr="00812887">
        <w:trPr>
          <w:cantSplit/>
        </w:trPr>
        <w:tc>
          <w:tcPr>
            <w:tcW w:w="3227" w:type="dxa"/>
          </w:tcPr>
          <w:p w14:paraId="768E735F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1ECFB3F" w14:textId="77777777" w:rsidR="00E41A26" w:rsidRPr="00DD2F9B" w:rsidRDefault="004D3C2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34C87CE" w14:textId="77777777" w:rsidTr="00812887">
        <w:trPr>
          <w:cantSplit/>
        </w:trPr>
        <w:tc>
          <w:tcPr>
            <w:tcW w:w="3227" w:type="dxa"/>
          </w:tcPr>
          <w:p w14:paraId="502494A7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667B30C" w14:textId="77777777" w:rsidR="002E0D61" w:rsidRPr="00DD2F9B" w:rsidRDefault="004D3C2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548004A" w14:textId="77777777" w:rsidTr="00812887">
        <w:trPr>
          <w:cantSplit/>
        </w:trPr>
        <w:tc>
          <w:tcPr>
            <w:tcW w:w="3227" w:type="dxa"/>
          </w:tcPr>
          <w:p w14:paraId="5A02EFB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DB3C98D" w14:textId="77777777" w:rsidR="002E0D61" w:rsidRPr="00DD2F9B" w:rsidRDefault="004D3C2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7B6AC85" w14:textId="77777777" w:rsidTr="00812887">
        <w:trPr>
          <w:cantSplit/>
        </w:trPr>
        <w:tc>
          <w:tcPr>
            <w:tcW w:w="3227" w:type="dxa"/>
          </w:tcPr>
          <w:p w14:paraId="263FD719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A2BA71B" w14:textId="77777777" w:rsidR="002E0D61" w:rsidRPr="00DD2F9B" w:rsidRDefault="004D3C2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7BF9409" w14:textId="77777777" w:rsidTr="00812887">
        <w:trPr>
          <w:cantSplit/>
        </w:trPr>
        <w:tc>
          <w:tcPr>
            <w:tcW w:w="3227" w:type="dxa"/>
          </w:tcPr>
          <w:p w14:paraId="360551F1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5256C7C" w14:textId="77777777" w:rsidR="002E0D61" w:rsidRPr="00DD2F9B" w:rsidRDefault="004D3C29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99A5C31" w14:textId="77777777" w:rsidTr="00812887">
        <w:trPr>
          <w:cantSplit/>
        </w:trPr>
        <w:tc>
          <w:tcPr>
            <w:tcW w:w="3227" w:type="dxa"/>
          </w:tcPr>
          <w:p w14:paraId="5B9EDF94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8F42773" w14:textId="77777777" w:rsidR="00386093" w:rsidRPr="00DD2F9B" w:rsidRDefault="004D3C29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EDFA332" w14:textId="77777777" w:rsidTr="00812887">
        <w:trPr>
          <w:cantSplit/>
        </w:trPr>
        <w:tc>
          <w:tcPr>
            <w:tcW w:w="3227" w:type="dxa"/>
          </w:tcPr>
          <w:p w14:paraId="41CF8F8E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52C30690" w14:textId="77777777" w:rsidR="00386093" w:rsidRPr="00DD2F9B" w:rsidRDefault="004D3C29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048489B0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BA2D437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C25905F" w14:textId="77777777" w:rsidTr="009C6DBB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0B4336C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0F75A82" w14:textId="77777777" w:rsidTr="009C6DBB">
        <w:trPr>
          <w:cantSplit/>
          <w:tblHeader/>
        </w:trPr>
        <w:tc>
          <w:tcPr>
            <w:tcW w:w="5000" w:type="pct"/>
            <w:vAlign w:val="center"/>
          </w:tcPr>
          <w:p w14:paraId="48207A0F" w14:textId="77777777" w:rsidR="00932DCE" w:rsidRPr="004C23F4" w:rsidRDefault="002703D5" w:rsidP="00F9496B">
            <w:pPr>
              <w:pStyle w:val="Tablefont"/>
            </w:pPr>
            <w:r>
              <w:t>No adequate data available.</w:t>
            </w:r>
            <w:r w:rsidR="004D3C29">
              <w:t xml:space="preserve"> </w:t>
            </w:r>
          </w:p>
        </w:tc>
      </w:tr>
    </w:tbl>
    <w:bookmarkEnd w:id="4"/>
    <w:p w14:paraId="4C57E486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4801397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2E6C477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A0BF6A0" w14:textId="77777777" w:rsidR="00EB3D1B" w:rsidRDefault="00B42E1A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72061578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D9F7B3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E727FDF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9A081C7" w14:textId="77777777" w:rsidR="001B79E5" w:rsidRDefault="00374275" w:rsidP="001B79E5">
                <w:pPr>
                  <w:pStyle w:val="Tablefont"/>
                </w:pPr>
                <w:r>
                  <w:t>180.15</w:t>
                </w:r>
              </w:p>
            </w:tc>
          </w:sdtContent>
        </w:sdt>
      </w:tr>
      <w:tr w:rsidR="00A31D99" w:rsidRPr="004C23F4" w14:paraId="0701338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A460714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7B8A62E7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5F6439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42376F9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F98049F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FC6D98E" w14:textId="77777777" w:rsidTr="00EA6243">
        <w:trPr>
          <w:cantSplit/>
        </w:trPr>
        <w:tc>
          <w:tcPr>
            <w:tcW w:w="4077" w:type="dxa"/>
            <w:vAlign w:val="center"/>
          </w:tcPr>
          <w:p w14:paraId="438CE7FA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FAC4B06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85E7951" w14:textId="77777777" w:rsidTr="00EA6243">
        <w:trPr>
          <w:cantSplit/>
        </w:trPr>
        <w:tc>
          <w:tcPr>
            <w:tcW w:w="4077" w:type="dxa"/>
            <w:vAlign w:val="center"/>
          </w:tcPr>
          <w:p w14:paraId="6A94F526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F8DA77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4A87B281" w14:textId="77777777" w:rsidTr="00EA6243">
        <w:trPr>
          <w:cantSplit/>
        </w:trPr>
        <w:tc>
          <w:tcPr>
            <w:tcW w:w="4077" w:type="dxa"/>
            <w:vAlign w:val="center"/>
          </w:tcPr>
          <w:p w14:paraId="4B60E04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E890B69" w14:textId="77777777" w:rsidR="00E06F40" w:rsidRPr="00A006A0" w:rsidRDefault="0099252C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2D7E643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701CBD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FA98BA8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65F7469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E294DC8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AF4EB71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40F911B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0199C342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2E4670A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F51969F" w14:textId="77777777" w:rsidR="00163E23" w:rsidRDefault="00163E23" w:rsidP="00084859">
      <w:r w:rsidRPr="00163E23">
        <w:t xml:space="preserve">National Industrial Chemicals Notification </w:t>
      </w:r>
      <w:r>
        <w:t>and Assessment Scheme (NICNAS) Acetylsa</w:t>
      </w:r>
      <w:r w:rsidR="00426FF2">
        <w:t>licylic Acid Human health tier I</w:t>
      </w:r>
      <w:r>
        <w:t xml:space="preserve"> assessment – IMAP</w:t>
      </w:r>
      <w:r w:rsidRPr="00163E23">
        <w:t>.</w:t>
      </w:r>
    </w:p>
    <w:p w14:paraId="480C0246" w14:textId="77777777" w:rsidR="00163E23" w:rsidRDefault="00163E23" w:rsidP="00163E23">
      <w:r w:rsidRPr="00163E23">
        <w:t>National Toxicology Program (NTP</w:t>
      </w:r>
      <w:r>
        <w:t xml:space="preserve">) </w:t>
      </w:r>
      <w:r w:rsidRPr="00163E23">
        <w:t>Testing Status of Acetylsalicylic acid 10356-N</w:t>
      </w:r>
      <w:r>
        <w:t xml:space="preserve">. </w:t>
      </w:r>
      <w:r w:rsidRPr="00163E23">
        <w:t>NTP Toxicity report series TOX-93.</w:t>
      </w:r>
    </w:p>
    <w:p w14:paraId="0FC024F1" w14:textId="77777777" w:rsidR="00163E23" w:rsidRDefault="00163E23" w:rsidP="00084859">
      <w:r w:rsidRPr="00163E23">
        <w:t xml:space="preserve">UK Health and Safety Executive (HSE) (1993) </w:t>
      </w:r>
      <w:r>
        <w:t>Acetylsalicylic Acid</w:t>
      </w:r>
      <w:r w:rsidRPr="00163E23">
        <w:t xml:space="preserve"> – EH64: Summary criteria for occupational exposure limits.</w:t>
      </w:r>
    </w:p>
    <w:p w14:paraId="5955E3C0" w14:textId="77777777" w:rsidR="00163E23" w:rsidRDefault="00163E23"/>
    <w:sectPr w:rsidR="00163E23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28D949" w16cid:durableId="20B36194"/>
  <w16cid:commentId w16cid:paraId="209E5D2B" w16cid:durableId="20B361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D5A78" w14:textId="77777777" w:rsidR="00E23C77" w:rsidRDefault="00E23C77" w:rsidP="00F43AD5">
      <w:pPr>
        <w:spacing w:after="0" w:line="240" w:lineRule="auto"/>
      </w:pPr>
      <w:r>
        <w:separator/>
      </w:r>
    </w:p>
  </w:endnote>
  <w:endnote w:type="continuationSeparator" w:id="0">
    <w:p w14:paraId="081B75B0" w14:textId="77777777" w:rsidR="00E23C77" w:rsidRDefault="00E23C7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397C013" w14:textId="77777777" w:rsidR="008A36CF" w:rsidRDefault="001A52C6" w:rsidP="0034744C">
        <w:pPr>
          <w:pStyle w:val="Footer"/>
          <w:rPr>
            <w:sz w:val="18"/>
            <w:szCs w:val="18"/>
          </w:rPr>
        </w:pPr>
        <w:r w:rsidRPr="001A52C6">
          <w:rPr>
            <w:b/>
            <w:sz w:val="18"/>
            <w:szCs w:val="18"/>
          </w:rPr>
          <w:t xml:space="preserve">Acetylsalicylic acid </w:t>
        </w:r>
        <w:r w:rsidR="008A36CF">
          <w:rPr>
            <w:b/>
            <w:sz w:val="18"/>
            <w:szCs w:val="18"/>
          </w:rPr>
          <w:t>(</w:t>
        </w:r>
        <w:r w:rsidRPr="001A52C6">
          <w:rPr>
            <w:b/>
            <w:sz w:val="18"/>
            <w:szCs w:val="18"/>
          </w:rPr>
          <w:t>50-78-2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FB098CF" w14:textId="29823F2E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99252C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8FC88" w14:textId="77777777" w:rsidR="00E23C77" w:rsidRDefault="00E23C77" w:rsidP="00F43AD5">
      <w:pPr>
        <w:spacing w:after="0" w:line="240" w:lineRule="auto"/>
      </w:pPr>
      <w:r>
        <w:separator/>
      </w:r>
    </w:p>
  </w:footnote>
  <w:footnote w:type="continuationSeparator" w:id="0">
    <w:p w14:paraId="74D04D5B" w14:textId="77777777" w:rsidR="00E23C77" w:rsidRDefault="00E23C7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79452" w14:textId="77777777" w:rsidR="008A36CF" w:rsidRDefault="008A36C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34AB52BF" wp14:editId="2B922E2C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3EA62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4041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82903E4"/>
    <w:multiLevelType w:val="hybridMultilevel"/>
    <w:tmpl w:val="F96E8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56B0"/>
    <w:rsid w:val="00046DF5"/>
    <w:rsid w:val="00052060"/>
    <w:rsid w:val="0005574A"/>
    <w:rsid w:val="00055FE1"/>
    <w:rsid w:val="00056EC2"/>
    <w:rsid w:val="00060B48"/>
    <w:rsid w:val="000621C4"/>
    <w:rsid w:val="00065F25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E7850"/>
    <w:rsid w:val="0010461E"/>
    <w:rsid w:val="00106BCB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63E23"/>
    <w:rsid w:val="00177CA1"/>
    <w:rsid w:val="00183823"/>
    <w:rsid w:val="00183942"/>
    <w:rsid w:val="001A009E"/>
    <w:rsid w:val="001A1287"/>
    <w:rsid w:val="001A3859"/>
    <w:rsid w:val="001A3C9D"/>
    <w:rsid w:val="001A43F8"/>
    <w:rsid w:val="001A52C6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03D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2E7700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30E5"/>
    <w:rsid w:val="00347192"/>
    <w:rsid w:val="0034744C"/>
    <w:rsid w:val="00351FE0"/>
    <w:rsid w:val="00352615"/>
    <w:rsid w:val="0035412B"/>
    <w:rsid w:val="003567A8"/>
    <w:rsid w:val="00362895"/>
    <w:rsid w:val="00370DBF"/>
    <w:rsid w:val="00374275"/>
    <w:rsid w:val="00386093"/>
    <w:rsid w:val="003904A4"/>
    <w:rsid w:val="00391841"/>
    <w:rsid w:val="00391B6D"/>
    <w:rsid w:val="00394922"/>
    <w:rsid w:val="003A0E32"/>
    <w:rsid w:val="003A0EE9"/>
    <w:rsid w:val="003A2B94"/>
    <w:rsid w:val="003A4A98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401"/>
    <w:rsid w:val="00422A10"/>
    <w:rsid w:val="00426FF2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5758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3C29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32F6"/>
    <w:rsid w:val="00534B10"/>
    <w:rsid w:val="005446A2"/>
    <w:rsid w:val="00544D2F"/>
    <w:rsid w:val="00551BD8"/>
    <w:rsid w:val="00574E07"/>
    <w:rsid w:val="00580E87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458A"/>
    <w:rsid w:val="0060669E"/>
    <w:rsid w:val="00610667"/>
    <w:rsid w:val="00610F2E"/>
    <w:rsid w:val="00611399"/>
    <w:rsid w:val="00616321"/>
    <w:rsid w:val="00624C4E"/>
    <w:rsid w:val="00625200"/>
    <w:rsid w:val="00633DA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6F37B9"/>
    <w:rsid w:val="00701053"/>
    <w:rsid w:val="00701507"/>
    <w:rsid w:val="00714021"/>
    <w:rsid w:val="00716A0F"/>
    <w:rsid w:val="00717D45"/>
    <w:rsid w:val="007208F7"/>
    <w:rsid w:val="007218AF"/>
    <w:rsid w:val="007330C9"/>
    <w:rsid w:val="007365D1"/>
    <w:rsid w:val="00740B6C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3DDF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0624B"/>
    <w:rsid w:val="00810C6D"/>
    <w:rsid w:val="00812887"/>
    <w:rsid w:val="00826F21"/>
    <w:rsid w:val="00834CC8"/>
    <w:rsid w:val="00835E00"/>
    <w:rsid w:val="00837113"/>
    <w:rsid w:val="008414E4"/>
    <w:rsid w:val="0084281D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1B4"/>
    <w:rsid w:val="0093327E"/>
    <w:rsid w:val="00934028"/>
    <w:rsid w:val="0093760E"/>
    <w:rsid w:val="009454FB"/>
    <w:rsid w:val="00946044"/>
    <w:rsid w:val="0094660B"/>
    <w:rsid w:val="00946A33"/>
    <w:rsid w:val="0095260E"/>
    <w:rsid w:val="009578DD"/>
    <w:rsid w:val="00961124"/>
    <w:rsid w:val="009621B6"/>
    <w:rsid w:val="0096742C"/>
    <w:rsid w:val="00974F2D"/>
    <w:rsid w:val="00977524"/>
    <w:rsid w:val="00977E88"/>
    <w:rsid w:val="00984920"/>
    <w:rsid w:val="0099252C"/>
    <w:rsid w:val="0099303A"/>
    <w:rsid w:val="009971C2"/>
    <w:rsid w:val="009A1254"/>
    <w:rsid w:val="009B0C2E"/>
    <w:rsid w:val="009B2FF2"/>
    <w:rsid w:val="009B380C"/>
    <w:rsid w:val="009B4843"/>
    <w:rsid w:val="009B6543"/>
    <w:rsid w:val="009C199D"/>
    <w:rsid w:val="009C278F"/>
    <w:rsid w:val="009C2B94"/>
    <w:rsid w:val="009C5874"/>
    <w:rsid w:val="009C6DBB"/>
    <w:rsid w:val="009D3B5A"/>
    <w:rsid w:val="009E0C05"/>
    <w:rsid w:val="009E0D1C"/>
    <w:rsid w:val="009E2214"/>
    <w:rsid w:val="009E355A"/>
    <w:rsid w:val="009E63E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312E"/>
    <w:rsid w:val="00A84504"/>
    <w:rsid w:val="00A8672F"/>
    <w:rsid w:val="00A921AB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75A6"/>
    <w:rsid w:val="00B40716"/>
    <w:rsid w:val="00B40C60"/>
    <w:rsid w:val="00B42E1A"/>
    <w:rsid w:val="00B479A9"/>
    <w:rsid w:val="00B52EDF"/>
    <w:rsid w:val="00B670F4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16315"/>
    <w:rsid w:val="00C2730E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8739C"/>
    <w:rsid w:val="00C935E4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4791"/>
    <w:rsid w:val="00D048F7"/>
    <w:rsid w:val="00D0517E"/>
    <w:rsid w:val="00D140FC"/>
    <w:rsid w:val="00D21D8C"/>
    <w:rsid w:val="00D2311D"/>
    <w:rsid w:val="00D31357"/>
    <w:rsid w:val="00D33220"/>
    <w:rsid w:val="00D334D1"/>
    <w:rsid w:val="00D4483D"/>
    <w:rsid w:val="00D44C89"/>
    <w:rsid w:val="00D516CD"/>
    <w:rsid w:val="00D65671"/>
    <w:rsid w:val="00D668E6"/>
    <w:rsid w:val="00D70670"/>
    <w:rsid w:val="00D74D80"/>
    <w:rsid w:val="00D76624"/>
    <w:rsid w:val="00D87570"/>
    <w:rsid w:val="00D91CB9"/>
    <w:rsid w:val="00D94C13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3C77"/>
    <w:rsid w:val="00E26A07"/>
    <w:rsid w:val="00E32595"/>
    <w:rsid w:val="00E37CFD"/>
    <w:rsid w:val="00E41A26"/>
    <w:rsid w:val="00E46BCB"/>
    <w:rsid w:val="00E51CAF"/>
    <w:rsid w:val="00E60F04"/>
    <w:rsid w:val="00E621BF"/>
    <w:rsid w:val="00E62AAC"/>
    <w:rsid w:val="00E67C2F"/>
    <w:rsid w:val="00E67EF5"/>
    <w:rsid w:val="00E804EA"/>
    <w:rsid w:val="00E80A71"/>
    <w:rsid w:val="00E82337"/>
    <w:rsid w:val="00E87C2D"/>
    <w:rsid w:val="00E92499"/>
    <w:rsid w:val="00E949AF"/>
    <w:rsid w:val="00E96077"/>
    <w:rsid w:val="00EA0A06"/>
    <w:rsid w:val="00EA5537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5B17"/>
    <w:rsid w:val="00F40E44"/>
    <w:rsid w:val="00F43AD5"/>
    <w:rsid w:val="00F4402E"/>
    <w:rsid w:val="00F56DD0"/>
    <w:rsid w:val="00F6491C"/>
    <w:rsid w:val="00F67BBB"/>
    <w:rsid w:val="00F8465C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2B0C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7D205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60458A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2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1C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1C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1C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599BE4318CD4CC0836196E577CC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569F-48FE-4FF8-8C03-2D2A8FB34A20}"/>
      </w:docPartPr>
      <w:docPartBody>
        <w:p w:rsidR="00D21A9F" w:rsidRDefault="00D21A9F">
          <w:pPr>
            <w:pStyle w:val="0599BE4318CD4CC0836196E577CC2921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3016397CE99C424E8D1B9508FA24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0E86C-E4CC-42F8-940F-92A357E855E0}"/>
      </w:docPartPr>
      <w:docPartBody>
        <w:p w:rsidR="00BB0467" w:rsidRDefault="005D61BB" w:rsidP="005D61BB">
          <w:pPr>
            <w:pStyle w:val="3016397CE99C424E8D1B9508FA244E2A"/>
          </w:pPr>
          <w:r w:rsidRPr="0051509C">
            <w:rPr>
              <w:rStyle w:val="PlaceholderText"/>
            </w:rPr>
            <w:t>Click here to enter standard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639C5"/>
    <w:rsid w:val="005D61BB"/>
    <w:rsid w:val="008519A0"/>
    <w:rsid w:val="00BB0467"/>
    <w:rsid w:val="00D21A9F"/>
    <w:rsid w:val="00DA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1BB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016397CE99C424E8D1B9508FA244E2A">
    <w:name w:val="3016397CE99C424E8D1B9508FA244E2A"/>
    <w:rsid w:val="005D61B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D44800-4057-4F9D-B3FA-2DA3559A0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F2342-CF7F-4CBE-AAB8-434936C2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EBFCC7E6.dotm</Template>
  <TotalTime>41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11</cp:revision>
  <cp:lastPrinted>2018-10-22T22:41:00Z</cp:lastPrinted>
  <dcterms:created xsi:type="dcterms:W3CDTF">2019-06-14T05:02:00Z</dcterms:created>
  <dcterms:modified xsi:type="dcterms:W3CDTF">2019-08-16T01:26:00Z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