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14A68A3" w14:textId="77777777" w:rsidR="00BD499F" w:rsidRPr="004C23F4" w:rsidRDefault="00487C9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Acrylic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70238412" w14:textId="77777777" w:rsidTr="00B76A41">
        <w:trPr>
          <w:cantSplit/>
          <w:tblHeader/>
        </w:trPr>
        <w:tc>
          <w:tcPr>
            <w:tcW w:w="4077" w:type="dxa"/>
          </w:tcPr>
          <w:p w14:paraId="6E9CF6E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6B9C767" w14:textId="77777777" w:rsidR="00F43AD5" w:rsidRPr="00717D45" w:rsidRDefault="00487C9C" w:rsidP="00B76A41">
            <w:pPr>
              <w:pStyle w:val="Tablefont"/>
            </w:pPr>
            <w:r>
              <w:t>79-10-7</w:t>
            </w:r>
          </w:p>
        </w:tc>
      </w:tr>
      <w:tr w:rsidR="00F43AD5" w:rsidRPr="004C23F4" w14:paraId="54BAC4D5" w14:textId="77777777" w:rsidTr="00B76A41">
        <w:trPr>
          <w:cantSplit/>
        </w:trPr>
        <w:tc>
          <w:tcPr>
            <w:tcW w:w="4077" w:type="dxa"/>
          </w:tcPr>
          <w:p w14:paraId="1D8E959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20D5677" w14:textId="77777777" w:rsidR="00F43AD5" w:rsidRPr="00717D45" w:rsidRDefault="001546A7" w:rsidP="00B76A41">
            <w:pPr>
              <w:pStyle w:val="Tablefont"/>
            </w:pPr>
            <w:r>
              <w:t>2-propenoic acid; e</w:t>
            </w:r>
            <w:r w:rsidR="001535CC">
              <w:t xml:space="preserve">thylene carboxylic acid; </w:t>
            </w:r>
            <w:r w:rsidR="008014FE">
              <w:br/>
            </w:r>
            <w:r w:rsidR="001535CC">
              <w:t>glacial acrylic acid; propene acid; vinyl formic acid</w:t>
            </w:r>
          </w:p>
        </w:tc>
      </w:tr>
      <w:tr w:rsidR="00F43AD5" w:rsidRPr="004C23F4" w14:paraId="5D3E285D" w14:textId="77777777" w:rsidTr="00B76A41">
        <w:trPr>
          <w:cantSplit/>
        </w:trPr>
        <w:tc>
          <w:tcPr>
            <w:tcW w:w="4077" w:type="dxa"/>
          </w:tcPr>
          <w:p w14:paraId="1C1E02A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658F1B9" w14:textId="77777777" w:rsidR="00F43AD5" w:rsidRPr="00717D45" w:rsidRDefault="003946B6" w:rsidP="00B76A41">
            <w:pPr>
              <w:pStyle w:val="Tablefont"/>
            </w:pPr>
            <w:r>
              <w:t>C</w:t>
            </w:r>
            <w:r w:rsidRPr="003946B6">
              <w:rPr>
                <w:vertAlign w:val="subscript"/>
              </w:rPr>
              <w:t>3</w:t>
            </w:r>
            <w:r>
              <w:t>H</w:t>
            </w:r>
            <w:r w:rsidRPr="003946B6">
              <w:rPr>
                <w:vertAlign w:val="subscript"/>
              </w:rPr>
              <w:t>4</w:t>
            </w:r>
            <w:r>
              <w:t>O</w:t>
            </w:r>
            <w:r w:rsidRPr="003946B6">
              <w:rPr>
                <w:vertAlign w:val="subscript"/>
              </w:rPr>
              <w:t>2</w:t>
            </w:r>
          </w:p>
        </w:tc>
      </w:tr>
      <w:tr w:rsidR="00F43AD5" w:rsidRPr="004C23F4" w14:paraId="19680258" w14:textId="77777777" w:rsidTr="00B76A41">
        <w:trPr>
          <w:cantSplit/>
        </w:trPr>
        <w:tc>
          <w:tcPr>
            <w:tcW w:w="4077" w:type="dxa"/>
          </w:tcPr>
          <w:p w14:paraId="349F4FA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EC07C28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462EAE7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2576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9B87CDB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7E772B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5293A90" w14:textId="77777777" w:rsidR="002C7AFE" w:rsidRPr="00EB3D1B" w:rsidRDefault="006E51E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</w:t>
            </w:r>
            <w:r w:rsidR="00A82AB6">
              <w:rPr>
                <w:b/>
              </w:rPr>
              <w:t xml:space="preserve"> </w:t>
            </w:r>
            <w:r w:rsidR="00524A81" w:rsidRPr="00524A81">
              <w:rPr>
                <w:b/>
              </w:rPr>
              <w:t>ppm (</w:t>
            </w:r>
            <w:r>
              <w:rPr>
                <w:b/>
              </w:rPr>
              <w:t>29</w:t>
            </w:r>
            <w:r w:rsidR="00524A81" w:rsidRPr="00524A81">
              <w:rPr>
                <w:b/>
              </w:rPr>
              <w:t xml:space="preserve"> mg/m</w:t>
            </w:r>
            <w:r w:rsidR="00524A81" w:rsidRPr="00141822">
              <w:rPr>
                <w:b/>
                <w:vertAlign w:val="superscript"/>
              </w:rPr>
              <w:t>3</w:t>
            </w:r>
            <w:r w:rsidR="00524A81" w:rsidRPr="00524A81">
              <w:rPr>
                <w:b/>
              </w:rPr>
              <w:t>)</w:t>
            </w:r>
          </w:p>
        </w:tc>
      </w:tr>
      <w:tr w:rsidR="002C7AFE" w:rsidRPr="004C23F4" w14:paraId="2DED6B71" w14:textId="77777777" w:rsidTr="00921DE7">
        <w:trPr>
          <w:cantSplit/>
        </w:trPr>
        <w:tc>
          <w:tcPr>
            <w:tcW w:w="4077" w:type="dxa"/>
            <w:vAlign w:val="center"/>
          </w:tcPr>
          <w:p w14:paraId="259AAF8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3A4CC34E" w14:textId="77777777" w:rsidR="002C7AFE" w:rsidRPr="00EB3D1B" w:rsidRDefault="008014F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7A93543" w14:textId="77777777" w:rsidTr="00921DE7">
        <w:trPr>
          <w:cantSplit/>
        </w:trPr>
        <w:tc>
          <w:tcPr>
            <w:tcW w:w="4077" w:type="dxa"/>
            <w:vAlign w:val="center"/>
          </w:tcPr>
          <w:p w14:paraId="083F9B4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B35BD3B" w14:textId="77777777" w:rsidR="002C7AFE" w:rsidRPr="00EB3D1B" w:rsidRDefault="008014F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D71EACD" w14:textId="77777777" w:rsidTr="00A2073D">
        <w:trPr>
          <w:cantSplit/>
        </w:trPr>
        <w:tc>
          <w:tcPr>
            <w:tcW w:w="4077" w:type="dxa"/>
          </w:tcPr>
          <w:p w14:paraId="216D00F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DCBC5D8" w14:textId="77777777" w:rsidR="002C7AFE" w:rsidRPr="00EB3D1B" w:rsidRDefault="00A20CB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3946B6">
              <w:rPr>
                <w:b/>
              </w:rPr>
              <w:t>.</w:t>
            </w:r>
          </w:p>
        </w:tc>
      </w:tr>
      <w:tr w:rsidR="002C7AFE" w:rsidRPr="004C23F4" w14:paraId="65091F8A" w14:textId="77777777" w:rsidTr="00921DE7">
        <w:trPr>
          <w:cantSplit/>
        </w:trPr>
        <w:tc>
          <w:tcPr>
            <w:tcW w:w="4077" w:type="dxa"/>
            <w:vAlign w:val="center"/>
          </w:tcPr>
          <w:p w14:paraId="5FB493C4" w14:textId="7E17BEA6" w:rsidR="00F10C97" w:rsidRPr="002C58FF" w:rsidRDefault="00921DE7" w:rsidP="005852BF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2D95C090" w14:textId="77777777" w:rsidR="002C7AFE" w:rsidRPr="00EB3D1B" w:rsidRDefault="008014F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852BF" w:rsidRPr="004C23F4" w14:paraId="61E94725" w14:textId="77777777" w:rsidTr="005852BF">
        <w:trPr>
          <w:cantSplit/>
        </w:trPr>
        <w:tc>
          <w:tcPr>
            <w:tcW w:w="4077" w:type="dxa"/>
          </w:tcPr>
          <w:p w14:paraId="7A941F93" w14:textId="0CC23D06" w:rsidR="005852BF" w:rsidRDefault="005852BF" w:rsidP="005852BF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1F8C3C12" w14:textId="079FC9EF" w:rsidR="005852BF" w:rsidRPr="005852BF" w:rsidRDefault="005852BF" w:rsidP="00017C82">
            <w:pPr>
              <w:pStyle w:val="Tablefont"/>
            </w:pPr>
            <w:r w:rsidRPr="005852BF">
              <w:t>The recom</w:t>
            </w:r>
            <w:bookmarkStart w:id="0" w:name="_GoBack"/>
            <w:bookmarkEnd w:id="0"/>
            <w:r w:rsidRPr="005852BF">
              <w:t xml:space="preserve">mended value is readily quantifiable through currently available sampling and analysis techniques. </w:t>
            </w:r>
          </w:p>
        </w:tc>
      </w:tr>
    </w:tbl>
    <w:p w14:paraId="2A0BD90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392EBD1" w14:textId="77777777" w:rsidR="006639B4" w:rsidRDefault="00E657C0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6E51EC">
        <w:rPr>
          <w:rFonts w:cs="Arial"/>
        </w:rPr>
        <w:t xml:space="preserve">10 </w:t>
      </w:r>
      <w:r>
        <w:rPr>
          <w:rFonts w:cs="Arial"/>
        </w:rPr>
        <w:t>ppm (</w:t>
      </w:r>
      <w:r w:rsidR="006E51EC">
        <w:rPr>
          <w:rFonts w:cs="Arial"/>
        </w:rPr>
        <w:t>29</w:t>
      </w:r>
      <w:r w:rsidR="00141822">
        <w:rPr>
          <w:rFonts w:cs="Arial"/>
        </w:rPr>
        <w:t xml:space="preserve"> mg/m</w:t>
      </w:r>
      <w:r w:rsidR="00141822">
        <w:rPr>
          <w:rFonts w:cs="Arial"/>
          <w:vertAlign w:val="superscript"/>
        </w:rPr>
        <w:t>3</w:t>
      </w:r>
      <w:r w:rsidR="00141822">
        <w:rPr>
          <w:rFonts w:cs="Arial"/>
        </w:rPr>
        <w:t xml:space="preserve">) </w:t>
      </w:r>
      <w:proofErr w:type="gramStart"/>
      <w:r w:rsidR="00141822">
        <w:rPr>
          <w:rFonts w:cs="Arial"/>
        </w:rPr>
        <w:t>is recommended</w:t>
      </w:r>
      <w:proofErr w:type="gramEnd"/>
      <w:r w:rsidR="00141822">
        <w:rPr>
          <w:rFonts w:cs="Arial"/>
        </w:rPr>
        <w:t xml:space="preserve"> to reduce the risk of irrita</w:t>
      </w:r>
      <w:r w:rsidR="00417544">
        <w:rPr>
          <w:rFonts w:cs="Arial"/>
        </w:rPr>
        <w:t>tion of the eyes, nose and skin and altered pulmonary function</w:t>
      </w:r>
      <w:r w:rsidR="008014FE">
        <w:rPr>
          <w:rFonts w:cs="Arial"/>
        </w:rPr>
        <w:t xml:space="preserve"> in exposed workers</w:t>
      </w:r>
      <w:r w:rsidR="00417544">
        <w:rPr>
          <w:rFonts w:cs="Arial"/>
        </w:rPr>
        <w:t>.</w:t>
      </w:r>
      <w:r w:rsidR="00141822">
        <w:rPr>
          <w:rFonts w:cs="Arial"/>
        </w:rPr>
        <w:t xml:space="preserve"> </w:t>
      </w:r>
    </w:p>
    <w:p w14:paraId="566D82D2" w14:textId="77777777" w:rsidR="008014FE" w:rsidRPr="00141822" w:rsidRDefault="008014FE" w:rsidP="000C139A">
      <w:pPr>
        <w:rPr>
          <w:rFonts w:cs="Arial"/>
        </w:rPr>
      </w:pPr>
      <w:r>
        <w:rPr>
          <w:rFonts w:cs="Arial"/>
        </w:rPr>
        <w:t xml:space="preserve">A STEL is not </w:t>
      </w:r>
      <w:proofErr w:type="gramStart"/>
      <w:r>
        <w:rPr>
          <w:rFonts w:cs="Arial"/>
        </w:rPr>
        <w:t>recommended</w:t>
      </w:r>
      <w:proofErr w:type="gramEnd"/>
      <w:r>
        <w:rPr>
          <w:rFonts w:cs="Arial"/>
        </w:rPr>
        <w:t xml:space="preserve"> as the TWA is considered protective of acute </w:t>
      </w:r>
      <w:r w:rsidR="00DB001C">
        <w:rPr>
          <w:rFonts w:cs="Arial"/>
        </w:rPr>
        <w:t xml:space="preserve">adverse effects including skin </w:t>
      </w:r>
      <w:proofErr w:type="spellStart"/>
      <w:r w:rsidR="00AD3030">
        <w:rPr>
          <w:rFonts w:cs="Arial"/>
        </w:rPr>
        <w:t>corrosivity</w:t>
      </w:r>
      <w:proofErr w:type="spellEnd"/>
      <w:r w:rsidR="00DB001C">
        <w:rPr>
          <w:rFonts w:cs="Arial"/>
        </w:rPr>
        <w:t xml:space="preserve"> and eye damage.</w:t>
      </w:r>
    </w:p>
    <w:p w14:paraId="4240A09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45D5C5B" w14:textId="6E6228B9" w:rsidR="00141822" w:rsidRDefault="00B27C6B" w:rsidP="003734E3">
      <w:r w:rsidRPr="00B27C6B">
        <w:t xml:space="preserve">Acrylic acid </w:t>
      </w:r>
      <w:proofErr w:type="gramStart"/>
      <w:r w:rsidRPr="00B27C6B">
        <w:t>is used</w:t>
      </w:r>
      <w:proofErr w:type="gramEnd"/>
      <w:r w:rsidRPr="00B27C6B">
        <w:t xml:space="preserve"> in many industries </w:t>
      </w:r>
      <w:r>
        <w:t>including plastics, adhesives, water treatment</w:t>
      </w:r>
      <w:r w:rsidR="008014FE">
        <w:t xml:space="preserve"> and</w:t>
      </w:r>
      <w:r>
        <w:t xml:space="preserve"> </w:t>
      </w:r>
      <w:r w:rsidRPr="00B27C6B">
        <w:t>textiles.</w:t>
      </w:r>
      <w:r>
        <w:t xml:space="preserve"> </w:t>
      </w:r>
      <w:r w:rsidR="000F1393">
        <w:t>It</w:t>
      </w:r>
      <w:r w:rsidR="00141822" w:rsidRPr="00141822">
        <w:t xml:space="preserve"> is irritating to the respiratory tract, corrosive to the skin and </w:t>
      </w:r>
      <w:r w:rsidR="00141822">
        <w:t xml:space="preserve">can </w:t>
      </w:r>
      <w:r w:rsidR="00141822" w:rsidRPr="00141822">
        <w:t xml:space="preserve">damage the eyes. </w:t>
      </w:r>
      <w:r w:rsidR="00141822">
        <w:t xml:space="preserve">Evidence in animals </w:t>
      </w:r>
      <w:r w:rsidR="00417544">
        <w:t>(</w:t>
      </w:r>
      <w:r w:rsidR="008014FE">
        <w:t>rats</w:t>
      </w:r>
      <w:r w:rsidR="00417544">
        <w:t xml:space="preserve">) </w:t>
      </w:r>
      <w:r w:rsidR="00141822">
        <w:t>also suggest</w:t>
      </w:r>
      <w:r w:rsidR="00AF4B62">
        <w:t>s</w:t>
      </w:r>
      <w:r w:rsidR="00141822">
        <w:t xml:space="preserve"> reproductive effects</w:t>
      </w:r>
      <w:r w:rsidR="00417544">
        <w:t xml:space="preserve"> including gross abnormalities in offsp</w:t>
      </w:r>
      <w:r w:rsidR="002D4683">
        <w:t>r</w:t>
      </w:r>
      <w:r w:rsidR="00417544">
        <w:t>ing</w:t>
      </w:r>
      <w:r w:rsidR="0099605B">
        <w:t xml:space="preserve"> </w:t>
      </w:r>
      <w:r w:rsidR="00141822">
        <w:t>(ACGIH,</w:t>
      </w:r>
      <w:r w:rsidR="00D13110">
        <w:t xml:space="preserve"> 2018</w:t>
      </w:r>
      <w:r w:rsidR="00141822">
        <w:t>; DFG, 2005; SCOEL 2012).</w:t>
      </w:r>
    </w:p>
    <w:p w14:paraId="4CACDBEF" w14:textId="77777777" w:rsidR="004C20E3" w:rsidRDefault="0093563E" w:rsidP="004C20E3">
      <w:r w:rsidRPr="0093563E">
        <w:t>Local irritation dominates the toxic effects of acrylic acid</w:t>
      </w:r>
      <w:r>
        <w:t xml:space="preserve">. </w:t>
      </w:r>
      <w:r w:rsidR="00552DD2">
        <w:t>A</w:t>
      </w:r>
      <w:r w:rsidR="00325762">
        <w:t xml:space="preserve"> </w:t>
      </w:r>
      <w:r w:rsidR="00552DD2">
        <w:t xml:space="preserve">sensory irritation threshold (lateralisation threshold) of 30 ppm was determined in a study of 72 male and female volunteers (SCOEL, 2012). </w:t>
      </w:r>
      <w:r w:rsidR="00893591">
        <w:t xml:space="preserve">A </w:t>
      </w:r>
      <w:r w:rsidR="006E51EC">
        <w:t>study in rats identified a NOAEL</w:t>
      </w:r>
      <w:r w:rsidR="00893591" w:rsidRPr="00893591">
        <w:t xml:space="preserve"> of 25 ppm</w:t>
      </w:r>
      <w:r w:rsidR="00893591">
        <w:t xml:space="preserve"> for local irritant effects of the mucosa and acute exposure to irritant level </w:t>
      </w:r>
      <w:proofErr w:type="gramStart"/>
      <w:r w:rsidR="00893591">
        <w:t>concentrations also</w:t>
      </w:r>
      <w:proofErr w:type="gramEnd"/>
      <w:r w:rsidR="00893591">
        <w:t xml:space="preserve"> resulted in respiratory function effects (ACGIH</w:t>
      </w:r>
      <w:r w:rsidR="00D13110">
        <w:t>, 2018</w:t>
      </w:r>
      <w:r w:rsidR="00893591">
        <w:t xml:space="preserve">). A study in mice identified a </w:t>
      </w:r>
      <w:r w:rsidR="001A4E30">
        <w:t xml:space="preserve">LOAEC </w:t>
      </w:r>
      <w:r w:rsidR="00893591">
        <w:t xml:space="preserve">of 5 ppm for </w:t>
      </w:r>
      <w:r w:rsidR="002B0368">
        <w:t xml:space="preserve">local </w:t>
      </w:r>
      <w:r w:rsidR="00893591">
        <w:t>effects</w:t>
      </w:r>
      <w:r w:rsidR="00325762">
        <w:t xml:space="preserve"> with a</w:t>
      </w:r>
      <w:r w:rsidR="002B0368">
        <w:t xml:space="preserve"> N</w:t>
      </w:r>
      <w:r w:rsidR="00452A72">
        <w:t xml:space="preserve">OAEC of 5 ppm </w:t>
      </w:r>
      <w:r w:rsidR="00417544">
        <w:t xml:space="preserve">in females only </w:t>
      </w:r>
      <w:r w:rsidR="00452A72">
        <w:t xml:space="preserve">for </w:t>
      </w:r>
      <w:r w:rsidR="002B0368">
        <w:t xml:space="preserve">systemic </w:t>
      </w:r>
      <w:r w:rsidR="00452A72">
        <w:t>effects</w:t>
      </w:r>
      <w:r w:rsidR="00BC46E1">
        <w:t xml:space="preserve">. </w:t>
      </w:r>
      <w:r w:rsidR="00BC46E1" w:rsidRPr="00BC46E1">
        <w:t>The NOAEL for developmental toxicity in rats is 200 ppm</w:t>
      </w:r>
      <w:r w:rsidR="00452A72">
        <w:t xml:space="preserve"> </w:t>
      </w:r>
      <w:r w:rsidR="00A82AB6">
        <w:t>(</w:t>
      </w:r>
      <w:r w:rsidR="0099605B">
        <w:t xml:space="preserve">SCOEL, 2012; </w:t>
      </w:r>
      <w:r w:rsidR="00A82AB6">
        <w:t>ECHA, 2002).</w:t>
      </w:r>
    </w:p>
    <w:p w14:paraId="1E7E479A" w14:textId="21B73EF8" w:rsidR="00893591" w:rsidRPr="00893591" w:rsidRDefault="00417544" w:rsidP="00893591">
      <w:r>
        <w:t>SCOEL (2012) report</w:t>
      </w:r>
      <w:r w:rsidR="00283095">
        <w:t>s</w:t>
      </w:r>
      <w:r>
        <w:t xml:space="preserve"> that</w:t>
      </w:r>
      <w:r w:rsidR="002D4683">
        <w:t xml:space="preserve"> calculations suggest humans have approximately the same nasal deposition rate as rats. </w:t>
      </w:r>
      <w:r w:rsidR="00D61DCF">
        <w:t>ACGIH (2001) reported that mice were more susceptible to local effects caused by acrylic acid vapour</w:t>
      </w:r>
      <w:r w:rsidR="0099605B">
        <w:t xml:space="preserve"> and therefore evidence </w:t>
      </w:r>
      <w:r w:rsidR="008014FE">
        <w:t>from</w:t>
      </w:r>
      <w:r w:rsidR="0099605B">
        <w:t xml:space="preserve"> rat</w:t>
      </w:r>
      <w:r w:rsidR="008014FE">
        <w:t xml:space="preserve"> studies</w:t>
      </w:r>
      <w:r w:rsidR="0099605B">
        <w:t xml:space="preserve"> </w:t>
      </w:r>
      <w:proofErr w:type="gramStart"/>
      <w:r w:rsidR="0099605B">
        <w:t xml:space="preserve">is </w:t>
      </w:r>
      <w:r w:rsidR="008014FE">
        <w:t>considered</w:t>
      </w:r>
      <w:proofErr w:type="gramEnd"/>
      <w:r w:rsidR="008014FE">
        <w:t xml:space="preserve"> the </w:t>
      </w:r>
      <w:r w:rsidR="0099605B">
        <w:t>most appropriate</w:t>
      </w:r>
      <w:r w:rsidR="008014FE">
        <w:t xml:space="preserve"> human model</w:t>
      </w:r>
      <w:r w:rsidR="00D61DCF">
        <w:t xml:space="preserve">. </w:t>
      </w:r>
      <w:r w:rsidR="0099605B">
        <w:t>Therefore, given</w:t>
      </w:r>
      <w:r w:rsidR="00A82AB6">
        <w:t xml:space="preserve"> the </w:t>
      </w:r>
      <w:r w:rsidR="0099605B">
        <w:t>NOAEL of 25 ppm in rats for local irritation</w:t>
      </w:r>
      <w:r w:rsidR="008014FE">
        <w:t xml:space="preserve"> with systemic effects noted above this level</w:t>
      </w:r>
      <w:r w:rsidR="00552DD2">
        <w:t>,</w:t>
      </w:r>
      <w:r w:rsidR="00893591">
        <w:t xml:space="preserve"> the recommended TWA</w:t>
      </w:r>
      <w:r w:rsidR="004C20E3">
        <w:t xml:space="preserve"> </w:t>
      </w:r>
      <w:proofErr w:type="gramStart"/>
      <w:r w:rsidR="004C20E3">
        <w:t xml:space="preserve">is </w:t>
      </w:r>
      <w:r w:rsidR="00552DD2">
        <w:t>considered</w:t>
      </w:r>
      <w:proofErr w:type="gramEnd"/>
      <w:r w:rsidR="00552DD2">
        <w:t xml:space="preserve"> </w:t>
      </w:r>
      <w:r w:rsidR="004C20E3">
        <w:t xml:space="preserve">protective </w:t>
      </w:r>
      <w:r w:rsidR="00552DD2">
        <w:t>for both short-</w:t>
      </w:r>
      <w:r w:rsidR="00552DD2" w:rsidRPr="00552DD2">
        <w:t xml:space="preserve"> </w:t>
      </w:r>
      <w:r w:rsidR="00552DD2">
        <w:t xml:space="preserve">and long-term </w:t>
      </w:r>
      <w:r w:rsidR="00F50C5D">
        <w:t xml:space="preserve">critical health effects </w:t>
      </w:r>
      <w:r w:rsidR="00552DD2">
        <w:t>in</w:t>
      </w:r>
      <w:r w:rsidR="00F50C5D">
        <w:t xml:space="preserve"> exposed workers</w:t>
      </w:r>
      <w:r w:rsidR="00552DD2">
        <w:t>.</w:t>
      </w:r>
      <w:r w:rsidR="00CC0006">
        <w:t xml:space="preserve"> </w:t>
      </w:r>
      <w:r w:rsidR="0099605B">
        <w:t xml:space="preserve">The sensory irritation threshold of </w:t>
      </w:r>
      <w:r w:rsidR="00F47047">
        <w:t>30 </w:t>
      </w:r>
      <w:r w:rsidR="0099605B">
        <w:t xml:space="preserve">ppm </w:t>
      </w:r>
      <w:r w:rsidR="008014FE">
        <w:t xml:space="preserve">in humans </w:t>
      </w:r>
      <w:r w:rsidR="0099605B">
        <w:t xml:space="preserve">supports this </w:t>
      </w:r>
      <w:r w:rsidR="008014FE">
        <w:t>recommendation</w:t>
      </w:r>
      <w:r w:rsidR="0099605B">
        <w:t xml:space="preserve">. </w:t>
      </w:r>
    </w:p>
    <w:p w14:paraId="6D8DA85F" w14:textId="77777777" w:rsidR="004529F0" w:rsidRPr="00141822" w:rsidRDefault="004529F0" w:rsidP="00141822">
      <w:pPr>
        <w:pStyle w:val="Heading2"/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</w:pPr>
      <w:r>
        <w:lastRenderedPageBreak/>
        <w:t>Recommendation for notations</w:t>
      </w:r>
    </w:p>
    <w:p w14:paraId="6E814503" w14:textId="77777777" w:rsidR="003946B6" w:rsidRDefault="003946B6" w:rsidP="003946B6">
      <w:pPr>
        <w:rPr>
          <w:rFonts w:cs="Arial"/>
        </w:rPr>
      </w:pPr>
      <w:r>
        <w:rPr>
          <w:rFonts w:cs="Arial"/>
        </w:rPr>
        <w:t>Not</w:t>
      </w:r>
      <w:r w:rsidRPr="003775A4">
        <w:rPr>
          <w:rFonts w:cs="Arial"/>
        </w:rPr>
        <w:t xml:space="preserve"> classified as a carcinogen</w:t>
      </w:r>
      <w:r>
        <w:rPr>
          <w:rFonts w:cs="Arial"/>
        </w:rPr>
        <w:t xml:space="preserve"> </w:t>
      </w:r>
      <w:r w:rsidRPr="003775A4">
        <w:rPr>
          <w:rFonts w:cs="Arial"/>
        </w:rPr>
        <w:t>according to the Globally Harmonized System of Classification and Labelling of Chemicals (GHS).</w:t>
      </w:r>
    </w:p>
    <w:p w14:paraId="704171B5" w14:textId="77777777" w:rsidR="003946B6" w:rsidRPr="003775A4" w:rsidRDefault="003946B6" w:rsidP="003946B6">
      <w:pPr>
        <w:rPr>
          <w:rFonts w:cs="Arial"/>
        </w:rPr>
      </w:pPr>
      <w:r>
        <w:rPr>
          <w:rFonts w:cs="Arial"/>
        </w:rPr>
        <w:t>Not</w:t>
      </w:r>
      <w:r w:rsidRPr="003775A4">
        <w:rPr>
          <w:rFonts w:cs="Arial"/>
        </w:rPr>
        <w:t xml:space="preserve"> classified as a </w:t>
      </w:r>
      <w:r>
        <w:rPr>
          <w:rFonts w:cs="Arial"/>
        </w:rPr>
        <w:t>respiratory</w:t>
      </w:r>
      <w:r w:rsidR="008014FE">
        <w:rPr>
          <w:rFonts w:cs="Arial"/>
        </w:rPr>
        <w:t xml:space="preserve"> sensitiser</w:t>
      </w:r>
      <w:r>
        <w:rPr>
          <w:rFonts w:cs="Arial"/>
        </w:rPr>
        <w:t xml:space="preserve"> </w:t>
      </w:r>
      <w:r w:rsidR="00BC3197">
        <w:rPr>
          <w:rFonts w:cs="Arial"/>
        </w:rPr>
        <w:t xml:space="preserve">or skin </w:t>
      </w:r>
      <w:r>
        <w:rPr>
          <w:rFonts w:cs="Arial"/>
        </w:rPr>
        <w:t xml:space="preserve">sensitiser </w:t>
      </w:r>
      <w:r w:rsidRPr="003775A4">
        <w:rPr>
          <w:rFonts w:cs="Arial"/>
        </w:rPr>
        <w:t xml:space="preserve">according to </w:t>
      </w:r>
      <w:r>
        <w:rPr>
          <w:rFonts w:cs="Arial"/>
        </w:rPr>
        <w:t>the GHS</w:t>
      </w:r>
      <w:r w:rsidRPr="003775A4">
        <w:rPr>
          <w:rFonts w:cs="Arial"/>
        </w:rPr>
        <w:t>.</w:t>
      </w:r>
    </w:p>
    <w:p w14:paraId="19B42311" w14:textId="77777777" w:rsidR="004529F0" w:rsidRPr="004C23F4" w:rsidRDefault="001535CC" w:rsidP="003946B6">
      <w:pPr>
        <w:rPr>
          <w:rFonts w:cs="Arial"/>
        </w:rPr>
      </w:pPr>
      <w:r>
        <w:rPr>
          <w:rFonts w:cs="Arial"/>
        </w:rPr>
        <w:t xml:space="preserve">A skin notation is recommended based on evidence from animal studies </w:t>
      </w:r>
      <w:r w:rsidR="00A20CB9">
        <w:rPr>
          <w:rFonts w:cs="Arial"/>
        </w:rPr>
        <w:t>(rabbits) report</w:t>
      </w:r>
      <w:r w:rsidR="00417544">
        <w:rPr>
          <w:rFonts w:cs="Arial"/>
        </w:rPr>
        <w:t>ing</w:t>
      </w:r>
      <w:r w:rsidR="00CC0006">
        <w:rPr>
          <w:rFonts w:cs="Arial"/>
        </w:rPr>
        <w:t xml:space="preserve"> systemic intoxication.</w:t>
      </w:r>
    </w:p>
    <w:p w14:paraId="2EB215D3" w14:textId="77777777" w:rsidR="005E6979" w:rsidRPr="00705813" w:rsidRDefault="005E6979" w:rsidP="00705813">
      <w:pPr>
        <w:rPr>
          <w:rFonts w:cs="Arial"/>
        </w:rPr>
        <w:sectPr w:rsidR="005E6979" w:rsidRPr="00705813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0FC008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EAD938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F99E30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400D93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62C5827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DA676E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8469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87C9C">
                  <w:t>TWA: 2 ppm (5.9 mg/m</w:t>
                </w:r>
                <w:r w:rsidR="00487C9C">
                  <w:rPr>
                    <w:vertAlign w:val="superscript"/>
                  </w:rPr>
                  <w:t>3</w:t>
                </w:r>
                <w:r w:rsidR="00487C9C">
                  <w:t>)</w:t>
                </w:r>
              </w:sdtContent>
            </w:sdt>
          </w:p>
        </w:tc>
      </w:tr>
      <w:tr w:rsidR="00C978F0" w:rsidRPr="00DA352E" w14:paraId="688238A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E3EC11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FF505F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C3C8A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87C9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555743498"/>
                    <w:placeholder>
                      <w:docPart w:val="1FCC82CD18D74E039119AC38A16043A1"/>
                    </w:placeholder>
                  </w:sdtPr>
                  <w:sdtEndPr/>
                  <w:sdtContent>
                    <w:r w:rsidR="00487C9C">
                      <w:t>TLV-TWA: 2 ppm (5.9 mg/m</w:t>
                    </w:r>
                    <w:r w:rsidR="00487C9C">
                      <w:rPr>
                        <w:vertAlign w:val="superscript"/>
                      </w:rPr>
                      <w:t>3</w:t>
                    </w:r>
                    <w:r w:rsidR="00487C9C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615FDDD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5F3562E" w14:textId="77777777" w:rsidR="00C978F0" w:rsidRDefault="00487C9C" w:rsidP="003365A5">
            <w:pPr>
              <w:pStyle w:val="Tabletextprimarysource"/>
            </w:pPr>
            <w:r>
              <w:t xml:space="preserve">TLV-TWA expected to reduce the potential </w:t>
            </w:r>
            <w:r w:rsidR="00BC3197">
              <w:t xml:space="preserve">for </w:t>
            </w:r>
            <w:r>
              <w:t>mucous membrane</w:t>
            </w:r>
            <w:r w:rsidR="00BC3197">
              <w:t xml:space="preserve"> irritation</w:t>
            </w:r>
            <w:r>
              <w:t xml:space="preserve">, </w:t>
            </w:r>
            <w:r w:rsidR="00A64A56">
              <w:t>ocular</w:t>
            </w:r>
            <w:r>
              <w:t xml:space="preserve"> and respiratory tract irritat</w:t>
            </w:r>
            <w:r w:rsidR="00BC3197">
              <w:t>ion</w:t>
            </w:r>
            <w:r w:rsidR="00417544">
              <w:t>,</w:t>
            </w:r>
            <w:r w:rsidR="00BC3197">
              <w:t xml:space="preserve"> altered pulmonary function</w:t>
            </w:r>
            <w:r>
              <w:t xml:space="preserve"> and possible reproductive effects.</w:t>
            </w:r>
          </w:p>
          <w:p w14:paraId="133E2769" w14:textId="77777777" w:rsidR="008014FE" w:rsidRDefault="008014FE" w:rsidP="003365A5">
            <w:pPr>
              <w:pStyle w:val="Tabletextprimarysource"/>
            </w:pPr>
          </w:p>
          <w:p w14:paraId="527AB4FF" w14:textId="77777777" w:rsidR="00487C9C" w:rsidRDefault="00487C9C" w:rsidP="003365A5">
            <w:pPr>
              <w:pStyle w:val="Tabletextprimarysource"/>
            </w:pPr>
            <w:r>
              <w:t>Summary of data:</w:t>
            </w:r>
          </w:p>
          <w:p w14:paraId="487E69E9" w14:textId="3C2504F0" w:rsidR="00BC3197" w:rsidRDefault="00283095" w:rsidP="00BC3197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A </w:t>
            </w:r>
            <w:r w:rsidR="00BC3197">
              <w:t>N</w:t>
            </w:r>
            <w:r w:rsidR="006E51EC">
              <w:t>OAEL</w:t>
            </w:r>
            <w:r w:rsidR="00BC3197" w:rsidRPr="00CF7FFE">
              <w:t xml:space="preserve"> </w:t>
            </w:r>
            <w:r w:rsidR="00BC3197">
              <w:t>of 25 ppm reported for rats exposed to acrylic acid vapours in a sub-chronic study (6 h/d, 5 d/</w:t>
            </w:r>
            <w:proofErr w:type="spellStart"/>
            <w:r w:rsidR="00BC3197">
              <w:t>wk</w:t>
            </w:r>
            <w:proofErr w:type="spellEnd"/>
            <w:r w:rsidR="00BC3197">
              <w:t xml:space="preserve"> for 13 </w:t>
            </w:r>
            <w:proofErr w:type="spellStart"/>
            <w:r w:rsidR="00BC3197">
              <w:t>wk</w:t>
            </w:r>
            <w:proofErr w:type="spellEnd"/>
            <w:r w:rsidR="00BC3197">
              <w:t>)</w:t>
            </w:r>
          </w:p>
          <w:p w14:paraId="34B1F03A" w14:textId="77777777" w:rsidR="00BC3197" w:rsidRDefault="00BC3197" w:rsidP="00BC3197">
            <w:pPr>
              <w:pStyle w:val="ListBullet"/>
              <w:tabs>
                <w:tab w:val="clear" w:pos="360"/>
              </w:tabs>
              <w:ind w:left="731"/>
            </w:pPr>
            <w:r>
              <w:t>In the same study, very slight focal degeneration of the olfactory mucosa and hyperplasia of the submucosal glands were observed at 75 ppm in mice with a NOAEC for female mice of 5 ppm</w:t>
            </w:r>
          </w:p>
          <w:p w14:paraId="2959C015" w14:textId="77777777" w:rsidR="006E51EC" w:rsidRDefault="006E51EC" w:rsidP="00BC3197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Mice considered to be more susceptible </w:t>
            </w:r>
            <w:r w:rsidR="008014FE">
              <w:t xml:space="preserve">to local effects </w:t>
            </w:r>
            <w:r>
              <w:t>than rats</w:t>
            </w:r>
          </w:p>
          <w:p w14:paraId="732AA564" w14:textId="77777777" w:rsidR="006A2E37" w:rsidRDefault="00F44CDF" w:rsidP="001546A7">
            <w:pPr>
              <w:pStyle w:val="ListBullet"/>
              <w:tabs>
                <w:tab w:val="clear" w:pos="360"/>
              </w:tabs>
              <w:ind w:left="731"/>
            </w:pPr>
            <w:r>
              <w:t>In rats, acute e</w:t>
            </w:r>
            <w:r w:rsidR="006A2E37">
              <w:t>xposure to irritant level concentrations also resulted</w:t>
            </w:r>
            <w:r>
              <w:t xml:space="preserve"> in decreased respiratory frequency, tidal volume and minute volume (no further information</w:t>
            </w:r>
            <w:r w:rsidR="005C3455">
              <w:t xml:space="preserve"> </w:t>
            </w:r>
            <w:r>
              <w:t>provided)</w:t>
            </w:r>
          </w:p>
          <w:p w14:paraId="4617DD45" w14:textId="77777777" w:rsidR="005C3455" w:rsidRDefault="005C3455" w:rsidP="001546A7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Gross abnormalities in offspring were observed from pregnant female rats exposed </w:t>
            </w:r>
            <w:proofErr w:type="spellStart"/>
            <w:r>
              <w:t>intraperitoneally</w:t>
            </w:r>
            <w:proofErr w:type="spellEnd"/>
            <w:r>
              <w:t xml:space="preserve"> on days 5, 10 and 15 of gestation</w:t>
            </w:r>
            <w:r w:rsidR="00A20CB9">
              <w:t xml:space="preserve"> (at 4.7 and 8 mg/kg)</w:t>
            </w:r>
          </w:p>
          <w:p w14:paraId="1C90884B" w14:textId="733B45A0" w:rsidR="00487C9C" w:rsidRDefault="00D73522" w:rsidP="001546A7">
            <w:pPr>
              <w:pStyle w:val="ListBullet"/>
              <w:tabs>
                <w:tab w:val="clear" w:pos="360"/>
              </w:tabs>
              <w:ind w:left="731"/>
            </w:pPr>
            <w:r>
              <w:t>Skin notation based on reported dermal LD</w:t>
            </w:r>
            <w:r>
              <w:rPr>
                <w:vertAlign w:val="subscript"/>
              </w:rPr>
              <w:t xml:space="preserve">50 </w:t>
            </w:r>
            <w:r>
              <w:t>ranging from 295</w:t>
            </w:r>
            <w:r w:rsidR="00F47047">
              <w:t>-</w:t>
            </w:r>
            <w:r>
              <w:t>950 mg/kg after single skin application in rabbits</w:t>
            </w:r>
          </w:p>
          <w:p w14:paraId="6FC9721F" w14:textId="77777777" w:rsidR="00D73522" w:rsidRDefault="003946B6" w:rsidP="001546A7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Reported </w:t>
            </w:r>
            <w:r w:rsidR="005C3455">
              <w:t>to be a skin sensitiser by guinea pig maximisation test</w:t>
            </w:r>
          </w:p>
          <w:p w14:paraId="1E2BF70A" w14:textId="77777777" w:rsidR="005C3455" w:rsidRDefault="005C3455" w:rsidP="001546A7">
            <w:pPr>
              <w:pStyle w:val="ListBullet"/>
              <w:tabs>
                <w:tab w:val="clear" w:pos="360"/>
              </w:tabs>
              <w:ind w:left="731"/>
            </w:pPr>
            <w:r>
              <w:t>No mutagenic effects reported</w:t>
            </w:r>
          </w:p>
          <w:p w14:paraId="17B10424" w14:textId="77777777" w:rsidR="00A82AB6" w:rsidRDefault="005C3455" w:rsidP="001546A7">
            <w:pPr>
              <w:pStyle w:val="ListBullet"/>
              <w:tabs>
                <w:tab w:val="clear" w:pos="360"/>
              </w:tabs>
              <w:ind w:left="731"/>
            </w:pPr>
            <w:r>
              <w:t>Acrylic acid acted as a weak but complete carcinogen in a study with female mice (application of dilute acrylic acid</w:t>
            </w:r>
            <w:r w:rsidR="00A20CB9">
              <w:t xml:space="preserve"> (4% v/v in acetone)</w:t>
            </w:r>
            <w:r>
              <w:t xml:space="preserve"> to dorsal skin 3 times/</w:t>
            </w:r>
            <w:proofErr w:type="spellStart"/>
            <w:r>
              <w:t>wk</w:t>
            </w:r>
            <w:proofErr w:type="spellEnd"/>
            <w:r>
              <w:t xml:space="preserve"> for 1.5 </w:t>
            </w:r>
            <w:proofErr w:type="spellStart"/>
            <w:r w:rsidR="001546A7">
              <w:t>yr</w:t>
            </w:r>
            <w:proofErr w:type="spellEnd"/>
            <w:r>
              <w:t>)</w:t>
            </w:r>
          </w:p>
          <w:p w14:paraId="7CF893D2" w14:textId="77777777" w:rsidR="005C3455" w:rsidRDefault="00A82AB6" w:rsidP="001546A7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The </w:t>
            </w:r>
            <w:r>
              <w:rPr>
                <w:rFonts w:cs="Arial"/>
              </w:rPr>
              <w:t xml:space="preserve">derivation of the </w:t>
            </w:r>
            <w:r w:rsidR="00BC3197">
              <w:rPr>
                <w:rFonts w:cs="Arial"/>
              </w:rPr>
              <w:t>TLV-</w:t>
            </w:r>
            <w:r>
              <w:rPr>
                <w:rFonts w:cs="Arial"/>
              </w:rPr>
              <w:t>TWA is not transparent</w:t>
            </w:r>
            <w:r w:rsidR="001546A7">
              <w:t>.</w:t>
            </w:r>
          </w:p>
          <w:p w14:paraId="674BC8B6" w14:textId="77777777" w:rsidR="008014FE" w:rsidRPr="00DA352E" w:rsidRDefault="008014FE" w:rsidP="008014F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41C4355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CE2DE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600E6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600E6">
                  <w:t>MAK: 10 ppm (30 mg/m</w:t>
                </w:r>
                <w:r w:rsidR="001600E6">
                  <w:rPr>
                    <w:vertAlign w:val="superscript"/>
                  </w:rPr>
                  <w:t>3</w:t>
                </w:r>
                <w:r w:rsidR="001600E6">
                  <w:t>)</w:t>
                </w:r>
              </w:sdtContent>
            </w:sdt>
          </w:p>
        </w:tc>
      </w:tr>
      <w:tr w:rsidR="00C978F0" w:rsidRPr="00DA352E" w14:paraId="1B98C12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3E0698" w14:textId="77777777" w:rsidR="00C978F0" w:rsidRDefault="00CF7FFE" w:rsidP="003365A5">
            <w:pPr>
              <w:pStyle w:val="Tabletextprimarysource"/>
            </w:pPr>
            <w:r>
              <w:t>The critical effect of acrylic acid reported as i</w:t>
            </w:r>
            <w:r w:rsidRPr="00CF7FFE">
              <w:t>rritation of the skin, eyes and nose.</w:t>
            </w:r>
          </w:p>
          <w:p w14:paraId="298FC877" w14:textId="77777777" w:rsidR="00CF7FFE" w:rsidRDefault="00CF7FFE" w:rsidP="003365A5">
            <w:pPr>
              <w:pStyle w:val="Tabletextprimarysource"/>
            </w:pPr>
            <w:r>
              <w:t>Summary of</w:t>
            </w:r>
            <w:r w:rsidR="008014FE">
              <w:t xml:space="preserve"> additional</w:t>
            </w:r>
            <w:r>
              <w:t xml:space="preserve"> data:</w:t>
            </w:r>
          </w:p>
          <w:p w14:paraId="0C0A4F81" w14:textId="77777777" w:rsidR="00D57D04" w:rsidRDefault="00CF7FFE" w:rsidP="001546A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MAK </w:t>
            </w:r>
            <w:r w:rsidR="00D57D04">
              <w:t>of 10 ppm</w:t>
            </w:r>
            <w:r>
              <w:t xml:space="preserve"> is based on</w:t>
            </w:r>
            <w:r w:rsidR="00D57D04">
              <w:t>:</w:t>
            </w:r>
          </w:p>
          <w:p w14:paraId="0298CC47" w14:textId="77777777" w:rsidR="00D57D04" w:rsidRDefault="00417544" w:rsidP="00D57D04">
            <w:pPr>
              <w:pStyle w:val="ListBullet"/>
              <w:ind w:left="720"/>
            </w:pPr>
            <w:r>
              <w:t>A</w:t>
            </w:r>
            <w:r w:rsidR="00CF7FFE">
              <w:t xml:space="preserve">ssumption that the </w:t>
            </w:r>
            <w:r w:rsidR="006414DF">
              <w:t xml:space="preserve">NOAEC for </w:t>
            </w:r>
            <w:r w:rsidR="00E67257">
              <w:t xml:space="preserve">olfactory epithelium exposure </w:t>
            </w:r>
            <w:r w:rsidR="006414DF">
              <w:t>in humans is</w:t>
            </w:r>
            <w:r w:rsidR="00E67257">
              <w:t xml:space="preserve"> no</w:t>
            </w:r>
            <w:r w:rsidR="00FB6BE2">
              <w:t xml:space="preserve">t higher </w:t>
            </w:r>
            <w:r w:rsidR="006414DF">
              <w:t>t</w:t>
            </w:r>
            <w:r w:rsidR="00FB6BE2">
              <w:t xml:space="preserve">han in rats </w:t>
            </w:r>
            <w:r w:rsidR="006414DF">
              <w:t>(</w:t>
            </w:r>
            <w:r w:rsidR="00FB6BE2">
              <w:t>25 m</w:t>
            </w:r>
            <w:r w:rsidR="00B27C6B">
              <w:t>L</w:t>
            </w:r>
            <w:r w:rsidR="00FB6BE2">
              <w:t>/m</w:t>
            </w:r>
            <w:r w:rsidR="00FB6BE2" w:rsidRPr="006414DF">
              <w:rPr>
                <w:vertAlign w:val="superscript"/>
              </w:rPr>
              <w:t>3</w:t>
            </w:r>
            <w:r w:rsidR="006414DF">
              <w:t>)</w:t>
            </w:r>
            <w:r w:rsidR="00D57D04">
              <w:t xml:space="preserve"> </w:t>
            </w:r>
          </w:p>
          <w:p w14:paraId="3AE16D0D" w14:textId="77777777" w:rsidR="00CF7FFE" w:rsidRDefault="00417544" w:rsidP="00D57D04">
            <w:pPr>
              <w:pStyle w:val="ListBullet"/>
              <w:ind w:left="720"/>
            </w:pPr>
            <w:r>
              <w:t>I</w:t>
            </w:r>
            <w:r w:rsidR="00D57D04">
              <w:t>rritation of olfactory epithelium does not substantially increase with time</w:t>
            </w:r>
          </w:p>
          <w:p w14:paraId="75215A79" w14:textId="77777777" w:rsidR="00D57D04" w:rsidRPr="00DA352E" w:rsidRDefault="00417544" w:rsidP="00D57D04">
            <w:pPr>
              <w:pStyle w:val="ListBullet"/>
              <w:ind w:left="720"/>
            </w:pPr>
            <w:r>
              <w:t>D</w:t>
            </w:r>
            <w:r w:rsidR="00D57D04">
              <w:t>oes not have to be metabolised</w:t>
            </w:r>
            <w:r w:rsidR="003946B6">
              <w:t xml:space="preserve">, </w:t>
            </w:r>
            <w:proofErr w:type="spellStart"/>
            <w:r w:rsidR="00D57D04">
              <w:t>interindividual</w:t>
            </w:r>
            <w:proofErr w:type="spellEnd"/>
            <w:r w:rsidR="00D57D04">
              <w:t xml:space="preserve"> differences are</w:t>
            </w:r>
            <w:r w:rsidR="00893591">
              <w:t xml:space="preserve"> likely minor</w:t>
            </w:r>
            <w:r w:rsidR="001546A7">
              <w:t>.</w:t>
            </w:r>
          </w:p>
        </w:tc>
      </w:tr>
      <w:tr w:rsidR="00C978F0" w:rsidRPr="00DA352E" w14:paraId="033235B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35DB7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A3E60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A3E60">
                  <w:t>TWA: 10 ppm (29 mg/m</w:t>
                </w:r>
                <w:r w:rsidR="000A3E60">
                  <w:rPr>
                    <w:vertAlign w:val="superscript"/>
                  </w:rPr>
                  <w:t>3</w:t>
                </w:r>
                <w:r w:rsidR="000A3E60">
                  <w:t xml:space="preserve">); </w:t>
                </w:r>
                <w:r w:rsidR="004820DD">
                  <w:t xml:space="preserve">STEL (1 min) </w:t>
                </w:r>
                <w:r w:rsidR="000A3E60">
                  <w:t>20 ppm (59 mg/m</w:t>
                </w:r>
                <w:r w:rsidR="000A3E60">
                  <w:rPr>
                    <w:vertAlign w:val="superscript"/>
                  </w:rPr>
                  <w:t>3</w:t>
                </w:r>
                <w:r w:rsidR="000A3E60">
                  <w:t>)</w:t>
                </w:r>
              </w:sdtContent>
            </w:sdt>
          </w:p>
        </w:tc>
      </w:tr>
      <w:tr w:rsidR="00C978F0" w:rsidRPr="00DA352E" w14:paraId="1BC43B2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433ECA" w14:textId="77777777" w:rsidR="00C978F0" w:rsidRDefault="00FC0188" w:rsidP="003365A5">
            <w:pPr>
              <w:pStyle w:val="Tabletextprimarysource"/>
            </w:pPr>
            <w:r>
              <w:t xml:space="preserve">TWA established to protect </w:t>
            </w:r>
            <w:r w:rsidR="00A64A56">
              <w:t xml:space="preserve">for </w:t>
            </w:r>
            <w:r>
              <w:t>histological changes and nasal irritation</w:t>
            </w:r>
            <w:r w:rsidR="002D4683">
              <w:t>.</w:t>
            </w:r>
          </w:p>
          <w:p w14:paraId="06CCA3A8" w14:textId="77777777" w:rsidR="00FC0188" w:rsidRDefault="00FC0188" w:rsidP="003365A5">
            <w:pPr>
              <w:pStyle w:val="Tabletextprimarysource"/>
            </w:pPr>
            <w:r>
              <w:t xml:space="preserve">Summary of </w:t>
            </w:r>
            <w:r w:rsidR="008014FE">
              <w:t xml:space="preserve">additional </w:t>
            </w:r>
            <w:r>
              <w:t>data:</w:t>
            </w:r>
          </w:p>
          <w:p w14:paraId="73AF0718" w14:textId="77777777" w:rsidR="006E51EC" w:rsidRDefault="006E51EC" w:rsidP="001546A7">
            <w:pPr>
              <w:pStyle w:val="ListBullet"/>
              <w:tabs>
                <w:tab w:val="clear" w:pos="360"/>
              </w:tabs>
              <w:ind w:left="731"/>
            </w:pPr>
            <w:r>
              <w:t>Local irritation dominates the toxic effects of acrylic acid</w:t>
            </w:r>
          </w:p>
          <w:p w14:paraId="1CB02439" w14:textId="77777777" w:rsidR="006E51EC" w:rsidRDefault="006E51EC" w:rsidP="001546A7">
            <w:pPr>
              <w:pStyle w:val="ListBullet"/>
              <w:tabs>
                <w:tab w:val="clear" w:pos="360"/>
              </w:tabs>
              <w:ind w:left="731"/>
            </w:pPr>
            <w:r>
              <w:t>As per ACGIH, NOAEL of 25 ppm for effects on the olfactory epithelium in rats</w:t>
            </w:r>
          </w:p>
          <w:p w14:paraId="2C6A65F7" w14:textId="77777777" w:rsidR="006E51EC" w:rsidRDefault="006E51EC" w:rsidP="001546A7">
            <w:pPr>
              <w:pStyle w:val="ListBullet"/>
              <w:tabs>
                <w:tab w:val="clear" w:pos="360"/>
              </w:tabs>
              <w:ind w:left="731"/>
            </w:pPr>
            <w:r>
              <w:t>In mice: LOAEL of 5 ppm; NOAEL for systemic toxicity of 5 ppm (females); LOAEL for systemic toxicity of 25 ppm (females)</w:t>
            </w:r>
          </w:p>
          <w:p w14:paraId="08D6849C" w14:textId="77777777" w:rsidR="00BC46E1" w:rsidRDefault="00BC46E1" w:rsidP="001546A7">
            <w:pPr>
              <w:pStyle w:val="ListBullet"/>
              <w:tabs>
                <w:tab w:val="clear" w:pos="360"/>
              </w:tabs>
              <w:ind w:left="731"/>
            </w:pPr>
            <w:r>
              <w:t>The NOAEL for developmental toxicity in rats is 200 ppm</w:t>
            </w:r>
          </w:p>
          <w:p w14:paraId="28A9F9EA" w14:textId="77777777" w:rsidR="00FC0188" w:rsidRDefault="004820DD" w:rsidP="001546A7">
            <w:pPr>
              <w:pStyle w:val="ListBullet"/>
              <w:tabs>
                <w:tab w:val="clear" w:pos="360"/>
              </w:tabs>
              <w:ind w:left="731"/>
            </w:pPr>
            <w:r>
              <w:t>Stated that</w:t>
            </w:r>
            <w:r w:rsidR="00FC0188">
              <w:t xml:space="preserve"> </w:t>
            </w:r>
            <w:r>
              <w:t xml:space="preserve">a </w:t>
            </w:r>
            <w:r w:rsidR="00FC0188">
              <w:t xml:space="preserve">nasal irritation threshold will not </w:t>
            </w:r>
            <w:r>
              <w:t>greatly</w:t>
            </w:r>
            <w:r w:rsidR="00FC0188">
              <w:t xml:space="preserve"> change when extrapolati</w:t>
            </w:r>
            <w:r>
              <w:t xml:space="preserve">ng </w:t>
            </w:r>
            <w:r w:rsidR="001546A7">
              <w:t>from experimentally-tested sub-</w:t>
            </w:r>
            <w:r w:rsidR="00FC0188">
              <w:t>chronic exposure to chronic exposure</w:t>
            </w:r>
            <w:r>
              <w:t xml:space="preserve"> and that c</w:t>
            </w:r>
            <w:r w:rsidR="00FC0188">
              <w:t>alculations suggest that humans have approximately the same deposition rate as rats</w:t>
            </w:r>
          </w:p>
          <w:p w14:paraId="1BE5440D" w14:textId="77777777" w:rsidR="00FC0188" w:rsidRDefault="006E51EC" w:rsidP="001546A7">
            <w:pPr>
              <w:pStyle w:val="ListBullet"/>
              <w:tabs>
                <w:tab w:val="clear" w:pos="360"/>
              </w:tabs>
              <w:ind w:left="731"/>
            </w:pPr>
            <w:r>
              <w:t>Therefore, based on the NOAEL</w:t>
            </w:r>
            <w:r w:rsidR="00FC0188">
              <w:t xml:space="preserve"> of 25 ppm in rats, a TWA of 10 ppm </w:t>
            </w:r>
            <w:proofErr w:type="gramStart"/>
            <w:r w:rsidR="00FC0188">
              <w:t xml:space="preserve">is </w:t>
            </w:r>
            <w:r w:rsidR="004820DD">
              <w:t>considered</w:t>
            </w:r>
            <w:proofErr w:type="gramEnd"/>
            <w:r w:rsidR="004820DD">
              <w:t xml:space="preserve"> appropriately protective</w:t>
            </w:r>
            <w:r w:rsidR="002D4683">
              <w:t>.</w:t>
            </w:r>
          </w:p>
          <w:p w14:paraId="4570697C" w14:textId="77777777" w:rsidR="003946B6" w:rsidRDefault="003946B6" w:rsidP="007F539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48B8DD2" w14:textId="77777777" w:rsidR="004820DD" w:rsidRDefault="004820DD" w:rsidP="003946B6">
            <w:pPr>
              <w:pStyle w:val="ListBullet"/>
              <w:numPr>
                <w:ilvl w:val="0"/>
                <w:numId w:val="0"/>
              </w:numPr>
            </w:pPr>
            <w:r>
              <w:t xml:space="preserve">STEL </w:t>
            </w:r>
            <w:r w:rsidR="001546A7">
              <w:t>of 20 ppm (1 min</w:t>
            </w:r>
            <w:r w:rsidR="00271336">
              <w:t xml:space="preserve">) </w:t>
            </w:r>
            <w:r>
              <w:t xml:space="preserve">was based on </w:t>
            </w:r>
            <w:r w:rsidR="00B57009">
              <w:t xml:space="preserve">a sensory threshold (trigeminal nerve) identified at 30 ppm reported in a </w:t>
            </w:r>
            <w:r w:rsidR="00271336">
              <w:t xml:space="preserve">study </w:t>
            </w:r>
            <w:r w:rsidR="00B57009">
              <w:t>in 72 male and female volunteers</w:t>
            </w:r>
            <w:r w:rsidR="00271336">
              <w:t xml:space="preserve"> </w:t>
            </w:r>
          </w:p>
          <w:p w14:paraId="78CC679C" w14:textId="77777777" w:rsidR="00271336" w:rsidRDefault="00271336" w:rsidP="001546A7">
            <w:pPr>
              <w:pStyle w:val="ListBullet"/>
              <w:tabs>
                <w:tab w:val="clear" w:pos="360"/>
              </w:tabs>
              <w:ind w:left="731"/>
            </w:pPr>
            <w:r>
              <w:t>A skin notation was not warranted</w:t>
            </w:r>
          </w:p>
          <w:p w14:paraId="54AFBFF6" w14:textId="77777777" w:rsidR="00271336" w:rsidRDefault="00271336" w:rsidP="001546A7">
            <w:pPr>
              <w:pStyle w:val="ListBullet"/>
              <w:tabs>
                <w:tab w:val="clear" w:pos="360"/>
              </w:tabs>
              <w:ind w:left="731"/>
            </w:pPr>
            <w:r>
              <w:t>No evidence that pure acrylic acid causes respiratory or skin sensitisation</w:t>
            </w:r>
            <w:r w:rsidR="001546A7">
              <w:t>.</w:t>
            </w:r>
          </w:p>
          <w:p w14:paraId="7564169B" w14:textId="77777777" w:rsidR="008014FE" w:rsidRPr="00DA352E" w:rsidRDefault="008014FE" w:rsidP="008014F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4D00DCA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21D66E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820D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820DD">
                  <w:t>NA</w:t>
                </w:r>
                <w:proofErr w:type="spellEnd"/>
              </w:sdtContent>
            </w:sdt>
          </w:p>
        </w:tc>
      </w:tr>
      <w:tr w:rsidR="00DA352E" w:rsidRPr="00DA352E" w14:paraId="46B938F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1D790A" w14:textId="77777777" w:rsidR="00DA352E" w:rsidRPr="00DA352E" w:rsidRDefault="001600E6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7498C84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CB4EB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600E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1600E6">
                  <w:t>NA</w:t>
                </w:r>
                <w:proofErr w:type="spellEnd"/>
              </w:sdtContent>
            </w:sdt>
          </w:p>
        </w:tc>
      </w:tr>
      <w:tr w:rsidR="00DA352E" w:rsidRPr="00DA352E" w14:paraId="617E9BA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4761C5" w14:textId="77777777" w:rsidR="00DA352E" w:rsidRPr="00DA352E" w:rsidRDefault="001600E6" w:rsidP="003365A5">
            <w:pPr>
              <w:pStyle w:val="Tabletextprimarysource"/>
            </w:pPr>
            <w:r>
              <w:t>No report</w:t>
            </w:r>
          </w:p>
        </w:tc>
      </w:tr>
    </w:tbl>
    <w:p w14:paraId="512654B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637D4CDB" w14:textId="77777777" w:rsidTr="00271336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468DFFA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094679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8576DE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7D20843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8E5D094" w14:textId="77777777" w:rsidTr="00271336">
        <w:trPr>
          <w:cantSplit/>
        </w:trPr>
        <w:tc>
          <w:tcPr>
            <w:tcW w:w="1498" w:type="dxa"/>
          </w:tcPr>
          <w:p w14:paraId="58FA58C8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3" w:type="dxa"/>
          </w:tcPr>
          <w:p w14:paraId="172CC7BA" w14:textId="77777777" w:rsidR="004966BF" w:rsidRPr="00CE617F" w:rsidRDefault="005852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713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F6E098" w14:textId="77777777" w:rsidR="004966BF" w:rsidRPr="004C23F4" w:rsidRDefault="00271336" w:rsidP="00717D45">
            <w:pPr>
              <w:pStyle w:val="Tablefont"/>
            </w:pPr>
            <w:r>
              <w:t>2018</w:t>
            </w:r>
          </w:p>
        </w:tc>
        <w:tc>
          <w:tcPr>
            <w:tcW w:w="6444" w:type="dxa"/>
          </w:tcPr>
          <w:p w14:paraId="3912FFA3" w14:textId="77777777" w:rsidR="004966BF" w:rsidRPr="004C23F4" w:rsidRDefault="00271336" w:rsidP="00271336">
            <w:pPr>
              <w:pStyle w:val="ListBullet"/>
            </w:pPr>
            <w:r>
              <w:t xml:space="preserve">Adopted SCOEL </w:t>
            </w:r>
            <w:sdt>
              <w:sdtPr>
                <w:alias w:val="SCOEL WES equivalent"/>
                <w:tag w:val="SCOEL WES equivalent"/>
                <w:id w:val="1793091062"/>
                <w:placeholder>
                  <w:docPart w:val="683535025BFB46538155374C30E49C0B"/>
                </w:placeholder>
              </w:sdtPr>
              <w:sdtEndPr/>
              <w:sdtContent>
                <w:r>
                  <w:t>TWA of 10 ppm (29 mg/m</w:t>
                </w:r>
                <w:r>
                  <w:rPr>
                    <w:vertAlign w:val="superscript"/>
                  </w:rPr>
                  <w:t>3</w:t>
                </w:r>
                <w:r>
                  <w:t>) and 1 mi</w:t>
                </w:r>
                <w:r w:rsidR="001546A7">
                  <w:t>n</w:t>
                </w:r>
                <w:r>
                  <w:t xml:space="preserve"> STEL of 20 ppm (59 mg/m</w:t>
                </w:r>
                <w:r>
                  <w:rPr>
                    <w:vertAlign w:val="superscript"/>
                  </w:rPr>
                  <w:t>3</w:t>
                </w:r>
                <w:r>
                  <w:t>)</w:t>
                </w:r>
                <w:r w:rsidR="002D4683">
                  <w:t>.</w:t>
                </w:r>
              </w:sdtContent>
            </w:sdt>
          </w:p>
        </w:tc>
      </w:tr>
      <w:tr w:rsidR="004966BF" w:rsidRPr="004C23F4" w14:paraId="2A7B7297" w14:textId="77777777" w:rsidTr="00271336">
        <w:trPr>
          <w:cantSplit/>
        </w:trPr>
        <w:tc>
          <w:tcPr>
            <w:tcW w:w="1498" w:type="dxa"/>
          </w:tcPr>
          <w:p w14:paraId="137F98B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113050B" w14:textId="77777777" w:rsidR="004966BF" w:rsidRPr="00CE617F" w:rsidRDefault="005852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713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1B538EE" w14:textId="77777777" w:rsidR="004966BF" w:rsidRPr="004C23F4" w:rsidRDefault="0027133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4" w:type="dxa"/>
          </w:tcPr>
          <w:p w14:paraId="5055FCAB" w14:textId="77777777" w:rsidR="004966BF" w:rsidRDefault="00271336" w:rsidP="00271336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271336">
              <w:rPr>
                <w:rStyle w:val="checkbox"/>
                <w:rFonts w:ascii="Arial" w:hAnsi="Arial" w:cs="Arial"/>
              </w:rPr>
              <w:t>LD</w:t>
            </w:r>
            <w:r w:rsidRPr="00271336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3D1958"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Arial" w:hAnsi="Arial" w:cs="Arial"/>
              </w:rPr>
              <w:t xml:space="preserve">640 mg/kg </w:t>
            </w:r>
            <w:r w:rsidR="003D1958">
              <w:rPr>
                <w:rStyle w:val="checkbox"/>
                <w:rFonts w:ascii="Arial" w:hAnsi="Arial" w:cs="Arial"/>
              </w:rPr>
              <w:t>(</w:t>
            </w:r>
            <w:r w:rsidRPr="00271336">
              <w:rPr>
                <w:rStyle w:val="checkbox"/>
                <w:rFonts w:ascii="Arial" w:hAnsi="Arial" w:cs="Arial"/>
              </w:rPr>
              <w:t>rabbits</w:t>
            </w:r>
            <w:r w:rsidR="003D1958">
              <w:rPr>
                <w:rStyle w:val="checkbox"/>
                <w:rFonts w:ascii="Arial" w:hAnsi="Arial" w:cs="Arial"/>
              </w:rPr>
              <w:t>, dermal)</w:t>
            </w:r>
          </w:p>
          <w:p w14:paraId="0DCB0FDB" w14:textId="77777777" w:rsidR="00300A72" w:rsidRPr="00524A81" w:rsidRDefault="003D1958" w:rsidP="00300A72">
            <w:pPr>
              <w:pStyle w:val="ListBullet"/>
              <w:rPr>
                <w:rFonts w:cs="Arial"/>
              </w:rPr>
            </w:pPr>
            <w:r>
              <w:rPr>
                <w:rFonts w:cs="Arial"/>
                <w:color w:val="262626"/>
              </w:rPr>
              <w:t>N</w:t>
            </w:r>
            <w:r w:rsidR="00300A72">
              <w:rPr>
                <w:rFonts w:cs="Arial"/>
                <w:color w:val="262626"/>
              </w:rPr>
              <w:t>ot considered to be a skin sensitiser</w:t>
            </w:r>
          </w:p>
          <w:p w14:paraId="422BEEF8" w14:textId="77777777" w:rsidR="00524A81" w:rsidRPr="00300A72" w:rsidRDefault="00524A81" w:rsidP="00524A81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524A81">
              <w:rPr>
                <w:rStyle w:val="checkbox"/>
                <w:rFonts w:ascii="Arial" w:hAnsi="Arial" w:cs="Arial"/>
              </w:rPr>
              <w:t>The critical health effects include systemic acute effects (by oral, dermal and inhalation exposure) and local effects (</w:t>
            </w:r>
            <w:proofErr w:type="spellStart"/>
            <w:r w:rsidRPr="00524A81">
              <w:rPr>
                <w:rStyle w:val="checkbox"/>
                <w:rFonts w:ascii="Arial" w:hAnsi="Arial" w:cs="Arial"/>
              </w:rPr>
              <w:t>corrosivity</w:t>
            </w:r>
            <w:proofErr w:type="spellEnd"/>
            <w:r w:rsidRPr="00524A81">
              <w:rPr>
                <w:rStyle w:val="checkbox"/>
                <w:rFonts w:ascii="Arial" w:hAnsi="Arial" w:cs="Arial"/>
              </w:rPr>
              <w:t>)</w:t>
            </w:r>
            <w:r w:rsidR="002D468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42D9173" w14:textId="77777777" w:rsidTr="00271336">
        <w:trPr>
          <w:cantSplit/>
        </w:trPr>
        <w:tc>
          <w:tcPr>
            <w:tcW w:w="1498" w:type="dxa"/>
          </w:tcPr>
          <w:p w14:paraId="5CE7E42B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4729333E" w14:textId="77777777" w:rsidR="004966BF" w:rsidRPr="00CE617F" w:rsidRDefault="005852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00A7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29FA166" w14:textId="77777777" w:rsidR="004966BF" w:rsidRPr="004C23F4" w:rsidRDefault="00300A7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4" w:type="dxa"/>
          </w:tcPr>
          <w:p w14:paraId="10FF91A9" w14:textId="555AF91D" w:rsidR="00452A72" w:rsidRPr="00452A72" w:rsidRDefault="00300A72" w:rsidP="00300A72">
            <w:pPr>
              <w:pStyle w:val="ListBullet"/>
              <w:rPr>
                <w:rFonts w:cs="Arial"/>
              </w:rPr>
            </w:pPr>
            <w:r>
              <w:t>L</w:t>
            </w:r>
            <w:r w:rsidR="0099605B">
              <w:t>OAEL</w:t>
            </w:r>
            <w:r w:rsidR="003946B6">
              <w:t xml:space="preserve"> </w:t>
            </w:r>
            <w:r>
              <w:t>in mice for local effects of 5 ppm</w:t>
            </w:r>
            <w:r w:rsidR="00A06E40">
              <w:t>, focal degeneration of the nasal olfactory epithelium</w:t>
            </w:r>
            <w:r w:rsidR="00452A72">
              <w:t xml:space="preserve"> (6 h/d, 5 d/</w:t>
            </w:r>
            <w:proofErr w:type="spellStart"/>
            <w:r w:rsidR="00452A72">
              <w:t>wk</w:t>
            </w:r>
            <w:proofErr w:type="spellEnd"/>
            <w:r w:rsidR="00452A72">
              <w:t xml:space="preserve"> for 90 d)</w:t>
            </w:r>
          </w:p>
          <w:p w14:paraId="3783BE70" w14:textId="1E13A6ED" w:rsidR="004966BF" w:rsidRPr="004C23F4" w:rsidRDefault="006E51EC" w:rsidP="00F4704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NOAEL</w:t>
            </w:r>
            <w:r w:rsidR="00300A72">
              <w:t xml:space="preserve"> in</w:t>
            </w:r>
            <w:r w:rsidR="00A06E40">
              <w:t xml:space="preserve"> female</w:t>
            </w:r>
            <w:r w:rsidR="00300A72">
              <w:t xml:space="preserve"> mice for systemic effects of 5 ppm</w:t>
            </w:r>
            <w:r w:rsidR="00A06E40">
              <w:t>, lower body weight gain (6 h/d, 5 d/</w:t>
            </w:r>
            <w:proofErr w:type="spellStart"/>
            <w:r w:rsidR="00A06E40">
              <w:t>wk</w:t>
            </w:r>
            <w:proofErr w:type="spellEnd"/>
            <w:r w:rsidR="00A06E40">
              <w:t xml:space="preserve"> for 90 d)</w:t>
            </w:r>
            <w:r w:rsidR="00A82AB6">
              <w:t xml:space="preserve"> (further information as per ACGIH)</w:t>
            </w:r>
            <w:r w:rsidR="002D4683">
              <w:t>.</w:t>
            </w:r>
          </w:p>
        </w:tc>
      </w:tr>
    </w:tbl>
    <w:bookmarkEnd w:id="1"/>
    <w:p w14:paraId="561B238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796408B0" w14:textId="77777777" w:rsidTr="007F539D">
        <w:trPr>
          <w:trHeight w:val="454"/>
          <w:tblHeader/>
        </w:trPr>
        <w:tc>
          <w:tcPr>
            <w:tcW w:w="6609" w:type="dxa"/>
            <w:vAlign w:val="center"/>
          </w:tcPr>
          <w:p w14:paraId="6A2F7FD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3B48F822" w14:textId="77777777" w:rsidR="002E0D61" w:rsidRDefault="00524A8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0DAE4E1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9B6584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2F574A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D8A323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9F5C641" w14:textId="77777777" w:rsidTr="00812887">
        <w:trPr>
          <w:cantSplit/>
        </w:trPr>
        <w:tc>
          <w:tcPr>
            <w:tcW w:w="3227" w:type="dxa"/>
          </w:tcPr>
          <w:p w14:paraId="7364866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2845675" w14:textId="77777777" w:rsidR="00687890" w:rsidRPr="00DD2F9B" w:rsidRDefault="003D1958" w:rsidP="00DD2F9B">
            <w:pPr>
              <w:pStyle w:val="Tablefont"/>
            </w:pPr>
            <w:r>
              <w:t>Sk.</w:t>
            </w:r>
          </w:p>
        </w:tc>
      </w:tr>
      <w:tr w:rsidR="007925F0" w:rsidRPr="004C23F4" w14:paraId="38E30DCF" w14:textId="77777777" w:rsidTr="00812887">
        <w:trPr>
          <w:cantSplit/>
        </w:trPr>
        <w:tc>
          <w:tcPr>
            <w:tcW w:w="3227" w:type="dxa"/>
          </w:tcPr>
          <w:p w14:paraId="44C3A047" w14:textId="77777777" w:rsidR="004079B4" w:rsidRPr="004C23F4" w:rsidRDefault="007925F0" w:rsidP="00F4402E">
            <w:pPr>
              <w:pStyle w:val="Tablefont"/>
            </w:pPr>
            <w:r>
              <w:lastRenderedPageBreak/>
              <w:t>HCIS</w:t>
            </w:r>
          </w:p>
        </w:tc>
        <w:tc>
          <w:tcPr>
            <w:tcW w:w="6015" w:type="dxa"/>
          </w:tcPr>
          <w:p w14:paraId="1FE89684" w14:textId="77777777" w:rsidR="007925F0" w:rsidRPr="00DD2F9B" w:rsidRDefault="001546A7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043941FB" w14:textId="77777777" w:rsidTr="00812887">
        <w:trPr>
          <w:cantSplit/>
        </w:trPr>
        <w:tc>
          <w:tcPr>
            <w:tcW w:w="3227" w:type="dxa"/>
          </w:tcPr>
          <w:p w14:paraId="79959F7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C131C80" w14:textId="77777777" w:rsidR="00AF483F" w:rsidRPr="00DD2F9B" w:rsidRDefault="00524A8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A6BA819" w14:textId="77777777" w:rsidTr="00812887">
        <w:trPr>
          <w:cantSplit/>
        </w:trPr>
        <w:tc>
          <w:tcPr>
            <w:tcW w:w="3227" w:type="dxa"/>
          </w:tcPr>
          <w:p w14:paraId="23A4E7D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85E0828" w14:textId="77777777" w:rsidR="00687890" w:rsidRPr="00DD2F9B" w:rsidRDefault="00420E05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5E49B3C2" w14:textId="77777777" w:rsidTr="00812887">
        <w:trPr>
          <w:cantSplit/>
        </w:trPr>
        <w:tc>
          <w:tcPr>
            <w:tcW w:w="3227" w:type="dxa"/>
          </w:tcPr>
          <w:p w14:paraId="2F1C781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237B5E3" w14:textId="77777777" w:rsidR="00E41A26" w:rsidRPr="00DD2F9B" w:rsidRDefault="001546A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BBDCF7B" w14:textId="77777777" w:rsidTr="00812887">
        <w:trPr>
          <w:cantSplit/>
        </w:trPr>
        <w:tc>
          <w:tcPr>
            <w:tcW w:w="3227" w:type="dxa"/>
          </w:tcPr>
          <w:p w14:paraId="4C8201B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2882345" w14:textId="77777777" w:rsidR="002E0D61" w:rsidRPr="00DD2F9B" w:rsidRDefault="00487C9C" w:rsidP="00DD2F9B">
            <w:pPr>
              <w:pStyle w:val="Tablefont"/>
            </w:pPr>
            <w:r>
              <w:t>Carcinogenicity – A4; Skin</w:t>
            </w:r>
          </w:p>
        </w:tc>
      </w:tr>
      <w:tr w:rsidR="002E0D61" w:rsidRPr="004C23F4" w14:paraId="5F19E107" w14:textId="77777777" w:rsidTr="00812887">
        <w:trPr>
          <w:cantSplit/>
        </w:trPr>
        <w:tc>
          <w:tcPr>
            <w:tcW w:w="3227" w:type="dxa"/>
          </w:tcPr>
          <w:p w14:paraId="2BCD6B1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29311AE" w14:textId="77777777" w:rsidR="002E0D61" w:rsidRPr="00DD2F9B" w:rsidRDefault="001546A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058F3EB" w14:textId="77777777" w:rsidTr="00812887">
        <w:trPr>
          <w:cantSplit/>
        </w:trPr>
        <w:tc>
          <w:tcPr>
            <w:tcW w:w="3227" w:type="dxa"/>
          </w:tcPr>
          <w:p w14:paraId="7EDAB8C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7F0EA4A" w14:textId="77777777" w:rsidR="002E0D61" w:rsidRPr="00DD2F9B" w:rsidRDefault="001546A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4CA8476" w14:textId="77777777" w:rsidTr="00812887">
        <w:trPr>
          <w:cantSplit/>
        </w:trPr>
        <w:tc>
          <w:tcPr>
            <w:tcW w:w="3227" w:type="dxa"/>
          </w:tcPr>
          <w:p w14:paraId="4F9272C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04B5361" w14:textId="77777777" w:rsidR="002E0D61" w:rsidRPr="00DD2F9B" w:rsidRDefault="00524A8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1220EC9" w14:textId="77777777" w:rsidTr="00812887">
        <w:trPr>
          <w:cantSplit/>
        </w:trPr>
        <w:tc>
          <w:tcPr>
            <w:tcW w:w="3227" w:type="dxa"/>
          </w:tcPr>
          <w:p w14:paraId="08485CA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B16B4C7" w14:textId="77777777" w:rsidR="00386093" w:rsidRPr="00DD2F9B" w:rsidRDefault="001546A7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11A789D" w14:textId="77777777" w:rsidTr="00812887">
        <w:trPr>
          <w:cantSplit/>
        </w:trPr>
        <w:tc>
          <w:tcPr>
            <w:tcW w:w="3227" w:type="dxa"/>
          </w:tcPr>
          <w:p w14:paraId="629DFC5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1E6DF89" w14:textId="77777777" w:rsidR="00386093" w:rsidRPr="00DD2F9B" w:rsidRDefault="003D1958" w:rsidP="00D87570">
            <w:pPr>
              <w:pStyle w:val="Tablefont"/>
              <w:keepNext/>
            </w:pPr>
            <w:r>
              <w:t>SK:SYS</w:t>
            </w:r>
          </w:p>
        </w:tc>
      </w:tr>
    </w:tbl>
    <w:bookmarkEnd w:id="3"/>
    <w:p w14:paraId="1F9203D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FA9283E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EE23F7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77998A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8A687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673" w:type="dxa"/>
              <w:tblLook w:val="04A0" w:firstRow="1" w:lastRow="0" w:firstColumn="1" w:lastColumn="0" w:noHBand="0" w:noVBand="1"/>
            </w:tblPr>
            <w:tblGrid>
              <w:gridCol w:w="3769"/>
              <w:gridCol w:w="1110"/>
              <w:gridCol w:w="1110"/>
              <w:gridCol w:w="1342"/>
              <w:gridCol w:w="1342"/>
            </w:tblGrid>
            <w:tr w:rsidR="00D13110" w:rsidRPr="00D13110" w14:paraId="1A0F5C47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A9C1A5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376DC3E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EBEF65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4BCA5C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9F0F01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7025D90F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53CB23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BA4D228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1F3D91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89D93E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5FD2C6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74487493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04FA33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FF6A25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97CB69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6336F0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3F6D14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70806CFF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AD2337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2CB989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6C4B0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4480F5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141BEE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0F458CEE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E27670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E66DA5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092D4E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1BE56C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3D4323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6612B6BB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3C39A2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7BFE60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DA92E5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425C4B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DB81E3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3110" w:rsidRPr="00D13110" w14:paraId="7AE6B2EB" w14:textId="77777777" w:rsidTr="00D13110">
              <w:trPr>
                <w:trHeight w:val="348"/>
              </w:trPr>
              <w:tc>
                <w:tcPr>
                  <w:tcW w:w="3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F918E5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3CF7C9" w14:textId="77777777" w:rsidR="00D13110" w:rsidRPr="00D13110" w:rsidRDefault="00D13110" w:rsidP="00D1311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FAB7C1" w14:textId="77777777" w:rsidR="00D13110" w:rsidRPr="00D13110" w:rsidRDefault="00D13110" w:rsidP="00D1311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6849DE" w14:textId="77777777" w:rsidR="00D13110" w:rsidRPr="00D13110" w:rsidRDefault="00D13110" w:rsidP="00D1311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311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7F6AE97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FD79EE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B1E7F8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DF740A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1775C59" w14:textId="77777777" w:rsidR="00EB3D1B" w:rsidRDefault="00524A8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C10070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CA623A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DEBA53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42CFB00" w14:textId="77777777" w:rsidR="001B79E5" w:rsidRDefault="00421059" w:rsidP="001B79E5">
                <w:pPr>
                  <w:pStyle w:val="Tablefont"/>
                </w:pPr>
                <w:r>
                  <w:t>72.06</w:t>
                </w:r>
              </w:p>
            </w:tc>
          </w:sdtContent>
        </w:sdt>
      </w:tr>
      <w:tr w:rsidR="00A31D99" w:rsidRPr="004C23F4" w14:paraId="6489D22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B3038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A9C2D7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8F766D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64FEF6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A0C0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AB9D294" w14:textId="77777777" w:rsidTr="00EA6243">
        <w:trPr>
          <w:cantSplit/>
        </w:trPr>
        <w:tc>
          <w:tcPr>
            <w:tcW w:w="4077" w:type="dxa"/>
            <w:vAlign w:val="center"/>
          </w:tcPr>
          <w:p w14:paraId="6630159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B8845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0B523A5" w14:textId="77777777" w:rsidTr="00EA6243">
        <w:trPr>
          <w:cantSplit/>
        </w:trPr>
        <w:tc>
          <w:tcPr>
            <w:tcW w:w="4077" w:type="dxa"/>
            <w:vAlign w:val="center"/>
          </w:tcPr>
          <w:p w14:paraId="15D02A7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DFAFC7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B41523B" w14:textId="77777777" w:rsidTr="00EA6243">
        <w:trPr>
          <w:cantSplit/>
        </w:trPr>
        <w:tc>
          <w:tcPr>
            <w:tcW w:w="4077" w:type="dxa"/>
            <w:vAlign w:val="center"/>
          </w:tcPr>
          <w:p w14:paraId="502561D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528047F" w14:textId="77777777" w:rsidR="00E06F40" w:rsidRPr="00A006A0" w:rsidRDefault="005852B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3FC6FF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B19055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65FF1A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9C58F5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DC49AC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9EF142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3E405F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A71E4C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E61D00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97759F1" w14:textId="77777777" w:rsidR="00D13110" w:rsidRDefault="00D13110" w:rsidP="00D13110">
      <w:r>
        <w:t xml:space="preserve">Deutsche </w:t>
      </w:r>
      <w:proofErr w:type="spellStart"/>
      <w:r>
        <w:t>Forschungsgemeinschaft</w:t>
      </w:r>
      <w:proofErr w:type="spellEnd"/>
      <w:r>
        <w:t xml:space="preserve"> (DFG) (2005) Acrylic acid – MAK value documentation.</w:t>
      </w:r>
    </w:p>
    <w:p w14:paraId="32C23683" w14:textId="77777777" w:rsidR="003F46F8" w:rsidRDefault="003F46F8" w:rsidP="003F46F8">
      <w:r w:rsidRPr="003F46F8">
        <w:t xml:space="preserve">European Chemicals Agency (ECHA) (2002) </w:t>
      </w:r>
      <w:r>
        <w:t>European Union Risk Assessment Report</w:t>
      </w:r>
      <w:r w:rsidRPr="003F46F8">
        <w:t>.</w:t>
      </w:r>
      <w:r>
        <w:t xml:space="preserve"> </w:t>
      </w:r>
      <w:r w:rsidRPr="003F46F8">
        <w:t>EINECS No: 201-177-9</w:t>
      </w:r>
    </w:p>
    <w:p w14:paraId="5FB20FC3" w14:textId="77777777" w:rsidR="00D13110" w:rsidRDefault="00D13110" w:rsidP="00D13110">
      <w:r>
        <w:t xml:space="preserve">EU Scientific Committee </w:t>
      </w:r>
      <w:proofErr w:type="gramStart"/>
      <w:r>
        <w:t>on Occupational Exposure Limits (SCOEL) (2011) Recommendation from the Scientific Committee on Occupational Exposure Limits for acrylic acid</w:t>
      </w:r>
      <w:proofErr w:type="gramEnd"/>
      <w:r>
        <w:t>. SCOEL/SUM/128</w:t>
      </w:r>
    </w:p>
    <w:p w14:paraId="3831F136" w14:textId="636433AD" w:rsidR="00387C85" w:rsidRDefault="00387C85" w:rsidP="00387C85">
      <w:r>
        <w:t xml:space="preserve">UK Health and Safety Executive, (HSE) (2018) </w:t>
      </w:r>
      <w:r>
        <w:rPr>
          <w:i/>
        </w:rPr>
        <w:t>Acrylic Acid</w:t>
      </w:r>
      <w:r>
        <w:t xml:space="preserve"> – </w:t>
      </w:r>
      <w:r w:rsidRPr="00613DBB">
        <w:t>EH40/2005 Workplace Exposure Limits</w:t>
      </w:r>
      <w:r>
        <w:t xml:space="preserve">: Summary criteria for occupational exposure limits. </w:t>
      </w:r>
    </w:p>
    <w:p w14:paraId="4D139351" w14:textId="345D4BD0" w:rsidR="00D13110" w:rsidRDefault="003F46F8" w:rsidP="00D13110">
      <w:r w:rsidRPr="003F46F8">
        <w:t xml:space="preserve">National Industrial Chemicals Notification and </w:t>
      </w:r>
      <w:r>
        <w:t>Assessment Scheme (NICNAS) (2014</w:t>
      </w:r>
      <w:r w:rsidRPr="003F46F8">
        <w:t xml:space="preserve">) </w:t>
      </w:r>
      <w:r w:rsidRPr="00D13110">
        <w:t>2-Propenoic acid</w:t>
      </w:r>
      <w:r>
        <w:t xml:space="preserve">: </w:t>
      </w:r>
      <w:r w:rsidRPr="003F46F8">
        <w:t>Human health tier II assessment – IMAP report.</w:t>
      </w:r>
    </w:p>
    <w:p w14:paraId="03075E59" w14:textId="77777777" w:rsidR="003D1958" w:rsidRDefault="003D1958" w:rsidP="00D13110">
      <w:r w:rsidRPr="00710012">
        <w:t>US National Institute for Occupational Safety and Health (NIOSH) (</w:t>
      </w:r>
      <w:r w:rsidR="00421059">
        <w:t>1987</w:t>
      </w:r>
      <w:r w:rsidRPr="00710012">
        <w:t xml:space="preserve">) NIOSH Skin Notation Profiles: </w:t>
      </w:r>
      <w:r>
        <w:t>acrylic acid</w:t>
      </w:r>
      <w:r w:rsidRPr="00710012">
        <w:t>.</w:t>
      </w:r>
    </w:p>
    <w:p w14:paraId="4CBB4097" w14:textId="77777777" w:rsidR="003F46F8" w:rsidRDefault="003F46F8" w:rsidP="00D13110">
      <w:r w:rsidRPr="003F46F8">
        <w:t xml:space="preserve">UK Health </w:t>
      </w:r>
      <w:r>
        <w:t>and Safety Executive (HSE) (2018</w:t>
      </w:r>
      <w:r w:rsidRPr="003F46F8">
        <w:t xml:space="preserve">) </w:t>
      </w:r>
      <w:r>
        <w:t>Acrylic acid</w:t>
      </w:r>
      <w:r w:rsidRPr="003F46F8">
        <w:t xml:space="preserve"> – EH64: Summary criteria for occupational exposure limits.</w:t>
      </w:r>
    </w:p>
    <w:p w14:paraId="46A9CCE8" w14:textId="77777777" w:rsidR="003D1958" w:rsidRPr="00351FE0" w:rsidRDefault="003D1958" w:rsidP="00D13110"/>
    <w:sectPr w:rsidR="003D1958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F9A530" w16cid:durableId="20EBF6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D081B" w14:textId="77777777" w:rsidR="00BE11ED" w:rsidRDefault="00BE11ED" w:rsidP="00F43AD5">
      <w:pPr>
        <w:spacing w:after="0" w:line="240" w:lineRule="auto"/>
      </w:pPr>
      <w:r>
        <w:separator/>
      </w:r>
    </w:p>
  </w:endnote>
  <w:endnote w:type="continuationSeparator" w:id="0">
    <w:p w14:paraId="3C5A1ACC" w14:textId="77777777" w:rsidR="00BE11ED" w:rsidRDefault="00BE11E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03752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8A87CD" w14:textId="77777777" w:rsidR="008A36CF" w:rsidRDefault="00487C9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Acrylic Acid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79-10-7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4889E82" w14:textId="70658E2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852BF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08BB" w14:textId="77777777" w:rsidR="00BE11ED" w:rsidRDefault="00BE11ED" w:rsidP="00F43AD5">
      <w:pPr>
        <w:spacing w:after="0" w:line="240" w:lineRule="auto"/>
      </w:pPr>
      <w:r>
        <w:separator/>
      </w:r>
    </w:p>
  </w:footnote>
  <w:footnote w:type="continuationSeparator" w:id="0">
    <w:p w14:paraId="6D6CD206" w14:textId="77777777" w:rsidR="00BE11ED" w:rsidRDefault="00BE11E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7912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6208693" wp14:editId="28D76788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BEE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E865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691"/>
    <w:rsid w:val="00032B88"/>
    <w:rsid w:val="00046DF5"/>
    <w:rsid w:val="00052060"/>
    <w:rsid w:val="00052EF6"/>
    <w:rsid w:val="0005574A"/>
    <w:rsid w:val="00055FE1"/>
    <w:rsid w:val="00056EC2"/>
    <w:rsid w:val="00060B48"/>
    <w:rsid w:val="00067F32"/>
    <w:rsid w:val="00067F61"/>
    <w:rsid w:val="00070910"/>
    <w:rsid w:val="00071807"/>
    <w:rsid w:val="000803E1"/>
    <w:rsid w:val="00084513"/>
    <w:rsid w:val="00084859"/>
    <w:rsid w:val="00092D94"/>
    <w:rsid w:val="000A3E60"/>
    <w:rsid w:val="000B0868"/>
    <w:rsid w:val="000B3E12"/>
    <w:rsid w:val="000B3E78"/>
    <w:rsid w:val="000B7B48"/>
    <w:rsid w:val="000C096D"/>
    <w:rsid w:val="000C139A"/>
    <w:rsid w:val="000C2053"/>
    <w:rsid w:val="000C248C"/>
    <w:rsid w:val="000C47AA"/>
    <w:rsid w:val="000D291C"/>
    <w:rsid w:val="000E5A54"/>
    <w:rsid w:val="000E63D3"/>
    <w:rsid w:val="000E67CF"/>
    <w:rsid w:val="000F1393"/>
    <w:rsid w:val="0010461E"/>
    <w:rsid w:val="00106FAA"/>
    <w:rsid w:val="00112A8A"/>
    <w:rsid w:val="00113443"/>
    <w:rsid w:val="001269A7"/>
    <w:rsid w:val="00131092"/>
    <w:rsid w:val="00140E6A"/>
    <w:rsid w:val="00141822"/>
    <w:rsid w:val="00146545"/>
    <w:rsid w:val="00146B75"/>
    <w:rsid w:val="0015266D"/>
    <w:rsid w:val="0015288A"/>
    <w:rsid w:val="001535CC"/>
    <w:rsid w:val="001546A7"/>
    <w:rsid w:val="001600E6"/>
    <w:rsid w:val="00160F47"/>
    <w:rsid w:val="00173971"/>
    <w:rsid w:val="00177CA1"/>
    <w:rsid w:val="00183823"/>
    <w:rsid w:val="00183942"/>
    <w:rsid w:val="00192A46"/>
    <w:rsid w:val="001A009E"/>
    <w:rsid w:val="001A1287"/>
    <w:rsid w:val="001A3859"/>
    <w:rsid w:val="001A3C9D"/>
    <w:rsid w:val="001A43F8"/>
    <w:rsid w:val="001A4E30"/>
    <w:rsid w:val="001B32CC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004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1336"/>
    <w:rsid w:val="00276494"/>
    <w:rsid w:val="00277B0C"/>
    <w:rsid w:val="00283095"/>
    <w:rsid w:val="002B0368"/>
    <w:rsid w:val="002B1A2C"/>
    <w:rsid w:val="002B5CB2"/>
    <w:rsid w:val="002C34F2"/>
    <w:rsid w:val="002C58FF"/>
    <w:rsid w:val="002C7AFE"/>
    <w:rsid w:val="002D05D2"/>
    <w:rsid w:val="002D4683"/>
    <w:rsid w:val="002E0D61"/>
    <w:rsid w:val="002E4C7B"/>
    <w:rsid w:val="00300A72"/>
    <w:rsid w:val="0030740C"/>
    <w:rsid w:val="00315833"/>
    <w:rsid w:val="003160FF"/>
    <w:rsid w:val="003215EE"/>
    <w:rsid w:val="003224BF"/>
    <w:rsid w:val="003241A8"/>
    <w:rsid w:val="003253F0"/>
    <w:rsid w:val="00325762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34E3"/>
    <w:rsid w:val="00380A2F"/>
    <w:rsid w:val="00386093"/>
    <w:rsid w:val="00387C85"/>
    <w:rsid w:val="003904A4"/>
    <w:rsid w:val="00391841"/>
    <w:rsid w:val="00391B6D"/>
    <w:rsid w:val="003946B6"/>
    <w:rsid w:val="00394922"/>
    <w:rsid w:val="00394A1C"/>
    <w:rsid w:val="003A0E32"/>
    <w:rsid w:val="003A2B94"/>
    <w:rsid w:val="003A692F"/>
    <w:rsid w:val="003B387D"/>
    <w:rsid w:val="003B3E41"/>
    <w:rsid w:val="003C0D58"/>
    <w:rsid w:val="003D1958"/>
    <w:rsid w:val="003D4FA3"/>
    <w:rsid w:val="003E0807"/>
    <w:rsid w:val="003E51FB"/>
    <w:rsid w:val="003E6B39"/>
    <w:rsid w:val="003F07E1"/>
    <w:rsid w:val="003F46F8"/>
    <w:rsid w:val="004030BC"/>
    <w:rsid w:val="00403F7D"/>
    <w:rsid w:val="00406785"/>
    <w:rsid w:val="004079B4"/>
    <w:rsid w:val="00417544"/>
    <w:rsid w:val="00417A56"/>
    <w:rsid w:val="00420957"/>
    <w:rsid w:val="00420E05"/>
    <w:rsid w:val="00421059"/>
    <w:rsid w:val="00422A10"/>
    <w:rsid w:val="00430179"/>
    <w:rsid w:val="004414B5"/>
    <w:rsid w:val="00444482"/>
    <w:rsid w:val="00444B42"/>
    <w:rsid w:val="00445E44"/>
    <w:rsid w:val="00446608"/>
    <w:rsid w:val="004509E2"/>
    <w:rsid w:val="004515EE"/>
    <w:rsid w:val="004529F0"/>
    <w:rsid w:val="00452A72"/>
    <w:rsid w:val="00452AD4"/>
    <w:rsid w:val="00460A03"/>
    <w:rsid w:val="00472A11"/>
    <w:rsid w:val="00472AAD"/>
    <w:rsid w:val="00474E33"/>
    <w:rsid w:val="00476803"/>
    <w:rsid w:val="004820DD"/>
    <w:rsid w:val="00485BFD"/>
    <w:rsid w:val="004867A2"/>
    <w:rsid w:val="004873F2"/>
    <w:rsid w:val="00487C9C"/>
    <w:rsid w:val="00490D4C"/>
    <w:rsid w:val="004911B4"/>
    <w:rsid w:val="00493A35"/>
    <w:rsid w:val="0049527A"/>
    <w:rsid w:val="004966BF"/>
    <w:rsid w:val="00497984"/>
    <w:rsid w:val="004A5088"/>
    <w:rsid w:val="004B30F2"/>
    <w:rsid w:val="004C0241"/>
    <w:rsid w:val="004C1E3F"/>
    <w:rsid w:val="004C20E3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34"/>
    <w:rsid w:val="005142C4"/>
    <w:rsid w:val="0051509C"/>
    <w:rsid w:val="00524A81"/>
    <w:rsid w:val="005254BA"/>
    <w:rsid w:val="005272E2"/>
    <w:rsid w:val="0053108F"/>
    <w:rsid w:val="00532B56"/>
    <w:rsid w:val="00534B10"/>
    <w:rsid w:val="005446A2"/>
    <w:rsid w:val="00544D2F"/>
    <w:rsid w:val="00551BD8"/>
    <w:rsid w:val="00552DD2"/>
    <w:rsid w:val="005749F1"/>
    <w:rsid w:val="00581055"/>
    <w:rsid w:val="005852BF"/>
    <w:rsid w:val="00591E38"/>
    <w:rsid w:val="005A19C5"/>
    <w:rsid w:val="005A3034"/>
    <w:rsid w:val="005A462D"/>
    <w:rsid w:val="005B253B"/>
    <w:rsid w:val="005B771D"/>
    <w:rsid w:val="005C3455"/>
    <w:rsid w:val="005C5D16"/>
    <w:rsid w:val="005D3193"/>
    <w:rsid w:val="005D4A6E"/>
    <w:rsid w:val="005E6979"/>
    <w:rsid w:val="005E75CB"/>
    <w:rsid w:val="006013C1"/>
    <w:rsid w:val="00604357"/>
    <w:rsid w:val="0060669E"/>
    <w:rsid w:val="00610F2E"/>
    <w:rsid w:val="00611399"/>
    <w:rsid w:val="00624C4E"/>
    <w:rsid w:val="00625200"/>
    <w:rsid w:val="0062616C"/>
    <w:rsid w:val="006363A8"/>
    <w:rsid w:val="00636DB7"/>
    <w:rsid w:val="006414DF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2E37"/>
    <w:rsid w:val="006B160A"/>
    <w:rsid w:val="006B4E6C"/>
    <w:rsid w:val="006B50B6"/>
    <w:rsid w:val="006D79EA"/>
    <w:rsid w:val="006E51EC"/>
    <w:rsid w:val="006E5D05"/>
    <w:rsid w:val="00701053"/>
    <w:rsid w:val="00701507"/>
    <w:rsid w:val="00705813"/>
    <w:rsid w:val="00714021"/>
    <w:rsid w:val="00716A0F"/>
    <w:rsid w:val="00717D45"/>
    <w:rsid w:val="007208F7"/>
    <w:rsid w:val="007218AF"/>
    <w:rsid w:val="007365D1"/>
    <w:rsid w:val="00740E0E"/>
    <w:rsid w:val="00750212"/>
    <w:rsid w:val="00750F0F"/>
    <w:rsid w:val="00754779"/>
    <w:rsid w:val="0075716D"/>
    <w:rsid w:val="00765F14"/>
    <w:rsid w:val="00770DA2"/>
    <w:rsid w:val="00770E31"/>
    <w:rsid w:val="007723CF"/>
    <w:rsid w:val="007770F1"/>
    <w:rsid w:val="00783FB1"/>
    <w:rsid w:val="00784695"/>
    <w:rsid w:val="00785CDD"/>
    <w:rsid w:val="00791847"/>
    <w:rsid w:val="007925F0"/>
    <w:rsid w:val="007939B3"/>
    <w:rsid w:val="0079509C"/>
    <w:rsid w:val="00796708"/>
    <w:rsid w:val="007B1B42"/>
    <w:rsid w:val="007C225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539D"/>
    <w:rsid w:val="008014FE"/>
    <w:rsid w:val="00803F37"/>
    <w:rsid w:val="00804F5A"/>
    <w:rsid w:val="00810C6D"/>
    <w:rsid w:val="00812887"/>
    <w:rsid w:val="008265C3"/>
    <w:rsid w:val="00826F21"/>
    <w:rsid w:val="00834CC8"/>
    <w:rsid w:val="00835E00"/>
    <w:rsid w:val="008366D5"/>
    <w:rsid w:val="00837113"/>
    <w:rsid w:val="008414E4"/>
    <w:rsid w:val="00843E21"/>
    <w:rsid w:val="0084508E"/>
    <w:rsid w:val="00857A8A"/>
    <w:rsid w:val="00857BFD"/>
    <w:rsid w:val="008630EE"/>
    <w:rsid w:val="00863248"/>
    <w:rsid w:val="00864D13"/>
    <w:rsid w:val="00871CD5"/>
    <w:rsid w:val="008724C6"/>
    <w:rsid w:val="008745A2"/>
    <w:rsid w:val="008768A8"/>
    <w:rsid w:val="0088798F"/>
    <w:rsid w:val="00887E4B"/>
    <w:rsid w:val="008915C8"/>
    <w:rsid w:val="00893591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55B"/>
    <w:rsid w:val="008E7B64"/>
    <w:rsid w:val="008F5DCD"/>
    <w:rsid w:val="00900036"/>
    <w:rsid w:val="00900951"/>
    <w:rsid w:val="0090694A"/>
    <w:rsid w:val="009118A6"/>
    <w:rsid w:val="00916909"/>
    <w:rsid w:val="00916EC0"/>
    <w:rsid w:val="00920467"/>
    <w:rsid w:val="00921DE7"/>
    <w:rsid w:val="0092415D"/>
    <w:rsid w:val="0093041A"/>
    <w:rsid w:val="00930714"/>
    <w:rsid w:val="00931B03"/>
    <w:rsid w:val="009323B9"/>
    <w:rsid w:val="00932DCE"/>
    <w:rsid w:val="0093327E"/>
    <w:rsid w:val="00934028"/>
    <w:rsid w:val="0093563E"/>
    <w:rsid w:val="0093760E"/>
    <w:rsid w:val="00946044"/>
    <w:rsid w:val="0094660B"/>
    <w:rsid w:val="00946A33"/>
    <w:rsid w:val="0095260E"/>
    <w:rsid w:val="009578DD"/>
    <w:rsid w:val="00961124"/>
    <w:rsid w:val="009621B6"/>
    <w:rsid w:val="009626AA"/>
    <w:rsid w:val="0096727B"/>
    <w:rsid w:val="00974F2D"/>
    <w:rsid w:val="00977524"/>
    <w:rsid w:val="00977E88"/>
    <w:rsid w:val="00984920"/>
    <w:rsid w:val="0099303A"/>
    <w:rsid w:val="0099605B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06E40"/>
    <w:rsid w:val="00A10FCE"/>
    <w:rsid w:val="00A16D91"/>
    <w:rsid w:val="00A174CC"/>
    <w:rsid w:val="00A2073D"/>
    <w:rsid w:val="00A20751"/>
    <w:rsid w:val="00A20CB9"/>
    <w:rsid w:val="00A2216B"/>
    <w:rsid w:val="00A249E9"/>
    <w:rsid w:val="00A27E2D"/>
    <w:rsid w:val="00A31D99"/>
    <w:rsid w:val="00A357BA"/>
    <w:rsid w:val="00A35ADC"/>
    <w:rsid w:val="00A402A3"/>
    <w:rsid w:val="00A53681"/>
    <w:rsid w:val="00A633D4"/>
    <w:rsid w:val="00A6461A"/>
    <w:rsid w:val="00A64A56"/>
    <w:rsid w:val="00A761A1"/>
    <w:rsid w:val="00A82AB6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3BF5"/>
    <w:rsid w:val="00AC6D2F"/>
    <w:rsid w:val="00AD3030"/>
    <w:rsid w:val="00AE2745"/>
    <w:rsid w:val="00AE2F64"/>
    <w:rsid w:val="00AF42CB"/>
    <w:rsid w:val="00AF483F"/>
    <w:rsid w:val="00AF4B62"/>
    <w:rsid w:val="00AF5E07"/>
    <w:rsid w:val="00AF5F06"/>
    <w:rsid w:val="00B00A25"/>
    <w:rsid w:val="00B1257B"/>
    <w:rsid w:val="00B1422A"/>
    <w:rsid w:val="00B1765C"/>
    <w:rsid w:val="00B213C4"/>
    <w:rsid w:val="00B22C5A"/>
    <w:rsid w:val="00B27C6B"/>
    <w:rsid w:val="00B40C60"/>
    <w:rsid w:val="00B479A9"/>
    <w:rsid w:val="00B52EDF"/>
    <w:rsid w:val="00B57009"/>
    <w:rsid w:val="00B63356"/>
    <w:rsid w:val="00B7110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3197"/>
    <w:rsid w:val="00BC46E1"/>
    <w:rsid w:val="00BD499F"/>
    <w:rsid w:val="00BD56DE"/>
    <w:rsid w:val="00BE11ED"/>
    <w:rsid w:val="00BF2406"/>
    <w:rsid w:val="00C16315"/>
    <w:rsid w:val="00C17470"/>
    <w:rsid w:val="00C3091E"/>
    <w:rsid w:val="00C348B7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3CFA"/>
    <w:rsid w:val="00CA58FE"/>
    <w:rsid w:val="00CB1CB1"/>
    <w:rsid w:val="00CB6BC1"/>
    <w:rsid w:val="00CB6CB8"/>
    <w:rsid w:val="00CB6D12"/>
    <w:rsid w:val="00CC0006"/>
    <w:rsid w:val="00CC1A68"/>
    <w:rsid w:val="00CC2123"/>
    <w:rsid w:val="00CD2BFD"/>
    <w:rsid w:val="00CE5AD6"/>
    <w:rsid w:val="00CE617F"/>
    <w:rsid w:val="00CE78EF"/>
    <w:rsid w:val="00CF7FFE"/>
    <w:rsid w:val="00D048F7"/>
    <w:rsid w:val="00D0517E"/>
    <w:rsid w:val="00D13110"/>
    <w:rsid w:val="00D140FC"/>
    <w:rsid w:val="00D21D8C"/>
    <w:rsid w:val="00D31357"/>
    <w:rsid w:val="00D33220"/>
    <w:rsid w:val="00D334D1"/>
    <w:rsid w:val="00D44116"/>
    <w:rsid w:val="00D44C89"/>
    <w:rsid w:val="00D516CD"/>
    <w:rsid w:val="00D54ADC"/>
    <w:rsid w:val="00D57D04"/>
    <w:rsid w:val="00D61DCF"/>
    <w:rsid w:val="00D668E6"/>
    <w:rsid w:val="00D70670"/>
    <w:rsid w:val="00D73522"/>
    <w:rsid w:val="00D74D80"/>
    <w:rsid w:val="00D76624"/>
    <w:rsid w:val="00D87570"/>
    <w:rsid w:val="00D91CB9"/>
    <w:rsid w:val="00D97989"/>
    <w:rsid w:val="00D97D8D"/>
    <w:rsid w:val="00DA352E"/>
    <w:rsid w:val="00DB001C"/>
    <w:rsid w:val="00DC7694"/>
    <w:rsid w:val="00DD1BF6"/>
    <w:rsid w:val="00DD2F9B"/>
    <w:rsid w:val="00DE2513"/>
    <w:rsid w:val="00DE26E8"/>
    <w:rsid w:val="00DF0C47"/>
    <w:rsid w:val="00DF5935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5101"/>
    <w:rsid w:val="00E46BCB"/>
    <w:rsid w:val="00E51CAF"/>
    <w:rsid w:val="00E60F04"/>
    <w:rsid w:val="00E62AAC"/>
    <w:rsid w:val="00E657C0"/>
    <w:rsid w:val="00E67257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4CDF"/>
    <w:rsid w:val="00F47047"/>
    <w:rsid w:val="00F50C5D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482"/>
    <w:rsid w:val="00FB4E07"/>
    <w:rsid w:val="00FB6BE2"/>
    <w:rsid w:val="00FB755A"/>
    <w:rsid w:val="00FC0188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F9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87C9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AD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A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AD4"/>
    <w:rPr>
      <w:b/>
      <w:bCs/>
      <w:szCs w:val="20"/>
    </w:rPr>
  </w:style>
  <w:style w:type="character" w:customStyle="1" w:styleId="st1">
    <w:name w:val="st1"/>
    <w:basedOn w:val="DefaultParagraphFont"/>
    <w:rsid w:val="00D4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FCC82CD18D74E039119AC38A160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E911-17A0-4A9D-BCAD-A4D96CF57549}"/>
      </w:docPartPr>
      <w:docPartBody>
        <w:p w:rsidR="004378B7" w:rsidRDefault="00C54FB1" w:rsidP="00C54FB1">
          <w:pPr>
            <w:pStyle w:val="1FCC82CD18D74E039119AC38A16043A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83535025BFB46538155374C30E49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BDF-E608-4621-99EE-262C0622B875}"/>
      </w:docPartPr>
      <w:docPartBody>
        <w:p w:rsidR="004378B7" w:rsidRDefault="00C54FB1" w:rsidP="00C54FB1">
          <w:pPr>
            <w:pStyle w:val="683535025BFB46538155374C30E49C0B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4556B"/>
    <w:rsid w:val="00256838"/>
    <w:rsid w:val="004378B7"/>
    <w:rsid w:val="0045074A"/>
    <w:rsid w:val="00485429"/>
    <w:rsid w:val="005014F5"/>
    <w:rsid w:val="0072454D"/>
    <w:rsid w:val="00970CB3"/>
    <w:rsid w:val="00A14025"/>
    <w:rsid w:val="00C54FB1"/>
    <w:rsid w:val="00D21A9F"/>
    <w:rsid w:val="00D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FB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FCC82CD18D74E039119AC38A16043A1">
    <w:name w:val="1FCC82CD18D74E039119AC38A16043A1"/>
    <w:rsid w:val="00C54FB1"/>
  </w:style>
  <w:style w:type="paragraph" w:customStyle="1" w:styleId="683535025BFB46538155374C30E49C0B">
    <w:name w:val="683535025BFB46538155374C30E49C0B"/>
    <w:rsid w:val="00C54FB1"/>
  </w:style>
  <w:style w:type="paragraph" w:customStyle="1" w:styleId="F6E2053B2109462BB5378F440954B715">
    <w:name w:val="F6E2053B2109462BB5378F440954B715"/>
    <w:rsid w:val="00C54FB1"/>
  </w:style>
  <w:style w:type="paragraph" w:customStyle="1" w:styleId="EADBD56D1E6E4964B399AB3CC0AB7BAC">
    <w:name w:val="EADBD56D1E6E4964B399AB3CC0AB7BAC"/>
    <w:rsid w:val="00C54FB1"/>
  </w:style>
  <w:style w:type="paragraph" w:customStyle="1" w:styleId="A9E12FF33C3B408B95D7B0BAC7AC6C30">
    <w:name w:val="A9E12FF33C3B408B95D7B0BAC7AC6C30"/>
    <w:rsid w:val="00C54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FEB3-8765-4A9C-BB4B-1FEDC6E3A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7FB96-3D83-4EFD-9DFF-00B9C51E9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985C7-AEA4-428A-98D1-C655E9A97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0212D-EA89-465B-A4E6-E2307658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A0C07D18.dotm</Template>
  <TotalTime>0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2019-07-08T00:53:00Z</dcterms:created>
  <dcterms:modified xsi:type="dcterms:W3CDTF">2019-08-12T05:48:00Z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