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5464507"/>
    <w:p w14:paraId="080E7134" w14:textId="77777777" w:rsidR="00BD499F" w:rsidRPr="004C23F4" w:rsidRDefault="00E752A5" w:rsidP="00B40C60">
      <w:pPr>
        <w:pStyle w:val="Heading1"/>
        <w:jc w:val="center"/>
        <w:rPr>
          <w:rFonts w:ascii="Arial" w:hAnsi="Arial" w:cs="Arial"/>
        </w:rPr>
      </w:pPr>
      <w:sdt>
        <w:sdtPr>
          <w:rPr>
            <w:rFonts w:cs="Arial"/>
          </w:rPr>
          <w:alias w:val="NameofChemical"/>
          <w:tag w:val="NameofChemical"/>
          <w:id w:val="1425919599"/>
          <w:lock w:val="sdtLocked"/>
          <w:placeholder>
            <w:docPart w:val="CE1736E50B02464986D1BEC8B7ACDE96"/>
          </w:placeholder>
          <w:text/>
        </w:sdtPr>
        <w:sdtEndPr/>
        <w:sdtContent>
          <w:r w:rsidR="00B7145E">
            <w:rPr>
              <w:rFonts w:cs="Arial"/>
            </w:rPr>
            <w:t>Acrylonitri</w:t>
          </w:r>
          <w:r w:rsidR="00B7145E" w:rsidRPr="00B7145E">
            <w:rPr>
              <w:rFonts w:cs="Arial"/>
            </w:rPr>
            <w:t>le</w:t>
          </w:r>
        </w:sdtContent>
      </w:sdt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9"/>
        <w:gridCol w:w="5037"/>
      </w:tblGrid>
      <w:tr w:rsidR="00F43AD5" w:rsidRPr="004C23F4" w14:paraId="6B6CEB40" w14:textId="77777777" w:rsidTr="00B76A41">
        <w:trPr>
          <w:cantSplit/>
          <w:tblHeader/>
        </w:trPr>
        <w:tc>
          <w:tcPr>
            <w:tcW w:w="4077" w:type="dxa"/>
          </w:tcPr>
          <w:p w14:paraId="2D199ED9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4AEFC532" w14:textId="77777777" w:rsidR="00F43AD5" w:rsidRPr="00717D45" w:rsidRDefault="00B7145E" w:rsidP="00B76A41">
            <w:pPr>
              <w:pStyle w:val="Tablefont"/>
            </w:pPr>
            <w:r>
              <w:t>107-13-1</w:t>
            </w:r>
          </w:p>
        </w:tc>
      </w:tr>
      <w:tr w:rsidR="00F43AD5" w:rsidRPr="004C23F4" w14:paraId="001AF6B5" w14:textId="77777777" w:rsidTr="00B76A41">
        <w:trPr>
          <w:cantSplit/>
        </w:trPr>
        <w:tc>
          <w:tcPr>
            <w:tcW w:w="4077" w:type="dxa"/>
          </w:tcPr>
          <w:p w14:paraId="4C89D928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5F5CA461" w14:textId="77777777" w:rsidR="00F43AD5" w:rsidRPr="00717D45" w:rsidRDefault="00A761C9" w:rsidP="00B76A41">
            <w:pPr>
              <w:pStyle w:val="Tablefont"/>
            </w:pPr>
            <w:r>
              <w:t>Vinyl cyanide</w:t>
            </w:r>
            <w:r w:rsidR="00AE6A16">
              <w:t xml:space="preserve">, </w:t>
            </w:r>
            <w:r w:rsidR="00AE6A16">
              <w:rPr>
                <w:rFonts w:cs="Arial"/>
                <w:color w:val="000000"/>
                <w:sz w:val="18"/>
                <w:szCs w:val="18"/>
                <w:shd w:val="clear" w:color="auto" w:fill="F8F9FA"/>
              </w:rPr>
              <w:t>prop-2-enenitrile</w:t>
            </w:r>
          </w:p>
        </w:tc>
      </w:tr>
      <w:tr w:rsidR="00F43AD5" w:rsidRPr="004C23F4" w14:paraId="6CBA2C5C" w14:textId="77777777" w:rsidTr="00B76A41">
        <w:trPr>
          <w:cantSplit/>
        </w:trPr>
        <w:tc>
          <w:tcPr>
            <w:tcW w:w="4077" w:type="dxa"/>
          </w:tcPr>
          <w:p w14:paraId="25772C96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67F63E1F" w14:textId="77777777" w:rsidR="00F43AD5" w:rsidRPr="00717D45" w:rsidRDefault="00AE6A16" w:rsidP="00B76A41">
            <w:pPr>
              <w:pStyle w:val="Tablefont"/>
            </w:pPr>
            <w:r>
              <w:t>CH</w:t>
            </w:r>
            <w:r w:rsidRPr="004136F7">
              <w:rPr>
                <w:vertAlign w:val="subscript"/>
              </w:rPr>
              <w:t>2</w:t>
            </w:r>
            <w:r>
              <w:t>CHCN</w:t>
            </w:r>
          </w:p>
        </w:tc>
      </w:tr>
      <w:tr w:rsidR="00F43AD5" w:rsidRPr="004C23F4" w14:paraId="76738F19" w14:textId="77777777" w:rsidTr="00B76A41">
        <w:trPr>
          <w:cantSplit/>
        </w:trPr>
        <w:tc>
          <w:tcPr>
            <w:tcW w:w="4077" w:type="dxa"/>
          </w:tcPr>
          <w:p w14:paraId="3D44C45A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122D7F26" w14:textId="77777777" w:rsidR="00F43AD5" w:rsidRPr="00B40C60" w:rsidRDefault="00F43AD5" w:rsidP="00B76A41">
            <w:pPr>
              <w:pStyle w:val="Tablerowheading"/>
              <w:rPr>
                <w:b w:val="0"/>
              </w:rPr>
            </w:pPr>
          </w:p>
        </w:tc>
      </w:tr>
    </w:tbl>
    <w:p w14:paraId="4A45980F" w14:textId="005076CE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766768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06EE81F4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6AE75987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48628754" w14:textId="2525D957" w:rsidR="002C7AFE" w:rsidRPr="00AF0808" w:rsidRDefault="00AF0808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0.5</w:t>
            </w:r>
            <w:r w:rsidR="004D4A2E">
              <w:rPr>
                <w:b/>
              </w:rPr>
              <w:t xml:space="preserve"> </w:t>
            </w:r>
            <w:r>
              <w:rPr>
                <w:b/>
              </w:rPr>
              <w:t>ppb (</w:t>
            </w:r>
            <w:r w:rsidR="00BA5839" w:rsidRPr="00160595">
              <w:rPr>
                <w:b/>
              </w:rPr>
              <w:t>1.17</w:t>
            </w:r>
            <w:r w:rsidR="0042731A" w:rsidRPr="00160595">
              <w:rPr>
                <w:rFonts w:cs="Arial"/>
                <w:b/>
              </w:rPr>
              <w:t xml:space="preserve"> µg/</w:t>
            </w:r>
            <w:r w:rsidR="0042731A" w:rsidRPr="004136F7">
              <w:rPr>
                <w:rFonts w:cs="Arial"/>
                <w:b/>
              </w:rPr>
              <w:t>m</w:t>
            </w:r>
            <w:r w:rsidR="0042731A" w:rsidRPr="004136F7">
              <w:rPr>
                <w:rFonts w:cs="Arial"/>
                <w:b/>
                <w:vertAlign w:val="superscript"/>
              </w:rPr>
              <w:t>3</w:t>
            </w:r>
            <w:r>
              <w:rPr>
                <w:rFonts w:cs="Arial"/>
                <w:b/>
              </w:rPr>
              <w:t>)</w:t>
            </w:r>
          </w:p>
        </w:tc>
      </w:tr>
      <w:tr w:rsidR="002C7AFE" w:rsidRPr="004C23F4" w14:paraId="5B714E38" w14:textId="77777777" w:rsidTr="00921DE7">
        <w:trPr>
          <w:cantSplit/>
        </w:trPr>
        <w:tc>
          <w:tcPr>
            <w:tcW w:w="4077" w:type="dxa"/>
            <w:vAlign w:val="center"/>
          </w:tcPr>
          <w:p w14:paraId="06FC185B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103EFCB4" w14:textId="15F344D1" w:rsidR="002C7AFE" w:rsidRPr="00EB3D1B" w:rsidRDefault="00240C76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06C011BA" w14:textId="77777777" w:rsidTr="00921DE7">
        <w:trPr>
          <w:cantSplit/>
        </w:trPr>
        <w:tc>
          <w:tcPr>
            <w:tcW w:w="4077" w:type="dxa"/>
            <w:vAlign w:val="center"/>
          </w:tcPr>
          <w:p w14:paraId="24D2A977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40BBFC05" w14:textId="30A3CC49" w:rsidR="002C7AFE" w:rsidRPr="00EB3D1B" w:rsidRDefault="00240C76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1185E1F3" w14:textId="77777777" w:rsidTr="00A2073D">
        <w:trPr>
          <w:cantSplit/>
        </w:trPr>
        <w:tc>
          <w:tcPr>
            <w:tcW w:w="4077" w:type="dxa"/>
          </w:tcPr>
          <w:p w14:paraId="1174D21B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49AD1EDD" w14:textId="77777777" w:rsidR="002C7AFE" w:rsidRPr="00EB3D1B" w:rsidRDefault="00BA5839" w:rsidP="008A36CF">
            <w:pPr>
              <w:pStyle w:val="Tablefont"/>
              <w:rPr>
                <w:b/>
              </w:rPr>
            </w:pPr>
            <w:proofErr w:type="spellStart"/>
            <w:r>
              <w:rPr>
                <w:b/>
              </w:rPr>
              <w:t>Carc</w:t>
            </w:r>
            <w:proofErr w:type="spellEnd"/>
            <w:r>
              <w:rPr>
                <w:b/>
              </w:rPr>
              <w:t>. 1B</w:t>
            </w:r>
            <w:r w:rsidR="00AE6A16">
              <w:rPr>
                <w:b/>
              </w:rPr>
              <w:t>,</w:t>
            </w:r>
            <w:r w:rsidR="00160595">
              <w:rPr>
                <w:b/>
              </w:rPr>
              <w:t xml:space="preserve"> </w:t>
            </w:r>
            <w:r w:rsidR="00563C61">
              <w:rPr>
                <w:b/>
              </w:rPr>
              <w:t>Sk</w:t>
            </w:r>
            <w:r w:rsidR="00F813F1">
              <w:rPr>
                <w:b/>
              </w:rPr>
              <w:t>.</w:t>
            </w:r>
            <w:r w:rsidR="00E61BFB">
              <w:rPr>
                <w:b/>
              </w:rPr>
              <w:t>, DSEN</w:t>
            </w:r>
          </w:p>
        </w:tc>
      </w:tr>
      <w:tr w:rsidR="002C7AFE" w:rsidRPr="004C23F4" w14:paraId="71086EA4" w14:textId="77777777" w:rsidTr="00921DE7">
        <w:trPr>
          <w:cantSplit/>
        </w:trPr>
        <w:tc>
          <w:tcPr>
            <w:tcW w:w="4077" w:type="dxa"/>
            <w:vAlign w:val="center"/>
          </w:tcPr>
          <w:p w14:paraId="3ED4AC6C" w14:textId="6857C8D6" w:rsidR="00F10C97" w:rsidRPr="002C58FF" w:rsidRDefault="00921DE7" w:rsidP="00E752A5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7FE78C90" w14:textId="16E0D581" w:rsidR="002C7AFE" w:rsidRPr="00EB3D1B" w:rsidRDefault="00240C76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E752A5" w:rsidRPr="004C23F4" w14:paraId="3E4438CF" w14:textId="77777777" w:rsidTr="00E752A5">
        <w:trPr>
          <w:cantSplit/>
        </w:trPr>
        <w:tc>
          <w:tcPr>
            <w:tcW w:w="4077" w:type="dxa"/>
          </w:tcPr>
          <w:p w14:paraId="1CD4EC70" w14:textId="1106B1A3" w:rsidR="00E752A5" w:rsidRDefault="00E752A5" w:rsidP="00E752A5">
            <w:pPr>
              <w:pStyle w:val="Tablerowright"/>
            </w:pPr>
            <w:bookmarkStart w:id="1" w:name="_GoBack" w:colFirst="0" w:colLast="0"/>
            <w:r>
              <w:t>Sampling and analysis:</w:t>
            </w:r>
          </w:p>
        </w:tc>
        <w:tc>
          <w:tcPr>
            <w:tcW w:w="5165" w:type="dxa"/>
          </w:tcPr>
          <w:p w14:paraId="2F7F35EB" w14:textId="52FE2B22" w:rsidR="00E752A5" w:rsidRPr="00E752A5" w:rsidRDefault="00E752A5" w:rsidP="00017C82">
            <w:pPr>
              <w:pStyle w:val="Tablefont"/>
            </w:pPr>
            <w:r w:rsidRPr="00E752A5">
              <w:t>The recommended value is below the current limit of detection for available sampling and analysis techniques.</w:t>
            </w:r>
          </w:p>
        </w:tc>
      </w:tr>
    </w:tbl>
    <w:bookmarkEnd w:id="1"/>
    <w:p w14:paraId="6B896D01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1227C111" w14:textId="695F8812" w:rsidR="00BA5839" w:rsidRPr="004C23F4" w:rsidRDefault="00BA5839" w:rsidP="00BA5839">
      <w:pPr>
        <w:rPr>
          <w:rFonts w:cs="Arial"/>
        </w:rPr>
      </w:pPr>
      <w:r>
        <w:rPr>
          <w:rFonts w:cs="Arial"/>
        </w:rPr>
        <w:t xml:space="preserve">A TWA of </w:t>
      </w:r>
      <w:r w:rsidR="00DB5CC6">
        <w:rPr>
          <w:rFonts w:cs="Arial"/>
        </w:rPr>
        <w:t>0.5</w:t>
      </w:r>
      <w:r w:rsidR="003848EF">
        <w:rPr>
          <w:rFonts w:cs="Arial"/>
        </w:rPr>
        <w:t xml:space="preserve"> </w:t>
      </w:r>
      <w:r w:rsidR="00DB5CC6">
        <w:rPr>
          <w:rFonts w:cs="Arial"/>
        </w:rPr>
        <w:t>ppb (</w:t>
      </w:r>
      <w:r>
        <w:rPr>
          <w:rFonts w:cs="Arial"/>
        </w:rPr>
        <w:t xml:space="preserve">1.17 </w:t>
      </w:r>
      <w:r w:rsidRPr="00184CC3">
        <w:rPr>
          <w:rFonts w:cs="Arial"/>
        </w:rPr>
        <w:t>µg/m</w:t>
      </w:r>
      <w:r w:rsidRPr="00184CC3">
        <w:rPr>
          <w:rFonts w:cs="Arial"/>
          <w:vertAlign w:val="superscript"/>
        </w:rPr>
        <w:t>3</w:t>
      </w:r>
      <w:r w:rsidR="00DB5CC6">
        <w:rPr>
          <w:rFonts w:cs="Arial"/>
        </w:rPr>
        <w:t xml:space="preserve">) </w:t>
      </w:r>
      <w:proofErr w:type="gramStart"/>
      <w:r>
        <w:rPr>
          <w:rFonts w:cs="Arial"/>
        </w:rPr>
        <w:t>is recommended</w:t>
      </w:r>
      <w:proofErr w:type="gramEnd"/>
      <w:r>
        <w:rPr>
          <w:rFonts w:cs="Arial"/>
        </w:rPr>
        <w:t xml:space="preserve"> to protect </w:t>
      </w:r>
      <w:r w:rsidR="00ED36F7">
        <w:rPr>
          <w:rFonts w:cs="Arial"/>
        </w:rPr>
        <w:t xml:space="preserve">for </w:t>
      </w:r>
      <w:r>
        <w:rPr>
          <w:rFonts w:cs="Arial"/>
        </w:rPr>
        <w:t>excess cancers in workers exposed to acrylonitrile</w:t>
      </w:r>
      <w:r w:rsidR="003848EF">
        <w:rPr>
          <w:rFonts w:cs="Arial"/>
        </w:rPr>
        <w:t xml:space="preserve">. </w:t>
      </w:r>
      <w:r w:rsidR="00D16AF5">
        <w:rPr>
          <w:rFonts w:cs="Arial"/>
        </w:rPr>
        <w:t>The</w:t>
      </w:r>
      <w:r w:rsidR="003848EF">
        <w:rPr>
          <w:rFonts w:cs="Arial"/>
        </w:rPr>
        <w:t xml:space="preserve"> TWA</w:t>
      </w:r>
      <w:r>
        <w:rPr>
          <w:rFonts w:cs="Arial"/>
        </w:rPr>
        <w:t xml:space="preserve"> is </w:t>
      </w:r>
      <w:r w:rsidR="00D16AF5">
        <w:rPr>
          <w:rFonts w:cs="Arial"/>
        </w:rPr>
        <w:t xml:space="preserve">also </w:t>
      </w:r>
      <w:r>
        <w:rPr>
          <w:rFonts w:cs="Arial"/>
        </w:rPr>
        <w:t xml:space="preserve">considered </w:t>
      </w:r>
      <w:proofErr w:type="gramStart"/>
      <w:r>
        <w:rPr>
          <w:rFonts w:cs="Arial"/>
        </w:rPr>
        <w:t>to</w:t>
      </w:r>
      <w:r w:rsidR="003848EF">
        <w:rPr>
          <w:rFonts w:cs="Arial"/>
        </w:rPr>
        <w:t xml:space="preserve"> </w:t>
      </w:r>
      <w:r>
        <w:rPr>
          <w:rFonts w:cs="Arial"/>
        </w:rPr>
        <w:t>be protective</w:t>
      </w:r>
      <w:proofErr w:type="gramEnd"/>
      <w:r>
        <w:rPr>
          <w:rFonts w:cs="Arial"/>
        </w:rPr>
        <w:t xml:space="preserve"> of respiratory and central nervous </w:t>
      </w:r>
      <w:r w:rsidR="00AF19D9">
        <w:rPr>
          <w:rFonts w:cs="Arial"/>
        </w:rPr>
        <w:t xml:space="preserve">system </w:t>
      </w:r>
      <w:r>
        <w:rPr>
          <w:rFonts w:cs="Arial"/>
        </w:rPr>
        <w:t>effects.</w:t>
      </w:r>
    </w:p>
    <w:p w14:paraId="1A266CD7" w14:textId="77777777" w:rsidR="00C7155E" w:rsidRPr="004C23F4" w:rsidRDefault="00F10C97" w:rsidP="003365A5">
      <w:pPr>
        <w:pStyle w:val="Heading2"/>
      </w:pPr>
      <w:r>
        <w:t>Discussion and conclusions</w:t>
      </w:r>
    </w:p>
    <w:p w14:paraId="40FD7F3A" w14:textId="10C219C9" w:rsidR="00013056" w:rsidRDefault="00771B8A" w:rsidP="00FB2C90">
      <w:r>
        <w:t>Evidence in animal studies</w:t>
      </w:r>
      <w:r w:rsidR="003C638F">
        <w:t xml:space="preserve"> show</w:t>
      </w:r>
      <w:r w:rsidR="003848EF">
        <w:t>s</w:t>
      </w:r>
      <w:r w:rsidR="003C638F">
        <w:t xml:space="preserve"> that acrylonitrile is carcinogenic with positive results from adequately conducted mutagenicity tests</w:t>
      </w:r>
      <w:r w:rsidR="00EB72AB">
        <w:t xml:space="preserve">. </w:t>
      </w:r>
      <w:r w:rsidR="003216E0">
        <w:t xml:space="preserve">It </w:t>
      </w:r>
      <w:proofErr w:type="gramStart"/>
      <w:r w:rsidR="003216E0">
        <w:t>is noted</w:t>
      </w:r>
      <w:proofErr w:type="gramEnd"/>
      <w:r w:rsidR="003216E0">
        <w:t xml:space="preserve"> that there is an unknown relevance for these carcinogenic effects in humans (SCOEL, 2008). </w:t>
      </w:r>
      <w:r w:rsidR="00EB72AB">
        <w:t>A clear mechanism for tumour formation cannot be determined</w:t>
      </w:r>
      <w:r w:rsidR="003848EF">
        <w:t>.</w:t>
      </w:r>
      <w:r w:rsidR="00EB72AB">
        <w:t xml:space="preserve"> </w:t>
      </w:r>
      <w:r w:rsidR="003848EF">
        <w:t>H</w:t>
      </w:r>
      <w:r w:rsidR="00EB72AB">
        <w:t>owever</w:t>
      </w:r>
      <w:r w:rsidR="00087445">
        <w:t>,</w:t>
      </w:r>
      <w:r w:rsidR="00EB72AB">
        <w:t xml:space="preserve"> </w:t>
      </w:r>
      <w:proofErr w:type="spellStart"/>
      <w:r w:rsidR="00EB72AB">
        <w:t>genotoxicity</w:t>
      </w:r>
      <w:proofErr w:type="spellEnd"/>
      <w:r w:rsidR="00EB72AB">
        <w:t xml:space="preserve"> </w:t>
      </w:r>
      <w:proofErr w:type="gramStart"/>
      <w:r w:rsidR="00EB72AB">
        <w:t>cannot not be eliminated</w:t>
      </w:r>
      <w:proofErr w:type="gramEnd"/>
      <w:r w:rsidR="00EB72AB">
        <w:t>. As such, acrylonitrile</w:t>
      </w:r>
      <w:r w:rsidR="003C638F" w:rsidRPr="00BA5839">
        <w:t xml:space="preserve"> is </w:t>
      </w:r>
      <w:r w:rsidR="003216E0">
        <w:t>assumed</w:t>
      </w:r>
      <w:r w:rsidR="003216E0" w:rsidRPr="00BA5839">
        <w:t xml:space="preserve"> </w:t>
      </w:r>
      <w:proofErr w:type="gramStart"/>
      <w:r w:rsidR="003C638F" w:rsidRPr="00BA5839">
        <w:t>to be a</w:t>
      </w:r>
      <w:proofErr w:type="gramEnd"/>
      <w:r w:rsidR="003C638F" w:rsidRPr="00BA5839">
        <w:t xml:space="preserve"> non-threshold based g</w:t>
      </w:r>
      <w:r w:rsidR="00903170">
        <w:t>enotoxic carcinogen (</w:t>
      </w:r>
      <w:r w:rsidR="00A41826">
        <w:t>DFG 2007; SCOEL 2008; ACGIH, 2018; ECHA, 2018</w:t>
      </w:r>
      <w:r w:rsidR="00EB72AB">
        <w:t>)</w:t>
      </w:r>
      <w:r w:rsidR="003C638F" w:rsidRPr="00BA5839">
        <w:t xml:space="preserve">. </w:t>
      </w:r>
    </w:p>
    <w:p w14:paraId="4F2A2868" w14:textId="0163FA3B" w:rsidR="003C638F" w:rsidRDefault="00AF19D9" w:rsidP="00FB2C90">
      <w:r>
        <w:t>T</w:t>
      </w:r>
      <w:r w:rsidR="003C638F" w:rsidRPr="00BA5839">
        <w:t xml:space="preserve">he </w:t>
      </w:r>
      <w:r>
        <w:t>recommended</w:t>
      </w:r>
      <w:r w:rsidRPr="00BA5839">
        <w:t xml:space="preserve"> </w:t>
      </w:r>
      <w:r w:rsidR="003C638F" w:rsidRPr="00BA5839">
        <w:t xml:space="preserve">TWA </w:t>
      </w:r>
      <w:r w:rsidR="003216E0">
        <w:t>is associated with</w:t>
      </w:r>
      <w:r w:rsidR="003C638F" w:rsidRPr="00BA5839">
        <w:t xml:space="preserve"> a minimal cancer risk</w:t>
      </w:r>
      <w:r w:rsidR="003216E0">
        <w:t>. The recommended TWA was calculated applying</w:t>
      </w:r>
      <w:r w:rsidR="003827EF">
        <w:t xml:space="preserve"> an</w:t>
      </w:r>
      <w:r w:rsidR="003848EF" w:rsidRPr="00BA5839">
        <w:t xml:space="preserve"> </w:t>
      </w:r>
      <w:r w:rsidR="003C638F" w:rsidRPr="00BA5839">
        <w:t>inhalati</w:t>
      </w:r>
      <w:r w:rsidR="003827EF">
        <w:t xml:space="preserve">on slope factor </w:t>
      </w:r>
      <w:r w:rsidR="00A41826">
        <w:t xml:space="preserve">derived </w:t>
      </w:r>
      <w:r w:rsidR="00AA769D">
        <w:t>from a relative risk model</w:t>
      </w:r>
      <w:r w:rsidR="003216E0">
        <w:t xml:space="preserve"> based on</w:t>
      </w:r>
      <w:r w:rsidR="003827EF">
        <w:t xml:space="preserve"> quality </w:t>
      </w:r>
      <w:r w:rsidR="00A41826">
        <w:t xml:space="preserve">of </w:t>
      </w:r>
      <w:r w:rsidR="003827EF">
        <w:t>epidemiological data</w:t>
      </w:r>
      <w:r w:rsidR="003C638F" w:rsidRPr="00BA5839">
        <w:t xml:space="preserve"> from a large, high-quality study</w:t>
      </w:r>
      <w:r>
        <w:t xml:space="preserve"> of</w:t>
      </w:r>
      <w:r w:rsidR="003C638F" w:rsidRPr="00BA5839">
        <w:t xml:space="preserve"> </w:t>
      </w:r>
      <w:r w:rsidR="00756013">
        <w:t>acrylonitrile</w:t>
      </w:r>
      <w:r w:rsidR="003C638F" w:rsidRPr="00BA5839">
        <w:t xml:space="preserve"> exposure </w:t>
      </w:r>
      <w:r w:rsidR="00756013">
        <w:t>in an occupational setting</w:t>
      </w:r>
      <w:r w:rsidR="003C638F" w:rsidRPr="00BA5839">
        <w:t xml:space="preserve"> </w:t>
      </w:r>
      <w:r w:rsidR="00903170">
        <w:t>(US</w:t>
      </w:r>
      <w:r w:rsidR="004D4A2E">
        <w:t xml:space="preserve"> </w:t>
      </w:r>
      <w:r w:rsidR="00903170">
        <w:t>EPA, 1987</w:t>
      </w:r>
      <w:r w:rsidR="003C638F" w:rsidRPr="00BA5839">
        <w:t>).</w:t>
      </w:r>
    </w:p>
    <w:p w14:paraId="1F5CEF61" w14:textId="14ABFD3F" w:rsidR="003C638F" w:rsidRDefault="00A41826" w:rsidP="00FB2C90">
      <w:r>
        <w:t>Inhalation of a</w:t>
      </w:r>
      <w:r w:rsidR="003C638F">
        <w:t xml:space="preserve">crylonitrile </w:t>
      </w:r>
      <w:r w:rsidR="003848EF">
        <w:t>i</w:t>
      </w:r>
      <w:r w:rsidR="003C638F">
        <w:t>s toxic to the respiratory and central nervous systems</w:t>
      </w:r>
      <w:r>
        <w:t xml:space="preserve"> (ACGIH, 2018)</w:t>
      </w:r>
      <w:r w:rsidR="003C638F">
        <w:t>. Additionally, c</w:t>
      </w:r>
      <w:r w:rsidR="003C638F" w:rsidRPr="003C638F">
        <w:t xml:space="preserve">ase reports </w:t>
      </w:r>
      <w:r w:rsidR="003C638F">
        <w:t>have document</w:t>
      </w:r>
      <w:r w:rsidR="00E1772E">
        <w:t>ed</w:t>
      </w:r>
      <w:r w:rsidR="003C638F">
        <w:t xml:space="preserve"> </w:t>
      </w:r>
      <w:r w:rsidR="003C638F" w:rsidRPr="003C638F">
        <w:t xml:space="preserve">systemic toxicity and death </w:t>
      </w:r>
      <w:r w:rsidR="003C638F">
        <w:t>following accidental</w:t>
      </w:r>
      <w:r w:rsidR="003C638F" w:rsidRPr="003C638F">
        <w:t xml:space="preserve"> d</w:t>
      </w:r>
      <w:r w:rsidR="003C638F">
        <w:t xml:space="preserve">ermal exposure </w:t>
      </w:r>
      <w:r w:rsidR="00903170">
        <w:t>(ACGIH, 2018)</w:t>
      </w:r>
      <w:r w:rsidR="003C638F">
        <w:t>.</w:t>
      </w:r>
      <w:r w:rsidR="00F318A2">
        <w:t xml:space="preserve"> The recommended TWA </w:t>
      </w:r>
      <w:r w:rsidR="00576910">
        <w:t>is</w:t>
      </w:r>
      <w:r w:rsidR="00F318A2">
        <w:t xml:space="preserve"> protective of these non-can</w:t>
      </w:r>
      <w:r w:rsidR="00865FAD">
        <w:t>c</w:t>
      </w:r>
      <w:r w:rsidR="00F318A2">
        <w:t>er health effects.</w:t>
      </w:r>
    </w:p>
    <w:p w14:paraId="4B582EA9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1102DBBE" w14:textId="77777777" w:rsidR="00F318A2" w:rsidRPr="00F318A2" w:rsidRDefault="00A43C5A" w:rsidP="00F318A2">
      <w:pPr>
        <w:rPr>
          <w:rFonts w:cs="Arial"/>
        </w:rPr>
      </w:pPr>
      <w:r>
        <w:rPr>
          <w:rFonts w:cs="Arial"/>
        </w:rPr>
        <w:t>C</w:t>
      </w:r>
      <w:r w:rsidR="00F318A2" w:rsidRPr="00F318A2">
        <w:rPr>
          <w:rFonts w:cs="Arial"/>
        </w:rPr>
        <w:t>lassified as a category 1</w:t>
      </w:r>
      <w:r w:rsidR="00F318A2">
        <w:rPr>
          <w:rFonts w:cs="Arial"/>
        </w:rPr>
        <w:t>B</w:t>
      </w:r>
      <w:r w:rsidR="00F318A2" w:rsidRPr="00F318A2">
        <w:rPr>
          <w:rFonts w:cs="Arial"/>
        </w:rPr>
        <w:t xml:space="preserve"> carcinogen according to the Globally Harmoni</w:t>
      </w:r>
      <w:r w:rsidR="00F813F1">
        <w:rPr>
          <w:rFonts w:cs="Arial"/>
        </w:rPr>
        <w:t>z</w:t>
      </w:r>
      <w:r w:rsidR="00F318A2" w:rsidRPr="00F318A2">
        <w:rPr>
          <w:rFonts w:cs="Arial"/>
        </w:rPr>
        <w:t xml:space="preserve">ed System of Classification and Labelling on Chemicals (GHS). </w:t>
      </w:r>
    </w:p>
    <w:p w14:paraId="35B4D367" w14:textId="6B99FA95" w:rsidR="00F318A2" w:rsidRPr="00F318A2" w:rsidRDefault="00A43C5A" w:rsidP="00F318A2">
      <w:pPr>
        <w:rPr>
          <w:rFonts w:cs="Arial"/>
        </w:rPr>
      </w:pPr>
      <w:r>
        <w:rPr>
          <w:rFonts w:cs="Arial"/>
        </w:rPr>
        <w:t>C</w:t>
      </w:r>
      <w:r w:rsidR="00F318A2" w:rsidRPr="00F318A2">
        <w:rPr>
          <w:rFonts w:cs="Arial"/>
        </w:rPr>
        <w:t xml:space="preserve">lassified as a skin sensitiser </w:t>
      </w:r>
      <w:r w:rsidR="00013056">
        <w:rPr>
          <w:rFonts w:cs="Arial"/>
        </w:rPr>
        <w:t xml:space="preserve">but </w:t>
      </w:r>
      <w:r w:rsidR="00577338">
        <w:rPr>
          <w:rFonts w:cs="Arial"/>
        </w:rPr>
        <w:t xml:space="preserve">not a respiratory sensitiser </w:t>
      </w:r>
      <w:r w:rsidR="00F318A2" w:rsidRPr="00F318A2">
        <w:rPr>
          <w:rFonts w:cs="Arial"/>
        </w:rPr>
        <w:t>according to the GHS.</w:t>
      </w:r>
    </w:p>
    <w:p w14:paraId="751EE5EA" w14:textId="753C2838" w:rsidR="00F318A2" w:rsidRPr="00F318A2" w:rsidRDefault="00F318A2" w:rsidP="00F318A2">
      <w:pPr>
        <w:rPr>
          <w:rFonts w:cs="Arial"/>
        </w:rPr>
      </w:pPr>
      <w:r w:rsidRPr="00F318A2">
        <w:rPr>
          <w:rFonts w:cs="Arial"/>
        </w:rPr>
        <w:t xml:space="preserve">A skin notation </w:t>
      </w:r>
      <w:proofErr w:type="gramStart"/>
      <w:r w:rsidR="00087445">
        <w:rPr>
          <w:rFonts w:cs="Arial"/>
        </w:rPr>
        <w:t>is recommended</w:t>
      </w:r>
      <w:proofErr w:type="gramEnd"/>
      <w:r w:rsidRPr="00F318A2">
        <w:rPr>
          <w:rFonts w:cs="Arial"/>
        </w:rPr>
        <w:t xml:space="preserve"> based on sufficient evidence in humans demonstrating systemic effects following dermal exposure.</w:t>
      </w:r>
    </w:p>
    <w:p w14:paraId="3BC8D5C9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default" r:id="rId11"/>
          <w:footerReference w:type="default" r:id="rId12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22BE40E9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77CCE9A8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50288960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0B2CC90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1415ADD6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E2B096F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A761C9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A761C9" w:rsidRPr="00A761C9">
                  <w:t xml:space="preserve">TWA: 2 ppm </w:t>
                </w:r>
                <w:r w:rsidR="00A761C9">
                  <w:t>(</w:t>
                </w:r>
                <w:r w:rsidR="00A761C9" w:rsidRPr="00A761C9">
                  <w:t>4.3 mg/m</w:t>
                </w:r>
                <w:r w:rsidR="00A761C9">
                  <w:rPr>
                    <w:vertAlign w:val="superscript"/>
                  </w:rPr>
                  <w:t>3</w:t>
                </w:r>
                <w:r w:rsidR="00A761C9">
                  <w:t>)</w:t>
                </w:r>
              </w:sdtContent>
            </w:sdt>
          </w:p>
        </w:tc>
      </w:tr>
      <w:tr w:rsidR="00C978F0" w:rsidRPr="00DA352E" w14:paraId="77E4810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EBA9B4C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42F5DAF0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437FD1C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4E4BD6">
                  <w:t>2016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sdt>
                  <w:sdtPr>
                    <w:alias w:val="SWA WES"/>
                    <w:tag w:val="SWA WES"/>
                    <w:id w:val="311299550"/>
                    <w:placeholder>
                      <w:docPart w:val="6D8D8041F89E468FB77708C9FD80C162"/>
                    </w:placeholder>
                  </w:sdtPr>
                  <w:sdtEndPr/>
                  <w:sdtContent>
                    <w:r w:rsidR="004E4BD6">
                      <w:t>TLV-</w:t>
                    </w:r>
                    <w:r w:rsidR="004E4BD6" w:rsidRPr="00A761C9">
                      <w:t xml:space="preserve">TWA: 2 ppm </w:t>
                    </w:r>
                    <w:r w:rsidR="004E4BD6">
                      <w:t>(</w:t>
                    </w:r>
                    <w:r w:rsidR="004E4BD6" w:rsidRPr="00A761C9">
                      <w:t>4.3 mg/m</w:t>
                    </w:r>
                    <w:r w:rsidR="004E4BD6">
                      <w:rPr>
                        <w:vertAlign w:val="superscript"/>
                      </w:rPr>
                      <w:t>3</w:t>
                    </w:r>
                    <w:r w:rsidR="004E4BD6">
                      <w:t>)</w:t>
                    </w:r>
                  </w:sdtContent>
                </w:sdt>
              </w:sdtContent>
            </w:sdt>
          </w:p>
        </w:tc>
      </w:tr>
      <w:tr w:rsidR="00C978F0" w:rsidRPr="00DA352E" w14:paraId="311204B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CDCF2C4" w14:textId="6908EB85" w:rsidR="00C978F0" w:rsidRDefault="004E4BD6" w:rsidP="003365A5">
            <w:pPr>
              <w:pStyle w:val="Tabletextprimarysource"/>
            </w:pPr>
            <w:r>
              <w:t xml:space="preserve">The TLV-TWA </w:t>
            </w:r>
            <w:proofErr w:type="gramStart"/>
            <w:r w:rsidR="00087445">
              <w:t>is</w:t>
            </w:r>
            <w:r>
              <w:t xml:space="preserve"> recommended</w:t>
            </w:r>
            <w:proofErr w:type="gramEnd"/>
            <w:r>
              <w:t xml:space="preserve"> to reduce the potential for headache, nausea, respiratory difficulties</w:t>
            </w:r>
            <w:r w:rsidR="00FC1CDC">
              <w:t xml:space="preserve"> and </w:t>
            </w:r>
            <w:r w:rsidR="00C17E42">
              <w:t>CNS</w:t>
            </w:r>
            <w:r w:rsidR="00FC1CDC">
              <w:t xml:space="preserve"> effects</w:t>
            </w:r>
            <w:r w:rsidR="00C17E42">
              <w:t>.</w:t>
            </w:r>
          </w:p>
          <w:p w14:paraId="7141F28A" w14:textId="0C11406A" w:rsidR="00ED36F7" w:rsidRDefault="00C17E42" w:rsidP="003365A5">
            <w:pPr>
              <w:pStyle w:val="Tabletextprimarysource"/>
            </w:pPr>
            <w:r>
              <w:t>Summary of data:</w:t>
            </w:r>
          </w:p>
          <w:p w14:paraId="646015F3" w14:textId="57512339" w:rsidR="00FA17CA" w:rsidRDefault="00FA17CA" w:rsidP="003365A5">
            <w:pPr>
              <w:pStyle w:val="Tabletextprimarysource"/>
            </w:pPr>
            <w:r>
              <w:t>Human data:</w:t>
            </w:r>
          </w:p>
          <w:p w14:paraId="6621562B" w14:textId="77777777" w:rsidR="00C17E42" w:rsidRDefault="00C17E42" w:rsidP="00013056">
            <w:pPr>
              <w:pStyle w:val="ListBullet"/>
              <w:tabs>
                <w:tab w:val="clear" w:pos="360"/>
              </w:tabs>
              <w:ind w:left="731"/>
            </w:pPr>
            <w:r>
              <w:t>Respiratory and CNS effects are associated with the metabolism of acrylonitrile and the release of cyanide</w:t>
            </w:r>
          </w:p>
          <w:p w14:paraId="27F3A6AF" w14:textId="5DFE5E93" w:rsidR="003C773B" w:rsidRDefault="003C773B" w:rsidP="00013056">
            <w:pPr>
              <w:pStyle w:val="ListBullet"/>
              <w:tabs>
                <w:tab w:val="clear" w:pos="360"/>
              </w:tabs>
              <w:ind w:left="731"/>
            </w:pPr>
            <w:r>
              <w:t xml:space="preserve">No respiratory or CNS effects observed in </w:t>
            </w:r>
            <w:r w:rsidR="008C0584">
              <w:t xml:space="preserve">rats </w:t>
            </w:r>
            <w:r>
              <w:t>expos</w:t>
            </w:r>
            <w:r w:rsidR="00FC729C">
              <w:t>ed</w:t>
            </w:r>
            <w:r>
              <w:t xml:space="preserve"> to 90 ppm for 8 </w:t>
            </w:r>
            <w:r w:rsidR="00F813F1">
              <w:t>h</w:t>
            </w:r>
          </w:p>
          <w:p w14:paraId="494E531A" w14:textId="0CE13E5F" w:rsidR="003C773B" w:rsidRDefault="003C773B" w:rsidP="00013056">
            <w:pPr>
              <w:pStyle w:val="ListBullet"/>
              <w:tabs>
                <w:tab w:val="clear" w:pos="360"/>
              </w:tabs>
              <w:ind w:left="731"/>
            </w:pPr>
            <w:r>
              <w:t xml:space="preserve">Application of uncertainty factors (not disclosed) </w:t>
            </w:r>
            <w:r w:rsidR="00B824D7">
              <w:t xml:space="preserve">were </w:t>
            </w:r>
            <w:r>
              <w:t>applied to 90 ppm to support recommended TLV-TWA of 2 ppm</w:t>
            </w:r>
          </w:p>
          <w:p w14:paraId="2916630F" w14:textId="30848921" w:rsidR="00FA17CA" w:rsidRDefault="00C17E42" w:rsidP="00FA17CA">
            <w:pPr>
              <w:pStyle w:val="ListBullet"/>
              <w:tabs>
                <w:tab w:val="clear" w:pos="360"/>
              </w:tabs>
              <w:ind w:left="731"/>
            </w:pPr>
            <w:r>
              <w:t xml:space="preserve">Case reports of dermal exposure </w:t>
            </w:r>
            <w:r w:rsidR="00B824D7">
              <w:t>reported</w:t>
            </w:r>
            <w:r w:rsidR="00563C61">
              <w:t xml:space="preserve"> systemic </w:t>
            </w:r>
            <w:r w:rsidR="00B824D7">
              <w:t>toxicity</w:t>
            </w:r>
            <w:r w:rsidR="00563C61">
              <w:t xml:space="preserve"> and death</w:t>
            </w:r>
            <w:r w:rsidR="003216E0">
              <w:t>.</w:t>
            </w:r>
          </w:p>
          <w:p w14:paraId="58B31749" w14:textId="25B8C0B5" w:rsidR="00FA17CA" w:rsidRDefault="00FA17CA" w:rsidP="00FA17CA">
            <w:pPr>
              <w:pStyle w:val="Tabletextprimarysource"/>
            </w:pPr>
            <w:r>
              <w:t>Animal data:</w:t>
            </w:r>
          </w:p>
          <w:p w14:paraId="3BD749FC" w14:textId="73523615" w:rsidR="00D637A3" w:rsidRDefault="00865FAD" w:rsidP="00013056">
            <w:pPr>
              <w:pStyle w:val="ListBullet"/>
              <w:tabs>
                <w:tab w:val="clear" w:pos="360"/>
              </w:tabs>
              <w:ind w:left="731"/>
            </w:pPr>
            <w:r>
              <w:t>NOAEL</w:t>
            </w:r>
            <w:r w:rsidR="003848EF">
              <w:t>:</w:t>
            </w:r>
            <w:r>
              <w:t xml:space="preserve">15 ppm (rats) </w:t>
            </w:r>
            <w:r w:rsidR="00D637A3">
              <w:t>for reproductive effects (parental system</w:t>
            </w:r>
            <w:r w:rsidR="00A41826">
              <w:t>ic</w:t>
            </w:r>
            <w:r w:rsidR="00D637A3">
              <w:t xml:space="preserve"> toxicity) </w:t>
            </w:r>
          </w:p>
          <w:p w14:paraId="4D3E1BF1" w14:textId="4B3519FF" w:rsidR="003C773B" w:rsidRDefault="003C773B" w:rsidP="00013056">
            <w:pPr>
              <w:pStyle w:val="ListBullet"/>
              <w:tabs>
                <w:tab w:val="clear" w:pos="360"/>
              </w:tabs>
              <w:ind w:left="731"/>
            </w:pPr>
            <w:r>
              <w:t xml:space="preserve">Long-term exposures </w:t>
            </w:r>
            <w:r w:rsidR="00A41826">
              <w:t xml:space="preserve">associated with </w:t>
            </w:r>
            <w:r>
              <w:t xml:space="preserve">cancer of </w:t>
            </w:r>
            <w:r w:rsidR="00087445">
              <w:t>GIT</w:t>
            </w:r>
            <w:r w:rsidR="00FB5969">
              <w:t xml:space="preserve">, mammary gland, CNS and </w:t>
            </w:r>
            <w:proofErr w:type="spellStart"/>
            <w:r w:rsidR="00A41826">
              <w:t>Zymbal’s</w:t>
            </w:r>
            <w:proofErr w:type="spellEnd"/>
            <w:r w:rsidR="00FB5969">
              <w:t xml:space="preserve"> gland in rats; increased</w:t>
            </w:r>
            <w:r w:rsidR="00A41826">
              <w:t xml:space="preserve"> incidence of </w:t>
            </w:r>
            <w:r w:rsidR="00FB5969">
              <w:t xml:space="preserve">tumours </w:t>
            </w:r>
            <w:r w:rsidR="00A41826">
              <w:t xml:space="preserve">also </w:t>
            </w:r>
            <w:r w:rsidR="00FB5969">
              <w:t>in mice</w:t>
            </w:r>
          </w:p>
          <w:p w14:paraId="62C2CCC2" w14:textId="42B89940" w:rsidR="009B1959" w:rsidRDefault="009B1959" w:rsidP="00013056">
            <w:pPr>
              <w:pStyle w:val="ListBullet"/>
              <w:tabs>
                <w:tab w:val="clear" w:pos="360"/>
              </w:tabs>
              <w:ind w:left="731"/>
            </w:pPr>
            <w:r>
              <w:t xml:space="preserve">Female rats exposed to 20 ppm for </w:t>
            </w:r>
            <w:r w:rsidR="00087445">
              <w:t xml:space="preserve">2 </w:t>
            </w:r>
            <w:proofErr w:type="spellStart"/>
            <w:r w:rsidR="00F813F1">
              <w:t>yr</w:t>
            </w:r>
            <w:proofErr w:type="spellEnd"/>
            <w:r w:rsidR="00F813F1">
              <w:t xml:space="preserve"> </w:t>
            </w:r>
            <w:r w:rsidR="00FC729C">
              <w:t xml:space="preserve">demonstrated </w:t>
            </w:r>
            <w:r>
              <w:t>increased incidence of glial cell (CNS) tumours</w:t>
            </w:r>
          </w:p>
          <w:p w14:paraId="66361101" w14:textId="53799686" w:rsidR="00D637A3" w:rsidRDefault="00865FAD" w:rsidP="00013056">
            <w:pPr>
              <w:pStyle w:val="ListBullet"/>
              <w:tabs>
                <w:tab w:val="clear" w:pos="360"/>
              </w:tabs>
              <w:ind w:left="731"/>
            </w:pPr>
            <w:r>
              <w:t>C</w:t>
            </w:r>
            <w:r w:rsidR="00D637A3">
              <w:t xml:space="preserve">onsidered weakly mutagenic in several </w:t>
            </w:r>
            <w:r w:rsidR="00D637A3">
              <w:rPr>
                <w:i/>
              </w:rPr>
              <w:t xml:space="preserve">Salmonella </w:t>
            </w:r>
            <w:proofErr w:type="spellStart"/>
            <w:r w:rsidR="00D637A3">
              <w:rPr>
                <w:i/>
              </w:rPr>
              <w:t>typhimurium</w:t>
            </w:r>
            <w:proofErr w:type="spellEnd"/>
            <w:r w:rsidR="00D637A3">
              <w:rPr>
                <w:i/>
              </w:rPr>
              <w:t xml:space="preserve"> </w:t>
            </w:r>
            <w:r w:rsidR="00D637A3">
              <w:t>strains</w:t>
            </w:r>
            <w:r w:rsidR="003216E0">
              <w:t>.</w:t>
            </w:r>
          </w:p>
          <w:p w14:paraId="5E305F79" w14:textId="77777777" w:rsidR="00FC729C" w:rsidRDefault="00FC729C" w:rsidP="00D16AF5">
            <w:pPr>
              <w:pStyle w:val="ListBullet"/>
              <w:numPr>
                <w:ilvl w:val="0"/>
                <w:numId w:val="0"/>
              </w:numPr>
              <w:ind w:left="731"/>
            </w:pPr>
          </w:p>
          <w:p w14:paraId="43374E19" w14:textId="726D596E" w:rsidR="00D637A3" w:rsidRDefault="00D518E2" w:rsidP="00285C7A">
            <w:pPr>
              <w:pStyle w:val="ListBullet"/>
              <w:numPr>
                <w:ilvl w:val="0"/>
                <w:numId w:val="0"/>
              </w:numPr>
              <w:ind w:left="22"/>
            </w:pPr>
            <w:r>
              <w:t xml:space="preserve">Various epidemiological studies did not associate occupational exposures with excess cancer mortality including a large robust, cohort of 25,460 </w:t>
            </w:r>
            <w:r w:rsidR="00B824D7">
              <w:t xml:space="preserve">acrylonitrile </w:t>
            </w:r>
            <w:r>
              <w:t>workers</w:t>
            </w:r>
            <w:r w:rsidR="00AA3C2D">
              <w:t>.</w:t>
            </w:r>
          </w:p>
          <w:p w14:paraId="517A2CCE" w14:textId="77777777" w:rsidR="00D637A3" w:rsidRDefault="00B824D7" w:rsidP="00D16AF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Sufficient data not available to recommended a sensitiser notation or TLV-STEL</w:t>
            </w:r>
            <w:r w:rsidR="00013056">
              <w:t>.</w:t>
            </w:r>
          </w:p>
          <w:p w14:paraId="3BBBDCCA" w14:textId="1BF2ECFB" w:rsidR="00240C76" w:rsidRPr="00DA352E" w:rsidRDefault="00240C76" w:rsidP="00D16AF5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31E1752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B4B46A2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FC1CDC">
                  <w:t>2007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FE3069">
                  <w:t>NA</w:t>
                </w:r>
              </w:sdtContent>
            </w:sdt>
          </w:p>
        </w:tc>
      </w:tr>
      <w:tr w:rsidR="00C978F0" w:rsidRPr="00DA352E" w14:paraId="0A1AD2D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157BA13" w14:textId="77777777" w:rsidR="00C978F0" w:rsidRDefault="00FE3069" w:rsidP="003365A5">
            <w:pPr>
              <w:pStyle w:val="Tabletextprimarysource"/>
            </w:pPr>
            <w:r>
              <w:t>No MAK value recommended</w:t>
            </w:r>
            <w:r w:rsidR="00F813F1">
              <w:t>.</w:t>
            </w:r>
          </w:p>
          <w:p w14:paraId="0D8A3622" w14:textId="42D39EE8" w:rsidR="004A2D10" w:rsidRDefault="004A2D10" w:rsidP="003365A5">
            <w:pPr>
              <w:pStyle w:val="Tabletextprimarysource"/>
            </w:pPr>
            <w:r>
              <w:t xml:space="preserve">Summary of </w:t>
            </w:r>
            <w:r w:rsidR="003848EF">
              <w:t xml:space="preserve">additional </w:t>
            </w:r>
            <w:r>
              <w:t>information:</w:t>
            </w:r>
          </w:p>
          <w:p w14:paraId="0A4B77EB" w14:textId="32780781" w:rsidR="00FE3069" w:rsidRDefault="003848EF" w:rsidP="00013056">
            <w:pPr>
              <w:pStyle w:val="ListBullet"/>
              <w:tabs>
                <w:tab w:val="clear" w:pos="360"/>
              </w:tabs>
              <w:ind w:left="731"/>
            </w:pPr>
            <w:r>
              <w:t>A</w:t>
            </w:r>
            <w:r w:rsidR="00FE3069" w:rsidRPr="00FE3069">
              <w:t xml:space="preserve"> </w:t>
            </w:r>
            <w:r w:rsidR="00865FAD">
              <w:t>NOAE</w:t>
            </w:r>
            <w:r>
              <w:t>C</w:t>
            </w:r>
            <w:r w:rsidR="00FE3069">
              <w:t xml:space="preserve"> could</w:t>
            </w:r>
            <w:r>
              <w:t xml:space="preserve"> not</w:t>
            </w:r>
            <w:r w:rsidR="00FE3069">
              <w:t xml:space="preserve"> be established </w:t>
            </w:r>
            <w:r w:rsidR="00FE3069" w:rsidRPr="00FE3069">
              <w:t>for inhalation from studies</w:t>
            </w:r>
            <w:r w:rsidR="00FE3069">
              <w:t xml:space="preserve"> reviewed</w:t>
            </w:r>
          </w:p>
          <w:p w14:paraId="0C442361" w14:textId="63C61561" w:rsidR="00FE3069" w:rsidRDefault="003848EF" w:rsidP="00013056">
            <w:pPr>
              <w:pStyle w:val="ListBullet"/>
              <w:tabs>
                <w:tab w:val="clear" w:pos="360"/>
              </w:tabs>
              <w:ind w:left="731"/>
            </w:pPr>
            <w:r>
              <w:t>C</w:t>
            </w:r>
            <w:r w:rsidR="00FE3069">
              <w:t xml:space="preserve">lassified as a category 2 carcinogen and </w:t>
            </w:r>
            <w:proofErr w:type="spellStart"/>
            <w:r w:rsidR="00FE3069">
              <w:t>genotoxicity</w:t>
            </w:r>
            <w:proofErr w:type="spellEnd"/>
            <w:r w:rsidR="00FE3069">
              <w:t xml:space="preserve"> cannot be excluded</w:t>
            </w:r>
            <w:r w:rsidR="00FE3069" w:rsidRPr="00FE3069">
              <w:t xml:space="preserve"> </w:t>
            </w:r>
          </w:p>
          <w:p w14:paraId="7E3E2EC9" w14:textId="7D735818" w:rsidR="00FE3069" w:rsidRDefault="00FE3069" w:rsidP="00013056">
            <w:pPr>
              <w:pStyle w:val="ListBullet"/>
              <w:tabs>
                <w:tab w:val="clear" w:pos="360"/>
              </w:tabs>
              <w:ind w:left="731"/>
            </w:pPr>
            <w:r>
              <w:t>Evidence suppor</w:t>
            </w:r>
            <w:r w:rsidR="004A2D10">
              <w:t>ting a sensitiser notation</w:t>
            </w:r>
            <w:r w:rsidR="00013056">
              <w:t>.</w:t>
            </w:r>
          </w:p>
          <w:p w14:paraId="2D0DEBC6" w14:textId="4E5A6E16" w:rsidR="00240C76" w:rsidRPr="00DA352E" w:rsidRDefault="00240C76" w:rsidP="00240C76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3415C0AF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2182A26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FC1CDC">
                  <w:t>2008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4A2D10">
                  <w:t>NA</w:t>
                </w:r>
              </w:sdtContent>
            </w:sdt>
          </w:p>
        </w:tc>
      </w:tr>
      <w:tr w:rsidR="00C978F0" w:rsidRPr="00DA352E" w14:paraId="712A6B4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18DBAFD" w14:textId="1C2E9159" w:rsidR="004A2D10" w:rsidRDefault="004A2D10" w:rsidP="004A2D10">
            <w:pPr>
              <w:pStyle w:val="Tabletextprimarysource"/>
            </w:pPr>
            <w:r>
              <w:t>No TWA recommended</w:t>
            </w:r>
            <w:r w:rsidR="00F813F1">
              <w:t>.</w:t>
            </w:r>
          </w:p>
          <w:p w14:paraId="754B4556" w14:textId="1BC16ADC" w:rsidR="004A2D10" w:rsidRDefault="004A2D10" w:rsidP="004A2D10">
            <w:pPr>
              <w:pStyle w:val="Tabletextprimarysource"/>
            </w:pPr>
            <w:r>
              <w:t xml:space="preserve">Summary of </w:t>
            </w:r>
            <w:r w:rsidR="003848EF">
              <w:t xml:space="preserve">additional </w:t>
            </w:r>
            <w:r>
              <w:t>information:</w:t>
            </w:r>
          </w:p>
          <w:p w14:paraId="63AFF4BE" w14:textId="602CC903" w:rsidR="004A2D10" w:rsidRDefault="004A2D10" w:rsidP="00013056">
            <w:pPr>
              <w:pStyle w:val="ListBullet"/>
              <w:tabs>
                <w:tab w:val="clear" w:pos="360"/>
              </w:tabs>
              <w:ind w:left="731"/>
            </w:pPr>
            <w:r>
              <w:t xml:space="preserve">A health-based </w:t>
            </w:r>
            <w:r w:rsidR="00087445">
              <w:t>OEL</w:t>
            </w:r>
            <w:r>
              <w:t xml:space="preserve"> cannot be derived because:</w:t>
            </w:r>
          </w:p>
          <w:p w14:paraId="704D0AA4" w14:textId="77777777" w:rsidR="004A2D10" w:rsidRDefault="00FC1CDC" w:rsidP="00013056">
            <w:pPr>
              <w:pStyle w:val="ListBullet"/>
              <w:numPr>
                <w:ilvl w:val="0"/>
                <w:numId w:val="2"/>
              </w:numPr>
              <w:ind w:left="1298"/>
            </w:pPr>
            <w:r>
              <w:t>established carcinogen in experimental animals</w:t>
            </w:r>
          </w:p>
          <w:p w14:paraId="569E2BD0" w14:textId="77777777" w:rsidR="004A2D10" w:rsidRDefault="00FC1CDC" w:rsidP="00013056">
            <w:pPr>
              <w:pStyle w:val="ListBullet"/>
              <w:numPr>
                <w:ilvl w:val="0"/>
                <w:numId w:val="2"/>
              </w:numPr>
              <w:ind w:left="1298"/>
            </w:pPr>
            <w:r>
              <w:t>a genotoxic</w:t>
            </w:r>
            <w:r w:rsidR="004A2D10">
              <w:t xml:space="preserve"> </w:t>
            </w:r>
            <w:r>
              <w:t xml:space="preserve">mechanism cannot be </w:t>
            </w:r>
            <w:r w:rsidR="004A2D10">
              <w:t>eliminated</w:t>
            </w:r>
          </w:p>
          <w:p w14:paraId="0D03BCAF" w14:textId="314BA85C" w:rsidR="004A2D10" w:rsidRDefault="00FC1CDC" w:rsidP="00013056">
            <w:pPr>
              <w:pStyle w:val="ListBullet"/>
              <w:numPr>
                <w:ilvl w:val="0"/>
                <w:numId w:val="2"/>
              </w:numPr>
              <w:ind w:left="1298"/>
            </w:pPr>
            <w:r>
              <w:t xml:space="preserve">epidemiological evidence does not exclude carcinogenicity </w:t>
            </w:r>
            <w:r w:rsidR="00013056">
              <w:t xml:space="preserve">possibility </w:t>
            </w:r>
            <w:r>
              <w:t>in humans</w:t>
            </w:r>
          </w:p>
          <w:p w14:paraId="636A2B30" w14:textId="3128524E" w:rsidR="00C978F0" w:rsidRDefault="00012C21" w:rsidP="00013056">
            <w:pPr>
              <w:pStyle w:val="ListBullet"/>
              <w:tabs>
                <w:tab w:val="clear" w:pos="360"/>
              </w:tabs>
              <w:ind w:left="731"/>
            </w:pPr>
            <w:r>
              <w:t>2 ppm offers adequate protection against health effects other than carcinogenicity</w:t>
            </w:r>
          </w:p>
          <w:p w14:paraId="0640721C" w14:textId="77777777" w:rsidR="00012C21" w:rsidRDefault="00012C21" w:rsidP="00013056">
            <w:pPr>
              <w:pStyle w:val="ListBullet"/>
              <w:tabs>
                <w:tab w:val="clear" w:pos="360"/>
              </w:tabs>
              <w:ind w:left="731"/>
            </w:pPr>
            <w:r>
              <w:t xml:space="preserve">A skin notation </w:t>
            </w:r>
            <w:proofErr w:type="gramStart"/>
            <w:r>
              <w:t>is supported</w:t>
            </w:r>
            <w:proofErr w:type="gramEnd"/>
            <w:r>
              <w:t xml:space="preserve"> by reports of occupational poisonings by skin contact</w:t>
            </w:r>
            <w:r w:rsidR="00013056">
              <w:t>.</w:t>
            </w:r>
          </w:p>
          <w:p w14:paraId="7B07B151" w14:textId="14C28A4D" w:rsidR="00240C76" w:rsidRPr="00DA352E" w:rsidRDefault="00240C76" w:rsidP="00240C76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DA352E" w:rsidRPr="00DA352E" w14:paraId="1CE57A20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3638B59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3863CA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3863CA">
                  <w:t>NA</w:t>
                </w:r>
                <w:proofErr w:type="spellEnd"/>
              </w:sdtContent>
            </w:sdt>
          </w:p>
        </w:tc>
      </w:tr>
      <w:tr w:rsidR="00DA352E" w:rsidRPr="00DA352E" w14:paraId="2B95B7D5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A8AD838" w14:textId="2E95AF20" w:rsidR="00DA352E" w:rsidRPr="00DA352E" w:rsidRDefault="003863CA" w:rsidP="003365A5">
            <w:pPr>
              <w:pStyle w:val="Tabletextprimarysource"/>
            </w:pPr>
            <w:r>
              <w:t>No report</w:t>
            </w:r>
            <w:r w:rsidR="00013056">
              <w:t xml:space="preserve"> </w:t>
            </w:r>
          </w:p>
        </w:tc>
      </w:tr>
      <w:tr w:rsidR="00DA352E" w:rsidRPr="00DA352E" w14:paraId="67FF645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9BA37E7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012C2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012C21">
                  <w:t>NA</w:t>
                </w:r>
                <w:proofErr w:type="spellEnd"/>
              </w:sdtContent>
            </w:sdt>
          </w:p>
        </w:tc>
      </w:tr>
      <w:tr w:rsidR="00DA352E" w:rsidRPr="00DA352E" w14:paraId="490D763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BBA66FB" w14:textId="7806D6AC" w:rsidR="00DA352E" w:rsidRPr="00DA352E" w:rsidRDefault="00012C21" w:rsidP="003365A5">
            <w:pPr>
              <w:pStyle w:val="Tabletextprimarysource"/>
            </w:pPr>
            <w:r>
              <w:t>No report</w:t>
            </w:r>
            <w:r w:rsidR="00013056">
              <w:t xml:space="preserve"> </w:t>
            </w:r>
          </w:p>
        </w:tc>
      </w:tr>
    </w:tbl>
    <w:p w14:paraId="247BE276" w14:textId="77777777" w:rsidR="00A20751" w:rsidRPr="004C23F4" w:rsidRDefault="00A20751" w:rsidP="003365A5">
      <w:pPr>
        <w:pStyle w:val="Heading3"/>
      </w:pPr>
      <w:bookmarkStart w:id="2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56"/>
        <w:gridCol w:w="421"/>
        <w:gridCol w:w="1050"/>
        <w:gridCol w:w="6099"/>
      </w:tblGrid>
      <w:tr w:rsidR="004966BF" w:rsidRPr="00263255" w14:paraId="7C4B473F" w14:textId="77777777" w:rsidTr="00415F0F">
        <w:trPr>
          <w:cantSplit/>
          <w:trHeight w:val="393"/>
          <w:tblHeader/>
        </w:trPr>
        <w:tc>
          <w:tcPr>
            <w:tcW w:w="1456" w:type="dxa"/>
            <w:shd w:val="clear" w:color="auto" w:fill="BFBFBF" w:themeFill="background1" w:themeFillShade="BF"/>
            <w:vAlign w:val="center"/>
          </w:tcPr>
          <w:p w14:paraId="3FAB863C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32497C92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1050" w:type="dxa"/>
            <w:shd w:val="clear" w:color="auto" w:fill="BFBFBF" w:themeFill="background1" w:themeFillShade="BF"/>
            <w:vAlign w:val="center"/>
          </w:tcPr>
          <w:p w14:paraId="483CBF89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099" w:type="dxa"/>
            <w:shd w:val="clear" w:color="auto" w:fill="BFBFBF" w:themeFill="background1" w:themeFillShade="BF"/>
            <w:vAlign w:val="center"/>
          </w:tcPr>
          <w:p w14:paraId="5D8CC415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444E7680" w14:textId="77777777" w:rsidTr="00415F0F">
        <w:trPr>
          <w:cantSplit/>
        </w:trPr>
        <w:tc>
          <w:tcPr>
            <w:tcW w:w="1456" w:type="dxa"/>
          </w:tcPr>
          <w:p w14:paraId="6EF9321F" w14:textId="77777777" w:rsidR="004966BF" w:rsidRPr="004C23F4" w:rsidRDefault="004966BF" w:rsidP="00224EE2">
            <w:pPr>
              <w:pStyle w:val="Tablefont"/>
            </w:pPr>
            <w:r>
              <w:t>HSE</w:t>
            </w:r>
          </w:p>
        </w:tc>
        <w:tc>
          <w:tcPr>
            <w:tcW w:w="421" w:type="dxa"/>
          </w:tcPr>
          <w:p w14:paraId="6904C160" w14:textId="77777777" w:rsidR="004966BF" w:rsidRPr="00CE617F" w:rsidRDefault="00E752A5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382551732"/>
                <w:placeholder>
                  <w:docPart w:val="8DD754E365844A4E82EC69A07E229629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1E78A7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1050" w:type="dxa"/>
          </w:tcPr>
          <w:p w14:paraId="767B724A" w14:textId="77777777" w:rsidR="004966BF" w:rsidRPr="004C23F4" w:rsidRDefault="008738CD" w:rsidP="00717D45">
            <w:pPr>
              <w:pStyle w:val="Tablefont"/>
            </w:pPr>
            <w:r>
              <w:t>2005</w:t>
            </w:r>
          </w:p>
        </w:tc>
        <w:tc>
          <w:tcPr>
            <w:tcW w:w="6099" w:type="dxa"/>
          </w:tcPr>
          <w:p w14:paraId="78DC68BB" w14:textId="77777777" w:rsidR="004966BF" w:rsidRDefault="001E78A7" w:rsidP="001E78A7">
            <w:pPr>
              <w:pStyle w:val="ListBullet"/>
            </w:pPr>
            <w:r>
              <w:t>TWA 2 ppm</w:t>
            </w:r>
          </w:p>
          <w:p w14:paraId="3AAAC4D8" w14:textId="2990A566" w:rsidR="001E78A7" w:rsidRPr="004C23F4" w:rsidRDefault="001E78A7" w:rsidP="001E78A7">
            <w:pPr>
              <w:pStyle w:val="ListBullet"/>
            </w:pPr>
            <w:r>
              <w:t>Carcinogen and skin notations</w:t>
            </w:r>
            <w:r w:rsidR="003216E0">
              <w:t>.</w:t>
            </w:r>
          </w:p>
        </w:tc>
      </w:tr>
      <w:tr w:rsidR="00415F0F" w:rsidRPr="004C23F4" w14:paraId="2B8CE0F8" w14:textId="77777777" w:rsidTr="00415F0F">
        <w:trPr>
          <w:cantSplit/>
        </w:trPr>
        <w:tc>
          <w:tcPr>
            <w:tcW w:w="1456" w:type="dxa"/>
          </w:tcPr>
          <w:p w14:paraId="1124D2C9" w14:textId="77777777" w:rsidR="00415F0F" w:rsidRPr="004C23F4" w:rsidRDefault="00415F0F" w:rsidP="00415F0F">
            <w:pPr>
              <w:pStyle w:val="Tablefont"/>
            </w:pPr>
            <w:r>
              <w:t>US EPA</w:t>
            </w:r>
          </w:p>
        </w:tc>
        <w:tc>
          <w:tcPr>
            <w:tcW w:w="421" w:type="dxa"/>
          </w:tcPr>
          <w:p w14:paraId="4CB72B08" w14:textId="77777777" w:rsidR="00415F0F" w:rsidRPr="00CE617F" w:rsidRDefault="00E752A5" w:rsidP="00415F0F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87D4CEB85AF6495081607550E08B2F0F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EB72AB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1050" w:type="dxa"/>
          </w:tcPr>
          <w:p w14:paraId="29FAACB9" w14:textId="77777777" w:rsidR="00415F0F" w:rsidRPr="004C23F4" w:rsidRDefault="00756013" w:rsidP="00415F0F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1987</w:t>
            </w:r>
          </w:p>
        </w:tc>
        <w:tc>
          <w:tcPr>
            <w:tcW w:w="6099" w:type="dxa"/>
          </w:tcPr>
          <w:p w14:paraId="5EE8FB81" w14:textId="613531A0" w:rsidR="003827EF" w:rsidRDefault="003827EF" w:rsidP="003827EF">
            <w:pPr>
              <w:pStyle w:val="ListBullet"/>
            </w:pPr>
            <w:r>
              <w:rPr>
                <w:rStyle w:val="checkbox"/>
                <w:rFonts w:ascii="Arial" w:hAnsi="Arial" w:cs="Arial"/>
              </w:rPr>
              <w:t xml:space="preserve">An inhalation unit risk factor </w:t>
            </w:r>
            <w:r>
              <w:t>was calculated from a relative risk model adjusted for smoking and based on a continuous lifetime equivalent of occupational exposure</w:t>
            </w:r>
          </w:p>
          <w:p w14:paraId="004E7689" w14:textId="77777777" w:rsidR="00621E11" w:rsidRDefault="00621E11" w:rsidP="00621E11">
            <w:pPr>
              <w:pStyle w:val="ListBullet"/>
              <w:rPr>
                <w:rStyle w:val="checkbox"/>
                <w:rFonts w:ascii="Arial" w:hAnsi="Arial" w:cs="Arial"/>
              </w:rPr>
            </w:pPr>
            <w:r w:rsidRPr="00621E11">
              <w:rPr>
                <w:rStyle w:val="checkbox"/>
                <w:rFonts w:ascii="Arial" w:hAnsi="Arial" w:cs="Arial"/>
              </w:rPr>
              <w:t>A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 w:rsidRPr="00621E11">
              <w:rPr>
                <w:rStyle w:val="checkbox"/>
                <w:rFonts w:ascii="Arial" w:hAnsi="Arial" w:cs="Arial"/>
              </w:rPr>
              <w:t>trend of increased cancer incidence was seen with increased duration of exposur</w:t>
            </w:r>
            <w:r>
              <w:rPr>
                <w:rStyle w:val="checkbox"/>
                <w:rFonts w:ascii="Arial" w:hAnsi="Arial" w:cs="Arial"/>
              </w:rPr>
              <w:t>e</w:t>
            </w:r>
          </w:p>
          <w:p w14:paraId="7EB3261E" w14:textId="5F7B4A59" w:rsidR="00AA3C2D" w:rsidRDefault="003827EF" w:rsidP="00756013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Relative risk taken from</w:t>
            </w:r>
            <w:r w:rsidR="006F437F">
              <w:rPr>
                <w:rStyle w:val="checkbox"/>
                <w:rFonts w:ascii="Arial" w:hAnsi="Arial" w:cs="Arial"/>
              </w:rPr>
              <w:t xml:space="preserve"> </w:t>
            </w:r>
            <w:r>
              <w:rPr>
                <w:rStyle w:val="checkbox"/>
                <w:rFonts w:ascii="Arial" w:hAnsi="Arial" w:cs="Arial"/>
              </w:rPr>
              <w:t>a study reporting</w:t>
            </w:r>
            <w:r w:rsidR="006F437F">
              <w:rPr>
                <w:rStyle w:val="checkbox"/>
                <w:rFonts w:ascii="Arial" w:hAnsi="Arial" w:cs="Arial"/>
              </w:rPr>
              <w:t xml:space="preserve"> </w:t>
            </w:r>
            <w:r w:rsidR="00756013" w:rsidRPr="00756013">
              <w:rPr>
                <w:rStyle w:val="checkbox"/>
                <w:rFonts w:ascii="Arial" w:hAnsi="Arial" w:cs="Arial"/>
              </w:rPr>
              <w:t>statistically significant increase in incidence of lung cancer in exposed workers</w:t>
            </w:r>
          </w:p>
          <w:p w14:paraId="37A2184B" w14:textId="7B0A36E1" w:rsidR="003827EF" w:rsidRDefault="003827EF" w:rsidP="00756013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The study was considered to be sufficiently large with adequate follow up time</w:t>
            </w:r>
          </w:p>
          <w:p w14:paraId="5485C96B" w14:textId="05785B85" w:rsidR="00415F0F" w:rsidRPr="003827EF" w:rsidRDefault="003827EF" w:rsidP="003827EF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Additional evidence: </w:t>
            </w:r>
            <w:r w:rsidR="003216E0">
              <w:rPr>
                <w:rStyle w:val="checkbox"/>
                <w:rFonts w:ascii="Arial" w:hAnsi="Arial" w:cs="Arial"/>
              </w:rPr>
              <w:t>o</w:t>
            </w:r>
            <w:r w:rsidR="00756013" w:rsidRPr="00756013">
              <w:rPr>
                <w:rStyle w:val="checkbox"/>
                <w:rFonts w:ascii="Arial" w:hAnsi="Arial" w:cs="Arial"/>
              </w:rPr>
              <w:t xml:space="preserve">bservation </w:t>
            </w:r>
            <w:r w:rsidR="00AA3C2D">
              <w:rPr>
                <w:rStyle w:val="checkbox"/>
                <w:rFonts w:ascii="Arial" w:hAnsi="Arial" w:cs="Arial"/>
              </w:rPr>
              <w:t>of brain tumours</w:t>
            </w:r>
            <w:r w:rsidR="00756013" w:rsidRPr="00756013">
              <w:rPr>
                <w:rStyle w:val="checkbox"/>
                <w:rFonts w:ascii="Arial" w:hAnsi="Arial" w:cs="Arial"/>
              </w:rPr>
              <w:t xml:space="preserve"> in </w:t>
            </w:r>
            <w:r w:rsidR="00756013">
              <w:rPr>
                <w:rStyle w:val="checkbox"/>
                <w:rFonts w:ascii="Arial" w:hAnsi="Arial" w:cs="Arial"/>
              </w:rPr>
              <w:t>rats</w:t>
            </w:r>
            <w:r w:rsidR="00756013" w:rsidRPr="00756013">
              <w:rPr>
                <w:rStyle w:val="checkbox"/>
                <w:rFonts w:ascii="Arial" w:hAnsi="Arial" w:cs="Arial"/>
              </w:rPr>
              <w:t xml:space="preserve"> exposed by various routes (drinkin</w:t>
            </w:r>
            <w:r>
              <w:rPr>
                <w:rStyle w:val="checkbox"/>
                <w:rFonts w:ascii="Arial" w:hAnsi="Arial" w:cs="Arial"/>
              </w:rPr>
              <w:t>g water, gavage and inhalation).</w:t>
            </w:r>
          </w:p>
        </w:tc>
      </w:tr>
      <w:tr w:rsidR="00415F0F" w:rsidRPr="004C23F4" w14:paraId="438BA5C2" w14:textId="77777777" w:rsidTr="00415F0F">
        <w:trPr>
          <w:cantSplit/>
        </w:trPr>
        <w:tc>
          <w:tcPr>
            <w:tcW w:w="1456" w:type="dxa"/>
          </w:tcPr>
          <w:p w14:paraId="569F4E6D" w14:textId="77777777" w:rsidR="00415F0F" w:rsidRPr="004C23F4" w:rsidRDefault="00415F0F" w:rsidP="00415F0F">
            <w:pPr>
              <w:pStyle w:val="Tablefont"/>
            </w:pPr>
            <w:r>
              <w:t>ECHA</w:t>
            </w:r>
          </w:p>
        </w:tc>
        <w:tc>
          <w:tcPr>
            <w:tcW w:w="421" w:type="dxa"/>
          </w:tcPr>
          <w:p w14:paraId="38909E9D" w14:textId="77777777" w:rsidR="00415F0F" w:rsidRPr="00CE617F" w:rsidRDefault="00E752A5" w:rsidP="00415F0F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D521CAA0A2F8473A9F60EBCBA86ECEB7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415F0F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1050" w:type="dxa"/>
          </w:tcPr>
          <w:p w14:paraId="1F21BFE8" w14:textId="77777777" w:rsidR="00415F0F" w:rsidRPr="004C23F4" w:rsidRDefault="00415F0F" w:rsidP="00415F0F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2018</w:t>
            </w:r>
          </w:p>
        </w:tc>
        <w:tc>
          <w:tcPr>
            <w:tcW w:w="6099" w:type="dxa"/>
          </w:tcPr>
          <w:p w14:paraId="6CCBFD12" w14:textId="77777777" w:rsidR="00415F0F" w:rsidRDefault="00415F0F" w:rsidP="00415F0F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Positive </w:t>
            </w:r>
            <w:r w:rsidRPr="00F04085">
              <w:rPr>
                <w:rStyle w:val="checkbox"/>
                <w:rFonts w:ascii="Arial" w:hAnsi="Arial" w:cs="Arial"/>
              </w:rPr>
              <w:t>mutagenicity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 w:rsidRPr="00CA7AE8">
              <w:rPr>
                <w:rStyle w:val="checkbox"/>
                <w:rFonts w:ascii="Arial" w:hAnsi="Arial" w:cs="Arial"/>
              </w:rPr>
              <w:t>in vitro</w:t>
            </w:r>
            <w:r w:rsidRPr="00F04085">
              <w:rPr>
                <w:rStyle w:val="checkbox"/>
                <w:rFonts w:ascii="Arial" w:hAnsi="Arial" w:cs="Arial"/>
              </w:rPr>
              <w:t xml:space="preserve"> </w:t>
            </w:r>
            <w:r>
              <w:rPr>
                <w:rStyle w:val="checkbox"/>
                <w:rFonts w:ascii="Arial" w:hAnsi="Arial" w:cs="Arial"/>
              </w:rPr>
              <w:t>results</w:t>
            </w:r>
            <w:r w:rsidRPr="00F04085">
              <w:rPr>
                <w:rStyle w:val="checkbox"/>
                <w:rFonts w:ascii="Arial" w:hAnsi="Arial" w:cs="Arial"/>
              </w:rPr>
              <w:t xml:space="preserve"> and in </w:t>
            </w:r>
            <w:r w:rsidRPr="00CA7AE8">
              <w:rPr>
                <w:rStyle w:val="checkbox"/>
                <w:rFonts w:ascii="Arial" w:hAnsi="Arial" w:cs="Arial"/>
              </w:rPr>
              <w:t>Drosophila</w:t>
            </w:r>
            <w:r>
              <w:rPr>
                <w:rStyle w:val="checkbox"/>
                <w:rFonts w:ascii="Arial" w:hAnsi="Arial" w:cs="Arial"/>
              </w:rPr>
              <w:t xml:space="preserve"> indicates genotoxic potential</w:t>
            </w:r>
          </w:p>
          <w:p w14:paraId="68B89AEA" w14:textId="77777777" w:rsidR="00415F0F" w:rsidRDefault="00415F0F" w:rsidP="00415F0F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Mode of action for tumour formation not entirely known</w:t>
            </w:r>
          </w:p>
          <w:p w14:paraId="0D1BFB1F" w14:textId="2E0AC780" w:rsidR="00415F0F" w:rsidRDefault="00CA7AE8" w:rsidP="00CA7AE8">
            <w:pPr>
              <w:pStyle w:val="ListBullet"/>
              <w:rPr>
                <w:rStyle w:val="checkbox"/>
                <w:rFonts w:ascii="Arial" w:hAnsi="Arial" w:cs="Arial"/>
              </w:rPr>
            </w:pPr>
            <w:r w:rsidRPr="00CA7AE8">
              <w:rPr>
                <w:rStyle w:val="checkbox"/>
                <w:rFonts w:ascii="Arial" w:hAnsi="Arial" w:cs="Arial"/>
              </w:rPr>
              <w:t>Most evaluation</w:t>
            </w:r>
            <w:r>
              <w:rPr>
                <w:rStyle w:val="checkbox"/>
                <w:rFonts w:ascii="Arial" w:hAnsi="Arial" w:cs="Arial"/>
              </w:rPr>
              <w:t>s</w:t>
            </w:r>
            <w:r w:rsidRPr="00CA7AE8">
              <w:rPr>
                <w:rStyle w:val="checkbox"/>
                <w:rFonts w:ascii="Arial" w:hAnsi="Arial" w:cs="Arial"/>
              </w:rPr>
              <w:t xml:space="preserve"> of acrylonitrile consider it a non-threshold carcinogen</w:t>
            </w:r>
            <w:r>
              <w:rPr>
                <w:rStyle w:val="checkbox"/>
                <w:rFonts w:ascii="Arial" w:hAnsi="Arial" w:cs="Arial"/>
              </w:rPr>
              <w:t>.</w:t>
            </w:r>
          </w:p>
          <w:p w14:paraId="6E944AA5" w14:textId="46B537F9" w:rsidR="00CA7AE8" w:rsidRPr="00CA7AE8" w:rsidRDefault="00CA7AE8" w:rsidP="00CA7AE8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Evidence indicates </w:t>
            </w:r>
            <w:r w:rsidRPr="00CA7AE8">
              <w:rPr>
                <w:rStyle w:val="checkbox"/>
                <w:rFonts w:ascii="Arial" w:hAnsi="Arial"/>
              </w:rPr>
              <w:t>a threshold mode of action</w:t>
            </w:r>
            <w:r>
              <w:rPr>
                <w:rStyle w:val="checkbox"/>
                <w:rFonts w:ascii="Arial" w:hAnsi="Arial"/>
              </w:rPr>
              <w:t xml:space="preserve"> is</w:t>
            </w:r>
            <w:r w:rsidRPr="00CA7AE8">
              <w:rPr>
                <w:rStyle w:val="checkbox"/>
                <w:rFonts w:ascii="Arial" w:hAnsi="Arial"/>
              </w:rPr>
              <w:t xml:space="preserve"> plausible</w:t>
            </w:r>
          </w:p>
          <w:p w14:paraId="057D8E43" w14:textId="3753119D" w:rsidR="00415F0F" w:rsidRDefault="00415F0F" w:rsidP="00415F0F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Proposed a </w:t>
            </w:r>
            <w:r w:rsidRPr="00CA7AE8">
              <w:rPr>
                <w:rStyle w:val="checkbox"/>
                <w:rFonts w:ascii="Arial" w:hAnsi="Arial" w:cs="Arial"/>
              </w:rPr>
              <w:t>limit of 1 mg/m</w:t>
            </w:r>
            <w:r w:rsidRPr="001E2C67">
              <w:rPr>
                <w:rStyle w:val="checkbox"/>
                <w:rFonts w:ascii="Arial" w:hAnsi="Arial" w:cs="Arial"/>
                <w:vertAlign w:val="superscript"/>
              </w:rPr>
              <w:t>3</w:t>
            </w:r>
            <w:r w:rsidRPr="00CA7AE8">
              <w:rPr>
                <w:rStyle w:val="checkbox"/>
                <w:rFonts w:ascii="Arial" w:hAnsi="Arial" w:cs="Arial"/>
              </w:rPr>
              <w:t xml:space="preserve"> (0.45 ppm) for cancer effects to be sufficiently protective against local irritant effects in the nose</w:t>
            </w:r>
          </w:p>
          <w:p w14:paraId="3CC74415" w14:textId="6FD7EF26" w:rsidR="00415F0F" w:rsidRPr="00F04085" w:rsidRDefault="00415F0F" w:rsidP="00D16AF5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Limit derived</w:t>
            </w:r>
            <w:r w:rsidR="00D16AF5">
              <w:rPr>
                <w:rStyle w:val="checkbox"/>
                <w:rFonts w:ascii="Arial" w:hAnsi="Arial" w:cs="Arial"/>
              </w:rPr>
              <w:t xml:space="preserve"> by</w:t>
            </w:r>
            <w:r>
              <w:rPr>
                <w:rStyle w:val="checkbox"/>
                <w:rFonts w:ascii="Arial" w:hAnsi="Arial" w:cs="Arial"/>
              </w:rPr>
              <w:t xml:space="preserve"> applying an assessment factor of 62.5 (interspecies, </w:t>
            </w:r>
            <w:proofErr w:type="spellStart"/>
            <w:r>
              <w:rPr>
                <w:rStyle w:val="checkbox"/>
                <w:rFonts w:ascii="Arial" w:hAnsi="Arial" w:cs="Arial"/>
              </w:rPr>
              <w:t>intraspecies</w:t>
            </w:r>
            <w:proofErr w:type="spellEnd"/>
            <w:r>
              <w:rPr>
                <w:rStyle w:val="checkbox"/>
                <w:rFonts w:ascii="Arial" w:hAnsi="Arial" w:cs="Arial"/>
              </w:rPr>
              <w:t>, dose-response and severity) BMDL</w:t>
            </w:r>
            <w:r w:rsidRPr="00CA7AE8">
              <w:rPr>
                <w:rStyle w:val="checkbox"/>
                <w:rFonts w:ascii="Arial" w:hAnsi="Arial" w:cs="Arial"/>
              </w:rPr>
              <w:t xml:space="preserve">05 </w:t>
            </w:r>
            <w:r>
              <w:rPr>
                <w:rStyle w:val="checkbox"/>
                <w:rFonts w:ascii="Arial" w:hAnsi="Arial" w:cs="Arial"/>
              </w:rPr>
              <w:t xml:space="preserve">of </w:t>
            </w:r>
            <w:r w:rsidRPr="00CA7AE8">
              <w:rPr>
                <w:rStyle w:val="checkbox"/>
                <w:rFonts w:ascii="Arial" w:hAnsi="Arial" w:cs="Arial"/>
              </w:rPr>
              <w:t>60 mg/m</w:t>
            </w:r>
            <w:r w:rsidRPr="001E2C67">
              <w:rPr>
                <w:rStyle w:val="checkbox"/>
                <w:rFonts w:ascii="Arial" w:hAnsi="Arial" w:cs="Arial"/>
                <w:vertAlign w:val="superscript"/>
              </w:rPr>
              <w:t>3</w:t>
            </w:r>
            <w:r w:rsidRPr="00CA7AE8">
              <w:rPr>
                <w:rStyle w:val="checkbox"/>
                <w:rFonts w:ascii="Arial" w:hAnsi="Arial" w:cs="Arial"/>
              </w:rPr>
              <w:t xml:space="preserve"> </w:t>
            </w:r>
            <w:r w:rsidR="00013056" w:rsidRPr="00CA7AE8">
              <w:rPr>
                <w:rStyle w:val="checkbox"/>
                <w:rFonts w:ascii="Arial" w:hAnsi="Arial" w:cs="Arial"/>
              </w:rPr>
              <w:t>(27.6 ppm).</w:t>
            </w:r>
          </w:p>
        </w:tc>
      </w:tr>
    </w:tbl>
    <w:p w14:paraId="5F62CBEE" w14:textId="77777777" w:rsidR="007E2A4B" w:rsidRDefault="007E2A4B"/>
    <w:bookmarkEnd w:id="2"/>
    <w:p w14:paraId="6C365C19" w14:textId="77777777" w:rsidR="007E2A4B" w:rsidRDefault="007E2A4B" w:rsidP="00240C76">
      <w:pPr>
        <w:pStyle w:val="Heading3"/>
        <w:keepNext w:val="0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10"/>
        <w:gridCol w:w="2416"/>
      </w:tblGrid>
      <w:tr w:rsidR="002E0D61" w14:paraId="2FF6472B" w14:textId="77777777" w:rsidTr="00610F2E">
        <w:trPr>
          <w:trHeight w:val="454"/>
          <w:tblHeader/>
        </w:trPr>
        <w:tc>
          <w:tcPr>
            <w:tcW w:w="6771" w:type="dxa"/>
            <w:vAlign w:val="center"/>
          </w:tcPr>
          <w:p w14:paraId="7C7827D6" w14:textId="77777777" w:rsidR="002E0D61" w:rsidRDefault="00B1422A" w:rsidP="00240C76">
            <w:pPr>
              <w:pStyle w:val="Tablefont"/>
              <w:spacing w:before="40" w:after="40"/>
            </w:pPr>
            <w:bookmarkStart w:id="3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71" w:type="dxa"/>
                <w:vAlign w:val="center"/>
              </w:tcPr>
              <w:p w14:paraId="289D2738" w14:textId="77777777" w:rsidR="002E0D61" w:rsidRDefault="00F161C4" w:rsidP="00240C76">
                <w:pPr>
                  <w:pStyle w:val="Tablefont"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14:paraId="5490C576" w14:textId="77777777" w:rsidTr="006901A2">
        <w:trPr>
          <w:trHeight w:val="454"/>
        </w:trPr>
        <w:tc>
          <w:tcPr>
            <w:tcW w:w="6771" w:type="dxa"/>
            <w:vAlign w:val="center"/>
          </w:tcPr>
          <w:p w14:paraId="1614FC76" w14:textId="77777777" w:rsidR="008A36CF" w:rsidRDefault="008A36CF" w:rsidP="00240C76">
            <w:pPr>
              <w:pStyle w:val="Tablefont"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71" w:type="dxa"/>
                <w:vAlign w:val="center"/>
              </w:tcPr>
              <w:p w14:paraId="3E260B6A" w14:textId="77777777" w:rsidR="008A36CF" w:rsidRDefault="00F161C4" w:rsidP="00240C76">
                <w:pPr>
                  <w:pStyle w:val="Tablefont"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14:paraId="62F7B7B6" w14:textId="77777777" w:rsidTr="006901A2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771" w:type="dxa"/>
                <w:vAlign w:val="center"/>
              </w:tcPr>
              <w:p w14:paraId="50F4258B" w14:textId="77777777" w:rsidR="008A36CF" w:rsidRPr="006901A2" w:rsidRDefault="00F161C4" w:rsidP="00240C76">
                <w:pPr>
                  <w:pStyle w:val="Tablefont"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a non-threshold based genotoxic carcinogen.</w:t>
                </w:r>
              </w:p>
            </w:tc>
          </w:sdtContent>
        </w:sdt>
        <w:tc>
          <w:tcPr>
            <w:tcW w:w="2471" w:type="dxa"/>
            <w:vAlign w:val="center"/>
          </w:tcPr>
          <w:p w14:paraId="415131FE" w14:textId="77777777" w:rsidR="008A36CF" w:rsidRDefault="008A36CF" w:rsidP="00240C76">
            <w:pPr>
              <w:pStyle w:val="Tablefont"/>
              <w:spacing w:before="40" w:after="40"/>
            </w:pPr>
          </w:p>
        </w:tc>
      </w:tr>
      <w:tr w:rsidR="008A36CF" w14:paraId="2F5BF8CA" w14:textId="77777777" w:rsidTr="006901A2">
        <w:trPr>
          <w:trHeight w:val="454"/>
        </w:trPr>
        <w:tc>
          <w:tcPr>
            <w:tcW w:w="6771" w:type="dxa"/>
            <w:vAlign w:val="center"/>
          </w:tcPr>
          <w:p w14:paraId="544FA42C" w14:textId="77777777" w:rsidR="008A36CF" w:rsidRDefault="008A36CF" w:rsidP="00240C76">
            <w:pPr>
              <w:pStyle w:val="Tablefont"/>
              <w:spacing w:before="40" w:after="40"/>
            </w:pPr>
            <w:r w:rsidRPr="008A36CF">
              <w:t xml:space="preserve">Is a cancer slope factor or </w:t>
            </w:r>
            <w:proofErr w:type="gramStart"/>
            <w:r w:rsidRPr="008A36CF">
              <w:t>inhalation unit risk value</w:t>
            </w:r>
            <w:proofErr w:type="gramEnd"/>
            <w:r w:rsidRPr="008A36CF">
              <w:t xml:space="preserve"> available?</w:t>
            </w:r>
          </w:p>
        </w:tc>
        <w:sdt>
          <w:sdtPr>
            <w:id w:val="1304347970"/>
            <w:placeholder>
              <w:docPart w:val="047AD93791DC493F8562BB3488160D64"/>
            </w:placeholder>
            <w:comboBox>
              <w:listItem w:value="Choose an item."/>
              <w:listItem w:displayText="Yes" w:value="Yes"/>
              <w:listItem w:displayText="No" w:value="No"/>
              <w:listItem w:displayText="NA" w:value="NA"/>
            </w:comboBox>
          </w:sdtPr>
          <w:sdtEndPr/>
          <w:sdtContent>
            <w:tc>
              <w:tcPr>
                <w:tcW w:w="2471" w:type="dxa"/>
                <w:vAlign w:val="center"/>
              </w:tcPr>
              <w:p w14:paraId="0E5A0AC6" w14:textId="77777777" w:rsidR="008A36CF" w:rsidRDefault="00E856F2" w:rsidP="00240C76">
                <w:pPr>
                  <w:pStyle w:val="Tablefont"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14:paraId="31827B77" w14:textId="77777777" w:rsidTr="006901A2">
        <w:trPr>
          <w:trHeight w:val="454"/>
        </w:trPr>
        <w:sdt>
          <w:sdtPr>
            <w:alias w:val="Dropdown"/>
            <w:tag w:val="Dropdown"/>
            <w:id w:val="-1733531363"/>
            <w:placeholder>
              <w:docPart w:val="7B0BAA2441D5427984E6018FB38900E7"/>
            </w:placeholder>
            <w:comboBox>
              <w:listItem w:value="Choose an item."/>
              <w:listItem w:displayText="Cancer slope factor (1/(mg/kg/day))" w:value="Cancer slope factor (1/(mg/kg/day))"/>
              <w:listItem w:displayText="Inhalation unit risk value (1/(µg/m³))" w:value="Inhalation unit risk value (1/(µg/m³))"/>
            </w:comboBox>
          </w:sdtPr>
          <w:sdtEndPr/>
          <w:sdtContent>
            <w:tc>
              <w:tcPr>
                <w:tcW w:w="6771" w:type="dxa"/>
                <w:vAlign w:val="center"/>
              </w:tcPr>
              <w:p w14:paraId="76643353" w14:textId="1C36776A" w:rsidR="008A36CF" w:rsidRDefault="00707E6F" w:rsidP="00240C76">
                <w:pPr>
                  <w:pStyle w:val="Tablefont"/>
                  <w:spacing w:before="40" w:after="40"/>
                </w:pPr>
                <w:r>
                  <w:t>Inhalation unit risk value (1/(µg/m³))</w:t>
                </w:r>
              </w:p>
            </w:tc>
          </w:sdtContent>
        </w:sdt>
        <w:sdt>
          <w:sdtPr>
            <w:alias w:val="SlopeFactor"/>
            <w:tag w:val="SlopeFactor"/>
            <w:id w:val="-1925646767"/>
            <w:placeholder>
              <w:docPart w:val="5C1D38B030D146B59436754F8399D502"/>
            </w:placeholder>
          </w:sdtPr>
          <w:sdtEndPr/>
          <w:sdtContent>
            <w:tc>
              <w:tcPr>
                <w:tcW w:w="2471" w:type="dxa"/>
                <w:vAlign w:val="center"/>
              </w:tcPr>
              <w:p w14:paraId="7D11DE1A" w14:textId="2A3AF93D" w:rsidR="008A36CF" w:rsidRDefault="00E856F2" w:rsidP="00240C76">
                <w:pPr>
                  <w:pStyle w:val="Tablefont"/>
                  <w:spacing w:before="40" w:after="40"/>
                </w:pPr>
                <w:r>
                  <w:t>6.8 x 10</w:t>
                </w:r>
                <w:r w:rsidRPr="00E856F2">
                  <w:rPr>
                    <w:vertAlign w:val="superscript"/>
                  </w:rPr>
                  <w:t>-5</w:t>
                </w:r>
                <w:r w:rsidR="00A33392">
                  <w:t xml:space="preserve"> </w:t>
                </w:r>
              </w:p>
            </w:tc>
          </w:sdtContent>
        </w:sdt>
      </w:tr>
      <w:tr w:rsidR="008A36CF" w14:paraId="52886416" w14:textId="77777777" w:rsidTr="006901A2">
        <w:trPr>
          <w:trHeight w:val="454"/>
        </w:trPr>
        <w:tc>
          <w:tcPr>
            <w:tcW w:w="6771" w:type="dxa"/>
            <w:vAlign w:val="center"/>
          </w:tcPr>
          <w:p w14:paraId="75C74CFC" w14:textId="77777777" w:rsidR="008A36CF" w:rsidRDefault="008A36CF" w:rsidP="00240C76">
            <w:pPr>
              <w:pStyle w:val="Tablefont"/>
              <w:spacing w:before="40" w:after="40"/>
            </w:pPr>
            <w:r>
              <w:t>Calculated TWA value (</w:t>
            </w:r>
            <w:r>
              <w:rPr>
                <w:rFonts w:cs="Arial"/>
              </w:rPr>
              <w:t>µ</w:t>
            </w:r>
            <w:r>
              <w:t>g/m</w:t>
            </w:r>
            <w:r w:rsidRPr="008A36CF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471" w:type="dxa"/>
            <w:vAlign w:val="center"/>
          </w:tcPr>
          <w:p w14:paraId="79E147B2" w14:textId="77777777" w:rsidR="008A36CF" w:rsidRDefault="00F161C4" w:rsidP="00240C76">
            <w:pPr>
              <w:pStyle w:val="Tablefont"/>
              <w:spacing w:before="40" w:after="40"/>
            </w:pPr>
            <w:r>
              <w:t>1.17</w:t>
            </w:r>
          </w:p>
        </w:tc>
      </w:tr>
    </w:tbl>
    <w:bookmarkEnd w:id="3"/>
    <w:p w14:paraId="55747389" w14:textId="77777777" w:rsidR="00687890" w:rsidRPr="004C23F4" w:rsidRDefault="00B479A9" w:rsidP="00474E33">
      <w:pPr>
        <w:pStyle w:val="Heading2"/>
      </w:pPr>
      <w:r w:rsidRPr="004C23F4">
        <w:lastRenderedPageBreak/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5226B3CD" w14:textId="77777777" w:rsidTr="004136F7">
        <w:trPr>
          <w:cantSplit/>
          <w:tblHeader/>
        </w:trPr>
        <w:tc>
          <w:tcPr>
            <w:tcW w:w="3153" w:type="dxa"/>
            <w:shd w:val="clear" w:color="auto" w:fill="BFBFBF" w:themeFill="background1" w:themeFillShade="BF"/>
            <w:vAlign w:val="center"/>
          </w:tcPr>
          <w:p w14:paraId="6F813CE9" w14:textId="77777777" w:rsidR="00687890" w:rsidRPr="004C23F4" w:rsidRDefault="00687890" w:rsidP="00263255">
            <w:pPr>
              <w:pStyle w:val="Tableheader"/>
            </w:pPr>
            <w:bookmarkStart w:id="4" w:name="Notations"/>
            <w:r w:rsidRPr="004C23F4">
              <w:t>Source</w:t>
            </w:r>
          </w:p>
        </w:tc>
        <w:tc>
          <w:tcPr>
            <w:tcW w:w="5873" w:type="dxa"/>
            <w:shd w:val="clear" w:color="auto" w:fill="BFBFBF" w:themeFill="background1" w:themeFillShade="BF"/>
            <w:vAlign w:val="center"/>
          </w:tcPr>
          <w:p w14:paraId="4C0AB74C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4F564146" w14:textId="77777777" w:rsidTr="004136F7">
        <w:trPr>
          <w:cantSplit/>
        </w:trPr>
        <w:tc>
          <w:tcPr>
            <w:tcW w:w="3153" w:type="dxa"/>
          </w:tcPr>
          <w:p w14:paraId="31CCAD78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5873" w:type="dxa"/>
          </w:tcPr>
          <w:p w14:paraId="1427A0F3" w14:textId="6D40D472" w:rsidR="00687890" w:rsidRPr="00DD2F9B" w:rsidRDefault="004E4BD6" w:rsidP="00E1772E">
            <w:pPr>
              <w:pStyle w:val="Tablefont"/>
            </w:pPr>
            <w:proofErr w:type="spellStart"/>
            <w:r w:rsidRPr="004E4BD6">
              <w:t>Carc</w:t>
            </w:r>
            <w:proofErr w:type="spellEnd"/>
            <w:r w:rsidRPr="004E4BD6">
              <w:t>. 1B</w:t>
            </w:r>
            <w:r w:rsidR="00E61BFB">
              <w:t xml:space="preserve">, </w:t>
            </w:r>
            <w:r w:rsidR="00E1772E">
              <w:t>S</w:t>
            </w:r>
            <w:r>
              <w:t>k</w:t>
            </w:r>
            <w:r w:rsidR="00E1772E">
              <w:t>in</w:t>
            </w:r>
            <w:r w:rsidR="004724FF">
              <w:t>.</w:t>
            </w:r>
            <w:r w:rsidR="00A43C5A">
              <w:t xml:space="preserve">, </w:t>
            </w:r>
            <w:r w:rsidR="00E1772E">
              <w:t xml:space="preserve">Sen </w:t>
            </w:r>
          </w:p>
        </w:tc>
      </w:tr>
      <w:tr w:rsidR="007925F0" w:rsidRPr="004C23F4" w14:paraId="5030F1E6" w14:textId="77777777" w:rsidTr="004136F7">
        <w:trPr>
          <w:cantSplit/>
        </w:trPr>
        <w:tc>
          <w:tcPr>
            <w:tcW w:w="3153" w:type="dxa"/>
          </w:tcPr>
          <w:p w14:paraId="3B1300B5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5873" w:type="dxa"/>
          </w:tcPr>
          <w:p w14:paraId="630EF745" w14:textId="77777777" w:rsidR="007925F0" w:rsidRPr="00DD2F9B" w:rsidRDefault="00BA5839" w:rsidP="00DD2F9B">
            <w:pPr>
              <w:pStyle w:val="Tablefont"/>
            </w:pPr>
            <w:r w:rsidRPr="00BA5839">
              <w:t>Carcinogenicity – category 1B</w:t>
            </w:r>
            <w:r>
              <w:t xml:space="preserve">; </w:t>
            </w:r>
            <w:r w:rsidRPr="00BA5839">
              <w:t>Skin sensitisation – category 1</w:t>
            </w:r>
            <w:r w:rsidR="004724FF">
              <w:t>.</w:t>
            </w:r>
          </w:p>
        </w:tc>
      </w:tr>
      <w:tr w:rsidR="00AF483F" w:rsidRPr="004C23F4" w14:paraId="7780275A" w14:textId="77777777" w:rsidTr="004136F7">
        <w:trPr>
          <w:cantSplit/>
        </w:trPr>
        <w:tc>
          <w:tcPr>
            <w:tcW w:w="3153" w:type="dxa"/>
          </w:tcPr>
          <w:p w14:paraId="00BCEA9C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5873" w:type="dxa"/>
          </w:tcPr>
          <w:p w14:paraId="6A812548" w14:textId="77777777" w:rsidR="00AF483F" w:rsidRPr="00DD2F9B" w:rsidRDefault="00C6720F" w:rsidP="00DD2F9B">
            <w:pPr>
              <w:pStyle w:val="Tablefont"/>
            </w:pPr>
            <w:proofErr w:type="spellStart"/>
            <w:r>
              <w:t>Carc</w:t>
            </w:r>
            <w:proofErr w:type="spellEnd"/>
            <w:r>
              <w:t>. Cat. 2</w:t>
            </w:r>
          </w:p>
        </w:tc>
      </w:tr>
      <w:tr w:rsidR="00687890" w:rsidRPr="004C23F4" w14:paraId="0E5FE788" w14:textId="77777777" w:rsidTr="004136F7">
        <w:trPr>
          <w:cantSplit/>
        </w:trPr>
        <w:tc>
          <w:tcPr>
            <w:tcW w:w="3153" w:type="dxa"/>
          </w:tcPr>
          <w:p w14:paraId="0A729817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5873" w:type="dxa"/>
          </w:tcPr>
          <w:p w14:paraId="69416F83" w14:textId="77777777" w:rsidR="00687890" w:rsidRPr="00DD2F9B" w:rsidRDefault="00767A52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14D927AE" w14:textId="77777777" w:rsidTr="004136F7">
        <w:trPr>
          <w:cantSplit/>
        </w:trPr>
        <w:tc>
          <w:tcPr>
            <w:tcW w:w="3153" w:type="dxa"/>
          </w:tcPr>
          <w:p w14:paraId="10421850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5873" w:type="dxa"/>
          </w:tcPr>
          <w:p w14:paraId="52AB689D" w14:textId="77777777" w:rsidR="00E41A26" w:rsidRPr="00DD2F9B" w:rsidRDefault="005D6FA6" w:rsidP="00DD2F9B">
            <w:pPr>
              <w:pStyle w:val="Tablefont"/>
            </w:pPr>
            <w:r w:rsidRPr="005D6FA6">
              <w:t>Carcinogen 1B</w:t>
            </w:r>
            <w:r w:rsidR="00767A52">
              <w:t>, Skin</w:t>
            </w:r>
          </w:p>
        </w:tc>
      </w:tr>
      <w:tr w:rsidR="002E0D61" w:rsidRPr="004C23F4" w14:paraId="623504BB" w14:textId="77777777" w:rsidTr="004136F7">
        <w:trPr>
          <w:cantSplit/>
        </w:trPr>
        <w:tc>
          <w:tcPr>
            <w:tcW w:w="3153" w:type="dxa"/>
          </w:tcPr>
          <w:p w14:paraId="69D3ED1D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5873" w:type="dxa"/>
          </w:tcPr>
          <w:p w14:paraId="023C6681" w14:textId="77777777" w:rsidR="002E0D61" w:rsidRPr="00DD2F9B" w:rsidRDefault="005D6FA6" w:rsidP="00DD2F9B">
            <w:pPr>
              <w:pStyle w:val="Tablefont"/>
            </w:pPr>
            <w:r>
              <w:t>Carcinogenicity</w:t>
            </w:r>
            <w:r w:rsidR="00C6720F">
              <w:t xml:space="preserve"> –</w:t>
            </w:r>
            <w:r>
              <w:t xml:space="preserve"> </w:t>
            </w:r>
            <w:r w:rsidR="00C6720F">
              <w:t>A3</w:t>
            </w:r>
            <w:r>
              <w:t>, Skin</w:t>
            </w:r>
          </w:p>
        </w:tc>
      </w:tr>
      <w:tr w:rsidR="002E0D61" w:rsidRPr="004C23F4" w14:paraId="34C47BF2" w14:textId="77777777" w:rsidTr="004136F7">
        <w:trPr>
          <w:cantSplit/>
        </w:trPr>
        <w:tc>
          <w:tcPr>
            <w:tcW w:w="3153" w:type="dxa"/>
          </w:tcPr>
          <w:p w14:paraId="270357AC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5873" w:type="dxa"/>
          </w:tcPr>
          <w:p w14:paraId="464734E1" w14:textId="77777777" w:rsidR="002E0D61" w:rsidRPr="00DD2F9B" w:rsidRDefault="00FE3069" w:rsidP="00DD2F9B">
            <w:pPr>
              <w:pStyle w:val="Tablefont"/>
            </w:pPr>
            <w:r>
              <w:t>Carcinoge</w:t>
            </w:r>
            <w:r w:rsidR="00CA5EF0">
              <w:t xml:space="preserve">nicity – 2; </w:t>
            </w:r>
            <w:r w:rsidR="00C6720F">
              <w:t>H</w:t>
            </w:r>
            <w:r w:rsidR="004724FF">
              <w:t xml:space="preserve"> (skin),</w:t>
            </w:r>
            <w:r w:rsidR="00C6720F">
              <w:t xml:space="preserve"> </w:t>
            </w:r>
            <w:proofErr w:type="spellStart"/>
            <w:r w:rsidR="00CA5EF0">
              <w:t>Sh</w:t>
            </w:r>
            <w:proofErr w:type="spellEnd"/>
            <w:r w:rsidR="00CA5EF0">
              <w:t xml:space="preserve"> (dermal sensitiser)</w:t>
            </w:r>
          </w:p>
        </w:tc>
      </w:tr>
      <w:tr w:rsidR="002E0D61" w:rsidRPr="004C23F4" w14:paraId="4B31C8E0" w14:textId="77777777" w:rsidTr="004136F7">
        <w:trPr>
          <w:cantSplit/>
        </w:trPr>
        <w:tc>
          <w:tcPr>
            <w:tcW w:w="3153" w:type="dxa"/>
          </w:tcPr>
          <w:p w14:paraId="70D3D571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5873" w:type="dxa"/>
          </w:tcPr>
          <w:p w14:paraId="09B04AC9" w14:textId="77777777" w:rsidR="002E0D61" w:rsidRPr="00DD2F9B" w:rsidRDefault="00CA5EF0" w:rsidP="00DD2F9B">
            <w:pPr>
              <w:pStyle w:val="Tablefont"/>
            </w:pPr>
            <w:r>
              <w:t>Carcinogenicity – 2</w:t>
            </w:r>
            <w:r w:rsidR="004A2D10">
              <w:t xml:space="preserve">; </w:t>
            </w:r>
            <w:r>
              <w:t>Skin</w:t>
            </w:r>
          </w:p>
        </w:tc>
      </w:tr>
      <w:tr w:rsidR="002E0D61" w:rsidRPr="004C23F4" w14:paraId="5CEB313B" w14:textId="77777777" w:rsidTr="004136F7">
        <w:trPr>
          <w:cantSplit/>
        </w:trPr>
        <w:tc>
          <w:tcPr>
            <w:tcW w:w="3153" w:type="dxa"/>
          </w:tcPr>
          <w:p w14:paraId="4FF41AA2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5873" w:type="dxa"/>
          </w:tcPr>
          <w:p w14:paraId="62AE89D9" w14:textId="77777777" w:rsidR="002E0D61" w:rsidRPr="00DD2F9B" w:rsidRDefault="005D6FA6" w:rsidP="00DD2F9B">
            <w:pPr>
              <w:pStyle w:val="Tablefont"/>
            </w:pPr>
            <w:r w:rsidRPr="00767A52">
              <w:t>NA</w:t>
            </w:r>
          </w:p>
        </w:tc>
      </w:tr>
      <w:tr w:rsidR="00386093" w:rsidRPr="004C23F4" w14:paraId="265C02AA" w14:textId="77777777" w:rsidTr="004136F7">
        <w:trPr>
          <w:cantSplit/>
        </w:trPr>
        <w:tc>
          <w:tcPr>
            <w:tcW w:w="3153" w:type="dxa"/>
          </w:tcPr>
          <w:p w14:paraId="45CC97C0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5873" w:type="dxa"/>
          </w:tcPr>
          <w:p w14:paraId="54E66921" w14:textId="77777777" w:rsidR="00386093" w:rsidRPr="00DD2F9B" w:rsidRDefault="005D6FA6" w:rsidP="00DD2F9B">
            <w:pPr>
              <w:pStyle w:val="Tablefont"/>
            </w:pPr>
            <w:r>
              <w:t xml:space="preserve">Carcinogenicity – </w:t>
            </w:r>
            <w:r w:rsidR="008148EF">
              <w:t xml:space="preserve">Group </w:t>
            </w:r>
            <w:r>
              <w:t>2B</w:t>
            </w:r>
          </w:p>
        </w:tc>
      </w:tr>
      <w:tr w:rsidR="00386093" w:rsidRPr="004C23F4" w14:paraId="69CD1FFF" w14:textId="77777777" w:rsidTr="004136F7">
        <w:trPr>
          <w:cantSplit/>
        </w:trPr>
        <w:tc>
          <w:tcPr>
            <w:tcW w:w="3153" w:type="dxa"/>
          </w:tcPr>
          <w:p w14:paraId="32DEE7E9" w14:textId="5A711A1C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5873" w:type="dxa"/>
          </w:tcPr>
          <w:p w14:paraId="2C73994E" w14:textId="77777777" w:rsidR="00386093" w:rsidRPr="00DD2F9B" w:rsidRDefault="00767A52" w:rsidP="00767A52">
            <w:pPr>
              <w:pStyle w:val="Tablefont"/>
              <w:keepNext/>
            </w:pPr>
            <w:r>
              <w:t>SK:SYS, SK:SEN</w:t>
            </w:r>
          </w:p>
        </w:tc>
      </w:tr>
    </w:tbl>
    <w:bookmarkEnd w:id="4"/>
    <w:p w14:paraId="7D517198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87FCD01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055F1E80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19E871B6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5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111F687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677" w:type="dxa"/>
              <w:tblLook w:val="04A0" w:firstRow="1" w:lastRow="0" w:firstColumn="1" w:lastColumn="0" w:noHBand="0" w:noVBand="1"/>
            </w:tblPr>
            <w:tblGrid>
              <w:gridCol w:w="3771"/>
              <w:gridCol w:w="1110"/>
              <w:gridCol w:w="1110"/>
              <w:gridCol w:w="1343"/>
              <w:gridCol w:w="1343"/>
            </w:tblGrid>
            <w:tr w:rsidR="00563C61" w:rsidRPr="00563C61" w14:paraId="56BC16A8" w14:textId="77777777" w:rsidTr="00563C61">
              <w:trPr>
                <w:trHeight w:val="332"/>
              </w:trPr>
              <w:tc>
                <w:tcPr>
                  <w:tcW w:w="3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D21BDA3" w14:textId="77777777" w:rsidR="00563C61" w:rsidRPr="00563C61" w:rsidRDefault="00563C61" w:rsidP="00563C6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63C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0274E558" w14:textId="77777777" w:rsidR="00563C61" w:rsidRPr="00563C61" w:rsidRDefault="00563C61" w:rsidP="00563C6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563C61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98F0D40" w14:textId="77777777" w:rsidR="00563C61" w:rsidRPr="00563C61" w:rsidRDefault="00563C61" w:rsidP="00563C6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563C61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FFC3780" w14:textId="77777777" w:rsidR="00563C61" w:rsidRPr="00563C61" w:rsidRDefault="00563C61" w:rsidP="00563C6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63C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9EA25E1" w14:textId="77777777" w:rsidR="00563C61" w:rsidRPr="00563C61" w:rsidRDefault="00563C61" w:rsidP="00563C6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63C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63C61" w:rsidRPr="00563C61" w14:paraId="06E791F8" w14:textId="77777777" w:rsidTr="00563C61">
              <w:trPr>
                <w:trHeight w:val="332"/>
              </w:trPr>
              <w:tc>
                <w:tcPr>
                  <w:tcW w:w="3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8BE16C8" w14:textId="77777777" w:rsidR="00563C61" w:rsidRPr="00563C61" w:rsidRDefault="00563C61" w:rsidP="00563C6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63C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563C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563C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F7CB1C5" w14:textId="77777777" w:rsidR="00563C61" w:rsidRPr="00563C61" w:rsidRDefault="00563C61" w:rsidP="00563C6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63C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DBCDED4" w14:textId="77777777" w:rsidR="00563C61" w:rsidRPr="00563C61" w:rsidRDefault="00563C61" w:rsidP="00563C6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563C61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1BD6C6C" w14:textId="77777777" w:rsidR="00563C61" w:rsidRPr="00563C61" w:rsidRDefault="00563C61" w:rsidP="00563C6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63C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AF51305" w14:textId="77777777" w:rsidR="00563C61" w:rsidRPr="00563C61" w:rsidRDefault="00563C61" w:rsidP="00563C6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63C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63C61" w:rsidRPr="00563C61" w14:paraId="7C305292" w14:textId="77777777" w:rsidTr="00563C61">
              <w:trPr>
                <w:trHeight w:val="332"/>
              </w:trPr>
              <w:tc>
                <w:tcPr>
                  <w:tcW w:w="3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CD797D4" w14:textId="77777777" w:rsidR="00563C61" w:rsidRPr="00563C61" w:rsidRDefault="00563C61" w:rsidP="00563C6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63C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5E89DD1" w14:textId="77777777" w:rsidR="00563C61" w:rsidRPr="00563C61" w:rsidRDefault="00563C61" w:rsidP="00563C6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63C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7FB5A3A" w14:textId="77777777" w:rsidR="00563C61" w:rsidRPr="00563C61" w:rsidRDefault="00563C61" w:rsidP="00563C6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563C61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0C1544B" w14:textId="77777777" w:rsidR="00563C61" w:rsidRPr="00563C61" w:rsidRDefault="00563C61" w:rsidP="00563C6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63C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3CB600B" w14:textId="77777777" w:rsidR="00563C61" w:rsidRPr="00563C61" w:rsidRDefault="00563C61" w:rsidP="00563C6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63C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63C61" w:rsidRPr="00563C61" w14:paraId="48AC910A" w14:textId="77777777" w:rsidTr="00563C61">
              <w:trPr>
                <w:trHeight w:val="332"/>
              </w:trPr>
              <w:tc>
                <w:tcPr>
                  <w:tcW w:w="3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4DCA8CE" w14:textId="77777777" w:rsidR="00563C61" w:rsidRPr="00563C61" w:rsidRDefault="00563C61" w:rsidP="00563C6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63C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563C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563C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563C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563C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044CF84" w14:textId="77777777" w:rsidR="00563C61" w:rsidRPr="00563C61" w:rsidRDefault="00563C61" w:rsidP="00563C6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63C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AD9A4E9" w14:textId="77777777" w:rsidR="00563C61" w:rsidRPr="00563C61" w:rsidRDefault="00563C61" w:rsidP="00563C6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563C61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A98740F" w14:textId="77777777" w:rsidR="00563C61" w:rsidRPr="00563C61" w:rsidRDefault="00563C61" w:rsidP="00563C6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63C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5A93D98" w14:textId="77777777" w:rsidR="00563C61" w:rsidRPr="00563C61" w:rsidRDefault="00563C61" w:rsidP="00563C6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63C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63C61" w:rsidRPr="00563C61" w14:paraId="35FABE3F" w14:textId="77777777" w:rsidTr="00563C61">
              <w:trPr>
                <w:trHeight w:val="332"/>
              </w:trPr>
              <w:tc>
                <w:tcPr>
                  <w:tcW w:w="3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F44F58A" w14:textId="77777777" w:rsidR="00563C61" w:rsidRPr="00563C61" w:rsidRDefault="00563C61" w:rsidP="00563C6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563C61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563C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38C7EDC" w14:textId="77777777" w:rsidR="00563C61" w:rsidRPr="00563C61" w:rsidRDefault="00563C61" w:rsidP="00563C6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63C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FEB7B97" w14:textId="77777777" w:rsidR="00563C61" w:rsidRPr="00563C61" w:rsidRDefault="00563C61" w:rsidP="00563C6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563C61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7F11623" w14:textId="77777777" w:rsidR="00563C61" w:rsidRPr="00563C61" w:rsidRDefault="00563C61" w:rsidP="00563C6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63C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6EB2516" w14:textId="77777777" w:rsidR="00563C61" w:rsidRPr="00563C61" w:rsidRDefault="00563C61" w:rsidP="00563C6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63C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63C61" w:rsidRPr="00563C61" w14:paraId="3FD15117" w14:textId="77777777" w:rsidTr="00563C61">
              <w:trPr>
                <w:trHeight w:val="332"/>
              </w:trPr>
              <w:tc>
                <w:tcPr>
                  <w:tcW w:w="3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F613719" w14:textId="77777777" w:rsidR="00563C61" w:rsidRPr="00563C61" w:rsidRDefault="00563C61" w:rsidP="00563C6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63C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F8BAD78" w14:textId="77777777" w:rsidR="00563C61" w:rsidRPr="00563C61" w:rsidRDefault="00563C61" w:rsidP="00563C6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63C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C8ACA4F" w14:textId="77777777" w:rsidR="00563C61" w:rsidRPr="00563C61" w:rsidRDefault="00563C61" w:rsidP="00563C6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563C61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37FF9F6" w14:textId="77777777" w:rsidR="00563C61" w:rsidRPr="00563C61" w:rsidRDefault="00563C61" w:rsidP="00563C6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63C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FA53439" w14:textId="77777777" w:rsidR="00563C61" w:rsidRPr="00563C61" w:rsidRDefault="00563C61" w:rsidP="00563C6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63C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63C61" w:rsidRPr="00563C61" w14:paraId="3C1A79B1" w14:textId="77777777" w:rsidTr="00563C61">
              <w:trPr>
                <w:trHeight w:val="332"/>
              </w:trPr>
              <w:tc>
                <w:tcPr>
                  <w:tcW w:w="3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C20A5C9" w14:textId="77777777" w:rsidR="00563C61" w:rsidRPr="00563C61" w:rsidRDefault="00563C61" w:rsidP="00563C6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63C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B850654" w14:textId="77777777" w:rsidR="00563C61" w:rsidRPr="00563C61" w:rsidRDefault="00563C61" w:rsidP="00563C6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63C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950BD73" w14:textId="77777777" w:rsidR="00563C61" w:rsidRPr="00563C61" w:rsidRDefault="00563C61" w:rsidP="00563C6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563C61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980C535" w14:textId="77777777" w:rsidR="00563C61" w:rsidRPr="00563C61" w:rsidRDefault="00563C61" w:rsidP="00563C61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563C61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5EBB434E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5"/>
    <w:p w14:paraId="392B882A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0"/>
        <w:gridCol w:w="4766"/>
      </w:tblGrid>
      <w:tr w:rsidR="00EB3D1B" w14:paraId="56B60399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5613750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437E1345" w14:textId="77777777" w:rsidR="00EB3D1B" w:rsidRDefault="00AF0808" w:rsidP="00EB3D1B">
                <w:pPr>
                  <w:pStyle w:val="Tablefont"/>
                </w:pPr>
                <w:r>
                  <w:t>No, the chemical is a genotoxic carcinogen</w:t>
                </w:r>
              </w:p>
            </w:tc>
          </w:sdtContent>
        </w:sdt>
      </w:tr>
    </w:tbl>
    <w:p w14:paraId="1FB4F401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5B582E2E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C0181A8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60D80C2E" w14:textId="77777777" w:rsidR="001B79E5" w:rsidRDefault="00AE6A16" w:rsidP="001B79E5">
                <w:pPr>
                  <w:pStyle w:val="Tablefont"/>
                </w:pPr>
                <w:r>
                  <w:t>53.06</w:t>
                </w:r>
              </w:p>
            </w:tc>
          </w:sdtContent>
        </w:sdt>
      </w:tr>
      <w:tr w:rsidR="00A31D99" w:rsidRPr="004C23F4" w14:paraId="51F4FD7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0F08302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05DEDDF0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4B7DD87C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EAD217D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2EA8F08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DA94815" w14:textId="77777777" w:rsidTr="00EA6243">
        <w:trPr>
          <w:cantSplit/>
        </w:trPr>
        <w:tc>
          <w:tcPr>
            <w:tcW w:w="4077" w:type="dxa"/>
            <w:vAlign w:val="center"/>
          </w:tcPr>
          <w:p w14:paraId="35E6D7D4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3F29E21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EADE0F7" w14:textId="77777777" w:rsidTr="00EA6243">
        <w:trPr>
          <w:cantSplit/>
        </w:trPr>
        <w:tc>
          <w:tcPr>
            <w:tcW w:w="4077" w:type="dxa"/>
            <w:vAlign w:val="center"/>
          </w:tcPr>
          <w:p w14:paraId="223F1D48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A5309DA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480C13D3" w14:textId="77777777" w:rsidTr="00EA6243">
        <w:trPr>
          <w:cantSplit/>
        </w:trPr>
        <w:tc>
          <w:tcPr>
            <w:tcW w:w="4077" w:type="dxa"/>
            <w:vAlign w:val="center"/>
          </w:tcPr>
          <w:p w14:paraId="3F9C255E" w14:textId="77777777" w:rsidR="00E06F40" w:rsidRPr="00263255" w:rsidRDefault="00E06F40" w:rsidP="00084513">
            <w:pPr>
              <w:pStyle w:val="Tablefont"/>
            </w:pPr>
            <w:r w:rsidRPr="00263255">
              <w:lastRenderedPageBreak/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6452657B" w14:textId="77777777" w:rsidR="00E06F40" w:rsidRPr="00A006A0" w:rsidRDefault="00E752A5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C76C5">
                  <w:rPr>
                    <w:rFonts w:ascii="MS Gothic" w:eastAsia="MS Gothic" w:hAnsi="MS Gothic" w:cs="MS Gothic" w:hint="eastAsia"/>
                  </w:rPr>
                  <w:sym w:font="Wingdings" w:char="F0FC"/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12614DF6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5DC7399D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39F894B5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6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106DC264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186A1769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3EFA1A38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1BCCBC8C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6"/>
    <w:p w14:paraId="55BE15F9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785DDDF3" w14:textId="31AA75CC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3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4418B414" w14:textId="6124E382" w:rsidR="001E78A7" w:rsidRDefault="001E78A7" w:rsidP="001E78A7">
      <w:r>
        <w:t xml:space="preserve">Deutsche </w:t>
      </w:r>
      <w:proofErr w:type="spellStart"/>
      <w:r>
        <w:t>Fo</w:t>
      </w:r>
      <w:r w:rsidR="00916600">
        <w:t>rschungsgemeinschaft</w:t>
      </w:r>
      <w:proofErr w:type="spellEnd"/>
      <w:r w:rsidR="00916600">
        <w:t xml:space="preserve"> (</w:t>
      </w:r>
      <w:r w:rsidR="00916600" w:rsidRPr="00BE26F0">
        <w:t>DFG) (2007</w:t>
      </w:r>
      <w:r>
        <w:t xml:space="preserve">) </w:t>
      </w:r>
      <w:r w:rsidR="00916600">
        <w:t>Acrylonitrile</w:t>
      </w:r>
      <w:r>
        <w:t xml:space="preserve"> – MAK value documentation.</w:t>
      </w:r>
    </w:p>
    <w:p w14:paraId="02C14666" w14:textId="5F38D5A8" w:rsidR="00C6720F" w:rsidRDefault="001E78A7" w:rsidP="00916600">
      <w:r>
        <w:t>Europe</w:t>
      </w:r>
      <w:r w:rsidR="00415F0F">
        <w:t>an Chemicals Agency (ECHA) (2018</w:t>
      </w:r>
      <w:r>
        <w:t xml:space="preserve">) </w:t>
      </w:r>
      <w:r w:rsidR="00415F0F">
        <w:t>Committee for Risk Assessment RAC Opinion on scientific evaluation of occupational exposure limits for Acrylonitrile ECHA/RAC/ O-0000001412-86-188/F</w:t>
      </w:r>
      <w:r>
        <w:t>.</w:t>
      </w:r>
    </w:p>
    <w:p w14:paraId="4BB67672" w14:textId="5F3CA1FA" w:rsidR="00767A52" w:rsidRDefault="00767A52" w:rsidP="00916600">
      <w:r w:rsidRPr="007F3476">
        <w:t xml:space="preserve">EU Scientific Committee </w:t>
      </w:r>
      <w:proofErr w:type="gramStart"/>
      <w:r w:rsidRPr="007F3476">
        <w:t>on Occupation</w:t>
      </w:r>
      <w:r>
        <w:t>al Exposure Limits (SCOEL) (2003</w:t>
      </w:r>
      <w:r w:rsidRPr="007F3476">
        <w:t xml:space="preserve">) Recommendation from the Scientific Committee on Occupational Exposure Limits for </w:t>
      </w:r>
      <w:r>
        <w:t>acrylonitrile</w:t>
      </w:r>
      <w:proofErr w:type="gramEnd"/>
      <w:r>
        <w:t>. SCOEL/SUM/104.</w:t>
      </w:r>
    </w:p>
    <w:p w14:paraId="31EAC085" w14:textId="40F9453A" w:rsidR="008738CD" w:rsidRDefault="008738CD" w:rsidP="00916600">
      <w:r w:rsidRPr="00710012">
        <w:t>International Agency for Research on Cancer (IARC) (</w:t>
      </w:r>
      <w:r>
        <w:t>1999</w:t>
      </w:r>
      <w:r w:rsidRPr="00710012">
        <w:t xml:space="preserve">) </w:t>
      </w:r>
      <w:r>
        <w:t>Acrylonitrile</w:t>
      </w:r>
      <w:r w:rsidRPr="00710012">
        <w:t>. IARC Monographs on the evaluation of the carcinogenic risk to humans.</w:t>
      </w:r>
      <w:r>
        <w:t xml:space="preserve"> </w:t>
      </w:r>
    </w:p>
    <w:p w14:paraId="15E87547" w14:textId="106DB5B8" w:rsidR="00C6720F" w:rsidRDefault="00C6720F" w:rsidP="00916600">
      <w:r w:rsidRPr="002123CB">
        <w:t>National Industrial Chemicals Notification and Assessment Scheme (NICNAS) (</w:t>
      </w:r>
      <w:r>
        <w:t>2000</w:t>
      </w:r>
      <w:r w:rsidRPr="002123CB">
        <w:t xml:space="preserve">) </w:t>
      </w:r>
      <w:r>
        <w:t>Acrylonitrile</w:t>
      </w:r>
      <w:r w:rsidRPr="002123CB">
        <w:t xml:space="preserve">: Priority Existing Chemical Assessment Report No. </w:t>
      </w:r>
      <w:r>
        <w:t>10</w:t>
      </w:r>
      <w:r w:rsidRPr="002123CB">
        <w:t>.</w:t>
      </w:r>
      <w:r w:rsidR="00ED05BF">
        <w:t xml:space="preserve"> </w:t>
      </w:r>
    </w:p>
    <w:p w14:paraId="11E7D8CC" w14:textId="35E199E3" w:rsidR="00BA5839" w:rsidRDefault="00BA5839" w:rsidP="00916600">
      <w:r w:rsidRPr="00BA5839">
        <w:t xml:space="preserve">UK Health and Safety Executive (HSE) </w:t>
      </w:r>
      <w:r w:rsidR="008738CD" w:rsidRPr="00BA5839">
        <w:t>(</w:t>
      </w:r>
      <w:r w:rsidR="008738CD">
        <w:t>2005</w:t>
      </w:r>
      <w:r w:rsidR="008738CD" w:rsidRPr="00BA5839">
        <w:t xml:space="preserve">) </w:t>
      </w:r>
      <w:r w:rsidR="00756013">
        <w:t xml:space="preserve">Acrylonitrile </w:t>
      </w:r>
      <w:r w:rsidR="00756013" w:rsidRPr="00BA5839">
        <w:t>–</w:t>
      </w:r>
      <w:r w:rsidRPr="00BA5839">
        <w:t xml:space="preserve"> EH64: Summary criteria for occupational exposure limits.</w:t>
      </w:r>
    </w:p>
    <w:p w14:paraId="0674BFD6" w14:textId="2AD96ECF" w:rsidR="00767A52" w:rsidRDefault="00756013" w:rsidP="00767A52">
      <w:r w:rsidRPr="00756013">
        <w:t>US Environmental Protection Agency (US EPA) (</w:t>
      </w:r>
      <w:r>
        <w:t>1987</w:t>
      </w:r>
      <w:r w:rsidRPr="00756013">
        <w:t xml:space="preserve">) Integrated Risk Information System (IRIS). </w:t>
      </w:r>
      <w:r>
        <w:t>Chemical Assessment Summary – Acrylonitrile.</w:t>
      </w:r>
      <w:r w:rsidR="00767A52" w:rsidRPr="00767A52">
        <w:t xml:space="preserve"> </w:t>
      </w:r>
    </w:p>
    <w:p w14:paraId="47F03149" w14:textId="727CD0C4" w:rsidR="00767A52" w:rsidRDefault="00767A52" w:rsidP="00767A52">
      <w:r w:rsidRPr="00181257">
        <w:t xml:space="preserve">US </w:t>
      </w:r>
      <w:r>
        <w:t xml:space="preserve">National institute for Occupational Safety and Health </w:t>
      </w:r>
      <w:r w:rsidRPr="00BE26F0">
        <w:t>(NIOSH) (2011)</w:t>
      </w:r>
      <w:r>
        <w:t xml:space="preserve"> Skin Notation Profiles</w:t>
      </w:r>
      <w:r w:rsidR="00C200F4">
        <w:t>:</w:t>
      </w:r>
      <w:r>
        <w:t xml:space="preserve"> Acrylonitrile</w:t>
      </w:r>
      <w:r w:rsidR="00C200F4">
        <w:t>.</w:t>
      </w:r>
    </w:p>
    <w:p w14:paraId="649F8E5E" w14:textId="77777777" w:rsidR="00756013" w:rsidRPr="00351FE0" w:rsidRDefault="00756013" w:rsidP="00916600"/>
    <w:sectPr w:rsidR="00756013" w:rsidRPr="00351FE0" w:rsidSect="00B87D4C">
      <w:headerReference w:type="default" r:id="rId14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BD82DB" w16cid:durableId="20EBF904"/>
  <w16cid:commentId w16cid:paraId="0359B6C4" w16cid:durableId="20EBFAAE"/>
  <w16cid:commentId w16cid:paraId="4AF909D2" w16cid:durableId="20EBFB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2343B" w14:textId="77777777" w:rsidR="005209A0" w:rsidRDefault="005209A0" w:rsidP="00F43AD5">
      <w:pPr>
        <w:spacing w:after="0" w:line="240" w:lineRule="auto"/>
      </w:pPr>
      <w:r>
        <w:separator/>
      </w:r>
    </w:p>
  </w:endnote>
  <w:endnote w:type="continuationSeparator" w:id="0">
    <w:p w14:paraId="0B6D9B9D" w14:textId="77777777" w:rsidR="005209A0" w:rsidRDefault="005209A0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6C85A9E" w14:textId="77777777" w:rsidR="008A36CF" w:rsidRDefault="00B7145E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Acrylonitrile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107-13-1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2F494980" w14:textId="55CB1F77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E752A5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7A551" w14:textId="77777777" w:rsidR="005209A0" w:rsidRDefault="005209A0" w:rsidP="00F43AD5">
      <w:pPr>
        <w:spacing w:after="0" w:line="240" w:lineRule="auto"/>
      </w:pPr>
      <w:r>
        <w:separator/>
      </w:r>
    </w:p>
  </w:footnote>
  <w:footnote w:type="continuationSeparator" w:id="0">
    <w:p w14:paraId="52D4767E" w14:textId="77777777" w:rsidR="005209A0" w:rsidRDefault="005209A0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83DBB" w14:textId="77777777" w:rsidR="008A36CF" w:rsidRDefault="00E752A5" w:rsidP="00F43AD5">
    <w:pPr>
      <w:pStyle w:val="Header"/>
      <w:jc w:val="right"/>
    </w:pPr>
    <w:sdt>
      <w:sdtPr>
        <w:id w:val="1440026601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1C8DB28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A36CF">
      <w:rPr>
        <w:noProof/>
        <w:lang w:eastAsia="en-AU"/>
      </w:rPr>
      <w:drawing>
        <wp:inline distT="0" distB="0" distL="0" distR="0" wp14:anchorId="03058815" wp14:editId="06424E39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310B8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6E0C6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7242A"/>
    <w:multiLevelType w:val="hybridMultilevel"/>
    <w:tmpl w:val="52B6A23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2C21"/>
    <w:rsid w:val="00013056"/>
    <w:rsid w:val="00013A22"/>
    <w:rsid w:val="00014C3F"/>
    <w:rsid w:val="00017C82"/>
    <w:rsid w:val="00027E33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87445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595"/>
    <w:rsid w:val="00160F47"/>
    <w:rsid w:val="00167ED5"/>
    <w:rsid w:val="00177CA1"/>
    <w:rsid w:val="00183823"/>
    <w:rsid w:val="00183942"/>
    <w:rsid w:val="001937C4"/>
    <w:rsid w:val="001A009E"/>
    <w:rsid w:val="001A121A"/>
    <w:rsid w:val="001A1287"/>
    <w:rsid w:val="001A3859"/>
    <w:rsid w:val="001A3C9D"/>
    <w:rsid w:val="001A43F8"/>
    <w:rsid w:val="001B79E5"/>
    <w:rsid w:val="001C495A"/>
    <w:rsid w:val="001D18FA"/>
    <w:rsid w:val="001D56F0"/>
    <w:rsid w:val="001D663B"/>
    <w:rsid w:val="001D7B41"/>
    <w:rsid w:val="001E2C67"/>
    <w:rsid w:val="001E46DA"/>
    <w:rsid w:val="001E78A7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35B83"/>
    <w:rsid w:val="00240C76"/>
    <w:rsid w:val="00244AD1"/>
    <w:rsid w:val="002463BC"/>
    <w:rsid w:val="002465CE"/>
    <w:rsid w:val="002515F0"/>
    <w:rsid w:val="0025734A"/>
    <w:rsid w:val="00263255"/>
    <w:rsid w:val="00276494"/>
    <w:rsid w:val="00277B0C"/>
    <w:rsid w:val="00285C7A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16E0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6699D"/>
    <w:rsid w:val="00370DBF"/>
    <w:rsid w:val="003827EF"/>
    <w:rsid w:val="003848EF"/>
    <w:rsid w:val="00386093"/>
    <w:rsid w:val="003863CA"/>
    <w:rsid w:val="003904A4"/>
    <w:rsid w:val="00391841"/>
    <w:rsid w:val="00391B6D"/>
    <w:rsid w:val="00394922"/>
    <w:rsid w:val="003A0E32"/>
    <w:rsid w:val="003A2B94"/>
    <w:rsid w:val="003A3ACD"/>
    <w:rsid w:val="003B387D"/>
    <w:rsid w:val="003C0D58"/>
    <w:rsid w:val="003C638F"/>
    <w:rsid w:val="003C773B"/>
    <w:rsid w:val="003D4FA3"/>
    <w:rsid w:val="003E0807"/>
    <w:rsid w:val="003E51FB"/>
    <w:rsid w:val="003E6B39"/>
    <w:rsid w:val="003F07E1"/>
    <w:rsid w:val="003F234D"/>
    <w:rsid w:val="003F6FE5"/>
    <w:rsid w:val="004030BC"/>
    <w:rsid w:val="00403F7D"/>
    <w:rsid w:val="00406785"/>
    <w:rsid w:val="004079B4"/>
    <w:rsid w:val="004136F7"/>
    <w:rsid w:val="00415F0F"/>
    <w:rsid w:val="00417A56"/>
    <w:rsid w:val="00420957"/>
    <w:rsid w:val="00422A10"/>
    <w:rsid w:val="0042731A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4FF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2D10"/>
    <w:rsid w:val="004A5088"/>
    <w:rsid w:val="004C1E3F"/>
    <w:rsid w:val="004C23F4"/>
    <w:rsid w:val="004C3475"/>
    <w:rsid w:val="004C58B6"/>
    <w:rsid w:val="004D16A3"/>
    <w:rsid w:val="004D4A2E"/>
    <w:rsid w:val="004D4AA1"/>
    <w:rsid w:val="004D6D68"/>
    <w:rsid w:val="004E4BD6"/>
    <w:rsid w:val="004E5EDD"/>
    <w:rsid w:val="004F448A"/>
    <w:rsid w:val="004F493D"/>
    <w:rsid w:val="004F65E8"/>
    <w:rsid w:val="0050005E"/>
    <w:rsid w:val="00502B88"/>
    <w:rsid w:val="005142C4"/>
    <w:rsid w:val="0051509C"/>
    <w:rsid w:val="005209A0"/>
    <w:rsid w:val="005272E2"/>
    <w:rsid w:val="0053108F"/>
    <w:rsid w:val="00532B56"/>
    <w:rsid w:val="00534B10"/>
    <w:rsid w:val="0054129C"/>
    <w:rsid w:val="005446A2"/>
    <w:rsid w:val="00544D2F"/>
    <w:rsid w:val="00551BD8"/>
    <w:rsid w:val="00552969"/>
    <w:rsid w:val="00552984"/>
    <w:rsid w:val="00563C61"/>
    <w:rsid w:val="00576910"/>
    <w:rsid w:val="00577338"/>
    <w:rsid w:val="00581055"/>
    <w:rsid w:val="00591E38"/>
    <w:rsid w:val="005A19C5"/>
    <w:rsid w:val="005A3034"/>
    <w:rsid w:val="005A462D"/>
    <w:rsid w:val="005B22A6"/>
    <w:rsid w:val="005B253B"/>
    <w:rsid w:val="005B771D"/>
    <w:rsid w:val="005C5D16"/>
    <w:rsid w:val="005D3193"/>
    <w:rsid w:val="005D4A6E"/>
    <w:rsid w:val="005D6FA6"/>
    <w:rsid w:val="005E6979"/>
    <w:rsid w:val="005E75CB"/>
    <w:rsid w:val="005E7BBA"/>
    <w:rsid w:val="005F60E5"/>
    <w:rsid w:val="006013C1"/>
    <w:rsid w:val="0060669E"/>
    <w:rsid w:val="00610F2E"/>
    <w:rsid w:val="00611399"/>
    <w:rsid w:val="00614BCA"/>
    <w:rsid w:val="00614BF3"/>
    <w:rsid w:val="00621E11"/>
    <w:rsid w:val="00621EC2"/>
    <w:rsid w:val="00623753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C76C5"/>
    <w:rsid w:val="006D79EA"/>
    <w:rsid w:val="006E24C8"/>
    <w:rsid w:val="006E5D05"/>
    <w:rsid w:val="006F437F"/>
    <w:rsid w:val="00701053"/>
    <w:rsid w:val="00701507"/>
    <w:rsid w:val="00707E6F"/>
    <w:rsid w:val="00711B30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6013"/>
    <w:rsid w:val="0075716D"/>
    <w:rsid w:val="00765F14"/>
    <w:rsid w:val="00766768"/>
    <w:rsid w:val="00767A52"/>
    <w:rsid w:val="00770E31"/>
    <w:rsid w:val="00771B8A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0397"/>
    <w:rsid w:val="007F1005"/>
    <w:rsid w:val="007F25E0"/>
    <w:rsid w:val="007F5328"/>
    <w:rsid w:val="00804F5A"/>
    <w:rsid w:val="00810C6D"/>
    <w:rsid w:val="00812887"/>
    <w:rsid w:val="008148EF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65FAD"/>
    <w:rsid w:val="00871147"/>
    <w:rsid w:val="00871CD5"/>
    <w:rsid w:val="008738CD"/>
    <w:rsid w:val="008745A2"/>
    <w:rsid w:val="008768A8"/>
    <w:rsid w:val="0088798F"/>
    <w:rsid w:val="00887E4B"/>
    <w:rsid w:val="008915C8"/>
    <w:rsid w:val="008A36CF"/>
    <w:rsid w:val="008A3BC4"/>
    <w:rsid w:val="008A4C56"/>
    <w:rsid w:val="008B403C"/>
    <w:rsid w:val="008B7983"/>
    <w:rsid w:val="008C0584"/>
    <w:rsid w:val="008C18B4"/>
    <w:rsid w:val="008C2511"/>
    <w:rsid w:val="008D026D"/>
    <w:rsid w:val="008D23AB"/>
    <w:rsid w:val="008D4B8B"/>
    <w:rsid w:val="008D5A78"/>
    <w:rsid w:val="008E7B64"/>
    <w:rsid w:val="008F5DCD"/>
    <w:rsid w:val="00900951"/>
    <w:rsid w:val="00903170"/>
    <w:rsid w:val="009118A6"/>
    <w:rsid w:val="00916600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0851"/>
    <w:rsid w:val="0099303A"/>
    <w:rsid w:val="009971C2"/>
    <w:rsid w:val="009A1254"/>
    <w:rsid w:val="009B1018"/>
    <w:rsid w:val="009B1959"/>
    <w:rsid w:val="009B2FF2"/>
    <w:rsid w:val="009B380C"/>
    <w:rsid w:val="009B4843"/>
    <w:rsid w:val="009B5D5B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3392"/>
    <w:rsid w:val="00A357BA"/>
    <w:rsid w:val="00A35ADC"/>
    <w:rsid w:val="00A402A3"/>
    <w:rsid w:val="00A41826"/>
    <w:rsid w:val="00A43C5A"/>
    <w:rsid w:val="00A53681"/>
    <w:rsid w:val="00A633D4"/>
    <w:rsid w:val="00A635C4"/>
    <w:rsid w:val="00A6461A"/>
    <w:rsid w:val="00A761C9"/>
    <w:rsid w:val="00A84504"/>
    <w:rsid w:val="00A8672F"/>
    <w:rsid w:val="00A93057"/>
    <w:rsid w:val="00A968B0"/>
    <w:rsid w:val="00AA3C2D"/>
    <w:rsid w:val="00AA769D"/>
    <w:rsid w:val="00AB2672"/>
    <w:rsid w:val="00AB2817"/>
    <w:rsid w:val="00AB2FF8"/>
    <w:rsid w:val="00AB43C4"/>
    <w:rsid w:val="00AC32E7"/>
    <w:rsid w:val="00AC3A9F"/>
    <w:rsid w:val="00AC6D2F"/>
    <w:rsid w:val="00AD0174"/>
    <w:rsid w:val="00AE2745"/>
    <w:rsid w:val="00AE2F64"/>
    <w:rsid w:val="00AE6A16"/>
    <w:rsid w:val="00AF0808"/>
    <w:rsid w:val="00AF19D9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069A"/>
    <w:rsid w:val="00B52316"/>
    <w:rsid w:val="00B52EDF"/>
    <w:rsid w:val="00B54272"/>
    <w:rsid w:val="00B71188"/>
    <w:rsid w:val="00B7145E"/>
    <w:rsid w:val="00B76128"/>
    <w:rsid w:val="00B76A41"/>
    <w:rsid w:val="00B824D7"/>
    <w:rsid w:val="00B83470"/>
    <w:rsid w:val="00B8705F"/>
    <w:rsid w:val="00B87D4C"/>
    <w:rsid w:val="00B93646"/>
    <w:rsid w:val="00BA0B38"/>
    <w:rsid w:val="00BA1DBB"/>
    <w:rsid w:val="00BA4510"/>
    <w:rsid w:val="00BA529A"/>
    <w:rsid w:val="00BA5839"/>
    <w:rsid w:val="00BB612A"/>
    <w:rsid w:val="00BC3D34"/>
    <w:rsid w:val="00BD499F"/>
    <w:rsid w:val="00BD56DE"/>
    <w:rsid w:val="00BE26F0"/>
    <w:rsid w:val="00BE48C2"/>
    <w:rsid w:val="00BF2406"/>
    <w:rsid w:val="00C16315"/>
    <w:rsid w:val="00C17E42"/>
    <w:rsid w:val="00C200F4"/>
    <w:rsid w:val="00C3091E"/>
    <w:rsid w:val="00C40FF1"/>
    <w:rsid w:val="00C419E2"/>
    <w:rsid w:val="00C5020E"/>
    <w:rsid w:val="00C57452"/>
    <w:rsid w:val="00C61EDF"/>
    <w:rsid w:val="00C6239D"/>
    <w:rsid w:val="00C62E14"/>
    <w:rsid w:val="00C6594B"/>
    <w:rsid w:val="00C6720F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A5EF0"/>
    <w:rsid w:val="00CA7AE8"/>
    <w:rsid w:val="00CB1CB1"/>
    <w:rsid w:val="00CB65F7"/>
    <w:rsid w:val="00CB6BC1"/>
    <w:rsid w:val="00CB6CB8"/>
    <w:rsid w:val="00CC1A68"/>
    <w:rsid w:val="00CC2123"/>
    <w:rsid w:val="00CD2BFD"/>
    <w:rsid w:val="00CE5AD6"/>
    <w:rsid w:val="00CE5C73"/>
    <w:rsid w:val="00CE617F"/>
    <w:rsid w:val="00CE78EF"/>
    <w:rsid w:val="00D048F7"/>
    <w:rsid w:val="00D0517E"/>
    <w:rsid w:val="00D140FC"/>
    <w:rsid w:val="00D16AF5"/>
    <w:rsid w:val="00D21D8C"/>
    <w:rsid w:val="00D24D30"/>
    <w:rsid w:val="00D31357"/>
    <w:rsid w:val="00D33220"/>
    <w:rsid w:val="00D334D1"/>
    <w:rsid w:val="00D44C89"/>
    <w:rsid w:val="00D516CD"/>
    <w:rsid w:val="00D518E2"/>
    <w:rsid w:val="00D637A3"/>
    <w:rsid w:val="00D668E6"/>
    <w:rsid w:val="00D70670"/>
    <w:rsid w:val="00D74D80"/>
    <w:rsid w:val="00D76624"/>
    <w:rsid w:val="00D804DB"/>
    <w:rsid w:val="00D85C6C"/>
    <w:rsid w:val="00D87570"/>
    <w:rsid w:val="00D91CB9"/>
    <w:rsid w:val="00D97989"/>
    <w:rsid w:val="00D97D8D"/>
    <w:rsid w:val="00DA352E"/>
    <w:rsid w:val="00DB5CC6"/>
    <w:rsid w:val="00DC7694"/>
    <w:rsid w:val="00DD1BF6"/>
    <w:rsid w:val="00DD2F9B"/>
    <w:rsid w:val="00DD7953"/>
    <w:rsid w:val="00DE2513"/>
    <w:rsid w:val="00DE26E8"/>
    <w:rsid w:val="00DE7A0A"/>
    <w:rsid w:val="00DE7F71"/>
    <w:rsid w:val="00DF6F36"/>
    <w:rsid w:val="00E0084C"/>
    <w:rsid w:val="00E025AB"/>
    <w:rsid w:val="00E02B23"/>
    <w:rsid w:val="00E06F40"/>
    <w:rsid w:val="00E07CE8"/>
    <w:rsid w:val="00E1772E"/>
    <w:rsid w:val="00E26A07"/>
    <w:rsid w:val="00E319B7"/>
    <w:rsid w:val="00E32595"/>
    <w:rsid w:val="00E37CFD"/>
    <w:rsid w:val="00E41A26"/>
    <w:rsid w:val="00E46BCB"/>
    <w:rsid w:val="00E51CAF"/>
    <w:rsid w:val="00E60D66"/>
    <w:rsid w:val="00E60F04"/>
    <w:rsid w:val="00E61BFB"/>
    <w:rsid w:val="00E62AAC"/>
    <w:rsid w:val="00E67C2F"/>
    <w:rsid w:val="00E67EF5"/>
    <w:rsid w:val="00E752A5"/>
    <w:rsid w:val="00E804EA"/>
    <w:rsid w:val="00E80A71"/>
    <w:rsid w:val="00E82190"/>
    <w:rsid w:val="00E82337"/>
    <w:rsid w:val="00E856F2"/>
    <w:rsid w:val="00E900C7"/>
    <w:rsid w:val="00E92499"/>
    <w:rsid w:val="00E949AF"/>
    <w:rsid w:val="00E96077"/>
    <w:rsid w:val="00EA0A06"/>
    <w:rsid w:val="00EA6243"/>
    <w:rsid w:val="00EA74AB"/>
    <w:rsid w:val="00EB3D1B"/>
    <w:rsid w:val="00EB72AB"/>
    <w:rsid w:val="00EC2DAC"/>
    <w:rsid w:val="00ED05BF"/>
    <w:rsid w:val="00ED1D89"/>
    <w:rsid w:val="00ED36F7"/>
    <w:rsid w:val="00ED66BC"/>
    <w:rsid w:val="00EF233A"/>
    <w:rsid w:val="00EF303E"/>
    <w:rsid w:val="00EF3A40"/>
    <w:rsid w:val="00EF3D5D"/>
    <w:rsid w:val="00EF7805"/>
    <w:rsid w:val="00EF7F78"/>
    <w:rsid w:val="00F01B08"/>
    <w:rsid w:val="00F01C4D"/>
    <w:rsid w:val="00F04085"/>
    <w:rsid w:val="00F053FA"/>
    <w:rsid w:val="00F10C97"/>
    <w:rsid w:val="00F11C71"/>
    <w:rsid w:val="00F16019"/>
    <w:rsid w:val="00F161C4"/>
    <w:rsid w:val="00F20E68"/>
    <w:rsid w:val="00F22093"/>
    <w:rsid w:val="00F236DF"/>
    <w:rsid w:val="00F318A2"/>
    <w:rsid w:val="00F43AD5"/>
    <w:rsid w:val="00F4402E"/>
    <w:rsid w:val="00F50729"/>
    <w:rsid w:val="00F56DD0"/>
    <w:rsid w:val="00F6491C"/>
    <w:rsid w:val="00F67BBB"/>
    <w:rsid w:val="00F813F1"/>
    <w:rsid w:val="00F87D92"/>
    <w:rsid w:val="00F90AA7"/>
    <w:rsid w:val="00F92498"/>
    <w:rsid w:val="00F9496B"/>
    <w:rsid w:val="00F970C9"/>
    <w:rsid w:val="00FA06A8"/>
    <w:rsid w:val="00FA17CA"/>
    <w:rsid w:val="00FA234B"/>
    <w:rsid w:val="00FA3DF5"/>
    <w:rsid w:val="00FA741F"/>
    <w:rsid w:val="00FB2C90"/>
    <w:rsid w:val="00FB4E07"/>
    <w:rsid w:val="00FB5969"/>
    <w:rsid w:val="00FB755A"/>
    <w:rsid w:val="00FC1CDC"/>
    <w:rsid w:val="00FC60A2"/>
    <w:rsid w:val="00FC729C"/>
    <w:rsid w:val="00FD1871"/>
    <w:rsid w:val="00FD3110"/>
    <w:rsid w:val="00FE3069"/>
    <w:rsid w:val="00FE3A2C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6321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C17E42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7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44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4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445"/>
    <w:rPr>
      <w:b/>
      <w:bCs/>
      <w:szCs w:val="20"/>
    </w:rPr>
  </w:style>
  <w:style w:type="paragraph" w:styleId="Revision">
    <w:name w:val="Revision"/>
    <w:hidden/>
    <w:uiPriority w:val="99"/>
    <w:semiHidden/>
    <w:rsid w:val="00D804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cgih.org/tlv-bei-guidelines/policies-procedures-presentation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8DD754E365844A4E82EC69A07E229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DDB53-9FC4-45A7-A37C-FDECC7AE23CB}"/>
      </w:docPartPr>
      <w:docPartBody>
        <w:p w:rsidR="00D21A9F" w:rsidRDefault="00D21A9F">
          <w:pPr>
            <w:pStyle w:val="8DD754E365844A4E82EC69A07E229629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047AD93791DC493F8562BB3488160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F63B6-C115-4EF7-97B0-A1A4995B6C1D}"/>
      </w:docPartPr>
      <w:docPartBody>
        <w:p w:rsidR="00D21A9F" w:rsidRDefault="00D21A9F">
          <w:pPr>
            <w:pStyle w:val="047AD93791DC493F8562BB3488160D64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7B0BAA2441D5427984E6018FB3890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75C92-832B-40AB-8BE2-B7067B457426}"/>
      </w:docPartPr>
      <w:docPartBody>
        <w:p w:rsidR="00D21A9F" w:rsidRDefault="00D21A9F">
          <w:pPr>
            <w:pStyle w:val="7B0BAA2441D5427984E6018FB38900E7"/>
          </w:pPr>
          <w:r w:rsidRPr="00CA109A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1D38B030D146B59436754F8399D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D45D3-FCC7-4128-9931-F2D9B6FFD50C}"/>
      </w:docPartPr>
      <w:docPartBody>
        <w:p w:rsidR="00D21A9F" w:rsidRDefault="00D21A9F">
          <w:pPr>
            <w:pStyle w:val="5C1D38B030D146B59436754F8399D502"/>
          </w:pPr>
          <w:r w:rsidRPr="00121186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6D8D8041F89E468FB77708C9FD80C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E93C3-C479-430D-A32E-3F985F6C8898}"/>
      </w:docPartPr>
      <w:docPartBody>
        <w:p w:rsidR="00EA188A" w:rsidRDefault="008D107B" w:rsidP="008D107B">
          <w:pPr>
            <w:pStyle w:val="6D8D8041F89E468FB77708C9FD80C16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87D4CEB85AF6495081607550E08B2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2CA81-217A-4E2C-8BA8-06754E8F2CF0}"/>
      </w:docPartPr>
      <w:docPartBody>
        <w:p w:rsidR="00EA188A" w:rsidRDefault="008D107B" w:rsidP="008D107B">
          <w:pPr>
            <w:pStyle w:val="87D4CEB85AF6495081607550E08B2F0F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D521CAA0A2F8473A9F60EBCBA86EC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08310-EBEB-4BD3-B453-94AA95875E53}"/>
      </w:docPartPr>
      <w:docPartBody>
        <w:p w:rsidR="00EA188A" w:rsidRDefault="008D107B" w:rsidP="008D107B">
          <w:pPr>
            <w:pStyle w:val="D521CAA0A2F8473A9F60EBCBA86ECEB7"/>
          </w:pPr>
          <w:r w:rsidRPr="00724F1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84E1C"/>
    <w:rsid w:val="00112E96"/>
    <w:rsid w:val="00164C15"/>
    <w:rsid w:val="001824CF"/>
    <w:rsid w:val="001D73E3"/>
    <w:rsid w:val="002804F5"/>
    <w:rsid w:val="0048789F"/>
    <w:rsid w:val="004A3F91"/>
    <w:rsid w:val="005B357E"/>
    <w:rsid w:val="0070320F"/>
    <w:rsid w:val="00752506"/>
    <w:rsid w:val="008A41BB"/>
    <w:rsid w:val="008D107B"/>
    <w:rsid w:val="00D21A9F"/>
    <w:rsid w:val="00EA188A"/>
    <w:rsid w:val="00F0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07B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6D8D8041F89E468FB77708C9FD80C162">
    <w:name w:val="6D8D8041F89E468FB77708C9FD80C162"/>
    <w:rsid w:val="008D107B"/>
  </w:style>
  <w:style w:type="paragraph" w:customStyle="1" w:styleId="3350B4D36F7545F7948862BDBDDC9991">
    <w:name w:val="3350B4D36F7545F7948862BDBDDC9991"/>
    <w:rsid w:val="008D107B"/>
  </w:style>
  <w:style w:type="paragraph" w:customStyle="1" w:styleId="1B270ABCC256448587F9D130E54A3BEF">
    <w:name w:val="1B270ABCC256448587F9D130E54A3BEF"/>
    <w:rsid w:val="008D107B"/>
  </w:style>
  <w:style w:type="paragraph" w:customStyle="1" w:styleId="87D4CEB85AF6495081607550E08B2F0F">
    <w:name w:val="87D4CEB85AF6495081607550E08B2F0F"/>
    <w:rsid w:val="008D107B"/>
  </w:style>
  <w:style w:type="paragraph" w:customStyle="1" w:styleId="D521CAA0A2F8473A9F60EBCBA86ECEB7">
    <w:name w:val="D521CAA0A2F8473A9F60EBCBA86ECEB7"/>
    <w:rsid w:val="008D107B"/>
  </w:style>
  <w:style w:type="paragraph" w:customStyle="1" w:styleId="37F2D9D712574C8DBF866C72E957CDC5">
    <w:name w:val="37F2D9D712574C8DBF866C72E957CDC5"/>
    <w:rsid w:val="008D107B"/>
  </w:style>
  <w:style w:type="paragraph" w:customStyle="1" w:styleId="39A5C61044E4442CBD68846D984423A5">
    <w:name w:val="39A5C61044E4442CBD68846D984423A5"/>
    <w:rsid w:val="008D10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FCFB4-0880-4C39-9D92-534152C8B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F73DBA-6A07-457D-AA6E-CC8E210B22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BA894-89BC-4C6D-9FB3-D32818044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97831E-7AF4-4A16-8577-C7203900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CB5C1DCE.dotm</Template>
  <TotalTime>0</TotalTime>
  <Pages>6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2019-06-23T20:13:00Z</dcterms:created>
  <dcterms:modified xsi:type="dcterms:W3CDTF">2019-08-12T06:26:00Z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