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DD449B9" w14:textId="77777777" w:rsidR="00BD499F" w:rsidRPr="004C23F4" w:rsidRDefault="00F4763B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Aldrin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0"/>
        <w:gridCol w:w="5056"/>
      </w:tblGrid>
      <w:tr w:rsidR="00F43AD5" w:rsidRPr="004C23F4" w14:paraId="6AF4AC27" w14:textId="77777777" w:rsidTr="00B76A41">
        <w:trPr>
          <w:cantSplit/>
          <w:tblHeader/>
        </w:trPr>
        <w:tc>
          <w:tcPr>
            <w:tcW w:w="4077" w:type="dxa"/>
          </w:tcPr>
          <w:p w14:paraId="241CF5E1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06119102" w14:textId="77777777" w:rsidR="00F43AD5" w:rsidRPr="00527534" w:rsidRDefault="00A3624F" w:rsidP="00B76A41">
            <w:pPr>
              <w:pStyle w:val="Tablefont"/>
            </w:pPr>
            <w:r w:rsidRPr="00527534">
              <w:t>309-00-2</w:t>
            </w:r>
          </w:p>
        </w:tc>
      </w:tr>
      <w:tr w:rsidR="00F43AD5" w:rsidRPr="004C23F4" w14:paraId="17F4DAC8" w14:textId="77777777" w:rsidTr="002F4EC7">
        <w:trPr>
          <w:cantSplit/>
        </w:trPr>
        <w:tc>
          <w:tcPr>
            <w:tcW w:w="4077" w:type="dxa"/>
          </w:tcPr>
          <w:p w14:paraId="477D375F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  <w:shd w:val="clear" w:color="auto" w:fill="FFFFFF" w:themeFill="background1"/>
          </w:tcPr>
          <w:p w14:paraId="29C2243C" w14:textId="77777777" w:rsidR="00F43AD5" w:rsidRPr="00527534" w:rsidRDefault="00527534" w:rsidP="00527534">
            <w:r w:rsidRPr="00527534">
              <w:t>1,2,3,4,10,10-Hexachloro-1,4,4a,5,8,8a-hexahydro-1,4:5,8-dimethanonaphthalene</w:t>
            </w:r>
            <w:r w:rsidR="008318A5">
              <w:t>,</w:t>
            </w:r>
            <w:r w:rsidRPr="00527534">
              <w:t xml:space="preserve"> HHDN</w:t>
            </w:r>
            <w:r w:rsidR="008318A5">
              <w:t>,</w:t>
            </w:r>
            <w:r w:rsidRPr="00527534">
              <w:t xml:space="preserve"> </w:t>
            </w:r>
            <w:proofErr w:type="spellStart"/>
            <w:r w:rsidRPr="00527534">
              <w:t>octalene</w:t>
            </w:r>
            <w:proofErr w:type="spellEnd"/>
          </w:p>
        </w:tc>
      </w:tr>
      <w:tr w:rsidR="00F43AD5" w:rsidRPr="004C23F4" w14:paraId="1B53B02A" w14:textId="77777777" w:rsidTr="00B76A41">
        <w:trPr>
          <w:cantSplit/>
        </w:trPr>
        <w:tc>
          <w:tcPr>
            <w:tcW w:w="4077" w:type="dxa"/>
          </w:tcPr>
          <w:p w14:paraId="2779DAFD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08D2D575" w14:textId="77777777" w:rsidR="00F43AD5" w:rsidRPr="00527534" w:rsidRDefault="007C41A5" w:rsidP="00B76A41">
            <w:pPr>
              <w:pStyle w:val="Tablefont"/>
            </w:pPr>
            <w:r w:rsidRPr="00527534">
              <w:t>C</w:t>
            </w:r>
            <w:r w:rsidRPr="00527534">
              <w:rPr>
                <w:vertAlign w:val="subscript"/>
              </w:rPr>
              <w:t>12</w:t>
            </w:r>
            <w:r w:rsidRPr="00527534">
              <w:t>H</w:t>
            </w:r>
            <w:r w:rsidRPr="00527534">
              <w:rPr>
                <w:vertAlign w:val="subscript"/>
              </w:rPr>
              <w:t>8</w:t>
            </w:r>
            <w:r w:rsidRPr="00527534">
              <w:t>Cl</w:t>
            </w:r>
            <w:r w:rsidRPr="00527534">
              <w:rPr>
                <w:vertAlign w:val="subscript"/>
              </w:rPr>
              <w:t>6</w:t>
            </w:r>
          </w:p>
        </w:tc>
      </w:tr>
      <w:tr w:rsidR="00F43AD5" w:rsidRPr="004C23F4" w14:paraId="24A4987D" w14:textId="77777777" w:rsidTr="00B76A41">
        <w:trPr>
          <w:cantSplit/>
        </w:trPr>
        <w:tc>
          <w:tcPr>
            <w:tcW w:w="4077" w:type="dxa"/>
          </w:tcPr>
          <w:p w14:paraId="7499F9BF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520F00F5" w14:textId="77777777" w:rsidR="00F43AD5" w:rsidRPr="00527534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597AB2F3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727225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2C0B46AE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532FEF50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70FCC480" w14:textId="77777777" w:rsidR="002C7AFE" w:rsidRPr="00727225" w:rsidRDefault="00727225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0.05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7EA8072B" w14:textId="77777777" w:rsidTr="00921DE7">
        <w:trPr>
          <w:cantSplit/>
        </w:trPr>
        <w:tc>
          <w:tcPr>
            <w:tcW w:w="4077" w:type="dxa"/>
            <w:vAlign w:val="center"/>
          </w:tcPr>
          <w:p w14:paraId="47A35581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60141CF7" w14:textId="77777777" w:rsidR="002C7AFE" w:rsidRPr="00EB3D1B" w:rsidRDefault="00EB19F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8C134B4" w14:textId="77777777" w:rsidTr="00921DE7">
        <w:trPr>
          <w:cantSplit/>
        </w:trPr>
        <w:tc>
          <w:tcPr>
            <w:tcW w:w="4077" w:type="dxa"/>
            <w:vAlign w:val="center"/>
          </w:tcPr>
          <w:p w14:paraId="0F27FBDA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0BF59E29" w14:textId="77777777" w:rsidR="002C7AFE" w:rsidRPr="00EB3D1B" w:rsidRDefault="00EB19F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D86414D" w14:textId="77777777" w:rsidTr="00A2073D">
        <w:trPr>
          <w:cantSplit/>
        </w:trPr>
        <w:tc>
          <w:tcPr>
            <w:tcW w:w="4077" w:type="dxa"/>
          </w:tcPr>
          <w:p w14:paraId="570FC4DE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13004C92" w14:textId="77777777" w:rsidR="002C7AFE" w:rsidRPr="00EB3D1B" w:rsidRDefault="000F2C4D" w:rsidP="008A36CF">
            <w:pPr>
              <w:pStyle w:val="Tablefont"/>
              <w:rPr>
                <w:b/>
              </w:rPr>
            </w:pPr>
            <w:proofErr w:type="spellStart"/>
            <w:r>
              <w:rPr>
                <w:b/>
              </w:rPr>
              <w:t>Carc</w:t>
            </w:r>
            <w:proofErr w:type="spellEnd"/>
            <w:r>
              <w:rPr>
                <w:b/>
              </w:rPr>
              <w:t>. 2</w:t>
            </w:r>
            <w:r w:rsidR="008318A5">
              <w:rPr>
                <w:b/>
              </w:rPr>
              <w:t>,</w:t>
            </w:r>
            <w:r>
              <w:rPr>
                <w:b/>
              </w:rPr>
              <w:t xml:space="preserve"> Sk.</w:t>
            </w:r>
          </w:p>
        </w:tc>
      </w:tr>
      <w:tr w:rsidR="002C7AFE" w:rsidRPr="004C23F4" w14:paraId="27A658FE" w14:textId="77777777" w:rsidTr="00921DE7">
        <w:trPr>
          <w:cantSplit/>
        </w:trPr>
        <w:tc>
          <w:tcPr>
            <w:tcW w:w="4077" w:type="dxa"/>
            <w:vAlign w:val="center"/>
          </w:tcPr>
          <w:p w14:paraId="4A1AC006" w14:textId="37DE2720" w:rsidR="00F10C97" w:rsidRPr="002C58FF" w:rsidRDefault="00921DE7" w:rsidP="00483BB9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7F457BAB" w14:textId="77777777" w:rsidR="002C7AFE" w:rsidRPr="009937B4" w:rsidRDefault="009937B4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25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483BB9" w:rsidRPr="004C23F4" w14:paraId="479543FA" w14:textId="77777777" w:rsidTr="00483BB9">
        <w:trPr>
          <w:cantSplit/>
        </w:trPr>
        <w:tc>
          <w:tcPr>
            <w:tcW w:w="4077" w:type="dxa"/>
          </w:tcPr>
          <w:p w14:paraId="2C30131A" w14:textId="6490FA47" w:rsidR="00483BB9" w:rsidRDefault="00483BB9" w:rsidP="00483BB9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4B599AD2" w14:textId="4B363336" w:rsidR="00483BB9" w:rsidRPr="00483BB9" w:rsidRDefault="00483BB9" w:rsidP="00017C82">
            <w:pPr>
              <w:pStyle w:val="Tablefont"/>
            </w:pPr>
            <w:r w:rsidRPr="00483BB9">
              <w:t>There is uncertainty regarding quantification of the recommended value with currently available sampling and/or analysis techniques.</w:t>
            </w:r>
          </w:p>
        </w:tc>
      </w:tr>
    </w:tbl>
    <w:p w14:paraId="33B0C424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F6177F1" w14:textId="77777777" w:rsidR="006639B4" w:rsidRPr="00727225" w:rsidRDefault="00727225" w:rsidP="000C139A">
      <w:pPr>
        <w:rPr>
          <w:rFonts w:cs="Arial"/>
        </w:rPr>
      </w:pPr>
      <w:r>
        <w:rPr>
          <w:rFonts w:cs="Arial"/>
        </w:rPr>
        <w:t>A TWA of 0.05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is recommended</w:t>
      </w:r>
      <w:proofErr w:type="gramEnd"/>
      <w:r>
        <w:rPr>
          <w:rFonts w:cs="Arial"/>
        </w:rPr>
        <w:t xml:space="preserve"> to </w:t>
      </w:r>
      <w:r w:rsidR="0011264D">
        <w:rPr>
          <w:rFonts w:cs="Arial"/>
        </w:rPr>
        <w:t>protect</w:t>
      </w:r>
      <w:r w:rsidRPr="00727225">
        <w:rPr>
          <w:rFonts w:cs="Arial"/>
        </w:rPr>
        <w:t xml:space="preserve"> for central nervous system (CNS), kidney and liver effects in </w:t>
      </w:r>
      <w:r w:rsidR="00A83588">
        <w:rPr>
          <w:rFonts w:cs="Arial"/>
        </w:rPr>
        <w:t>exposed workers</w:t>
      </w:r>
      <w:r w:rsidR="00EB19F1">
        <w:rPr>
          <w:rFonts w:cs="Arial"/>
        </w:rPr>
        <w:t>.</w:t>
      </w:r>
    </w:p>
    <w:p w14:paraId="79430A60" w14:textId="77777777" w:rsidR="00C7155E" w:rsidRPr="004C23F4" w:rsidRDefault="00F10C97" w:rsidP="003365A5">
      <w:pPr>
        <w:pStyle w:val="Heading2"/>
      </w:pPr>
      <w:r>
        <w:t>Discussion and conclusions</w:t>
      </w:r>
    </w:p>
    <w:p w14:paraId="1BF1FD10" w14:textId="2C7ADA03" w:rsidR="006639B4" w:rsidRDefault="00727225" w:rsidP="006639B4">
      <w:pPr>
        <w:rPr>
          <w:rFonts w:cs="Arial"/>
        </w:rPr>
      </w:pPr>
      <w:r>
        <w:rPr>
          <w:rFonts w:cs="Arial"/>
        </w:rPr>
        <w:t>Aldrin is an insecticide</w:t>
      </w:r>
      <w:r w:rsidR="00EB19F1">
        <w:rPr>
          <w:rFonts w:cs="Arial"/>
        </w:rPr>
        <w:t xml:space="preserve"> similar in toxicity to </w:t>
      </w:r>
      <w:proofErr w:type="spellStart"/>
      <w:r w:rsidR="00EB19F1">
        <w:rPr>
          <w:rFonts w:cs="Arial"/>
        </w:rPr>
        <w:t>dieldrin</w:t>
      </w:r>
      <w:proofErr w:type="spellEnd"/>
      <w:r w:rsidR="00EB19F1">
        <w:rPr>
          <w:rFonts w:cs="Arial"/>
        </w:rPr>
        <w:t>,</w:t>
      </w:r>
      <w:r>
        <w:rPr>
          <w:rFonts w:cs="Arial"/>
        </w:rPr>
        <w:t xml:space="preserve"> </w:t>
      </w:r>
      <w:r w:rsidR="00BD432C">
        <w:rPr>
          <w:rFonts w:cs="Arial"/>
        </w:rPr>
        <w:t>with</w:t>
      </w:r>
      <w:r w:rsidR="00CE64B9">
        <w:rPr>
          <w:rFonts w:cs="Arial"/>
        </w:rPr>
        <w:t xml:space="preserve"> critical </w:t>
      </w:r>
      <w:r w:rsidR="002F4EC7">
        <w:rPr>
          <w:rFonts w:cs="Arial"/>
        </w:rPr>
        <w:t>effects on CNS</w:t>
      </w:r>
      <w:r w:rsidR="00FC2F93">
        <w:rPr>
          <w:rFonts w:cs="Arial"/>
        </w:rPr>
        <w:t xml:space="preserve">, liver and kidneys. Workers exposed to </w:t>
      </w:r>
      <w:proofErr w:type="gramStart"/>
      <w:r w:rsidR="00FC2F93">
        <w:rPr>
          <w:rFonts w:cs="Arial"/>
        </w:rPr>
        <w:t>1</w:t>
      </w:r>
      <w:proofErr w:type="gramEnd"/>
      <w:r w:rsidR="00FC2F93">
        <w:rPr>
          <w:rFonts w:cs="Arial"/>
        </w:rPr>
        <w:t xml:space="preserve"> to 3 mg/m</w:t>
      </w:r>
      <w:r w:rsidR="00FC2F93">
        <w:rPr>
          <w:rFonts w:cs="Arial"/>
          <w:vertAlign w:val="superscript"/>
        </w:rPr>
        <w:t>3</w:t>
      </w:r>
      <w:r w:rsidR="00FC2F93" w:rsidRPr="008C0088">
        <w:rPr>
          <w:rFonts w:cs="Arial"/>
        </w:rPr>
        <w:t xml:space="preserve"> </w:t>
      </w:r>
      <w:r w:rsidR="00FC2F93">
        <w:rPr>
          <w:rFonts w:cs="Arial"/>
        </w:rPr>
        <w:t xml:space="preserve">at the workplace for up to three years reported </w:t>
      </w:r>
      <w:r w:rsidR="00BD432C">
        <w:rPr>
          <w:rFonts w:cs="Arial"/>
        </w:rPr>
        <w:t>no</w:t>
      </w:r>
      <w:r w:rsidR="00FC2F93">
        <w:rPr>
          <w:rFonts w:cs="Arial"/>
        </w:rPr>
        <w:t xml:space="preserve"> adverse health effects. Similarly, various historic </w:t>
      </w:r>
      <w:r w:rsidR="00BD432C">
        <w:rPr>
          <w:rFonts w:cs="Arial"/>
        </w:rPr>
        <w:t xml:space="preserve">worker </w:t>
      </w:r>
      <w:r w:rsidR="00FC2F93">
        <w:rPr>
          <w:rFonts w:cs="Arial"/>
        </w:rPr>
        <w:t xml:space="preserve">studies </w:t>
      </w:r>
      <w:r w:rsidR="00BD432C">
        <w:rPr>
          <w:rFonts w:cs="Arial"/>
        </w:rPr>
        <w:t>with</w:t>
      </w:r>
      <w:r w:rsidR="00FC2F93">
        <w:rPr>
          <w:rFonts w:cs="Arial"/>
        </w:rPr>
        <w:t xml:space="preserve"> intakes of 90 to 1,019 µg/kg have not demonstrated </w:t>
      </w:r>
      <w:r w:rsidR="00FC2F93" w:rsidRPr="00FC2F93">
        <w:rPr>
          <w:rFonts w:cs="Arial"/>
        </w:rPr>
        <w:t>adverse effect</w:t>
      </w:r>
      <w:r w:rsidR="00FC2F93">
        <w:rPr>
          <w:rFonts w:cs="Arial"/>
        </w:rPr>
        <w:t>s</w:t>
      </w:r>
      <w:r w:rsidR="00FC2F93" w:rsidRPr="00FC2F93">
        <w:rPr>
          <w:rFonts w:cs="Arial"/>
        </w:rPr>
        <w:t xml:space="preserve"> on life expectancy or cancer incidence</w:t>
      </w:r>
      <w:r w:rsidR="00FC2F93">
        <w:rPr>
          <w:rFonts w:cs="Arial"/>
        </w:rPr>
        <w:t xml:space="preserve"> (ACGIH, 2018). </w:t>
      </w:r>
      <w:r w:rsidR="00CE64B9" w:rsidRPr="00CE64B9">
        <w:rPr>
          <w:rFonts w:cs="Arial"/>
        </w:rPr>
        <w:t>No adverse effects</w:t>
      </w:r>
      <w:r w:rsidR="00CE64B9">
        <w:rPr>
          <w:rFonts w:cs="Arial"/>
        </w:rPr>
        <w:t xml:space="preserve"> </w:t>
      </w:r>
      <w:proofErr w:type="gramStart"/>
      <w:r w:rsidR="00CE64B9">
        <w:rPr>
          <w:rFonts w:cs="Arial"/>
        </w:rPr>
        <w:t>were reported</w:t>
      </w:r>
      <w:proofErr w:type="gramEnd"/>
      <w:r w:rsidR="00CE64B9" w:rsidRPr="00CE64B9">
        <w:rPr>
          <w:rFonts w:cs="Arial"/>
        </w:rPr>
        <w:t xml:space="preserve"> in 36 male manufacturing plant workers exposed to 5 mg/m</w:t>
      </w:r>
      <w:r w:rsidR="00CE64B9" w:rsidRPr="00BD432C">
        <w:rPr>
          <w:rFonts w:cs="Arial"/>
          <w:vertAlign w:val="superscript"/>
        </w:rPr>
        <w:t>3</w:t>
      </w:r>
      <w:r w:rsidR="00CE64B9" w:rsidRPr="00CE64B9">
        <w:rPr>
          <w:rFonts w:cs="Arial"/>
        </w:rPr>
        <w:t xml:space="preserve"> for </w:t>
      </w:r>
      <w:r w:rsidR="00EB19F1">
        <w:rPr>
          <w:rFonts w:cs="Arial"/>
        </w:rPr>
        <w:t>three</w:t>
      </w:r>
      <w:r w:rsidR="00CE64B9" w:rsidRPr="00CE64B9">
        <w:rPr>
          <w:rFonts w:cs="Arial"/>
        </w:rPr>
        <w:t xml:space="preserve"> years</w:t>
      </w:r>
      <w:r w:rsidR="00CE64B9">
        <w:rPr>
          <w:rFonts w:cs="Arial"/>
        </w:rPr>
        <w:t xml:space="preserve">. </w:t>
      </w:r>
      <w:r w:rsidR="00FC2F93" w:rsidRPr="00FC2F93">
        <w:rPr>
          <w:rFonts w:cs="Arial"/>
        </w:rPr>
        <w:t>Toxic effects from accidental acute exposures</w:t>
      </w:r>
      <w:r w:rsidR="00FC2F93">
        <w:rPr>
          <w:rFonts w:cs="Arial"/>
        </w:rPr>
        <w:t xml:space="preserve"> </w:t>
      </w:r>
      <w:proofErr w:type="gramStart"/>
      <w:r w:rsidR="00FC2F93">
        <w:rPr>
          <w:rFonts w:cs="Arial"/>
        </w:rPr>
        <w:t>have been</w:t>
      </w:r>
      <w:r w:rsidR="00FC2F93" w:rsidRPr="00FC2F93">
        <w:rPr>
          <w:rFonts w:cs="Arial"/>
        </w:rPr>
        <w:t xml:space="preserve"> reported</w:t>
      </w:r>
      <w:proofErr w:type="gramEnd"/>
      <w:r w:rsidR="00FC2F93" w:rsidRPr="00FC2F93">
        <w:rPr>
          <w:rFonts w:cs="Arial"/>
        </w:rPr>
        <w:t xml:space="preserve"> to reverse rapidly</w:t>
      </w:r>
      <w:r w:rsidR="002F4EC7">
        <w:rPr>
          <w:rFonts w:cs="Arial"/>
        </w:rPr>
        <w:t xml:space="preserve"> </w:t>
      </w:r>
      <w:r w:rsidR="00FC2F93">
        <w:rPr>
          <w:rFonts w:cs="Arial"/>
        </w:rPr>
        <w:t>(DFG, 1973).</w:t>
      </w:r>
      <w:r w:rsidR="00A83588">
        <w:rPr>
          <w:rFonts w:cs="Arial"/>
        </w:rPr>
        <w:t xml:space="preserve"> </w:t>
      </w:r>
      <w:proofErr w:type="spellStart"/>
      <w:r w:rsidR="00A83588">
        <w:rPr>
          <w:rFonts w:cs="Arial"/>
        </w:rPr>
        <w:t>Toxicokinetic</w:t>
      </w:r>
      <w:proofErr w:type="spellEnd"/>
      <w:r w:rsidR="00A83588">
        <w:rPr>
          <w:rFonts w:cs="Arial"/>
        </w:rPr>
        <w:t xml:space="preserve"> information indicates rapid dermal absorption is likely to contribute to </w:t>
      </w:r>
      <w:r w:rsidR="00F4763B">
        <w:rPr>
          <w:rFonts w:cs="Arial"/>
        </w:rPr>
        <w:t xml:space="preserve">systemic </w:t>
      </w:r>
      <w:r w:rsidR="00A83588">
        <w:rPr>
          <w:rFonts w:cs="Arial"/>
        </w:rPr>
        <w:t>toxic effects (ACGIH, 2018).</w:t>
      </w:r>
    </w:p>
    <w:p w14:paraId="2D860FC7" w14:textId="56E7F290" w:rsidR="00FC2F93" w:rsidRDefault="00EB19F1" w:rsidP="006639B4">
      <w:pPr>
        <w:rPr>
          <w:rFonts w:cs="Arial"/>
        </w:rPr>
      </w:pPr>
      <w:r>
        <w:rPr>
          <w:rFonts w:cs="Arial"/>
        </w:rPr>
        <w:t xml:space="preserve">A </w:t>
      </w:r>
      <w:r w:rsidR="007C41A5">
        <w:rPr>
          <w:rFonts w:cs="Arial"/>
        </w:rPr>
        <w:t>NOAEL</w:t>
      </w:r>
      <w:r w:rsidR="00FC2F93">
        <w:rPr>
          <w:rFonts w:cs="Arial"/>
        </w:rPr>
        <w:t xml:space="preserve"> of 0.1 mg/m</w:t>
      </w:r>
      <w:r w:rsidR="00FC2F93">
        <w:rPr>
          <w:rFonts w:cs="Arial"/>
          <w:vertAlign w:val="superscript"/>
        </w:rPr>
        <w:t>3</w:t>
      </w:r>
      <w:r w:rsidR="004349E6">
        <w:rPr>
          <w:rFonts w:cs="Arial"/>
        </w:rPr>
        <w:t xml:space="preserve"> </w:t>
      </w:r>
      <w:proofErr w:type="gramStart"/>
      <w:r w:rsidR="00416306">
        <w:rPr>
          <w:rFonts w:cs="Arial"/>
        </w:rPr>
        <w:t>was reported</w:t>
      </w:r>
      <w:proofErr w:type="gramEnd"/>
      <w:r w:rsidR="00416306">
        <w:rPr>
          <w:rFonts w:cs="Arial"/>
        </w:rPr>
        <w:t xml:space="preserve"> in </w:t>
      </w:r>
      <w:r w:rsidR="00F4763B">
        <w:rPr>
          <w:rFonts w:cs="Arial"/>
        </w:rPr>
        <w:t xml:space="preserve">a one-year feeding study </w:t>
      </w:r>
      <w:r w:rsidR="00416306">
        <w:rPr>
          <w:rFonts w:cs="Arial"/>
        </w:rPr>
        <w:t>dogs</w:t>
      </w:r>
      <w:r w:rsidR="00A83588">
        <w:rPr>
          <w:rFonts w:cs="Arial"/>
        </w:rPr>
        <w:t xml:space="preserve"> and a</w:t>
      </w:r>
      <w:r w:rsidR="00BD432C">
        <w:rPr>
          <w:rFonts w:cs="Arial"/>
        </w:rPr>
        <w:t xml:space="preserve"> NOAEL </w:t>
      </w:r>
      <w:r w:rsidR="00416306">
        <w:rPr>
          <w:rFonts w:cs="Arial"/>
        </w:rPr>
        <w:t>of 4</w:t>
      </w:r>
      <w:r w:rsidR="00E02174">
        <w:rPr>
          <w:rFonts w:cs="Arial"/>
        </w:rPr>
        <w:t> </w:t>
      </w:r>
      <w:r w:rsidR="00416306">
        <w:rPr>
          <w:rFonts w:cs="Arial"/>
        </w:rPr>
        <w:t>mg/m</w:t>
      </w:r>
      <w:r w:rsidR="00416306">
        <w:rPr>
          <w:rFonts w:cs="Arial"/>
          <w:vertAlign w:val="superscript"/>
        </w:rPr>
        <w:t>3</w:t>
      </w:r>
      <w:r w:rsidR="000772AC">
        <w:rPr>
          <w:rFonts w:cs="Arial"/>
        </w:rPr>
        <w:t xml:space="preserve">, </w:t>
      </w:r>
      <w:r w:rsidR="00F4763B">
        <w:rPr>
          <w:rFonts w:cs="Arial"/>
        </w:rPr>
        <w:t xml:space="preserve">reported </w:t>
      </w:r>
      <w:r w:rsidR="000772AC">
        <w:rPr>
          <w:rFonts w:cs="Arial"/>
        </w:rPr>
        <w:t xml:space="preserve">from a </w:t>
      </w:r>
      <w:r w:rsidR="00E02174">
        <w:rPr>
          <w:rFonts w:cs="Arial"/>
        </w:rPr>
        <w:t>two</w:t>
      </w:r>
      <w:r w:rsidR="000772AC">
        <w:rPr>
          <w:rFonts w:cs="Arial"/>
        </w:rPr>
        <w:t>-year feeding</w:t>
      </w:r>
      <w:r w:rsidR="00A83588">
        <w:rPr>
          <w:rFonts w:cs="Arial"/>
        </w:rPr>
        <w:t xml:space="preserve"> study</w:t>
      </w:r>
      <w:r w:rsidR="00416306" w:rsidRPr="00416306">
        <w:rPr>
          <w:rFonts w:cs="Arial"/>
        </w:rPr>
        <w:t xml:space="preserve"> in</w:t>
      </w:r>
      <w:r w:rsidR="000772AC">
        <w:rPr>
          <w:rFonts w:cs="Arial"/>
        </w:rPr>
        <w:t xml:space="preserve"> rats.</w:t>
      </w:r>
      <w:r w:rsidR="00CE64B9">
        <w:rPr>
          <w:rFonts w:cs="Arial"/>
        </w:rPr>
        <w:t xml:space="preserve"> </w:t>
      </w:r>
    </w:p>
    <w:p w14:paraId="0B180B48" w14:textId="036E472A" w:rsidR="00CE64B9" w:rsidRPr="00416306" w:rsidRDefault="00CE64B9" w:rsidP="006639B4">
      <w:pPr>
        <w:rPr>
          <w:rFonts w:cs="Arial"/>
          <w:vertAlign w:val="superscript"/>
        </w:rPr>
      </w:pPr>
      <w:r>
        <w:rPr>
          <w:rFonts w:cs="Arial"/>
        </w:rPr>
        <w:t>The recommend</w:t>
      </w:r>
      <w:r w:rsidR="00BB0162">
        <w:rPr>
          <w:rFonts w:cs="Arial"/>
        </w:rPr>
        <w:t>ed</w:t>
      </w:r>
      <w:r>
        <w:rPr>
          <w:rFonts w:cs="Arial"/>
        </w:rPr>
        <w:t xml:space="preserve"> TWA </w:t>
      </w:r>
      <w:r w:rsidR="000772AC">
        <w:rPr>
          <w:rFonts w:cs="Arial"/>
        </w:rPr>
        <w:t xml:space="preserve">is based on the NOAELs reported in animal studies and supported by observations </w:t>
      </w:r>
      <w:r w:rsidR="00F2504C">
        <w:rPr>
          <w:rFonts w:cs="Arial"/>
        </w:rPr>
        <w:t xml:space="preserve">of no adverse effects between </w:t>
      </w:r>
      <w:proofErr w:type="gramStart"/>
      <w:r w:rsidR="00F2504C">
        <w:rPr>
          <w:rFonts w:cs="Arial"/>
        </w:rPr>
        <w:t>1</w:t>
      </w:r>
      <w:proofErr w:type="gramEnd"/>
      <w:r w:rsidR="00F2504C">
        <w:rPr>
          <w:rFonts w:cs="Arial"/>
        </w:rPr>
        <w:t xml:space="preserve"> and 3 </w:t>
      </w:r>
      <w:r w:rsidR="00F2504C" w:rsidRPr="00F2504C">
        <w:rPr>
          <w:rFonts w:cs="Arial"/>
        </w:rPr>
        <w:t>mg/m</w:t>
      </w:r>
      <w:r w:rsidR="00F2504C" w:rsidRPr="00F2504C">
        <w:rPr>
          <w:rFonts w:cs="Arial"/>
          <w:vertAlign w:val="superscript"/>
        </w:rPr>
        <w:t>3</w:t>
      </w:r>
      <w:r w:rsidR="00F2504C" w:rsidRPr="00F2504C">
        <w:rPr>
          <w:rFonts w:cs="Arial"/>
          <w:sz w:val="18"/>
        </w:rPr>
        <w:t xml:space="preserve"> </w:t>
      </w:r>
      <w:r w:rsidR="000772AC">
        <w:rPr>
          <w:rFonts w:cs="Arial"/>
        </w:rPr>
        <w:t>in exposed worker studies</w:t>
      </w:r>
      <w:r w:rsidR="00C03F97">
        <w:rPr>
          <w:rFonts w:cs="Arial"/>
        </w:rPr>
        <w:t>. The TWA</w:t>
      </w:r>
      <w:r w:rsidR="000772AC">
        <w:rPr>
          <w:rFonts w:cs="Arial"/>
        </w:rPr>
        <w:t xml:space="preserve"> </w:t>
      </w:r>
      <w:proofErr w:type="gramStart"/>
      <w:r w:rsidR="00767E0E">
        <w:rPr>
          <w:rFonts w:cs="Arial"/>
        </w:rPr>
        <w:t xml:space="preserve">is </w:t>
      </w:r>
      <w:r w:rsidR="000772AC">
        <w:rPr>
          <w:rFonts w:cs="Arial"/>
        </w:rPr>
        <w:t>considered</w:t>
      </w:r>
      <w:proofErr w:type="gramEnd"/>
      <w:r w:rsidR="000772AC">
        <w:rPr>
          <w:rFonts w:cs="Arial"/>
        </w:rPr>
        <w:t xml:space="preserve"> </w:t>
      </w:r>
      <w:r w:rsidR="00767E0E">
        <w:rPr>
          <w:rFonts w:cs="Arial"/>
        </w:rPr>
        <w:t xml:space="preserve">protective of </w:t>
      </w:r>
      <w:r w:rsidR="000772AC">
        <w:rPr>
          <w:rFonts w:cs="Arial"/>
        </w:rPr>
        <w:t>CNS</w:t>
      </w:r>
      <w:r w:rsidR="00A83588">
        <w:rPr>
          <w:rFonts w:cs="Arial"/>
        </w:rPr>
        <w:t>,</w:t>
      </w:r>
      <w:r w:rsidR="000772AC">
        <w:rPr>
          <w:rFonts w:cs="Arial"/>
        </w:rPr>
        <w:t xml:space="preserve"> kidney</w:t>
      </w:r>
      <w:r w:rsidR="00A83588">
        <w:rPr>
          <w:rFonts w:cs="Arial"/>
        </w:rPr>
        <w:t xml:space="preserve"> and</w:t>
      </w:r>
      <w:r w:rsidR="000772AC">
        <w:rPr>
          <w:rFonts w:cs="Arial"/>
        </w:rPr>
        <w:t xml:space="preserve"> liver effects.</w:t>
      </w:r>
    </w:p>
    <w:p w14:paraId="34756F4C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183B7B8C" w14:textId="77777777" w:rsidR="007C41A5" w:rsidRPr="00CE64B9" w:rsidRDefault="007C41A5" w:rsidP="007C41A5">
      <w:pPr>
        <w:rPr>
          <w:rFonts w:cs="Arial"/>
        </w:rPr>
      </w:pPr>
      <w:r>
        <w:rPr>
          <w:rFonts w:cs="Arial"/>
        </w:rPr>
        <w:t>C</w:t>
      </w:r>
      <w:r w:rsidRPr="00CE64B9">
        <w:rPr>
          <w:rFonts w:cs="Arial"/>
        </w:rPr>
        <w:t xml:space="preserve">lassified as a </w:t>
      </w:r>
      <w:r w:rsidR="00316808">
        <w:rPr>
          <w:rFonts w:cs="Arial"/>
        </w:rPr>
        <w:t xml:space="preserve">category 2 </w:t>
      </w:r>
      <w:r w:rsidRPr="00CE64B9">
        <w:rPr>
          <w:rFonts w:cs="Arial"/>
        </w:rPr>
        <w:t>carcinogen according to the Globally Harmonized System of Classification and Labelling of Chemicals (GHS).</w:t>
      </w:r>
    </w:p>
    <w:p w14:paraId="3CFF6188" w14:textId="77777777" w:rsidR="007C41A5" w:rsidRPr="004C23F4" w:rsidRDefault="007C41A5" w:rsidP="007C41A5">
      <w:pPr>
        <w:rPr>
          <w:rFonts w:cs="Arial"/>
        </w:rPr>
      </w:pPr>
      <w:r>
        <w:rPr>
          <w:rFonts w:cs="Arial"/>
        </w:rPr>
        <w:t>Not</w:t>
      </w:r>
      <w:r w:rsidRPr="00CE64B9">
        <w:rPr>
          <w:rFonts w:cs="Arial"/>
        </w:rPr>
        <w:t xml:space="preserve"> classified as a skin</w:t>
      </w:r>
      <w:r w:rsidR="00500832">
        <w:rPr>
          <w:rFonts w:cs="Arial"/>
        </w:rPr>
        <w:t xml:space="preserve"> sensitiser</w:t>
      </w:r>
      <w:r>
        <w:rPr>
          <w:rFonts w:cs="Arial"/>
        </w:rPr>
        <w:t xml:space="preserve"> or respiratory</w:t>
      </w:r>
      <w:r w:rsidRPr="00CE64B9">
        <w:rPr>
          <w:rFonts w:cs="Arial"/>
        </w:rPr>
        <w:t xml:space="preserve"> sensitiser according to the GH</w:t>
      </w:r>
      <w:r>
        <w:rPr>
          <w:rFonts w:cs="Arial"/>
        </w:rPr>
        <w:t>S</w:t>
      </w:r>
      <w:r w:rsidRPr="00CE64B9">
        <w:rPr>
          <w:rFonts w:cs="Arial"/>
        </w:rPr>
        <w:t>.</w:t>
      </w:r>
    </w:p>
    <w:p w14:paraId="2C4D76AC" w14:textId="1E923518" w:rsidR="00CE64B9" w:rsidRPr="00CE64B9" w:rsidRDefault="00CE64B9" w:rsidP="00CE64B9">
      <w:pPr>
        <w:rPr>
          <w:rFonts w:cs="Arial"/>
        </w:rPr>
      </w:pPr>
      <w:r w:rsidRPr="00CE64B9">
        <w:rPr>
          <w:rFonts w:cs="Arial"/>
        </w:rPr>
        <w:lastRenderedPageBreak/>
        <w:t xml:space="preserve">A skin notation </w:t>
      </w:r>
      <w:proofErr w:type="gramStart"/>
      <w:r w:rsidR="007C41A5">
        <w:rPr>
          <w:rFonts w:cs="Arial"/>
        </w:rPr>
        <w:t xml:space="preserve">is </w:t>
      </w:r>
      <w:r w:rsidR="00EB19F1">
        <w:rPr>
          <w:rFonts w:cs="Arial"/>
        </w:rPr>
        <w:t>recommended</w:t>
      </w:r>
      <w:proofErr w:type="gramEnd"/>
      <w:r w:rsidR="00EB19F1">
        <w:rPr>
          <w:rFonts w:cs="Arial"/>
        </w:rPr>
        <w:t xml:space="preserve"> </w:t>
      </w:r>
      <w:r w:rsidRPr="00CE64B9">
        <w:rPr>
          <w:rFonts w:cs="Arial"/>
        </w:rPr>
        <w:t xml:space="preserve">as evidence indicates rapid </w:t>
      </w:r>
      <w:r w:rsidR="00BD432C">
        <w:rPr>
          <w:rFonts w:cs="Arial"/>
        </w:rPr>
        <w:t>absorption</w:t>
      </w:r>
      <w:r>
        <w:rPr>
          <w:rFonts w:cs="Arial"/>
        </w:rPr>
        <w:t xml:space="preserve"> through the skin</w:t>
      </w:r>
      <w:r w:rsidR="000772AC">
        <w:rPr>
          <w:rFonts w:cs="Arial"/>
        </w:rPr>
        <w:t xml:space="preserve"> in animals</w:t>
      </w:r>
      <w:r w:rsidR="007C41A5">
        <w:rPr>
          <w:rFonts w:cs="Arial"/>
        </w:rPr>
        <w:t xml:space="preserve"> and </w:t>
      </w:r>
      <w:r w:rsidR="00F4763B">
        <w:rPr>
          <w:rFonts w:cs="Arial"/>
        </w:rPr>
        <w:t>dermal absorption</w:t>
      </w:r>
      <w:r w:rsidR="000772AC">
        <w:rPr>
          <w:rFonts w:cs="Arial"/>
        </w:rPr>
        <w:t xml:space="preserve"> </w:t>
      </w:r>
      <w:r w:rsidR="00F4763B">
        <w:rPr>
          <w:rFonts w:cs="Arial"/>
        </w:rPr>
        <w:t xml:space="preserve">by </w:t>
      </w:r>
      <w:r w:rsidR="000772AC">
        <w:rPr>
          <w:rFonts w:cs="Arial"/>
        </w:rPr>
        <w:t>skin contact</w:t>
      </w:r>
      <w:r w:rsidR="007C41A5">
        <w:rPr>
          <w:rFonts w:cs="Arial"/>
        </w:rPr>
        <w:t xml:space="preserve"> </w:t>
      </w:r>
      <w:r w:rsidR="00A83588">
        <w:rPr>
          <w:rFonts w:cs="Arial"/>
        </w:rPr>
        <w:t>at</w:t>
      </w:r>
      <w:r w:rsidR="000772AC">
        <w:rPr>
          <w:rFonts w:cs="Arial"/>
        </w:rPr>
        <w:t xml:space="preserve"> </w:t>
      </w:r>
      <w:r>
        <w:rPr>
          <w:rFonts w:cs="Arial"/>
        </w:rPr>
        <w:t>the workplace.</w:t>
      </w:r>
    </w:p>
    <w:p w14:paraId="32CE7D47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36A8C9A3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44C3894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0ED10E4C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B232861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2A02C0E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51E333C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6E7420">
                  <w:t>1990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6E7420">
                  <w:t>TWA: 0.25 mg/m</w:t>
                </w:r>
                <w:r w:rsidR="006E7420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37F9E54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5C71C2F" w14:textId="77777777" w:rsidR="00CF2BAB" w:rsidRPr="00C03F97" w:rsidRDefault="00BD432C" w:rsidP="006E7420">
            <w:pPr>
              <w:pStyle w:val="Tabletextprimarysource"/>
              <w:rPr>
                <w:rFonts w:cs="Arial"/>
                <w:szCs w:val="20"/>
              </w:rPr>
            </w:pPr>
            <w:r w:rsidRPr="00C03F97">
              <w:rPr>
                <w:rFonts w:cs="Arial"/>
                <w:szCs w:val="20"/>
                <w:shd w:val="clear" w:color="auto" w:fill="FFFFFF"/>
              </w:rPr>
              <w:t>E</w:t>
            </w:r>
            <w:r w:rsidR="002E3C5F" w:rsidRPr="00C03F97">
              <w:rPr>
                <w:rFonts w:cs="Arial"/>
                <w:szCs w:val="20"/>
                <w:shd w:val="clear" w:color="auto" w:fill="FFFFFF"/>
              </w:rPr>
              <w:t>xposure standard adopted from the ACGIH TLVs list.</w:t>
            </w:r>
          </w:p>
          <w:p w14:paraId="4290FDBB" w14:textId="77777777" w:rsidR="006E7420" w:rsidRDefault="002F4EC7" w:rsidP="008C0088">
            <w:pPr>
              <w:pStyle w:val="ListBullet"/>
              <w:spacing w:before="0" w:after="80"/>
              <w:ind w:left="714" w:hanging="357"/>
              <w:contextualSpacing w:val="0"/>
            </w:pPr>
            <w:r>
              <w:t>L</w:t>
            </w:r>
            <w:r w:rsidR="006E7420">
              <w:t xml:space="preserve">imited evidence for carcinogenicity </w:t>
            </w:r>
            <w:r>
              <w:t>in experimental animals</w:t>
            </w:r>
          </w:p>
          <w:p w14:paraId="4F62D3C9" w14:textId="77777777" w:rsidR="006E7420" w:rsidRDefault="006E7420" w:rsidP="008C0088">
            <w:pPr>
              <w:pStyle w:val="ListBullet"/>
              <w:spacing w:before="0" w:after="80"/>
              <w:ind w:left="714" w:hanging="357"/>
              <w:contextualSpacing w:val="0"/>
            </w:pPr>
            <w:r>
              <w:t>Carcinogenicity through inhalation n</w:t>
            </w:r>
            <w:r w:rsidR="00CF2BAB">
              <w:t>ot demonstrated in animals</w:t>
            </w:r>
          </w:p>
          <w:p w14:paraId="1D63B298" w14:textId="77777777" w:rsidR="00C978F0" w:rsidRDefault="002F4EC7" w:rsidP="008C0088">
            <w:pPr>
              <w:pStyle w:val="ListBullet"/>
              <w:spacing w:before="0" w:after="80"/>
              <w:ind w:left="714" w:hanging="357"/>
              <w:contextualSpacing w:val="0"/>
            </w:pPr>
            <w:r>
              <w:t>I</w:t>
            </w:r>
            <w:r w:rsidR="006E7420">
              <w:t xml:space="preserve">nadequate </w:t>
            </w:r>
            <w:r w:rsidR="00EB19F1">
              <w:t xml:space="preserve">human </w:t>
            </w:r>
            <w:r w:rsidR="006E7420">
              <w:t>evidenc</w:t>
            </w:r>
            <w:r w:rsidR="00CF2BAB">
              <w:t>e for carcinogenicity</w:t>
            </w:r>
            <w:r w:rsidR="007C41A5">
              <w:t>.</w:t>
            </w:r>
          </w:p>
          <w:p w14:paraId="14C72C44" w14:textId="77777777" w:rsidR="00E02174" w:rsidRPr="00DA352E" w:rsidRDefault="00E02174" w:rsidP="008C0088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C978F0" w:rsidRPr="00DA352E" w14:paraId="368DA78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8DD8D98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46417C">
                  <w:t>2007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5048F9">
                  <w:t xml:space="preserve">TLV-TWA </w:t>
                </w:r>
                <w:r w:rsidR="00C17EEE">
                  <w:t>0.05 mg/m</w:t>
                </w:r>
                <w:r w:rsidR="00C17EEE">
                  <w:rPr>
                    <w:vertAlign w:val="superscript"/>
                  </w:rPr>
                  <w:t xml:space="preserve">3 </w:t>
                </w:r>
                <w:r w:rsidR="005048F9">
                  <w:t>(</w:t>
                </w:r>
                <w:r w:rsidR="00C17EEE">
                  <w:t>0.003 ppm</w:t>
                </w:r>
                <w:r w:rsidR="005048F9">
                  <w:t>)</w:t>
                </w:r>
              </w:sdtContent>
            </w:sdt>
          </w:p>
        </w:tc>
      </w:tr>
      <w:tr w:rsidR="00C978F0" w:rsidRPr="00DA352E" w14:paraId="33C8349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361DA49" w14:textId="77777777" w:rsidR="005048F9" w:rsidRDefault="008318A5" w:rsidP="003365A5">
            <w:pPr>
              <w:pStyle w:val="Tabletextprimarysource"/>
            </w:pPr>
            <w:r>
              <w:t>TLV-</w:t>
            </w:r>
            <w:r w:rsidR="002F4EC7">
              <w:t xml:space="preserve">TWA recommended </w:t>
            </w:r>
            <w:proofErr w:type="gramStart"/>
            <w:r w:rsidR="002F4EC7">
              <w:t>to minimis</w:t>
            </w:r>
            <w:r w:rsidR="005048F9">
              <w:t>e</w:t>
            </w:r>
            <w:proofErr w:type="gramEnd"/>
            <w:r w:rsidR="005048F9">
              <w:t xml:space="preserve"> the potential for </w:t>
            </w:r>
            <w:r w:rsidR="002F4EC7">
              <w:t>CNS</w:t>
            </w:r>
            <w:r w:rsidR="005048F9">
              <w:t xml:space="preserve">, kidney and liver </w:t>
            </w:r>
            <w:r w:rsidR="00416306">
              <w:t>(s</w:t>
            </w:r>
            <w:r w:rsidR="00C17EEE">
              <w:t>ummed particulate and vapour phase)</w:t>
            </w:r>
            <w:r w:rsidR="007C41A5">
              <w:t>.</w:t>
            </w:r>
          </w:p>
          <w:p w14:paraId="78C00D4D" w14:textId="77777777" w:rsidR="005048F9" w:rsidRDefault="005048F9" w:rsidP="003365A5">
            <w:pPr>
              <w:pStyle w:val="Tabletextprimarysource"/>
            </w:pPr>
            <w:r>
              <w:t>Summary of data:</w:t>
            </w:r>
          </w:p>
          <w:p w14:paraId="7ACB371C" w14:textId="77777777" w:rsidR="005048F9" w:rsidRDefault="007F53AB" w:rsidP="007C41A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610E1BFD" w14:textId="22D7D88F" w:rsidR="007F53AB" w:rsidRDefault="007F53AB" w:rsidP="008C0088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No adverse effects </w:t>
            </w:r>
            <w:r w:rsidR="00F4763B">
              <w:t xml:space="preserve">were noted </w:t>
            </w:r>
            <w:r w:rsidR="001474D1">
              <w:t>in</w:t>
            </w:r>
            <w:r w:rsidR="00562F24">
              <w:t xml:space="preserve"> 22 workers exposed</w:t>
            </w:r>
            <w:r>
              <w:t xml:space="preserve"> </w:t>
            </w:r>
            <w:r w:rsidR="00F4763B">
              <w:t xml:space="preserve">to </w:t>
            </w:r>
            <w:r w:rsidR="007C41A5">
              <w:rPr>
                <w:rFonts w:cs="Arial"/>
              </w:rPr>
              <w:t>≈</w:t>
            </w:r>
            <w:r>
              <w:t>1</w:t>
            </w:r>
            <w:r w:rsidR="008C0088">
              <w:t>–</w:t>
            </w:r>
            <w:r>
              <w:t>3 mg/m</w:t>
            </w:r>
            <w:r w:rsidRPr="007F53AB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  <w:r>
              <w:t>(1</w:t>
            </w:r>
            <w:r w:rsidR="008C0088">
              <w:t>–</w:t>
            </w:r>
            <w:r>
              <w:t xml:space="preserve">3 </w:t>
            </w:r>
            <w:proofErr w:type="spellStart"/>
            <w:r>
              <w:t>y</w:t>
            </w:r>
            <w:r w:rsidR="001474D1">
              <w:t>r</w:t>
            </w:r>
            <w:proofErr w:type="spellEnd"/>
            <w:r>
              <w:t>)</w:t>
            </w:r>
            <w:r w:rsidR="004349E6">
              <w:t xml:space="preserve">; primarily through inhalation with some skin contact </w:t>
            </w:r>
          </w:p>
          <w:p w14:paraId="7554AB9F" w14:textId="68A3F660" w:rsidR="001474D1" w:rsidRDefault="001474D1" w:rsidP="001474D1">
            <w:pPr>
              <w:pStyle w:val="ListBullet"/>
              <w:ind w:left="720"/>
            </w:pPr>
            <w:r>
              <w:t xml:space="preserve">Various </w:t>
            </w:r>
            <w:r w:rsidR="00527534">
              <w:t xml:space="preserve">worker </w:t>
            </w:r>
            <w:r>
              <w:t>studies</w:t>
            </w:r>
            <w:r w:rsidR="00F4763B">
              <w:t xml:space="preserve"> with </w:t>
            </w:r>
            <w:r w:rsidR="002F4EC7">
              <w:t>intake</w:t>
            </w:r>
            <w:r w:rsidR="00F4763B">
              <w:t>s</w:t>
            </w:r>
            <w:r>
              <w:t xml:space="preserve"> </w:t>
            </w:r>
            <w:r w:rsidR="00F4763B">
              <w:t xml:space="preserve">of </w:t>
            </w:r>
            <w:r>
              <w:t>90</w:t>
            </w:r>
            <w:r w:rsidR="008C0088">
              <w:t>–</w:t>
            </w:r>
            <w:r>
              <w:t>1</w:t>
            </w:r>
            <w:r w:rsidR="008318A5">
              <w:t>,</w:t>
            </w:r>
            <w:r>
              <w:t xml:space="preserve">019 </w:t>
            </w:r>
            <w:r>
              <w:rPr>
                <w:rFonts w:cs="Arial"/>
              </w:rPr>
              <w:t>µ</w:t>
            </w:r>
            <w:r w:rsidR="008318A5">
              <w:t xml:space="preserve">g/d for </w:t>
            </w:r>
            <w:r>
              <w:t xml:space="preserve">24, 35 and 40 </w:t>
            </w:r>
            <w:proofErr w:type="spellStart"/>
            <w:r>
              <w:t>yr</w:t>
            </w:r>
            <w:proofErr w:type="spellEnd"/>
            <w:r w:rsidR="00F4763B">
              <w:t xml:space="preserve"> reported</w:t>
            </w:r>
            <w:r>
              <w:t xml:space="preserve"> no effect on life expectancy or cancer incidence</w:t>
            </w:r>
            <w:r w:rsidR="00EB19F1">
              <w:t>.</w:t>
            </w:r>
          </w:p>
          <w:p w14:paraId="4C48F67C" w14:textId="77777777" w:rsidR="00301FB6" w:rsidRDefault="00301FB6" w:rsidP="00C03F97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2624D97A" w14:textId="77777777" w:rsidR="001474D1" w:rsidRDefault="001474D1" w:rsidP="007C41A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6EB7DC68" w14:textId="3F5A15ED" w:rsidR="001474D1" w:rsidRPr="004E1ABD" w:rsidRDefault="001474D1" w:rsidP="008C0088">
            <w:pPr>
              <w:pStyle w:val="ListBullet"/>
              <w:spacing w:before="0" w:after="80"/>
              <w:ind w:left="714" w:hanging="357"/>
              <w:contextualSpacing w:val="0"/>
            </w:pPr>
            <w:r w:rsidRPr="004E1ABD">
              <w:t>NOAEL:</w:t>
            </w:r>
            <w:r w:rsidR="00727225" w:rsidRPr="004E1ABD">
              <w:t xml:space="preserve"> 0.025 mg/kg (</w:t>
            </w:r>
            <w:r w:rsidR="007C41A5" w:rsidRPr="004E1ABD">
              <w:t xml:space="preserve">dogs, 1 </w:t>
            </w:r>
            <w:proofErr w:type="spellStart"/>
            <w:r w:rsidR="007C41A5" w:rsidRPr="004E1ABD">
              <w:t>yr</w:t>
            </w:r>
            <w:proofErr w:type="spellEnd"/>
            <w:r w:rsidR="007C41A5" w:rsidRPr="004E1ABD">
              <w:t>)</w:t>
            </w:r>
            <w:r w:rsidR="000772AC">
              <w:t xml:space="preserve">; </w:t>
            </w:r>
            <w:r w:rsidR="00440E11">
              <w:rPr>
                <w:rFonts w:cs="Arial"/>
              </w:rPr>
              <w:t>≡</w:t>
            </w:r>
            <w:r w:rsidR="00F4763B">
              <w:rPr>
                <w:rFonts w:cs="Arial"/>
              </w:rPr>
              <w:t xml:space="preserve"> </w:t>
            </w:r>
            <w:r w:rsidR="000772AC" w:rsidRPr="004E1ABD">
              <w:t>0.1</w:t>
            </w:r>
            <w:r w:rsidR="008C0088">
              <w:t>–</w:t>
            </w:r>
            <w:r w:rsidR="000772AC" w:rsidRPr="004E1ABD">
              <w:t>0.2 mg/m</w:t>
            </w:r>
            <w:r w:rsidR="000772AC" w:rsidRPr="004E1ABD">
              <w:rPr>
                <w:vertAlign w:val="superscript"/>
              </w:rPr>
              <w:t>3</w:t>
            </w:r>
          </w:p>
          <w:p w14:paraId="1E8F7FBD" w14:textId="65CB326B" w:rsidR="00A83588" w:rsidRPr="004E1ABD" w:rsidRDefault="001474D1" w:rsidP="008C0088">
            <w:pPr>
              <w:pStyle w:val="ListBullet"/>
              <w:spacing w:before="0" w:after="80"/>
              <w:ind w:left="714" w:hanging="357"/>
              <w:contextualSpacing w:val="0"/>
            </w:pPr>
            <w:r w:rsidRPr="004E1ABD">
              <w:t xml:space="preserve">NOAEL: </w:t>
            </w:r>
            <w:r w:rsidR="009F5F68" w:rsidRPr="004E1ABD">
              <w:t>0.6 mg/kg</w:t>
            </w:r>
            <w:r w:rsidR="000772AC">
              <w:t xml:space="preserve"> (</w:t>
            </w:r>
            <w:r w:rsidR="000772AC" w:rsidRPr="004E1ABD">
              <w:t xml:space="preserve">rats, 2 </w:t>
            </w:r>
            <w:proofErr w:type="spellStart"/>
            <w:r w:rsidR="000772AC" w:rsidRPr="004E1ABD">
              <w:t>yr</w:t>
            </w:r>
            <w:proofErr w:type="spellEnd"/>
            <w:r w:rsidR="000772AC" w:rsidRPr="004E1ABD">
              <w:t>)</w:t>
            </w:r>
            <w:r w:rsidR="000772AC">
              <w:t xml:space="preserve">; </w:t>
            </w:r>
            <w:r w:rsidR="00440E11">
              <w:rPr>
                <w:rFonts w:cs="Arial"/>
              </w:rPr>
              <w:t>≡</w:t>
            </w:r>
            <w:r w:rsidR="00F4763B">
              <w:rPr>
                <w:rFonts w:cs="Arial"/>
              </w:rPr>
              <w:t xml:space="preserve"> </w:t>
            </w:r>
            <w:r w:rsidR="009F5F68" w:rsidRPr="004E1ABD">
              <w:t>4 mg/m</w:t>
            </w:r>
            <w:r w:rsidR="009F5F68" w:rsidRPr="004E1ABD">
              <w:rPr>
                <w:vertAlign w:val="superscript"/>
              </w:rPr>
              <w:t>3</w:t>
            </w:r>
            <w:r w:rsidR="009F5F68" w:rsidRPr="004E1ABD">
              <w:t xml:space="preserve"> </w:t>
            </w:r>
          </w:p>
          <w:p w14:paraId="0224362D" w14:textId="77777777" w:rsidR="009F5F68" w:rsidRDefault="009F5F68" w:rsidP="008C0088">
            <w:pPr>
              <w:pStyle w:val="ListBullet"/>
              <w:spacing w:before="0" w:after="80"/>
              <w:ind w:left="714" w:hanging="357"/>
              <w:contextualSpacing w:val="0"/>
            </w:pPr>
            <w:r w:rsidRPr="004E1ABD">
              <w:t>LD</w:t>
            </w:r>
            <w:r w:rsidRPr="00537E67">
              <w:rPr>
                <w:vertAlign w:val="subscript"/>
              </w:rPr>
              <w:t>50</w:t>
            </w:r>
            <w:r w:rsidR="007C41A5" w:rsidRPr="004E1ABD">
              <w:t xml:space="preserve">: </w:t>
            </w:r>
            <w:r w:rsidR="002F4EC7" w:rsidRPr="004E1ABD">
              <w:t>150</w:t>
            </w:r>
            <w:r w:rsidR="008C0088">
              <w:t>–</w:t>
            </w:r>
            <w:r w:rsidRPr="004E1ABD">
              <w:t>1250 mg/kg</w:t>
            </w:r>
            <w:r w:rsidR="004349E6">
              <w:t xml:space="preserve"> (rabbits, dermal)</w:t>
            </w:r>
          </w:p>
          <w:p w14:paraId="423F1EE2" w14:textId="77777777" w:rsidR="004349E6" w:rsidRPr="004E1ABD" w:rsidRDefault="004349E6" w:rsidP="008C0088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Reports </w:t>
            </w:r>
            <w:r w:rsidR="00A83588">
              <w:t xml:space="preserve">of </w:t>
            </w:r>
            <w:r>
              <w:t>rapid dermal absorption leading to systemic effects</w:t>
            </w:r>
          </w:p>
          <w:p w14:paraId="0A90A956" w14:textId="77777777" w:rsidR="00727225" w:rsidRDefault="00EB19F1" w:rsidP="008C0088">
            <w:pPr>
              <w:pStyle w:val="ListBullet"/>
              <w:spacing w:before="0" w:after="80"/>
              <w:ind w:left="714" w:hanging="357"/>
              <w:contextualSpacing w:val="0"/>
            </w:pPr>
            <w:r>
              <w:t>Poor o</w:t>
            </w:r>
            <w:r w:rsidR="00727225">
              <w:t xml:space="preserve">ffspring survival </w:t>
            </w:r>
            <w:r>
              <w:t xml:space="preserve">reported </w:t>
            </w:r>
            <w:r w:rsidR="00727225">
              <w:t xml:space="preserve">in dogs orally exposed </w:t>
            </w:r>
          </w:p>
          <w:p w14:paraId="6ABCFB91" w14:textId="77777777" w:rsidR="00C17EEE" w:rsidRDefault="00FC2F93" w:rsidP="00316808">
            <w:pPr>
              <w:pStyle w:val="ListBullet"/>
              <w:tabs>
                <w:tab w:val="clear" w:pos="360"/>
              </w:tabs>
              <w:ind w:left="731"/>
            </w:pPr>
            <w:r>
              <w:t xml:space="preserve">Negative results in </w:t>
            </w:r>
            <w:proofErr w:type="spellStart"/>
            <w:r>
              <w:t>genotoxicity</w:t>
            </w:r>
            <w:proofErr w:type="spellEnd"/>
            <w:r>
              <w:t xml:space="preserve"> assays</w:t>
            </w:r>
            <w:r w:rsidR="00EB19F1">
              <w:t>.</w:t>
            </w:r>
          </w:p>
          <w:p w14:paraId="6F0BD3C6" w14:textId="77777777" w:rsidR="00E02174" w:rsidRPr="00DA352E" w:rsidRDefault="00E02174" w:rsidP="008C0088">
            <w:pPr>
              <w:pStyle w:val="ListBullet"/>
              <w:numPr>
                <w:ilvl w:val="0"/>
                <w:numId w:val="0"/>
              </w:numPr>
              <w:ind w:left="731"/>
            </w:pPr>
          </w:p>
        </w:tc>
      </w:tr>
      <w:tr w:rsidR="00C978F0" w:rsidRPr="00DA352E" w14:paraId="53A6090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29545DE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9F5F68">
                  <w:t>1</w:t>
                </w:r>
                <w:r w:rsidR="002E58E6">
                  <w:t>97</w:t>
                </w:r>
                <w:r w:rsidR="009F5F68">
                  <w:t>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C17EEE">
                  <w:t>MAK 0.25 mg/m</w:t>
                </w:r>
                <w:r w:rsidR="00C17EEE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5850201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3B6026E" w14:textId="77777777" w:rsidR="00EB19F1" w:rsidRPr="00FF347B" w:rsidRDefault="00FF347B" w:rsidP="003365A5">
            <w:pPr>
              <w:pStyle w:val="Tabletextprimarysource"/>
            </w:pPr>
            <w:r>
              <w:t>MAK recommend</w:t>
            </w:r>
            <w:r w:rsidR="0011264D">
              <w:t>ed</w:t>
            </w:r>
            <w:r>
              <w:t xml:space="preserve"> </w:t>
            </w:r>
            <w:proofErr w:type="gramStart"/>
            <w:r>
              <w:t>to protect</w:t>
            </w:r>
            <w:proofErr w:type="gramEnd"/>
            <w:r>
              <w:t xml:space="preserve"> for effec</w:t>
            </w:r>
            <w:r w:rsidR="0011264D">
              <w:t xml:space="preserve">ts on the CNS, kidney and liver </w:t>
            </w:r>
            <w:r>
              <w:t>in exposed workers.</w:t>
            </w:r>
          </w:p>
          <w:p w14:paraId="31A01906" w14:textId="77777777" w:rsidR="00C17EEE" w:rsidRDefault="00C17EEE" w:rsidP="003365A5">
            <w:pPr>
              <w:pStyle w:val="Tabletextprimarysource"/>
            </w:pPr>
            <w:r>
              <w:t>Summary of additional data:</w:t>
            </w:r>
          </w:p>
          <w:p w14:paraId="65ECCA74" w14:textId="77777777" w:rsidR="002E3C5F" w:rsidRDefault="002E3C5F" w:rsidP="008C0088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No adverse effects in 36 male manufacturing plant workers </w:t>
            </w:r>
            <w:r w:rsidR="008318A5">
              <w:t xml:space="preserve">exposed to </w:t>
            </w:r>
            <w:r>
              <w:t>5 mg/m</w:t>
            </w:r>
            <w:r w:rsidR="007C41A5">
              <w:rPr>
                <w:vertAlign w:val="superscript"/>
              </w:rPr>
              <w:t>3</w:t>
            </w:r>
            <w:r w:rsidR="008318A5">
              <w:t xml:space="preserve"> for </w:t>
            </w:r>
            <w:r>
              <w:t xml:space="preserve">3 </w:t>
            </w:r>
            <w:proofErr w:type="spellStart"/>
            <w:r w:rsidR="008318A5">
              <w:t>yr</w:t>
            </w:r>
            <w:proofErr w:type="spellEnd"/>
          </w:p>
          <w:p w14:paraId="481FA4B9" w14:textId="67C777E0" w:rsidR="00C17EEE" w:rsidRDefault="002E3C5F" w:rsidP="00A12C8F">
            <w:pPr>
              <w:pStyle w:val="ListBullet"/>
              <w:tabs>
                <w:tab w:val="clear" w:pos="360"/>
              </w:tabs>
              <w:ind w:left="731"/>
            </w:pPr>
            <w:r>
              <w:t>Toxic effects</w:t>
            </w:r>
            <w:r w:rsidR="00A12C8F">
              <w:t xml:space="preserve"> (central nervous excitement</w:t>
            </w:r>
            <w:r w:rsidR="00A83588">
              <w:t>,</w:t>
            </w:r>
            <w:r w:rsidR="00A12C8F">
              <w:t xml:space="preserve"> restlessness, muscle twitching, </w:t>
            </w:r>
            <w:proofErr w:type="gramStart"/>
            <w:r w:rsidR="00A12C8F">
              <w:t>convulsions</w:t>
            </w:r>
            <w:proofErr w:type="gramEnd"/>
            <w:r w:rsidR="00A12C8F">
              <w:t xml:space="preserve">) </w:t>
            </w:r>
            <w:r>
              <w:t>from accidental acute exposures</w:t>
            </w:r>
            <w:r w:rsidR="00F4763B">
              <w:t xml:space="preserve"> were</w:t>
            </w:r>
            <w:r>
              <w:t xml:space="preserve"> reported to reverse rapidly</w:t>
            </w:r>
            <w:r w:rsidR="00E02174">
              <w:t>.</w:t>
            </w:r>
          </w:p>
          <w:p w14:paraId="00FF2C38" w14:textId="77777777" w:rsidR="00E02174" w:rsidRPr="00DA352E" w:rsidRDefault="00E02174" w:rsidP="008C0088">
            <w:pPr>
              <w:pStyle w:val="ListBullet"/>
              <w:numPr>
                <w:ilvl w:val="0"/>
                <w:numId w:val="0"/>
              </w:numPr>
              <w:ind w:left="731"/>
            </w:pPr>
          </w:p>
        </w:tc>
      </w:tr>
      <w:tr w:rsidR="00C978F0" w:rsidRPr="00DA352E" w14:paraId="5420084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4EC9BC1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9F5F6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9F5F68">
                  <w:t>NA</w:t>
                </w:r>
                <w:proofErr w:type="spellEnd"/>
              </w:sdtContent>
            </w:sdt>
          </w:p>
        </w:tc>
      </w:tr>
      <w:tr w:rsidR="00C978F0" w:rsidRPr="00DA352E" w14:paraId="2C0D3CE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BEADC2B" w14:textId="77777777" w:rsidR="00C978F0" w:rsidRPr="00DA352E" w:rsidRDefault="00C17EEE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4F45688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2E7521A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9F5F6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9F5F68">
                  <w:t>NA</w:t>
                </w:r>
                <w:proofErr w:type="spellEnd"/>
              </w:sdtContent>
            </w:sdt>
          </w:p>
        </w:tc>
      </w:tr>
      <w:tr w:rsidR="00DA352E" w:rsidRPr="00DA352E" w14:paraId="060C79F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4C85FB5" w14:textId="77777777" w:rsidR="00DA352E" w:rsidRPr="00DA352E" w:rsidRDefault="00C17EEE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27661E0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7B0096B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9F5F6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9F5F68">
                  <w:t>NA</w:t>
                </w:r>
                <w:proofErr w:type="spellEnd"/>
              </w:sdtContent>
            </w:sdt>
          </w:p>
        </w:tc>
      </w:tr>
      <w:tr w:rsidR="00DA352E" w:rsidRPr="00DA352E" w14:paraId="4DA9BCE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39B737A" w14:textId="77777777" w:rsidR="00DA352E" w:rsidRPr="00DA352E" w:rsidRDefault="00C17EEE" w:rsidP="003365A5">
            <w:pPr>
              <w:pStyle w:val="Tabletextprimarysource"/>
            </w:pPr>
            <w:r>
              <w:t>No report</w:t>
            </w:r>
          </w:p>
        </w:tc>
      </w:tr>
    </w:tbl>
    <w:p w14:paraId="03BFC801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6687EBDB" w14:textId="77777777" w:rsidTr="009937B4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6F686DAE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1444A992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2929F52C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49AF5620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12D433B3" w14:textId="77777777" w:rsidTr="009937B4">
        <w:trPr>
          <w:cantSplit/>
        </w:trPr>
        <w:tc>
          <w:tcPr>
            <w:tcW w:w="1497" w:type="dxa"/>
          </w:tcPr>
          <w:p w14:paraId="07700F6C" w14:textId="77777777" w:rsidR="004966BF" w:rsidRPr="004C23F4" w:rsidRDefault="004966BF" w:rsidP="00224EE2">
            <w:pPr>
              <w:pStyle w:val="Tablefont"/>
            </w:pPr>
            <w:r>
              <w:t>APVMA</w:t>
            </w:r>
          </w:p>
        </w:tc>
        <w:tc>
          <w:tcPr>
            <w:tcW w:w="424" w:type="dxa"/>
          </w:tcPr>
          <w:p w14:paraId="710C540F" w14:textId="77777777" w:rsidR="004966BF" w:rsidRPr="00CE617F" w:rsidRDefault="00DF0A4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864932884"/>
                <w:placeholder>
                  <w:docPart w:val="CC96E8CFB35445F7B98574D62F848316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9001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101BBA3" w14:textId="77777777" w:rsidR="004966BF" w:rsidRPr="004C23F4" w:rsidRDefault="0049001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44" w:type="dxa"/>
          </w:tcPr>
          <w:p w14:paraId="3A881D2E" w14:textId="77777777" w:rsidR="004966BF" w:rsidRPr="004C23F4" w:rsidRDefault="0049001F">
            <w:pPr>
              <w:pStyle w:val="ListBullet"/>
              <w:rPr>
                <w:rStyle w:val="checkbox"/>
                <w:rFonts w:ascii="Arial" w:hAnsi="Arial" w:cs="Arial"/>
              </w:rPr>
            </w:pPr>
            <w:r w:rsidRPr="0049001F">
              <w:rPr>
                <w:rStyle w:val="checkbox"/>
                <w:rFonts w:ascii="Arial" w:hAnsi="Arial" w:cs="Arial"/>
              </w:rPr>
              <w:t xml:space="preserve">Traditional </w:t>
            </w:r>
            <w:r w:rsidR="00EB19F1">
              <w:t>ADI</w:t>
            </w:r>
            <w:r w:rsidRPr="0049001F">
              <w:rPr>
                <w:rStyle w:val="checkbox"/>
                <w:rFonts w:ascii="Arial" w:hAnsi="Arial" w:cs="Arial"/>
              </w:rPr>
              <w:t xml:space="preserve"> not maintained as no longer used in agricultural practice </w:t>
            </w:r>
            <w:r w:rsidR="00562F24">
              <w:rPr>
                <w:rStyle w:val="checkbox"/>
                <w:rFonts w:ascii="Arial" w:hAnsi="Arial" w:cs="Arial"/>
              </w:rPr>
              <w:t>with no</w:t>
            </w:r>
            <w:r w:rsidRPr="0049001F">
              <w:rPr>
                <w:rStyle w:val="checkbox"/>
                <w:rFonts w:ascii="Arial" w:hAnsi="Arial" w:cs="Arial"/>
              </w:rPr>
              <w:t xml:space="preserve"> industrial sponsors. </w:t>
            </w:r>
          </w:p>
        </w:tc>
      </w:tr>
    </w:tbl>
    <w:bookmarkEnd w:id="0"/>
    <w:p w14:paraId="71D00BA1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arcinogenicity – non-threshold based genotoxic carcinogens"/>
        <w:tblDescription w:val="Is the chemical mutagenic? No, therefore the chemical is not a non-threshold based genotoxic carginogen."/>
      </w:tblPr>
      <w:tblGrid>
        <w:gridCol w:w="6603"/>
        <w:gridCol w:w="2423"/>
      </w:tblGrid>
      <w:tr w:rsidR="008318A5" w14:paraId="74AC51EB" w14:textId="77777777" w:rsidTr="008318A5">
        <w:trPr>
          <w:trHeight w:val="454"/>
          <w:tblHeader/>
        </w:trPr>
        <w:tc>
          <w:tcPr>
            <w:tcW w:w="6603" w:type="dxa"/>
            <w:vAlign w:val="center"/>
          </w:tcPr>
          <w:p w14:paraId="555B02C4" w14:textId="77777777" w:rsidR="008318A5" w:rsidRDefault="008318A5" w:rsidP="00C33562">
            <w:pPr>
              <w:pStyle w:val="Tablefont"/>
              <w:keepNext/>
              <w:keepLines/>
              <w:spacing w:before="40" w:after="40"/>
            </w:pPr>
            <w:bookmarkStart w:id="1" w:name="_GoBack" w:colFirst="0" w:colLast="2"/>
            <w:r>
              <w:t>Is the chemical mutagenic?</w:t>
            </w:r>
          </w:p>
        </w:tc>
        <w:sdt>
          <w:sdtPr>
            <w:id w:val="319705052"/>
            <w:placeholder>
              <w:docPart w:val="3B1EF18478B44BDE92810494F0EAF303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1F860CF8" w14:textId="77777777" w:rsidR="008318A5" w:rsidRDefault="008318A5" w:rsidP="00C33562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F2504C" w14:paraId="25BF1D39" w14:textId="77777777" w:rsidTr="00E1625B">
        <w:trPr>
          <w:trHeight w:val="454"/>
        </w:trPr>
        <w:sdt>
          <w:sdtPr>
            <w:rPr>
              <w:b/>
            </w:rPr>
            <w:id w:val="1830936485"/>
            <w:placeholder>
              <w:docPart w:val="E443E89A5A654FA78E56049D532567B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64E0F90C" w14:textId="03C2B56B" w:rsidR="00F2504C" w:rsidRDefault="00F2504C" w:rsidP="00C33562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</w:tr>
    </w:tbl>
    <w:bookmarkEnd w:id="1"/>
    <w:p w14:paraId="2FD0E1B5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021BF5F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6FB9F6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83E1113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E75B2B8" w14:textId="77777777" w:rsidTr="00812887">
        <w:trPr>
          <w:cantSplit/>
        </w:trPr>
        <w:tc>
          <w:tcPr>
            <w:tcW w:w="3227" w:type="dxa"/>
          </w:tcPr>
          <w:p w14:paraId="39B78591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508BCE49" w14:textId="77777777" w:rsidR="00687890" w:rsidRPr="00DD2F9B" w:rsidRDefault="00562F24" w:rsidP="00DD2F9B">
            <w:pPr>
              <w:pStyle w:val="Tablefont"/>
            </w:pPr>
            <w:r>
              <w:t>Carc.</w:t>
            </w:r>
            <w:r w:rsidR="0046417C" w:rsidRPr="0046417C">
              <w:t>2</w:t>
            </w:r>
            <w:r w:rsidR="008318A5">
              <w:t>;</w:t>
            </w:r>
            <w:r w:rsidR="0046417C">
              <w:t xml:space="preserve"> Skin</w:t>
            </w:r>
          </w:p>
        </w:tc>
      </w:tr>
      <w:tr w:rsidR="007925F0" w:rsidRPr="004C23F4" w14:paraId="779DFF12" w14:textId="77777777" w:rsidTr="00812887">
        <w:trPr>
          <w:cantSplit/>
        </w:trPr>
        <w:tc>
          <w:tcPr>
            <w:tcW w:w="3227" w:type="dxa"/>
          </w:tcPr>
          <w:p w14:paraId="2455FB69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19AB853" w14:textId="77777777" w:rsidR="007925F0" w:rsidRPr="00DD2F9B" w:rsidRDefault="0046417C" w:rsidP="00DD2F9B">
            <w:pPr>
              <w:pStyle w:val="Tablefont"/>
            </w:pPr>
            <w:r w:rsidRPr="0046417C">
              <w:t>Carcinogenicity – category 2</w:t>
            </w:r>
          </w:p>
        </w:tc>
      </w:tr>
      <w:tr w:rsidR="00AF483F" w:rsidRPr="004C23F4" w14:paraId="22425714" w14:textId="77777777" w:rsidTr="00812887">
        <w:trPr>
          <w:cantSplit/>
        </w:trPr>
        <w:tc>
          <w:tcPr>
            <w:tcW w:w="3227" w:type="dxa"/>
          </w:tcPr>
          <w:p w14:paraId="034F5B37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166B0242" w14:textId="77777777" w:rsidR="00AF483F" w:rsidRPr="00DD2F9B" w:rsidRDefault="007C41A5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1983EE82" w14:textId="77777777" w:rsidTr="00812887">
        <w:trPr>
          <w:cantSplit/>
        </w:trPr>
        <w:tc>
          <w:tcPr>
            <w:tcW w:w="3227" w:type="dxa"/>
          </w:tcPr>
          <w:p w14:paraId="66134E1D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DA8A30D" w14:textId="77777777" w:rsidR="00687890" w:rsidRPr="00DD2F9B" w:rsidRDefault="00316808" w:rsidP="00DD2F9B">
            <w:pPr>
              <w:pStyle w:val="Tablefont"/>
            </w:pPr>
            <w:r>
              <w:t>Carcinogenicity – category 2</w:t>
            </w:r>
          </w:p>
        </w:tc>
      </w:tr>
      <w:tr w:rsidR="00E41A26" w:rsidRPr="004C23F4" w14:paraId="0975C470" w14:textId="77777777" w:rsidTr="00812887">
        <w:trPr>
          <w:cantSplit/>
        </w:trPr>
        <w:tc>
          <w:tcPr>
            <w:tcW w:w="3227" w:type="dxa"/>
          </w:tcPr>
          <w:p w14:paraId="7561C152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42426DA9" w14:textId="77777777" w:rsidR="00E41A26" w:rsidRPr="00DD2F9B" w:rsidRDefault="007C41A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CA575E7" w14:textId="77777777" w:rsidTr="00812887">
        <w:trPr>
          <w:cantSplit/>
        </w:trPr>
        <w:tc>
          <w:tcPr>
            <w:tcW w:w="3227" w:type="dxa"/>
          </w:tcPr>
          <w:p w14:paraId="05FDC094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2D1909B" w14:textId="77777777" w:rsidR="002E0D61" w:rsidRPr="00DD2F9B" w:rsidRDefault="005048F9" w:rsidP="00DD2F9B">
            <w:pPr>
              <w:pStyle w:val="Tablefont"/>
            </w:pPr>
            <w:r>
              <w:t xml:space="preserve">Carcinogenicity – A3; Skin </w:t>
            </w:r>
          </w:p>
        </w:tc>
      </w:tr>
      <w:tr w:rsidR="002E0D61" w:rsidRPr="004C23F4" w14:paraId="0CA10046" w14:textId="77777777" w:rsidTr="00812887">
        <w:trPr>
          <w:cantSplit/>
        </w:trPr>
        <w:tc>
          <w:tcPr>
            <w:tcW w:w="3227" w:type="dxa"/>
          </w:tcPr>
          <w:p w14:paraId="22A918D4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C2A44DF" w14:textId="77777777" w:rsidR="002E0D61" w:rsidRPr="00DD2F9B" w:rsidRDefault="002E58E6" w:rsidP="00DD2F9B">
            <w:pPr>
              <w:pStyle w:val="Tablefont"/>
            </w:pPr>
            <w:r>
              <w:t xml:space="preserve">H </w:t>
            </w:r>
            <w:r w:rsidR="00562F24">
              <w:t>(</w:t>
            </w:r>
            <w:r>
              <w:t>Skin</w:t>
            </w:r>
            <w:r w:rsidR="00562F24">
              <w:t>)</w:t>
            </w:r>
          </w:p>
        </w:tc>
      </w:tr>
      <w:tr w:rsidR="002E0D61" w:rsidRPr="004C23F4" w14:paraId="71ED6BEE" w14:textId="77777777" w:rsidTr="00812887">
        <w:trPr>
          <w:cantSplit/>
        </w:trPr>
        <w:tc>
          <w:tcPr>
            <w:tcW w:w="3227" w:type="dxa"/>
          </w:tcPr>
          <w:p w14:paraId="17942811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9D1D537" w14:textId="77777777" w:rsidR="002E0D61" w:rsidRPr="00DD2F9B" w:rsidRDefault="007C41A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C0A8491" w14:textId="77777777" w:rsidTr="00812887">
        <w:trPr>
          <w:cantSplit/>
        </w:trPr>
        <w:tc>
          <w:tcPr>
            <w:tcW w:w="3227" w:type="dxa"/>
          </w:tcPr>
          <w:p w14:paraId="3C527835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42DA4EB6" w14:textId="77777777" w:rsidR="002E0D61" w:rsidRPr="00DD2F9B" w:rsidRDefault="007C41A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69908ED" w14:textId="77777777" w:rsidTr="00812887">
        <w:trPr>
          <w:cantSplit/>
        </w:trPr>
        <w:tc>
          <w:tcPr>
            <w:tcW w:w="3227" w:type="dxa"/>
          </w:tcPr>
          <w:p w14:paraId="4A8C9075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D8EB3EB" w14:textId="77777777" w:rsidR="00386093" w:rsidRPr="00DD2F9B" w:rsidRDefault="008F7263" w:rsidP="00DD2F9B">
            <w:pPr>
              <w:pStyle w:val="Tablefont"/>
            </w:pPr>
            <w:r>
              <w:t>Carcinogenicity – Group 2B</w:t>
            </w:r>
          </w:p>
        </w:tc>
      </w:tr>
      <w:tr w:rsidR="00386093" w:rsidRPr="004C23F4" w14:paraId="5DC6FB4A" w14:textId="77777777" w:rsidTr="00812887">
        <w:trPr>
          <w:cantSplit/>
        </w:trPr>
        <w:tc>
          <w:tcPr>
            <w:tcW w:w="3227" w:type="dxa"/>
          </w:tcPr>
          <w:p w14:paraId="27F83BAC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9160B93" w14:textId="77777777" w:rsidR="00386093" w:rsidRPr="00DD2F9B" w:rsidRDefault="007C41A5" w:rsidP="00D87570">
            <w:pPr>
              <w:pStyle w:val="Tablefont"/>
              <w:keepNext/>
            </w:pPr>
            <w:r>
              <w:t>SK:SYS</w:t>
            </w:r>
          </w:p>
        </w:tc>
      </w:tr>
    </w:tbl>
    <w:bookmarkEnd w:id="2"/>
    <w:p w14:paraId="35A32D82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015B615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37A0787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BF7260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36C3A1E3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828"/>
              <w:gridCol w:w="1128"/>
              <w:gridCol w:w="1128"/>
              <w:gridCol w:w="1364"/>
              <w:gridCol w:w="1362"/>
            </w:tblGrid>
            <w:tr w:rsidR="00727225" w:rsidRPr="00727225" w14:paraId="5EE141E3" w14:textId="77777777" w:rsidTr="00316808">
              <w:trPr>
                <w:trHeight w:val="342"/>
              </w:trPr>
              <w:tc>
                <w:tcPr>
                  <w:tcW w:w="21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7F6FA0" w14:textId="77777777" w:rsidR="00727225" w:rsidRPr="00727225" w:rsidRDefault="00727225" w:rsidP="0072722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62EA460F" w14:textId="77777777" w:rsidR="00727225" w:rsidRPr="00727225" w:rsidRDefault="00727225" w:rsidP="0072722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8E8DE2" w14:textId="77777777" w:rsidR="00727225" w:rsidRPr="00727225" w:rsidRDefault="00727225" w:rsidP="0072722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E5E82D" w14:textId="77777777" w:rsidR="00727225" w:rsidRPr="00727225" w:rsidRDefault="00727225" w:rsidP="0072722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08CE5B" w14:textId="77777777" w:rsidR="00727225" w:rsidRPr="00727225" w:rsidRDefault="00727225" w:rsidP="0072722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27225" w:rsidRPr="00727225" w14:paraId="77B79A13" w14:textId="77777777" w:rsidTr="00316808">
              <w:trPr>
                <w:trHeight w:val="342"/>
              </w:trPr>
              <w:tc>
                <w:tcPr>
                  <w:tcW w:w="21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A99096" w14:textId="77777777" w:rsidR="00727225" w:rsidRPr="00727225" w:rsidRDefault="00727225" w:rsidP="0072722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3E1C8C48" w14:textId="77777777" w:rsidR="00727225" w:rsidRPr="00727225" w:rsidRDefault="00727225" w:rsidP="0072722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3E6C11" w14:textId="77777777" w:rsidR="00727225" w:rsidRPr="00727225" w:rsidRDefault="00727225" w:rsidP="0072722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C4A4B6" w14:textId="77777777" w:rsidR="00727225" w:rsidRPr="00727225" w:rsidRDefault="00727225" w:rsidP="0072722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EFC078" w14:textId="77777777" w:rsidR="00727225" w:rsidRPr="00727225" w:rsidRDefault="00727225" w:rsidP="0072722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27225" w:rsidRPr="00727225" w14:paraId="6BDC59A9" w14:textId="77777777" w:rsidTr="00316808">
              <w:trPr>
                <w:trHeight w:val="342"/>
              </w:trPr>
              <w:tc>
                <w:tcPr>
                  <w:tcW w:w="21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9ECCFA" w14:textId="77777777" w:rsidR="00727225" w:rsidRPr="00727225" w:rsidRDefault="00727225" w:rsidP="0072722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2A793F" w14:textId="77777777" w:rsidR="00727225" w:rsidRPr="00727225" w:rsidRDefault="00727225" w:rsidP="0072722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7A4B57" w14:textId="77777777" w:rsidR="00727225" w:rsidRPr="00727225" w:rsidRDefault="00727225" w:rsidP="0072722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A92033" w14:textId="77777777" w:rsidR="00727225" w:rsidRPr="00727225" w:rsidRDefault="00727225" w:rsidP="0072722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4504F7" w14:textId="77777777" w:rsidR="00727225" w:rsidRPr="00727225" w:rsidRDefault="00727225" w:rsidP="0072722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27225" w:rsidRPr="00727225" w14:paraId="6CC6AF20" w14:textId="77777777" w:rsidTr="00316808">
              <w:trPr>
                <w:trHeight w:val="342"/>
              </w:trPr>
              <w:tc>
                <w:tcPr>
                  <w:tcW w:w="21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6891BD" w14:textId="77777777" w:rsidR="00727225" w:rsidRPr="00727225" w:rsidRDefault="00727225" w:rsidP="0072722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AC0ED9" w14:textId="77777777" w:rsidR="00727225" w:rsidRPr="00727225" w:rsidRDefault="00727225" w:rsidP="0072722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C2792C" w14:textId="77777777" w:rsidR="00727225" w:rsidRPr="00727225" w:rsidRDefault="00727225" w:rsidP="0072722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AF3466" w14:textId="77777777" w:rsidR="00727225" w:rsidRPr="00727225" w:rsidRDefault="00727225" w:rsidP="0072722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79F55D" w14:textId="77777777" w:rsidR="00727225" w:rsidRPr="00727225" w:rsidRDefault="00727225" w:rsidP="0072722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27225" w:rsidRPr="00727225" w14:paraId="28E0308E" w14:textId="77777777" w:rsidTr="00316808">
              <w:trPr>
                <w:trHeight w:val="342"/>
              </w:trPr>
              <w:tc>
                <w:tcPr>
                  <w:tcW w:w="21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393D43" w14:textId="77777777" w:rsidR="00727225" w:rsidRPr="00727225" w:rsidRDefault="00727225" w:rsidP="0072722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EFF6B4" w14:textId="77777777" w:rsidR="00727225" w:rsidRPr="00727225" w:rsidRDefault="00727225" w:rsidP="0072722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D8162F" w14:textId="77777777" w:rsidR="00727225" w:rsidRPr="00727225" w:rsidRDefault="00727225" w:rsidP="0072722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D7C4CA" w14:textId="77777777" w:rsidR="00727225" w:rsidRPr="00727225" w:rsidRDefault="00727225" w:rsidP="0072722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A570AC" w14:textId="77777777" w:rsidR="00727225" w:rsidRPr="00727225" w:rsidRDefault="00727225" w:rsidP="0072722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27225" w:rsidRPr="00727225" w14:paraId="6FBF25DD" w14:textId="77777777" w:rsidTr="00316808">
              <w:trPr>
                <w:trHeight w:val="342"/>
              </w:trPr>
              <w:tc>
                <w:tcPr>
                  <w:tcW w:w="21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B388A9" w14:textId="77777777" w:rsidR="00727225" w:rsidRPr="00727225" w:rsidRDefault="00727225" w:rsidP="0072722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8E8366" w14:textId="77777777" w:rsidR="00727225" w:rsidRPr="00727225" w:rsidRDefault="00727225" w:rsidP="0072722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53CF41" w14:textId="77777777" w:rsidR="00727225" w:rsidRPr="00727225" w:rsidRDefault="00727225" w:rsidP="0072722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429301" w14:textId="77777777" w:rsidR="00727225" w:rsidRPr="00727225" w:rsidRDefault="00727225" w:rsidP="0072722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0E7584" w14:textId="77777777" w:rsidR="00727225" w:rsidRPr="00727225" w:rsidRDefault="00727225" w:rsidP="0072722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27225" w:rsidRPr="00727225" w14:paraId="7B83464D" w14:textId="77777777" w:rsidTr="00316808">
              <w:trPr>
                <w:trHeight w:val="342"/>
              </w:trPr>
              <w:tc>
                <w:tcPr>
                  <w:tcW w:w="21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1C721E" w14:textId="77777777" w:rsidR="00727225" w:rsidRPr="00727225" w:rsidRDefault="00727225" w:rsidP="0072722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52B2DA" w14:textId="77777777" w:rsidR="00727225" w:rsidRPr="00727225" w:rsidRDefault="00727225" w:rsidP="0072722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A439C1" w14:textId="77777777" w:rsidR="00727225" w:rsidRPr="00727225" w:rsidRDefault="00727225" w:rsidP="0072722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154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484B74" w14:textId="77777777" w:rsidR="00727225" w:rsidRPr="00727225" w:rsidRDefault="00727225" w:rsidP="00727225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7225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762CFBC5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0A265BE8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03EE75D3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CA08FF8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6C0223E" w14:textId="77777777" w:rsidR="00EB3D1B" w:rsidRDefault="009937B4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6E2AD633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0963DB8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C68455B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739A460" w14:textId="77777777" w:rsidR="001B79E5" w:rsidRDefault="00562F24" w:rsidP="001B79E5">
                <w:pPr>
                  <w:pStyle w:val="Tablefont"/>
                </w:pPr>
                <w:r>
                  <w:t>364.9</w:t>
                </w:r>
              </w:p>
            </w:tc>
          </w:sdtContent>
        </w:sdt>
      </w:tr>
      <w:tr w:rsidR="00A31D99" w:rsidRPr="004C23F4" w14:paraId="75F1645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6E8BB87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396F17D0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EE9103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8A47A3C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8F23506" w14:textId="77777777" w:rsidR="00687890" w:rsidRPr="004C23F4" w:rsidRDefault="009937B4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7A28C1DB" w14:textId="77777777" w:rsidTr="00EA6243">
        <w:trPr>
          <w:cantSplit/>
        </w:trPr>
        <w:tc>
          <w:tcPr>
            <w:tcW w:w="4077" w:type="dxa"/>
            <w:vAlign w:val="center"/>
          </w:tcPr>
          <w:p w14:paraId="3E20743C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E18029A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CBEDADA" w14:textId="77777777" w:rsidTr="00EA6243">
        <w:trPr>
          <w:cantSplit/>
        </w:trPr>
        <w:tc>
          <w:tcPr>
            <w:tcW w:w="4077" w:type="dxa"/>
            <w:vAlign w:val="center"/>
          </w:tcPr>
          <w:p w14:paraId="08A1EEC4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518096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8C80AE7" w14:textId="77777777" w:rsidTr="00EA6243">
        <w:trPr>
          <w:cantSplit/>
        </w:trPr>
        <w:tc>
          <w:tcPr>
            <w:tcW w:w="4077" w:type="dxa"/>
            <w:vAlign w:val="center"/>
          </w:tcPr>
          <w:p w14:paraId="60DEA74C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8C50119" w14:textId="77777777" w:rsidR="00E06F40" w:rsidRPr="00A006A0" w:rsidRDefault="00DF0A43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4D570C32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2F197B0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F7BB08F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73121FB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260503B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9551E4A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177F78B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73F2E53D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485139A4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F1D1261" w14:textId="77777777" w:rsidR="0049001F" w:rsidRDefault="0049001F" w:rsidP="00084859">
      <w:r>
        <w:t xml:space="preserve">Australian Pesticides and Veterinary Medicines Authority </w:t>
      </w:r>
      <w:r w:rsidR="002E58E6">
        <w:t>(</w:t>
      </w:r>
      <w:r>
        <w:t xml:space="preserve">2016) </w:t>
      </w:r>
      <w:r w:rsidRPr="0049001F">
        <w:t>Acceptable Daily Intakes for Agricultural and Veterinary Chemicals</w:t>
      </w:r>
    </w:p>
    <w:p w14:paraId="49571038" w14:textId="77777777" w:rsidR="0049001F" w:rsidRDefault="0049001F" w:rsidP="00084859">
      <w:r w:rsidRPr="0049001F">
        <w:t xml:space="preserve">Deutsche </w:t>
      </w:r>
      <w:proofErr w:type="spellStart"/>
      <w:r w:rsidRPr="0049001F">
        <w:t>Forschungsgemeinschaft</w:t>
      </w:r>
      <w:proofErr w:type="spellEnd"/>
      <w:r w:rsidRPr="0049001F">
        <w:t xml:space="preserve"> (DFG) (</w:t>
      </w:r>
      <w:r>
        <w:t>1</w:t>
      </w:r>
      <w:r w:rsidR="002E58E6">
        <w:t>97</w:t>
      </w:r>
      <w:r>
        <w:t>3</w:t>
      </w:r>
      <w:r w:rsidRPr="0049001F">
        <w:t xml:space="preserve">) </w:t>
      </w:r>
      <w:r>
        <w:t>Aldrin</w:t>
      </w:r>
      <w:r w:rsidRPr="0049001F">
        <w:t xml:space="preserve"> – MAK value documentation</w:t>
      </w:r>
      <w:r w:rsidR="00A12C8F">
        <w:t xml:space="preserve"> in German language</w:t>
      </w:r>
      <w:r w:rsidRPr="0049001F">
        <w:t>.</w:t>
      </w:r>
    </w:p>
    <w:p w14:paraId="2C160D49" w14:textId="4C1C07A6" w:rsidR="00984505" w:rsidRDefault="00984505" w:rsidP="00F2504C">
      <w:r w:rsidRPr="00710012">
        <w:t>International Agency for Research on Cancer (IARC) (</w:t>
      </w:r>
      <w:r>
        <w:t>2019</w:t>
      </w:r>
      <w:r w:rsidRPr="00585B5C">
        <w:t xml:space="preserve">) </w:t>
      </w:r>
      <w:proofErr w:type="spellStart"/>
      <w:r>
        <w:t>Dieldrin</w:t>
      </w:r>
      <w:proofErr w:type="spellEnd"/>
      <w:r>
        <w:t xml:space="preserve"> and </w:t>
      </w:r>
      <w:proofErr w:type="spellStart"/>
      <w:r>
        <w:t>aldrin</w:t>
      </w:r>
      <w:proofErr w:type="spellEnd"/>
      <w:r w:rsidRPr="00710012">
        <w:t xml:space="preserve">. IARC Monographs on </w:t>
      </w:r>
    </w:p>
    <w:p w14:paraId="6508744C" w14:textId="77777777" w:rsidR="00984505" w:rsidRDefault="00984505" w:rsidP="00084859">
      <w:r>
        <w:rPr>
          <w:color w:val="000000"/>
        </w:rPr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10626C17" w14:textId="77777777" w:rsidR="008F7263" w:rsidRDefault="00562F24" w:rsidP="00084859">
      <w:r w:rsidRPr="00181257">
        <w:t xml:space="preserve">US </w:t>
      </w:r>
      <w:r>
        <w:t xml:space="preserve">National Institute for Occupational Safety and Health (NIOSH) (1994) </w:t>
      </w:r>
      <w:proofErr w:type="gramStart"/>
      <w:r>
        <w:t>Immediately</w:t>
      </w:r>
      <w:proofErr w:type="gramEnd"/>
      <w:r>
        <w:t xml:space="preserve"> dangerous to life and health concentrations – Aldrin. </w:t>
      </w:r>
    </w:p>
    <w:p w14:paraId="2AD97816" w14:textId="77777777" w:rsidR="00562F24" w:rsidRPr="00351FE0" w:rsidRDefault="00562F24" w:rsidP="00084859">
      <w:r w:rsidRPr="00181257">
        <w:t xml:space="preserve">US </w:t>
      </w:r>
      <w:r>
        <w:t xml:space="preserve">National Institute for Occupational Safety and Health (NIOSH) (2015) NIOSH Skin Notation Profiles: Aldrin </w:t>
      </w:r>
    </w:p>
    <w:sectPr w:rsidR="00562F24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6EC907" w16cid:durableId="20EC2353"/>
  <w16cid:commentId w16cid:paraId="54E5ADA0" w16cid:durableId="20EC25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546FB" w14:textId="77777777" w:rsidR="00ED2A0D" w:rsidRDefault="00ED2A0D" w:rsidP="00F43AD5">
      <w:pPr>
        <w:spacing w:after="0" w:line="240" w:lineRule="auto"/>
      </w:pPr>
      <w:r>
        <w:separator/>
      </w:r>
    </w:p>
  </w:endnote>
  <w:endnote w:type="continuationSeparator" w:id="0">
    <w:p w14:paraId="4CF29A4C" w14:textId="77777777" w:rsidR="00ED2A0D" w:rsidRDefault="00ED2A0D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B1E45" w14:textId="77777777" w:rsidR="00F32961" w:rsidRDefault="00F329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31D20E4" w14:textId="77777777" w:rsidR="008A36CF" w:rsidRDefault="00A3624F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Aldrin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309-00-2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F83741E" w14:textId="2BCEEF67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DF0A43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E60A1" w14:textId="77777777" w:rsidR="00F32961" w:rsidRDefault="00F32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6EDB7" w14:textId="77777777" w:rsidR="00ED2A0D" w:rsidRDefault="00ED2A0D" w:rsidP="00F43AD5">
      <w:pPr>
        <w:spacing w:after="0" w:line="240" w:lineRule="auto"/>
      </w:pPr>
      <w:r>
        <w:separator/>
      </w:r>
    </w:p>
  </w:footnote>
  <w:footnote w:type="continuationSeparator" w:id="0">
    <w:p w14:paraId="65865F3C" w14:textId="77777777" w:rsidR="00ED2A0D" w:rsidRDefault="00ED2A0D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BF9EC" w14:textId="77777777" w:rsidR="00F32961" w:rsidRDefault="00F329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93925" w14:textId="77777777" w:rsidR="008A36CF" w:rsidRDefault="008A36CF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51330F7F" wp14:editId="2EE66DEE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C23FD" w14:textId="77777777" w:rsidR="00F32961" w:rsidRDefault="00F3296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BEF23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5909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772AC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F2C4D"/>
    <w:rsid w:val="0010461E"/>
    <w:rsid w:val="00106FAA"/>
    <w:rsid w:val="0011264D"/>
    <w:rsid w:val="00113443"/>
    <w:rsid w:val="001269A7"/>
    <w:rsid w:val="00131092"/>
    <w:rsid w:val="00140E6A"/>
    <w:rsid w:val="00146545"/>
    <w:rsid w:val="00146B75"/>
    <w:rsid w:val="001474D1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3C5F"/>
    <w:rsid w:val="002E4C7B"/>
    <w:rsid w:val="002E58E6"/>
    <w:rsid w:val="002F4EC7"/>
    <w:rsid w:val="00301FB6"/>
    <w:rsid w:val="0030740C"/>
    <w:rsid w:val="00315833"/>
    <w:rsid w:val="00316808"/>
    <w:rsid w:val="003215EE"/>
    <w:rsid w:val="003224BF"/>
    <w:rsid w:val="003241A8"/>
    <w:rsid w:val="003253F0"/>
    <w:rsid w:val="00331446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97EA5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6306"/>
    <w:rsid w:val="00417A56"/>
    <w:rsid w:val="00420957"/>
    <w:rsid w:val="00422A10"/>
    <w:rsid w:val="00430179"/>
    <w:rsid w:val="004349E6"/>
    <w:rsid w:val="00440E11"/>
    <w:rsid w:val="004414B5"/>
    <w:rsid w:val="00444421"/>
    <w:rsid w:val="00444482"/>
    <w:rsid w:val="00444B42"/>
    <w:rsid w:val="00445E44"/>
    <w:rsid w:val="004509E2"/>
    <w:rsid w:val="004515EE"/>
    <w:rsid w:val="004529F0"/>
    <w:rsid w:val="00460A03"/>
    <w:rsid w:val="0046417C"/>
    <w:rsid w:val="00472A11"/>
    <w:rsid w:val="00472AAD"/>
    <w:rsid w:val="00474E33"/>
    <w:rsid w:val="00476803"/>
    <w:rsid w:val="00483BB9"/>
    <w:rsid w:val="00485BFD"/>
    <w:rsid w:val="004867A2"/>
    <w:rsid w:val="004873F2"/>
    <w:rsid w:val="0049001F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1ABD"/>
    <w:rsid w:val="004E5EDD"/>
    <w:rsid w:val="004F448A"/>
    <w:rsid w:val="004F493D"/>
    <w:rsid w:val="004F65E8"/>
    <w:rsid w:val="0050005E"/>
    <w:rsid w:val="00500832"/>
    <w:rsid w:val="00502B88"/>
    <w:rsid w:val="005048F9"/>
    <w:rsid w:val="005142C4"/>
    <w:rsid w:val="0051509C"/>
    <w:rsid w:val="005272E2"/>
    <w:rsid w:val="00527534"/>
    <w:rsid w:val="0053108F"/>
    <w:rsid w:val="00532B56"/>
    <w:rsid w:val="00534B10"/>
    <w:rsid w:val="00537E67"/>
    <w:rsid w:val="005446A2"/>
    <w:rsid w:val="00544D2F"/>
    <w:rsid w:val="00551BD8"/>
    <w:rsid w:val="00562F24"/>
    <w:rsid w:val="00581055"/>
    <w:rsid w:val="00584B19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5DF0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6E7420"/>
    <w:rsid w:val="00701053"/>
    <w:rsid w:val="00701507"/>
    <w:rsid w:val="00714021"/>
    <w:rsid w:val="00716A0F"/>
    <w:rsid w:val="00717D45"/>
    <w:rsid w:val="007208F7"/>
    <w:rsid w:val="007218AF"/>
    <w:rsid w:val="00727225"/>
    <w:rsid w:val="007365D1"/>
    <w:rsid w:val="00740E0E"/>
    <w:rsid w:val="00750212"/>
    <w:rsid w:val="00754779"/>
    <w:rsid w:val="0075716D"/>
    <w:rsid w:val="00765F14"/>
    <w:rsid w:val="00767E0E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C41A5"/>
    <w:rsid w:val="007E063C"/>
    <w:rsid w:val="007E2A4B"/>
    <w:rsid w:val="007E307D"/>
    <w:rsid w:val="007E6A4E"/>
    <w:rsid w:val="007E6C94"/>
    <w:rsid w:val="007F1005"/>
    <w:rsid w:val="007F25E0"/>
    <w:rsid w:val="007F5328"/>
    <w:rsid w:val="007F53AB"/>
    <w:rsid w:val="00804F5A"/>
    <w:rsid w:val="00810C6D"/>
    <w:rsid w:val="00812887"/>
    <w:rsid w:val="00826F21"/>
    <w:rsid w:val="008318A5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0088"/>
    <w:rsid w:val="008C2511"/>
    <w:rsid w:val="008D026D"/>
    <w:rsid w:val="008D23AB"/>
    <w:rsid w:val="008D4B8B"/>
    <w:rsid w:val="008D5A78"/>
    <w:rsid w:val="008E7B64"/>
    <w:rsid w:val="008F5DCD"/>
    <w:rsid w:val="008F7263"/>
    <w:rsid w:val="00900951"/>
    <w:rsid w:val="009118A6"/>
    <w:rsid w:val="00916220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505"/>
    <w:rsid w:val="00984920"/>
    <w:rsid w:val="0099303A"/>
    <w:rsid w:val="009937B4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5CF"/>
    <w:rsid w:val="009F0F3A"/>
    <w:rsid w:val="009F5F68"/>
    <w:rsid w:val="00A01D0C"/>
    <w:rsid w:val="00A0643F"/>
    <w:rsid w:val="00A067EE"/>
    <w:rsid w:val="00A10FCE"/>
    <w:rsid w:val="00A12C8F"/>
    <w:rsid w:val="00A16D91"/>
    <w:rsid w:val="00A174CC"/>
    <w:rsid w:val="00A2073D"/>
    <w:rsid w:val="00A20751"/>
    <w:rsid w:val="00A27E2D"/>
    <w:rsid w:val="00A31D99"/>
    <w:rsid w:val="00A357BA"/>
    <w:rsid w:val="00A35ADC"/>
    <w:rsid w:val="00A3624F"/>
    <w:rsid w:val="00A402A3"/>
    <w:rsid w:val="00A53681"/>
    <w:rsid w:val="00A633D4"/>
    <w:rsid w:val="00A6461A"/>
    <w:rsid w:val="00A83588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564C8"/>
    <w:rsid w:val="00B71188"/>
    <w:rsid w:val="00B76A41"/>
    <w:rsid w:val="00B87D4C"/>
    <w:rsid w:val="00B93646"/>
    <w:rsid w:val="00BA0B38"/>
    <w:rsid w:val="00BA1DBB"/>
    <w:rsid w:val="00BA4510"/>
    <w:rsid w:val="00BA529A"/>
    <w:rsid w:val="00BB0162"/>
    <w:rsid w:val="00BB612A"/>
    <w:rsid w:val="00BC26D0"/>
    <w:rsid w:val="00BD432C"/>
    <w:rsid w:val="00BD499F"/>
    <w:rsid w:val="00BD56DE"/>
    <w:rsid w:val="00BE0EC1"/>
    <w:rsid w:val="00BF2406"/>
    <w:rsid w:val="00C03F97"/>
    <w:rsid w:val="00C16315"/>
    <w:rsid w:val="00C17EEE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64B9"/>
    <w:rsid w:val="00CE78EF"/>
    <w:rsid w:val="00CF2BAB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C33"/>
    <w:rsid w:val="00DD2F9B"/>
    <w:rsid w:val="00DE2513"/>
    <w:rsid w:val="00DE26E8"/>
    <w:rsid w:val="00DF0A43"/>
    <w:rsid w:val="00DF6F36"/>
    <w:rsid w:val="00E0084C"/>
    <w:rsid w:val="00E02174"/>
    <w:rsid w:val="00E025AB"/>
    <w:rsid w:val="00E02B23"/>
    <w:rsid w:val="00E06F40"/>
    <w:rsid w:val="00E07CE8"/>
    <w:rsid w:val="00E2402D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19F1"/>
    <w:rsid w:val="00EB3D1B"/>
    <w:rsid w:val="00ED1D89"/>
    <w:rsid w:val="00ED2A0D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2504C"/>
    <w:rsid w:val="00F32961"/>
    <w:rsid w:val="00F43AD5"/>
    <w:rsid w:val="00F4402E"/>
    <w:rsid w:val="00F44F6A"/>
    <w:rsid w:val="00F4763B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2F93"/>
    <w:rsid w:val="00FC60A2"/>
    <w:rsid w:val="00FD1871"/>
    <w:rsid w:val="00FD3110"/>
    <w:rsid w:val="00FF347B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879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7F53AB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0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1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1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162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C96E8CFB35445F7B98574D62F84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39DF5-6E93-475B-AC7E-D7E1C74E2052}"/>
      </w:docPartPr>
      <w:docPartBody>
        <w:p w:rsidR="00D21A9F" w:rsidRDefault="00D21A9F">
          <w:pPr>
            <w:pStyle w:val="CC96E8CFB35445F7B98574D62F848316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3B1EF18478B44BDE92810494F0EA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09258-5E0A-4834-874D-0A774D316731}"/>
      </w:docPartPr>
      <w:docPartBody>
        <w:p w:rsidR="00BB24E6" w:rsidRDefault="00684738" w:rsidP="00684738">
          <w:pPr>
            <w:pStyle w:val="3B1EF18478B44BDE92810494F0EAF303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E443E89A5A654FA78E56049D53256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BEC6F-52C0-4022-981A-F5D28A2B0706}"/>
      </w:docPartPr>
      <w:docPartBody>
        <w:p w:rsidR="00D0734F" w:rsidRDefault="00701D08" w:rsidP="00701D08">
          <w:pPr>
            <w:pStyle w:val="E443E89A5A654FA78E56049D532567BE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8479D"/>
    <w:rsid w:val="003C0200"/>
    <w:rsid w:val="004263ED"/>
    <w:rsid w:val="00541E00"/>
    <w:rsid w:val="00684738"/>
    <w:rsid w:val="00701D08"/>
    <w:rsid w:val="00AC5D0F"/>
    <w:rsid w:val="00BB24E6"/>
    <w:rsid w:val="00C05A8B"/>
    <w:rsid w:val="00D0734F"/>
    <w:rsid w:val="00D21A9F"/>
    <w:rsid w:val="00D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D08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3B1EF18478B44BDE92810494F0EAF303">
    <w:name w:val="3B1EF18478B44BDE92810494F0EAF303"/>
    <w:rsid w:val="00684738"/>
  </w:style>
  <w:style w:type="paragraph" w:customStyle="1" w:styleId="EB6230957F284732BA7330B8B69F843D">
    <w:name w:val="EB6230957F284732BA7330B8B69F843D"/>
    <w:rsid w:val="00684738"/>
  </w:style>
  <w:style w:type="paragraph" w:customStyle="1" w:styleId="169F4D91033E4DFCBADC3ADF0EB65D28">
    <w:name w:val="169F4D91033E4DFCBADC3ADF0EB65D28"/>
    <w:rsid w:val="00684738"/>
  </w:style>
  <w:style w:type="paragraph" w:customStyle="1" w:styleId="86796DAAA16C4B969E273E48B5BC8907">
    <w:name w:val="86796DAAA16C4B969E273E48B5BC8907"/>
    <w:rsid w:val="00684738"/>
  </w:style>
  <w:style w:type="paragraph" w:customStyle="1" w:styleId="E443E89A5A654FA78E56049D532567BE">
    <w:name w:val="E443E89A5A654FA78E56049D532567BE"/>
    <w:rsid w:val="00701D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F625-23EA-43B0-B0A1-8BECC9A7C75E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f54d604-3e62-4e70-ba33-9e9084b96a66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4ED0BB6-86B5-4744-BF6A-EC6C82ADA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80C52-F3BD-41F6-B203-ED5401DB8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D1379A-1E44-4FBD-8671-73BEA433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EDD14810.dotm</Template>
  <TotalTime>0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2019-07-08T00:29:00Z</dcterms:created>
  <dcterms:modified xsi:type="dcterms:W3CDTF">2019-08-20T23:02:00Z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