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695268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0E6355A" w14:textId="77777777" w:rsidR="00BD499F" w:rsidRPr="004C23F4" w:rsidRDefault="00785856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Amitrole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1F1EBDDA" w14:textId="77777777" w:rsidTr="00B76A41">
        <w:trPr>
          <w:cantSplit/>
          <w:tblHeader/>
        </w:trPr>
        <w:tc>
          <w:tcPr>
            <w:tcW w:w="4077" w:type="dxa"/>
          </w:tcPr>
          <w:p w14:paraId="1A997C3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D3E03A6" w14:textId="77777777" w:rsidR="00F43AD5" w:rsidRPr="00717D45" w:rsidRDefault="00785856" w:rsidP="00B76A41">
            <w:pPr>
              <w:pStyle w:val="Tablefont"/>
            </w:pPr>
            <w:r>
              <w:t>61-82-5</w:t>
            </w:r>
          </w:p>
        </w:tc>
      </w:tr>
      <w:tr w:rsidR="00F43AD5" w:rsidRPr="004C23F4" w14:paraId="11688D27" w14:textId="77777777" w:rsidTr="00B76A41">
        <w:trPr>
          <w:cantSplit/>
        </w:trPr>
        <w:tc>
          <w:tcPr>
            <w:tcW w:w="4077" w:type="dxa"/>
          </w:tcPr>
          <w:p w14:paraId="79661B6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D369114" w14:textId="77777777" w:rsidR="00F43AD5" w:rsidRPr="00717D45" w:rsidRDefault="00D51F14" w:rsidP="00B76A41">
            <w:pPr>
              <w:pStyle w:val="Tablefont"/>
            </w:pPr>
            <w:r w:rsidRPr="00D51F14">
              <w:t>3-Amino-1,2,4-triazole</w:t>
            </w:r>
            <w:r w:rsidR="002A57DC">
              <w:t>,</w:t>
            </w:r>
            <w:r w:rsidR="008479C8">
              <w:t xml:space="preserve"> </w:t>
            </w:r>
            <w:proofErr w:type="spellStart"/>
            <w:r w:rsidR="002A57DC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amitrole</w:t>
            </w:r>
            <w:proofErr w:type="spellEnd"/>
            <w:r w:rsidR="002A57DC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,</w:t>
            </w:r>
            <w:r w:rsidR="008479C8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="008479C8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aminotriazole</w:t>
            </w:r>
            <w:proofErr w:type="spellEnd"/>
          </w:p>
        </w:tc>
      </w:tr>
      <w:tr w:rsidR="00F43AD5" w:rsidRPr="004C23F4" w14:paraId="58436543" w14:textId="77777777" w:rsidTr="00B76A41">
        <w:trPr>
          <w:cantSplit/>
        </w:trPr>
        <w:tc>
          <w:tcPr>
            <w:tcW w:w="4077" w:type="dxa"/>
          </w:tcPr>
          <w:p w14:paraId="72FBBF5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EE7A8CC" w14:textId="77777777" w:rsidR="00F43AD5" w:rsidRPr="00717D45" w:rsidRDefault="008479C8" w:rsidP="00B76A41">
            <w:pPr>
              <w:pStyle w:val="Tablefont"/>
            </w:pPr>
            <w:r>
              <w:t>C</w:t>
            </w:r>
            <w:r w:rsidRPr="008479C8">
              <w:rPr>
                <w:vertAlign w:val="subscript"/>
              </w:rPr>
              <w:t>2</w:t>
            </w:r>
            <w:r>
              <w:t>H</w:t>
            </w:r>
            <w:r w:rsidRPr="008479C8">
              <w:rPr>
                <w:vertAlign w:val="subscript"/>
              </w:rPr>
              <w:t>4</w:t>
            </w:r>
            <w:r>
              <w:t>N</w:t>
            </w:r>
            <w:r w:rsidRPr="008479C8">
              <w:rPr>
                <w:vertAlign w:val="subscript"/>
              </w:rPr>
              <w:t>4</w:t>
            </w:r>
          </w:p>
        </w:tc>
      </w:tr>
      <w:tr w:rsidR="00F43AD5" w:rsidRPr="004C23F4" w14:paraId="30EFEF9B" w14:textId="77777777" w:rsidTr="00B76A41">
        <w:trPr>
          <w:cantSplit/>
        </w:trPr>
        <w:tc>
          <w:tcPr>
            <w:tcW w:w="4077" w:type="dxa"/>
          </w:tcPr>
          <w:p w14:paraId="2C909C4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2C8EB19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7FC7D8C2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276F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54C60827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0D3874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DFAACDA" w14:textId="77777777" w:rsidR="002C7AFE" w:rsidRPr="008276FE" w:rsidRDefault="008276FE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2E970C0A" w14:textId="77777777" w:rsidTr="00921DE7">
        <w:trPr>
          <w:cantSplit/>
        </w:trPr>
        <w:tc>
          <w:tcPr>
            <w:tcW w:w="4077" w:type="dxa"/>
            <w:vAlign w:val="center"/>
          </w:tcPr>
          <w:p w14:paraId="4C339BA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72E74D8D" w14:textId="77777777" w:rsidR="002C7AFE" w:rsidRPr="00EB3D1B" w:rsidRDefault="001B5DF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4A72AD7" w14:textId="77777777" w:rsidTr="00921DE7">
        <w:trPr>
          <w:cantSplit/>
        </w:trPr>
        <w:tc>
          <w:tcPr>
            <w:tcW w:w="4077" w:type="dxa"/>
            <w:vAlign w:val="center"/>
          </w:tcPr>
          <w:p w14:paraId="73B5B22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1C813A52" w14:textId="77777777" w:rsidR="002C7AFE" w:rsidRPr="00EB3D1B" w:rsidRDefault="001B5DF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41CF28D" w14:textId="77777777" w:rsidTr="00A2073D">
        <w:trPr>
          <w:cantSplit/>
        </w:trPr>
        <w:tc>
          <w:tcPr>
            <w:tcW w:w="4077" w:type="dxa"/>
          </w:tcPr>
          <w:p w14:paraId="3C2345C9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3038F508" w14:textId="77777777" w:rsidR="002C7AFE" w:rsidRPr="00EB3D1B" w:rsidRDefault="001B5DF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5E2FDAF" w14:textId="77777777" w:rsidTr="00921DE7">
        <w:trPr>
          <w:cantSplit/>
        </w:trPr>
        <w:tc>
          <w:tcPr>
            <w:tcW w:w="4077" w:type="dxa"/>
            <w:vAlign w:val="center"/>
          </w:tcPr>
          <w:p w14:paraId="32733487" w14:textId="631B572E" w:rsidR="00F10C97" w:rsidRPr="002C58FF" w:rsidRDefault="00921DE7" w:rsidP="004C5577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08B2FEBB" w14:textId="77777777" w:rsidR="002C7AFE" w:rsidRPr="00EB3D1B" w:rsidRDefault="001B5DF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4C5577" w:rsidRPr="004C23F4" w14:paraId="0EBEEC18" w14:textId="77777777" w:rsidTr="004C5577">
        <w:trPr>
          <w:cantSplit/>
        </w:trPr>
        <w:tc>
          <w:tcPr>
            <w:tcW w:w="4077" w:type="dxa"/>
          </w:tcPr>
          <w:p w14:paraId="5E15187F" w14:textId="318F9D22" w:rsidR="004C5577" w:rsidRDefault="004C5577" w:rsidP="004C5577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6E01825C" w14:textId="77777777" w:rsidR="004C5577" w:rsidRPr="004C5577" w:rsidRDefault="004C5577" w:rsidP="004C5577">
            <w:pPr>
              <w:spacing w:after="0"/>
              <w:rPr>
                <w:rFonts w:cs="Arial"/>
                <w:color w:val="000000"/>
              </w:rPr>
            </w:pPr>
            <w:r w:rsidRPr="004C5577">
              <w:rPr>
                <w:rFonts w:cs="Arial"/>
                <w:color w:val="000000"/>
              </w:rPr>
              <w:t xml:space="preserve">The recommended value is readily quantifiable through currently available sampling and analysis techniques. </w:t>
            </w:r>
          </w:p>
          <w:p w14:paraId="6A59B699" w14:textId="77777777" w:rsidR="004C5577" w:rsidRDefault="004C5577" w:rsidP="00017C82">
            <w:pPr>
              <w:pStyle w:val="Tablefont"/>
              <w:rPr>
                <w:b/>
              </w:rPr>
            </w:pPr>
          </w:p>
        </w:tc>
      </w:tr>
    </w:tbl>
    <w:p w14:paraId="002B13C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FA317D5" w14:textId="01E64596" w:rsidR="006639B4" w:rsidRPr="004C23F4" w:rsidRDefault="008276FE" w:rsidP="000C139A">
      <w:pPr>
        <w:rPr>
          <w:rFonts w:cs="Arial"/>
        </w:rPr>
      </w:pPr>
      <w:r>
        <w:rPr>
          <w:rFonts w:cs="Arial"/>
        </w:rPr>
        <w:t xml:space="preserve">The TWA </w:t>
      </w:r>
      <w:r w:rsidR="003C6B11">
        <w:rPr>
          <w:rFonts w:cs="Arial"/>
        </w:rPr>
        <w:t xml:space="preserve">of </w:t>
      </w:r>
      <w:r w:rsidR="003C6B11" w:rsidRPr="003C6B11">
        <w:rPr>
          <w:rFonts w:cs="Arial"/>
        </w:rPr>
        <w:t>0.2 mg/m</w:t>
      </w:r>
      <w:r w:rsidR="003C6B11" w:rsidRPr="003C6B11">
        <w:rPr>
          <w:rFonts w:cs="Arial"/>
          <w:vertAlign w:val="superscript"/>
        </w:rPr>
        <w:t>3</w:t>
      </w:r>
      <w:r w:rsidR="003C6B11">
        <w:rPr>
          <w:rFonts w:cs="Arial"/>
        </w:rPr>
        <w:t xml:space="preserve"> </w:t>
      </w:r>
      <w:proofErr w:type="gramStart"/>
      <w:r w:rsidR="003C6B11">
        <w:rPr>
          <w:rFonts w:cs="Arial"/>
        </w:rPr>
        <w:t>is</w:t>
      </w:r>
      <w:r>
        <w:rPr>
          <w:rFonts w:cs="Arial"/>
        </w:rPr>
        <w:t xml:space="preserve"> </w:t>
      </w:r>
      <w:r>
        <w:t>recommended</w:t>
      </w:r>
      <w:proofErr w:type="gramEnd"/>
      <w:r>
        <w:t xml:space="preserve"> to </w:t>
      </w:r>
      <w:r w:rsidR="003C6B11">
        <w:t>protect</w:t>
      </w:r>
      <w:r>
        <w:t xml:space="preserve"> for adverse toxic effects on the thyroid </w:t>
      </w:r>
      <w:r w:rsidR="000571E3">
        <w:t xml:space="preserve">gland </w:t>
      </w:r>
      <w:r w:rsidR="005A74F7">
        <w:t xml:space="preserve">of workers </w:t>
      </w:r>
      <w:r>
        <w:t>and possible effects on the foetus of pregnant women</w:t>
      </w:r>
      <w:r w:rsidR="00266B76">
        <w:t xml:space="preserve"> </w:t>
      </w:r>
      <w:r w:rsidR="00266B76">
        <w:rPr>
          <w:rFonts w:cs="Arial"/>
        </w:rPr>
        <w:t>exposed at the workplace</w:t>
      </w:r>
      <w:r>
        <w:t>.</w:t>
      </w:r>
    </w:p>
    <w:p w14:paraId="7ED60BF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496C74C" w14:textId="71235468" w:rsidR="00266B76" w:rsidRDefault="002B06BC" w:rsidP="002B06BC">
      <w:proofErr w:type="spellStart"/>
      <w:r>
        <w:t>Amitrole</w:t>
      </w:r>
      <w:proofErr w:type="spellEnd"/>
      <w:r>
        <w:t xml:space="preserve"> is used as </w:t>
      </w:r>
      <w:proofErr w:type="gramStart"/>
      <w:r>
        <w:t>a</w:t>
      </w:r>
      <w:proofErr w:type="gramEnd"/>
      <w:r>
        <w:t xml:space="preserve"> herbicide an</w:t>
      </w:r>
      <w:r w:rsidR="003C6B11">
        <w:t xml:space="preserve">d growth regulator for plants. </w:t>
      </w:r>
      <w:r>
        <w:t xml:space="preserve">Exposure to </w:t>
      </w:r>
      <w:proofErr w:type="spellStart"/>
      <w:r>
        <w:t>amitrole</w:t>
      </w:r>
      <w:proofErr w:type="spellEnd"/>
      <w:r>
        <w:t xml:space="preserve"> leads to effects on the thyroid</w:t>
      </w:r>
      <w:r w:rsidR="001B5DF4">
        <w:t xml:space="preserve"> </w:t>
      </w:r>
      <w:r w:rsidR="000571E3">
        <w:t xml:space="preserve">gland </w:t>
      </w:r>
      <w:r w:rsidR="001B5DF4">
        <w:t>and</w:t>
      </w:r>
      <w:r w:rsidR="00E53A89">
        <w:t xml:space="preserve"> </w:t>
      </w:r>
      <w:r w:rsidR="00E57D58">
        <w:t xml:space="preserve">is </w:t>
      </w:r>
      <w:r>
        <w:t xml:space="preserve">responsible for the induction of thyroid cancers and reproductive toxicity in animals. </w:t>
      </w:r>
      <w:r w:rsidR="00AC4B4C">
        <w:t>The mechanism of the carcinogenic action is non-genotoxic.</w:t>
      </w:r>
    </w:p>
    <w:p w14:paraId="5768B1A8" w14:textId="77777777" w:rsidR="006639B4" w:rsidRDefault="002B06BC" w:rsidP="002B06BC">
      <w:r>
        <w:t>R</w:t>
      </w:r>
      <w:r w:rsidR="00AC4B4C">
        <w:t>ats</w:t>
      </w:r>
      <w:r>
        <w:t xml:space="preserve"> are generally considered </w:t>
      </w:r>
      <w:proofErr w:type="gramStart"/>
      <w:r>
        <w:t>to be especially</w:t>
      </w:r>
      <w:proofErr w:type="gramEnd"/>
      <w:r>
        <w:t xml:space="preserve"> sensitive </w:t>
      </w:r>
      <w:r w:rsidR="00AC4B4C">
        <w:t xml:space="preserve">and as such, </w:t>
      </w:r>
      <w:proofErr w:type="spellStart"/>
      <w:r w:rsidR="00AC4B4C">
        <w:t>amitrole</w:t>
      </w:r>
      <w:proofErr w:type="spellEnd"/>
      <w:r w:rsidR="00AC4B4C">
        <w:t xml:space="preserve"> </w:t>
      </w:r>
      <w:r w:rsidR="00D62369">
        <w:t>is</w:t>
      </w:r>
      <w:r w:rsidR="00AC4B4C">
        <w:t xml:space="preserve"> not expected to produce thyroid cancer in humans </w:t>
      </w:r>
      <w:r>
        <w:t>(ACGIH, 2018; SCOEL, 2009).</w:t>
      </w:r>
    </w:p>
    <w:p w14:paraId="66746E65" w14:textId="7BAEFBBF" w:rsidR="00AC4B4C" w:rsidRPr="00AC4B4C" w:rsidRDefault="00AC4B4C" w:rsidP="002B06BC">
      <w:r>
        <w:t xml:space="preserve">A </w:t>
      </w:r>
      <w:r w:rsidR="002A57DC">
        <w:t>NOEL</w:t>
      </w:r>
      <w:r>
        <w:t xml:space="preserve"> of 0.025 mg/kg in rats, extrapolated directly for the human inhalation pathway</w:t>
      </w:r>
      <w:r w:rsidR="00E57D58">
        <w:t>,</w:t>
      </w:r>
      <w:r>
        <w:t xml:space="preserve"> results in an airborne concentration of 0.2 mg/m</w:t>
      </w:r>
      <w:r>
        <w:rPr>
          <w:vertAlign w:val="superscript"/>
        </w:rPr>
        <w:t>3</w:t>
      </w:r>
      <w:r w:rsidR="003C6B11">
        <w:t xml:space="preserve">. </w:t>
      </w:r>
      <w:r>
        <w:t xml:space="preserve">Given rats sensitivity to </w:t>
      </w:r>
      <w:proofErr w:type="spellStart"/>
      <w:r>
        <w:t>amitrole</w:t>
      </w:r>
      <w:proofErr w:type="spellEnd"/>
      <w:r>
        <w:t xml:space="preserve">, no </w:t>
      </w:r>
      <w:r w:rsidR="00E57D58">
        <w:t>additional safety</w:t>
      </w:r>
      <w:r>
        <w:t xml:space="preserve"> factor </w:t>
      </w:r>
      <w:proofErr w:type="gramStart"/>
      <w:r>
        <w:t xml:space="preserve">is </w:t>
      </w:r>
      <w:r w:rsidR="003311F1">
        <w:t>considered</w:t>
      </w:r>
      <w:proofErr w:type="gramEnd"/>
      <w:r w:rsidR="003311F1">
        <w:t xml:space="preserve"> necessary</w:t>
      </w:r>
      <w:r>
        <w:t xml:space="preserve">. This value </w:t>
      </w:r>
      <w:proofErr w:type="gramStart"/>
      <w:r>
        <w:t>is considered</w:t>
      </w:r>
      <w:proofErr w:type="gramEnd"/>
      <w:r>
        <w:t xml:space="preserve"> protective of thyroid </w:t>
      </w:r>
      <w:r w:rsidR="008479C8">
        <w:t xml:space="preserve">effects in humans (SCOEL, 2009). </w:t>
      </w:r>
    </w:p>
    <w:p w14:paraId="1BBBF5E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4D57743" w14:textId="77777777" w:rsidR="002B06BC" w:rsidRPr="002B06BC" w:rsidRDefault="008479C8" w:rsidP="002B06BC">
      <w:pPr>
        <w:rPr>
          <w:rFonts w:cs="Arial"/>
        </w:rPr>
      </w:pPr>
      <w:r>
        <w:rPr>
          <w:rFonts w:cs="Arial"/>
        </w:rPr>
        <w:t>Not</w:t>
      </w:r>
      <w:r w:rsidR="002B06BC" w:rsidRPr="002B06BC">
        <w:rPr>
          <w:rFonts w:cs="Arial"/>
        </w:rPr>
        <w:t xml:space="preserve"> classified as a carcinogen according to the Globally Harmonized System of Classification and Labelling of Chemicals (GHS).</w:t>
      </w:r>
    </w:p>
    <w:p w14:paraId="5C4CFEBC" w14:textId="77777777" w:rsidR="002B06BC" w:rsidRPr="002B06BC" w:rsidRDefault="008479C8" w:rsidP="002B06BC">
      <w:pPr>
        <w:rPr>
          <w:rFonts w:cs="Arial"/>
        </w:rPr>
      </w:pPr>
      <w:r>
        <w:rPr>
          <w:rFonts w:cs="Arial"/>
        </w:rPr>
        <w:t>Not</w:t>
      </w:r>
      <w:r w:rsidR="002B06BC" w:rsidRPr="002B06BC">
        <w:rPr>
          <w:rFonts w:cs="Arial"/>
        </w:rPr>
        <w:t xml:space="preserve"> classified as a skin </w:t>
      </w:r>
      <w:r w:rsidR="001B5DF4">
        <w:rPr>
          <w:rFonts w:cs="Arial"/>
        </w:rPr>
        <w:t xml:space="preserve">sensitiser </w:t>
      </w:r>
      <w:r w:rsidR="002B06BC" w:rsidRPr="002B06BC">
        <w:rPr>
          <w:rFonts w:cs="Arial"/>
        </w:rPr>
        <w:t xml:space="preserve">or respiratory sensitiser according to the GHS. </w:t>
      </w:r>
    </w:p>
    <w:p w14:paraId="10D55162" w14:textId="77777777" w:rsidR="0025734A" w:rsidRPr="004C23F4" w:rsidRDefault="008479C8" w:rsidP="002B06BC">
      <w:pPr>
        <w:rPr>
          <w:rFonts w:cs="Arial"/>
        </w:rPr>
      </w:pPr>
      <w:r>
        <w:rPr>
          <w:rFonts w:cs="Arial"/>
        </w:rPr>
        <w:t>Ins</w:t>
      </w:r>
      <w:r w:rsidR="002B06BC">
        <w:rPr>
          <w:rFonts w:cs="Arial"/>
        </w:rPr>
        <w:t xml:space="preserve">ufficient data available to recommend a </w:t>
      </w:r>
      <w:r w:rsidR="002B06BC" w:rsidRPr="002B06BC">
        <w:rPr>
          <w:rFonts w:cs="Arial"/>
        </w:rPr>
        <w:t>skin notation</w:t>
      </w:r>
      <w:r w:rsidR="002B06BC">
        <w:rPr>
          <w:rFonts w:cs="Arial"/>
        </w:rPr>
        <w:t>.</w:t>
      </w:r>
    </w:p>
    <w:p w14:paraId="629FE35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AE11FB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989FE7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57D70DD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DF4701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0B781E5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85F727A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B4617">
                  <w:t>1995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B4617">
                  <w:t>TWA: 0.2 mg/m</w:t>
                </w:r>
                <w:r w:rsidR="006B461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454330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AFF044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51EF99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3714A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B461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B4617">
                  <w:t>TLV-TWA: 0.2 mg/m</w:t>
                </w:r>
                <w:r w:rsidR="006B461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0EB169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05B04C9" w14:textId="77777777" w:rsidR="00C978F0" w:rsidRDefault="006B4617" w:rsidP="003365A5">
            <w:pPr>
              <w:pStyle w:val="Tabletextprimarysource"/>
            </w:pPr>
            <w:r>
              <w:t xml:space="preserve">TLV-TWA recommended </w:t>
            </w:r>
            <w:proofErr w:type="gramStart"/>
            <w:r>
              <w:t>to minimise</w:t>
            </w:r>
            <w:proofErr w:type="gramEnd"/>
            <w:r>
              <w:t xml:space="preserve"> the potential for adverse toxic effects on the thyroid and possible </w:t>
            </w:r>
            <w:proofErr w:type="spellStart"/>
            <w:r>
              <w:t>fetotoxicity</w:t>
            </w:r>
            <w:proofErr w:type="spellEnd"/>
            <w:r>
              <w:t>.</w:t>
            </w:r>
          </w:p>
          <w:p w14:paraId="3ED33317" w14:textId="77777777" w:rsidR="006B4617" w:rsidRDefault="006B4617" w:rsidP="003365A5">
            <w:pPr>
              <w:pStyle w:val="Tabletextprimarysource"/>
            </w:pPr>
            <w:r>
              <w:t>Summary of data:</w:t>
            </w:r>
          </w:p>
          <w:p w14:paraId="475BC94E" w14:textId="77777777" w:rsidR="002B06BC" w:rsidRDefault="008479C8" w:rsidP="008479C8">
            <w:pPr>
              <w:pStyle w:val="ListBullet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t>Amitrole</w:t>
            </w:r>
            <w:proofErr w:type="spellEnd"/>
            <w:r>
              <w:t xml:space="preserve"> </w:t>
            </w:r>
            <w:r w:rsidRPr="003311F1">
              <w:t>is</w:t>
            </w:r>
            <w:r w:rsidR="002B06BC" w:rsidRPr="003311F1">
              <w:t xml:space="preserve"> </w:t>
            </w:r>
            <w:proofErr w:type="gramStart"/>
            <w:r w:rsidR="002B06BC" w:rsidRPr="003311F1">
              <w:t>a</w:t>
            </w:r>
            <w:proofErr w:type="gramEnd"/>
            <w:r w:rsidR="002B06BC" w:rsidRPr="003311F1">
              <w:t xml:space="preserve"> herbicide</w:t>
            </w:r>
            <w:r w:rsidR="002B06BC" w:rsidRPr="002B06BC">
              <w:t xml:space="preserve"> and growth regulator for plants</w:t>
            </w:r>
            <w:r w:rsidR="005A74F7">
              <w:t>.</w:t>
            </w:r>
          </w:p>
          <w:p w14:paraId="2746964C" w14:textId="77777777" w:rsidR="001B5DF4" w:rsidRDefault="001B5DF4" w:rsidP="001B5DF4">
            <w:pPr>
              <w:pStyle w:val="ListBullet"/>
              <w:numPr>
                <w:ilvl w:val="0"/>
                <w:numId w:val="0"/>
              </w:numPr>
            </w:pPr>
          </w:p>
          <w:p w14:paraId="5A0096BB" w14:textId="77777777" w:rsidR="006B4617" w:rsidRDefault="006B4617" w:rsidP="008479C8">
            <w:pPr>
              <w:pStyle w:val="ListBullet"/>
              <w:numPr>
                <w:ilvl w:val="0"/>
                <w:numId w:val="0"/>
              </w:numPr>
            </w:pPr>
            <w:r>
              <w:t>Human data:</w:t>
            </w:r>
          </w:p>
          <w:p w14:paraId="63A37BD1" w14:textId="77777777" w:rsidR="0081580E" w:rsidRDefault="00E57D58" w:rsidP="003C6B11">
            <w:pPr>
              <w:pStyle w:val="ListBullet"/>
              <w:spacing w:before="240"/>
              <w:ind w:left="720"/>
            </w:pPr>
            <w:r>
              <w:t>O</w:t>
            </w:r>
            <w:r w:rsidR="0081580E">
              <w:t>ral dose of 100 mg inhibited</w:t>
            </w:r>
            <w:r w:rsidR="005A74F7">
              <w:t xml:space="preserve"> thyroid uptake of</w:t>
            </w:r>
            <w:r w:rsidR="003C6B11">
              <w:rPr>
                <w:vertAlign w:val="superscript"/>
              </w:rPr>
              <w:t xml:space="preserve"> </w:t>
            </w:r>
            <w:r w:rsidR="00BC4DDA">
              <w:t>l</w:t>
            </w:r>
            <w:r w:rsidR="003C6B11">
              <w:t>odine-131</w:t>
            </w:r>
            <w:r w:rsidR="00BC4DDA">
              <w:t xml:space="preserve"> </w:t>
            </w:r>
            <w:r w:rsidR="003C6B11">
              <w:t>(</w:t>
            </w:r>
            <w:r w:rsidR="003C6B11">
              <w:rPr>
                <w:vertAlign w:val="superscript"/>
              </w:rPr>
              <w:t xml:space="preserve">131 </w:t>
            </w:r>
            <w:r w:rsidR="003C6B11">
              <w:t xml:space="preserve">l) </w:t>
            </w:r>
            <w:r w:rsidR="005A74F7">
              <w:t>for 24 h</w:t>
            </w:r>
          </w:p>
          <w:p w14:paraId="11D1F2BF" w14:textId="77777777" w:rsidR="00AE7CFD" w:rsidRDefault="00E57D58" w:rsidP="00AE7CFD">
            <w:pPr>
              <w:pStyle w:val="ListBullet"/>
              <w:ind w:left="720"/>
            </w:pPr>
            <w:r>
              <w:t>T</w:t>
            </w:r>
            <w:r w:rsidR="006758F8">
              <w:t>hreshold dose affecting thyroid function</w:t>
            </w:r>
            <w:r w:rsidR="008479C8">
              <w:t xml:space="preserve">: </w:t>
            </w:r>
            <w:r>
              <w:t>0.15</w:t>
            </w:r>
            <w:r w:rsidR="008479C8">
              <w:t>-</w:t>
            </w:r>
            <w:r w:rsidR="006758F8">
              <w:t xml:space="preserve">0.2 mg/kg </w:t>
            </w:r>
          </w:p>
          <w:p w14:paraId="3E5A397E" w14:textId="77777777" w:rsidR="00AE7CFD" w:rsidRDefault="00E57D58" w:rsidP="00AE7CFD">
            <w:pPr>
              <w:pStyle w:val="ListBullet"/>
              <w:ind w:left="720"/>
            </w:pPr>
            <w:r>
              <w:t>Increased m</w:t>
            </w:r>
            <w:r w:rsidR="00AE7CFD">
              <w:t>alignant neoplasms in workers expos</w:t>
            </w:r>
            <w:r>
              <w:t>ed to combination of herbicides;</w:t>
            </w:r>
            <w:r w:rsidR="00AE7CFD">
              <w:t xml:space="preserve"> however</w:t>
            </w:r>
            <w:r>
              <w:t>,</w:t>
            </w:r>
            <w:r w:rsidR="00AE7CFD">
              <w:t xml:space="preserve"> inadequate to clearly evaluate</w:t>
            </w:r>
            <w:r w:rsidR="005A74F7">
              <w:t>.</w:t>
            </w:r>
          </w:p>
          <w:p w14:paraId="265C61C7" w14:textId="77777777" w:rsidR="001B5DF4" w:rsidRDefault="001B5DF4" w:rsidP="001B5DF4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411FE250" w14:textId="77777777" w:rsidR="0081580E" w:rsidRDefault="0081580E" w:rsidP="008479C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7F39FACA" w14:textId="77777777" w:rsidR="0081580E" w:rsidRDefault="00E57D58" w:rsidP="0081580E">
            <w:pPr>
              <w:pStyle w:val="ListBullet"/>
              <w:ind w:left="720"/>
            </w:pPr>
            <w:r>
              <w:t>N</w:t>
            </w:r>
            <w:r w:rsidR="00B134A0">
              <w:t xml:space="preserve">o systemic effects after dermal application of 10,000 mg/kg </w:t>
            </w:r>
            <w:r w:rsidR="008479C8">
              <w:t>(</w:t>
            </w:r>
            <w:r w:rsidR="00B134A0">
              <w:t>rats and rabbits</w:t>
            </w:r>
            <w:r w:rsidR="008479C8">
              <w:t>)</w:t>
            </w:r>
            <w:r w:rsidR="00B134A0">
              <w:t xml:space="preserve"> </w:t>
            </w:r>
          </w:p>
          <w:p w14:paraId="6E570E84" w14:textId="77777777" w:rsidR="00B134A0" w:rsidRDefault="00E57D58" w:rsidP="0081580E">
            <w:pPr>
              <w:pStyle w:val="ListBullet"/>
              <w:ind w:left="720"/>
            </w:pPr>
            <w:r>
              <w:t>N</w:t>
            </w:r>
            <w:r w:rsidR="00B134A0">
              <w:t>o irritation or systemic effects</w:t>
            </w:r>
            <w:r w:rsidR="00035F19">
              <w:t xml:space="preserve"> in</w:t>
            </w:r>
            <w:r w:rsidR="00690CAC">
              <w:t xml:space="preserve"> </w:t>
            </w:r>
            <w:r w:rsidR="00035F19">
              <w:t xml:space="preserve">rats </w:t>
            </w:r>
            <w:r w:rsidR="00690CAC">
              <w:t>after inhalation</w:t>
            </w:r>
            <w:r>
              <w:t xml:space="preserve"> </w:t>
            </w:r>
            <w:r w:rsidR="005A74F7">
              <w:t>(</w:t>
            </w:r>
            <w:r w:rsidR="00B134A0">
              <w:t>439 mg/m</w:t>
            </w:r>
            <w:r w:rsidR="00B134A0">
              <w:rPr>
                <w:vertAlign w:val="superscript"/>
              </w:rPr>
              <w:t>3</w:t>
            </w:r>
            <w:r w:rsidR="008479C8">
              <w:t xml:space="preserve">, </w:t>
            </w:r>
            <w:r w:rsidR="00B44373">
              <w:t>4 h</w:t>
            </w:r>
            <w:r w:rsidR="008479C8">
              <w:t>)</w:t>
            </w:r>
          </w:p>
          <w:p w14:paraId="1CD4D6F7" w14:textId="1F82AAAC" w:rsidR="00B134A0" w:rsidRDefault="00E57D58" w:rsidP="0081580E">
            <w:pPr>
              <w:pStyle w:val="ListBullet"/>
              <w:ind w:left="720"/>
            </w:pPr>
            <w:r>
              <w:t>NOEL: 0.5 ppm (0.025 mg/kg/d</w:t>
            </w:r>
            <w:r w:rsidR="006758F8">
              <w:t>);</w:t>
            </w:r>
            <w:r>
              <w:t xml:space="preserve"> for</w:t>
            </w:r>
            <w:r w:rsidR="006758F8">
              <w:t xml:space="preserve"> </w:t>
            </w:r>
            <w:r w:rsidR="004E544B">
              <w:rPr>
                <w:vertAlign w:val="superscript"/>
              </w:rPr>
              <w:t>131</w:t>
            </w:r>
            <w:r w:rsidR="00BC4DDA">
              <w:t xml:space="preserve">l </w:t>
            </w:r>
            <w:r w:rsidR="004E544B">
              <w:t>uptake</w:t>
            </w:r>
            <w:r>
              <w:t xml:space="preserve"> in</w:t>
            </w:r>
            <w:r w:rsidR="004E544B">
              <w:t xml:space="preserve"> </w:t>
            </w:r>
            <w:r w:rsidR="006758F8">
              <w:t>rats</w:t>
            </w:r>
            <w:r w:rsidR="000571E3">
              <w:t xml:space="preserve"> by</w:t>
            </w:r>
            <w:r w:rsidR="006758F8">
              <w:t xml:space="preserve"> oral administration</w:t>
            </w:r>
          </w:p>
          <w:p w14:paraId="2C4782B2" w14:textId="77777777" w:rsidR="006758F8" w:rsidRDefault="00E57D58" w:rsidP="006758F8">
            <w:pPr>
              <w:pStyle w:val="ListBullet"/>
              <w:ind w:left="720"/>
            </w:pPr>
            <w:r>
              <w:t>T</w:t>
            </w:r>
            <w:r w:rsidR="006758F8">
              <w:t xml:space="preserve">hreshold dose affecting thyroid function is 0.05 mg/kg </w:t>
            </w:r>
            <w:r w:rsidR="008479C8">
              <w:t>(rats)</w:t>
            </w:r>
            <w:r w:rsidR="006758F8">
              <w:t xml:space="preserve"> </w:t>
            </w:r>
          </w:p>
          <w:p w14:paraId="4E6DACA6" w14:textId="77777777" w:rsidR="004E544B" w:rsidRDefault="00E57D58" w:rsidP="004E544B">
            <w:pPr>
              <w:pStyle w:val="ListBullet"/>
              <w:ind w:left="720"/>
            </w:pPr>
            <w:r>
              <w:t>R</w:t>
            </w:r>
            <w:r w:rsidR="004E544B">
              <w:t>ats identified</w:t>
            </w:r>
            <w:r w:rsidR="003C6B11">
              <w:t xml:space="preserve"> as</w:t>
            </w:r>
            <w:r w:rsidR="004E544B">
              <w:t xml:space="preserve"> </w:t>
            </w:r>
            <w:r w:rsidR="003C6B11">
              <w:t xml:space="preserve">a </w:t>
            </w:r>
            <w:r w:rsidR="004E544B">
              <w:t xml:space="preserve">sensitive species </w:t>
            </w:r>
            <w:r>
              <w:t>for</w:t>
            </w:r>
            <w:r w:rsidR="004E544B">
              <w:t xml:space="preserve"> carcinogenicity</w:t>
            </w:r>
          </w:p>
          <w:p w14:paraId="608528CE" w14:textId="77777777" w:rsidR="004E544B" w:rsidRDefault="00E57D58" w:rsidP="004E544B">
            <w:pPr>
              <w:pStyle w:val="ListBullet"/>
              <w:ind w:left="720"/>
            </w:pPr>
            <w:r>
              <w:t>Dietary studies in r</w:t>
            </w:r>
            <w:r w:rsidR="008479C8">
              <w:t xml:space="preserve">ats </w:t>
            </w:r>
            <w:r w:rsidR="003C6B11">
              <w:t>resulted in</w:t>
            </w:r>
            <w:r w:rsidR="004E544B">
              <w:t xml:space="preserve"> hyperplasia and malignant tumours</w:t>
            </w:r>
            <w:r w:rsidR="008479C8">
              <w:t xml:space="preserve"> of the thyroid and pituitary</w:t>
            </w:r>
            <w:r w:rsidR="004E544B">
              <w:t xml:space="preserve"> </w:t>
            </w:r>
          </w:p>
          <w:p w14:paraId="6F7B5221" w14:textId="77777777" w:rsidR="004E544B" w:rsidRDefault="00E57D58" w:rsidP="004E544B">
            <w:pPr>
              <w:pStyle w:val="ListBullet"/>
              <w:ind w:left="720"/>
            </w:pPr>
            <w:r>
              <w:t>N</w:t>
            </w:r>
            <w:r w:rsidR="004E544B">
              <w:t>egative results</w:t>
            </w:r>
            <w:r w:rsidR="00AE7CFD">
              <w:t xml:space="preserve"> in mutagenic studies</w:t>
            </w:r>
          </w:p>
          <w:p w14:paraId="690AC062" w14:textId="5E13B9B8" w:rsidR="006758F8" w:rsidRDefault="00E57D58" w:rsidP="006758F8">
            <w:pPr>
              <w:pStyle w:val="ListBullet"/>
              <w:ind w:left="720"/>
            </w:pPr>
            <w:r>
              <w:t>O</w:t>
            </w:r>
            <w:r w:rsidR="00ED5BF4">
              <w:t>ral doses</w:t>
            </w:r>
            <w:r w:rsidR="008541A8">
              <w:t xml:space="preserve"> (</w:t>
            </w:r>
            <w:r w:rsidR="008C5F09">
              <w:t>diet</w:t>
            </w:r>
            <w:r w:rsidR="008541A8">
              <w:t>)</w:t>
            </w:r>
            <w:r w:rsidR="00ED5BF4">
              <w:t xml:space="preserve"> in rats of 500 and 1000 ppm were </w:t>
            </w:r>
            <w:proofErr w:type="spellStart"/>
            <w:r w:rsidR="00ED5BF4">
              <w:t>fetotoxic</w:t>
            </w:r>
            <w:proofErr w:type="spellEnd"/>
            <w:r w:rsidR="00ED5BF4">
              <w:t xml:space="preserve"> but not teratogenic</w:t>
            </w:r>
            <w:r w:rsidR="001B5DF4">
              <w:t>.</w:t>
            </w:r>
          </w:p>
          <w:p w14:paraId="5C836E4E" w14:textId="77777777" w:rsidR="001B5DF4" w:rsidRDefault="001B5DF4" w:rsidP="001B5DF4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392B8618" w14:textId="77777777" w:rsidR="00AE7CFD" w:rsidRDefault="008479C8" w:rsidP="008479C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</w:t>
            </w:r>
            <w:r w:rsidR="00AE7CFD">
              <w:t>ufficient data available to recommend Skin or SEN notations or a TLV–STEL</w:t>
            </w:r>
            <w:r>
              <w:t>.</w:t>
            </w:r>
          </w:p>
          <w:p w14:paraId="55C425CD" w14:textId="77777777" w:rsidR="00E57D58" w:rsidRPr="00DA352E" w:rsidRDefault="00E57D58" w:rsidP="008479C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2D2C849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CDA48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6380E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6380E">
                  <w:t>MAK: 0.2 mg/m</w:t>
                </w:r>
                <w:r w:rsidR="0076380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DDC42C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FE75047" w14:textId="77777777" w:rsidR="00C978F0" w:rsidRDefault="0076380E" w:rsidP="003365A5">
            <w:pPr>
              <w:pStyle w:val="Tabletextprimarysource"/>
            </w:pPr>
            <w:r>
              <w:t>MAK</w:t>
            </w:r>
            <w:r w:rsidR="00EE50FE">
              <w:t xml:space="preserve"> value</w:t>
            </w:r>
            <w:r>
              <w:t xml:space="preserve"> recommended </w:t>
            </w:r>
            <w:proofErr w:type="gramStart"/>
            <w:r>
              <w:t>to protect</w:t>
            </w:r>
            <w:proofErr w:type="gramEnd"/>
            <w:r>
              <w:t xml:space="preserve"> </w:t>
            </w:r>
            <w:r w:rsidR="00EE50FE">
              <w:t xml:space="preserve">for </w:t>
            </w:r>
            <w:r>
              <w:t>effects on the thyroid</w:t>
            </w:r>
            <w:r w:rsidR="008479C8">
              <w:t>.</w:t>
            </w:r>
          </w:p>
          <w:p w14:paraId="07FF68D9" w14:textId="77777777" w:rsidR="0076380E" w:rsidRDefault="0076380E" w:rsidP="003365A5">
            <w:pPr>
              <w:pStyle w:val="Tabletextprimarysource"/>
            </w:pPr>
            <w:r>
              <w:t>No further data</w:t>
            </w:r>
            <w:r w:rsidR="00E57D58">
              <w:t>.</w:t>
            </w:r>
          </w:p>
          <w:p w14:paraId="6C65F105" w14:textId="77777777" w:rsidR="00E57D58" w:rsidRPr="00DA352E" w:rsidRDefault="00E57D58" w:rsidP="003365A5">
            <w:pPr>
              <w:pStyle w:val="Tabletextprimarysource"/>
            </w:pPr>
          </w:p>
        </w:tc>
      </w:tr>
      <w:tr w:rsidR="00C978F0" w:rsidRPr="00DA352E" w14:paraId="78BBCB8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5F9BC5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6380E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6380E">
                  <w:t>TWA: 0.2 mg/m</w:t>
                </w:r>
                <w:r w:rsidR="0076380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8E1897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D191B5" w14:textId="3C8C7E63" w:rsidR="00E57D58" w:rsidRDefault="00B44373" w:rsidP="0076380E">
            <w:pPr>
              <w:pStyle w:val="Tabletextprimarysource"/>
            </w:pPr>
            <w:r>
              <w:t>TWA</w:t>
            </w:r>
            <w:r w:rsidR="0076380E">
              <w:t xml:space="preserve"> recommended </w:t>
            </w:r>
            <w:proofErr w:type="gramStart"/>
            <w:r w:rsidR="0076380E">
              <w:t>to protect</w:t>
            </w:r>
            <w:proofErr w:type="gramEnd"/>
            <w:r w:rsidR="0076380E">
              <w:t xml:space="preserve"> </w:t>
            </w:r>
            <w:r w:rsidR="00EE50FE">
              <w:t xml:space="preserve">for </w:t>
            </w:r>
            <w:r w:rsidR="0076380E">
              <w:t>effects on the thyroid</w:t>
            </w:r>
            <w:r w:rsidR="008479C8">
              <w:t>.</w:t>
            </w:r>
          </w:p>
          <w:p w14:paraId="37CFAF10" w14:textId="77777777" w:rsidR="008479C8" w:rsidRDefault="008479C8" w:rsidP="0076380E">
            <w:pPr>
              <w:pStyle w:val="Tabletextprimarysource"/>
            </w:pPr>
            <w:r>
              <w:t>Summary of additional data:</w:t>
            </w:r>
          </w:p>
          <w:p w14:paraId="357BB847" w14:textId="77777777" w:rsidR="002B06BC" w:rsidRDefault="00E57D58" w:rsidP="00E61734">
            <w:pPr>
              <w:pStyle w:val="ListBullet"/>
              <w:tabs>
                <w:tab w:val="clear" w:pos="360"/>
              </w:tabs>
              <w:ind w:left="731"/>
            </w:pPr>
            <w:r>
              <w:t>N</w:t>
            </w:r>
            <w:r w:rsidR="002B06BC">
              <w:t>ot</w:t>
            </w:r>
            <w:r w:rsidR="008479C8">
              <w:t xml:space="preserve"> irritating in patch test with </w:t>
            </w:r>
            <w:r w:rsidR="002B06BC" w:rsidRPr="002B06BC">
              <w:t xml:space="preserve">human volunteer exposed for 4 or 8 </w:t>
            </w:r>
            <w:r w:rsidR="003C6B11">
              <w:t>h</w:t>
            </w:r>
          </w:p>
          <w:p w14:paraId="66594FDC" w14:textId="77777777" w:rsidR="00C978F0" w:rsidRDefault="00E57D58" w:rsidP="00E61734">
            <w:pPr>
              <w:pStyle w:val="ListBullet"/>
              <w:tabs>
                <w:tab w:val="clear" w:pos="360"/>
              </w:tabs>
              <w:ind w:left="731"/>
            </w:pPr>
            <w:r>
              <w:t>N</w:t>
            </w:r>
            <w:r w:rsidR="002B06BC" w:rsidRPr="002B06BC">
              <w:t>o local or systemic effects observed following der</w:t>
            </w:r>
            <w:r>
              <w:t>mal exposure in</w:t>
            </w:r>
            <w:r w:rsidR="002B06BC">
              <w:t xml:space="preserve"> rabbits</w:t>
            </w:r>
            <w:r w:rsidR="00BC4DDA">
              <w:t>.</w:t>
            </w:r>
          </w:p>
          <w:p w14:paraId="0B59A37C" w14:textId="77777777" w:rsidR="00E57D58" w:rsidRPr="00DA352E" w:rsidRDefault="00E57D58" w:rsidP="00E57D5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57969E8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F64582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6380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6380E">
                  <w:t>NA</w:t>
                </w:r>
                <w:proofErr w:type="spellEnd"/>
              </w:sdtContent>
            </w:sdt>
          </w:p>
        </w:tc>
      </w:tr>
      <w:tr w:rsidR="00DA352E" w:rsidRPr="00DA352E" w14:paraId="500C392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84D142F" w14:textId="77777777" w:rsidR="00DA352E" w:rsidRPr="00DA352E" w:rsidRDefault="0076380E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3BDB30E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FFA2E9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6380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76380E">
                  <w:t>NA</w:t>
                </w:r>
                <w:proofErr w:type="spellEnd"/>
              </w:sdtContent>
            </w:sdt>
          </w:p>
        </w:tc>
      </w:tr>
      <w:tr w:rsidR="00DA352E" w:rsidRPr="00DA352E" w14:paraId="7F542A8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EED452" w14:textId="77777777" w:rsidR="00DA352E" w:rsidRPr="00DA352E" w:rsidRDefault="0076380E" w:rsidP="003365A5">
            <w:pPr>
              <w:pStyle w:val="Tabletextprimarysource"/>
            </w:pPr>
            <w:r>
              <w:t>No report</w:t>
            </w:r>
          </w:p>
        </w:tc>
      </w:tr>
    </w:tbl>
    <w:p w14:paraId="5AF1381D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7302A918" w14:textId="77777777" w:rsidR="007E2A4B" w:rsidRDefault="003C6B11">
      <w:r>
        <w:t>NIL</w:t>
      </w:r>
    </w:p>
    <w:bookmarkEnd w:id="1"/>
    <w:p w14:paraId="481DE18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rcinogenicity – non-threshold based genotoxic carcinogens"/>
        <w:tblDescription w:val="Is the chemical mutagenic? No, therefore the chemical is not a non-threshold based genotoxic carcinogen."/>
      </w:tblPr>
      <w:tblGrid>
        <w:gridCol w:w="6603"/>
        <w:gridCol w:w="2423"/>
      </w:tblGrid>
      <w:tr w:rsidR="00DE3E41" w14:paraId="24ACD45D" w14:textId="77777777" w:rsidTr="00DE3E41">
        <w:trPr>
          <w:trHeight w:val="454"/>
          <w:tblHeader/>
        </w:trPr>
        <w:tc>
          <w:tcPr>
            <w:tcW w:w="6603" w:type="dxa"/>
            <w:vAlign w:val="center"/>
          </w:tcPr>
          <w:p w14:paraId="3D61A96C" w14:textId="77777777" w:rsidR="00DE3E41" w:rsidRDefault="00DE3E41" w:rsidP="00C33562">
            <w:pPr>
              <w:pStyle w:val="Tablefont"/>
              <w:keepNext/>
              <w:keepLines/>
              <w:spacing w:before="40" w:after="40"/>
            </w:pPr>
            <w:r>
              <w:t>Is the chemical mutagenic?</w:t>
            </w:r>
          </w:p>
        </w:tc>
        <w:sdt>
          <w:sdtPr>
            <w:id w:val="319705052"/>
            <w:placeholder>
              <w:docPart w:val="3ABD532A2606407DA86F7A7EBD22DFAF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6AD629B" w14:textId="77777777" w:rsidR="00DE3E41" w:rsidRDefault="00DE3E41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3311F1" w14:paraId="58F419C1" w14:textId="77777777" w:rsidTr="008637C7">
        <w:trPr>
          <w:trHeight w:val="454"/>
        </w:trPr>
        <w:sdt>
          <w:sdtPr>
            <w:rPr>
              <w:b/>
            </w:rPr>
            <w:id w:val="1830936485"/>
            <w:placeholder>
              <w:docPart w:val="89B6B52E382540C0A608E74A74FC5ABA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7A9C4AF2" w14:textId="7107C499" w:rsidR="003311F1" w:rsidRDefault="003311F1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p w14:paraId="278CD41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EAB4FB6" w14:textId="77777777" w:rsidTr="00D11A34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60B02035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5FD08C8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FC99C03" w14:textId="77777777" w:rsidTr="00D11A34">
        <w:trPr>
          <w:cantSplit/>
        </w:trPr>
        <w:tc>
          <w:tcPr>
            <w:tcW w:w="3153" w:type="dxa"/>
          </w:tcPr>
          <w:p w14:paraId="6D1DD5F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2CA5CD81" w14:textId="77777777" w:rsidR="00687890" w:rsidRPr="00DD2F9B" w:rsidRDefault="00D11A34" w:rsidP="00DD2F9B">
            <w:pPr>
              <w:pStyle w:val="Tablefont"/>
            </w:pPr>
            <w:r>
              <w:t>-</w:t>
            </w:r>
          </w:p>
        </w:tc>
        <w:bookmarkStart w:id="3" w:name="_GoBack"/>
        <w:bookmarkEnd w:id="3"/>
      </w:tr>
      <w:tr w:rsidR="007925F0" w:rsidRPr="004C23F4" w14:paraId="3703023A" w14:textId="77777777" w:rsidTr="00D11A34">
        <w:trPr>
          <w:cantSplit/>
        </w:trPr>
        <w:tc>
          <w:tcPr>
            <w:tcW w:w="3153" w:type="dxa"/>
          </w:tcPr>
          <w:p w14:paraId="24730A3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6C5C9668" w14:textId="77777777" w:rsidR="007925F0" w:rsidRPr="00DD2F9B" w:rsidRDefault="00D11A34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874133F" w14:textId="77777777" w:rsidTr="00D11A34">
        <w:trPr>
          <w:cantSplit/>
        </w:trPr>
        <w:tc>
          <w:tcPr>
            <w:tcW w:w="3153" w:type="dxa"/>
          </w:tcPr>
          <w:p w14:paraId="09793B0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0ADA0164" w14:textId="77777777" w:rsidR="00AF483F" w:rsidRPr="00DD2F9B" w:rsidRDefault="00D11A34" w:rsidP="00DD2F9B">
            <w:pPr>
              <w:pStyle w:val="Tablefont"/>
            </w:pPr>
            <w:r>
              <w:t>NA</w:t>
            </w:r>
          </w:p>
        </w:tc>
      </w:tr>
      <w:tr w:rsidR="00D11A34" w:rsidRPr="004C23F4" w14:paraId="5BDF5D0F" w14:textId="77777777" w:rsidTr="00D11A34">
        <w:trPr>
          <w:cantSplit/>
        </w:trPr>
        <w:tc>
          <w:tcPr>
            <w:tcW w:w="3153" w:type="dxa"/>
          </w:tcPr>
          <w:p w14:paraId="48134163" w14:textId="77777777" w:rsidR="00D11A34" w:rsidRPr="004C23F4" w:rsidRDefault="00D11A34" w:rsidP="00D11A34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25C04337" w14:textId="77777777" w:rsidR="00D11A34" w:rsidRPr="00DD2F9B" w:rsidRDefault="00D11A34" w:rsidP="00D11A34">
            <w:pPr>
              <w:pStyle w:val="Tablefont"/>
            </w:pPr>
            <w:r>
              <w:t>NA</w:t>
            </w:r>
          </w:p>
        </w:tc>
      </w:tr>
      <w:tr w:rsidR="00D11A34" w:rsidRPr="004C23F4" w14:paraId="518E35A5" w14:textId="77777777" w:rsidTr="00D11A34">
        <w:trPr>
          <w:cantSplit/>
        </w:trPr>
        <w:tc>
          <w:tcPr>
            <w:tcW w:w="3153" w:type="dxa"/>
          </w:tcPr>
          <w:p w14:paraId="2301FE9D" w14:textId="77777777" w:rsidR="00D11A34" w:rsidRDefault="00D11A34" w:rsidP="00D11A34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1E9191AC" w14:textId="77777777" w:rsidR="00D11A34" w:rsidRPr="00DD2F9B" w:rsidRDefault="00D11A34" w:rsidP="00D11A34">
            <w:pPr>
              <w:pStyle w:val="Tablefont"/>
            </w:pPr>
            <w:r>
              <w:t>NA</w:t>
            </w:r>
          </w:p>
        </w:tc>
      </w:tr>
      <w:tr w:rsidR="00D11A34" w:rsidRPr="004C23F4" w14:paraId="27939626" w14:textId="77777777" w:rsidTr="00D11A34">
        <w:trPr>
          <w:cantSplit/>
        </w:trPr>
        <w:tc>
          <w:tcPr>
            <w:tcW w:w="3153" w:type="dxa"/>
          </w:tcPr>
          <w:p w14:paraId="57ACE3B1" w14:textId="77777777" w:rsidR="00D11A34" w:rsidRPr="004C23F4" w:rsidRDefault="00D11A34" w:rsidP="00D11A34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1EA7D498" w14:textId="77777777" w:rsidR="00D11A34" w:rsidRPr="00DD2F9B" w:rsidRDefault="00D11A34" w:rsidP="00D11A34">
            <w:pPr>
              <w:pStyle w:val="Tablefont"/>
            </w:pPr>
            <w:r>
              <w:t>Carcinogenicity – A3</w:t>
            </w:r>
          </w:p>
        </w:tc>
      </w:tr>
      <w:tr w:rsidR="00D11A34" w:rsidRPr="004C23F4" w14:paraId="240DD48B" w14:textId="77777777" w:rsidTr="00D11A34">
        <w:trPr>
          <w:cantSplit/>
        </w:trPr>
        <w:tc>
          <w:tcPr>
            <w:tcW w:w="3153" w:type="dxa"/>
          </w:tcPr>
          <w:p w14:paraId="63F3FBDB" w14:textId="77777777" w:rsidR="00D11A34" w:rsidRPr="004C23F4" w:rsidRDefault="00D11A34" w:rsidP="00D11A34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2211E869" w14:textId="77777777" w:rsidR="00D11A34" w:rsidRPr="00DD2F9B" w:rsidRDefault="00D11A34" w:rsidP="00D11A34">
            <w:pPr>
              <w:pStyle w:val="Tablefont"/>
            </w:pPr>
            <w:r>
              <w:t>Carcinogenicity – 3B</w:t>
            </w:r>
          </w:p>
        </w:tc>
      </w:tr>
      <w:tr w:rsidR="00D11A34" w:rsidRPr="004C23F4" w14:paraId="0703F7FA" w14:textId="77777777" w:rsidTr="00D11A34">
        <w:trPr>
          <w:cantSplit/>
        </w:trPr>
        <w:tc>
          <w:tcPr>
            <w:tcW w:w="3153" w:type="dxa"/>
          </w:tcPr>
          <w:p w14:paraId="419FAE84" w14:textId="77777777" w:rsidR="00D11A34" w:rsidRPr="004C23F4" w:rsidRDefault="00D11A34" w:rsidP="00D11A34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25F6C583" w14:textId="77777777" w:rsidR="00D11A34" w:rsidRPr="00DD2F9B" w:rsidRDefault="00D11A34" w:rsidP="00D11A34">
            <w:pPr>
              <w:pStyle w:val="Tablefont"/>
            </w:pPr>
            <w:r>
              <w:t>Carcinogenicity – D</w:t>
            </w:r>
          </w:p>
        </w:tc>
      </w:tr>
      <w:tr w:rsidR="00D11A34" w:rsidRPr="004C23F4" w14:paraId="053FE266" w14:textId="77777777" w:rsidTr="00D11A34">
        <w:trPr>
          <w:cantSplit/>
        </w:trPr>
        <w:tc>
          <w:tcPr>
            <w:tcW w:w="3153" w:type="dxa"/>
          </w:tcPr>
          <w:p w14:paraId="3E4CECF0" w14:textId="77777777" w:rsidR="00D11A34" w:rsidRDefault="00D11A34" w:rsidP="00D11A34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282A9917" w14:textId="77777777" w:rsidR="00D11A34" w:rsidRPr="00DD2F9B" w:rsidRDefault="00D11A34" w:rsidP="00D11A34">
            <w:pPr>
              <w:pStyle w:val="Tablefont"/>
            </w:pPr>
            <w:r>
              <w:t>NA</w:t>
            </w:r>
          </w:p>
        </w:tc>
      </w:tr>
      <w:tr w:rsidR="00D11A34" w:rsidRPr="004C23F4" w14:paraId="0156B4E6" w14:textId="77777777" w:rsidTr="00D11A34">
        <w:trPr>
          <w:cantSplit/>
        </w:trPr>
        <w:tc>
          <w:tcPr>
            <w:tcW w:w="3153" w:type="dxa"/>
          </w:tcPr>
          <w:p w14:paraId="7EDD0AC3" w14:textId="77777777" w:rsidR="00D11A34" w:rsidRDefault="00D11A34" w:rsidP="00D11A34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00F2E563" w14:textId="77777777" w:rsidR="00D11A34" w:rsidRPr="00DD2F9B" w:rsidRDefault="00D11A34" w:rsidP="00D11A34">
            <w:pPr>
              <w:pStyle w:val="Tablefont"/>
            </w:pPr>
            <w:r>
              <w:t>NA</w:t>
            </w:r>
          </w:p>
        </w:tc>
      </w:tr>
      <w:tr w:rsidR="00D11A34" w:rsidRPr="004C23F4" w14:paraId="23541DFD" w14:textId="77777777" w:rsidTr="00D11A34">
        <w:trPr>
          <w:cantSplit/>
        </w:trPr>
        <w:tc>
          <w:tcPr>
            <w:tcW w:w="3153" w:type="dxa"/>
          </w:tcPr>
          <w:p w14:paraId="76669C4A" w14:textId="77777777" w:rsidR="00D11A34" w:rsidRDefault="00D11A34" w:rsidP="00D11A34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5986CC2F" w14:textId="77777777" w:rsidR="00D11A34" w:rsidRPr="00DD2F9B" w:rsidRDefault="00D11A34" w:rsidP="00D11A34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D0F308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AC4842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2507ED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00F9EE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E5D351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751F5718" w14:textId="77777777" w:rsidR="00932DCE" w:rsidRPr="004C23F4" w:rsidRDefault="00DE3E41" w:rsidP="00F9496B">
            <w:pPr>
              <w:pStyle w:val="Tablefont"/>
            </w:pPr>
            <w:r>
              <w:t>Insufficient data to assign a skin notation</w:t>
            </w:r>
          </w:p>
        </w:tc>
      </w:tr>
    </w:tbl>
    <w:bookmarkEnd w:id="4"/>
    <w:p w14:paraId="68CBB46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B296C7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9D50B4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D1F0C59" w14:textId="77777777" w:rsidR="00EB3D1B" w:rsidRDefault="00D11A34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F335C5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C61958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06B1FA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8AAD2B0" w14:textId="77777777" w:rsidR="001B79E5" w:rsidRDefault="008479C8" w:rsidP="001B79E5">
                <w:pPr>
                  <w:pStyle w:val="Tablefont"/>
                </w:pPr>
                <w:r>
                  <w:t>84.08</w:t>
                </w:r>
              </w:p>
            </w:tc>
          </w:sdtContent>
        </w:sdt>
      </w:tr>
      <w:tr w:rsidR="00A31D99" w:rsidRPr="004C23F4" w14:paraId="01B3868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B27C5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1857F73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903924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F3D579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F570910" w14:textId="77777777" w:rsidR="00687890" w:rsidRPr="004C23F4" w:rsidRDefault="00D11A34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54C74FD7" w14:textId="77777777" w:rsidTr="00EA6243">
        <w:trPr>
          <w:cantSplit/>
        </w:trPr>
        <w:tc>
          <w:tcPr>
            <w:tcW w:w="4077" w:type="dxa"/>
            <w:vAlign w:val="center"/>
          </w:tcPr>
          <w:p w14:paraId="790FF4C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42F471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A0902E9" w14:textId="77777777" w:rsidTr="00EA6243">
        <w:trPr>
          <w:cantSplit/>
        </w:trPr>
        <w:tc>
          <w:tcPr>
            <w:tcW w:w="4077" w:type="dxa"/>
            <w:vAlign w:val="center"/>
          </w:tcPr>
          <w:p w14:paraId="7D4EC92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287425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35D4435" w14:textId="77777777" w:rsidTr="00EA6243">
        <w:trPr>
          <w:cantSplit/>
        </w:trPr>
        <w:tc>
          <w:tcPr>
            <w:tcW w:w="4077" w:type="dxa"/>
            <w:vAlign w:val="center"/>
          </w:tcPr>
          <w:p w14:paraId="36C16F6D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5DC66B7" w14:textId="77777777" w:rsidR="00E06F40" w:rsidRPr="00A006A0" w:rsidRDefault="0036035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C0E9B4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E9E435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7675CC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35E959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E732BA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8890C0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C9F830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35EFD8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E315660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5CB600A" w14:textId="77777777" w:rsidR="00D11A34" w:rsidRDefault="00D11A34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8276FE">
        <w:t>2002</w:t>
      </w:r>
      <w:r>
        <w:t xml:space="preserve">) </w:t>
      </w:r>
      <w:proofErr w:type="spellStart"/>
      <w:r w:rsidR="008276FE">
        <w:t>Amitrole</w:t>
      </w:r>
      <w:proofErr w:type="spellEnd"/>
      <w:r>
        <w:t xml:space="preserve"> – MAK value documentation.</w:t>
      </w:r>
    </w:p>
    <w:p w14:paraId="46303E31" w14:textId="77777777" w:rsidR="008276FE" w:rsidRPr="00351FE0" w:rsidRDefault="008276FE" w:rsidP="00084859">
      <w:r w:rsidRPr="002022B6">
        <w:t>EU Scientific Committee on Occupational Exposure Limits (SCOEL)</w:t>
      </w:r>
      <w:r>
        <w:t xml:space="preserve"> (2009) Recommendation from the Scientific Committee on Occupational Exposure Limits for </w:t>
      </w:r>
      <w:proofErr w:type="spellStart"/>
      <w:r w:rsidR="007734B7">
        <w:t>A</w:t>
      </w:r>
      <w:r>
        <w:t>mitrole</w:t>
      </w:r>
      <w:proofErr w:type="spellEnd"/>
      <w:r>
        <w:t>. SCOEL/SUM/157.</w:t>
      </w:r>
    </w:p>
    <w:sectPr w:rsidR="008276FE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B2577" w16cid:durableId="20E03752"/>
  <w16cid:commentId w16cid:paraId="5B0BFD15" w16cid:durableId="20E03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A5F11" w14:textId="77777777" w:rsidR="005E4DB9" w:rsidRDefault="005E4DB9" w:rsidP="00F43AD5">
      <w:pPr>
        <w:spacing w:after="0" w:line="240" w:lineRule="auto"/>
      </w:pPr>
      <w:r>
        <w:separator/>
      </w:r>
    </w:p>
  </w:endnote>
  <w:endnote w:type="continuationSeparator" w:id="0">
    <w:p w14:paraId="290AB90D" w14:textId="77777777" w:rsidR="005E4DB9" w:rsidRDefault="005E4DB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6D7FCC1" w14:textId="77777777" w:rsidR="008A36CF" w:rsidRDefault="00D11A34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Amitrole</w:t>
        </w:r>
        <w:proofErr w:type="spellEnd"/>
        <w:r>
          <w:rPr>
            <w:b/>
            <w:sz w:val="18"/>
            <w:szCs w:val="18"/>
          </w:rPr>
          <w:t xml:space="preserve"> (61-82-5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7082B4B" w14:textId="3EED5BF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60354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F697" w14:textId="77777777" w:rsidR="005E4DB9" w:rsidRDefault="005E4DB9" w:rsidP="00F43AD5">
      <w:pPr>
        <w:spacing w:after="0" w:line="240" w:lineRule="auto"/>
      </w:pPr>
      <w:r>
        <w:separator/>
      </w:r>
    </w:p>
  </w:footnote>
  <w:footnote w:type="continuationSeparator" w:id="0">
    <w:p w14:paraId="66EC57A5" w14:textId="77777777" w:rsidR="005E4DB9" w:rsidRDefault="005E4DB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D19E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443E9210" wp14:editId="2F764994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99DF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8894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5F19"/>
    <w:rsid w:val="00046DF5"/>
    <w:rsid w:val="00052060"/>
    <w:rsid w:val="0005574A"/>
    <w:rsid w:val="00055FE1"/>
    <w:rsid w:val="00056EC2"/>
    <w:rsid w:val="000571E3"/>
    <w:rsid w:val="00060B48"/>
    <w:rsid w:val="00063EC4"/>
    <w:rsid w:val="00067F32"/>
    <w:rsid w:val="00071807"/>
    <w:rsid w:val="00074B10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4DD8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5DF4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6FE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6B76"/>
    <w:rsid w:val="00276494"/>
    <w:rsid w:val="00277B0C"/>
    <w:rsid w:val="002A57DC"/>
    <w:rsid w:val="002B06B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11F1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0354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6B11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577"/>
    <w:rsid w:val="004C58B6"/>
    <w:rsid w:val="004D16A3"/>
    <w:rsid w:val="004D4AA1"/>
    <w:rsid w:val="004D6D68"/>
    <w:rsid w:val="004E544B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A74F7"/>
    <w:rsid w:val="005B253B"/>
    <w:rsid w:val="005B771D"/>
    <w:rsid w:val="005C5D16"/>
    <w:rsid w:val="005D3193"/>
    <w:rsid w:val="005D4A6E"/>
    <w:rsid w:val="005E4DB9"/>
    <w:rsid w:val="005E6979"/>
    <w:rsid w:val="005E75CB"/>
    <w:rsid w:val="006013C1"/>
    <w:rsid w:val="0060669E"/>
    <w:rsid w:val="00606F56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58F8"/>
    <w:rsid w:val="00677D9B"/>
    <w:rsid w:val="006867F3"/>
    <w:rsid w:val="00687890"/>
    <w:rsid w:val="006901A2"/>
    <w:rsid w:val="00690368"/>
    <w:rsid w:val="0069079C"/>
    <w:rsid w:val="00690B53"/>
    <w:rsid w:val="00690CAC"/>
    <w:rsid w:val="00695B72"/>
    <w:rsid w:val="006B160A"/>
    <w:rsid w:val="006B4617"/>
    <w:rsid w:val="006B4E6C"/>
    <w:rsid w:val="006B50B6"/>
    <w:rsid w:val="006B6DB4"/>
    <w:rsid w:val="006D79EA"/>
    <w:rsid w:val="006E5D05"/>
    <w:rsid w:val="006F79A1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380E"/>
    <w:rsid w:val="00765F14"/>
    <w:rsid w:val="00770E31"/>
    <w:rsid w:val="007734B7"/>
    <w:rsid w:val="007770F1"/>
    <w:rsid w:val="00783FB1"/>
    <w:rsid w:val="00785856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580E"/>
    <w:rsid w:val="00826F21"/>
    <w:rsid w:val="008276FE"/>
    <w:rsid w:val="00834CC8"/>
    <w:rsid w:val="00835E00"/>
    <w:rsid w:val="00837113"/>
    <w:rsid w:val="008414E4"/>
    <w:rsid w:val="00843E21"/>
    <w:rsid w:val="0084508E"/>
    <w:rsid w:val="008479C8"/>
    <w:rsid w:val="008541A8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5F09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4B4C"/>
    <w:rsid w:val="00AC6D2F"/>
    <w:rsid w:val="00AE2745"/>
    <w:rsid w:val="00AE2F64"/>
    <w:rsid w:val="00AE7CFD"/>
    <w:rsid w:val="00AF42CB"/>
    <w:rsid w:val="00AF483F"/>
    <w:rsid w:val="00AF5E07"/>
    <w:rsid w:val="00AF5F06"/>
    <w:rsid w:val="00B00A25"/>
    <w:rsid w:val="00B134A0"/>
    <w:rsid w:val="00B1422A"/>
    <w:rsid w:val="00B1765C"/>
    <w:rsid w:val="00B213C4"/>
    <w:rsid w:val="00B40C60"/>
    <w:rsid w:val="00B44373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4DDA"/>
    <w:rsid w:val="00BD499F"/>
    <w:rsid w:val="00BD56DE"/>
    <w:rsid w:val="00BF2406"/>
    <w:rsid w:val="00C16315"/>
    <w:rsid w:val="00C21576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1A34"/>
    <w:rsid w:val="00D140FC"/>
    <w:rsid w:val="00D21D8C"/>
    <w:rsid w:val="00D31357"/>
    <w:rsid w:val="00D33220"/>
    <w:rsid w:val="00D334D1"/>
    <w:rsid w:val="00D44C89"/>
    <w:rsid w:val="00D516CD"/>
    <w:rsid w:val="00D51F14"/>
    <w:rsid w:val="00D62369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3E41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3A89"/>
    <w:rsid w:val="00E57D58"/>
    <w:rsid w:val="00E60F04"/>
    <w:rsid w:val="00E6173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BF4"/>
    <w:rsid w:val="00ED66BC"/>
    <w:rsid w:val="00EE50FE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97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67421B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B4617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1E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1E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1E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ABD532A2606407DA86F7A7EBD22D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52A9-9F87-4250-A938-AEC1D0DA1FBF}"/>
      </w:docPartPr>
      <w:docPartBody>
        <w:p w:rsidR="00FC71F5" w:rsidRDefault="0059760D" w:rsidP="0059760D">
          <w:pPr>
            <w:pStyle w:val="3ABD532A2606407DA86F7A7EBD22DFAF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89B6B52E382540C0A608E74A74FC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47CE-D3E0-436B-87AE-DC3A4284B44D}"/>
      </w:docPartPr>
      <w:docPartBody>
        <w:p w:rsidR="00F21096" w:rsidRDefault="0078426D" w:rsidP="0078426D">
          <w:pPr>
            <w:pStyle w:val="89B6B52E382540C0A608E74A74FC5ABA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96F6E"/>
    <w:rsid w:val="00575B35"/>
    <w:rsid w:val="0059760D"/>
    <w:rsid w:val="0078426D"/>
    <w:rsid w:val="008A4A79"/>
    <w:rsid w:val="00C23B4F"/>
    <w:rsid w:val="00D21A9F"/>
    <w:rsid w:val="00F21096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26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B5B29437F9F423ABFD05E671FDAAB12">
    <w:name w:val="3B5B29437F9F423ABFD05E671FDAAB12"/>
    <w:rsid w:val="00C23B4F"/>
  </w:style>
  <w:style w:type="paragraph" w:customStyle="1" w:styleId="594988D0BE184AF9B160B956498A8F46">
    <w:name w:val="594988D0BE184AF9B160B956498A8F46"/>
    <w:rsid w:val="00C23B4F"/>
  </w:style>
  <w:style w:type="paragraph" w:customStyle="1" w:styleId="3DC0971611604DECADA96AA76CF9FFE9">
    <w:name w:val="3DC0971611604DECADA96AA76CF9FFE9"/>
    <w:rsid w:val="00C23B4F"/>
  </w:style>
  <w:style w:type="paragraph" w:customStyle="1" w:styleId="E4619E86DD6E433C9089AADB2587666C">
    <w:name w:val="E4619E86DD6E433C9089AADB2587666C"/>
    <w:rsid w:val="00C23B4F"/>
  </w:style>
  <w:style w:type="paragraph" w:customStyle="1" w:styleId="1DE516F323F94CBEA3ABF98CDF24D6A3">
    <w:name w:val="1DE516F323F94CBEA3ABF98CDF24D6A3"/>
    <w:rsid w:val="00C23B4F"/>
  </w:style>
  <w:style w:type="paragraph" w:customStyle="1" w:styleId="4D753696BCEA4AAD8FC3284B6BDC04F3">
    <w:name w:val="4D753696BCEA4AAD8FC3284B6BDC04F3"/>
    <w:rsid w:val="0059760D"/>
  </w:style>
  <w:style w:type="paragraph" w:customStyle="1" w:styleId="3ABD532A2606407DA86F7A7EBD22DFAF">
    <w:name w:val="3ABD532A2606407DA86F7A7EBD22DFAF"/>
    <w:rsid w:val="0059760D"/>
  </w:style>
  <w:style w:type="paragraph" w:customStyle="1" w:styleId="FE307FA13B754B628CEA4C7A2BAF94BF">
    <w:name w:val="FE307FA13B754B628CEA4C7A2BAF94BF"/>
    <w:rsid w:val="0059760D"/>
  </w:style>
  <w:style w:type="paragraph" w:customStyle="1" w:styleId="52B4C28AB5C8466F9B26B8B52F483D9F">
    <w:name w:val="52B4C28AB5C8466F9B26B8B52F483D9F"/>
    <w:rsid w:val="0059760D"/>
  </w:style>
  <w:style w:type="paragraph" w:customStyle="1" w:styleId="89B6B52E382540C0A608E74A74FC5ABA">
    <w:name w:val="89B6B52E382540C0A608E74A74FC5ABA"/>
    <w:rsid w:val="00784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DCAE-59C0-486D-B1AC-DFEEFBC90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openxmlformats.org/package/2006/metadata/core-properties"/>
    <ds:schemaRef ds:uri="http://purl.org/dc/elements/1.1/"/>
    <ds:schemaRef ds:uri="http://purl.org/dc/dcmitype/"/>
    <ds:schemaRef ds:uri="bf54d604-3e62-4e70-ba33-9e9084b96a6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49AFF7-5F7F-4B0A-909E-F78D290D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A69536A0.dotm</Template>
  <TotalTime>113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12</cp:revision>
  <cp:lastPrinted>2018-10-22T22:41:00Z</cp:lastPrinted>
  <dcterms:created xsi:type="dcterms:W3CDTF">2019-07-05T04:48:00Z</dcterms:created>
  <dcterms:modified xsi:type="dcterms:W3CDTF">2019-08-20T23:35:00Z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