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4707753" w:displacedByCustomXml="next"/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1E515989" w14:textId="77777777" w:rsidR="00BD499F" w:rsidRPr="004C23F4" w:rsidRDefault="00A117E8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Ammonium sulfamate</w:t>
          </w:r>
        </w:p>
      </w:sdtContent>
    </w:sdt>
    <w:bookmarkEnd w:id="0" w:displacedByCustomXml="prev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1"/>
        <w:gridCol w:w="5055"/>
      </w:tblGrid>
      <w:tr w:rsidR="00F43AD5" w:rsidRPr="004C23F4" w14:paraId="0AD78231" w14:textId="77777777" w:rsidTr="00B76A41">
        <w:trPr>
          <w:cantSplit/>
          <w:tblHeader/>
        </w:trPr>
        <w:tc>
          <w:tcPr>
            <w:tcW w:w="4077" w:type="dxa"/>
          </w:tcPr>
          <w:p w14:paraId="31E497E4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29A3C55E" w14:textId="77777777" w:rsidR="00F43AD5" w:rsidRPr="00717D45" w:rsidRDefault="00AA44D4" w:rsidP="00B76A41">
            <w:pPr>
              <w:pStyle w:val="Tablefont"/>
            </w:pPr>
            <w:r w:rsidRPr="00AA44D4">
              <w:t>7773-06-0</w:t>
            </w:r>
          </w:p>
        </w:tc>
      </w:tr>
      <w:tr w:rsidR="00F43AD5" w:rsidRPr="004C23F4" w14:paraId="4A746BC9" w14:textId="77777777" w:rsidTr="00B76A41">
        <w:trPr>
          <w:cantSplit/>
        </w:trPr>
        <w:tc>
          <w:tcPr>
            <w:tcW w:w="4077" w:type="dxa"/>
          </w:tcPr>
          <w:p w14:paraId="08AA3984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056D3AC6" w14:textId="77777777" w:rsidR="00F43AD5" w:rsidRPr="00717D45" w:rsidRDefault="005C1A3F" w:rsidP="00754663">
            <w:pPr>
              <w:pStyle w:val="Tablefont"/>
            </w:pPr>
            <w:proofErr w:type="spellStart"/>
            <w:r>
              <w:t>Ammate</w:t>
            </w:r>
            <w:proofErr w:type="spellEnd"/>
            <w:r>
              <w:t>,</w:t>
            </w:r>
            <w:r w:rsidR="00AA44D4">
              <w:t xml:space="preserve"> a</w:t>
            </w:r>
            <w:r>
              <w:t xml:space="preserve">mmonium </w:t>
            </w:r>
            <w:proofErr w:type="spellStart"/>
            <w:r>
              <w:t>sulphamidate</w:t>
            </w:r>
            <w:proofErr w:type="spellEnd"/>
            <w:r>
              <w:t xml:space="preserve">, </w:t>
            </w:r>
            <w:r w:rsidR="00754663">
              <w:t>ammonium </w:t>
            </w:r>
            <w:proofErr w:type="spellStart"/>
            <w:r>
              <w:t>sulphamate</w:t>
            </w:r>
            <w:proofErr w:type="spellEnd"/>
          </w:p>
        </w:tc>
      </w:tr>
      <w:tr w:rsidR="00F43AD5" w:rsidRPr="004C23F4" w14:paraId="24693393" w14:textId="77777777" w:rsidTr="00B76A41">
        <w:trPr>
          <w:cantSplit/>
        </w:trPr>
        <w:tc>
          <w:tcPr>
            <w:tcW w:w="4077" w:type="dxa"/>
          </w:tcPr>
          <w:p w14:paraId="6F57DE26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18F259BC" w14:textId="77777777" w:rsidR="00F43AD5" w:rsidRPr="00717D45" w:rsidRDefault="00AA44D4" w:rsidP="00B76A41">
            <w:pPr>
              <w:pStyle w:val="Tablefont"/>
            </w:pPr>
            <w:r w:rsidRPr="00AA44D4">
              <w:t>NH</w:t>
            </w:r>
            <w:r w:rsidRPr="00F11454">
              <w:rPr>
                <w:vertAlign w:val="subscript"/>
              </w:rPr>
              <w:t>4</w:t>
            </w:r>
            <w:r w:rsidRPr="00AA44D4">
              <w:t>SO</w:t>
            </w:r>
            <w:r w:rsidRPr="00F11454">
              <w:rPr>
                <w:vertAlign w:val="subscript"/>
              </w:rPr>
              <w:t>3</w:t>
            </w:r>
            <w:r w:rsidRPr="00AA44D4">
              <w:t>NH</w:t>
            </w:r>
            <w:r w:rsidRPr="00F11454">
              <w:rPr>
                <w:vertAlign w:val="subscript"/>
              </w:rPr>
              <w:t>2</w:t>
            </w:r>
          </w:p>
        </w:tc>
      </w:tr>
      <w:tr w:rsidR="00F43AD5" w:rsidRPr="004C23F4" w14:paraId="4FE2F04C" w14:textId="77777777" w:rsidTr="00B76A41">
        <w:trPr>
          <w:cantSplit/>
        </w:trPr>
        <w:tc>
          <w:tcPr>
            <w:tcW w:w="4077" w:type="dxa"/>
          </w:tcPr>
          <w:p w14:paraId="72EC63AB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71B88C15" w14:textId="77777777" w:rsidR="00F43AD5" w:rsidRPr="00B40C60" w:rsidRDefault="00F43AD5" w:rsidP="00B76A41">
            <w:pPr>
              <w:pStyle w:val="Tablerowheading"/>
              <w:rPr>
                <w:b w:val="0"/>
              </w:rPr>
            </w:pPr>
          </w:p>
        </w:tc>
      </w:tr>
    </w:tbl>
    <w:p w14:paraId="50297863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2C0F59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14:paraId="3FCCF473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61FC539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281EC735" w14:textId="77777777" w:rsidR="002C7AFE" w:rsidRPr="00EB3D1B" w:rsidRDefault="00AA44D4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10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2C7AFE" w:rsidRPr="004C23F4" w14:paraId="5B60BF07" w14:textId="77777777" w:rsidTr="00921DE7">
        <w:trPr>
          <w:cantSplit/>
        </w:trPr>
        <w:tc>
          <w:tcPr>
            <w:tcW w:w="4077" w:type="dxa"/>
            <w:vAlign w:val="center"/>
          </w:tcPr>
          <w:p w14:paraId="34CAC275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6192E4CF" w14:textId="77777777" w:rsidR="002C7AFE" w:rsidRPr="00205A34" w:rsidRDefault="002403C3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43E0AB3D" w14:textId="77777777" w:rsidTr="00921DE7">
        <w:trPr>
          <w:cantSplit/>
        </w:trPr>
        <w:tc>
          <w:tcPr>
            <w:tcW w:w="4077" w:type="dxa"/>
            <w:vAlign w:val="center"/>
          </w:tcPr>
          <w:p w14:paraId="298D439D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2B67B03C" w14:textId="77777777" w:rsidR="002C7AFE" w:rsidRPr="00EB3D1B" w:rsidRDefault="002403C3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12E6BCF0" w14:textId="77777777" w:rsidTr="00A2073D">
        <w:trPr>
          <w:cantSplit/>
        </w:trPr>
        <w:tc>
          <w:tcPr>
            <w:tcW w:w="4077" w:type="dxa"/>
          </w:tcPr>
          <w:p w14:paraId="1D161AE7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7412DE4A" w14:textId="77777777" w:rsidR="002C7AFE" w:rsidRPr="00EB3D1B" w:rsidRDefault="002403C3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18932920" w14:textId="77777777" w:rsidTr="00921DE7">
        <w:trPr>
          <w:cantSplit/>
        </w:trPr>
        <w:tc>
          <w:tcPr>
            <w:tcW w:w="4077" w:type="dxa"/>
            <w:vAlign w:val="center"/>
          </w:tcPr>
          <w:p w14:paraId="2B784D3D" w14:textId="29702197" w:rsidR="00F10C97" w:rsidRPr="002C58FF" w:rsidRDefault="00921DE7" w:rsidP="007355AB">
            <w:pPr>
              <w:pStyle w:val="Tablerowright"/>
            </w:pPr>
            <w:r w:rsidRPr="007618C3">
              <w:t>IDLH</w:t>
            </w:r>
            <w:r>
              <w:t>:</w:t>
            </w:r>
          </w:p>
        </w:tc>
        <w:tc>
          <w:tcPr>
            <w:tcW w:w="5165" w:type="dxa"/>
          </w:tcPr>
          <w:p w14:paraId="4137E684" w14:textId="77777777" w:rsidR="002C7AFE" w:rsidRPr="00EB3D1B" w:rsidRDefault="00B24477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1,500 mg/m</w:t>
            </w:r>
            <w:r w:rsidRPr="00B24477">
              <w:rPr>
                <w:b/>
                <w:vertAlign w:val="superscript"/>
              </w:rPr>
              <w:t>3</w:t>
            </w:r>
          </w:p>
        </w:tc>
      </w:tr>
      <w:tr w:rsidR="007355AB" w:rsidRPr="004C23F4" w14:paraId="0DBF28DD" w14:textId="77777777" w:rsidTr="007355AB">
        <w:trPr>
          <w:cantSplit/>
        </w:trPr>
        <w:tc>
          <w:tcPr>
            <w:tcW w:w="4077" w:type="dxa"/>
          </w:tcPr>
          <w:p w14:paraId="567F8B56" w14:textId="7DD4389D" w:rsidR="007355AB" w:rsidRPr="007618C3" w:rsidRDefault="007355AB" w:rsidP="007355AB">
            <w:pPr>
              <w:pStyle w:val="Tablerowright"/>
            </w:pPr>
            <w:r>
              <w:t>Sampling and analysis:</w:t>
            </w:r>
          </w:p>
        </w:tc>
        <w:tc>
          <w:tcPr>
            <w:tcW w:w="5165" w:type="dxa"/>
          </w:tcPr>
          <w:p w14:paraId="761138DB" w14:textId="35532502" w:rsidR="007355AB" w:rsidRPr="007355AB" w:rsidRDefault="007355AB" w:rsidP="007355AB">
            <w:pPr>
              <w:spacing w:after="0"/>
              <w:rPr>
                <w:rFonts w:cs="Arial"/>
                <w:color w:val="000000"/>
                <w:sz w:val="22"/>
              </w:rPr>
            </w:pPr>
            <w:r w:rsidRPr="007355AB">
              <w:rPr>
                <w:rFonts w:cs="Arial"/>
                <w:color w:val="000000"/>
              </w:rPr>
              <w:t xml:space="preserve">The recommended value is readily quantifiable through currently available sampling and analysis techniques. </w:t>
            </w:r>
          </w:p>
        </w:tc>
      </w:tr>
    </w:tbl>
    <w:p w14:paraId="609D7BED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14A821FF" w14:textId="77777777" w:rsidR="00AA44D4" w:rsidRDefault="005F281F" w:rsidP="00AA44D4">
      <w:r>
        <w:t xml:space="preserve">A </w:t>
      </w:r>
      <w:r w:rsidR="00205A34">
        <w:t xml:space="preserve">TWA of </w:t>
      </w:r>
      <w:r w:rsidR="00205A34" w:rsidRPr="00205A34">
        <w:t>10 mg/m</w:t>
      </w:r>
      <w:r w:rsidR="00205A34" w:rsidRPr="00205A34">
        <w:rPr>
          <w:vertAlign w:val="superscript"/>
        </w:rPr>
        <w:t>3</w:t>
      </w:r>
      <w:r w:rsidR="00205A34">
        <w:rPr>
          <w:b/>
        </w:rPr>
        <w:t xml:space="preserve"> </w:t>
      </w:r>
      <w:proofErr w:type="gramStart"/>
      <w:r w:rsidR="00205A34">
        <w:t xml:space="preserve">is </w:t>
      </w:r>
      <w:r w:rsidR="00E865D3">
        <w:t>recommended</w:t>
      </w:r>
      <w:proofErr w:type="gramEnd"/>
      <w:r>
        <w:t xml:space="preserve"> </w:t>
      </w:r>
      <w:r w:rsidR="00205A34">
        <w:t xml:space="preserve">to </w:t>
      </w:r>
      <w:r w:rsidR="005C1A3F">
        <w:t>protect for</w:t>
      </w:r>
      <w:r w:rsidR="00340818">
        <w:t xml:space="preserve"> potential</w:t>
      </w:r>
      <w:r w:rsidR="00205A34">
        <w:t xml:space="preserve"> irritant effects</w:t>
      </w:r>
      <w:r w:rsidR="00CD771E">
        <w:t xml:space="preserve"> </w:t>
      </w:r>
      <w:r w:rsidR="00205A34">
        <w:t xml:space="preserve">in </w:t>
      </w:r>
      <w:r w:rsidR="00754663">
        <w:t xml:space="preserve">exposed </w:t>
      </w:r>
      <w:r w:rsidR="00205A34">
        <w:t>workers</w:t>
      </w:r>
      <w:r w:rsidR="00AA44D4">
        <w:t>.</w:t>
      </w:r>
      <w:r w:rsidR="00205A34">
        <w:t xml:space="preserve"> </w:t>
      </w:r>
    </w:p>
    <w:p w14:paraId="112CE086" w14:textId="77777777" w:rsidR="00C7155E" w:rsidRPr="004C23F4" w:rsidRDefault="00F10C97" w:rsidP="003365A5">
      <w:pPr>
        <w:pStyle w:val="Heading2"/>
      </w:pPr>
      <w:r>
        <w:t>Discussion and conclusions</w:t>
      </w:r>
    </w:p>
    <w:p w14:paraId="66B58870" w14:textId="77777777" w:rsidR="00F83C8F" w:rsidRDefault="005C1A3F" w:rsidP="00F11454">
      <w:pPr>
        <w:rPr>
          <w:rFonts w:cs="Arial"/>
        </w:rPr>
      </w:pPr>
      <w:r>
        <w:rPr>
          <w:rFonts w:cs="Arial"/>
        </w:rPr>
        <w:t xml:space="preserve">Ammonium </w:t>
      </w:r>
      <w:proofErr w:type="spellStart"/>
      <w:r>
        <w:rPr>
          <w:rFonts w:cs="Arial"/>
        </w:rPr>
        <w:t>sulfamate</w:t>
      </w:r>
      <w:proofErr w:type="spellEnd"/>
      <w:r w:rsidRPr="005C1A3F">
        <w:rPr>
          <w:rFonts w:cs="Arial"/>
        </w:rPr>
        <w:t xml:space="preserve"> </w:t>
      </w:r>
      <w:proofErr w:type="gramStart"/>
      <w:r w:rsidRPr="005C1A3F">
        <w:rPr>
          <w:rFonts w:cs="Arial"/>
        </w:rPr>
        <w:t>is commonly used</w:t>
      </w:r>
      <w:proofErr w:type="gramEnd"/>
      <w:r w:rsidRPr="005C1A3F">
        <w:rPr>
          <w:rFonts w:cs="Arial"/>
        </w:rPr>
        <w:t xml:space="preserve"> as a broad-spectrum herbicide</w:t>
      </w:r>
      <w:r w:rsidR="005F281F">
        <w:rPr>
          <w:rFonts w:cs="Arial"/>
        </w:rPr>
        <w:t xml:space="preserve">. </w:t>
      </w:r>
      <w:r w:rsidR="00340818">
        <w:rPr>
          <w:rFonts w:cs="Arial"/>
        </w:rPr>
        <w:t>Limited data from both human and animal studies indicate</w:t>
      </w:r>
      <w:r w:rsidR="00F11454">
        <w:rPr>
          <w:rFonts w:cs="Arial"/>
        </w:rPr>
        <w:t xml:space="preserve"> </w:t>
      </w:r>
      <w:r w:rsidR="00340818">
        <w:rPr>
          <w:rFonts w:cs="Arial"/>
        </w:rPr>
        <w:t>negligible acute, chronic and dermal toxicity (ACGIH</w:t>
      </w:r>
      <w:r w:rsidR="00AA3A46">
        <w:rPr>
          <w:rFonts w:cs="Arial"/>
        </w:rPr>
        <w:t>,</w:t>
      </w:r>
      <w:r w:rsidR="00340818">
        <w:rPr>
          <w:rFonts w:cs="Arial"/>
        </w:rPr>
        <w:t xml:space="preserve"> 2001). </w:t>
      </w:r>
    </w:p>
    <w:p w14:paraId="6024AEC3" w14:textId="77777777" w:rsidR="00F83C8F" w:rsidRDefault="00F83C8F" w:rsidP="00F83C8F">
      <w:pPr>
        <w:rPr>
          <w:rFonts w:cs="Arial"/>
        </w:rPr>
      </w:pPr>
      <w:r>
        <w:rPr>
          <w:rFonts w:cs="Arial"/>
        </w:rPr>
        <w:t>No inhalational toxicity data is currently available (NIOSH, 1994). Available data consists of oral dose studies in animals (NIOSH, 1994).</w:t>
      </w:r>
    </w:p>
    <w:p w14:paraId="01AE2098" w14:textId="71A875A1" w:rsidR="007618C3" w:rsidRDefault="00F11454" w:rsidP="00F11454">
      <w:pPr>
        <w:rPr>
          <w:rFonts w:cs="Arial"/>
        </w:rPr>
      </w:pPr>
      <w:r>
        <w:rPr>
          <w:rFonts w:cs="Arial"/>
        </w:rPr>
        <w:t xml:space="preserve">Based on the </w:t>
      </w:r>
      <w:r w:rsidR="00340818">
        <w:rPr>
          <w:rFonts w:cs="Arial"/>
        </w:rPr>
        <w:t>available data, the c</w:t>
      </w:r>
      <w:r w:rsidR="00752BE1">
        <w:rPr>
          <w:rFonts w:cs="Arial"/>
        </w:rPr>
        <w:t xml:space="preserve">ritical effects of exposure to </w:t>
      </w:r>
      <w:r w:rsidR="00340818">
        <w:rPr>
          <w:rFonts w:cs="Arial"/>
        </w:rPr>
        <w:t xml:space="preserve">ammonium </w:t>
      </w:r>
      <w:proofErr w:type="spellStart"/>
      <w:r w:rsidR="00340818">
        <w:rPr>
          <w:rFonts w:cs="Arial"/>
        </w:rPr>
        <w:t>sulfamate</w:t>
      </w:r>
      <w:proofErr w:type="spellEnd"/>
      <w:r w:rsidR="00340818">
        <w:rPr>
          <w:rFonts w:cs="Arial"/>
        </w:rPr>
        <w:t xml:space="preserve"> are unclear</w:t>
      </w:r>
      <w:r>
        <w:rPr>
          <w:rFonts w:cs="Arial"/>
        </w:rPr>
        <w:t>.</w:t>
      </w:r>
      <w:r w:rsidR="007618C3">
        <w:rPr>
          <w:rFonts w:cs="Arial"/>
        </w:rPr>
        <w:t xml:space="preserve"> </w:t>
      </w:r>
      <w:r w:rsidR="00E865D3">
        <w:rPr>
          <w:rFonts w:cs="Arial"/>
        </w:rPr>
        <w:t xml:space="preserve">The current TWA is recommended to be retained based on </w:t>
      </w:r>
      <w:r w:rsidR="00754663">
        <w:rPr>
          <w:rFonts w:cs="Arial"/>
        </w:rPr>
        <w:t xml:space="preserve">data available from </w:t>
      </w:r>
      <w:r w:rsidR="00E865D3">
        <w:rPr>
          <w:rFonts w:cs="Arial"/>
        </w:rPr>
        <w:t>the ACGIH (2018) supported by evidence from</w:t>
      </w:r>
      <w:r w:rsidR="00651D4A">
        <w:rPr>
          <w:rFonts w:cs="Arial"/>
        </w:rPr>
        <w:t xml:space="preserve"> the</w:t>
      </w:r>
      <w:r w:rsidR="005C1A3F">
        <w:rPr>
          <w:rFonts w:cs="Arial"/>
        </w:rPr>
        <w:t xml:space="preserve"> US EPA (1989) and NIOSH (1994) to limit irritant effects. </w:t>
      </w:r>
    </w:p>
    <w:p w14:paraId="7747D553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19CFB6E8" w14:textId="77777777" w:rsidR="00512906" w:rsidRDefault="00553CB1" w:rsidP="00512906">
      <w:r>
        <w:t>Not</w:t>
      </w:r>
      <w:r w:rsidR="00A62C66">
        <w:t xml:space="preserve"> classified as a carcinogen according to the Globally Harmonized System of Classification and Labelling of Chemicals</w:t>
      </w:r>
      <w:r w:rsidR="00340818">
        <w:t xml:space="preserve"> (GHS)</w:t>
      </w:r>
      <w:r w:rsidR="00D60B1D">
        <w:t>.</w:t>
      </w:r>
    </w:p>
    <w:p w14:paraId="50A8AF88" w14:textId="77777777" w:rsidR="00D60B1D" w:rsidRDefault="00553CB1" w:rsidP="00D60B1D">
      <w:r>
        <w:t>Not</w:t>
      </w:r>
      <w:r w:rsidR="00D60B1D">
        <w:t xml:space="preserve"> classified as a skin</w:t>
      </w:r>
      <w:r w:rsidR="000E787B">
        <w:t xml:space="preserve"> sensitiser</w:t>
      </w:r>
      <w:r w:rsidR="00D60B1D">
        <w:t xml:space="preserve"> or respiratory sensitiser according to the </w:t>
      </w:r>
      <w:r w:rsidR="00340818">
        <w:t>GHS.</w:t>
      </w:r>
    </w:p>
    <w:p w14:paraId="7262D8A8" w14:textId="77777777" w:rsidR="004529F0" w:rsidRPr="004C23F4" w:rsidRDefault="00205A34" w:rsidP="004529F0">
      <w:pPr>
        <w:rPr>
          <w:rFonts w:cs="Arial"/>
        </w:rPr>
      </w:pPr>
      <w:r>
        <w:t xml:space="preserve">A skin notation is not </w:t>
      </w:r>
      <w:proofErr w:type="gramStart"/>
      <w:r w:rsidR="000E787B">
        <w:t>recommended</w:t>
      </w:r>
      <w:proofErr w:type="gramEnd"/>
      <w:r w:rsidR="000E787B">
        <w:t xml:space="preserve"> </w:t>
      </w:r>
      <w:r>
        <w:t xml:space="preserve">as there is no indication </w:t>
      </w:r>
      <w:r w:rsidR="00512906">
        <w:t xml:space="preserve">of systemic effects </w:t>
      </w:r>
      <w:r w:rsidR="00D60B1D">
        <w:t xml:space="preserve">resulting from </w:t>
      </w:r>
      <w:r w:rsidR="00512906">
        <w:t>skin absorption</w:t>
      </w:r>
      <w:r w:rsidR="00553CB1">
        <w:t xml:space="preserve">. </w:t>
      </w:r>
    </w:p>
    <w:p w14:paraId="551EA695" w14:textId="77777777" w:rsidR="0025734A" w:rsidRPr="004C23F4" w:rsidRDefault="0025734A">
      <w:pPr>
        <w:rPr>
          <w:rFonts w:cs="Arial"/>
        </w:rPr>
      </w:pPr>
    </w:p>
    <w:p w14:paraId="13E97E38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default" r:id="rId11"/>
          <w:footerReference w:type="default" r:id="rId12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F9BE6E2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AF56351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54AF691B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52EFCD9A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49EC784D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68601AAE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showingPlcHdr/>
                <w:text/>
              </w:sdtPr>
              <w:sdtEndPr/>
              <w:sdtContent>
                <w:r w:rsidR="00F11454">
                  <w:rPr>
                    <w:rStyle w:val="PlaceholderText"/>
                  </w:rPr>
                  <w:t>Y</w:t>
                </w:r>
                <w:r w:rsidR="00F11454" w:rsidRPr="003365A5">
                  <w:rPr>
                    <w:rStyle w:val="PlaceholderText"/>
                  </w:rPr>
                  <w:t>ear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sdt>
                  <w:sdtPr>
                    <w:alias w:val="SWA WES"/>
                    <w:tag w:val="SWA WES"/>
                    <w:id w:val="-1376230627"/>
                    <w:placeholder>
                      <w:docPart w:val="B197B4D42BC84C7CA5DE92E82BF99029"/>
                    </w:placeholder>
                  </w:sdtPr>
                  <w:sdtEndPr/>
                  <w:sdtContent>
                    <w:r w:rsidR="00373D06">
                      <w:t xml:space="preserve">TWA: 10 </w:t>
                    </w:r>
                    <w:r w:rsidR="00373D06" w:rsidRPr="00E86AD0">
                      <w:rPr>
                        <w:rFonts w:cs="Arial"/>
                        <w:sz w:val="22"/>
                      </w:rPr>
                      <w:t>mg/m</w:t>
                    </w:r>
                    <w:r w:rsidR="00373D06" w:rsidRPr="00E86AD0">
                      <w:rPr>
                        <w:rFonts w:cs="Arial"/>
                        <w:sz w:val="22"/>
                        <w:vertAlign w:val="superscript"/>
                      </w:rPr>
                      <w:t>3</w:t>
                    </w:r>
                  </w:sdtContent>
                </w:sdt>
              </w:sdtContent>
            </w:sdt>
          </w:p>
        </w:tc>
      </w:tr>
      <w:tr w:rsidR="00C978F0" w:rsidRPr="00DA352E" w14:paraId="38FC2C3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FCFFBD1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6E67A6A9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D39D330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F11454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373D06">
                  <w:t xml:space="preserve">TLV-TWA: 10 </w:t>
                </w:r>
                <w:r w:rsidR="00373D06" w:rsidRPr="00E86AD0">
                  <w:rPr>
                    <w:rFonts w:cs="Arial"/>
                    <w:sz w:val="22"/>
                  </w:rPr>
                  <w:t>mg/m</w:t>
                </w:r>
                <w:r w:rsidR="00373D06" w:rsidRPr="00E86AD0">
                  <w:rPr>
                    <w:rFonts w:cs="Arial"/>
                    <w:sz w:val="22"/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17DE78E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9719383" w14:textId="77777777" w:rsidR="005F281F" w:rsidRDefault="004C666C" w:rsidP="005F281F">
            <w:pPr>
              <w:pStyle w:val="Tabletextprimarysource"/>
            </w:pPr>
            <w:r w:rsidRPr="004C666C">
              <w:t>TLV-</w:t>
            </w:r>
            <w:r>
              <w:t>TWA</w:t>
            </w:r>
            <w:r w:rsidRPr="004C666C">
              <w:t xml:space="preserve"> </w:t>
            </w:r>
            <w:r w:rsidR="00754663">
              <w:t>recommended</w:t>
            </w:r>
            <w:r w:rsidR="00F11454">
              <w:t xml:space="preserve"> </w:t>
            </w:r>
            <w:proofErr w:type="gramStart"/>
            <w:r w:rsidR="00F11454">
              <w:t>to minimise</w:t>
            </w:r>
            <w:proofErr w:type="gramEnd"/>
            <w:r w:rsidR="00F11454">
              <w:t xml:space="preserve"> </w:t>
            </w:r>
            <w:r w:rsidR="005F281F">
              <w:t xml:space="preserve">the </w:t>
            </w:r>
            <w:r w:rsidR="00F11454">
              <w:t xml:space="preserve">potential </w:t>
            </w:r>
            <w:r w:rsidR="005F281F">
              <w:t xml:space="preserve">for </w:t>
            </w:r>
            <w:r w:rsidR="00F11454">
              <w:t>irritation</w:t>
            </w:r>
            <w:r w:rsidR="005C1A3F">
              <w:t xml:space="preserve">. </w:t>
            </w:r>
          </w:p>
          <w:p w14:paraId="3534D4A5" w14:textId="77777777" w:rsidR="00C978F0" w:rsidRDefault="005F281F" w:rsidP="003365A5">
            <w:pPr>
              <w:pStyle w:val="Tabletextprimarysource"/>
            </w:pPr>
            <w:r>
              <w:t>Summary of data:</w:t>
            </w:r>
          </w:p>
          <w:p w14:paraId="46CE7F6E" w14:textId="77777777" w:rsidR="00F11454" w:rsidRPr="008727C5" w:rsidRDefault="00F11454" w:rsidP="008727C5">
            <w:pPr>
              <w:pStyle w:val="ListBullet"/>
              <w:numPr>
                <w:ilvl w:val="0"/>
                <w:numId w:val="6"/>
              </w:numPr>
              <w:rPr>
                <w:szCs w:val="20"/>
              </w:rPr>
            </w:pPr>
            <w:r w:rsidRPr="008727C5">
              <w:rPr>
                <w:szCs w:val="20"/>
              </w:rPr>
              <w:t>Low acute, chronic and dermal toxicity</w:t>
            </w:r>
          </w:p>
          <w:p w14:paraId="7AFB6F5B" w14:textId="1CDCAA30" w:rsidR="00F11454" w:rsidRPr="00F11454" w:rsidRDefault="00F11454" w:rsidP="008727C5">
            <w:pPr>
              <w:pStyle w:val="ListBullet"/>
              <w:numPr>
                <w:ilvl w:val="0"/>
                <w:numId w:val="6"/>
              </w:numPr>
            </w:pPr>
            <w:r w:rsidRPr="008727C5">
              <w:rPr>
                <w:szCs w:val="20"/>
              </w:rPr>
              <w:t>Insufficient</w:t>
            </w:r>
            <w:r>
              <w:t xml:space="preserve"> data </w:t>
            </w:r>
            <w:r w:rsidRPr="00F11454">
              <w:rPr>
                <w:rFonts w:cs="Arial"/>
                <w:color w:val="000000"/>
                <w:szCs w:val="20"/>
              </w:rPr>
              <w:t>available to recommend skin, sensitiser or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11454">
              <w:rPr>
                <w:rFonts w:cs="Arial"/>
                <w:color w:val="000000"/>
                <w:szCs w:val="20"/>
              </w:rPr>
              <w:t>carcinogenicity notations</w:t>
            </w:r>
          </w:p>
          <w:p w14:paraId="1AEBF271" w14:textId="77777777" w:rsidR="00F11454" w:rsidRPr="002A0DBA" w:rsidRDefault="00F11454" w:rsidP="008727C5">
            <w:pPr>
              <w:pStyle w:val="ListBullet"/>
              <w:numPr>
                <w:ilvl w:val="0"/>
                <w:numId w:val="6"/>
              </w:numPr>
            </w:pPr>
            <w:r>
              <w:rPr>
                <w:rFonts w:cs="Arial"/>
                <w:color w:val="000000"/>
                <w:szCs w:val="20"/>
              </w:rPr>
              <w:t>Insufficient data to derive TLV-STEL</w:t>
            </w:r>
            <w:r w:rsidR="005F281F">
              <w:rPr>
                <w:rFonts w:cs="Arial"/>
                <w:color w:val="000000"/>
                <w:szCs w:val="20"/>
              </w:rPr>
              <w:t>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</w:p>
          <w:p w14:paraId="68C0A09B" w14:textId="77777777" w:rsidR="002A0DBA" w:rsidRDefault="002A0DBA" w:rsidP="002A0DBA">
            <w:pPr>
              <w:pStyle w:val="ListBullet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exact"/>
              <w:ind w:left="360"/>
            </w:pPr>
          </w:p>
          <w:p w14:paraId="40DE460E" w14:textId="77777777" w:rsidR="004C7E3D" w:rsidRDefault="004C7E3D" w:rsidP="00F114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 xml:space="preserve">Human </w:t>
            </w:r>
            <w:r w:rsidR="00952E6B">
              <w:t>studies:</w:t>
            </w:r>
          </w:p>
          <w:p w14:paraId="2A326892" w14:textId="77777777" w:rsidR="00F11454" w:rsidRPr="002A0DBA" w:rsidRDefault="00F11454" w:rsidP="00F11454">
            <w:pPr>
              <w:pStyle w:val="ListBullet"/>
              <w:ind w:left="720"/>
            </w:pPr>
            <w:r>
              <w:rPr>
                <w:rFonts w:cs="Arial"/>
                <w:color w:val="000000"/>
                <w:szCs w:val="20"/>
              </w:rPr>
              <w:t xml:space="preserve">No irritation </w:t>
            </w:r>
            <w:r w:rsidR="002A0DBA">
              <w:rPr>
                <w:rFonts w:cs="Arial"/>
                <w:color w:val="000000"/>
                <w:szCs w:val="20"/>
              </w:rPr>
              <w:t>f</w:t>
            </w:r>
            <w:r>
              <w:rPr>
                <w:rFonts w:cs="Arial"/>
                <w:color w:val="000000"/>
                <w:szCs w:val="20"/>
              </w:rPr>
              <w:t xml:space="preserve">ollowing repeat application to skin </w:t>
            </w:r>
            <w:r w:rsidR="00C15BC7">
              <w:rPr>
                <w:rFonts w:cs="Arial"/>
                <w:color w:val="000000"/>
                <w:szCs w:val="20"/>
              </w:rPr>
              <w:t>on</w:t>
            </w:r>
            <w:r>
              <w:rPr>
                <w:rFonts w:cs="Arial"/>
                <w:color w:val="000000"/>
                <w:szCs w:val="20"/>
              </w:rPr>
              <w:t xml:space="preserve"> arm in </w:t>
            </w:r>
            <w:proofErr w:type="gramStart"/>
            <w:r>
              <w:rPr>
                <w:rFonts w:cs="Arial"/>
                <w:color w:val="000000"/>
                <w:szCs w:val="20"/>
              </w:rPr>
              <w:t>5</w:t>
            </w:r>
            <w:proofErr w:type="gramEnd"/>
            <w:r>
              <w:rPr>
                <w:rFonts w:cs="Arial"/>
                <w:color w:val="000000"/>
                <w:szCs w:val="20"/>
              </w:rPr>
              <w:t xml:space="preserve"> subjects</w:t>
            </w:r>
            <w:r w:rsidR="002A0DBA">
              <w:rPr>
                <w:rFonts w:cs="Arial"/>
                <w:color w:val="000000"/>
                <w:szCs w:val="20"/>
              </w:rPr>
              <w:t xml:space="preserve"> (5 </w:t>
            </w:r>
            <w:r w:rsidR="00553CB1">
              <w:rPr>
                <w:rFonts w:cs="Arial"/>
                <w:color w:val="000000"/>
                <w:szCs w:val="20"/>
              </w:rPr>
              <w:t>d</w:t>
            </w:r>
            <w:r w:rsidR="002A0DBA">
              <w:rPr>
                <w:rFonts w:cs="Arial"/>
                <w:color w:val="000000"/>
                <w:szCs w:val="20"/>
              </w:rPr>
              <w:t>, 4% solution</w:t>
            </w:r>
            <w:r w:rsidR="00553CB1">
              <w:rPr>
                <w:rFonts w:cs="Arial"/>
                <w:color w:val="000000"/>
                <w:szCs w:val="20"/>
              </w:rPr>
              <w:t>;</w:t>
            </w:r>
            <w:r w:rsidR="002A0DBA">
              <w:rPr>
                <w:rFonts w:cs="Arial"/>
                <w:color w:val="000000"/>
                <w:szCs w:val="20"/>
              </w:rPr>
              <w:t xml:space="preserve"> solvent and concent</w:t>
            </w:r>
            <w:r w:rsidR="00553CB1">
              <w:rPr>
                <w:rFonts w:cs="Arial"/>
                <w:color w:val="000000"/>
                <w:szCs w:val="20"/>
              </w:rPr>
              <w:t>ration expression not specified</w:t>
            </w:r>
            <w:r w:rsidR="005F281F">
              <w:rPr>
                <w:rFonts w:cs="Arial"/>
                <w:color w:val="000000"/>
                <w:szCs w:val="20"/>
              </w:rPr>
              <w:t>).</w:t>
            </w:r>
          </w:p>
          <w:p w14:paraId="6AE26893" w14:textId="77777777" w:rsidR="002A0DBA" w:rsidRDefault="002A0DBA" w:rsidP="002A0DBA">
            <w:pPr>
              <w:pStyle w:val="ListBullet"/>
              <w:numPr>
                <w:ilvl w:val="0"/>
                <w:numId w:val="0"/>
              </w:numPr>
              <w:ind w:left="720"/>
            </w:pPr>
          </w:p>
          <w:p w14:paraId="0AD2D0CF" w14:textId="77777777" w:rsidR="00952E6B" w:rsidRDefault="00952E6B" w:rsidP="002A0DBA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Animal studies:</w:t>
            </w:r>
          </w:p>
          <w:p w14:paraId="54A13CFC" w14:textId="77777777" w:rsidR="004D4587" w:rsidRDefault="00FC7B7F" w:rsidP="002A0DBA">
            <w:pPr>
              <w:pStyle w:val="ListBullet"/>
              <w:ind w:left="720"/>
            </w:pPr>
            <w:r>
              <w:t xml:space="preserve">Oral </w:t>
            </w:r>
            <w:r w:rsidR="00C15BC7">
              <w:t>LD</w:t>
            </w:r>
            <w:r w:rsidR="00C15BC7">
              <w:rPr>
                <w:vertAlign w:val="subscript"/>
              </w:rPr>
              <w:t>50</w:t>
            </w:r>
            <w:r w:rsidR="00C15BC7">
              <w:t>: 3,900 mg/kg (rats</w:t>
            </w:r>
            <w:r w:rsidR="00553CB1">
              <w:t>)</w:t>
            </w:r>
            <w:r w:rsidR="00C15BC7">
              <w:t>; 5,760 mg/kg (mice</w:t>
            </w:r>
            <w:r w:rsidR="00553CB1">
              <w:t xml:space="preserve">); </w:t>
            </w:r>
            <w:r w:rsidR="00B16ACE">
              <w:t>no further information</w:t>
            </w:r>
          </w:p>
          <w:p w14:paraId="48AD7AB2" w14:textId="77777777" w:rsidR="007910E0" w:rsidRPr="007910E0" w:rsidRDefault="00B4478E" w:rsidP="007910E0">
            <w:pPr>
              <w:pStyle w:val="ListBullet"/>
              <w:ind w:left="720"/>
            </w:pPr>
            <w:r>
              <w:rPr>
                <w:rFonts w:cs="Arial"/>
                <w:color w:val="000000"/>
                <w:szCs w:val="20"/>
              </w:rPr>
              <w:t xml:space="preserve">Intraperitoneal injection of </w:t>
            </w:r>
            <w:r w:rsidR="007910E0">
              <w:rPr>
                <w:rFonts w:cs="Arial"/>
                <w:color w:val="000000"/>
                <w:szCs w:val="20"/>
              </w:rPr>
              <w:t xml:space="preserve">800 mg/kg caused death in </w:t>
            </w:r>
            <w:r w:rsidR="00553CB1">
              <w:rPr>
                <w:rFonts w:cs="Arial"/>
                <w:color w:val="000000"/>
                <w:szCs w:val="20"/>
              </w:rPr>
              <w:t>6</w:t>
            </w:r>
            <w:r w:rsidR="00754663">
              <w:rPr>
                <w:rFonts w:cs="Arial"/>
                <w:color w:val="000000"/>
                <w:szCs w:val="20"/>
              </w:rPr>
              <w:t>/</w:t>
            </w:r>
            <w:r>
              <w:rPr>
                <w:rFonts w:cs="Arial"/>
                <w:color w:val="000000"/>
                <w:szCs w:val="20"/>
              </w:rPr>
              <w:t>10</w:t>
            </w:r>
            <w:r w:rsidR="007910E0">
              <w:rPr>
                <w:rFonts w:cs="Arial"/>
                <w:color w:val="000000"/>
                <w:szCs w:val="20"/>
              </w:rPr>
              <w:t xml:space="preserve"> rats</w:t>
            </w:r>
            <w:r w:rsidR="00754663">
              <w:rPr>
                <w:rFonts w:cs="Arial"/>
                <w:color w:val="000000"/>
                <w:szCs w:val="20"/>
              </w:rPr>
              <w:t>;</w:t>
            </w:r>
            <w:r w:rsidR="007910E0">
              <w:rPr>
                <w:rFonts w:cs="Arial"/>
                <w:color w:val="000000"/>
                <w:szCs w:val="20"/>
              </w:rPr>
              <w:t xml:space="preserve"> </w:t>
            </w:r>
            <w:r w:rsidR="00754663">
              <w:rPr>
                <w:rFonts w:cs="Arial"/>
                <w:color w:val="000000"/>
                <w:szCs w:val="20"/>
              </w:rPr>
              <w:t>e</w:t>
            </w:r>
            <w:r w:rsidR="007910E0">
              <w:rPr>
                <w:rFonts w:cs="Arial"/>
                <w:color w:val="000000"/>
                <w:szCs w:val="20"/>
              </w:rPr>
              <w:t>ffects noted as stimulation of respiration followed by prostration</w:t>
            </w:r>
          </w:p>
          <w:p w14:paraId="4248CEC3" w14:textId="77777777" w:rsidR="00C15BC7" w:rsidRPr="007910E0" w:rsidRDefault="007910E0" w:rsidP="007910E0">
            <w:pPr>
              <w:pStyle w:val="ListBullet"/>
              <w:ind w:left="720"/>
            </w:pPr>
            <w:r>
              <w:rPr>
                <w:rFonts w:cs="Arial"/>
                <w:color w:val="000000"/>
                <w:szCs w:val="20"/>
              </w:rPr>
              <w:t>No effect in continuo</w:t>
            </w:r>
            <w:r w:rsidR="00553CB1">
              <w:rPr>
                <w:rFonts w:cs="Arial"/>
                <w:color w:val="000000"/>
                <w:szCs w:val="20"/>
              </w:rPr>
              <w:t>us feeding study (</w:t>
            </w:r>
            <w:r w:rsidR="000C06E8">
              <w:rPr>
                <w:rFonts w:cs="Arial"/>
                <w:color w:val="000000"/>
                <w:szCs w:val="20"/>
              </w:rPr>
              <w:t xml:space="preserve">1% diet, </w:t>
            </w:r>
            <w:r w:rsidR="00553CB1">
              <w:rPr>
                <w:rFonts w:cs="Arial"/>
                <w:color w:val="000000"/>
                <w:szCs w:val="20"/>
              </w:rPr>
              <w:t>rats, 105 d</w:t>
            </w:r>
            <w:r>
              <w:rPr>
                <w:rFonts w:cs="Arial"/>
                <w:color w:val="000000"/>
                <w:szCs w:val="20"/>
              </w:rPr>
              <w:t>)</w:t>
            </w:r>
          </w:p>
          <w:p w14:paraId="7E30EF58" w14:textId="77777777" w:rsidR="007910E0" w:rsidRPr="007910E0" w:rsidRDefault="00754663" w:rsidP="007618C3">
            <w:pPr>
              <w:pStyle w:val="ListBullet"/>
              <w:numPr>
                <w:ilvl w:val="0"/>
                <w:numId w:val="5"/>
              </w:numPr>
            </w:pPr>
            <w:r>
              <w:rPr>
                <w:rFonts w:cs="Arial"/>
                <w:color w:val="000000"/>
                <w:szCs w:val="20"/>
              </w:rPr>
              <w:t>g</w:t>
            </w:r>
            <w:r w:rsidR="007910E0">
              <w:rPr>
                <w:rFonts w:cs="Arial"/>
                <w:color w:val="000000"/>
                <w:szCs w:val="20"/>
              </w:rPr>
              <w:t xml:space="preserve">rowth inhibition noted </w:t>
            </w:r>
            <w:r w:rsidR="00553CB1">
              <w:rPr>
                <w:rFonts w:cs="Arial"/>
                <w:color w:val="000000"/>
                <w:szCs w:val="20"/>
              </w:rPr>
              <w:t>in analogous study (</w:t>
            </w:r>
            <w:r w:rsidR="000C06E8">
              <w:rPr>
                <w:rFonts w:cs="Arial"/>
                <w:color w:val="000000"/>
                <w:szCs w:val="20"/>
              </w:rPr>
              <w:t xml:space="preserve">2% diet, </w:t>
            </w:r>
            <w:r w:rsidR="00553CB1">
              <w:rPr>
                <w:rFonts w:cs="Arial"/>
                <w:color w:val="000000"/>
                <w:szCs w:val="20"/>
              </w:rPr>
              <w:t xml:space="preserve">rats, </w:t>
            </w:r>
            <w:r w:rsidR="007910E0">
              <w:rPr>
                <w:rFonts w:cs="Arial"/>
                <w:color w:val="000000"/>
                <w:szCs w:val="20"/>
              </w:rPr>
              <w:t xml:space="preserve"> duration unspecified)</w:t>
            </w:r>
          </w:p>
          <w:p w14:paraId="365B0160" w14:textId="5879BE11" w:rsidR="007910E0" w:rsidRDefault="00C501A9" w:rsidP="000C06E8">
            <w:pPr>
              <w:pStyle w:val="ListBullet"/>
              <w:tabs>
                <w:tab w:val="clear" w:pos="360"/>
              </w:tabs>
              <w:ind w:left="720"/>
            </w:pPr>
            <w:r>
              <w:t>No irritation or signs of toxicity following repeat application to shaven skin (</w:t>
            </w:r>
            <w:r w:rsidR="000C06E8">
              <w:t xml:space="preserve">20% and 50% solutions </w:t>
            </w:r>
            <w:r>
              <w:t>rats</w:t>
            </w:r>
            <w:r w:rsidR="00553CB1">
              <w:t>)</w:t>
            </w:r>
            <w:proofErr w:type="gramStart"/>
            <w:r w:rsidR="00553CB1">
              <w:t>;</w:t>
            </w:r>
            <w:proofErr w:type="gramEnd"/>
            <w:r w:rsidR="00553CB1">
              <w:t xml:space="preserve"> </w:t>
            </w:r>
            <w:r>
              <w:t>concentration expression, fre</w:t>
            </w:r>
            <w:r w:rsidR="00553CB1">
              <w:t xml:space="preserve">quency and duration unspecified. </w:t>
            </w:r>
          </w:p>
          <w:p w14:paraId="5C5083D5" w14:textId="77777777" w:rsidR="005F281F" w:rsidRPr="00DA352E" w:rsidRDefault="005F281F" w:rsidP="00312B03">
            <w:pPr>
              <w:pStyle w:val="ListBullet"/>
              <w:numPr>
                <w:ilvl w:val="0"/>
                <w:numId w:val="0"/>
              </w:numPr>
              <w:ind w:left="720"/>
            </w:pPr>
          </w:p>
        </w:tc>
      </w:tr>
      <w:tr w:rsidR="00C978F0" w:rsidRPr="00DA352E" w14:paraId="1EA0B8F8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CD1907C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5A5F52">
                  <w:t>2018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sdt>
                  <w:sdtPr>
                    <w:alias w:val="DFG WES equivalent"/>
                    <w:tag w:val="DFG WES equivalent"/>
                    <w:id w:val="-1036661569"/>
                    <w:placeholder>
                      <w:docPart w:val="BD5C05A797BB4166A1896BCCAFAEBFB0"/>
                    </w:placeholder>
                  </w:sdtPr>
                  <w:sdtEndPr/>
                  <w:sdtContent>
                    <w:sdt>
                      <w:sdtPr>
                        <w:alias w:val="DFG WES equivalent"/>
                        <w:tag w:val="DFG WES equivalent"/>
                        <w:id w:val="403492278"/>
                        <w:placeholder>
                          <w:docPart w:val="DFCA2BECC86A4E9F8D5AF2EB75F2FE9F"/>
                        </w:placeholder>
                      </w:sdtPr>
                      <w:sdtEndPr/>
                      <w:sdtContent>
                        <w:r w:rsidR="002A0DBA">
                          <w:t>NA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C978F0" w:rsidRPr="00DA352E" w14:paraId="78FE8E03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6E4C65B" w14:textId="77777777" w:rsidR="00754663" w:rsidRDefault="002A0DBA" w:rsidP="00553CB1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 xml:space="preserve">Listed as substance for which no MAK value </w:t>
            </w:r>
            <w:proofErr w:type="gramStart"/>
            <w:r>
              <w:t>can be established</w:t>
            </w:r>
            <w:proofErr w:type="gramEnd"/>
            <w:r>
              <w:t xml:space="preserve"> at present</w:t>
            </w:r>
            <w:r w:rsidR="00754663">
              <w:t>.</w:t>
            </w:r>
          </w:p>
          <w:p w14:paraId="619A56BD" w14:textId="77777777" w:rsidR="004669B0" w:rsidRPr="00DA352E" w:rsidRDefault="002A0DBA" w:rsidP="00553CB1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 xml:space="preserve"> </w:t>
            </w:r>
          </w:p>
        </w:tc>
      </w:tr>
      <w:tr w:rsidR="00C978F0" w:rsidRPr="00DA352E" w14:paraId="4E16BB8C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89B04DF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2A0DBA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sdt>
                  <w:sdtPr>
                    <w:alias w:val="DFG WES equivalent"/>
                    <w:tag w:val="DFG WES equivalent"/>
                    <w:id w:val="-1878854425"/>
                    <w:placeholder>
                      <w:docPart w:val="6656CD3D38E9424B982E1D75115ECD09"/>
                    </w:placeholder>
                  </w:sdtPr>
                  <w:sdtEndPr/>
                  <w:sdtContent>
                    <w:proofErr w:type="spellStart"/>
                    <w:r w:rsidR="002A0DBA">
                      <w:t>NA</w:t>
                    </w:r>
                    <w:proofErr w:type="spellEnd"/>
                  </w:sdtContent>
                </w:sdt>
              </w:sdtContent>
            </w:sdt>
          </w:p>
        </w:tc>
      </w:tr>
      <w:tr w:rsidR="00C978F0" w:rsidRPr="00DA352E" w14:paraId="1AB1861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925D036" w14:textId="77777777" w:rsidR="00E3616F" w:rsidRPr="00DA352E" w:rsidRDefault="00E3616F" w:rsidP="002A0DBA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DA352E" w:rsidRPr="00DA352E" w14:paraId="6C1F37F5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7726F29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826B5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826B5D">
                  <w:t>NA</w:t>
                </w:r>
                <w:proofErr w:type="spellEnd"/>
              </w:sdtContent>
            </w:sdt>
          </w:p>
        </w:tc>
      </w:tr>
      <w:tr w:rsidR="00DA352E" w:rsidRPr="00DA352E" w14:paraId="52693B3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4B29776" w14:textId="77777777" w:rsidR="00DA352E" w:rsidRPr="00DA352E" w:rsidRDefault="00DA352E" w:rsidP="003365A5">
            <w:pPr>
              <w:pStyle w:val="Tabletextprimarysource"/>
            </w:pPr>
          </w:p>
        </w:tc>
      </w:tr>
      <w:tr w:rsidR="00DA352E" w:rsidRPr="00DA352E" w14:paraId="29B41A08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A12AE43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2A0DBA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sdt>
                  <w:sdtPr>
                    <w:alias w:val="DFG WES equivalent"/>
                    <w:tag w:val="DFG WES equivalent"/>
                    <w:id w:val="73947210"/>
                    <w:placeholder>
                      <w:docPart w:val="967B545056EE4C87936835418924DF7E"/>
                    </w:placeholder>
                  </w:sdtPr>
                  <w:sdtEndPr/>
                  <w:sdtContent>
                    <w:proofErr w:type="spellStart"/>
                    <w:r w:rsidR="002A0DBA">
                      <w:t>NA</w:t>
                    </w:r>
                    <w:proofErr w:type="spellEnd"/>
                  </w:sdtContent>
                </w:sdt>
              </w:sdtContent>
            </w:sdt>
          </w:p>
        </w:tc>
      </w:tr>
      <w:tr w:rsidR="00DA352E" w:rsidRPr="00DA352E" w14:paraId="1D563D36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D5768A3" w14:textId="77777777" w:rsidR="00DA352E" w:rsidRPr="00DA352E" w:rsidRDefault="00DA352E" w:rsidP="00826B5D">
            <w:pPr>
              <w:pStyle w:val="Tabletextprimarysource"/>
            </w:pPr>
          </w:p>
        </w:tc>
      </w:tr>
    </w:tbl>
    <w:p w14:paraId="10770E2C" w14:textId="77777777" w:rsidR="00A20751" w:rsidRPr="004C23F4" w:rsidRDefault="00A20751" w:rsidP="003365A5">
      <w:pPr>
        <w:pStyle w:val="Heading3"/>
      </w:pPr>
      <w:bookmarkStart w:id="1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4"/>
        <w:gridCol w:w="422"/>
        <w:gridCol w:w="661"/>
        <w:gridCol w:w="6449"/>
      </w:tblGrid>
      <w:tr w:rsidR="00FF2F76" w:rsidRPr="00263255" w14:paraId="621082AA" w14:textId="77777777" w:rsidTr="00E365EE">
        <w:trPr>
          <w:cantSplit/>
          <w:trHeight w:val="393"/>
          <w:tblHeader/>
        </w:trPr>
        <w:tc>
          <w:tcPr>
            <w:tcW w:w="1494" w:type="dxa"/>
            <w:shd w:val="clear" w:color="auto" w:fill="BFBFBF" w:themeFill="background1" w:themeFillShade="BF"/>
            <w:vAlign w:val="center"/>
          </w:tcPr>
          <w:p w14:paraId="42676163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14:paraId="130FDDAC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62B7C6A1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9" w:type="dxa"/>
            <w:shd w:val="clear" w:color="auto" w:fill="BFBFBF" w:themeFill="background1" w:themeFillShade="BF"/>
            <w:vAlign w:val="center"/>
          </w:tcPr>
          <w:p w14:paraId="3F4C02B4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FF2F76" w:rsidRPr="004C23F4" w14:paraId="42DD0A8A" w14:textId="77777777" w:rsidTr="00E365EE">
        <w:trPr>
          <w:cantSplit/>
        </w:trPr>
        <w:tc>
          <w:tcPr>
            <w:tcW w:w="1494" w:type="dxa"/>
          </w:tcPr>
          <w:p w14:paraId="2E719457" w14:textId="77777777" w:rsidR="004966BF" w:rsidRPr="00FF2F76" w:rsidRDefault="004966BF" w:rsidP="00224EE2">
            <w:pPr>
              <w:pStyle w:val="Tablefont"/>
            </w:pPr>
            <w:r w:rsidRPr="00FF2F76">
              <w:t>US EPA</w:t>
            </w:r>
          </w:p>
        </w:tc>
        <w:tc>
          <w:tcPr>
            <w:tcW w:w="422" w:type="dxa"/>
          </w:tcPr>
          <w:p w14:paraId="5654AC9D" w14:textId="77777777" w:rsidR="004966BF" w:rsidRPr="00CE617F" w:rsidRDefault="00545A67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CFFDE270CB50461B826B0194984892C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C501A9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096EE92B" w14:textId="77777777" w:rsidR="004966BF" w:rsidRPr="004C23F4" w:rsidRDefault="00B16ACE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1989</w:t>
            </w:r>
          </w:p>
        </w:tc>
        <w:tc>
          <w:tcPr>
            <w:tcW w:w="6449" w:type="dxa"/>
          </w:tcPr>
          <w:p w14:paraId="7EF3B9D5" w14:textId="77777777" w:rsidR="001D58B1" w:rsidRDefault="001D58B1" w:rsidP="00E365EE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Summary of studies used to derive oral </w:t>
            </w:r>
            <w:r w:rsidR="00E365EE">
              <w:rPr>
                <w:rStyle w:val="checkbox"/>
                <w:rFonts w:ascii="Arial" w:hAnsi="Arial" w:cs="Arial"/>
              </w:rPr>
              <w:t>reference dose (</w:t>
            </w:r>
            <w:proofErr w:type="spellStart"/>
            <w:r>
              <w:rPr>
                <w:rStyle w:val="checkbox"/>
                <w:rFonts w:ascii="Arial" w:hAnsi="Arial" w:cs="Arial"/>
              </w:rPr>
              <w:t>RfD</w:t>
            </w:r>
            <w:proofErr w:type="spellEnd"/>
            <w:r w:rsidR="00E365EE">
              <w:rPr>
                <w:rStyle w:val="checkbox"/>
                <w:rFonts w:ascii="Arial" w:hAnsi="Arial" w:cs="Arial"/>
              </w:rPr>
              <w:t>)</w:t>
            </w:r>
            <w:r>
              <w:rPr>
                <w:rStyle w:val="checkbox"/>
                <w:rFonts w:ascii="Arial" w:hAnsi="Arial" w:cs="Arial"/>
              </w:rPr>
              <w:t>:</w:t>
            </w:r>
          </w:p>
          <w:p w14:paraId="672D2ED1" w14:textId="5D31AE92" w:rsidR="001D58B1" w:rsidRDefault="001D58B1" w:rsidP="005C1A3F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NOAEL of 214.3</w:t>
            </w:r>
            <w:r w:rsidR="00754663">
              <w:rPr>
                <w:rStyle w:val="checkbox"/>
                <w:rFonts w:ascii="Arial" w:hAnsi="Arial" w:cs="Arial"/>
              </w:rPr>
              <w:t xml:space="preserve"> mg/kg/d</w:t>
            </w:r>
            <w:r>
              <w:rPr>
                <w:rStyle w:val="checkbox"/>
                <w:rFonts w:ascii="Arial" w:hAnsi="Arial" w:cs="Arial"/>
              </w:rPr>
              <w:t xml:space="preserve"> and LOAEL of 428.6 mg/kg/d in continuous feeding study (rats, 90 </w:t>
            </w:r>
            <w:r w:rsidR="00553CB1">
              <w:rPr>
                <w:rStyle w:val="checkbox"/>
                <w:rFonts w:ascii="Arial" w:hAnsi="Arial" w:cs="Arial"/>
              </w:rPr>
              <w:t>d</w:t>
            </w:r>
            <w:r>
              <w:rPr>
                <w:rStyle w:val="checkbox"/>
                <w:rFonts w:ascii="Arial" w:hAnsi="Arial" w:cs="Arial"/>
              </w:rPr>
              <w:t>, 6 d/</w:t>
            </w:r>
            <w:proofErr w:type="spellStart"/>
            <w:r>
              <w:rPr>
                <w:rStyle w:val="checkbox"/>
                <w:rFonts w:ascii="Arial" w:hAnsi="Arial" w:cs="Arial"/>
              </w:rPr>
              <w:t>wk</w:t>
            </w:r>
            <w:proofErr w:type="spellEnd"/>
            <w:r w:rsidR="00B4478E">
              <w:rPr>
                <w:rStyle w:val="checkbox"/>
                <w:rFonts w:ascii="Arial" w:hAnsi="Arial" w:cs="Arial"/>
              </w:rPr>
              <w:t xml:space="preserve">, measured by </w:t>
            </w:r>
            <w:proofErr w:type="spellStart"/>
            <w:r w:rsidR="00B4478E">
              <w:rPr>
                <w:rStyle w:val="checkbox"/>
                <w:rFonts w:ascii="Arial" w:hAnsi="Arial" w:cs="Arial"/>
              </w:rPr>
              <w:t>b</w:t>
            </w:r>
            <w:r w:rsidR="00754663">
              <w:rPr>
                <w:rStyle w:val="checkbox"/>
                <w:rFonts w:ascii="Arial" w:hAnsi="Arial" w:cs="Arial"/>
              </w:rPr>
              <w:t>w</w:t>
            </w:r>
            <w:proofErr w:type="spellEnd"/>
            <w:r>
              <w:rPr>
                <w:rStyle w:val="checkbox"/>
                <w:rFonts w:ascii="Arial" w:hAnsi="Arial" w:cs="Arial"/>
              </w:rPr>
              <w:t>)</w:t>
            </w:r>
          </w:p>
          <w:p w14:paraId="4B69ED4E" w14:textId="77777777" w:rsidR="00754663" w:rsidRPr="00312B03" w:rsidRDefault="00754663" w:rsidP="005C1A3F">
            <w:pPr>
              <w:pStyle w:val="ListBullet"/>
              <w:numPr>
                <w:ilvl w:val="0"/>
                <w:numId w:val="7"/>
              </w:numPr>
              <w:rPr>
                <w:rStyle w:val="checkbox"/>
                <w:rFonts w:ascii="Arial" w:hAnsi="Arial"/>
              </w:rPr>
            </w:pPr>
            <w:r>
              <w:rPr>
                <w:rStyle w:val="checkbox"/>
                <w:rFonts w:ascii="Arial" w:hAnsi="Arial" w:cs="Arial"/>
              </w:rPr>
              <w:t>s</w:t>
            </w:r>
            <w:r w:rsidR="001D58B1">
              <w:rPr>
                <w:rStyle w:val="checkbox"/>
                <w:rFonts w:ascii="Arial" w:hAnsi="Arial" w:cs="Arial"/>
              </w:rPr>
              <w:t>tudy noted</w:t>
            </w:r>
            <w:r w:rsidR="001D58B1" w:rsidRPr="00B93470">
              <w:rPr>
                <w:rStyle w:val="checkbox"/>
                <w:rFonts w:ascii="Arial" w:hAnsi="Arial" w:cs="Arial"/>
              </w:rPr>
              <w:t xml:space="preserve"> reduced food intake and increased water intake</w:t>
            </w:r>
            <w:r w:rsidR="001D58B1">
              <w:rPr>
                <w:rStyle w:val="checkbox"/>
                <w:rFonts w:ascii="Arial" w:hAnsi="Arial" w:cs="Arial"/>
              </w:rPr>
              <w:t xml:space="preserve"> in high dose</w:t>
            </w:r>
            <w:r w:rsidR="005C1A3F">
              <w:rPr>
                <w:rStyle w:val="checkbox"/>
                <w:rFonts w:ascii="Arial" w:hAnsi="Arial" w:cs="Arial"/>
              </w:rPr>
              <w:t xml:space="preserve"> group</w:t>
            </w:r>
            <w:r w:rsidR="001D58B1">
              <w:rPr>
                <w:rStyle w:val="checkbox"/>
                <w:rFonts w:ascii="Arial" w:hAnsi="Arial" w:cs="Arial"/>
              </w:rPr>
              <w:t xml:space="preserve"> (428.6 mg/kg/d)</w:t>
            </w:r>
          </w:p>
          <w:p w14:paraId="39C199F6" w14:textId="77777777" w:rsidR="001D58B1" w:rsidRDefault="00754663" w:rsidP="005C1A3F">
            <w:pPr>
              <w:pStyle w:val="ListBullet"/>
              <w:numPr>
                <w:ilvl w:val="0"/>
                <w:numId w:val="7"/>
              </w:numPr>
            </w:pPr>
            <w:r>
              <w:rPr>
                <w:rStyle w:val="checkbox"/>
                <w:rFonts w:ascii="Arial" w:hAnsi="Arial" w:cs="Arial"/>
              </w:rPr>
              <w:t>n</w:t>
            </w:r>
            <w:r w:rsidR="001D58B1" w:rsidRPr="00B93470">
              <w:rPr>
                <w:rStyle w:val="checkbox"/>
                <w:rFonts w:ascii="Arial" w:hAnsi="Arial" w:cs="Arial"/>
              </w:rPr>
              <w:t xml:space="preserve">o significant change in relative organ weights </w:t>
            </w:r>
            <w:r w:rsidR="005C1A3F">
              <w:rPr>
                <w:rStyle w:val="checkbox"/>
                <w:rFonts w:ascii="Arial" w:hAnsi="Arial" w:cs="Arial"/>
              </w:rPr>
              <w:t>indicated</w:t>
            </w:r>
            <w:r w:rsidR="001D58B1" w:rsidRPr="00B93470">
              <w:rPr>
                <w:rStyle w:val="checkbox"/>
                <w:rFonts w:ascii="Arial" w:hAnsi="Arial" w:cs="Arial"/>
              </w:rPr>
              <w:t xml:space="preserve"> </w:t>
            </w:r>
          </w:p>
          <w:p w14:paraId="533C36ED" w14:textId="77777777" w:rsidR="001D58B1" w:rsidRPr="001D58B1" w:rsidRDefault="001D58B1" w:rsidP="005C1A3F">
            <w:pPr>
              <w:pStyle w:val="ListBullet"/>
            </w:pPr>
            <w:r w:rsidRPr="001D58B1">
              <w:t>Reproducti</w:t>
            </w:r>
            <w:r w:rsidR="00754663">
              <w:t>ve</w:t>
            </w:r>
            <w:r w:rsidRPr="001D58B1">
              <w:t xml:space="preserve"> NO</w:t>
            </w:r>
            <w:r>
              <w:t>A</w:t>
            </w:r>
            <w:r w:rsidRPr="001D58B1">
              <w:t>EL</w:t>
            </w:r>
            <w:r w:rsidR="00553CB1">
              <w:t>: 500 ppm, 25 mg/kg/d</w:t>
            </w:r>
            <w:r w:rsidRPr="001D58B1">
              <w:t xml:space="preserve"> </w:t>
            </w:r>
            <w:r>
              <w:t xml:space="preserve">(rats, </w:t>
            </w:r>
            <w:r w:rsidRPr="001D58B1">
              <w:t>3</w:t>
            </w:r>
            <w:r w:rsidR="00B4478E">
              <w:t xml:space="preserve"> </w:t>
            </w:r>
            <w:r>
              <w:t>g</w:t>
            </w:r>
            <w:r w:rsidRPr="001D58B1">
              <w:t>eneration</w:t>
            </w:r>
            <w:r>
              <w:t>s)</w:t>
            </w:r>
          </w:p>
          <w:p w14:paraId="481403A7" w14:textId="77777777" w:rsidR="00B93470" w:rsidRPr="00FF2F76" w:rsidRDefault="00FF2F76" w:rsidP="005C1A3F">
            <w:pPr>
              <w:pStyle w:val="ListBullet"/>
              <w:rPr>
                <w:rStyle w:val="checkbox"/>
                <w:rFonts w:ascii="Arial" w:hAnsi="Arial"/>
              </w:rPr>
            </w:pPr>
            <w:r>
              <w:t>No systemic effects observed in continuous f</w:t>
            </w:r>
            <w:r w:rsidR="001D58B1" w:rsidRPr="001D58B1">
              <w:t xml:space="preserve">eeding </w:t>
            </w:r>
            <w:r>
              <w:t xml:space="preserve">study with </w:t>
            </w:r>
            <w:r w:rsidR="00553CB1">
              <w:t xml:space="preserve">dogs </w:t>
            </w:r>
            <w:r w:rsidR="00754663">
              <w:t>(</w:t>
            </w:r>
            <w:r w:rsidR="001D58B1" w:rsidRPr="001D58B1">
              <w:t>1</w:t>
            </w:r>
            <w:r>
              <w:t>000</w:t>
            </w:r>
            <w:r w:rsidR="001D58B1" w:rsidRPr="001D58B1">
              <w:t xml:space="preserve"> </w:t>
            </w:r>
            <w:r>
              <w:t>m</w:t>
            </w:r>
            <w:r w:rsidR="001D58B1" w:rsidRPr="001D58B1">
              <w:t>g</w:t>
            </w:r>
            <w:r w:rsidR="00553CB1">
              <w:t>/d</w:t>
            </w:r>
            <w:r>
              <w:t>,</w:t>
            </w:r>
            <w:r w:rsidR="00553CB1">
              <w:t xml:space="preserve"> 6 d</w:t>
            </w:r>
            <w:r>
              <w:t>)</w:t>
            </w:r>
            <w:r w:rsidR="005F281F">
              <w:t>.</w:t>
            </w:r>
          </w:p>
        </w:tc>
      </w:tr>
      <w:tr w:rsidR="00FF2F76" w:rsidRPr="004C23F4" w14:paraId="2331ABF8" w14:textId="77777777" w:rsidTr="00E365EE">
        <w:trPr>
          <w:cantSplit/>
        </w:trPr>
        <w:tc>
          <w:tcPr>
            <w:tcW w:w="1494" w:type="dxa"/>
          </w:tcPr>
          <w:p w14:paraId="34EA270D" w14:textId="77777777" w:rsidR="004966BF" w:rsidRPr="007618C3" w:rsidRDefault="004966BF" w:rsidP="00224EE2">
            <w:pPr>
              <w:pStyle w:val="Tablefont"/>
            </w:pPr>
            <w:r w:rsidRPr="007618C3">
              <w:t>US NIOSH</w:t>
            </w:r>
          </w:p>
        </w:tc>
        <w:tc>
          <w:tcPr>
            <w:tcW w:w="422" w:type="dxa"/>
          </w:tcPr>
          <w:p w14:paraId="15E8EC2D" w14:textId="77777777" w:rsidR="004966BF" w:rsidRDefault="00545A67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EA51C8540A4D4F0A9062F5B1698DCBB0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C501A9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23B934A5" w14:textId="77777777" w:rsidR="004966BF" w:rsidRPr="004C23F4" w:rsidRDefault="00B16ACE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1994</w:t>
            </w:r>
          </w:p>
        </w:tc>
        <w:tc>
          <w:tcPr>
            <w:tcW w:w="6449" w:type="dxa"/>
          </w:tcPr>
          <w:p w14:paraId="13255D8F" w14:textId="77777777" w:rsidR="004966BF" w:rsidRDefault="005F281F" w:rsidP="00FF2F76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TWA of </w:t>
            </w:r>
            <w:r w:rsidR="00FF2F76" w:rsidRPr="00FF2F76">
              <w:rPr>
                <w:rStyle w:val="checkbox"/>
                <w:rFonts w:ascii="Arial" w:hAnsi="Arial" w:cs="Arial"/>
              </w:rPr>
              <w:t>10 mg/m</w:t>
            </w:r>
            <w:r w:rsidR="00FF2F76" w:rsidRPr="00553CB1">
              <w:rPr>
                <w:rStyle w:val="checkbox"/>
                <w:rFonts w:ascii="Arial" w:hAnsi="Arial" w:cs="Arial"/>
                <w:vertAlign w:val="superscript"/>
              </w:rPr>
              <w:t>3</w:t>
            </w:r>
            <w:r w:rsidR="00FF2F76" w:rsidRPr="00FF2F76">
              <w:rPr>
                <w:rStyle w:val="checkbox"/>
                <w:rFonts w:ascii="Arial" w:hAnsi="Arial" w:cs="Arial"/>
              </w:rPr>
              <w:t xml:space="preserve"> (total dust) </w:t>
            </w:r>
            <w:r w:rsidR="00553CB1">
              <w:rPr>
                <w:rStyle w:val="checkbox"/>
                <w:rFonts w:ascii="Arial" w:hAnsi="Arial" w:cs="Arial"/>
              </w:rPr>
              <w:t xml:space="preserve">and </w:t>
            </w:r>
            <w:r w:rsidR="00FF2F76" w:rsidRPr="00FF2F76">
              <w:rPr>
                <w:rStyle w:val="checkbox"/>
                <w:rFonts w:ascii="Arial" w:hAnsi="Arial" w:cs="Arial"/>
              </w:rPr>
              <w:t>5 mg/m</w:t>
            </w:r>
            <w:r w:rsidR="00FF2F76" w:rsidRPr="00312B03">
              <w:rPr>
                <w:rStyle w:val="checkbox"/>
                <w:rFonts w:ascii="Arial" w:hAnsi="Arial" w:cs="Arial"/>
                <w:vertAlign w:val="superscript"/>
              </w:rPr>
              <w:t>3</w:t>
            </w:r>
            <w:r w:rsidR="00FF2F76" w:rsidRPr="00FF2F76">
              <w:rPr>
                <w:rStyle w:val="checkbox"/>
                <w:rFonts w:ascii="Arial" w:hAnsi="Arial" w:cs="Arial"/>
              </w:rPr>
              <w:t xml:space="preserve"> (</w:t>
            </w:r>
            <w:proofErr w:type="spellStart"/>
            <w:r w:rsidR="00FF2F76" w:rsidRPr="00FF2F76">
              <w:rPr>
                <w:rStyle w:val="checkbox"/>
                <w:rFonts w:ascii="Arial" w:hAnsi="Arial" w:cs="Arial"/>
              </w:rPr>
              <w:t>respirable</w:t>
            </w:r>
            <w:proofErr w:type="spellEnd"/>
            <w:r w:rsidR="00FF2F76" w:rsidRPr="00FF2F76">
              <w:rPr>
                <w:rStyle w:val="checkbox"/>
                <w:rFonts w:ascii="Arial" w:hAnsi="Arial" w:cs="Arial"/>
              </w:rPr>
              <w:t xml:space="preserve"> dust)</w:t>
            </w:r>
          </w:p>
          <w:p w14:paraId="1B82F298" w14:textId="77777777" w:rsidR="00FF2F76" w:rsidRDefault="00FF2F76" w:rsidP="00FF2F76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 short-term exposure guideline developed</w:t>
            </w:r>
          </w:p>
          <w:p w14:paraId="09A17B2D" w14:textId="77777777" w:rsidR="00FF2F76" w:rsidRDefault="00FF2F76" w:rsidP="00FF2F76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IDLH</w:t>
            </w:r>
            <w:r w:rsidR="00754663">
              <w:rPr>
                <w:rStyle w:val="checkbox"/>
                <w:rFonts w:ascii="Arial" w:hAnsi="Arial" w:cs="Arial"/>
              </w:rPr>
              <w:t>:</w:t>
            </w:r>
            <w:r>
              <w:rPr>
                <w:rStyle w:val="checkbox"/>
                <w:rFonts w:ascii="Arial" w:hAnsi="Arial" w:cs="Arial"/>
              </w:rPr>
              <w:t xml:space="preserve"> 1</w:t>
            </w:r>
            <w:r w:rsidR="007618C3">
              <w:rPr>
                <w:rStyle w:val="checkbox"/>
                <w:rFonts w:ascii="Arial" w:hAnsi="Arial" w:cs="Arial"/>
              </w:rPr>
              <w:t>,</w:t>
            </w:r>
            <w:r>
              <w:rPr>
                <w:rStyle w:val="checkbox"/>
                <w:rFonts w:ascii="Arial" w:hAnsi="Arial" w:cs="Arial"/>
              </w:rPr>
              <w:t>500 mg/m</w:t>
            </w:r>
            <w:r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 xml:space="preserve"> based on acute</w:t>
            </w:r>
            <w:r w:rsidR="003C46F8">
              <w:rPr>
                <w:rStyle w:val="checkbox"/>
                <w:rFonts w:ascii="Arial" w:hAnsi="Arial" w:cs="Arial"/>
              </w:rPr>
              <w:t xml:space="preserve"> oral</w:t>
            </w:r>
            <w:r>
              <w:rPr>
                <w:rStyle w:val="checkbox"/>
                <w:rFonts w:ascii="Arial" w:hAnsi="Arial" w:cs="Arial"/>
              </w:rPr>
              <w:t xml:space="preserve"> toxicity data in animals</w:t>
            </w:r>
            <w:r w:rsidR="003C46F8">
              <w:rPr>
                <w:rStyle w:val="checkbox"/>
                <w:rFonts w:ascii="Arial" w:hAnsi="Arial" w:cs="Arial"/>
              </w:rPr>
              <w:t>, no inhalational toxicity data available</w:t>
            </w:r>
          </w:p>
          <w:p w14:paraId="12FF2B8B" w14:textId="77777777" w:rsidR="007618C3" w:rsidRPr="007618C3" w:rsidRDefault="007618C3" w:rsidP="007618C3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Summary of studies used to derive IDLH level:</w:t>
            </w:r>
          </w:p>
          <w:p w14:paraId="62361DD4" w14:textId="77777777" w:rsidR="007618C3" w:rsidRDefault="007618C3" w:rsidP="007618C3">
            <w:pPr>
              <w:pStyle w:val="ListBullet"/>
              <w:numPr>
                <w:ilvl w:val="0"/>
                <w:numId w:val="2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LD</w:t>
            </w:r>
            <w:r w:rsidRPr="00B16ACE">
              <w:rPr>
                <w:rStyle w:val="checkbox"/>
                <w:rFonts w:ascii="Arial" w:hAnsi="Arial" w:cs="Arial"/>
                <w:vertAlign w:val="subscript"/>
              </w:rPr>
              <w:t>50</w:t>
            </w:r>
            <w:r>
              <w:rPr>
                <w:rStyle w:val="checkbox"/>
                <w:rFonts w:ascii="Arial" w:hAnsi="Arial" w:cs="Arial"/>
              </w:rPr>
              <w:t>: 2,000 mg/</w:t>
            </w:r>
            <w:r w:rsidR="0093192B">
              <w:rPr>
                <w:rStyle w:val="checkbox"/>
                <w:rFonts w:ascii="Arial" w:hAnsi="Arial" w:cs="Arial"/>
              </w:rPr>
              <w:t xml:space="preserve">kg </w:t>
            </w:r>
            <w:r>
              <w:rPr>
                <w:rStyle w:val="checkbox"/>
                <w:rFonts w:ascii="Arial" w:hAnsi="Arial" w:cs="Arial"/>
              </w:rPr>
              <w:t>(rats, no further information)</w:t>
            </w:r>
          </w:p>
          <w:p w14:paraId="51233FE8" w14:textId="77777777" w:rsidR="00FF2F76" w:rsidRPr="00FF2F76" w:rsidRDefault="007618C3" w:rsidP="007618C3">
            <w:pPr>
              <w:pStyle w:val="ListBullet"/>
              <w:numPr>
                <w:ilvl w:val="0"/>
                <w:numId w:val="2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LD</w:t>
            </w:r>
            <w:r w:rsidRPr="00B16ACE">
              <w:rPr>
                <w:rStyle w:val="checkbox"/>
                <w:rFonts w:ascii="Arial" w:hAnsi="Arial" w:cs="Arial"/>
                <w:vertAlign w:val="subscript"/>
              </w:rPr>
              <w:t>50</w:t>
            </w:r>
            <w:r w:rsidR="00553CB1">
              <w:rPr>
                <w:rStyle w:val="checkbox"/>
                <w:rFonts w:ascii="Arial" w:hAnsi="Arial" w:cs="Arial"/>
              </w:rPr>
              <w:t xml:space="preserve">: </w:t>
            </w:r>
            <w:r>
              <w:rPr>
                <w:rStyle w:val="checkbox"/>
                <w:rFonts w:ascii="Arial" w:hAnsi="Arial" w:cs="Arial"/>
              </w:rPr>
              <w:t>3,100 mg/</w:t>
            </w:r>
            <w:r w:rsidR="0093192B">
              <w:rPr>
                <w:rStyle w:val="checkbox"/>
                <w:rFonts w:ascii="Arial" w:hAnsi="Arial" w:cs="Arial"/>
              </w:rPr>
              <w:t xml:space="preserve">kg </w:t>
            </w:r>
            <w:r>
              <w:rPr>
                <w:rStyle w:val="checkbox"/>
                <w:rFonts w:ascii="Arial" w:hAnsi="Arial" w:cs="Arial"/>
              </w:rPr>
              <w:t>(mice, no further information)</w:t>
            </w:r>
          </w:p>
          <w:p w14:paraId="505784B7" w14:textId="77777777" w:rsidR="007618C3" w:rsidRDefault="007618C3" w:rsidP="007618C3">
            <w:pPr>
              <w:pStyle w:val="ListBullet"/>
              <w:numPr>
                <w:ilvl w:val="0"/>
                <w:numId w:val="2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LD</w:t>
            </w:r>
            <w:r w:rsidRPr="00B16ACE">
              <w:rPr>
                <w:rStyle w:val="checkbox"/>
                <w:rFonts w:ascii="Arial" w:hAnsi="Arial" w:cs="Arial"/>
                <w:vertAlign w:val="subscript"/>
              </w:rPr>
              <w:t>50</w:t>
            </w:r>
            <w:r>
              <w:rPr>
                <w:rStyle w:val="checkbox"/>
                <w:rFonts w:ascii="Arial" w:hAnsi="Arial" w:cs="Arial"/>
              </w:rPr>
              <w:t>: 3,900 mg/</w:t>
            </w:r>
            <w:r w:rsidR="0093192B">
              <w:rPr>
                <w:rStyle w:val="checkbox"/>
                <w:rFonts w:ascii="Arial" w:hAnsi="Arial" w:cs="Arial"/>
              </w:rPr>
              <w:t xml:space="preserve">kg </w:t>
            </w:r>
            <w:r>
              <w:rPr>
                <w:rStyle w:val="checkbox"/>
                <w:rFonts w:ascii="Arial" w:hAnsi="Arial" w:cs="Arial"/>
              </w:rPr>
              <w:t>(rats, no further information)</w:t>
            </w:r>
          </w:p>
          <w:p w14:paraId="488B4DBA" w14:textId="77777777" w:rsidR="00FF2F76" w:rsidRPr="004C23F4" w:rsidRDefault="007618C3" w:rsidP="0093192B">
            <w:pPr>
              <w:pStyle w:val="ListBullet"/>
              <w:numPr>
                <w:ilvl w:val="0"/>
                <w:numId w:val="2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LD</w:t>
            </w:r>
            <w:r w:rsidRPr="00B16ACE">
              <w:rPr>
                <w:rStyle w:val="checkbox"/>
                <w:rFonts w:ascii="Arial" w:hAnsi="Arial" w:cs="Arial"/>
                <w:vertAlign w:val="subscript"/>
              </w:rPr>
              <w:t>50</w:t>
            </w:r>
            <w:r>
              <w:rPr>
                <w:rStyle w:val="checkbox"/>
                <w:rFonts w:ascii="Arial" w:hAnsi="Arial" w:cs="Arial"/>
              </w:rPr>
              <w:t>: 5,760 mg/</w:t>
            </w:r>
            <w:r w:rsidR="0093192B">
              <w:rPr>
                <w:rStyle w:val="checkbox"/>
                <w:rFonts w:ascii="Arial" w:hAnsi="Arial" w:cs="Arial"/>
              </w:rPr>
              <w:t xml:space="preserve">kg </w:t>
            </w:r>
            <w:r>
              <w:rPr>
                <w:rStyle w:val="checkbox"/>
                <w:rFonts w:ascii="Arial" w:hAnsi="Arial" w:cs="Arial"/>
              </w:rPr>
              <w:t>(mice, no further information)</w:t>
            </w:r>
            <w:r w:rsidR="00754663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1"/>
    <w:p w14:paraId="439F02F0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arcinogenicity – non-threshold based genotoxic carcinogens"/>
        <w:tblDescription w:val="Is the chemical mutagenic? No, therefore the chemical is not a non-threshold based genotoxic carcinogen"/>
      </w:tblPr>
      <w:tblGrid>
        <w:gridCol w:w="6603"/>
        <w:gridCol w:w="2423"/>
      </w:tblGrid>
      <w:tr w:rsidR="005C1A3F" w14:paraId="7A46DBAF" w14:textId="77777777" w:rsidTr="005C1A3F">
        <w:trPr>
          <w:trHeight w:val="454"/>
          <w:tblHeader/>
        </w:trPr>
        <w:tc>
          <w:tcPr>
            <w:tcW w:w="6603" w:type="dxa"/>
            <w:vAlign w:val="center"/>
          </w:tcPr>
          <w:p w14:paraId="464093B8" w14:textId="77777777" w:rsidR="005C1A3F" w:rsidRDefault="005C1A3F" w:rsidP="00F83C8F">
            <w:pPr>
              <w:pStyle w:val="Tablefont"/>
              <w:spacing w:before="40" w:after="40"/>
            </w:pPr>
            <w:bookmarkStart w:id="2" w:name="_GoBack" w:colFirst="0" w:colLast="2"/>
            <w:r>
              <w:t>Is the chemical mutagenic?</w:t>
            </w:r>
          </w:p>
        </w:tc>
        <w:sdt>
          <w:sdtPr>
            <w:id w:val="319705052"/>
            <w:placeholder>
              <w:docPart w:val="BC9446944FA34636B17A16E5F2A46531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366FCE37" w14:textId="77777777" w:rsidR="005C1A3F" w:rsidRDefault="005C1A3F" w:rsidP="00F83C8F">
                <w:pPr>
                  <w:pStyle w:val="Tablefont"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F83C8F" w14:paraId="614E1FA1" w14:textId="77777777" w:rsidTr="00857697">
        <w:trPr>
          <w:trHeight w:val="454"/>
        </w:trPr>
        <w:sdt>
          <w:sdtPr>
            <w:rPr>
              <w:b/>
            </w:rPr>
            <w:id w:val="1830936485"/>
            <w:placeholder>
              <w:docPart w:val="FEFC0C04F14F4482BA4FA5C0268570A2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00373738" w14:textId="183BF068" w:rsidR="00F83C8F" w:rsidRDefault="00F83C8F" w:rsidP="00F83C8F">
                <w:pPr>
                  <w:pStyle w:val="Tablefont"/>
                  <w:spacing w:before="40" w:after="40"/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</w:tr>
    </w:tbl>
    <w:bookmarkEnd w:id="2"/>
    <w:p w14:paraId="0D205DDA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10237141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2DBD2773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4C9F238B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68513684" w14:textId="77777777" w:rsidTr="00812887">
        <w:trPr>
          <w:cantSplit/>
        </w:trPr>
        <w:tc>
          <w:tcPr>
            <w:tcW w:w="3227" w:type="dxa"/>
          </w:tcPr>
          <w:p w14:paraId="3ABC715A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6A556003" w14:textId="77777777" w:rsidR="00687890" w:rsidRPr="00DD2F9B" w:rsidRDefault="00C501A9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212F2634" w14:textId="77777777" w:rsidTr="00812887">
        <w:trPr>
          <w:cantSplit/>
        </w:trPr>
        <w:tc>
          <w:tcPr>
            <w:tcW w:w="3227" w:type="dxa"/>
          </w:tcPr>
          <w:p w14:paraId="0EA56795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7A837BBE" w14:textId="77777777" w:rsidR="007925F0" w:rsidRPr="00DD2F9B" w:rsidRDefault="00C501A9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5A47DF42" w14:textId="77777777" w:rsidTr="00812887">
        <w:trPr>
          <w:cantSplit/>
        </w:trPr>
        <w:tc>
          <w:tcPr>
            <w:tcW w:w="3227" w:type="dxa"/>
          </w:tcPr>
          <w:p w14:paraId="28D96E3C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3866C95E" w14:textId="77777777" w:rsidR="00AF483F" w:rsidRPr="00DD2F9B" w:rsidRDefault="00C501A9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5D0ED1BD" w14:textId="77777777" w:rsidTr="00812887">
        <w:trPr>
          <w:cantSplit/>
        </w:trPr>
        <w:tc>
          <w:tcPr>
            <w:tcW w:w="3227" w:type="dxa"/>
          </w:tcPr>
          <w:p w14:paraId="124CC517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2631BC3A" w14:textId="77777777" w:rsidR="00687890" w:rsidRPr="00DD2F9B" w:rsidRDefault="00C501A9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69D6D828" w14:textId="77777777" w:rsidTr="00812887">
        <w:trPr>
          <w:cantSplit/>
        </w:trPr>
        <w:tc>
          <w:tcPr>
            <w:tcW w:w="3227" w:type="dxa"/>
          </w:tcPr>
          <w:p w14:paraId="1C91233E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0701C45D" w14:textId="77777777" w:rsidR="00E41A26" w:rsidRPr="00DD2F9B" w:rsidRDefault="00C501A9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77588A6A" w14:textId="77777777" w:rsidTr="00812887">
        <w:trPr>
          <w:cantSplit/>
        </w:trPr>
        <w:tc>
          <w:tcPr>
            <w:tcW w:w="3227" w:type="dxa"/>
          </w:tcPr>
          <w:p w14:paraId="722F7575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21B9FE2B" w14:textId="77777777" w:rsidR="002E0D61" w:rsidRPr="00DD2F9B" w:rsidRDefault="00C501A9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12C8CFD9" w14:textId="77777777" w:rsidTr="00812887">
        <w:trPr>
          <w:cantSplit/>
        </w:trPr>
        <w:tc>
          <w:tcPr>
            <w:tcW w:w="3227" w:type="dxa"/>
          </w:tcPr>
          <w:p w14:paraId="1AC2F9B3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44F1FECD" w14:textId="77777777" w:rsidR="002E0D61" w:rsidRPr="00DD2F9B" w:rsidRDefault="00755DD8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32588E40" w14:textId="77777777" w:rsidTr="00812887">
        <w:trPr>
          <w:cantSplit/>
        </w:trPr>
        <w:tc>
          <w:tcPr>
            <w:tcW w:w="3227" w:type="dxa"/>
          </w:tcPr>
          <w:p w14:paraId="3CDA7559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23D4B60B" w14:textId="77777777" w:rsidR="002E0D61" w:rsidRPr="00DD2F9B" w:rsidRDefault="00C501A9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7E98569A" w14:textId="77777777" w:rsidTr="00812887">
        <w:trPr>
          <w:cantSplit/>
        </w:trPr>
        <w:tc>
          <w:tcPr>
            <w:tcW w:w="3227" w:type="dxa"/>
          </w:tcPr>
          <w:p w14:paraId="0A560751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21636EA4" w14:textId="77777777" w:rsidR="002E0D61" w:rsidRPr="00DD2F9B" w:rsidRDefault="00C501A9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E0D11E4" w14:textId="77777777" w:rsidTr="00812887">
        <w:trPr>
          <w:cantSplit/>
        </w:trPr>
        <w:tc>
          <w:tcPr>
            <w:tcW w:w="3227" w:type="dxa"/>
          </w:tcPr>
          <w:p w14:paraId="353F47A9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57ACDFA8" w14:textId="77777777" w:rsidR="00386093" w:rsidRPr="00DD2F9B" w:rsidRDefault="00C501A9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3D72AA8" w14:textId="77777777" w:rsidTr="00812887">
        <w:trPr>
          <w:cantSplit/>
        </w:trPr>
        <w:tc>
          <w:tcPr>
            <w:tcW w:w="3227" w:type="dxa"/>
          </w:tcPr>
          <w:p w14:paraId="767413D8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5E2A3243" w14:textId="77777777" w:rsidR="00386093" w:rsidRPr="00DD2F9B" w:rsidRDefault="00C501A9" w:rsidP="00D87570">
            <w:pPr>
              <w:pStyle w:val="Tablefont"/>
              <w:keepNext/>
            </w:pPr>
            <w:r>
              <w:t>—</w:t>
            </w:r>
          </w:p>
        </w:tc>
      </w:tr>
    </w:tbl>
    <w:bookmarkEnd w:id="3"/>
    <w:p w14:paraId="408C1B3D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59FDD371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5D1B1478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79A57F8C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368E43EE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773" w:type="dxa"/>
              <w:tblLook w:val="04A0" w:firstRow="1" w:lastRow="0" w:firstColumn="1" w:lastColumn="0" w:noHBand="0" w:noVBand="1"/>
            </w:tblPr>
            <w:tblGrid>
              <w:gridCol w:w="2711"/>
              <w:gridCol w:w="866"/>
              <w:gridCol w:w="866"/>
              <w:gridCol w:w="866"/>
              <w:gridCol w:w="866"/>
              <w:gridCol w:w="866"/>
              <w:gridCol w:w="866"/>
              <w:gridCol w:w="866"/>
            </w:tblGrid>
            <w:tr w:rsidR="005F3DC6" w:rsidRPr="00DE558F" w14:paraId="45888BB0" w14:textId="77777777" w:rsidTr="005C1A3F">
              <w:trPr>
                <w:trHeight w:val="364"/>
              </w:trPr>
              <w:tc>
                <w:tcPr>
                  <w:tcW w:w="2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2ED2E1C" w14:textId="77777777" w:rsidR="005F3DC6" w:rsidRPr="00DE558F" w:rsidRDefault="005F3DC6" w:rsidP="00DE558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Adverse effects in human case study: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00EE54E" w14:textId="77777777" w:rsidR="005F3DC6" w:rsidRPr="00DE558F" w:rsidRDefault="005F3DC6" w:rsidP="00DE558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67FA200" w14:textId="77777777"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976AA7A" w14:textId="77777777"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876C0F2" w14:textId="77777777"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ED4C759" w14:textId="77777777"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3F08D73" w14:textId="77777777"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E6F792C" w14:textId="77777777"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5F3DC6" w:rsidRPr="00DE558F" w14:paraId="25E0B168" w14:textId="77777777" w:rsidTr="005C1A3F">
              <w:trPr>
                <w:trHeight w:val="364"/>
              </w:trPr>
              <w:tc>
                <w:tcPr>
                  <w:tcW w:w="2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263BEC6" w14:textId="77777777" w:rsidR="005F3DC6" w:rsidRPr="00DE558F" w:rsidRDefault="005F3DC6" w:rsidP="00DE558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≤1000 mg/kg: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9A719E" w14:textId="77777777" w:rsidR="005F3DC6" w:rsidRPr="00DE558F" w:rsidRDefault="005F3DC6" w:rsidP="00DE558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B05A360" w14:textId="77777777"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2595FB6" w14:textId="77777777"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9B987B0" w14:textId="77777777"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D9711C0" w14:textId="77777777"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790D00A" w14:textId="77777777"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989C894" w14:textId="77777777"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5F3DC6" w:rsidRPr="00DE558F" w14:paraId="17C9F1EC" w14:textId="77777777" w:rsidTr="005C1A3F">
              <w:trPr>
                <w:trHeight w:val="364"/>
              </w:trPr>
              <w:tc>
                <w:tcPr>
                  <w:tcW w:w="2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8029BE1" w14:textId="77777777" w:rsidR="005F3DC6" w:rsidRPr="00DE558F" w:rsidRDefault="005F3DC6" w:rsidP="00DE558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repeat-dose NOAEL ≤200 mg/kg: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722C9F3" w14:textId="77777777" w:rsidR="005F3DC6" w:rsidRPr="00DE558F" w:rsidRDefault="005F3DC6" w:rsidP="00DE558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CAA467E" w14:textId="77777777"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B5F3A18" w14:textId="77777777"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F44A154" w14:textId="77777777"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6EE01F6" w14:textId="77777777"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3CE0A50" w14:textId="77777777"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26E97FE" w14:textId="77777777"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5F3DC6" w:rsidRPr="00DE558F" w14:paraId="377855EE" w14:textId="77777777" w:rsidTr="005C1A3F">
              <w:trPr>
                <w:trHeight w:val="364"/>
              </w:trPr>
              <w:tc>
                <w:tcPr>
                  <w:tcW w:w="2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952ADF2" w14:textId="77777777" w:rsidR="005F3DC6" w:rsidRPr="00DE558F" w:rsidRDefault="005F3DC6" w:rsidP="00DE558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/Inhalation LD</w:t>
                  </w: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&lt;10: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3E7F422" w14:textId="77777777" w:rsidR="005F3DC6" w:rsidRPr="00DE558F" w:rsidRDefault="005F3DC6" w:rsidP="00DE558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48D804F" w14:textId="77777777"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3804D3D" w14:textId="77777777"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C1FDE47" w14:textId="77777777"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D9EF75A" w14:textId="77777777"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683FBF5" w14:textId="77777777"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065ABB0" w14:textId="77777777"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5F3DC6" w:rsidRPr="00DE558F" w14:paraId="357E292A" w14:textId="77777777" w:rsidTr="005C1A3F">
              <w:trPr>
                <w:trHeight w:val="364"/>
              </w:trPr>
              <w:tc>
                <w:tcPr>
                  <w:tcW w:w="2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E8560E2" w14:textId="77777777" w:rsidR="005F3DC6" w:rsidRPr="00DE558F" w:rsidRDefault="005F3DC6" w:rsidP="00DE558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In vivo</w:t>
                  </w: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dermal absorption rate &gt;10%: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DE27445" w14:textId="77777777" w:rsidR="005F3DC6" w:rsidRPr="00DE558F" w:rsidRDefault="005F3DC6" w:rsidP="00DE558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39387C7" w14:textId="77777777"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DCCE24A" w14:textId="77777777"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8121A9C" w14:textId="77777777"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993918A" w14:textId="77777777"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D431DD2" w14:textId="77777777"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2DBCE17" w14:textId="77777777"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5F3DC6" w:rsidRPr="00DE558F" w14:paraId="6A644595" w14:textId="77777777" w:rsidTr="005C1A3F">
              <w:trPr>
                <w:trHeight w:val="364"/>
              </w:trPr>
              <w:tc>
                <w:tcPr>
                  <w:tcW w:w="2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3FDFDCF" w14:textId="77777777" w:rsidR="005F3DC6" w:rsidRPr="00DE558F" w:rsidRDefault="005F3DC6" w:rsidP="00DE558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Estimated dermal exposure at WES &gt;10%: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1FEC7F8" w14:textId="77777777" w:rsidR="005F3DC6" w:rsidRPr="00DE558F" w:rsidRDefault="005F3DC6" w:rsidP="00DE558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64A1970" w14:textId="77777777"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3BE94D7" w14:textId="77777777"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160BA99" w14:textId="77777777"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6E345CA" w14:textId="77777777"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7F937CA" w14:textId="77777777"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EDE1F51" w14:textId="77777777" w:rsidR="005F3DC6" w:rsidRPr="00DE558F" w:rsidRDefault="005F3DC6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5C1A3F" w:rsidRPr="00DE558F" w14:paraId="5B576486" w14:textId="77777777" w:rsidTr="00743AFF">
              <w:trPr>
                <w:trHeight w:val="364"/>
              </w:trPr>
              <w:tc>
                <w:tcPr>
                  <w:tcW w:w="2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3CE5932" w14:textId="77777777" w:rsidR="005C1A3F" w:rsidRPr="00DE558F" w:rsidRDefault="005C1A3F" w:rsidP="00DE558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E409481" w14:textId="77777777" w:rsidR="005C1A3F" w:rsidRPr="00DE558F" w:rsidRDefault="005C1A3F" w:rsidP="00DE558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8DDB53" w14:textId="77777777" w:rsidR="005C1A3F" w:rsidRPr="00DE558F" w:rsidRDefault="005C1A3F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46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323DD6A" w14:textId="77777777" w:rsidR="005C1A3F" w:rsidRPr="00DE558F" w:rsidRDefault="005C1A3F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a skin notation is not warranted</w:t>
                  </w:r>
                </w:p>
                <w:p w14:paraId="01F1F252" w14:textId="77777777" w:rsidR="005C1A3F" w:rsidRPr="00DE558F" w:rsidRDefault="005C1A3F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9E9D9DA" w14:textId="77777777" w:rsidR="005C1A3F" w:rsidRPr="00DE558F" w:rsidRDefault="005C1A3F" w:rsidP="00DE55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E55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</w:tbl>
          <w:p w14:paraId="42B861D7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0AD0DE9A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252A7507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09F864F5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1945C886" w14:textId="77777777" w:rsidR="00EB3D1B" w:rsidRDefault="00B24477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68D857CB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12F0A65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EAD072C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5EF9098F" w14:textId="77777777" w:rsidR="001B79E5" w:rsidRDefault="00C501A9" w:rsidP="001B79E5">
                <w:pPr>
                  <w:pStyle w:val="Tablefont"/>
                </w:pPr>
                <w:r>
                  <w:t>114.13</w:t>
                </w:r>
              </w:p>
            </w:tc>
          </w:sdtContent>
        </w:sdt>
      </w:tr>
      <w:tr w:rsidR="00A31D99" w:rsidRPr="004C23F4" w14:paraId="0A02A0B1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52A26F5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2D254631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074ADCA5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1DB6671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8F5C31B" w14:textId="77777777" w:rsidR="00687890" w:rsidRPr="004C23F4" w:rsidRDefault="00F901F1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7FAD3534" w14:textId="77777777" w:rsidTr="00EA6243">
        <w:trPr>
          <w:cantSplit/>
        </w:trPr>
        <w:tc>
          <w:tcPr>
            <w:tcW w:w="4077" w:type="dxa"/>
            <w:vAlign w:val="center"/>
          </w:tcPr>
          <w:p w14:paraId="5DFF66E7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A1B9844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20D5C39" w14:textId="77777777" w:rsidTr="00EA6243">
        <w:trPr>
          <w:cantSplit/>
        </w:trPr>
        <w:tc>
          <w:tcPr>
            <w:tcW w:w="4077" w:type="dxa"/>
            <w:vAlign w:val="center"/>
          </w:tcPr>
          <w:p w14:paraId="32DEF730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EBDCA79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2B98DC54" w14:textId="77777777" w:rsidTr="00EA6243">
        <w:trPr>
          <w:cantSplit/>
        </w:trPr>
        <w:tc>
          <w:tcPr>
            <w:tcW w:w="4077" w:type="dxa"/>
            <w:vAlign w:val="center"/>
          </w:tcPr>
          <w:p w14:paraId="1597CF80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7C001E57" w14:textId="77777777" w:rsidR="00E06F40" w:rsidRPr="00A006A0" w:rsidRDefault="00545A67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22494B93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51FDF408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70E4FDB2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1BE597D1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70722ABC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1687BF36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70BF2819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66DE5E9D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7BE091A9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3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7140FE6C" w14:textId="77777777" w:rsidR="008B77BA" w:rsidRDefault="008B77BA" w:rsidP="00084859">
      <w:r>
        <w:t xml:space="preserve">Deutsche </w:t>
      </w:r>
      <w:proofErr w:type="spellStart"/>
      <w:r>
        <w:t>F</w:t>
      </w:r>
      <w:r w:rsidR="00C501A9">
        <w:t>orschungsgemeinschaft</w:t>
      </w:r>
      <w:proofErr w:type="spellEnd"/>
      <w:r w:rsidR="00C501A9">
        <w:t xml:space="preserve"> (DFG) (2018</w:t>
      </w:r>
      <w:r>
        <w:t xml:space="preserve">) </w:t>
      </w:r>
      <w:r w:rsidR="00C501A9" w:rsidRPr="00C501A9">
        <w:t>List of MAK and BAT Values 2018: Permanent Senate Commission for the Investigation of Health Hazards of Chemical Compounds in the Work Area. Report 54</w:t>
      </w:r>
    </w:p>
    <w:p w14:paraId="656D6327" w14:textId="77777777" w:rsidR="00B16ACE" w:rsidRDefault="00B16ACE" w:rsidP="00084859">
      <w:r w:rsidRPr="00D86E03">
        <w:t>US Environmental Protection Agency (US EPA)</w:t>
      </w:r>
      <w:r>
        <w:t xml:space="preserve"> </w:t>
      </w:r>
      <w:r w:rsidRPr="002F365B">
        <w:t>(</w:t>
      </w:r>
      <w:r>
        <w:t>1989</w:t>
      </w:r>
      <w:r w:rsidRPr="002F365B">
        <w:t xml:space="preserve">) </w:t>
      </w:r>
      <w:r>
        <w:t xml:space="preserve">IRIS chemical assessment summary – Ammonium </w:t>
      </w:r>
      <w:proofErr w:type="spellStart"/>
      <w:r>
        <w:t>sulfamate</w:t>
      </w:r>
      <w:proofErr w:type="spellEnd"/>
    </w:p>
    <w:p w14:paraId="3081BAFE" w14:textId="77777777" w:rsidR="00B16ACE" w:rsidRPr="00351FE0" w:rsidRDefault="00B16ACE" w:rsidP="00084859">
      <w:r w:rsidRPr="00D86E03">
        <w:lastRenderedPageBreak/>
        <w:t>US National Institute for Occupational Safety and Health (NIOSH)</w:t>
      </w:r>
      <w:r>
        <w:t xml:space="preserve"> </w:t>
      </w:r>
      <w:r w:rsidRPr="00553CB1">
        <w:t>(</w:t>
      </w:r>
      <w:sdt>
        <w:sdtPr>
          <w:id w:val="-1194999823"/>
          <w:placeholder>
            <w:docPart w:val="0846BE7F4D6B4DD4A2148E5EA11926B3"/>
          </w:placeholder>
          <w:temporary/>
          <w:showingPlcHdr/>
        </w:sdtPr>
        <w:sdtEndPr/>
        <w:sdtContent>
          <w:r w:rsidRPr="00553CB1">
            <w:t>1994</w:t>
          </w:r>
        </w:sdtContent>
      </w:sdt>
      <w:r w:rsidRPr="00553CB1">
        <w:t xml:space="preserve">) </w:t>
      </w:r>
      <w:proofErr w:type="gramStart"/>
      <w:r>
        <w:t>Immediately</w:t>
      </w:r>
      <w:proofErr w:type="gramEnd"/>
      <w:r>
        <w:t xml:space="preserve"> dangerous to life or health concentrations – Ammonium </w:t>
      </w:r>
      <w:proofErr w:type="spellStart"/>
      <w:r>
        <w:t>sulfamate</w:t>
      </w:r>
      <w:proofErr w:type="spellEnd"/>
      <w:r>
        <w:t>.</w:t>
      </w:r>
    </w:p>
    <w:sectPr w:rsidR="00B16ACE" w:rsidRPr="00351FE0" w:rsidSect="00B87D4C">
      <w:headerReference w:type="default" r:id="rId14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4EE9F" w14:textId="77777777" w:rsidR="00373E8E" w:rsidRDefault="00373E8E" w:rsidP="00F43AD5">
      <w:pPr>
        <w:spacing w:after="0" w:line="240" w:lineRule="auto"/>
      </w:pPr>
      <w:r>
        <w:separator/>
      </w:r>
    </w:p>
  </w:endnote>
  <w:endnote w:type="continuationSeparator" w:id="0">
    <w:p w14:paraId="6F64937E" w14:textId="77777777" w:rsidR="00373E8E" w:rsidRDefault="00373E8E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712AB90" w14:textId="77777777" w:rsidR="00E3616F" w:rsidRDefault="009A6359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 xml:space="preserve">Ammonium </w:t>
        </w:r>
        <w:proofErr w:type="spellStart"/>
        <w:r>
          <w:rPr>
            <w:b/>
            <w:sz w:val="18"/>
            <w:szCs w:val="18"/>
          </w:rPr>
          <w:t>sulfamate</w:t>
        </w:r>
        <w:proofErr w:type="spellEnd"/>
        <w:r w:rsidR="00E3616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7773-06-0</w:t>
        </w:r>
        <w:proofErr w:type="gramStart"/>
        <w:r w:rsidR="00E3616F">
          <w:rPr>
            <w:b/>
            <w:sz w:val="18"/>
            <w:szCs w:val="18"/>
          </w:rPr>
          <w:t>)</w:t>
        </w:r>
        <w:proofErr w:type="gramEnd"/>
        <w:r w:rsidR="00E3616F" w:rsidRPr="00F43AD5">
          <w:rPr>
            <w:sz w:val="18"/>
            <w:szCs w:val="18"/>
          </w:rPr>
          <w:br/>
          <w:t xml:space="preserve">Safe Work Australia </w:t>
        </w:r>
        <w:r w:rsidR="00E3616F" w:rsidRPr="00F43AD5">
          <w:rPr>
            <w:rFonts w:ascii="Courier New" w:hAnsi="Courier New" w:cs="Courier New"/>
            <w:sz w:val="18"/>
            <w:szCs w:val="18"/>
          </w:rPr>
          <w:t>—</w:t>
        </w:r>
        <w:r w:rsidR="00E3616F" w:rsidRPr="00F43AD5">
          <w:rPr>
            <w:sz w:val="18"/>
            <w:szCs w:val="18"/>
          </w:rPr>
          <w:t xml:space="preserve"> 201</w:t>
        </w:r>
        <w:r w:rsidR="00E3616F">
          <w:rPr>
            <w:sz w:val="18"/>
            <w:szCs w:val="18"/>
          </w:rPr>
          <w:t>9</w:t>
        </w:r>
      </w:p>
      <w:p w14:paraId="324C9578" w14:textId="2B06620F" w:rsidR="00E3616F" w:rsidRPr="00F43AD5" w:rsidRDefault="00E3616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545A67">
          <w:rPr>
            <w:noProof/>
            <w:sz w:val="18"/>
            <w:szCs w:val="18"/>
          </w:rPr>
          <w:t>4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18AD7" w14:textId="77777777" w:rsidR="00373E8E" w:rsidRDefault="00373E8E" w:rsidP="00F43AD5">
      <w:pPr>
        <w:spacing w:after="0" w:line="240" w:lineRule="auto"/>
      </w:pPr>
      <w:r>
        <w:separator/>
      </w:r>
    </w:p>
  </w:footnote>
  <w:footnote w:type="continuationSeparator" w:id="0">
    <w:p w14:paraId="6711B147" w14:textId="77777777" w:rsidR="00373E8E" w:rsidRDefault="00373E8E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DCD1B" w14:textId="77777777" w:rsidR="00E3616F" w:rsidRDefault="00E3616F" w:rsidP="00F43AD5">
    <w:pPr>
      <w:pStyle w:val="Header"/>
      <w:jc w:val="right"/>
    </w:pPr>
    <w:r>
      <w:rPr>
        <w:noProof/>
        <w:lang w:eastAsia="en-AU"/>
      </w:rPr>
      <w:drawing>
        <wp:inline distT="0" distB="0" distL="0" distR="0" wp14:anchorId="61BC48B9" wp14:editId="0F3ED234">
          <wp:extent cx="2938272" cy="594360"/>
          <wp:effectExtent l="0" t="0" r="0" b="0"/>
          <wp:docPr id="1" name="Picture 1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6155C" w14:textId="77777777" w:rsidR="00E3616F" w:rsidRDefault="00E3616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88AC5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62C9A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B186406"/>
    <w:multiLevelType w:val="hybridMultilevel"/>
    <w:tmpl w:val="166210D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D4F5F"/>
    <w:multiLevelType w:val="hybridMultilevel"/>
    <w:tmpl w:val="7C9A922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47E38"/>
    <w:multiLevelType w:val="hybridMultilevel"/>
    <w:tmpl w:val="01127AD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0C6FFE"/>
    <w:multiLevelType w:val="hybridMultilevel"/>
    <w:tmpl w:val="47D2DAE4"/>
    <w:lvl w:ilvl="0" w:tplc="DCEAA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34805"/>
    <w:multiLevelType w:val="hybridMultilevel"/>
    <w:tmpl w:val="4E6AD1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369AB"/>
    <w:rsid w:val="00046DF5"/>
    <w:rsid w:val="00052060"/>
    <w:rsid w:val="000523CA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6E8"/>
    <w:rsid w:val="000C096D"/>
    <w:rsid w:val="000C139A"/>
    <w:rsid w:val="000C2053"/>
    <w:rsid w:val="000C248C"/>
    <w:rsid w:val="000D291C"/>
    <w:rsid w:val="000E5A54"/>
    <w:rsid w:val="000E63D3"/>
    <w:rsid w:val="000E67CF"/>
    <w:rsid w:val="000E787B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C2CBA"/>
    <w:rsid w:val="001D56F0"/>
    <w:rsid w:val="001D58B1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05A34"/>
    <w:rsid w:val="00213640"/>
    <w:rsid w:val="00221547"/>
    <w:rsid w:val="002216FC"/>
    <w:rsid w:val="00222533"/>
    <w:rsid w:val="00222F30"/>
    <w:rsid w:val="00224EE2"/>
    <w:rsid w:val="00227EC7"/>
    <w:rsid w:val="002403C3"/>
    <w:rsid w:val="00244AD1"/>
    <w:rsid w:val="002463BC"/>
    <w:rsid w:val="002465CE"/>
    <w:rsid w:val="0025734A"/>
    <w:rsid w:val="00263255"/>
    <w:rsid w:val="00276494"/>
    <w:rsid w:val="00277B0C"/>
    <w:rsid w:val="002A0DBA"/>
    <w:rsid w:val="002A7BAA"/>
    <w:rsid w:val="002B1A2C"/>
    <w:rsid w:val="002C0F59"/>
    <w:rsid w:val="002C34F2"/>
    <w:rsid w:val="002C58FF"/>
    <w:rsid w:val="002C7AFE"/>
    <w:rsid w:val="002D05D2"/>
    <w:rsid w:val="002E0D61"/>
    <w:rsid w:val="002E4C7B"/>
    <w:rsid w:val="0030740C"/>
    <w:rsid w:val="00312B03"/>
    <w:rsid w:val="003130F6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0818"/>
    <w:rsid w:val="00347192"/>
    <w:rsid w:val="0034744C"/>
    <w:rsid w:val="00351FE0"/>
    <w:rsid w:val="00352615"/>
    <w:rsid w:val="0035412B"/>
    <w:rsid w:val="003567A8"/>
    <w:rsid w:val="00362895"/>
    <w:rsid w:val="00370DBF"/>
    <w:rsid w:val="00373D06"/>
    <w:rsid w:val="00373E8E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C46F8"/>
    <w:rsid w:val="003D4FA3"/>
    <w:rsid w:val="003E0807"/>
    <w:rsid w:val="003E51FB"/>
    <w:rsid w:val="003E52E6"/>
    <w:rsid w:val="003E52EA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669B0"/>
    <w:rsid w:val="00472A11"/>
    <w:rsid w:val="00472AAD"/>
    <w:rsid w:val="00474E33"/>
    <w:rsid w:val="00476803"/>
    <w:rsid w:val="00480F55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A6ECF"/>
    <w:rsid w:val="004C1E3F"/>
    <w:rsid w:val="004C23F4"/>
    <w:rsid w:val="004C3475"/>
    <w:rsid w:val="004C58B6"/>
    <w:rsid w:val="004C666C"/>
    <w:rsid w:val="004C7E3D"/>
    <w:rsid w:val="004D16A3"/>
    <w:rsid w:val="004D4587"/>
    <w:rsid w:val="004D4AA1"/>
    <w:rsid w:val="004D6D68"/>
    <w:rsid w:val="004E5EDD"/>
    <w:rsid w:val="004F448A"/>
    <w:rsid w:val="004F493D"/>
    <w:rsid w:val="004F65E8"/>
    <w:rsid w:val="0050005E"/>
    <w:rsid w:val="00502B88"/>
    <w:rsid w:val="00512906"/>
    <w:rsid w:val="005142C4"/>
    <w:rsid w:val="0051509C"/>
    <w:rsid w:val="005272E2"/>
    <w:rsid w:val="0053108F"/>
    <w:rsid w:val="00532631"/>
    <w:rsid w:val="00532B56"/>
    <w:rsid w:val="00534B10"/>
    <w:rsid w:val="005446A2"/>
    <w:rsid w:val="00544D2F"/>
    <w:rsid w:val="00545A67"/>
    <w:rsid w:val="00551BD8"/>
    <w:rsid w:val="00553CB1"/>
    <w:rsid w:val="00581055"/>
    <w:rsid w:val="00591E38"/>
    <w:rsid w:val="005A19C5"/>
    <w:rsid w:val="005A3034"/>
    <w:rsid w:val="005A462D"/>
    <w:rsid w:val="005A5F52"/>
    <w:rsid w:val="005B253B"/>
    <w:rsid w:val="005B771D"/>
    <w:rsid w:val="005C1A3F"/>
    <w:rsid w:val="005C5D16"/>
    <w:rsid w:val="005D3193"/>
    <w:rsid w:val="005D4A6E"/>
    <w:rsid w:val="005D5650"/>
    <w:rsid w:val="005E6979"/>
    <w:rsid w:val="005E75CB"/>
    <w:rsid w:val="005F281F"/>
    <w:rsid w:val="005F3DC6"/>
    <w:rsid w:val="005F6B85"/>
    <w:rsid w:val="006013C1"/>
    <w:rsid w:val="006059C1"/>
    <w:rsid w:val="0060669E"/>
    <w:rsid w:val="00610F2E"/>
    <w:rsid w:val="00611399"/>
    <w:rsid w:val="00624C4E"/>
    <w:rsid w:val="00625200"/>
    <w:rsid w:val="006363A8"/>
    <w:rsid w:val="00636DB7"/>
    <w:rsid w:val="00637C60"/>
    <w:rsid w:val="00650905"/>
    <w:rsid w:val="00651D4A"/>
    <w:rsid w:val="006532ED"/>
    <w:rsid w:val="006549F2"/>
    <w:rsid w:val="006567B7"/>
    <w:rsid w:val="00657BFB"/>
    <w:rsid w:val="0066333C"/>
    <w:rsid w:val="006639B4"/>
    <w:rsid w:val="006650FE"/>
    <w:rsid w:val="0067305D"/>
    <w:rsid w:val="006736BA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6F3BAF"/>
    <w:rsid w:val="00701053"/>
    <w:rsid w:val="00701507"/>
    <w:rsid w:val="00714021"/>
    <w:rsid w:val="00716A0F"/>
    <w:rsid w:val="00717D45"/>
    <w:rsid w:val="007208F7"/>
    <w:rsid w:val="007218AF"/>
    <w:rsid w:val="007355AB"/>
    <w:rsid w:val="007365D1"/>
    <w:rsid w:val="00740E0E"/>
    <w:rsid w:val="00750212"/>
    <w:rsid w:val="00752BE1"/>
    <w:rsid w:val="00754663"/>
    <w:rsid w:val="00754779"/>
    <w:rsid w:val="00755DD8"/>
    <w:rsid w:val="0075716D"/>
    <w:rsid w:val="007618C3"/>
    <w:rsid w:val="00765F14"/>
    <w:rsid w:val="00770E31"/>
    <w:rsid w:val="007770F1"/>
    <w:rsid w:val="0078201D"/>
    <w:rsid w:val="00783FB1"/>
    <w:rsid w:val="00785CDD"/>
    <w:rsid w:val="007910E0"/>
    <w:rsid w:val="00791847"/>
    <w:rsid w:val="007925F0"/>
    <w:rsid w:val="007939B3"/>
    <w:rsid w:val="0079509C"/>
    <w:rsid w:val="00796708"/>
    <w:rsid w:val="007B1B42"/>
    <w:rsid w:val="007C30EB"/>
    <w:rsid w:val="007C7925"/>
    <w:rsid w:val="007D2557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B5D"/>
    <w:rsid w:val="00826F21"/>
    <w:rsid w:val="00834CC8"/>
    <w:rsid w:val="00835E00"/>
    <w:rsid w:val="00837113"/>
    <w:rsid w:val="008414E4"/>
    <w:rsid w:val="00843E21"/>
    <w:rsid w:val="0084508E"/>
    <w:rsid w:val="00857A8A"/>
    <w:rsid w:val="008607BF"/>
    <w:rsid w:val="008630EE"/>
    <w:rsid w:val="00864D13"/>
    <w:rsid w:val="00871CD5"/>
    <w:rsid w:val="008727C5"/>
    <w:rsid w:val="008745A2"/>
    <w:rsid w:val="008768A8"/>
    <w:rsid w:val="0088798F"/>
    <w:rsid w:val="00887E4B"/>
    <w:rsid w:val="008915C8"/>
    <w:rsid w:val="008A36CF"/>
    <w:rsid w:val="008A3BC4"/>
    <w:rsid w:val="008B236E"/>
    <w:rsid w:val="008B403C"/>
    <w:rsid w:val="008B77BA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92B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2E6B"/>
    <w:rsid w:val="00955733"/>
    <w:rsid w:val="009578DD"/>
    <w:rsid w:val="00961124"/>
    <w:rsid w:val="009621B6"/>
    <w:rsid w:val="00974F2D"/>
    <w:rsid w:val="00977524"/>
    <w:rsid w:val="00977E88"/>
    <w:rsid w:val="00984920"/>
    <w:rsid w:val="0099303A"/>
    <w:rsid w:val="009934B0"/>
    <w:rsid w:val="009971C2"/>
    <w:rsid w:val="009A1254"/>
    <w:rsid w:val="009A6359"/>
    <w:rsid w:val="009B2FF2"/>
    <w:rsid w:val="009B380C"/>
    <w:rsid w:val="009B4843"/>
    <w:rsid w:val="009B6543"/>
    <w:rsid w:val="009C199D"/>
    <w:rsid w:val="009C278F"/>
    <w:rsid w:val="009C2B94"/>
    <w:rsid w:val="009C5874"/>
    <w:rsid w:val="009D321D"/>
    <w:rsid w:val="009D3B5A"/>
    <w:rsid w:val="009E0C05"/>
    <w:rsid w:val="009E0D1C"/>
    <w:rsid w:val="009E2214"/>
    <w:rsid w:val="009E355A"/>
    <w:rsid w:val="009E63E2"/>
    <w:rsid w:val="009F05CF"/>
    <w:rsid w:val="009F0F3A"/>
    <w:rsid w:val="00A01D0C"/>
    <w:rsid w:val="00A0643F"/>
    <w:rsid w:val="00A067EE"/>
    <w:rsid w:val="00A10FCE"/>
    <w:rsid w:val="00A117E8"/>
    <w:rsid w:val="00A16D91"/>
    <w:rsid w:val="00A174CC"/>
    <w:rsid w:val="00A2073D"/>
    <w:rsid w:val="00A20751"/>
    <w:rsid w:val="00A26E14"/>
    <w:rsid w:val="00A27E2D"/>
    <w:rsid w:val="00A31D99"/>
    <w:rsid w:val="00A357BA"/>
    <w:rsid w:val="00A35ADC"/>
    <w:rsid w:val="00A402A3"/>
    <w:rsid w:val="00A53681"/>
    <w:rsid w:val="00A62C66"/>
    <w:rsid w:val="00A633D4"/>
    <w:rsid w:val="00A6461A"/>
    <w:rsid w:val="00A84504"/>
    <w:rsid w:val="00A85BEB"/>
    <w:rsid w:val="00A8672F"/>
    <w:rsid w:val="00A93057"/>
    <w:rsid w:val="00A968B0"/>
    <w:rsid w:val="00AA30AF"/>
    <w:rsid w:val="00AA3A46"/>
    <w:rsid w:val="00AA44D4"/>
    <w:rsid w:val="00AA4786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032D5"/>
    <w:rsid w:val="00B07F4D"/>
    <w:rsid w:val="00B1422A"/>
    <w:rsid w:val="00B16ACE"/>
    <w:rsid w:val="00B1765C"/>
    <w:rsid w:val="00B213C4"/>
    <w:rsid w:val="00B24477"/>
    <w:rsid w:val="00B40C60"/>
    <w:rsid w:val="00B4478E"/>
    <w:rsid w:val="00B479A9"/>
    <w:rsid w:val="00B52EDF"/>
    <w:rsid w:val="00B71188"/>
    <w:rsid w:val="00B76A41"/>
    <w:rsid w:val="00B87D4C"/>
    <w:rsid w:val="00B93470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15BC7"/>
    <w:rsid w:val="00C16315"/>
    <w:rsid w:val="00C3091E"/>
    <w:rsid w:val="00C40FF1"/>
    <w:rsid w:val="00C419E2"/>
    <w:rsid w:val="00C501A9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286D"/>
    <w:rsid w:val="00C74833"/>
    <w:rsid w:val="00C811FE"/>
    <w:rsid w:val="00C81504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D771E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35BDA"/>
    <w:rsid w:val="00D44C89"/>
    <w:rsid w:val="00D516CD"/>
    <w:rsid w:val="00D60B1D"/>
    <w:rsid w:val="00D61F15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D47B2"/>
    <w:rsid w:val="00DE2513"/>
    <w:rsid w:val="00DE26E8"/>
    <w:rsid w:val="00DE558F"/>
    <w:rsid w:val="00DF46B3"/>
    <w:rsid w:val="00DF6F36"/>
    <w:rsid w:val="00E0084C"/>
    <w:rsid w:val="00E025AB"/>
    <w:rsid w:val="00E02B23"/>
    <w:rsid w:val="00E06F40"/>
    <w:rsid w:val="00E07CE8"/>
    <w:rsid w:val="00E26A07"/>
    <w:rsid w:val="00E32595"/>
    <w:rsid w:val="00E3616F"/>
    <w:rsid w:val="00E365EE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865D3"/>
    <w:rsid w:val="00E92499"/>
    <w:rsid w:val="00E949AF"/>
    <w:rsid w:val="00E96077"/>
    <w:rsid w:val="00EA0A06"/>
    <w:rsid w:val="00EA6243"/>
    <w:rsid w:val="00EA74AB"/>
    <w:rsid w:val="00EB2988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454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3C8F"/>
    <w:rsid w:val="00F87D92"/>
    <w:rsid w:val="00F901F1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C7B7F"/>
    <w:rsid w:val="00FD1871"/>
    <w:rsid w:val="00FD2858"/>
    <w:rsid w:val="00FD2AE5"/>
    <w:rsid w:val="00FD3110"/>
    <w:rsid w:val="00FF2F76"/>
    <w:rsid w:val="00FF5BEC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1F1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4C7E3D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7B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BA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BA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B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BAA"/>
    <w:rPr>
      <w:b/>
      <w:bCs/>
      <w:szCs w:val="20"/>
    </w:rPr>
  </w:style>
  <w:style w:type="paragraph" w:styleId="ListNumber">
    <w:name w:val="List Number"/>
    <w:basedOn w:val="Normal"/>
    <w:uiPriority w:val="99"/>
    <w:unhideWhenUsed/>
    <w:rsid w:val="007618C3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cgih.org/tlv-bei-guidelines/policies-procedures-presentation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FFDE270CB50461B826B01949848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30F8-F751-45C7-BEFB-A7D3397CEB99}"/>
      </w:docPartPr>
      <w:docPartBody>
        <w:p w:rsidR="00D21A9F" w:rsidRDefault="00D21A9F">
          <w:pPr>
            <w:pStyle w:val="CFFDE270CB50461B826B0194984892C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51C8540A4D4F0A9062F5B1698D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35A6-51B4-4D9C-B1D2-B881B06F755D}"/>
      </w:docPartPr>
      <w:docPartBody>
        <w:p w:rsidR="00D21A9F" w:rsidRDefault="00D21A9F">
          <w:pPr>
            <w:pStyle w:val="EA51C8540A4D4F0A9062F5B1698DCBB0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B197B4D42BC84C7CA5DE92E82BF99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E9B82-ACC3-4165-90AD-FA0E8849C971}"/>
      </w:docPartPr>
      <w:docPartBody>
        <w:p w:rsidR="00DE3D5A" w:rsidRDefault="00DE3D5A" w:rsidP="00DE3D5A">
          <w:pPr>
            <w:pStyle w:val="B197B4D42BC84C7CA5DE92E82BF99029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BD5C05A797BB4166A1896BCCAFAEB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953DC-38AB-4901-99AC-A9F851A9E429}"/>
      </w:docPartPr>
      <w:docPartBody>
        <w:p w:rsidR="00DE3D5A" w:rsidRDefault="00DE3D5A" w:rsidP="00DE3D5A">
          <w:pPr>
            <w:pStyle w:val="BD5C05A797BB4166A1896BCCAFAEBFB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DFCA2BECC86A4E9F8D5AF2EB75F2F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FCC83-E919-4574-B206-AC36A4CD5B77}"/>
      </w:docPartPr>
      <w:docPartBody>
        <w:p w:rsidR="00DE3D5A" w:rsidRDefault="00DE3D5A" w:rsidP="00DE3D5A">
          <w:pPr>
            <w:pStyle w:val="DFCA2BECC86A4E9F8D5AF2EB75F2FE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656CD3D38E9424B982E1D75115EC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ABAB6-DDA4-4682-8F53-D48C2071DBB8}"/>
      </w:docPartPr>
      <w:docPartBody>
        <w:p w:rsidR="00DE3D5A" w:rsidRDefault="00DE3D5A" w:rsidP="00DE3D5A">
          <w:pPr>
            <w:pStyle w:val="6656CD3D38E9424B982E1D75115ECD09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967B545056EE4C87936835418924D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ACE89-6B73-496B-ABB0-E285A4D0E78B}"/>
      </w:docPartPr>
      <w:docPartBody>
        <w:p w:rsidR="00DE3D5A" w:rsidRDefault="00DE3D5A" w:rsidP="00DE3D5A">
          <w:pPr>
            <w:pStyle w:val="967B545056EE4C87936835418924DF7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846BE7F4D6B4DD4A2148E5EA1192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01B0C-D2D4-43E7-B2B1-838CA9D19C57}"/>
      </w:docPartPr>
      <w:docPartBody>
        <w:p w:rsidR="00993B65" w:rsidRDefault="00753EF0" w:rsidP="00753EF0">
          <w:pPr>
            <w:pStyle w:val="0846BE7F4D6B4DD4A2148E5EA11926B3"/>
          </w:pPr>
          <w:r w:rsidRPr="00262278">
            <w:rPr>
              <w:color w:val="00B050"/>
            </w:rPr>
            <w:t>1994</w:t>
          </w:r>
        </w:p>
      </w:docPartBody>
    </w:docPart>
    <w:docPart>
      <w:docPartPr>
        <w:name w:val="BC9446944FA34636B17A16E5F2A46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C43F0-4B9D-42C6-8DC5-B8BB8D512D5D}"/>
      </w:docPartPr>
      <w:docPartBody>
        <w:p w:rsidR="008A4CD9" w:rsidRDefault="00FF775C" w:rsidP="00FF775C">
          <w:pPr>
            <w:pStyle w:val="BC9446944FA34636B17A16E5F2A46531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EFC0C04F14F4482BA4FA5C026857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1203B-CE04-4A00-BF48-28870053FA4F}"/>
      </w:docPartPr>
      <w:docPartBody>
        <w:p w:rsidR="00A305CE" w:rsidRDefault="00575D66" w:rsidP="00575D66">
          <w:pPr>
            <w:pStyle w:val="FEFC0C04F14F4482BA4FA5C0268570A2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3414EC"/>
    <w:rsid w:val="003D5D98"/>
    <w:rsid w:val="00575D66"/>
    <w:rsid w:val="00753EF0"/>
    <w:rsid w:val="007B110A"/>
    <w:rsid w:val="008A4CD9"/>
    <w:rsid w:val="00993B65"/>
    <w:rsid w:val="00A305CE"/>
    <w:rsid w:val="00A4734B"/>
    <w:rsid w:val="00D21A9F"/>
    <w:rsid w:val="00DE3D5A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5D66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197B4D42BC84C7CA5DE92E82BF99029">
    <w:name w:val="B197B4D42BC84C7CA5DE92E82BF99029"/>
    <w:rsid w:val="00DE3D5A"/>
    <w:rPr>
      <w:lang w:val="en-US" w:eastAsia="en-US"/>
    </w:rPr>
  </w:style>
  <w:style w:type="paragraph" w:customStyle="1" w:styleId="BD5C05A797BB4166A1896BCCAFAEBFB0">
    <w:name w:val="BD5C05A797BB4166A1896BCCAFAEBFB0"/>
    <w:rsid w:val="00DE3D5A"/>
    <w:rPr>
      <w:lang w:val="en-US" w:eastAsia="en-US"/>
    </w:rPr>
  </w:style>
  <w:style w:type="paragraph" w:customStyle="1" w:styleId="DFCA2BECC86A4E9F8D5AF2EB75F2FE9F">
    <w:name w:val="DFCA2BECC86A4E9F8D5AF2EB75F2FE9F"/>
    <w:rsid w:val="00DE3D5A"/>
    <w:rPr>
      <w:lang w:val="en-US" w:eastAsia="en-US"/>
    </w:rPr>
  </w:style>
  <w:style w:type="paragraph" w:customStyle="1" w:styleId="6656CD3D38E9424B982E1D75115ECD09">
    <w:name w:val="6656CD3D38E9424B982E1D75115ECD09"/>
    <w:rsid w:val="00DE3D5A"/>
    <w:rPr>
      <w:lang w:val="en-US" w:eastAsia="en-US"/>
    </w:rPr>
  </w:style>
  <w:style w:type="paragraph" w:customStyle="1" w:styleId="967B545056EE4C87936835418924DF7E">
    <w:name w:val="967B545056EE4C87936835418924DF7E"/>
    <w:rsid w:val="00DE3D5A"/>
    <w:rPr>
      <w:lang w:val="en-US" w:eastAsia="en-US"/>
    </w:rPr>
  </w:style>
  <w:style w:type="paragraph" w:customStyle="1" w:styleId="0846BE7F4D6B4DD4A2148E5EA11926B3">
    <w:name w:val="0846BE7F4D6B4DD4A2148E5EA11926B3"/>
    <w:rsid w:val="00753EF0"/>
  </w:style>
  <w:style w:type="paragraph" w:customStyle="1" w:styleId="725E8D5CD44B4125BB91C73AF1412B76">
    <w:name w:val="725E8D5CD44B4125BB91C73AF1412B76"/>
    <w:rsid w:val="00753EF0"/>
  </w:style>
  <w:style w:type="paragraph" w:customStyle="1" w:styleId="8D7C13FCB78B4CA7B8739ECDA78A4F48">
    <w:name w:val="8D7C13FCB78B4CA7B8739ECDA78A4F48"/>
    <w:rsid w:val="00753EF0"/>
  </w:style>
  <w:style w:type="paragraph" w:customStyle="1" w:styleId="17D186BD020C463984ECE3D4C1081FA8">
    <w:name w:val="17D186BD020C463984ECE3D4C1081FA8"/>
    <w:rsid w:val="00753EF0"/>
  </w:style>
  <w:style w:type="paragraph" w:customStyle="1" w:styleId="BC9446944FA34636B17A16E5F2A46531">
    <w:name w:val="BC9446944FA34636B17A16E5F2A46531"/>
    <w:rsid w:val="00FF775C"/>
  </w:style>
  <w:style w:type="paragraph" w:customStyle="1" w:styleId="E616C551B38B43BFAD5ED4F387CF909B">
    <w:name w:val="E616C551B38B43BFAD5ED4F387CF909B"/>
    <w:rsid w:val="00FF775C"/>
  </w:style>
  <w:style w:type="paragraph" w:customStyle="1" w:styleId="A7BE0F67B96B4EBC9357A412306D2ED6">
    <w:name w:val="A7BE0F67B96B4EBC9357A412306D2ED6"/>
    <w:rsid w:val="00FF775C"/>
  </w:style>
  <w:style w:type="paragraph" w:customStyle="1" w:styleId="FEFC0C04F14F4482BA4FA5C0268570A2">
    <w:name w:val="FEFC0C04F14F4482BA4FA5C0268570A2"/>
    <w:rsid w:val="00575D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F4690-427F-4D32-B255-B2C1DFDC960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f54d604-3e62-4e70-ba33-9e9084b96a6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EA3209-9BED-4160-B1AF-65FC7FC4D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C60702-9DD3-43EC-84C6-934CD7510C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43F712-357B-45DA-BA6D-EDF6363F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E2456DDD.dotm</Template>
  <TotalTime>0</TotalTime>
  <Pages>5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2019-07-05T04:34:00Z</dcterms:created>
  <dcterms:modified xsi:type="dcterms:W3CDTF">2019-08-20T23:46:00Z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