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7586384" w14:textId="77777777" w:rsidR="00BD499F" w:rsidRPr="004C23F4" w:rsidRDefault="00381BC7" w:rsidP="00B40C60">
          <w:pPr>
            <w:pStyle w:val="Heading1"/>
            <w:jc w:val="center"/>
            <w:rPr>
              <w:rFonts w:ascii="Arial" w:hAnsi="Arial" w:cs="Arial"/>
            </w:rPr>
          </w:pPr>
          <w:r w:rsidRPr="00381BC7">
            <w:rPr>
              <w:rFonts w:ascii="Arial" w:hAnsi="Arial" w:cs="Arial"/>
            </w:rPr>
            <w:t xml:space="preserve">Azinphos-methyl 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3"/>
        <w:gridCol w:w="5063"/>
      </w:tblGrid>
      <w:tr w:rsidR="00F43AD5" w:rsidRPr="004C23F4" w14:paraId="27DDD6A1" w14:textId="77777777" w:rsidTr="00AB2309">
        <w:trPr>
          <w:cantSplit/>
          <w:tblHeader/>
        </w:trPr>
        <w:tc>
          <w:tcPr>
            <w:tcW w:w="3963" w:type="dxa"/>
          </w:tcPr>
          <w:p w14:paraId="64EE668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63" w:type="dxa"/>
          </w:tcPr>
          <w:p w14:paraId="28DFAC33" w14:textId="77777777" w:rsidR="00F43AD5" w:rsidRPr="00717D45" w:rsidRDefault="00381BC7" w:rsidP="00B76A41">
            <w:pPr>
              <w:pStyle w:val="Tablefont"/>
            </w:pPr>
            <w:r>
              <w:t>86-50-0</w:t>
            </w:r>
          </w:p>
        </w:tc>
      </w:tr>
      <w:tr w:rsidR="00F43AD5" w:rsidRPr="004C23F4" w14:paraId="27651EB8" w14:textId="77777777" w:rsidTr="00AB2309">
        <w:trPr>
          <w:cantSplit/>
        </w:trPr>
        <w:tc>
          <w:tcPr>
            <w:tcW w:w="3963" w:type="dxa"/>
          </w:tcPr>
          <w:p w14:paraId="047F978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63" w:type="dxa"/>
          </w:tcPr>
          <w:p w14:paraId="2DE438D5" w14:textId="14616035" w:rsidR="00F43AD5" w:rsidRPr="00717D45" w:rsidRDefault="007035EA" w:rsidP="00B76A41">
            <w:pPr>
              <w:pStyle w:val="Tablefont"/>
            </w:pPr>
            <w:r>
              <w:t>Gusathion, g</w:t>
            </w:r>
            <w:r w:rsidR="00FE4310">
              <w:t>usathion A, Guthion®,</w:t>
            </w:r>
            <w:r w:rsidR="005F5686">
              <w:t xml:space="preserve"> </w:t>
            </w:r>
            <w:r w:rsidR="00671EBF">
              <w:br/>
            </w:r>
            <w:r>
              <w:t>O,O-d</w:t>
            </w:r>
            <w:r w:rsidR="00FE4310" w:rsidRPr="00FE4310">
              <w:t>imethyl S</w:t>
            </w:r>
            <w:r w:rsidR="002E401E">
              <w:noBreakHyphen/>
            </w:r>
            <w:r w:rsidR="002E401E" w:rsidRPr="00FE4310">
              <w:t>[(</w:t>
            </w:r>
            <w:r w:rsidR="00FE4310" w:rsidRPr="00FE4310">
              <w:t>4-oxo-1,2,3-benzotriazin-3(4H</w:t>
            </w:r>
            <w:r w:rsidR="002E401E" w:rsidRPr="00FE4310">
              <w:t>)</w:t>
            </w:r>
            <w:r w:rsidR="002E401E">
              <w:noBreakHyphen/>
            </w:r>
            <w:r w:rsidR="00FE4310" w:rsidRPr="00FE4310">
              <w:t>yl)methyl]dithiophosphate</w:t>
            </w:r>
            <w:r w:rsidR="000E7716">
              <w:t xml:space="preserve">, </w:t>
            </w:r>
            <w:r w:rsidR="00AB2309">
              <w:br/>
            </w:r>
            <w:r>
              <w:t>p</w:t>
            </w:r>
            <w:r w:rsidR="000E7716" w:rsidRPr="00FE13AC">
              <w:t xml:space="preserve">hosphorodithioic acid, </w:t>
            </w:r>
            <w:r w:rsidR="00671EBF">
              <w:br/>
            </w:r>
            <w:r w:rsidR="000E7716" w:rsidRPr="00FE13AC">
              <w:t>O,O-dimethyl S-[(4-oxo-1,2,3-benzotriazin-3(4H</w:t>
            </w:r>
            <w:r w:rsidR="002E401E" w:rsidRPr="00FE13AC">
              <w:t>)</w:t>
            </w:r>
            <w:r w:rsidR="002E401E">
              <w:noBreakHyphen/>
            </w:r>
            <w:r w:rsidR="000E7716" w:rsidRPr="00FE13AC">
              <w:t>yl)methyl] ester</w:t>
            </w:r>
          </w:p>
        </w:tc>
      </w:tr>
      <w:tr w:rsidR="00F43AD5" w:rsidRPr="004C23F4" w14:paraId="1118D1D4" w14:textId="77777777" w:rsidTr="00AB2309">
        <w:trPr>
          <w:cantSplit/>
        </w:trPr>
        <w:tc>
          <w:tcPr>
            <w:tcW w:w="3963" w:type="dxa"/>
          </w:tcPr>
          <w:p w14:paraId="6D583C6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63" w:type="dxa"/>
          </w:tcPr>
          <w:p w14:paraId="6D131BA7" w14:textId="77777777" w:rsidR="00F43AD5" w:rsidRPr="00717D45" w:rsidRDefault="005F5686" w:rsidP="00B76A41">
            <w:pPr>
              <w:pStyle w:val="Tablefont"/>
            </w:pPr>
            <w:r>
              <w:t>C</w:t>
            </w:r>
            <w:r w:rsidRPr="005F5686">
              <w:rPr>
                <w:vertAlign w:val="subscript"/>
              </w:rPr>
              <w:t>10</w:t>
            </w:r>
            <w:r>
              <w:t>H</w:t>
            </w:r>
            <w:r w:rsidRPr="005F5686">
              <w:rPr>
                <w:vertAlign w:val="subscript"/>
              </w:rPr>
              <w:t>12</w:t>
            </w:r>
            <w:r>
              <w:t>N</w:t>
            </w:r>
            <w:r w:rsidRPr="005F5686">
              <w:rPr>
                <w:vertAlign w:val="subscript"/>
              </w:rPr>
              <w:t>3</w:t>
            </w:r>
            <w:r>
              <w:t>O</w:t>
            </w:r>
            <w:r w:rsidRPr="005F5686">
              <w:rPr>
                <w:vertAlign w:val="subscript"/>
              </w:rPr>
              <w:t>3</w:t>
            </w:r>
            <w:r>
              <w:t>PS</w:t>
            </w:r>
            <w:r w:rsidRPr="005F5686">
              <w:rPr>
                <w:vertAlign w:val="subscript"/>
              </w:rPr>
              <w:t>2</w:t>
            </w:r>
          </w:p>
        </w:tc>
      </w:tr>
    </w:tbl>
    <w:p w14:paraId="4466936B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A0D77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07BF6F0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E325A0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CB54098" w14:textId="77777777" w:rsidR="002C7AFE" w:rsidRPr="005A0D77" w:rsidRDefault="005A0D77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06D4D41B" w14:textId="77777777" w:rsidTr="00921DE7">
        <w:trPr>
          <w:cantSplit/>
        </w:trPr>
        <w:tc>
          <w:tcPr>
            <w:tcW w:w="4077" w:type="dxa"/>
            <w:vAlign w:val="center"/>
          </w:tcPr>
          <w:p w14:paraId="1EBD285C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9C21CB9" w14:textId="77777777" w:rsidR="002C7AFE" w:rsidRPr="00EB3D1B" w:rsidRDefault="00DD108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33E5FD0" w14:textId="77777777" w:rsidTr="00921DE7">
        <w:trPr>
          <w:cantSplit/>
        </w:trPr>
        <w:tc>
          <w:tcPr>
            <w:tcW w:w="4077" w:type="dxa"/>
            <w:vAlign w:val="center"/>
          </w:tcPr>
          <w:p w14:paraId="2DD9BCB1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528A493" w14:textId="77777777" w:rsidR="002C7AFE" w:rsidRPr="00EB3D1B" w:rsidRDefault="00DD108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CD65BD3" w14:textId="77777777" w:rsidTr="00A2073D">
        <w:trPr>
          <w:cantSplit/>
        </w:trPr>
        <w:tc>
          <w:tcPr>
            <w:tcW w:w="4077" w:type="dxa"/>
          </w:tcPr>
          <w:p w14:paraId="1AEE822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4B0513D3" w14:textId="77777777" w:rsidR="002C7AFE" w:rsidRPr="00EB3D1B" w:rsidRDefault="00954F6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Sk.; DSEN</w:t>
            </w:r>
          </w:p>
        </w:tc>
      </w:tr>
      <w:tr w:rsidR="002C7AFE" w:rsidRPr="004C23F4" w14:paraId="25BABD7C" w14:textId="77777777" w:rsidTr="00921DE7">
        <w:trPr>
          <w:cantSplit/>
        </w:trPr>
        <w:tc>
          <w:tcPr>
            <w:tcW w:w="4077" w:type="dxa"/>
            <w:vAlign w:val="center"/>
          </w:tcPr>
          <w:p w14:paraId="582D4829" w14:textId="60C73068" w:rsidR="00F10C97" w:rsidRPr="002C58FF" w:rsidRDefault="00921DE7" w:rsidP="0080362E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5C362F20" w14:textId="77777777" w:rsidR="002C7AFE" w:rsidRPr="00F121CE" w:rsidRDefault="00550B2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  <w:r w:rsidR="00FE4310">
              <w:rPr>
                <w:b/>
              </w:rPr>
              <w:t xml:space="preserve"> </w:t>
            </w:r>
          </w:p>
        </w:tc>
      </w:tr>
      <w:tr w:rsidR="0080362E" w:rsidRPr="004C23F4" w14:paraId="203B622D" w14:textId="77777777" w:rsidTr="0080362E">
        <w:trPr>
          <w:cantSplit/>
        </w:trPr>
        <w:tc>
          <w:tcPr>
            <w:tcW w:w="4077" w:type="dxa"/>
          </w:tcPr>
          <w:p w14:paraId="1E9093DA" w14:textId="4572A567" w:rsidR="0080362E" w:rsidRDefault="0080362E" w:rsidP="0080362E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2B84C9B8" w14:textId="03DFCE6F" w:rsidR="0080362E" w:rsidRPr="0080362E" w:rsidRDefault="0080362E" w:rsidP="00017C82">
            <w:pPr>
              <w:pStyle w:val="Tablefont"/>
            </w:pPr>
            <w:r w:rsidRPr="0080362E">
              <w:t xml:space="preserve">The recommended value is readily quantifiable through currently available sampling and analysis techniques. </w:t>
            </w:r>
          </w:p>
        </w:tc>
      </w:tr>
    </w:tbl>
    <w:p w14:paraId="0804163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FD5F3FC" w14:textId="6A2F9074" w:rsidR="006639B4" w:rsidRPr="004C23F4" w:rsidRDefault="007035EA" w:rsidP="000C139A">
      <w:pPr>
        <w:rPr>
          <w:rFonts w:cs="Arial"/>
        </w:rPr>
      </w:pPr>
      <w:r>
        <w:rPr>
          <w:rFonts w:cs="Arial"/>
        </w:rPr>
        <w:t>A</w:t>
      </w:r>
      <w:r w:rsidR="005A0D77">
        <w:rPr>
          <w:rFonts w:cs="Arial"/>
        </w:rPr>
        <w:t xml:space="preserve"> TWA</w:t>
      </w:r>
      <w:r>
        <w:rPr>
          <w:rFonts w:cs="Arial"/>
        </w:rPr>
        <w:t xml:space="preserve"> of </w:t>
      </w:r>
      <w:r w:rsidRPr="007035EA">
        <w:t>1 mg/m</w:t>
      </w:r>
      <w:r w:rsidRPr="007035EA">
        <w:rPr>
          <w:vertAlign w:val="superscript"/>
        </w:rPr>
        <w:t>3</w:t>
      </w:r>
      <w:r w:rsidR="005A0D77">
        <w:rPr>
          <w:rFonts w:cs="Arial"/>
        </w:rPr>
        <w:t xml:space="preserve"> is recommended to </w:t>
      </w:r>
      <w:r>
        <w:t>protect for</w:t>
      </w:r>
      <w:r w:rsidR="005A0D77">
        <w:t xml:space="preserve"> adverse effects resulting from </w:t>
      </w:r>
      <w:r w:rsidR="005A0D77" w:rsidRPr="0009497A">
        <w:t>the inhibition of acetylcholinesterase</w:t>
      </w:r>
      <w:r w:rsidR="005A0D77">
        <w:t xml:space="preserve"> </w:t>
      </w:r>
      <w:r w:rsidR="00BB7E7C">
        <w:t xml:space="preserve">(AChE) </w:t>
      </w:r>
      <w:r w:rsidR="005A0D77">
        <w:t>in exposed workers</w:t>
      </w:r>
      <w:r>
        <w:t>.</w:t>
      </w:r>
    </w:p>
    <w:p w14:paraId="6DFDCB8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C752693" w14:textId="36D8723C" w:rsidR="006639B4" w:rsidRDefault="00FE13AC" w:rsidP="006639B4">
      <w:pPr>
        <w:rPr>
          <w:rFonts w:cs="Arial"/>
        </w:rPr>
      </w:pPr>
      <w:r>
        <w:rPr>
          <w:rFonts w:cs="Arial"/>
        </w:rPr>
        <w:t>Azinphos-methyl</w:t>
      </w:r>
      <w:r w:rsidRPr="00FE13AC">
        <w:rPr>
          <w:rFonts w:cs="Arial"/>
        </w:rPr>
        <w:t xml:space="preserve"> is a </w:t>
      </w:r>
      <w:r w:rsidR="002E401E" w:rsidRPr="00FE13AC">
        <w:rPr>
          <w:rFonts w:cs="Arial"/>
        </w:rPr>
        <w:t>broad-spectrum</w:t>
      </w:r>
      <w:r>
        <w:rPr>
          <w:rFonts w:cs="Arial"/>
        </w:rPr>
        <w:t xml:space="preserve"> organophosphate insecticide </w:t>
      </w:r>
      <w:r w:rsidR="00AB2309">
        <w:rPr>
          <w:rFonts w:cs="Arial"/>
        </w:rPr>
        <w:t xml:space="preserve">with a </w:t>
      </w:r>
      <w:r>
        <w:rPr>
          <w:rFonts w:cs="Arial"/>
        </w:rPr>
        <w:t xml:space="preserve">toxic mode of action </w:t>
      </w:r>
      <w:r w:rsidR="00AB2309">
        <w:rPr>
          <w:rFonts w:cs="Arial"/>
        </w:rPr>
        <w:t>due to</w:t>
      </w:r>
      <w:r>
        <w:rPr>
          <w:rFonts w:cs="Arial"/>
        </w:rPr>
        <w:t xml:space="preserve"> </w:t>
      </w:r>
      <w:r w:rsidR="00384B20">
        <w:rPr>
          <w:rFonts w:cs="Arial"/>
        </w:rPr>
        <w:t>inhibition</w:t>
      </w:r>
      <w:r>
        <w:rPr>
          <w:rFonts w:cs="Arial"/>
        </w:rPr>
        <w:t xml:space="preserve"> of </w:t>
      </w:r>
      <w:r w:rsidR="002E401E">
        <w:t>AChE</w:t>
      </w:r>
      <w:r>
        <w:rPr>
          <w:rFonts w:cs="Arial"/>
        </w:rPr>
        <w:t>. It has been reported to be readily absorbed across the skin of humans and animals causing systemic effects (ACGIH, 2018; DFG, 2019).</w:t>
      </w:r>
    </w:p>
    <w:p w14:paraId="7555A20D" w14:textId="230061F8" w:rsidR="00954F65" w:rsidRPr="00925224" w:rsidRDefault="00FE13AC" w:rsidP="006639B4">
      <w:r>
        <w:t xml:space="preserve">Several NOAEL </w:t>
      </w:r>
      <w:r w:rsidR="00DB3D9E">
        <w:t xml:space="preserve">ranges </w:t>
      </w:r>
      <w:r>
        <w:t xml:space="preserve">from animal </w:t>
      </w:r>
      <w:r w:rsidR="00E75230">
        <w:t>(</w:t>
      </w:r>
      <w:r w:rsidR="002E10A7">
        <w:t xml:space="preserve">0.16 mg/kg/d to 0.75 mg/kg/d from </w:t>
      </w:r>
      <w:r w:rsidR="00E75230">
        <w:t>one</w:t>
      </w:r>
      <w:r w:rsidR="002E401E">
        <w:t>-</w:t>
      </w:r>
      <w:r w:rsidR="00E75230">
        <w:t xml:space="preserve"> and </w:t>
      </w:r>
      <w:r w:rsidR="002E401E">
        <w:t>two-</w:t>
      </w:r>
      <w:r w:rsidR="00E75230">
        <w:t xml:space="preserve">year feeding studies) </w:t>
      </w:r>
      <w:r>
        <w:t>and human studies</w:t>
      </w:r>
      <w:r w:rsidR="00925224">
        <w:t xml:space="preserve"> (</w:t>
      </w:r>
      <w:r w:rsidR="002E10A7">
        <w:t xml:space="preserve">0.25 to 0.29 mg/kg/d from </w:t>
      </w:r>
      <w:r w:rsidR="00925224">
        <w:t>28 and 30 d</w:t>
      </w:r>
      <w:r w:rsidR="00671EBF">
        <w:t>ay</w:t>
      </w:r>
      <w:r w:rsidR="00925224">
        <w:t xml:space="preserve"> oral studies)</w:t>
      </w:r>
      <w:r w:rsidR="00BD2860">
        <w:t xml:space="preserve"> have been reported. </w:t>
      </w:r>
      <w:r w:rsidR="002E10A7">
        <w:t>T</w:t>
      </w:r>
      <w:r>
        <w:t xml:space="preserve">he </w:t>
      </w:r>
      <w:r w:rsidR="00954F65">
        <w:t xml:space="preserve">reported </w:t>
      </w:r>
      <w:r>
        <w:t xml:space="preserve">oral </w:t>
      </w:r>
      <w:r w:rsidR="002E10A7">
        <w:t xml:space="preserve">NOAEL </w:t>
      </w:r>
      <w:r>
        <w:t>doses</w:t>
      </w:r>
      <w:r w:rsidR="002E10A7">
        <w:t xml:space="preserve"> are converted </w:t>
      </w:r>
      <w:r>
        <w:t>to inhalation concentrations</w:t>
      </w:r>
      <w:r w:rsidR="006A661A" w:rsidRPr="006A661A">
        <w:t xml:space="preserve"> </w:t>
      </w:r>
      <w:r w:rsidR="002E10A7">
        <w:t>by</w:t>
      </w:r>
      <w:r>
        <w:t xml:space="preserve"> </w:t>
      </w:r>
      <w:r w:rsidR="00EF2E24">
        <w:t>appl</w:t>
      </w:r>
      <w:r w:rsidR="002E10A7">
        <w:t>ying</w:t>
      </w:r>
      <w:r>
        <w:t xml:space="preserve"> </w:t>
      </w:r>
      <w:r w:rsidR="00AB2309">
        <w:t xml:space="preserve">generic </w:t>
      </w:r>
      <w:r>
        <w:t xml:space="preserve">human </w:t>
      </w:r>
      <w:r w:rsidR="006A661A">
        <w:t>exposure factors</w:t>
      </w:r>
      <w:r w:rsidR="00BD2860">
        <w:t xml:space="preserve">. </w:t>
      </w:r>
      <w:r w:rsidR="002E10A7">
        <w:t xml:space="preserve">These </w:t>
      </w:r>
      <w:r w:rsidR="00954F65">
        <w:t xml:space="preserve">conversions </w:t>
      </w:r>
      <w:r w:rsidR="002E10A7">
        <w:t xml:space="preserve">to inhalational exposures </w:t>
      </w:r>
      <w:r w:rsidR="00954F65">
        <w:t>ranged from 1.12</w:t>
      </w:r>
      <w:r w:rsidR="00BD2860">
        <w:t xml:space="preserve"> </w:t>
      </w:r>
      <w:r w:rsidR="00EF2E24" w:rsidRPr="00BD2860">
        <w:t>to</w:t>
      </w:r>
      <w:r w:rsidR="00EF2E24">
        <w:t xml:space="preserve"> </w:t>
      </w:r>
      <w:r w:rsidR="00954F65">
        <w:t>1.</w:t>
      </w:r>
      <w:r w:rsidR="0088723A">
        <w:t xml:space="preserve">84 </w:t>
      </w:r>
      <w:r w:rsidR="00954F65">
        <w:t>mg/m</w:t>
      </w:r>
      <w:r w:rsidR="00954F65">
        <w:rPr>
          <w:vertAlign w:val="superscript"/>
        </w:rPr>
        <w:t>3</w:t>
      </w:r>
      <w:r w:rsidR="00EF2E24" w:rsidRPr="00EF2E24">
        <w:t xml:space="preserve"> </w:t>
      </w:r>
      <w:r w:rsidR="00EF2E24">
        <w:t>(three animal studies), and approximately 1.</w:t>
      </w:r>
      <w:r w:rsidR="00887CAC">
        <w:t>75</w:t>
      </w:r>
      <w:r w:rsidR="00BD2860">
        <w:t xml:space="preserve"> </w:t>
      </w:r>
      <w:r w:rsidR="00EF2E24">
        <w:t>to 2.03 mg/m</w:t>
      </w:r>
      <w:r w:rsidR="00EF2E24">
        <w:rPr>
          <w:vertAlign w:val="superscript"/>
        </w:rPr>
        <w:t xml:space="preserve">3 </w:t>
      </w:r>
      <w:r w:rsidR="00EF2E24">
        <w:t xml:space="preserve">(three </w:t>
      </w:r>
      <w:r w:rsidR="00954F65">
        <w:t>human volunteer studies</w:t>
      </w:r>
      <w:r w:rsidR="00EF2E24">
        <w:t>)</w:t>
      </w:r>
      <w:r w:rsidR="000B2258">
        <w:t xml:space="preserve"> (DFG, 2019)</w:t>
      </w:r>
      <w:r w:rsidR="00BD2860">
        <w:t xml:space="preserve">. </w:t>
      </w:r>
      <w:r w:rsidR="00671EBF">
        <w:t>On a weight of evidence</w:t>
      </w:r>
      <w:r w:rsidR="00112D3F">
        <w:t>,</w:t>
      </w:r>
      <w:r w:rsidR="00671EBF">
        <w:t xml:space="preserve"> considering</w:t>
      </w:r>
      <w:r w:rsidR="00A0612A">
        <w:rPr>
          <w:rFonts w:cs="Arial"/>
        </w:rPr>
        <w:t xml:space="preserve"> </w:t>
      </w:r>
      <w:r w:rsidR="0088723A">
        <w:rPr>
          <w:rFonts w:cs="Arial"/>
        </w:rPr>
        <w:t xml:space="preserve">the </w:t>
      </w:r>
      <w:r w:rsidR="00671EBF">
        <w:rPr>
          <w:rFonts w:cs="Arial"/>
        </w:rPr>
        <w:t xml:space="preserve">available </w:t>
      </w:r>
      <w:r w:rsidR="00A0612A">
        <w:rPr>
          <w:rFonts w:cs="Arial"/>
        </w:rPr>
        <w:t xml:space="preserve">animal and human studies, </w:t>
      </w:r>
      <w:r w:rsidR="00AC1F2F">
        <w:t xml:space="preserve">the lowest value is used to recommend </w:t>
      </w:r>
      <w:r w:rsidR="00AB2309">
        <w:t xml:space="preserve">a </w:t>
      </w:r>
      <w:r w:rsidR="00AC1F2F">
        <w:t>TWA of 1 mg/m</w:t>
      </w:r>
      <w:r w:rsidR="00AC1F2F">
        <w:rPr>
          <w:vertAlign w:val="superscript"/>
        </w:rPr>
        <w:t>3</w:t>
      </w:r>
      <w:r w:rsidR="00AC1F2F">
        <w:t>.</w:t>
      </w:r>
      <w:r w:rsidR="00AC1F2F">
        <w:rPr>
          <w:vertAlign w:val="superscript"/>
        </w:rPr>
        <w:t xml:space="preserve">  </w:t>
      </w:r>
      <w:r w:rsidR="00AC1F2F">
        <w:rPr>
          <w:rFonts w:cs="Arial"/>
        </w:rPr>
        <w:t>T</w:t>
      </w:r>
      <w:r w:rsidR="00A0612A">
        <w:rPr>
          <w:rFonts w:cs="Arial"/>
        </w:rPr>
        <w:t xml:space="preserve">he </w:t>
      </w:r>
      <w:r w:rsidR="00AC1F2F">
        <w:rPr>
          <w:rFonts w:cs="Arial"/>
        </w:rPr>
        <w:t xml:space="preserve">recommended </w:t>
      </w:r>
      <w:r w:rsidR="00954F65">
        <w:rPr>
          <w:rFonts w:cs="Arial"/>
        </w:rPr>
        <w:t xml:space="preserve">TWA is considered </w:t>
      </w:r>
      <w:r w:rsidR="00A0612A">
        <w:rPr>
          <w:rFonts w:cs="Arial"/>
        </w:rPr>
        <w:t>protect</w:t>
      </w:r>
      <w:r w:rsidR="00AC1F2F">
        <w:rPr>
          <w:rFonts w:cs="Arial"/>
        </w:rPr>
        <w:t>ive</w:t>
      </w:r>
      <w:r w:rsidR="00A0612A">
        <w:rPr>
          <w:rFonts w:cs="Arial"/>
        </w:rPr>
        <w:t xml:space="preserve"> for the critical effect</w:t>
      </w:r>
      <w:r w:rsidR="00AC1F2F">
        <w:rPr>
          <w:rFonts w:cs="Arial"/>
        </w:rPr>
        <w:t>s</w:t>
      </w:r>
      <w:r w:rsidR="00A0612A">
        <w:rPr>
          <w:rFonts w:cs="Arial"/>
        </w:rPr>
        <w:t xml:space="preserve"> of </w:t>
      </w:r>
      <w:r w:rsidR="00BB7E7C">
        <w:t>AChE</w:t>
      </w:r>
      <w:r w:rsidR="00A0612A">
        <w:t xml:space="preserve"> inhibition</w:t>
      </w:r>
      <w:r w:rsidR="00AC1F2F">
        <w:t xml:space="preserve"> in the exposed workers</w:t>
      </w:r>
      <w:r w:rsidR="00954F65">
        <w:t>.</w:t>
      </w:r>
    </w:p>
    <w:p w14:paraId="7136C5F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D551DF2" w14:textId="77777777" w:rsidR="00954F65" w:rsidRPr="004C23F4" w:rsidRDefault="00954F65" w:rsidP="00954F65">
      <w:pPr>
        <w:rPr>
          <w:rFonts w:cs="Arial"/>
        </w:rPr>
      </w:pPr>
      <w:r>
        <w:rPr>
          <w:rFonts w:cs="Arial"/>
        </w:rPr>
        <w:t>Not c</w:t>
      </w:r>
      <w:r w:rsidRPr="009D7BB9">
        <w:rPr>
          <w:rFonts w:cs="Arial"/>
        </w:rPr>
        <w:t>lassified as a carcinogen according to the Globally Harmonized System of Classification and Labelling of Chemicals (GHS).</w:t>
      </w:r>
    </w:p>
    <w:p w14:paraId="256AB3F1" w14:textId="77777777" w:rsidR="00954F65" w:rsidRDefault="00954F65" w:rsidP="00954F65">
      <w:pPr>
        <w:rPr>
          <w:rFonts w:cs="Arial"/>
        </w:rPr>
      </w:pPr>
      <w:r>
        <w:rPr>
          <w:rFonts w:cs="Arial"/>
        </w:rPr>
        <w:t>Classified as a skin sensitiser</w:t>
      </w:r>
      <w:r w:rsidR="00DD1082">
        <w:rPr>
          <w:rFonts w:cs="Arial"/>
        </w:rPr>
        <w:t xml:space="preserve"> </w:t>
      </w:r>
      <w:r w:rsidR="00A0612A">
        <w:rPr>
          <w:rFonts w:cs="Arial"/>
        </w:rPr>
        <w:t>and</w:t>
      </w:r>
      <w:r w:rsidR="00DD1082">
        <w:rPr>
          <w:rFonts w:cs="Arial"/>
        </w:rPr>
        <w:t xml:space="preserve"> not a respiratory sensitiser</w:t>
      </w:r>
      <w:r>
        <w:rPr>
          <w:rFonts w:cs="Arial"/>
        </w:rPr>
        <w:t xml:space="preserve"> according to the GHS.</w:t>
      </w:r>
    </w:p>
    <w:p w14:paraId="0985F507" w14:textId="77777777" w:rsidR="004529F0" w:rsidRPr="004C23F4" w:rsidRDefault="00954F65" w:rsidP="004529F0">
      <w:pPr>
        <w:rPr>
          <w:rFonts w:cs="Arial"/>
        </w:rPr>
      </w:pPr>
      <w:r w:rsidRPr="00377348">
        <w:rPr>
          <w:rFonts w:cs="Arial"/>
        </w:rPr>
        <w:lastRenderedPageBreak/>
        <w:t xml:space="preserve">A skin notation is recommended based on </w:t>
      </w:r>
      <w:r w:rsidR="00A0612A">
        <w:rPr>
          <w:rFonts w:cs="Arial"/>
        </w:rPr>
        <w:t xml:space="preserve">evidence </w:t>
      </w:r>
      <w:r>
        <w:rPr>
          <w:rFonts w:cs="Arial"/>
        </w:rPr>
        <w:t>of</w:t>
      </w:r>
      <w:r w:rsidRPr="00377348">
        <w:rPr>
          <w:rFonts w:cs="Arial"/>
        </w:rPr>
        <w:t xml:space="preserve"> dermal </w:t>
      </w:r>
      <w:r>
        <w:rPr>
          <w:rFonts w:cs="Arial"/>
        </w:rPr>
        <w:t xml:space="preserve">absorption </w:t>
      </w:r>
      <w:r w:rsidR="00A0612A">
        <w:rPr>
          <w:rFonts w:cs="Arial"/>
        </w:rPr>
        <w:t>resulting in</w:t>
      </w:r>
      <w:r w:rsidR="00E601F2">
        <w:rPr>
          <w:rFonts w:cs="Arial"/>
        </w:rPr>
        <w:t xml:space="preserve"> </w:t>
      </w:r>
      <w:r>
        <w:rPr>
          <w:rFonts w:cs="Arial"/>
        </w:rPr>
        <w:t>systemic effects in humans and animals.</w:t>
      </w:r>
    </w:p>
    <w:p w14:paraId="7315C42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513690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4B22A3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7433C6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20A113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7572BDF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720C8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F568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F5686">
                  <w:t>TWA: 0.2 mg/m</w:t>
                </w:r>
                <w:r w:rsidR="005F568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F1E130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3AF6E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1BB927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CC754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90779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90779">
                  <w:t>TLV-TWA: 0.2 mg/m</w:t>
                </w:r>
                <w:r w:rsidR="00C9077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D3152A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3ED9958" w14:textId="2C9B51D1" w:rsidR="00C978F0" w:rsidRDefault="00C90779" w:rsidP="003365A5">
            <w:pPr>
              <w:pStyle w:val="Tabletextprimarysource"/>
            </w:pPr>
            <w:r>
              <w:t xml:space="preserve">TLV-TWA recommended to protect </w:t>
            </w:r>
            <w:r w:rsidR="00DD1082">
              <w:t xml:space="preserve">for </w:t>
            </w:r>
            <w:r>
              <w:t xml:space="preserve">decreased activity of </w:t>
            </w:r>
            <w:r w:rsidR="00A0612A">
              <w:t>AChE</w:t>
            </w:r>
            <w:r w:rsidR="0094260E">
              <w:t xml:space="preserve"> </w:t>
            </w:r>
            <w:r w:rsidR="00EE4ADD">
              <w:t>and other biological effects</w:t>
            </w:r>
            <w:r>
              <w:t xml:space="preserve"> in exposed workers.</w:t>
            </w:r>
          </w:p>
          <w:p w14:paraId="2D20A9D3" w14:textId="77777777" w:rsidR="00A0612A" w:rsidRDefault="00A0612A" w:rsidP="003365A5">
            <w:pPr>
              <w:pStyle w:val="Tabletextprimarysource"/>
            </w:pPr>
          </w:p>
          <w:p w14:paraId="591FC9DC" w14:textId="77777777" w:rsidR="00952D6A" w:rsidRDefault="00C90779" w:rsidP="003365A5">
            <w:pPr>
              <w:pStyle w:val="Tabletextprimarysource"/>
            </w:pPr>
            <w:r>
              <w:t>Summary of data:</w:t>
            </w:r>
          </w:p>
          <w:p w14:paraId="338FDE54" w14:textId="77777777" w:rsidR="00C90779" w:rsidRDefault="00C90779" w:rsidP="003365A5">
            <w:pPr>
              <w:pStyle w:val="Tabletextprimarysource"/>
            </w:pPr>
            <w:r>
              <w:t>Human data:</w:t>
            </w:r>
          </w:p>
          <w:p w14:paraId="31511B73" w14:textId="77777777" w:rsidR="00C90779" w:rsidRDefault="00EE4ADD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Case report of visual disturbances, headache, tightness of chest, abdominal cramps, nausea, vomiting, weakness and excess salivation in a male who spilled concentrate on their hands</w:t>
            </w:r>
          </w:p>
          <w:p w14:paraId="0F96E9F1" w14:textId="3CA4819D" w:rsidR="00B57E8D" w:rsidRDefault="00B773CE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No adverse cholinergic effects or </w:t>
            </w:r>
            <w:r w:rsidR="002E401E">
              <w:t>AChE</w:t>
            </w:r>
            <w:r w:rsidR="002E401E" w:rsidDel="002E401E">
              <w:t xml:space="preserve"> </w:t>
            </w:r>
            <w:r>
              <w:t xml:space="preserve">inhibition compared to pre-exposure levels </w:t>
            </w:r>
            <w:r w:rsidR="00EE4ADD">
              <w:t xml:space="preserve">in volunteers given repeated oral </w:t>
            </w:r>
            <w:r w:rsidR="00540C38">
              <w:t>dose of</w:t>
            </w:r>
            <w:r>
              <w:t xml:space="preserve"> </w:t>
            </w:r>
            <w:r w:rsidR="00EE4ADD">
              <w:t>0.23 mg/kg</w:t>
            </w:r>
          </w:p>
          <w:p w14:paraId="4181CA61" w14:textId="36FA8019" w:rsidR="00074D60" w:rsidRDefault="00074D60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TLV-TWA of 0.2 mg/m</w:t>
            </w:r>
            <w:r>
              <w:rPr>
                <w:vertAlign w:val="superscript"/>
              </w:rPr>
              <w:t>3</w:t>
            </w:r>
            <w:r>
              <w:t xml:space="preserve"> was derived using the oral dose </w:t>
            </w:r>
            <w:r w:rsidR="0079319B">
              <w:t xml:space="preserve">of 0.23 mg/kg </w:t>
            </w:r>
            <w:r>
              <w:t>and converting it to an inhalational exposure of 1.6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1B0410">
              <w:t>for</w:t>
            </w:r>
            <w:r w:rsidR="0079319B">
              <w:t xml:space="preserve"> 8 h working shift </w:t>
            </w:r>
            <w:r>
              <w:t>(assuming 70 kg bw</w:t>
            </w:r>
            <w:r w:rsidR="0079319B">
              <w:t xml:space="preserve"> breathing 10 m</w:t>
            </w:r>
            <w:r w:rsidR="0079319B">
              <w:rPr>
                <w:vertAlign w:val="superscript"/>
              </w:rPr>
              <w:t>3</w:t>
            </w:r>
            <w:r w:rsidR="0079319B">
              <w:t xml:space="preserve"> with</w:t>
            </w:r>
            <w:r>
              <w:t xml:space="preserve"> 100% absorption) </w:t>
            </w:r>
          </w:p>
          <w:p w14:paraId="3780112B" w14:textId="327C1F31" w:rsidR="0063434A" w:rsidRDefault="00EE4ADD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Observational studies </w:t>
            </w:r>
            <w:r w:rsidR="00EF2E24">
              <w:t>reported</w:t>
            </w:r>
            <w:r w:rsidR="0063434A">
              <w:t xml:space="preserve"> 70% reduction in blood </w:t>
            </w:r>
            <w:r w:rsidR="00BB7E7C">
              <w:t>AChE</w:t>
            </w:r>
            <w:r w:rsidR="0063434A">
              <w:t xml:space="preserve"> activity in workers working </w:t>
            </w:r>
            <w:r>
              <w:t xml:space="preserve">in </w:t>
            </w:r>
            <w:r w:rsidR="00EF2E24">
              <w:t xml:space="preserve">treated </w:t>
            </w:r>
            <w:r>
              <w:t xml:space="preserve">orchards </w:t>
            </w:r>
            <w:r w:rsidR="0063434A">
              <w:t>with dermal intake being the primary exposure route</w:t>
            </w:r>
            <w:r w:rsidR="00E601F2">
              <w:t>.</w:t>
            </w:r>
          </w:p>
          <w:p w14:paraId="471F6115" w14:textId="77777777" w:rsidR="00DD1082" w:rsidRDefault="00DD1082" w:rsidP="00610C09">
            <w:pPr>
              <w:pStyle w:val="ListBullet"/>
              <w:numPr>
                <w:ilvl w:val="0"/>
                <w:numId w:val="0"/>
              </w:numPr>
              <w:ind w:left="731"/>
            </w:pPr>
          </w:p>
          <w:p w14:paraId="19DC40E4" w14:textId="77777777" w:rsidR="00EE4ADD" w:rsidRDefault="0063434A" w:rsidP="0063434A">
            <w:pPr>
              <w:pStyle w:val="Tabletextprimarysource"/>
            </w:pPr>
            <w:r>
              <w:t>Animal data:</w:t>
            </w:r>
          </w:p>
          <w:p w14:paraId="31B231A3" w14:textId="339CE00D" w:rsidR="0063434A" w:rsidRDefault="0063434A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132</w:t>
            </w:r>
            <w:r w:rsidR="00DD1082">
              <w:t>–</w:t>
            </w:r>
            <w:r w:rsidR="00B773CE">
              <w:t xml:space="preserve">155 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384B20">
              <w:t>(</w:t>
            </w:r>
            <w:r w:rsidR="00952D6A">
              <w:t xml:space="preserve">female </w:t>
            </w:r>
            <w:r>
              <w:t>rats</w:t>
            </w:r>
            <w:r w:rsidR="00384B20">
              <w:t>, 4 h</w:t>
            </w:r>
            <w:r w:rsidR="001A06F6">
              <w:t>, 14 d</w:t>
            </w:r>
            <w:r w:rsidR="00384B20">
              <w:t>)</w:t>
            </w:r>
          </w:p>
          <w:p w14:paraId="1C2706A5" w14:textId="0FF6A9EB" w:rsidR="00F02BE0" w:rsidRDefault="00F02BE0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385–396 mg/m</w:t>
            </w:r>
            <w:r>
              <w:rPr>
                <w:vertAlign w:val="superscript"/>
              </w:rPr>
              <w:t>3</w:t>
            </w:r>
            <w:r>
              <w:t xml:space="preserve"> (male rats, 1 h, 14 d)</w:t>
            </w:r>
          </w:p>
          <w:p w14:paraId="2036A5E9" w14:textId="4E506A43" w:rsidR="00952D6A" w:rsidRDefault="006D1E90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R</w:t>
            </w:r>
            <w:r w:rsidR="00952D6A">
              <w:t xml:space="preserve">ats exposed </w:t>
            </w:r>
            <w:r w:rsidR="00A0612A">
              <w:t>at</w:t>
            </w:r>
            <w:r>
              <w:t xml:space="preserve"> </w:t>
            </w:r>
            <w:r w:rsidR="00FE4310">
              <w:rPr>
                <w:rFonts w:cs="Arial"/>
              </w:rPr>
              <w:t>≤</w:t>
            </w:r>
            <w:r w:rsidR="00952D6A">
              <w:t>4.72 mg/m</w:t>
            </w:r>
            <w:r w:rsidR="00952D6A">
              <w:rPr>
                <w:vertAlign w:val="superscript"/>
              </w:rPr>
              <w:t>3</w:t>
            </w:r>
            <w:r w:rsidR="00952D6A">
              <w:t xml:space="preserve"> for 6 h/d, 5 d/w</w:t>
            </w:r>
            <w:r>
              <w:t xml:space="preserve">k for 12 </w:t>
            </w:r>
            <w:r w:rsidR="00384B20">
              <w:t>wk</w:t>
            </w:r>
            <w:r>
              <w:t>:</w:t>
            </w:r>
          </w:p>
          <w:p w14:paraId="6B87976F" w14:textId="77777777" w:rsidR="006D1E90" w:rsidRDefault="00A0612A" w:rsidP="00FB0C5B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n</w:t>
            </w:r>
            <w:r w:rsidR="006D1E90" w:rsidRPr="006D1E90">
              <w:t>o significant chang</w:t>
            </w:r>
            <w:r w:rsidR="006D1E90">
              <w:t>es in appearance or behaviour</w:t>
            </w:r>
          </w:p>
          <w:p w14:paraId="4BC97B94" w14:textId="77777777" w:rsidR="00E75230" w:rsidRDefault="00A0612A" w:rsidP="00FB0C5B">
            <w:pPr>
              <w:pStyle w:val="ListBullet"/>
              <w:numPr>
                <w:ilvl w:val="0"/>
                <w:numId w:val="3"/>
              </w:numPr>
              <w:ind w:left="1156"/>
            </w:pPr>
            <w:r>
              <w:t>r</w:t>
            </w:r>
            <w:r w:rsidR="00E75230">
              <w:t xml:space="preserve">educed body weight gains in </w:t>
            </w:r>
            <w:r w:rsidR="00E75230" w:rsidRPr="005E66E3">
              <w:t>males at 4.72 mg/</w:t>
            </w:r>
            <w:r w:rsidR="005E66E3" w:rsidRPr="005E66E3">
              <w:t>m</w:t>
            </w:r>
            <w:r w:rsidR="00E75230" w:rsidRPr="005E66E3">
              <w:rPr>
                <w:vertAlign w:val="superscript"/>
              </w:rPr>
              <w:t>3</w:t>
            </w:r>
          </w:p>
          <w:p w14:paraId="0B96B928" w14:textId="38CDD5FB" w:rsidR="006D1E90" w:rsidRDefault="00A0612A" w:rsidP="005F2893">
            <w:pPr>
              <w:pStyle w:val="ListBullet"/>
              <w:numPr>
                <w:ilvl w:val="0"/>
                <w:numId w:val="3"/>
              </w:numPr>
              <w:spacing w:before="0" w:after="80"/>
              <w:ind w:left="1151" w:hanging="357"/>
              <w:contextualSpacing w:val="0"/>
            </w:pPr>
            <w:r>
              <w:t>i</w:t>
            </w:r>
            <w:r w:rsidR="006D1E90">
              <w:t xml:space="preserve">nhibition of plasma and RBC </w:t>
            </w:r>
            <w:r w:rsidR="00BB7E7C">
              <w:t>AChE</w:t>
            </w:r>
            <w:r w:rsidR="00BB7E7C" w:rsidDel="00BB7E7C">
              <w:t xml:space="preserve"> </w:t>
            </w:r>
            <w:r w:rsidR="00AB2309">
              <w:t xml:space="preserve"> (30–</w:t>
            </w:r>
            <w:r w:rsidR="006D1E90">
              <w:t>40%) observed at 4.72 mg/m</w:t>
            </w:r>
            <w:r w:rsidR="006D1E90">
              <w:rPr>
                <w:vertAlign w:val="superscript"/>
              </w:rPr>
              <w:t>3</w:t>
            </w:r>
            <w:r w:rsidR="00B773CE">
              <w:t xml:space="preserve"> </w:t>
            </w:r>
            <w:r w:rsidR="006D1E90">
              <w:t xml:space="preserve">but not </w:t>
            </w:r>
            <w:r w:rsidR="00B57E8D">
              <w:t>lower doses</w:t>
            </w:r>
          </w:p>
          <w:p w14:paraId="3049E596" w14:textId="77777777" w:rsidR="00952D6A" w:rsidRDefault="00952D6A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384B20">
              <w:t>: 220 mg/kg (</w:t>
            </w:r>
            <w:r>
              <w:t>rats</w:t>
            </w:r>
            <w:r w:rsidR="00384B20">
              <w:t>, dermal)</w:t>
            </w:r>
          </w:p>
          <w:p w14:paraId="1DF96BDC" w14:textId="583ADD3F" w:rsidR="0063434A" w:rsidRDefault="00557855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NOAEL of 0.2</w:t>
            </w:r>
            <w:r w:rsidR="00A0612A">
              <w:t>-</w:t>
            </w:r>
            <w:r w:rsidR="0063434A">
              <w:t xml:space="preserve">0.3 mg/kg/d for RBC </w:t>
            </w:r>
            <w:r w:rsidR="00BB7E7C">
              <w:t>AChE</w:t>
            </w:r>
            <w:r w:rsidR="009E7AAD">
              <w:t xml:space="preserve"> inhibition in dogs (repeated oral doses)</w:t>
            </w:r>
          </w:p>
          <w:p w14:paraId="04AB8B87" w14:textId="77777777" w:rsidR="00B57E8D" w:rsidRDefault="00B57E8D" w:rsidP="00B57E8D">
            <w:pPr>
              <w:pStyle w:val="Tabletextprimarysource"/>
            </w:pPr>
            <w:r>
              <w:t>No evidence of carcinogenicity in humans, dogs, rats, or mice</w:t>
            </w:r>
          </w:p>
          <w:p w14:paraId="44145AC9" w14:textId="77777777" w:rsidR="0094260E" w:rsidRDefault="0094260E" w:rsidP="00B57E8D">
            <w:pPr>
              <w:pStyle w:val="Tabletextprimarysource"/>
            </w:pPr>
            <w:r>
              <w:t xml:space="preserve">No evidence of mutagenicity in </w:t>
            </w:r>
            <w:r>
              <w:rPr>
                <w:i/>
              </w:rPr>
              <w:t xml:space="preserve">in vitro </w:t>
            </w:r>
            <w:r>
              <w:t xml:space="preserve">and most </w:t>
            </w:r>
            <w:r>
              <w:rPr>
                <w:i/>
              </w:rPr>
              <w:t>in vivo</w:t>
            </w:r>
            <w:r>
              <w:t xml:space="preserve"> assays</w:t>
            </w:r>
            <w:r w:rsidR="00D36EE0">
              <w:t>.</w:t>
            </w:r>
          </w:p>
          <w:p w14:paraId="5BEBB951" w14:textId="77777777" w:rsidR="00E601F2" w:rsidRPr="00DA352E" w:rsidRDefault="00E601F2" w:rsidP="00B57E8D">
            <w:pPr>
              <w:pStyle w:val="Tabletextprimarysource"/>
            </w:pPr>
          </w:p>
        </w:tc>
      </w:tr>
      <w:tr w:rsidR="00C978F0" w:rsidRPr="00DA352E" w14:paraId="5F1FE92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83BF48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57E8D">
                  <w:t>2019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09497A">
                  <w:t>MAK: 1 mg/m</w:t>
                </w:r>
                <w:r w:rsidR="0009497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D5F1733" w14:textId="77777777" w:rsidTr="009C5BD9">
        <w:trPr>
          <w:gridAfter w:val="1"/>
          <w:wAfter w:w="8" w:type="pct"/>
        </w:trPr>
        <w:tc>
          <w:tcPr>
            <w:tcW w:w="4992" w:type="pct"/>
          </w:tcPr>
          <w:p w14:paraId="66416E43" w14:textId="77777777" w:rsidR="00C978F0" w:rsidRDefault="0009497A" w:rsidP="003365A5">
            <w:pPr>
              <w:pStyle w:val="Tabletextprimarysource"/>
            </w:pPr>
            <w:r>
              <w:t xml:space="preserve">MAK </w:t>
            </w:r>
            <w:r w:rsidR="00E601F2">
              <w:t>recommended</w:t>
            </w:r>
            <w:r>
              <w:t xml:space="preserve"> to prevent adverse effects resulting from </w:t>
            </w:r>
            <w:r w:rsidRPr="0009497A">
              <w:t xml:space="preserve">the inhibition of </w:t>
            </w:r>
            <w:r w:rsidR="00A0612A">
              <w:t>AChE</w:t>
            </w:r>
            <w:r>
              <w:t>.</w:t>
            </w:r>
          </w:p>
          <w:p w14:paraId="772FF766" w14:textId="77777777" w:rsidR="005F2893" w:rsidRDefault="005F2893" w:rsidP="003365A5">
            <w:pPr>
              <w:pStyle w:val="Tabletextprimarysource"/>
            </w:pPr>
          </w:p>
          <w:p w14:paraId="0632F5F3" w14:textId="77777777" w:rsidR="0009497A" w:rsidRDefault="0009497A" w:rsidP="003365A5">
            <w:pPr>
              <w:pStyle w:val="Tabletextprimarysource"/>
            </w:pPr>
            <w:r>
              <w:t>Summary of additional data:</w:t>
            </w:r>
          </w:p>
          <w:p w14:paraId="6C122259" w14:textId="77777777" w:rsidR="0009497A" w:rsidRDefault="003F600B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NOAEC</w:t>
            </w:r>
            <w:r w:rsidR="005F2893">
              <w:t>:</w:t>
            </w:r>
            <w:r>
              <w:t xml:space="preserve"> 1.24 mg/m</w:t>
            </w:r>
            <w:r>
              <w:rPr>
                <w:vertAlign w:val="superscript"/>
              </w:rPr>
              <w:t>3</w:t>
            </w:r>
            <w:r w:rsidR="003907DD">
              <w:rPr>
                <w:vertAlign w:val="subscript"/>
              </w:rPr>
              <w:t xml:space="preserve"> </w:t>
            </w:r>
            <w:r w:rsidR="000E7716">
              <w:t>(</w:t>
            </w:r>
            <w:r w:rsidR="005F2893">
              <w:t xml:space="preserve">rats; </w:t>
            </w:r>
            <w:r w:rsidR="000E7716">
              <w:t xml:space="preserve">3 </w:t>
            </w:r>
            <w:r w:rsidR="00D36EE0">
              <w:t>mo</w:t>
            </w:r>
            <w:r w:rsidR="003907DD">
              <w:t>)</w:t>
            </w:r>
          </w:p>
          <w:p w14:paraId="0EBC9D95" w14:textId="77777777" w:rsidR="003907DD" w:rsidRDefault="003907DD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Toxicokinetic conversions </w:t>
            </w:r>
            <w:r w:rsidR="009A6AAD">
              <w:t>(</w:t>
            </w:r>
            <w:r>
              <w:t xml:space="preserve">using </w:t>
            </w:r>
            <w:r w:rsidRPr="003907DD">
              <w:t xml:space="preserve">assumed inhalation absorption of 100%, </w:t>
            </w:r>
            <w:r w:rsidR="005F2893">
              <w:t>bw</w:t>
            </w:r>
            <w:r w:rsidRPr="003907DD">
              <w:t xml:space="preserve"> 70 kg and respirato</w:t>
            </w:r>
            <w:r>
              <w:t>ry volume of 10 m</w:t>
            </w:r>
            <w:r>
              <w:rPr>
                <w:vertAlign w:val="superscript"/>
              </w:rPr>
              <w:t>3</w:t>
            </w:r>
            <w:r w:rsidR="009A6AAD">
              <w:t xml:space="preserve"> for humans </w:t>
            </w:r>
            <w:r w:rsidR="00D36EE0">
              <w:t>with consideration</w:t>
            </w:r>
            <w:r w:rsidR="009A6AAD">
              <w:t xml:space="preserve"> </w:t>
            </w:r>
            <w:r w:rsidR="00D36EE0">
              <w:t>of</w:t>
            </w:r>
            <w:r w:rsidR="009A6AAD">
              <w:t xml:space="preserve"> species-specific correction value):</w:t>
            </w:r>
          </w:p>
          <w:p w14:paraId="74F60A4F" w14:textId="2FDEC3A5" w:rsidR="003907DD" w:rsidRDefault="003907DD" w:rsidP="00FB0C5B">
            <w:pPr>
              <w:pStyle w:val="ListBullet"/>
              <w:numPr>
                <w:ilvl w:val="0"/>
                <w:numId w:val="4"/>
              </w:numPr>
              <w:ind w:left="1156"/>
            </w:pPr>
            <w:r>
              <w:t>N</w:t>
            </w:r>
            <w:r w:rsidR="000956BF">
              <w:t>OAEL: 0.75</w:t>
            </w:r>
            <w:r>
              <w:t xml:space="preserve"> mg/kg/d (rat; 2 yr</w:t>
            </w:r>
            <w:r w:rsidR="000956BF">
              <w:t xml:space="preserve"> feeding</w:t>
            </w:r>
            <w:r>
              <w:t>)</w:t>
            </w:r>
            <w:r w:rsidR="007035EA">
              <w:t>:</w:t>
            </w:r>
            <w:r w:rsidR="000956BF">
              <w:t xml:space="preserve"> </w:t>
            </w:r>
            <w:r w:rsidR="007035EA">
              <w:rPr>
                <w:rFonts w:cs="Arial"/>
              </w:rPr>
              <w:t>≡</w:t>
            </w:r>
            <w:r w:rsidR="000956BF">
              <w:t>1.84 mg/m</w:t>
            </w:r>
            <w:r w:rsidR="000956BF">
              <w:rPr>
                <w:vertAlign w:val="superscript"/>
              </w:rPr>
              <w:t>3</w:t>
            </w:r>
            <w:r w:rsidR="007035EA">
              <w:t xml:space="preserve"> in air</w:t>
            </w:r>
          </w:p>
          <w:p w14:paraId="1DF666D9" w14:textId="43EEBFBB" w:rsidR="000956BF" w:rsidRDefault="000956BF" w:rsidP="00FB0C5B">
            <w:pPr>
              <w:pStyle w:val="ListBullet"/>
              <w:numPr>
                <w:ilvl w:val="0"/>
                <w:numId w:val="4"/>
              </w:numPr>
              <w:ind w:left="1156"/>
            </w:pPr>
            <w:r>
              <w:lastRenderedPageBreak/>
              <w:t>NOAEL: 0.</w:t>
            </w:r>
            <w:r w:rsidR="007035EA">
              <w:t>98 mg/kg/d (mice; 2 yr feeding):</w:t>
            </w:r>
            <w:r w:rsidR="007035EA">
              <w:rPr>
                <w:rFonts w:cs="Arial"/>
              </w:rPr>
              <w:t xml:space="preserve"> ≡</w:t>
            </w:r>
            <w:r>
              <w:t>1.37 mg/m</w:t>
            </w:r>
            <w:r>
              <w:rPr>
                <w:vertAlign w:val="superscript"/>
              </w:rPr>
              <w:t>3</w:t>
            </w:r>
            <w:r w:rsidR="007035EA">
              <w:t xml:space="preserve"> in air</w:t>
            </w:r>
          </w:p>
          <w:p w14:paraId="10D446E9" w14:textId="7F25B229" w:rsidR="000956BF" w:rsidRDefault="000956BF" w:rsidP="00FB0C5B">
            <w:pPr>
              <w:pStyle w:val="ListBullet"/>
              <w:numPr>
                <w:ilvl w:val="0"/>
                <w:numId w:val="4"/>
              </w:numPr>
              <w:ind w:left="1156"/>
            </w:pPr>
            <w:r>
              <w:t>NOAEL:</w:t>
            </w:r>
            <w:r w:rsidR="007035EA">
              <w:t xml:space="preserve"> 0.16 mg/kg/d (dog; 1 yr oral):</w:t>
            </w:r>
            <w:r>
              <w:t xml:space="preserve"> </w:t>
            </w:r>
            <w:r w:rsidR="007035EA">
              <w:rPr>
                <w:rFonts w:cs="Arial"/>
              </w:rPr>
              <w:t>≡</w:t>
            </w:r>
            <w:r>
              <w:t>1.12 mg/m</w:t>
            </w:r>
            <w:r>
              <w:rPr>
                <w:vertAlign w:val="superscript"/>
              </w:rPr>
              <w:t>3</w:t>
            </w:r>
            <w:r w:rsidR="007035EA">
              <w:t xml:space="preserve"> in air</w:t>
            </w:r>
          </w:p>
          <w:p w14:paraId="3AB11556" w14:textId="4600AFF8" w:rsidR="000956BF" w:rsidRDefault="000956BF" w:rsidP="00FB0C5B">
            <w:pPr>
              <w:pStyle w:val="ListBullet"/>
              <w:numPr>
                <w:ilvl w:val="0"/>
                <w:numId w:val="4"/>
              </w:numPr>
              <w:ind w:left="1156"/>
            </w:pPr>
            <w:r>
              <w:t>NOAEL: 0.25 mg/kg/d (male human volunteers; 28 d oral):</w:t>
            </w:r>
            <w:r w:rsidR="007035EA">
              <w:rPr>
                <w:rFonts w:cs="Arial"/>
              </w:rPr>
              <w:t xml:space="preserve"> ≡</w:t>
            </w:r>
            <w:r>
              <w:t>1.75 mg/m</w:t>
            </w:r>
            <w:r>
              <w:rPr>
                <w:vertAlign w:val="superscript"/>
              </w:rPr>
              <w:t>3</w:t>
            </w:r>
            <w:r w:rsidR="007035EA">
              <w:t xml:space="preserve"> in air</w:t>
            </w:r>
          </w:p>
          <w:p w14:paraId="368C6307" w14:textId="33A908B8" w:rsidR="000956BF" w:rsidRDefault="000956BF" w:rsidP="005F2893">
            <w:pPr>
              <w:pStyle w:val="ListBullet"/>
              <w:numPr>
                <w:ilvl w:val="0"/>
                <w:numId w:val="4"/>
              </w:numPr>
              <w:spacing w:before="0" w:after="80"/>
              <w:ind w:left="1151" w:hanging="357"/>
              <w:contextualSpacing w:val="0"/>
            </w:pPr>
            <w:r>
              <w:t>NOAEL: 0.29 mg/kg/d (male human volunteers; 30 d oral):</w:t>
            </w:r>
            <w:r w:rsidR="007035EA">
              <w:rPr>
                <w:rFonts w:cs="Arial"/>
              </w:rPr>
              <w:t xml:space="preserve"> ≡</w:t>
            </w:r>
            <w:r>
              <w:t>2.03 mg/m</w:t>
            </w:r>
            <w:r>
              <w:rPr>
                <w:vertAlign w:val="superscript"/>
              </w:rPr>
              <w:t>3</w:t>
            </w:r>
            <w:r w:rsidR="007035EA">
              <w:t xml:space="preserve"> in air</w:t>
            </w:r>
          </w:p>
          <w:p w14:paraId="42BFD4C4" w14:textId="77777777" w:rsidR="003907DD" w:rsidRDefault="000956BF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MAK based on human studies above, </w:t>
            </w:r>
            <w:r w:rsidR="007035EA">
              <w:t xml:space="preserve">deemed </w:t>
            </w:r>
            <w:r>
              <w:t>sufficiently low to prevent adverse effects</w:t>
            </w:r>
          </w:p>
          <w:p w14:paraId="54523925" w14:textId="77777777" w:rsidR="00550B2F" w:rsidRDefault="00550B2F" w:rsidP="005F2893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N</w:t>
            </w:r>
            <w:r w:rsidRPr="00550B2F">
              <w:t>either genotoxic nor carcinogenic</w:t>
            </w:r>
            <w:r w:rsidR="00D36EE0">
              <w:t>.</w:t>
            </w:r>
          </w:p>
          <w:p w14:paraId="71672764" w14:textId="77777777" w:rsidR="00E601F2" w:rsidRPr="00DA352E" w:rsidRDefault="00E601F2" w:rsidP="005F2893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643EB25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409BA5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A0D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5A0D77">
                  <w:t>NA</w:t>
                </w:r>
              </w:sdtContent>
            </w:sdt>
          </w:p>
        </w:tc>
      </w:tr>
      <w:tr w:rsidR="00C978F0" w:rsidRPr="00DA352E" w14:paraId="3740367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44D5EF1" w14:textId="77777777" w:rsidR="00C978F0" w:rsidRPr="00DA352E" w:rsidRDefault="005A0D77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3C9F05C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774BA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A0D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A0D77">
                  <w:t>NA</w:t>
                </w:r>
              </w:sdtContent>
            </w:sdt>
          </w:p>
        </w:tc>
      </w:tr>
      <w:tr w:rsidR="00DA352E" w:rsidRPr="00DA352E" w14:paraId="72795DF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BACE27B" w14:textId="77777777" w:rsidR="00DA352E" w:rsidRPr="00DA352E" w:rsidRDefault="005A0D77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2E129AD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16283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A0D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A0D77">
                  <w:t>NA</w:t>
                </w:r>
              </w:sdtContent>
            </w:sdt>
          </w:p>
        </w:tc>
      </w:tr>
      <w:tr w:rsidR="00DA352E" w:rsidRPr="00DA352E" w14:paraId="69C4C07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ACA9BB9" w14:textId="77777777" w:rsidR="00DA352E" w:rsidRPr="00DA352E" w:rsidRDefault="005A0D77" w:rsidP="003365A5">
            <w:pPr>
              <w:pStyle w:val="Tabletextprimarysource"/>
            </w:pPr>
            <w:r>
              <w:t>No report</w:t>
            </w:r>
          </w:p>
        </w:tc>
      </w:tr>
    </w:tbl>
    <w:p w14:paraId="3C18F1F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13A29660" w14:textId="77777777" w:rsidTr="00550B2F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407954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1F6AAFF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F0AC92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5BD4F407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8FBDAD7" w14:textId="77777777" w:rsidTr="00550B2F">
        <w:trPr>
          <w:cantSplit/>
        </w:trPr>
        <w:tc>
          <w:tcPr>
            <w:tcW w:w="1497" w:type="dxa"/>
          </w:tcPr>
          <w:p w14:paraId="5F6F8E94" w14:textId="77777777" w:rsidR="004966BF" w:rsidRPr="004C23F4" w:rsidRDefault="004966BF" w:rsidP="00224EE2">
            <w:pPr>
              <w:pStyle w:val="Tablefont"/>
            </w:pPr>
            <w:r>
              <w:t>APVMA</w:t>
            </w:r>
          </w:p>
        </w:tc>
        <w:tc>
          <w:tcPr>
            <w:tcW w:w="424" w:type="dxa"/>
          </w:tcPr>
          <w:p w14:paraId="55BDBC53" w14:textId="77777777" w:rsidR="004966BF" w:rsidRPr="00CE617F" w:rsidRDefault="00136AB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64932884"/>
                <w:placeholder>
                  <w:docPart w:val="CC96E8CFB35445F7B98574D62F84831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50B2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AEE9FF4" w14:textId="77777777" w:rsidR="004966BF" w:rsidRPr="004C23F4" w:rsidRDefault="00550B2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2006</w:t>
            </w:r>
          </w:p>
        </w:tc>
        <w:tc>
          <w:tcPr>
            <w:tcW w:w="6444" w:type="dxa"/>
          </w:tcPr>
          <w:p w14:paraId="5F7B51BE" w14:textId="77777777" w:rsidR="004966BF" w:rsidRPr="004C23F4" w:rsidRDefault="00550B2F" w:rsidP="005F289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="005F2893">
              <w:rPr>
                <w:rStyle w:val="checkbox"/>
                <w:rFonts w:ascii="Arial" w:hAnsi="Arial" w:cs="Arial"/>
              </w:rPr>
              <w:t xml:space="preserve">additional </w:t>
            </w:r>
            <w:r>
              <w:rPr>
                <w:rStyle w:val="checkbox"/>
                <w:rFonts w:ascii="Arial" w:hAnsi="Arial" w:cs="Arial"/>
              </w:rPr>
              <w:t>information</w:t>
            </w:r>
            <w:r w:rsidR="005F289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3456F6EC" w14:textId="77777777" w:rsidTr="00550B2F">
        <w:trPr>
          <w:cantSplit/>
        </w:trPr>
        <w:tc>
          <w:tcPr>
            <w:tcW w:w="1497" w:type="dxa"/>
          </w:tcPr>
          <w:p w14:paraId="11072467" w14:textId="77777777" w:rsidR="004966BF" w:rsidRPr="004C23F4" w:rsidRDefault="005A0D77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5A0C4308" w14:textId="77777777" w:rsidR="004966BF" w:rsidRPr="00CE617F" w:rsidRDefault="00136AB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A0D7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3746BEA" w14:textId="77777777"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44" w:type="dxa"/>
          </w:tcPr>
          <w:p w14:paraId="445CB9F6" w14:textId="60A15E08" w:rsidR="004966BF" w:rsidRPr="004C23F4" w:rsidRDefault="000E7716" w:rsidP="005A0D77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5A0D77" w:rsidRPr="005A0D77">
              <w:rPr>
                <w:rStyle w:val="checkbox"/>
                <w:rFonts w:ascii="Arial" w:hAnsi="Arial" w:cs="Arial"/>
              </w:rPr>
              <w:t xml:space="preserve">ot considered to pose an unreasonable risk to the health of workers and public health based on the Tier I </w:t>
            </w:r>
            <w:r w:rsidR="005A0D77">
              <w:rPr>
                <w:rStyle w:val="checkbox"/>
                <w:rFonts w:ascii="Arial" w:hAnsi="Arial" w:cs="Arial"/>
              </w:rPr>
              <w:t>human health risk</w:t>
            </w:r>
            <w:r w:rsidR="005A0D77" w:rsidRPr="005A0D77">
              <w:rPr>
                <w:rStyle w:val="checkbox"/>
                <w:rFonts w:ascii="Arial" w:hAnsi="Arial" w:cs="Arial"/>
              </w:rPr>
              <w:t xml:space="preserve"> </w:t>
            </w:r>
            <w:r w:rsidR="00BB7E7C" w:rsidRPr="005A0D77">
              <w:rPr>
                <w:rStyle w:val="checkbox"/>
                <w:rFonts w:ascii="Arial" w:hAnsi="Arial" w:cs="Arial"/>
              </w:rPr>
              <w:t>assessment.</w:t>
            </w:r>
          </w:p>
        </w:tc>
      </w:tr>
    </w:tbl>
    <w:bookmarkEnd w:id="0"/>
    <w:p w14:paraId="074B8C7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rcinogenicity -– non-threshold based genotoxic carcinogens."/>
        <w:tblDescription w:val="Is the chemical mutagenic? No, therefore the chemical is not a non-threshold based genotoxic carcinogen."/>
      </w:tblPr>
      <w:tblGrid>
        <w:gridCol w:w="6603"/>
        <w:gridCol w:w="2423"/>
      </w:tblGrid>
      <w:tr w:rsidR="007035EA" w14:paraId="214CC6D0" w14:textId="77777777" w:rsidTr="007035EA">
        <w:trPr>
          <w:trHeight w:val="454"/>
          <w:tblHeader/>
        </w:trPr>
        <w:tc>
          <w:tcPr>
            <w:tcW w:w="6603" w:type="dxa"/>
            <w:vAlign w:val="center"/>
          </w:tcPr>
          <w:p w14:paraId="785749D9" w14:textId="77777777" w:rsidR="007035EA" w:rsidRDefault="007035EA" w:rsidP="00C33562">
            <w:pPr>
              <w:pStyle w:val="Tablefont"/>
              <w:keepNext/>
              <w:keepLines/>
              <w:spacing w:before="40" w:after="40"/>
            </w:pPr>
            <w:bookmarkStart w:id="1" w:name="_GoBack" w:colFirst="0" w:colLast="2"/>
            <w:r>
              <w:t>Is the chemical mutagenic?</w:t>
            </w:r>
          </w:p>
        </w:tc>
        <w:sdt>
          <w:sdtPr>
            <w:id w:val="319705052"/>
            <w:placeholder>
              <w:docPart w:val="311ED058854B499F9ED049AD0DBEA13A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7B90DA1" w14:textId="77777777" w:rsidR="007035EA" w:rsidRDefault="007035EA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7035EA" w14:paraId="0083D0F7" w14:textId="77777777" w:rsidTr="007035EA">
        <w:trPr>
          <w:trHeight w:val="454"/>
        </w:trPr>
        <w:sdt>
          <w:sdtPr>
            <w:rPr>
              <w:b/>
            </w:rPr>
            <w:id w:val="1830936485"/>
            <w:placeholder>
              <w:docPart w:val="70E6EA9CE2964C4FA801B72A482C26F4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973CD91" w14:textId="77777777" w:rsidR="007035EA" w:rsidRPr="006901A2" w:rsidRDefault="007035EA" w:rsidP="00C33562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AA1E967" w14:textId="77777777" w:rsidR="007035EA" w:rsidRDefault="007035EA" w:rsidP="00C33562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5BF43E3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C353B8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4039D7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9BBFF1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F78B158" w14:textId="77777777" w:rsidTr="00812887">
        <w:trPr>
          <w:cantSplit/>
        </w:trPr>
        <w:tc>
          <w:tcPr>
            <w:tcW w:w="3227" w:type="dxa"/>
          </w:tcPr>
          <w:p w14:paraId="413918F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67F5F52" w14:textId="77777777" w:rsidR="00687890" w:rsidRPr="00DD2F9B" w:rsidRDefault="001C32D1" w:rsidP="00DD2F9B">
            <w:pPr>
              <w:pStyle w:val="Tablefont"/>
            </w:pPr>
            <w:r>
              <w:t>Skin,</w:t>
            </w:r>
            <w:r w:rsidR="005F5686">
              <w:t xml:space="preserve"> Sen</w:t>
            </w:r>
          </w:p>
        </w:tc>
      </w:tr>
      <w:tr w:rsidR="007925F0" w:rsidRPr="004C23F4" w14:paraId="700A11BD" w14:textId="77777777" w:rsidTr="00812887">
        <w:trPr>
          <w:cantSplit/>
        </w:trPr>
        <w:tc>
          <w:tcPr>
            <w:tcW w:w="3227" w:type="dxa"/>
          </w:tcPr>
          <w:p w14:paraId="74384DA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F0864A6" w14:textId="77777777" w:rsidR="007925F0" w:rsidRPr="00DD2F9B" w:rsidRDefault="005F5686" w:rsidP="00DD2F9B">
            <w:pPr>
              <w:pStyle w:val="Tablefont"/>
            </w:pPr>
            <w:r w:rsidRPr="005F5686">
              <w:t>Skin sensitisation – category 1</w:t>
            </w:r>
          </w:p>
        </w:tc>
      </w:tr>
      <w:tr w:rsidR="00AF483F" w:rsidRPr="004C23F4" w14:paraId="644033CC" w14:textId="77777777" w:rsidTr="00812887">
        <w:trPr>
          <w:cantSplit/>
        </w:trPr>
        <w:tc>
          <w:tcPr>
            <w:tcW w:w="3227" w:type="dxa"/>
          </w:tcPr>
          <w:p w14:paraId="4D576CE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DF9D3D4" w14:textId="77777777" w:rsidR="00AF483F" w:rsidRPr="00DD2F9B" w:rsidRDefault="00550B2F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EAB3003" w14:textId="77777777" w:rsidTr="00812887">
        <w:trPr>
          <w:cantSplit/>
        </w:trPr>
        <w:tc>
          <w:tcPr>
            <w:tcW w:w="3227" w:type="dxa"/>
          </w:tcPr>
          <w:p w14:paraId="0E0FF36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4F9652D" w14:textId="77777777" w:rsidR="00687890" w:rsidRPr="00DD2F9B" w:rsidRDefault="00557855" w:rsidP="00DD2F9B">
            <w:pPr>
              <w:pStyle w:val="Tablefont"/>
            </w:pPr>
            <w:r w:rsidRPr="005F5686">
              <w:t>Skin sensitisation – category 1</w:t>
            </w:r>
          </w:p>
        </w:tc>
      </w:tr>
      <w:tr w:rsidR="00E41A26" w:rsidRPr="004C23F4" w14:paraId="1F19E569" w14:textId="77777777" w:rsidTr="00812887">
        <w:trPr>
          <w:cantSplit/>
        </w:trPr>
        <w:tc>
          <w:tcPr>
            <w:tcW w:w="3227" w:type="dxa"/>
          </w:tcPr>
          <w:p w14:paraId="485DB39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DBE784C" w14:textId="77777777" w:rsidR="00E41A26" w:rsidRPr="00DD2F9B" w:rsidRDefault="00610C0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0B7FA09" w14:textId="77777777" w:rsidTr="00812887">
        <w:trPr>
          <w:cantSplit/>
        </w:trPr>
        <w:tc>
          <w:tcPr>
            <w:tcW w:w="3227" w:type="dxa"/>
          </w:tcPr>
          <w:p w14:paraId="3F82B2E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41625E2" w14:textId="77777777" w:rsidR="002E0D61" w:rsidRPr="00DD2F9B" w:rsidRDefault="0094260E" w:rsidP="00DD2F9B">
            <w:pPr>
              <w:pStyle w:val="Tablefont"/>
            </w:pPr>
            <w:r w:rsidRPr="0094260E">
              <w:t>Carcinogenicity – A4</w:t>
            </w:r>
            <w:r w:rsidR="001C32D1">
              <w:t>,</w:t>
            </w:r>
            <w:r>
              <w:t xml:space="preserve"> </w:t>
            </w:r>
            <w:r w:rsidR="001C32D1">
              <w:t>DSEN,</w:t>
            </w:r>
            <w:r w:rsidR="000E7716">
              <w:t xml:space="preserve"> Skin</w:t>
            </w:r>
          </w:p>
        </w:tc>
      </w:tr>
      <w:tr w:rsidR="002E0D61" w:rsidRPr="004C23F4" w14:paraId="23C93161" w14:textId="77777777" w:rsidTr="00812887">
        <w:trPr>
          <w:cantSplit/>
        </w:trPr>
        <w:tc>
          <w:tcPr>
            <w:tcW w:w="3227" w:type="dxa"/>
          </w:tcPr>
          <w:p w14:paraId="1D00082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546AF8B" w14:textId="77777777" w:rsidR="002E0D61" w:rsidRPr="00DD2F9B" w:rsidRDefault="001C32D1" w:rsidP="00DD2F9B">
            <w:pPr>
              <w:pStyle w:val="Tablefont"/>
            </w:pPr>
            <w:r w:rsidRPr="000956BF">
              <w:t>Sh (dermal sensitiser)</w:t>
            </w:r>
            <w:r>
              <w:t xml:space="preserve">, </w:t>
            </w:r>
            <w:r w:rsidR="000956BF" w:rsidRPr="000956BF">
              <w:t>H (skin)</w:t>
            </w:r>
          </w:p>
        </w:tc>
      </w:tr>
      <w:tr w:rsidR="002E0D61" w:rsidRPr="004C23F4" w14:paraId="6789F717" w14:textId="77777777" w:rsidTr="00812887">
        <w:trPr>
          <w:cantSplit/>
        </w:trPr>
        <w:tc>
          <w:tcPr>
            <w:tcW w:w="3227" w:type="dxa"/>
          </w:tcPr>
          <w:p w14:paraId="78780D7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0A93CB0" w14:textId="77777777" w:rsidR="002E0D61" w:rsidRPr="00DD2F9B" w:rsidRDefault="00550B2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FA68BF" w14:textId="77777777" w:rsidTr="00812887">
        <w:trPr>
          <w:cantSplit/>
        </w:trPr>
        <w:tc>
          <w:tcPr>
            <w:tcW w:w="3227" w:type="dxa"/>
          </w:tcPr>
          <w:p w14:paraId="32D90E5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C06EE8D" w14:textId="77777777" w:rsidR="002E0D61" w:rsidRPr="00DD2F9B" w:rsidRDefault="00550B2F" w:rsidP="00550B2F">
            <w:pPr>
              <w:pStyle w:val="Tablefont"/>
            </w:pPr>
            <w:r>
              <w:t>NA</w:t>
            </w:r>
          </w:p>
        </w:tc>
      </w:tr>
      <w:tr w:rsidR="00386093" w:rsidRPr="004C23F4" w14:paraId="457F2A68" w14:textId="77777777" w:rsidTr="00812887">
        <w:trPr>
          <w:cantSplit/>
        </w:trPr>
        <w:tc>
          <w:tcPr>
            <w:tcW w:w="3227" w:type="dxa"/>
          </w:tcPr>
          <w:p w14:paraId="619132D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A583893" w14:textId="77777777" w:rsidR="00386093" w:rsidRPr="00DD2F9B" w:rsidRDefault="00610C0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1F75C1AA" w14:textId="77777777" w:rsidTr="00812887">
        <w:trPr>
          <w:cantSplit/>
        </w:trPr>
        <w:tc>
          <w:tcPr>
            <w:tcW w:w="3227" w:type="dxa"/>
          </w:tcPr>
          <w:p w14:paraId="3A8AAACD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74C75E33" w14:textId="77777777" w:rsidR="00386093" w:rsidRPr="00DD2F9B" w:rsidRDefault="001C32D1" w:rsidP="00D87570">
            <w:pPr>
              <w:pStyle w:val="Tablefont"/>
              <w:keepNext/>
            </w:pPr>
            <w:r>
              <w:t>SK:SYS, SK:SEN (draft)</w:t>
            </w:r>
          </w:p>
        </w:tc>
      </w:tr>
    </w:tbl>
    <w:bookmarkEnd w:id="2"/>
    <w:p w14:paraId="0393696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93F7BA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582E31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378348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99690D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18" w:type="dxa"/>
              <w:tblLook w:val="04A0" w:firstRow="1" w:lastRow="0" w:firstColumn="1" w:lastColumn="0" w:noHBand="0" w:noVBand="1"/>
            </w:tblPr>
            <w:tblGrid>
              <w:gridCol w:w="3826"/>
              <w:gridCol w:w="1128"/>
              <w:gridCol w:w="1128"/>
              <w:gridCol w:w="1364"/>
              <w:gridCol w:w="1364"/>
            </w:tblGrid>
            <w:tr w:rsidR="00550B2F" w:rsidRPr="00550B2F" w14:paraId="5FDD79BE" w14:textId="77777777" w:rsidTr="00C1212F">
              <w:trPr>
                <w:trHeight w:val="349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500730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E3077A2" w14:textId="77777777" w:rsidR="00550B2F" w:rsidRPr="00550B2F" w:rsidRDefault="00550B2F" w:rsidP="00550B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6A485D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66C857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20800F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50B2F" w:rsidRPr="00550B2F" w14:paraId="47551F72" w14:textId="77777777" w:rsidTr="00C1212F">
              <w:trPr>
                <w:trHeight w:val="349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945400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676602" w14:textId="77777777" w:rsidR="00550B2F" w:rsidRPr="00550B2F" w:rsidRDefault="00550B2F" w:rsidP="00550B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C124AE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A90BC3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352EE7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50B2F" w:rsidRPr="00550B2F" w14:paraId="61A0C2C3" w14:textId="77777777" w:rsidTr="00C1212F">
              <w:trPr>
                <w:trHeight w:val="349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A435DA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B2B313" w14:textId="77777777" w:rsidR="00550B2F" w:rsidRPr="00550B2F" w:rsidRDefault="00550B2F" w:rsidP="00550B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8CD9AA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870899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61DE7A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50B2F" w:rsidRPr="00550B2F" w14:paraId="65EB2954" w14:textId="77777777" w:rsidTr="00C1212F">
              <w:trPr>
                <w:trHeight w:val="349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5CA7E0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A131F0" w14:textId="77777777" w:rsidR="00550B2F" w:rsidRPr="00550B2F" w:rsidRDefault="00550B2F" w:rsidP="00550B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059DE0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86847A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94F796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50B2F" w:rsidRPr="00550B2F" w14:paraId="12CC7730" w14:textId="77777777" w:rsidTr="00C1212F">
              <w:trPr>
                <w:trHeight w:val="349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9D74AE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91DFAB" w14:textId="77777777" w:rsidR="00550B2F" w:rsidRPr="00550B2F" w:rsidRDefault="00550B2F" w:rsidP="00550B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3EA6A0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8AF335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A12319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50B2F" w:rsidRPr="00550B2F" w14:paraId="4F322A22" w14:textId="77777777" w:rsidTr="00C1212F">
              <w:trPr>
                <w:trHeight w:val="349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051EB7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7827BF" w14:textId="77777777" w:rsidR="00550B2F" w:rsidRPr="00550B2F" w:rsidRDefault="00550B2F" w:rsidP="00550B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99BF59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4EA7ED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8D0CD5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50B2F" w:rsidRPr="00550B2F" w14:paraId="72C2EFB6" w14:textId="77777777" w:rsidTr="00C1212F">
              <w:trPr>
                <w:trHeight w:val="349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8743A0" w14:textId="77777777" w:rsidR="00550B2F" w:rsidRPr="00550B2F" w:rsidRDefault="00550B2F" w:rsidP="00550B2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3A32D5" w14:textId="77777777" w:rsidR="00550B2F" w:rsidRPr="00550B2F" w:rsidRDefault="00550B2F" w:rsidP="00550B2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BCE9D3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631255" w14:textId="77777777" w:rsidR="00550B2F" w:rsidRPr="00550B2F" w:rsidRDefault="00550B2F" w:rsidP="00550B2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50B2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B731918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03FBA9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C0BD53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7E5D99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7D97289" w14:textId="77777777" w:rsidR="00EB3D1B" w:rsidRDefault="00550B2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CFEE0C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6CCFC4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902885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1362F99" w14:textId="77777777" w:rsidR="001B79E5" w:rsidRDefault="00384B20" w:rsidP="001B79E5">
                <w:pPr>
                  <w:pStyle w:val="Tablefont"/>
                </w:pPr>
                <w:r>
                  <w:t>317.32</w:t>
                </w:r>
              </w:p>
            </w:tc>
          </w:sdtContent>
        </w:sdt>
      </w:tr>
      <w:tr w:rsidR="00A31D99" w:rsidRPr="004C23F4" w14:paraId="1C993B1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0F7787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0D4BE6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F4D115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7D2B7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5F83D1C" w14:textId="77777777" w:rsidR="00687890" w:rsidRPr="004C23F4" w:rsidRDefault="00384B20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77AD7C24" w14:textId="77777777" w:rsidTr="00EA6243">
        <w:trPr>
          <w:cantSplit/>
        </w:trPr>
        <w:tc>
          <w:tcPr>
            <w:tcW w:w="4077" w:type="dxa"/>
            <w:vAlign w:val="center"/>
          </w:tcPr>
          <w:p w14:paraId="6A9F435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AE67F4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96C3BE4" w14:textId="77777777" w:rsidTr="00EA6243">
        <w:trPr>
          <w:cantSplit/>
        </w:trPr>
        <w:tc>
          <w:tcPr>
            <w:tcW w:w="4077" w:type="dxa"/>
            <w:vAlign w:val="center"/>
          </w:tcPr>
          <w:p w14:paraId="5580578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7A9D56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C9CA436" w14:textId="77777777" w:rsidTr="00EA6243">
        <w:trPr>
          <w:cantSplit/>
        </w:trPr>
        <w:tc>
          <w:tcPr>
            <w:tcW w:w="4077" w:type="dxa"/>
            <w:vAlign w:val="center"/>
          </w:tcPr>
          <w:p w14:paraId="1842562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3EFABBF" w14:textId="77777777" w:rsidR="00E06F40" w:rsidRPr="00A006A0" w:rsidRDefault="00136AB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054A60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632957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A7312E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BA9A52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FD08A8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D9D32E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2B689C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E5F6B2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D9FB381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B63601" w14:textId="77777777" w:rsidR="00550B2F" w:rsidRDefault="00550B2F" w:rsidP="00084859">
      <w:r>
        <w:t>Australian Pesticides &amp; Veterinary Medicines Authority (APVMA) (2006) Azinphos-methyl review – Preliminary Review Findings</w:t>
      </w:r>
    </w:p>
    <w:p w14:paraId="13428B8C" w14:textId="77777777" w:rsidR="000956BF" w:rsidRDefault="000956BF" w:rsidP="00084859">
      <w:r w:rsidRPr="002022B6">
        <w:t>Deutsche Forschungsgemeinschaft (DFG)</w:t>
      </w:r>
      <w:r>
        <w:t xml:space="preserve"> (2019) </w:t>
      </w:r>
      <w:r w:rsidR="00557855">
        <w:rPr>
          <w:rFonts w:cs="Arial"/>
          <w:color w:val="1C1D1E"/>
        </w:rPr>
        <w:t>Azin</w:t>
      </w:r>
      <w:r>
        <w:rPr>
          <w:rFonts w:cs="Arial"/>
          <w:color w:val="1C1D1E"/>
        </w:rPr>
        <w:t>phos-</w:t>
      </w:r>
      <w:r w:rsidR="00550B2F">
        <w:rPr>
          <w:rFonts w:cs="Arial"/>
          <w:color w:val="1C1D1E"/>
        </w:rPr>
        <w:t xml:space="preserve">methyl </w:t>
      </w:r>
      <w:r w:rsidR="00550B2F">
        <w:t>–</w:t>
      </w:r>
      <w:r>
        <w:t xml:space="preserve"> MAK value documentation.</w:t>
      </w:r>
    </w:p>
    <w:p w14:paraId="7AF042C3" w14:textId="77777777" w:rsidR="000D6EBC" w:rsidRDefault="000D6EBC" w:rsidP="00084859">
      <w:r>
        <w:rPr>
          <w:color w:val="000000"/>
        </w:rPr>
        <w:lastRenderedPageBreak/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6E3E28ED" w14:textId="77777777" w:rsidR="005A0D77" w:rsidRDefault="005A0D77" w:rsidP="00084859">
      <w:r w:rsidRPr="005A0D77">
        <w:t>National Industrial Chemicals Notification and Assessment Scheme (NICNAS)</w:t>
      </w:r>
      <w:r w:rsidR="00FE13AC">
        <w:t xml:space="preserve"> (</w:t>
      </w:r>
      <w:r w:rsidR="000E7716">
        <w:t>Date unknown</w:t>
      </w:r>
      <w:r w:rsidRPr="005A0D77">
        <w:t xml:space="preserve">) </w:t>
      </w:r>
      <w:r w:rsidR="00FE13AC" w:rsidRPr="00FE13AC">
        <w:t>Phosphorodithioic acid, O,O-dimethyl S-[(4-oxo-1,2,3-benzotriazin-3(4H)-yl)methyl] ester</w:t>
      </w:r>
      <w:r w:rsidR="00FE13AC">
        <w:t xml:space="preserve">: Human health tier I </w:t>
      </w:r>
      <w:r w:rsidRPr="005A0D77">
        <w:t>assessment – IMAP report.</w:t>
      </w:r>
    </w:p>
    <w:p w14:paraId="61B4F020" w14:textId="77777777" w:rsidR="001C32D1" w:rsidRDefault="001C32D1" w:rsidP="00084859">
      <w:r w:rsidRPr="00550B2F">
        <w:t>US National Institute for Occupational Safety and Health (NIOSH) (</w:t>
      </w:r>
      <w:r>
        <w:t>N.D.</w:t>
      </w:r>
      <w:r w:rsidRPr="00550B2F">
        <w:t xml:space="preserve">) </w:t>
      </w:r>
      <w:r>
        <w:t xml:space="preserve">NIOSH Skin </w:t>
      </w:r>
      <w:r w:rsidR="00557855">
        <w:t>Notation</w:t>
      </w:r>
      <w:r>
        <w:t xml:space="preserve"> Profile Azinphos-methyl (draft) </w:t>
      </w:r>
    </w:p>
    <w:p w14:paraId="756CE858" w14:textId="77777777" w:rsidR="00550B2F" w:rsidRDefault="00550B2F" w:rsidP="00084859">
      <w:r w:rsidRPr="00550B2F">
        <w:t>US National Institute for Occupational Safety and Health (NIOSH) (1994) Immediately dangerous to life or health concentrations – Azinphos-methyl.</w:t>
      </w:r>
    </w:p>
    <w:p w14:paraId="6E1A674F" w14:textId="77777777" w:rsidR="00550B2F" w:rsidRPr="00351FE0" w:rsidRDefault="00550B2F" w:rsidP="00084859"/>
    <w:sectPr w:rsidR="00550B2F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53FA7" w16cid:durableId="20E2E6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4F12" w14:textId="77777777" w:rsidR="00120E09" w:rsidRDefault="00120E09" w:rsidP="00F43AD5">
      <w:pPr>
        <w:spacing w:after="0" w:line="240" w:lineRule="auto"/>
      </w:pPr>
      <w:r>
        <w:separator/>
      </w:r>
    </w:p>
  </w:endnote>
  <w:endnote w:type="continuationSeparator" w:id="0">
    <w:p w14:paraId="153EFA9B" w14:textId="77777777" w:rsidR="00120E09" w:rsidRDefault="00120E0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3A3F8D" w14:textId="77777777" w:rsidR="008A36CF" w:rsidRDefault="00381BC7" w:rsidP="0034744C">
        <w:pPr>
          <w:pStyle w:val="Footer"/>
          <w:rPr>
            <w:sz w:val="18"/>
            <w:szCs w:val="18"/>
          </w:rPr>
        </w:pPr>
        <w:r w:rsidRPr="00381BC7">
          <w:rPr>
            <w:b/>
            <w:sz w:val="18"/>
            <w:szCs w:val="18"/>
          </w:rPr>
          <w:t>Azinphos-m</w:t>
        </w:r>
        <w:r>
          <w:rPr>
            <w:b/>
            <w:sz w:val="18"/>
            <w:szCs w:val="18"/>
          </w:rPr>
          <w:t>ethyl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86-50-0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0A4CEDB" w14:textId="30D2AC5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36ABC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18D0" w14:textId="77777777" w:rsidR="00120E09" w:rsidRDefault="00120E09" w:rsidP="00F43AD5">
      <w:pPr>
        <w:spacing w:after="0" w:line="240" w:lineRule="auto"/>
      </w:pPr>
      <w:r>
        <w:separator/>
      </w:r>
    </w:p>
  </w:footnote>
  <w:footnote w:type="continuationSeparator" w:id="0">
    <w:p w14:paraId="230D634F" w14:textId="77777777" w:rsidR="00120E09" w:rsidRDefault="00120E0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06999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6EF8516" wp14:editId="2DD1477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BFA3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6CB8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1BFC"/>
    <w:multiLevelType w:val="hybridMultilevel"/>
    <w:tmpl w:val="7FBA8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D51910"/>
    <w:multiLevelType w:val="hybridMultilevel"/>
    <w:tmpl w:val="4D344D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1B0C18"/>
    <w:multiLevelType w:val="hybridMultilevel"/>
    <w:tmpl w:val="72D24A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07B6"/>
    <w:rsid w:val="00052060"/>
    <w:rsid w:val="0005574A"/>
    <w:rsid w:val="00055FE1"/>
    <w:rsid w:val="00056EC2"/>
    <w:rsid w:val="00060B48"/>
    <w:rsid w:val="00067F32"/>
    <w:rsid w:val="00071807"/>
    <w:rsid w:val="00074D60"/>
    <w:rsid w:val="000803E1"/>
    <w:rsid w:val="00084513"/>
    <w:rsid w:val="00084859"/>
    <w:rsid w:val="00092D94"/>
    <w:rsid w:val="0009497A"/>
    <w:rsid w:val="000956BF"/>
    <w:rsid w:val="000B0868"/>
    <w:rsid w:val="000B2258"/>
    <w:rsid w:val="000B3E12"/>
    <w:rsid w:val="000B3E78"/>
    <w:rsid w:val="000B7B48"/>
    <w:rsid w:val="000C096D"/>
    <w:rsid w:val="000C139A"/>
    <w:rsid w:val="000C2053"/>
    <w:rsid w:val="000C248C"/>
    <w:rsid w:val="000D291C"/>
    <w:rsid w:val="000D6EBC"/>
    <w:rsid w:val="000E5A54"/>
    <w:rsid w:val="000E63D3"/>
    <w:rsid w:val="000E67CF"/>
    <w:rsid w:val="000E7716"/>
    <w:rsid w:val="0010461E"/>
    <w:rsid w:val="00106FAA"/>
    <w:rsid w:val="00112D3F"/>
    <w:rsid w:val="00113443"/>
    <w:rsid w:val="00120E09"/>
    <w:rsid w:val="001269A7"/>
    <w:rsid w:val="00131092"/>
    <w:rsid w:val="00136ABC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06F6"/>
    <w:rsid w:val="001A1287"/>
    <w:rsid w:val="001A3859"/>
    <w:rsid w:val="001A3C9D"/>
    <w:rsid w:val="001A43F8"/>
    <w:rsid w:val="001B0410"/>
    <w:rsid w:val="001B79E5"/>
    <w:rsid w:val="001C32D1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7FD7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10A7"/>
    <w:rsid w:val="002E401E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1BC7"/>
    <w:rsid w:val="00384B20"/>
    <w:rsid w:val="00386093"/>
    <w:rsid w:val="003904A4"/>
    <w:rsid w:val="003907DD"/>
    <w:rsid w:val="00391799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600B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2A67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3997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4F67A9"/>
    <w:rsid w:val="0050005E"/>
    <w:rsid w:val="00502B88"/>
    <w:rsid w:val="005142C4"/>
    <w:rsid w:val="0051509C"/>
    <w:rsid w:val="005272E2"/>
    <w:rsid w:val="0053108F"/>
    <w:rsid w:val="00532B56"/>
    <w:rsid w:val="00534B10"/>
    <w:rsid w:val="00540C38"/>
    <w:rsid w:val="005446A2"/>
    <w:rsid w:val="00544D2F"/>
    <w:rsid w:val="00550B2F"/>
    <w:rsid w:val="00551BD8"/>
    <w:rsid w:val="00557855"/>
    <w:rsid w:val="00581055"/>
    <w:rsid w:val="00591E38"/>
    <w:rsid w:val="005A0D77"/>
    <w:rsid w:val="005A19C5"/>
    <w:rsid w:val="005A3034"/>
    <w:rsid w:val="005A462D"/>
    <w:rsid w:val="005B253B"/>
    <w:rsid w:val="005B771D"/>
    <w:rsid w:val="005C5D16"/>
    <w:rsid w:val="005D3193"/>
    <w:rsid w:val="005D4A6E"/>
    <w:rsid w:val="005D5D99"/>
    <w:rsid w:val="005E66E3"/>
    <w:rsid w:val="005E6979"/>
    <w:rsid w:val="005E75CB"/>
    <w:rsid w:val="005F2893"/>
    <w:rsid w:val="005F5686"/>
    <w:rsid w:val="006013C1"/>
    <w:rsid w:val="0060669E"/>
    <w:rsid w:val="00610C09"/>
    <w:rsid w:val="00610F2E"/>
    <w:rsid w:val="00611399"/>
    <w:rsid w:val="00624C4E"/>
    <w:rsid w:val="00625200"/>
    <w:rsid w:val="0063434A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1EBF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661A"/>
    <w:rsid w:val="006B160A"/>
    <w:rsid w:val="006B4E6C"/>
    <w:rsid w:val="006B50B6"/>
    <w:rsid w:val="006D1E90"/>
    <w:rsid w:val="006D79EA"/>
    <w:rsid w:val="006E5D05"/>
    <w:rsid w:val="00701053"/>
    <w:rsid w:val="00701507"/>
    <w:rsid w:val="007035EA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19B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362E"/>
    <w:rsid w:val="00804F5A"/>
    <w:rsid w:val="00810C6D"/>
    <w:rsid w:val="00812887"/>
    <w:rsid w:val="00826F21"/>
    <w:rsid w:val="00834CC8"/>
    <w:rsid w:val="00835E00"/>
    <w:rsid w:val="00836754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23A"/>
    <w:rsid w:val="0088798F"/>
    <w:rsid w:val="00887CAC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5224"/>
    <w:rsid w:val="0093041A"/>
    <w:rsid w:val="00930714"/>
    <w:rsid w:val="00931B03"/>
    <w:rsid w:val="009323B9"/>
    <w:rsid w:val="00932DCE"/>
    <w:rsid w:val="0093327E"/>
    <w:rsid w:val="00934028"/>
    <w:rsid w:val="0093760E"/>
    <w:rsid w:val="0094260E"/>
    <w:rsid w:val="00946044"/>
    <w:rsid w:val="0094660B"/>
    <w:rsid w:val="00946A33"/>
    <w:rsid w:val="0095260E"/>
    <w:rsid w:val="00952D6A"/>
    <w:rsid w:val="00954F65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6AAD"/>
    <w:rsid w:val="009B2FF2"/>
    <w:rsid w:val="009B380C"/>
    <w:rsid w:val="009B39ED"/>
    <w:rsid w:val="009B4843"/>
    <w:rsid w:val="009B6543"/>
    <w:rsid w:val="009C199D"/>
    <w:rsid w:val="009C278F"/>
    <w:rsid w:val="009C2B94"/>
    <w:rsid w:val="009C5874"/>
    <w:rsid w:val="009C5BD9"/>
    <w:rsid w:val="009D3B5A"/>
    <w:rsid w:val="009E0C05"/>
    <w:rsid w:val="009E0D1C"/>
    <w:rsid w:val="009E2214"/>
    <w:rsid w:val="009E355A"/>
    <w:rsid w:val="009E63E2"/>
    <w:rsid w:val="009E7AAD"/>
    <w:rsid w:val="009F05CF"/>
    <w:rsid w:val="009F0F3A"/>
    <w:rsid w:val="00A01D0C"/>
    <w:rsid w:val="00A0612A"/>
    <w:rsid w:val="00A0643F"/>
    <w:rsid w:val="00A067EE"/>
    <w:rsid w:val="00A10FCE"/>
    <w:rsid w:val="00A16D91"/>
    <w:rsid w:val="00A174CC"/>
    <w:rsid w:val="00A2073D"/>
    <w:rsid w:val="00A20751"/>
    <w:rsid w:val="00A24438"/>
    <w:rsid w:val="00A27E2D"/>
    <w:rsid w:val="00A31D99"/>
    <w:rsid w:val="00A33765"/>
    <w:rsid w:val="00A357BA"/>
    <w:rsid w:val="00A35ADC"/>
    <w:rsid w:val="00A402A3"/>
    <w:rsid w:val="00A53681"/>
    <w:rsid w:val="00A633D4"/>
    <w:rsid w:val="00A6461A"/>
    <w:rsid w:val="00A84504"/>
    <w:rsid w:val="00A8672F"/>
    <w:rsid w:val="00A90EC5"/>
    <w:rsid w:val="00A93057"/>
    <w:rsid w:val="00A968B0"/>
    <w:rsid w:val="00AB2309"/>
    <w:rsid w:val="00AB2672"/>
    <w:rsid w:val="00AB2817"/>
    <w:rsid w:val="00AB43C4"/>
    <w:rsid w:val="00AC1F2F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7E8D"/>
    <w:rsid w:val="00B71188"/>
    <w:rsid w:val="00B76A41"/>
    <w:rsid w:val="00B773CE"/>
    <w:rsid w:val="00B87D4C"/>
    <w:rsid w:val="00B93646"/>
    <w:rsid w:val="00BA0B38"/>
    <w:rsid w:val="00BA1DBB"/>
    <w:rsid w:val="00BA374E"/>
    <w:rsid w:val="00BA4510"/>
    <w:rsid w:val="00BA529A"/>
    <w:rsid w:val="00BB612A"/>
    <w:rsid w:val="00BB7E7C"/>
    <w:rsid w:val="00BD2860"/>
    <w:rsid w:val="00BD499F"/>
    <w:rsid w:val="00BD56DE"/>
    <w:rsid w:val="00BF2406"/>
    <w:rsid w:val="00C1212F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098"/>
    <w:rsid w:val="00C74833"/>
    <w:rsid w:val="00C850A0"/>
    <w:rsid w:val="00C85A86"/>
    <w:rsid w:val="00C90779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6EE0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3D9E"/>
    <w:rsid w:val="00DC7694"/>
    <w:rsid w:val="00DD1082"/>
    <w:rsid w:val="00DD1BF6"/>
    <w:rsid w:val="00DD1EBA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1F2"/>
    <w:rsid w:val="00E60F04"/>
    <w:rsid w:val="00E62AAC"/>
    <w:rsid w:val="00E67C2F"/>
    <w:rsid w:val="00E67EF5"/>
    <w:rsid w:val="00E75230"/>
    <w:rsid w:val="00E804EA"/>
    <w:rsid w:val="00E80A71"/>
    <w:rsid w:val="00E82337"/>
    <w:rsid w:val="00E92499"/>
    <w:rsid w:val="00E949AF"/>
    <w:rsid w:val="00E96077"/>
    <w:rsid w:val="00EA0A06"/>
    <w:rsid w:val="00EA3C56"/>
    <w:rsid w:val="00EA6243"/>
    <w:rsid w:val="00EA74AB"/>
    <w:rsid w:val="00EB3D1B"/>
    <w:rsid w:val="00ED1D89"/>
    <w:rsid w:val="00ED66BC"/>
    <w:rsid w:val="00EE4ADD"/>
    <w:rsid w:val="00EF233A"/>
    <w:rsid w:val="00EF2E24"/>
    <w:rsid w:val="00EF303E"/>
    <w:rsid w:val="00EF3A40"/>
    <w:rsid w:val="00EF772F"/>
    <w:rsid w:val="00EF7F78"/>
    <w:rsid w:val="00F01B08"/>
    <w:rsid w:val="00F01C4D"/>
    <w:rsid w:val="00F02BE0"/>
    <w:rsid w:val="00F053FA"/>
    <w:rsid w:val="00F10C97"/>
    <w:rsid w:val="00F11C71"/>
    <w:rsid w:val="00F121CE"/>
    <w:rsid w:val="00F16019"/>
    <w:rsid w:val="00F20E68"/>
    <w:rsid w:val="00F22093"/>
    <w:rsid w:val="00F236DF"/>
    <w:rsid w:val="00F3706D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445F"/>
    <w:rsid w:val="00FA741F"/>
    <w:rsid w:val="00FB0C5B"/>
    <w:rsid w:val="00FB4E07"/>
    <w:rsid w:val="00FB755A"/>
    <w:rsid w:val="00FC60A2"/>
    <w:rsid w:val="00FD1871"/>
    <w:rsid w:val="00FD3110"/>
    <w:rsid w:val="00FE13AC"/>
    <w:rsid w:val="00FE43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1BB03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9077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3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3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1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C96E8CFB35445F7B98574D62F8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9DF5-6E93-475B-AC7E-D7E1C74E2052}"/>
      </w:docPartPr>
      <w:docPartBody>
        <w:p w:rsidR="00D21A9F" w:rsidRDefault="00D21A9F">
          <w:pPr>
            <w:pStyle w:val="CC96E8CFB35445F7B98574D62F84831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11ED058854B499F9ED049AD0DBE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AB71-677E-48AA-8642-D34DFDD9632A}"/>
      </w:docPartPr>
      <w:docPartBody>
        <w:p w:rsidR="005F1916" w:rsidRDefault="00CD3744" w:rsidP="00CD3744">
          <w:pPr>
            <w:pStyle w:val="311ED058854B499F9ED049AD0DBEA13A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0E6EA9CE2964C4FA801B72A482C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1191-071E-42DE-B5F4-F2D96C45E57D}"/>
      </w:docPartPr>
      <w:docPartBody>
        <w:p w:rsidR="005F1916" w:rsidRDefault="00CD3744" w:rsidP="00CD3744">
          <w:pPr>
            <w:pStyle w:val="70E6EA9CE2964C4FA801B72A482C26F4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A7C41"/>
    <w:rsid w:val="0021048C"/>
    <w:rsid w:val="00236FA6"/>
    <w:rsid w:val="00383457"/>
    <w:rsid w:val="005F1916"/>
    <w:rsid w:val="00926920"/>
    <w:rsid w:val="00B51371"/>
    <w:rsid w:val="00C03670"/>
    <w:rsid w:val="00CD3744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74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DDB39A481B045D4AAB34316FEBA3D3E">
    <w:name w:val="FDDB39A481B045D4AAB34316FEBA3D3E"/>
    <w:rsid w:val="0021048C"/>
  </w:style>
  <w:style w:type="paragraph" w:customStyle="1" w:styleId="E7892576C1C045AD9AE3FEED36049B84">
    <w:name w:val="E7892576C1C045AD9AE3FEED36049B84"/>
    <w:rsid w:val="0021048C"/>
  </w:style>
  <w:style w:type="paragraph" w:customStyle="1" w:styleId="15064997B3A8467CAB4F11FD86B6D8C0">
    <w:name w:val="15064997B3A8467CAB4F11FD86B6D8C0"/>
    <w:rsid w:val="00CD3744"/>
  </w:style>
  <w:style w:type="paragraph" w:customStyle="1" w:styleId="311ED058854B499F9ED049AD0DBEA13A">
    <w:name w:val="311ED058854B499F9ED049AD0DBEA13A"/>
    <w:rsid w:val="00CD3744"/>
  </w:style>
  <w:style w:type="paragraph" w:customStyle="1" w:styleId="611C549DBA2942629D2F70A53A0D4785">
    <w:name w:val="611C549DBA2942629D2F70A53A0D4785"/>
    <w:rsid w:val="00CD3744"/>
  </w:style>
  <w:style w:type="paragraph" w:customStyle="1" w:styleId="70E6EA9CE2964C4FA801B72A482C26F4">
    <w:name w:val="70E6EA9CE2964C4FA801B72A482C26F4"/>
    <w:rsid w:val="00CD3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f54d604-3e62-4e70-ba33-9e9084b96a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E589E9-C573-4E21-996D-3BAAD52AE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2E6F9-CF2D-499D-AD03-F9F9D217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728219E9.dotm</Template>
  <TotalTime>12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6</cp:revision>
  <cp:lastPrinted>2018-10-22T22:41:00Z</cp:lastPrinted>
  <dcterms:created xsi:type="dcterms:W3CDTF">2019-08-08T10:48:00Z</dcterms:created>
  <dcterms:modified xsi:type="dcterms:W3CDTF">2019-08-21T00:02:00Z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