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235AE7D8" w14:textId="77777777" w:rsidR="00BD499F" w:rsidRPr="004C23F4" w:rsidRDefault="00D73442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Barium Sul</w:t>
          </w:r>
          <w:r w:rsidR="00882ECF">
            <w:rPr>
              <w:rFonts w:ascii="Arial" w:hAnsi="Arial" w:cs="Arial"/>
            </w:rPr>
            <w:t>F</w:t>
          </w:r>
          <w:r>
            <w:rPr>
              <w:rFonts w:ascii="Arial" w:hAnsi="Arial" w:cs="Arial"/>
            </w:rPr>
            <w:t>ate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0"/>
        <w:gridCol w:w="5036"/>
      </w:tblGrid>
      <w:tr w:rsidR="00F43AD5" w:rsidRPr="004C23F4" w14:paraId="23B55905" w14:textId="77777777" w:rsidTr="00C624BE">
        <w:trPr>
          <w:cantSplit/>
          <w:tblHeader/>
        </w:trPr>
        <w:tc>
          <w:tcPr>
            <w:tcW w:w="3990" w:type="dxa"/>
          </w:tcPr>
          <w:p w14:paraId="717D16F1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6" w:type="dxa"/>
          </w:tcPr>
          <w:p w14:paraId="66E614B5" w14:textId="77777777" w:rsidR="00F43AD5" w:rsidRPr="00717D45" w:rsidRDefault="00D73442" w:rsidP="00B76A41">
            <w:pPr>
              <w:pStyle w:val="Tablefont"/>
            </w:pPr>
            <w:r>
              <w:t>7727-43-7</w:t>
            </w:r>
          </w:p>
        </w:tc>
      </w:tr>
      <w:tr w:rsidR="00F43AD5" w:rsidRPr="004C23F4" w14:paraId="3C38D9DB" w14:textId="77777777" w:rsidTr="00C624BE">
        <w:trPr>
          <w:cantSplit/>
        </w:trPr>
        <w:tc>
          <w:tcPr>
            <w:tcW w:w="3990" w:type="dxa"/>
          </w:tcPr>
          <w:p w14:paraId="7F24D28E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6" w:type="dxa"/>
          </w:tcPr>
          <w:p w14:paraId="42AE8533" w14:textId="77777777" w:rsidR="00F43AD5" w:rsidRPr="00717D45" w:rsidRDefault="00882ECF" w:rsidP="00B76A41">
            <w:pPr>
              <w:pStyle w:val="Tablefont"/>
            </w:pPr>
            <w:r>
              <w:t>Barium sulphate, blanc fixe</w:t>
            </w:r>
          </w:p>
        </w:tc>
      </w:tr>
      <w:tr w:rsidR="00F43AD5" w:rsidRPr="004C23F4" w14:paraId="058094E7" w14:textId="77777777" w:rsidTr="00C624BE">
        <w:trPr>
          <w:cantSplit/>
        </w:trPr>
        <w:tc>
          <w:tcPr>
            <w:tcW w:w="3990" w:type="dxa"/>
          </w:tcPr>
          <w:p w14:paraId="6C0A88B6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6" w:type="dxa"/>
          </w:tcPr>
          <w:p w14:paraId="6B2BAC5E" w14:textId="77777777" w:rsidR="00F43AD5" w:rsidRPr="00717D45" w:rsidRDefault="00882ECF" w:rsidP="00B76A41">
            <w:pPr>
              <w:pStyle w:val="Tablefont"/>
            </w:pPr>
            <w:r>
              <w:t>BaSO</w:t>
            </w:r>
            <w:r w:rsidRPr="00882ECF">
              <w:rPr>
                <w:vertAlign w:val="subscript"/>
              </w:rPr>
              <w:t>4</w:t>
            </w:r>
          </w:p>
        </w:tc>
      </w:tr>
    </w:tbl>
    <w:p w14:paraId="2616EAED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282405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0"/>
        <w:gridCol w:w="5026"/>
      </w:tblGrid>
      <w:tr w:rsidR="002C7AFE" w:rsidRPr="004C23F4" w14:paraId="04CFAC55" w14:textId="77777777" w:rsidTr="00690C73">
        <w:trPr>
          <w:cantSplit/>
          <w:tblHeader/>
        </w:trPr>
        <w:tc>
          <w:tcPr>
            <w:tcW w:w="4000" w:type="dxa"/>
            <w:vAlign w:val="center"/>
          </w:tcPr>
          <w:p w14:paraId="583F4483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6" w:type="dxa"/>
          </w:tcPr>
          <w:p w14:paraId="60377DFC" w14:textId="77777777" w:rsidR="008F3132" w:rsidRDefault="00282405" w:rsidP="00017C82">
            <w:pPr>
              <w:pStyle w:val="Tablefont"/>
              <w:rPr>
                <w:b/>
              </w:rPr>
            </w:pPr>
            <w:r w:rsidRPr="00282405">
              <w:rPr>
                <w:b/>
              </w:rPr>
              <w:t>1.35 mg/m</w:t>
            </w:r>
            <w:r w:rsidRPr="00282405">
              <w:rPr>
                <w:b/>
                <w:vertAlign w:val="superscript"/>
              </w:rPr>
              <w:t>3</w:t>
            </w:r>
            <w:r w:rsidR="008F3132">
              <w:rPr>
                <w:b/>
              </w:rPr>
              <w:t xml:space="preserve"> (</w:t>
            </w:r>
            <w:proofErr w:type="spellStart"/>
            <w:r w:rsidR="008F3132">
              <w:rPr>
                <w:b/>
              </w:rPr>
              <w:t>respirable</w:t>
            </w:r>
            <w:proofErr w:type="spellEnd"/>
            <w:r w:rsidR="008F3132">
              <w:rPr>
                <w:b/>
              </w:rPr>
              <w:t>)</w:t>
            </w:r>
          </w:p>
          <w:p w14:paraId="0E343B32" w14:textId="4BCF0674" w:rsidR="002C7AFE" w:rsidRPr="00EB3D1B" w:rsidRDefault="00282405" w:rsidP="00017C82">
            <w:pPr>
              <w:pStyle w:val="Tablefont"/>
              <w:rPr>
                <w:b/>
              </w:rPr>
            </w:pPr>
            <w:r w:rsidRPr="00282405">
              <w:rPr>
                <w:b/>
              </w:rPr>
              <w:t>4 mg/m</w:t>
            </w:r>
            <w:r w:rsidRPr="00282405">
              <w:rPr>
                <w:b/>
                <w:vertAlign w:val="superscript"/>
              </w:rPr>
              <w:t>3</w:t>
            </w:r>
            <w:r w:rsidRPr="00282405">
              <w:rPr>
                <w:b/>
              </w:rPr>
              <w:t xml:space="preserve"> (inhalable)</w:t>
            </w:r>
          </w:p>
        </w:tc>
      </w:tr>
      <w:tr w:rsidR="002C7AFE" w:rsidRPr="004C23F4" w14:paraId="3D685E6F" w14:textId="77777777" w:rsidTr="00690C73">
        <w:trPr>
          <w:cantSplit/>
        </w:trPr>
        <w:tc>
          <w:tcPr>
            <w:tcW w:w="4000" w:type="dxa"/>
            <w:vAlign w:val="center"/>
          </w:tcPr>
          <w:p w14:paraId="2E12F114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6" w:type="dxa"/>
          </w:tcPr>
          <w:p w14:paraId="27B74896" w14:textId="77777777" w:rsidR="002C7AFE" w:rsidRPr="00EB3D1B" w:rsidRDefault="00B91A11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7C78105A" w14:textId="77777777" w:rsidTr="00690C73">
        <w:trPr>
          <w:cantSplit/>
        </w:trPr>
        <w:tc>
          <w:tcPr>
            <w:tcW w:w="4000" w:type="dxa"/>
            <w:vAlign w:val="center"/>
          </w:tcPr>
          <w:p w14:paraId="67FBAE26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6" w:type="dxa"/>
          </w:tcPr>
          <w:p w14:paraId="3D54E23D" w14:textId="77777777" w:rsidR="002C7AFE" w:rsidRPr="00EB3D1B" w:rsidRDefault="00B91A11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0EDDBEEC" w14:textId="77777777" w:rsidTr="00690C73">
        <w:trPr>
          <w:cantSplit/>
        </w:trPr>
        <w:tc>
          <w:tcPr>
            <w:tcW w:w="4000" w:type="dxa"/>
          </w:tcPr>
          <w:p w14:paraId="251856DD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6" w:type="dxa"/>
          </w:tcPr>
          <w:p w14:paraId="31C93407" w14:textId="77777777" w:rsidR="002C7AFE" w:rsidRPr="00EB3D1B" w:rsidRDefault="00B91A11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54C8D07D" w14:textId="77777777" w:rsidTr="00690C73">
        <w:trPr>
          <w:cantSplit/>
        </w:trPr>
        <w:tc>
          <w:tcPr>
            <w:tcW w:w="4000" w:type="dxa"/>
            <w:vAlign w:val="center"/>
          </w:tcPr>
          <w:p w14:paraId="6BF2170F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6" w:type="dxa"/>
          </w:tcPr>
          <w:p w14:paraId="416B848C" w14:textId="77777777" w:rsidR="002C7AFE" w:rsidRPr="00EB3D1B" w:rsidRDefault="00B91A11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690C73" w:rsidRPr="004C23F4" w14:paraId="7DFCE930" w14:textId="77777777" w:rsidTr="00690C73">
        <w:trPr>
          <w:cantSplit/>
        </w:trPr>
        <w:tc>
          <w:tcPr>
            <w:tcW w:w="4000" w:type="dxa"/>
          </w:tcPr>
          <w:p w14:paraId="73305CEE" w14:textId="0CBAC8D2" w:rsidR="00690C73" w:rsidRDefault="00690C73" w:rsidP="00690C73">
            <w:pPr>
              <w:pStyle w:val="Tablerowright"/>
            </w:pPr>
            <w:r>
              <w:t>Sampling and analysis:</w:t>
            </w:r>
          </w:p>
        </w:tc>
        <w:tc>
          <w:tcPr>
            <w:tcW w:w="5026" w:type="dxa"/>
          </w:tcPr>
          <w:p w14:paraId="216A16E4" w14:textId="452FF675" w:rsidR="00690C73" w:rsidRPr="00690C73" w:rsidRDefault="00690C73" w:rsidP="00017C82">
            <w:pPr>
              <w:pStyle w:val="Tablefont"/>
            </w:pPr>
            <w:r w:rsidRPr="00690C73">
              <w:t xml:space="preserve">The recommended value is readily quantifiable through currently available sampling and analysis techniques. </w:t>
            </w:r>
          </w:p>
        </w:tc>
      </w:tr>
    </w:tbl>
    <w:p w14:paraId="0A37AC37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4D664FE" w14:textId="77777777" w:rsidR="006639B4" w:rsidRPr="004C23F4" w:rsidRDefault="008E3A37" w:rsidP="000C139A">
      <w:pPr>
        <w:rPr>
          <w:rFonts w:cs="Arial"/>
        </w:rPr>
      </w:pPr>
      <w:r>
        <w:rPr>
          <w:rFonts w:cs="Arial"/>
        </w:rPr>
        <w:t>A</w:t>
      </w:r>
      <w:r w:rsidR="00A020DF">
        <w:rPr>
          <w:rFonts w:cs="Arial"/>
        </w:rPr>
        <w:t xml:space="preserve"> TWA of </w:t>
      </w:r>
      <w:r w:rsidR="00A020DF">
        <w:t>1.35 mg/m</w:t>
      </w:r>
      <w:r w:rsidR="00A020DF">
        <w:rPr>
          <w:vertAlign w:val="superscript"/>
        </w:rPr>
        <w:t>3</w:t>
      </w:r>
      <w:r w:rsidR="00A020DF">
        <w:t xml:space="preserve"> </w:t>
      </w:r>
      <w:r w:rsidR="00B032E8">
        <w:t>(</w:t>
      </w:r>
      <w:proofErr w:type="spellStart"/>
      <w:r w:rsidR="00A020DF">
        <w:t>respirable</w:t>
      </w:r>
      <w:proofErr w:type="spellEnd"/>
      <w:r w:rsidR="00A020DF">
        <w:t xml:space="preserve"> fraction</w:t>
      </w:r>
      <w:r w:rsidR="00B032E8">
        <w:t>)</w:t>
      </w:r>
      <w:r w:rsidR="00A020DF">
        <w:t xml:space="preserve"> and </w:t>
      </w:r>
      <w:proofErr w:type="gramStart"/>
      <w:r w:rsidR="00A020DF">
        <w:t>4</w:t>
      </w:r>
      <w:proofErr w:type="gramEnd"/>
      <w:r w:rsidR="00A020DF">
        <w:t xml:space="preserve"> mg/m</w:t>
      </w:r>
      <w:r w:rsidR="00A020DF">
        <w:rPr>
          <w:vertAlign w:val="superscript"/>
        </w:rPr>
        <w:t xml:space="preserve">3 </w:t>
      </w:r>
      <w:r w:rsidR="00B032E8">
        <w:t>(</w:t>
      </w:r>
      <w:r w:rsidR="00A020DF">
        <w:t>inhalable fraction</w:t>
      </w:r>
      <w:r w:rsidR="00B032E8">
        <w:t>)</w:t>
      </w:r>
      <w:r w:rsidR="00A020DF">
        <w:t xml:space="preserve"> are recommended to protect for pneumoconiosis </w:t>
      </w:r>
      <w:r w:rsidR="004C2740">
        <w:t>(</w:t>
      </w:r>
      <w:proofErr w:type="spellStart"/>
      <w:r w:rsidR="004C2740">
        <w:t>baritosis</w:t>
      </w:r>
      <w:proofErr w:type="spellEnd"/>
      <w:r w:rsidR="004C2740">
        <w:t xml:space="preserve">) </w:t>
      </w:r>
      <w:r w:rsidR="00733914">
        <w:t xml:space="preserve">in exposed </w:t>
      </w:r>
      <w:r>
        <w:t>workers.</w:t>
      </w:r>
    </w:p>
    <w:p w14:paraId="7FED2D4A" w14:textId="77777777" w:rsidR="00C7155E" w:rsidRPr="004C23F4" w:rsidRDefault="00F10C97" w:rsidP="003365A5">
      <w:pPr>
        <w:pStyle w:val="Heading2"/>
      </w:pPr>
      <w:r>
        <w:t>Discussion and conclusions</w:t>
      </w:r>
    </w:p>
    <w:p w14:paraId="48EF5D3E" w14:textId="4185273D" w:rsidR="0012581E" w:rsidRDefault="00296F81" w:rsidP="00A020DF">
      <w:r>
        <w:t>B</w:t>
      </w:r>
      <w:r w:rsidR="00513254">
        <w:t xml:space="preserve">arium </w:t>
      </w:r>
      <w:proofErr w:type="spellStart"/>
      <w:r w:rsidR="00513254">
        <w:t>sulfate</w:t>
      </w:r>
      <w:proofErr w:type="spellEnd"/>
      <w:r w:rsidR="00513254">
        <w:t xml:space="preserve"> </w:t>
      </w:r>
      <w:proofErr w:type="gramStart"/>
      <w:r w:rsidR="00513254">
        <w:t>is used</w:t>
      </w:r>
      <w:proofErr w:type="gramEnd"/>
      <w:r w:rsidR="00513254">
        <w:t xml:space="preserve"> for oil well drilling and is sourced from the mineral barite. </w:t>
      </w:r>
      <w:r w:rsidR="00882ECF">
        <w:t xml:space="preserve">The accumulation of </w:t>
      </w:r>
      <w:r w:rsidR="00A020DF">
        <w:t xml:space="preserve">particulate </w:t>
      </w:r>
      <w:r>
        <w:t xml:space="preserve">barium </w:t>
      </w:r>
      <w:proofErr w:type="spellStart"/>
      <w:r>
        <w:t>su</w:t>
      </w:r>
      <w:r w:rsidR="0056529B">
        <w:t>l</w:t>
      </w:r>
      <w:r>
        <w:t>fate</w:t>
      </w:r>
      <w:proofErr w:type="spellEnd"/>
      <w:r>
        <w:t xml:space="preserve"> </w:t>
      </w:r>
      <w:r w:rsidR="00A020DF">
        <w:t xml:space="preserve">in the lungs </w:t>
      </w:r>
      <w:proofErr w:type="gramStart"/>
      <w:r w:rsidR="00A020DF">
        <w:t>is reported</w:t>
      </w:r>
      <w:proofErr w:type="gramEnd"/>
      <w:r w:rsidR="00A020DF">
        <w:t xml:space="preserve"> to result in a benign, non</w:t>
      </w:r>
      <w:r w:rsidR="004C2740">
        <w:t>-</w:t>
      </w:r>
      <w:r w:rsidR="00A020DF">
        <w:t>collagenous pn</w:t>
      </w:r>
      <w:r w:rsidR="008E3A37">
        <w:t xml:space="preserve">eumoconiosis called </w:t>
      </w:r>
      <w:proofErr w:type="spellStart"/>
      <w:r w:rsidR="008E3A37">
        <w:t>baritosis</w:t>
      </w:r>
      <w:proofErr w:type="spellEnd"/>
      <w:r w:rsidR="008E3A37">
        <w:t xml:space="preserve">. </w:t>
      </w:r>
      <w:r w:rsidR="00A020DF">
        <w:t xml:space="preserve">Although limited information exists on reliable airborne concentration levels, one study </w:t>
      </w:r>
      <w:r w:rsidR="00DC10B1">
        <w:t>suggested</w:t>
      </w:r>
      <w:r w:rsidR="00A020DF">
        <w:t xml:space="preserve"> </w:t>
      </w:r>
      <w:r w:rsidR="00DC10B1">
        <w:t xml:space="preserve">exposure to an estimated </w:t>
      </w:r>
      <w:r w:rsidR="00A020DF">
        <w:t>3.5 mg/m</w:t>
      </w:r>
      <w:r w:rsidR="00A020DF">
        <w:rPr>
          <w:vertAlign w:val="superscript"/>
        </w:rPr>
        <w:t>3</w:t>
      </w:r>
      <w:r w:rsidR="00A020DF">
        <w:t xml:space="preserve"> </w:t>
      </w:r>
      <w:r w:rsidR="00DC10B1">
        <w:t xml:space="preserve">(considered </w:t>
      </w:r>
      <w:proofErr w:type="gramStart"/>
      <w:r w:rsidR="00DC10B1">
        <w:t xml:space="preserve">to be </w:t>
      </w:r>
      <w:proofErr w:type="spellStart"/>
      <w:r w:rsidR="00DC10B1">
        <w:t>respirable</w:t>
      </w:r>
      <w:proofErr w:type="spellEnd"/>
      <w:proofErr w:type="gramEnd"/>
      <w:r w:rsidR="00DC10B1">
        <w:t xml:space="preserve">) </w:t>
      </w:r>
      <w:r>
        <w:t>is</w:t>
      </w:r>
      <w:r w:rsidR="00A020DF">
        <w:t xml:space="preserve"> associated with</w:t>
      </w:r>
      <w:r w:rsidR="008E3A37">
        <w:t xml:space="preserve"> </w:t>
      </w:r>
      <w:proofErr w:type="spellStart"/>
      <w:r w:rsidR="008E3A37">
        <w:t>baritosis</w:t>
      </w:r>
      <w:proofErr w:type="spellEnd"/>
      <w:r w:rsidR="008E3A37">
        <w:t xml:space="preserve">. </w:t>
      </w:r>
      <w:r w:rsidR="00DC10B1">
        <w:t>A decline in observed health effect</w:t>
      </w:r>
      <w:r w:rsidR="00882ECF">
        <w:t xml:space="preserve">s and the amount of barium </w:t>
      </w:r>
      <w:proofErr w:type="spellStart"/>
      <w:r w:rsidR="00882ECF">
        <w:t>sulf</w:t>
      </w:r>
      <w:r w:rsidR="00DC10B1">
        <w:t>ate</w:t>
      </w:r>
      <w:proofErr w:type="spellEnd"/>
      <w:r w:rsidR="00DC10B1">
        <w:t xml:space="preserve"> retained in the lungs </w:t>
      </w:r>
      <w:proofErr w:type="gramStart"/>
      <w:r w:rsidR="00DC10B1">
        <w:t>is reported</w:t>
      </w:r>
      <w:proofErr w:type="gramEnd"/>
      <w:r w:rsidR="00DC10B1">
        <w:t xml:space="preserve"> following removal from exposure (</w:t>
      </w:r>
      <w:r w:rsidR="00690C73">
        <w:t>ACGIH, 2018</w:t>
      </w:r>
      <w:r w:rsidR="00690C73">
        <w:t xml:space="preserve">; </w:t>
      </w:r>
      <w:r w:rsidR="00690C73">
        <w:t>DFG, 2017</w:t>
      </w:r>
      <w:r w:rsidR="00690C73">
        <w:t>; US EPA, 2005</w:t>
      </w:r>
      <w:r w:rsidR="00DC10B1">
        <w:t>).</w:t>
      </w:r>
    </w:p>
    <w:p w14:paraId="21D8DE3B" w14:textId="6FE53F67" w:rsidR="00DC10B1" w:rsidRDefault="00B032E8" w:rsidP="00A020DF">
      <w:r>
        <w:t>There are i</w:t>
      </w:r>
      <w:r w:rsidR="0012581E">
        <w:t>nsufficient do</w:t>
      </w:r>
      <w:r w:rsidR="009B2171">
        <w:t>se</w:t>
      </w:r>
      <w:bookmarkStart w:id="0" w:name="_GoBack"/>
      <w:bookmarkEnd w:id="0"/>
      <w:r w:rsidR="0012581E">
        <w:t>-response data and substance-specific toxicity evidence</w:t>
      </w:r>
      <w:r w:rsidR="0012581E" w:rsidRPr="0012581E">
        <w:t xml:space="preserve">. </w:t>
      </w:r>
      <w:r>
        <w:t xml:space="preserve">On a weight of evidence </w:t>
      </w:r>
      <w:r w:rsidR="006409C9">
        <w:t>basis</w:t>
      </w:r>
      <w:r w:rsidR="00C624BE">
        <w:t>,</w:t>
      </w:r>
      <w:r w:rsidR="006409C9">
        <w:t xml:space="preserve"> </w:t>
      </w:r>
      <w:r>
        <w:t xml:space="preserve">there is </w:t>
      </w:r>
      <w:r w:rsidR="006409C9">
        <w:t xml:space="preserve">negligible difference </w:t>
      </w:r>
      <w:r>
        <w:t>to separate barium sulphate dust (</w:t>
      </w:r>
      <w:proofErr w:type="spellStart"/>
      <w:r>
        <w:t>respirable</w:t>
      </w:r>
      <w:proofErr w:type="spellEnd"/>
      <w:r>
        <w:t xml:space="preserve"> or inhalable) from other nuisance dusts. </w:t>
      </w:r>
      <w:r w:rsidR="0012581E">
        <w:t>Therefore, t</w:t>
      </w:r>
      <w:r w:rsidR="00DC10B1">
        <w:t xml:space="preserve">he TWA </w:t>
      </w:r>
      <w:r w:rsidR="00A15F42">
        <w:t xml:space="preserve">for the </w:t>
      </w:r>
      <w:proofErr w:type="spellStart"/>
      <w:r w:rsidR="00A15F42">
        <w:t>respirable</w:t>
      </w:r>
      <w:proofErr w:type="spellEnd"/>
      <w:r w:rsidR="00A15F42">
        <w:t xml:space="preserve"> fraction </w:t>
      </w:r>
      <w:proofErr w:type="gramStart"/>
      <w:r w:rsidR="008E3A37">
        <w:t>is</w:t>
      </w:r>
      <w:r w:rsidR="00DC10B1">
        <w:t xml:space="preserve"> adopted</w:t>
      </w:r>
      <w:proofErr w:type="gramEnd"/>
      <w:r w:rsidR="00DC10B1">
        <w:t xml:space="preserve"> directly from DFG (2017) who </w:t>
      </w:r>
      <w:r w:rsidR="00703C4C">
        <w:t>derived</w:t>
      </w:r>
      <w:r w:rsidR="00DC10B1">
        <w:t xml:space="preserve"> their MAK </w:t>
      </w:r>
      <w:r w:rsidR="00703C4C">
        <w:t xml:space="preserve">for </w:t>
      </w:r>
      <w:proofErr w:type="spellStart"/>
      <w:r w:rsidR="00703C4C">
        <w:t>respirable</w:t>
      </w:r>
      <w:proofErr w:type="spellEnd"/>
      <w:r w:rsidR="00703C4C">
        <w:t xml:space="preserve"> fraction of particulate matter</w:t>
      </w:r>
      <w:r w:rsidR="00DC10B1">
        <w:t xml:space="preserve"> </w:t>
      </w:r>
      <w:r w:rsidR="00703C4C">
        <w:t>from</w:t>
      </w:r>
      <w:r w:rsidR="00703C4C" w:rsidRPr="00703C4C">
        <w:t xml:space="preserve"> </w:t>
      </w:r>
      <w:r w:rsidR="00703C4C">
        <w:t>the general threshold limit value for dusts</w:t>
      </w:r>
      <w:r w:rsidR="008E3A37">
        <w:t xml:space="preserve">. </w:t>
      </w:r>
      <w:r w:rsidR="00A15F42">
        <w:t xml:space="preserve">The DFG (2017) MAK for the inhalable fraction </w:t>
      </w:r>
      <w:proofErr w:type="gramStart"/>
      <w:r w:rsidR="00A15F42">
        <w:t>is also recommended</w:t>
      </w:r>
      <w:proofErr w:type="gramEnd"/>
      <w:r w:rsidR="00A15F42">
        <w:t xml:space="preserve"> because it is considered protective for</w:t>
      </w:r>
      <w:r w:rsidR="0056529B">
        <w:t xml:space="preserve"> effects attributed to inhalable dusts.</w:t>
      </w:r>
    </w:p>
    <w:p w14:paraId="17D23495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763805FA" w14:textId="77777777" w:rsidR="0012581E" w:rsidRPr="0012581E" w:rsidRDefault="0012581E" w:rsidP="0012581E">
      <w:pPr>
        <w:rPr>
          <w:rFonts w:cs="Arial"/>
        </w:rPr>
      </w:pPr>
      <w:r>
        <w:rPr>
          <w:rFonts w:cs="Arial"/>
        </w:rPr>
        <w:t>Not c</w:t>
      </w:r>
      <w:r w:rsidRPr="0012581E">
        <w:rPr>
          <w:rFonts w:cs="Arial"/>
        </w:rPr>
        <w:t xml:space="preserve">lassified as </w:t>
      </w:r>
      <w:r w:rsidR="00882ECF">
        <w:rPr>
          <w:rFonts w:cs="Arial"/>
        </w:rPr>
        <w:t xml:space="preserve">a </w:t>
      </w:r>
      <w:r w:rsidRPr="0012581E">
        <w:rPr>
          <w:rFonts w:cs="Arial"/>
        </w:rPr>
        <w:t>carcinogen ac</w:t>
      </w:r>
      <w:r w:rsidR="00882ECF">
        <w:rPr>
          <w:rFonts w:cs="Arial"/>
        </w:rPr>
        <w:t>cording to the Globally Harmoniz</w:t>
      </w:r>
      <w:r w:rsidRPr="0012581E">
        <w:rPr>
          <w:rFonts w:cs="Arial"/>
        </w:rPr>
        <w:t xml:space="preserve">ed System of Classification and Labelling on Chemicals (GHS). </w:t>
      </w:r>
    </w:p>
    <w:p w14:paraId="5E4A3D75" w14:textId="77777777" w:rsidR="0012581E" w:rsidRPr="0012581E" w:rsidRDefault="0012581E" w:rsidP="0012581E">
      <w:pPr>
        <w:rPr>
          <w:rFonts w:cs="Arial"/>
        </w:rPr>
      </w:pPr>
      <w:r w:rsidRPr="0012581E">
        <w:rPr>
          <w:rFonts w:cs="Arial"/>
        </w:rPr>
        <w:t>Not classified as a skin</w:t>
      </w:r>
      <w:r w:rsidR="008E5EE6">
        <w:rPr>
          <w:rFonts w:cs="Arial"/>
        </w:rPr>
        <w:t xml:space="preserve"> sensitiser</w:t>
      </w:r>
      <w:r w:rsidRPr="0012581E">
        <w:rPr>
          <w:rFonts w:cs="Arial"/>
        </w:rPr>
        <w:t xml:space="preserve"> or respiratory sensitiser according to the GHS.</w:t>
      </w:r>
    </w:p>
    <w:p w14:paraId="6124923C" w14:textId="77777777" w:rsidR="0025734A" w:rsidRPr="004C23F4" w:rsidRDefault="0012581E" w:rsidP="0012581E">
      <w:pPr>
        <w:rPr>
          <w:rFonts w:cs="Arial"/>
        </w:rPr>
      </w:pPr>
      <w:r w:rsidRPr="0012581E">
        <w:rPr>
          <w:rFonts w:cs="Arial"/>
        </w:rPr>
        <w:t xml:space="preserve">Insufficient evidence to </w:t>
      </w:r>
      <w:r w:rsidR="002F0565">
        <w:rPr>
          <w:rFonts w:cs="Arial"/>
        </w:rPr>
        <w:t>recommend</w:t>
      </w:r>
      <w:r w:rsidRPr="0012581E">
        <w:rPr>
          <w:rFonts w:cs="Arial"/>
        </w:rPr>
        <w:t xml:space="preserve"> a skin notation.</w:t>
      </w:r>
    </w:p>
    <w:p w14:paraId="530AF4BE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665BFAE8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71B586F8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3515A0F1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5C07DF7D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44D85271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9CC11EC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D73442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D73442">
                  <w:t>TWA: 10 mg/m</w:t>
                </w:r>
                <w:r w:rsidR="00D73442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5018F1C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9DF8C5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4549F86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7FF3966" w14:textId="77777777" w:rsidR="00C978F0" w:rsidRPr="00DA352E" w:rsidRDefault="00DA352E" w:rsidP="00B032E8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D73442">
                  <w:t>2014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D73442">
                  <w:t>TLV-TWA: 5 mg/m</w:t>
                </w:r>
                <w:r w:rsidR="00D73442">
                  <w:rPr>
                    <w:vertAlign w:val="superscript"/>
                  </w:rPr>
                  <w:t>3</w:t>
                </w:r>
                <w:r w:rsidR="00D73442">
                  <w:t xml:space="preserve"> (Inhalable particulate matter containing </w:t>
                </w:r>
                <w:r w:rsidR="001F7B0B">
                  <w:tab/>
                </w:r>
                <w:r w:rsidR="001F7B0B">
                  <w:tab/>
                </w:r>
                <w:r w:rsidR="001F7B0B">
                  <w:tab/>
                </w:r>
                <w:r w:rsidR="001F7B0B">
                  <w:tab/>
                </w:r>
                <w:r w:rsidR="00D73442">
                  <w:t>no</w:t>
                </w:r>
                <w:r w:rsidR="001F7B0B">
                  <w:t xml:space="preserve"> </w:t>
                </w:r>
                <w:r w:rsidR="00D73442">
                  <w:t>asbestos and &lt; 1% crystalline silica)</w:t>
                </w:r>
              </w:sdtContent>
            </w:sdt>
          </w:p>
        </w:tc>
      </w:tr>
      <w:tr w:rsidR="00C978F0" w:rsidRPr="00DA352E" w14:paraId="1EC85A4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1CBC5BC" w14:textId="77777777" w:rsidR="00C978F0" w:rsidRDefault="00D73442" w:rsidP="003365A5">
            <w:pPr>
              <w:pStyle w:val="Tabletextprimarysource"/>
            </w:pPr>
            <w:r>
              <w:t xml:space="preserve">TLV-TWA recommended </w:t>
            </w:r>
            <w:proofErr w:type="gramStart"/>
            <w:r>
              <w:t>to protect</w:t>
            </w:r>
            <w:proofErr w:type="gramEnd"/>
            <w:r>
              <w:t xml:space="preserve"> for inflammation of the lung or pneumoconiosis.</w:t>
            </w:r>
          </w:p>
          <w:p w14:paraId="416DA539" w14:textId="77777777" w:rsidR="00B032E8" w:rsidRDefault="00B032E8" w:rsidP="003365A5">
            <w:pPr>
              <w:pStyle w:val="Tabletextprimarysource"/>
            </w:pPr>
          </w:p>
          <w:p w14:paraId="26685313" w14:textId="77777777" w:rsidR="00D73442" w:rsidRDefault="00D73442" w:rsidP="003365A5">
            <w:pPr>
              <w:pStyle w:val="Tabletextprimarysource"/>
            </w:pPr>
            <w:r>
              <w:t>Summary of data:</w:t>
            </w:r>
          </w:p>
          <w:p w14:paraId="0B47D1CD" w14:textId="77777777" w:rsidR="00D73442" w:rsidRDefault="00D73442" w:rsidP="008E3A37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Human data:</w:t>
            </w:r>
          </w:p>
          <w:p w14:paraId="5D486D67" w14:textId="77777777" w:rsidR="00387D9D" w:rsidRDefault="00387D9D" w:rsidP="004C2740">
            <w:pPr>
              <w:pStyle w:val="ListBullet"/>
              <w:numPr>
                <w:ilvl w:val="0"/>
                <w:numId w:val="4"/>
              </w:numPr>
              <w:ind w:left="873"/>
            </w:pPr>
            <w:r>
              <w:t>Accumulation of dust in lungs reported to cause benign, non</w:t>
            </w:r>
            <w:r w:rsidR="004C2740">
              <w:t>-</w:t>
            </w:r>
            <w:r>
              <w:t>collagenous pneumoconiosis</w:t>
            </w:r>
            <w:r w:rsidR="000A5B90">
              <w:t xml:space="preserve"> or </w:t>
            </w:r>
            <w:proofErr w:type="spellStart"/>
            <w:r w:rsidR="000A5B90">
              <w:t>baritosis</w:t>
            </w:r>
            <w:proofErr w:type="spellEnd"/>
          </w:p>
          <w:p w14:paraId="3E99F0A5" w14:textId="0541CF77" w:rsidR="00387D9D" w:rsidRDefault="000A5B90" w:rsidP="004C2740">
            <w:pPr>
              <w:pStyle w:val="ListBullet"/>
              <w:numPr>
                <w:ilvl w:val="0"/>
                <w:numId w:val="4"/>
              </w:numPr>
              <w:ind w:left="873"/>
            </w:pPr>
            <w:r>
              <w:t xml:space="preserve">In </w:t>
            </w:r>
            <w:r w:rsidR="006409C9">
              <w:t xml:space="preserve">a </w:t>
            </w:r>
            <w:r>
              <w:t>study (1976)</w:t>
            </w:r>
            <w:r w:rsidR="006409C9">
              <w:t>,</w:t>
            </w:r>
            <w:r>
              <w:t xml:space="preserve"> </w:t>
            </w:r>
            <w:r w:rsidR="00296F81">
              <w:t>9/</w:t>
            </w:r>
            <w:r w:rsidR="00882ECF">
              <w:t>12 workers</w:t>
            </w:r>
            <w:r w:rsidR="00387D9D">
              <w:t xml:space="preserve"> exposed to an estimated 3.5 mg/m</w:t>
            </w:r>
            <w:r w:rsidR="00387D9D">
              <w:rPr>
                <w:vertAlign w:val="superscript"/>
              </w:rPr>
              <w:t>3</w:t>
            </w:r>
            <w:r>
              <w:t xml:space="preserve"> present</w:t>
            </w:r>
            <w:r w:rsidR="008E3A37">
              <w:t xml:space="preserve">ed with </w:t>
            </w:r>
            <w:proofErr w:type="spellStart"/>
            <w:r w:rsidR="008E3A37">
              <w:t>baritosis</w:t>
            </w:r>
            <w:proofErr w:type="spellEnd"/>
            <w:r w:rsidR="00B032E8">
              <w:t xml:space="preserve"> </w:t>
            </w:r>
            <w:r w:rsidR="00296F81">
              <w:t>(duration not reported);</w:t>
            </w:r>
            <w:r w:rsidR="008E3A37">
              <w:t xml:space="preserve"> </w:t>
            </w:r>
            <w:r w:rsidR="00296F81">
              <w:t>f</w:t>
            </w:r>
            <w:r w:rsidR="00882ECF">
              <w:t>ollow-up 9</w:t>
            </w:r>
            <w:r w:rsidR="004C2740">
              <w:t xml:space="preserve"> </w:t>
            </w:r>
            <w:proofErr w:type="spellStart"/>
            <w:r w:rsidR="00882ECF">
              <w:t>yr</w:t>
            </w:r>
            <w:proofErr w:type="spellEnd"/>
            <w:r>
              <w:t xml:space="preserve"> post exposure indicated decline in extent</w:t>
            </w:r>
            <w:r w:rsidR="009132D3">
              <w:t xml:space="preserve"> </w:t>
            </w:r>
            <w:r w:rsidR="00006340">
              <w:t xml:space="preserve">of radiologic opacities </w:t>
            </w:r>
          </w:p>
          <w:p w14:paraId="32B1B6D2" w14:textId="77777777" w:rsidR="000A5B90" w:rsidRDefault="000A5B90" w:rsidP="004C2740">
            <w:pPr>
              <w:pStyle w:val="ListBullet"/>
              <w:numPr>
                <w:ilvl w:val="0"/>
                <w:numId w:val="4"/>
              </w:numPr>
              <w:ind w:left="873"/>
            </w:pPr>
            <w:r>
              <w:t xml:space="preserve">Another study identified </w:t>
            </w:r>
            <w:r w:rsidR="001A7091">
              <w:t xml:space="preserve">4 male </w:t>
            </w:r>
            <w:proofErr w:type="spellStart"/>
            <w:r w:rsidR="001A7091">
              <w:t>baryte</w:t>
            </w:r>
            <w:proofErr w:type="spellEnd"/>
            <w:r w:rsidR="001A7091">
              <w:t xml:space="preserve"> miners with </w:t>
            </w:r>
            <w:r w:rsidR="001A7091" w:rsidRPr="001A7091">
              <w:t>pneumoconiosis</w:t>
            </w:r>
            <w:r w:rsidR="009D5105">
              <w:t>,</w:t>
            </w:r>
            <w:r w:rsidR="00296F81">
              <w:t xml:space="preserve"> 3 that</w:t>
            </w:r>
            <w:r w:rsidR="009D5105">
              <w:t xml:space="preserve"> developed PMF</w:t>
            </w:r>
            <w:r w:rsidR="00296F81">
              <w:t>;</w:t>
            </w:r>
            <w:r w:rsidR="009D5105">
              <w:t xml:space="preserve"> silicosis was diagnosed in </w:t>
            </w:r>
            <w:r w:rsidR="00296F81">
              <w:t>2/3</w:t>
            </w:r>
            <w:r w:rsidR="009D5105">
              <w:t xml:space="preserve"> PMF</w:t>
            </w:r>
            <w:r w:rsidR="00156408">
              <w:t xml:space="preserve"> </w:t>
            </w:r>
            <w:r w:rsidR="009D5105">
              <w:t xml:space="preserve">cases, suggesting </w:t>
            </w:r>
            <w:r w:rsidR="002F0565">
              <w:t>Ba</w:t>
            </w:r>
            <w:r w:rsidR="009D5105">
              <w:t xml:space="preserve"> ores may have crystalline silica contamination </w:t>
            </w:r>
          </w:p>
          <w:p w14:paraId="66BF57B3" w14:textId="77777777" w:rsidR="000A5B90" w:rsidRDefault="00EE7692" w:rsidP="004C2740">
            <w:pPr>
              <w:pStyle w:val="ListBullet"/>
              <w:numPr>
                <w:ilvl w:val="0"/>
                <w:numId w:val="4"/>
              </w:numPr>
              <w:ind w:left="873"/>
            </w:pPr>
            <w:r>
              <w:t xml:space="preserve">Case reports of accidental inhalation </w:t>
            </w:r>
            <w:r w:rsidR="001F7B0B">
              <w:t>(contrast medium)</w:t>
            </w:r>
            <w:r>
              <w:t xml:space="preserve"> during radiographic studies of the </w:t>
            </w:r>
            <w:r w:rsidR="002F0565">
              <w:t>GIT</w:t>
            </w:r>
            <w:r w:rsidR="00882ECF">
              <w:t xml:space="preserve"> resulted in</w:t>
            </w:r>
            <w:r>
              <w:t xml:space="preserve"> fever, </w:t>
            </w:r>
            <w:r w:rsidR="00882ECF">
              <w:t>dyspnoea, hypoxemia</w:t>
            </w:r>
            <w:r>
              <w:t>, mild fibrosis, and death</w:t>
            </w:r>
            <w:r w:rsidR="00296F81">
              <w:t>.</w:t>
            </w:r>
          </w:p>
          <w:p w14:paraId="55945DD2" w14:textId="77777777" w:rsidR="00296F81" w:rsidRDefault="00296F81" w:rsidP="008E3A37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37E01B6E" w14:textId="77777777" w:rsidR="00EE7692" w:rsidRDefault="00EE7692" w:rsidP="008E3A37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Animal data:</w:t>
            </w:r>
          </w:p>
          <w:p w14:paraId="2B891225" w14:textId="77777777" w:rsidR="00EE7692" w:rsidRDefault="008E3A37" w:rsidP="004C2740">
            <w:pPr>
              <w:pStyle w:val="ListBullet"/>
              <w:numPr>
                <w:ilvl w:val="0"/>
                <w:numId w:val="4"/>
              </w:numPr>
              <w:ind w:left="873"/>
            </w:pPr>
            <w:r>
              <w:t xml:space="preserve">Increase </w:t>
            </w:r>
            <w:r w:rsidR="001F7B0B">
              <w:t>neutrophils and macrophages, f</w:t>
            </w:r>
            <w:r w:rsidR="001F7B0B" w:rsidRPr="001F7B0B">
              <w:t xml:space="preserve">ocal fibrosis, granulomas and emphysema </w:t>
            </w:r>
            <w:r w:rsidR="001F7B0B">
              <w:t xml:space="preserve">noted in </w:t>
            </w:r>
            <w:r w:rsidR="00296F81">
              <w:t xml:space="preserve">instillation of </w:t>
            </w:r>
            <w:r w:rsidR="001F7B0B">
              <w:t xml:space="preserve">rats and dogs </w:t>
            </w:r>
            <w:r w:rsidR="00882ECF">
              <w:t xml:space="preserve">with a </w:t>
            </w:r>
            <w:r w:rsidR="002F0565">
              <w:t>BaSO</w:t>
            </w:r>
            <w:r w:rsidR="002F0565" w:rsidRPr="00412F01">
              <w:rPr>
                <w:vertAlign w:val="subscript"/>
              </w:rPr>
              <w:t>4</w:t>
            </w:r>
            <w:r w:rsidR="001F7B0B">
              <w:t xml:space="preserve"> contrast medium solution </w:t>
            </w:r>
            <w:r>
              <w:t>(</w:t>
            </w:r>
            <w:r w:rsidR="001F7B0B">
              <w:t>containing another contrast solution</w:t>
            </w:r>
            <w:r>
              <w:t>)</w:t>
            </w:r>
          </w:p>
          <w:p w14:paraId="4489DE59" w14:textId="35030DCA" w:rsidR="001F7B0B" w:rsidRDefault="00882ECF" w:rsidP="004C2740">
            <w:pPr>
              <w:pStyle w:val="ListBullet"/>
              <w:numPr>
                <w:ilvl w:val="0"/>
                <w:numId w:val="4"/>
              </w:numPr>
              <w:ind w:left="873"/>
            </w:pPr>
            <w:r>
              <w:t xml:space="preserve">Rats exposed </w:t>
            </w:r>
            <w:r w:rsidR="006409C9">
              <w:t xml:space="preserve">to </w:t>
            </w:r>
            <w:r w:rsidR="001F7B0B">
              <w:t>40 mg/m</w:t>
            </w:r>
            <w:r w:rsidR="001F7B0B">
              <w:rPr>
                <w:vertAlign w:val="superscript"/>
              </w:rPr>
              <w:t xml:space="preserve">3 </w:t>
            </w:r>
            <w:r w:rsidR="001F7B0B" w:rsidRPr="001F7B0B">
              <w:t xml:space="preserve">for 2 </w:t>
            </w:r>
            <w:proofErr w:type="spellStart"/>
            <w:r>
              <w:t>mo</w:t>
            </w:r>
            <w:proofErr w:type="spellEnd"/>
            <w:r w:rsidR="001F7B0B">
              <w:t xml:space="preserve"> </w:t>
            </w:r>
            <w:r w:rsidR="0077111C">
              <w:t xml:space="preserve">developed time-dependent lung responses </w:t>
            </w:r>
            <w:r w:rsidR="00296F81">
              <w:t>(</w:t>
            </w:r>
            <w:proofErr w:type="spellStart"/>
            <w:r w:rsidR="0077111C">
              <w:t>epitheal</w:t>
            </w:r>
            <w:proofErr w:type="spellEnd"/>
            <w:r w:rsidR="0077111C">
              <w:t xml:space="preserve"> cell effects in conducting airways and alveolar region,</w:t>
            </w:r>
            <w:r w:rsidR="00513254">
              <w:t xml:space="preserve"> and bronchiolar lining changes</w:t>
            </w:r>
            <w:r w:rsidR="00296F81">
              <w:t>)</w:t>
            </w:r>
          </w:p>
          <w:p w14:paraId="7823CC0D" w14:textId="77777777" w:rsidR="0077111C" w:rsidRDefault="0077111C" w:rsidP="004C2740">
            <w:pPr>
              <w:pStyle w:val="ListBullet"/>
              <w:numPr>
                <w:ilvl w:val="0"/>
                <w:numId w:val="4"/>
              </w:numPr>
              <w:ind w:left="873"/>
            </w:pPr>
            <w:r>
              <w:t>NOAEL</w:t>
            </w:r>
            <w:r w:rsidR="00296F81">
              <w:t>:</w:t>
            </w:r>
            <w:r>
              <w:t xml:space="preserve"> 37.5 mg/m</w:t>
            </w:r>
            <w:r>
              <w:rPr>
                <w:vertAlign w:val="superscript"/>
              </w:rPr>
              <w:t xml:space="preserve">3 </w:t>
            </w:r>
            <w:r w:rsidR="00DC10B1">
              <w:t>(</w:t>
            </w:r>
            <w:proofErr w:type="spellStart"/>
            <w:r w:rsidR="00DC10B1">
              <w:t>respirable</w:t>
            </w:r>
            <w:proofErr w:type="spellEnd"/>
            <w:r w:rsidR="00DC10B1">
              <w:t xml:space="preserve"> dimensions) for </w:t>
            </w:r>
            <w:r>
              <w:t>neutrophil influx and macrophag</w:t>
            </w:r>
            <w:r w:rsidR="008E3A37">
              <w:t>e accumulation</w:t>
            </w:r>
            <w:r w:rsidR="00296F81">
              <w:t xml:space="preserve"> (</w:t>
            </w:r>
            <w:r w:rsidR="008E3A37">
              <w:t>rats</w:t>
            </w:r>
            <w:r w:rsidR="00296F81">
              <w:t>;</w:t>
            </w:r>
            <w:r w:rsidR="008E3A37">
              <w:t xml:space="preserve"> 119 d</w:t>
            </w:r>
            <w:r>
              <w:t>).</w:t>
            </w:r>
          </w:p>
          <w:p w14:paraId="1058191E" w14:textId="77777777" w:rsidR="00296F81" w:rsidRPr="00DA352E" w:rsidRDefault="00296F81" w:rsidP="004C2740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0BB6B3B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73B5EF6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77111C">
                  <w:t>2017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8E3A37">
                  <w:t>MAK:</w:t>
                </w:r>
                <w:r w:rsidR="0077111C">
                  <w:t xml:space="preserve"> 1.35 mg/m</w:t>
                </w:r>
                <w:r w:rsidR="0077111C">
                  <w:rPr>
                    <w:vertAlign w:val="superscript"/>
                  </w:rPr>
                  <w:t>3</w:t>
                </w:r>
                <w:r w:rsidR="0077111C">
                  <w:t xml:space="preserve"> (</w:t>
                </w:r>
                <w:proofErr w:type="spellStart"/>
                <w:r w:rsidR="0077111C">
                  <w:t>respirable</w:t>
                </w:r>
                <w:proofErr w:type="spellEnd"/>
                <w:r w:rsidR="0077111C">
                  <w:t>); 4 mg/m</w:t>
                </w:r>
                <w:r w:rsidR="0077111C">
                  <w:rPr>
                    <w:vertAlign w:val="superscript"/>
                  </w:rPr>
                  <w:t xml:space="preserve">3 </w:t>
                </w:r>
                <w:r w:rsidR="0077111C">
                  <w:t>(inhalable)</w:t>
                </w:r>
              </w:sdtContent>
            </w:sdt>
          </w:p>
        </w:tc>
      </w:tr>
      <w:tr w:rsidR="00C978F0" w:rsidRPr="00DA352E" w14:paraId="5999535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B189392" w14:textId="05A9E587" w:rsidR="00C978F0" w:rsidRDefault="00A32617" w:rsidP="00A32617">
            <w:pPr>
              <w:pStyle w:val="Tabletextprimarysource"/>
            </w:pPr>
            <w:r>
              <w:t xml:space="preserve">MAK recommended </w:t>
            </w:r>
            <w:proofErr w:type="gramStart"/>
            <w:r>
              <w:t>to protect</w:t>
            </w:r>
            <w:proofErr w:type="gramEnd"/>
            <w:r>
              <w:t xml:space="preserve"> for adverse health effects associated with the general particle effect of bio</w:t>
            </w:r>
            <w:r w:rsidR="006409C9">
              <w:t>-</w:t>
            </w:r>
            <w:r>
              <w:t>persistent granular dusts.</w:t>
            </w:r>
          </w:p>
          <w:p w14:paraId="78E2350E" w14:textId="77777777" w:rsidR="00B032E8" w:rsidRDefault="00B032E8" w:rsidP="00A32617">
            <w:pPr>
              <w:pStyle w:val="Tabletextprimarysource"/>
            </w:pPr>
          </w:p>
          <w:p w14:paraId="191A6561" w14:textId="77777777" w:rsidR="00A32617" w:rsidRDefault="00A32617" w:rsidP="00A32617">
            <w:pPr>
              <w:pStyle w:val="Tabletextprimarysource"/>
            </w:pPr>
            <w:r>
              <w:t>Summary of additional data:</w:t>
            </w:r>
          </w:p>
          <w:p w14:paraId="24B0077E" w14:textId="7A7BF6A3" w:rsidR="00A32617" w:rsidRDefault="00513254" w:rsidP="004C2740">
            <w:pPr>
              <w:pStyle w:val="ListBullet"/>
              <w:ind w:left="873"/>
            </w:pPr>
            <w:r>
              <w:t>D</w:t>
            </w:r>
            <w:r w:rsidR="002571CA">
              <w:t>escribed as poorly soluble and when inhaled, producing effects in the lungs via same mechanisms as bio</w:t>
            </w:r>
            <w:r w:rsidR="006409C9">
              <w:t>-</w:t>
            </w:r>
            <w:r w:rsidR="002571CA">
              <w:t>persistent granular dusts</w:t>
            </w:r>
          </w:p>
          <w:p w14:paraId="101C2AAB" w14:textId="77777777" w:rsidR="0012581E" w:rsidRDefault="00B032E8" w:rsidP="004C2740">
            <w:pPr>
              <w:pStyle w:val="ListBullet"/>
              <w:ind w:left="873"/>
            </w:pPr>
            <w:r>
              <w:t>Suitable data</w:t>
            </w:r>
            <w:r w:rsidR="008E3A37">
              <w:t xml:space="preserve"> in human and animal studies</w:t>
            </w:r>
            <w:r>
              <w:t xml:space="preserve"> </w:t>
            </w:r>
            <w:r w:rsidR="0012581E">
              <w:t>are not available</w:t>
            </w:r>
          </w:p>
          <w:p w14:paraId="239D96F3" w14:textId="77777777" w:rsidR="002571CA" w:rsidRDefault="002571CA" w:rsidP="004C2740">
            <w:pPr>
              <w:pStyle w:val="ListBullet"/>
              <w:ind w:left="873"/>
            </w:pPr>
            <w:r>
              <w:t xml:space="preserve">MAK derived by multiplication of </w:t>
            </w:r>
            <w:r w:rsidR="00AF2577">
              <w:t xml:space="preserve">general threshold limit value for dust </w:t>
            </w:r>
            <w:r w:rsidR="00513254">
              <w:t>(</w:t>
            </w:r>
            <w:r>
              <w:t>0.3 mg/m</w:t>
            </w:r>
            <w:r w:rsidRPr="002571CA">
              <w:rPr>
                <w:vertAlign w:val="superscript"/>
              </w:rPr>
              <w:t>3</w:t>
            </w:r>
            <w:r w:rsidR="00513254">
              <w:rPr>
                <w:vertAlign w:val="superscript"/>
              </w:rPr>
              <w:t>)</w:t>
            </w:r>
            <w:r w:rsidR="00513254">
              <w:t xml:space="preserve"> </w:t>
            </w:r>
            <w:r w:rsidR="00AF2577">
              <w:t>by the</w:t>
            </w:r>
            <w:r>
              <w:t xml:space="preserve"> material density of </w:t>
            </w:r>
            <w:r w:rsidR="002F0565">
              <w:t>BaSO</w:t>
            </w:r>
            <w:r w:rsidR="002F0565" w:rsidRPr="007E7A79">
              <w:rPr>
                <w:vertAlign w:val="subscript"/>
              </w:rPr>
              <w:t>4</w:t>
            </w:r>
            <w:r w:rsidR="002F0565">
              <w:t xml:space="preserve"> </w:t>
            </w:r>
            <w:r>
              <w:t>4.5 g/cm</w:t>
            </w:r>
            <w:r w:rsidRPr="002571CA">
              <w:rPr>
                <w:vertAlign w:val="superscript"/>
              </w:rPr>
              <w:t>3</w:t>
            </w:r>
          </w:p>
          <w:p w14:paraId="6FB49DEC" w14:textId="77777777" w:rsidR="002571CA" w:rsidRDefault="00AF2577" w:rsidP="004C2740">
            <w:pPr>
              <w:pStyle w:val="ListBullet"/>
              <w:ind w:left="873"/>
            </w:pPr>
            <w:r>
              <w:t>Historic MAK for inhalable fraction of 4 mg/m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proofErr w:type="gramStart"/>
            <w:r w:rsidR="00871A6C">
              <w:t>was</w:t>
            </w:r>
            <w:r>
              <w:t xml:space="preserve"> retained</w:t>
            </w:r>
            <w:proofErr w:type="gramEnd"/>
            <w:r>
              <w:t xml:space="preserve"> due to </w:t>
            </w:r>
            <w:r w:rsidR="00F14DE1">
              <w:t xml:space="preserve">a lack of </w:t>
            </w:r>
            <w:r w:rsidR="00871A6C">
              <w:t xml:space="preserve">any </w:t>
            </w:r>
            <w:r w:rsidR="00F14DE1">
              <w:t xml:space="preserve">new </w:t>
            </w:r>
            <w:r>
              <w:t>data</w:t>
            </w:r>
            <w:r w:rsidR="00090496">
              <w:t xml:space="preserve"> since last assessment.</w:t>
            </w:r>
          </w:p>
          <w:p w14:paraId="7F1B6908" w14:textId="77777777" w:rsidR="00B032E8" w:rsidRPr="00DA352E" w:rsidRDefault="00B032E8" w:rsidP="004C2740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1C93CDB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A1E0431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AF257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AF2577">
                  <w:t>NA</w:t>
                </w:r>
              </w:sdtContent>
            </w:sdt>
          </w:p>
        </w:tc>
      </w:tr>
      <w:tr w:rsidR="00C978F0" w:rsidRPr="00DA352E" w14:paraId="058EFA2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D48310F" w14:textId="77777777" w:rsidR="00C978F0" w:rsidRPr="00DA352E" w:rsidRDefault="00AF2577" w:rsidP="003365A5">
            <w:pPr>
              <w:pStyle w:val="Tabletextprimarysource"/>
            </w:pPr>
            <w:r>
              <w:t>No report</w:t>
            </w:r>
          </w:p>
        </w:tc>
      </w:tr>
      <w:tr w:rsidR="00DA352E" w:rsidRPr="00DA352E" w14:paraId="1D259C0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91F3448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AF257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AF2577">
                  <w:t>NA</w:t>
                </w:r>
                <w:proofErr w:type="spellEnd"/>
              </w:sdtContent>
            </w:sdt>
          </w:p>
        </w:tc>
      </w:tr>
      <w:tr w:rsidR="00DA352E" w:rsidRPr="00DA352E" w14:paraId="636507E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6DE90C7" w14:textId="77777777" w:rsidR="00DA352E" w:rsidRPr="00DA352E" w:rsidRDefault="00AF2577" w:rsidP="003365A5">
            <w:pPr>
              <w:pStyle w:val="Tabletextprimarysource"/>
            </w:pPr>
            <w:r>
              <w:t>No report</w:t>
            </w:r>
          </w:p>
        </w:tc>
      </w:tr>
      <w:tr w:rsidR="00DA352E" w:rsidRPr="00DA352E" w14:paraId="56D08E6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5ECC1B8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AF257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AF2577">
                  <w:t>NA</w:t>
                </w:r>
                <w:proofErr w:type="spellEnd"/>
              </w:sdtContent>
            </w:sdt>
          </w:p>
        </w:tc>
      </w:tr>
      <w:tr w:rsidR="00DA352E" w:rsidRPr="00DA352E" w14:paraId="3D1BE96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9F3E81A" w14:textId="77777777" w:rsidR="00DA352E" w:rsidRPr="00DA352E" w:rsidRDefault="00AF2577" w:rsidP="003365A5">
            <w:pPr>
              <w:pStyle w:val="Tabletextprimarysource"/>
            </w:pPr>
            <w:r>
              <w:t>No report</w:t>
            </w:r>
          </w:p>
        </w:tc>
      </w:tr>
    </w:tbl>
    <w:p w14:paraId="72D560CA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4966BF" w:rsidRPr="00263255" w14:paraId="7DEF9B0A" w14:textId="77777777" w:rsidTr="00282405">
        <w:trPr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7EEF1FD0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36A46746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C1AB3E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0773BB93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7C1A2C38" w14:textId="77777777" w:rsidTr="00282405">
        <w:trPr>
          <w:cantSplit/>
        </w:trPr>
        <w:tc>
          <w:tcPr>
            <w:tcW w:w="1497" w:type="dxa"/>
          </w:tcPr>
          <w:p w14:paraId="6C1BC804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4" w:type="dxa"/>
          </w:tcPr>
          <w:p w14:paraId="00D52530" w14:textId="77777777" w:rsidR="004966BF" w:rsidRPr="00CE617F" w:rsidRDefault="00690C73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AF2577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C004CED" w14:textId="77777777" w:rsidR="004966BF" w:rsidRPr="004C23F4" w:rsidRDefault="00634D5E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44" w:type="dxa"/>
          </w:tcPr>
          <w:p w14:paraId="0293D334" w14:textId="77777777" w:rsidR="004966BF" w:rsidRPr="004C23F4" w:rsidRDefault="00B032E8" w:rsidP="00B032E8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</w:t>
            </w:r>
            <w:r w:rsidR="00AF2577">
              <w:rPr>
                <w:rStyle w:val="checkbox"/>
                <w:rFonts w:ascii="Arial" w:hAnsi="Arial" w:cs="Arial"/>
              </w:rPr>
              <w:t>o</w:t>
            </w:r>
            <w:r>
              <w:rPr>
                <w:rStyle w:val="checkbox"/>
                <w:rFonts w:ascii="Arial" w:hAnsi="Arial" w:cs="Arial"/>
              </w:rPr>
              <w:t xml:space="preserve"> additional</w:t>
            </w:r>
            <w:r w:rsidR="00AF2577">
              <w:rPr>
                <w:rStyle w:val="checkbox"/>
                <w:rFonts w:ascii="Arial" w:hAnsi="Arial" w:cs="Arial"/>
              </w:rPr>
              <w:t xml:space="preserve"> information</w:t>
            </w:r>
            <w:r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29F32F38" w14:textId="77777777" w:rsidTr="00282405">
        <w:trPr>
          <w:cantSplit/>
        </w:trPr>
        <w:tc>
          <w:tcPr>
            <w:tcW w:w="1497" w:type="dxa"/>
          </w:tcPr>
          <w:p w14:paraId="131F5CFE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4" w:type="dxa"/>
          </w:tcPr>
          <w:p w14:paraId="353F39CA" w14:textId="77777777" w:rsidR="004966BF" w:rsidRPr="00CE617F" w:rsidRDefault="00690C73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AF2577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598D917" w14:textId="77777777" w:rsidR="004966BF" w:rsidRPr="004C23F4" w:rsidRDefault="00634D5E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2005</w:t>
            </w:r>
          </w:p>
        </w:tc>
        <w:tc>
          <w:tcPr>
            <w:tcW w:w="6444" w:type="dxa"/>
          </w:tcPr>
          <w:p w14:paraId="63CD37F9" w14:textId="77777777" w:rsidR="00282405" w:rsidRDefault="00282405" w:rsidP="00282405">
            <w:pPr>
              <w:pStyle w:val="ListBullet"/>
              <w:rPr>
                <w:rStyle w:val="checkbox"/>
                <w:rFonts w:ascii="Arial" w:hAnsi="Arial" w:cs="Arial"/>
              </w:rPr>
            </w:pPr>
            <w:r w:rsidRPr="00282405">
              <w:rPr>
                <w:rStyle w:val="checkbox"/>
                <w:rFonts w:ascii="Arial" w:hAnsi="Arial" w:cs="Arial"/>
              </w:rPr>
              <w:t>Exposure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Pr="00282405">
              <w:rPr>
                <w:rStyle w:val="checkbox"/>
                <w:rFonts w:ascii="Arial" w:hAnsi="Arial" w:cs="Arial"/>
              </w:rPr>
              <w:t xml:space="preserve">results in </w:t>
            </w:r>
            <w:proofErr w:type="spellStart"/>
            <w:r w:rsidRPr="00282405">
              <w:rPr>
                <w:rStyle w:val="checkbox"/>
                <w:rFonts w:ascii="Arial" w:hAnsi="Arial" w:cs="Arial"/>
              </w:rPr>
              <w:t>baritosis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 identified by many opacities observed on radiographs</w:t>
            </w:r>
            <w:r w:rsidR="00B032E8">
              <w:rPr>
                <w:rStyle w:val="checkbox"/>
                <w:rFonts w:ascii="Arial" w:hAnsi="Arial" w:cs="Arial"/>
              </w:rPr>
              <w:t>;</w:t>
            </w:r>
            <w:r>
              <w:rPr>
                <w:rStyle w:val="checkbox"/>
                <w:rFonts w:ascii="Arial" w:hAnsi="Arial" w:cs="Arial"/>
              </w:rPr>
              <w:t xml:space="preserve"> no alterations in lung function or increase incidence of subjective symptoms</w:t>
            </w:r>
          </w:p>
          <w:p w14:paraId="52E92585" w14:textId="77777777" w:rsidR="00282405" w:rsidRPr="00282405" w:rsidRDefault="00282405" w:rsidP="00282405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No exposure concentrations resulting in </w:t>
            </w:r>
            <w:proofErr w:type="spellStart"/>
            <w:r>
              <w:rPr>
                <w:rStyle w:val="checkbox"/>
                <w:rFonts w:ascii="Arial" w:hAnsi="Arial" w:cs="Arial"/>
              </w:rPr>
              <w:t>baritosis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 identified</w:t>
            </w:r>
          </w:p>
          <w:p w14:paraId="555145E4" w14:textId="77777777" w:rsidR="004966BF" w:rsidRPr="004C23F4" w:rsidRDefault="00282405" w:rsidP="00B032E8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A</w:t>
            </w:r>
            <w:r w:rsidRPr="00282405">
              <w:rPr>
                <w:rStyle w:val="checkbox"/>
                <w:rFonts w:ascii="Arial" w:hAnsi="Arial" w:cs="Arial"/>
              </w:rPr>
              <w:t xml:space="preserve">ccumulation in the lungs </w:t>
            </w:r>
            <w:r>
              <w:rPr>
                <w:rStyle w:val="checkbox"/>
                <w:rFonts w:ascii="Arial" w:hAnsi="Arial" w:cs="Arial"/>
              </w:rPr>
              <w:t>reduce</w:t>
            </w:r>
            <w:r w:rsidR="00B032E8">
              <w:rPr>
                <w:rStyle w:val="checkbox"/>
                <w:rFonts w:ascii="Arial" w:hAnsi="Arial" w:cs="Arial"/>
              </w:rPr>
              <w:t>s up</w:t>
            </w:r>
            <w:r>
              <w:rPr>
                <w:rStyle w:val="checkbox"/>
                <w:rFonts w:ascii="Arial" w:hAnsi="Arial" w:cs="Arial"/>
              </w:rPr>
              <w:t xml:space="preserve">on removal from </w:t>
            </w:r>
            <w:r w:rsidRPr="00282405">
              <w:rPr>
                <w:rStyle w:val="checkbox"/>
                <w:rFonts w:ascii="Arial" w:hAnsi="Arial" w:cs="Arial"/>
              </w:rPr>
              <w:t>exposure</w:t>
            </w:r>
            <w:r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1"/>
    <w:p w14:paraId="716746B1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14A56CE0" w14:textId="77777777" w:rsidTr="002571CA">
        <w:trPr>
          <w:trHeight w:val="454"/>
          <w:tblHeader/>
        </w:trPr>
        <w:tc>
          <w:tcPr>
            <w:tcW w:w="6603" w:type="dxa"/>
            <w:vAlign w:val="center"/>
          </w:tcPr>
          <w:p w14:paraId="220FDBDB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5572153B" w14:textId="77777777" w:rsidR="002E0D61" w:rsidRDefault="002571CA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1033BEF4" w14:textId="77777777" w:rsidTr="002571CA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294E8B31" w14:textId="77777777" w:rsidR="008A36CF" w:rsidRPr="006901A2" w:rsidRDefault="002571CA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453EAB05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2C314BD7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7FA052D9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A374F98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36F567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0154A879" w14:textId="77777777" w:rsidTr="00812887">
        <w:trPr>
          <w:cantSplit/>
        </w:trPr>
        <w:tc>
          <w:tcPr>
            <w:tcW w:w="3227" w:type="dxa"/>
          </w:tcPr>
          <w:p w14:paraId="44973CAD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78FF9DC6" w14:textId="77777777" w:rsidR="00687890" w:rsidRPr="00DD2F9B" w:rsidRDefault="00B032E8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1C894248" w14:textId="77777777" w:rsidTr="00812887">
        <w:trPr>
          <w:cantSplit/>
        </w:trPr>
        <w:tc>
          <w:tcPr>
            <w:tcW w:w="3227" w:type="dxa"/>
          </w:tcPr>
          <w:p w14:paraId="27CFE108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6CF8B6CA" w14:textId="77777777" w:rsidR="007925F0" w:rsidRPr="00DD2F9B" w:rsidRDefault="002571CA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02B3BA3D" w14:textId="77777777" w:rsidTr="00812887">
        <w:trPr>
          <w:cantSplit/>
        </w:trPr>
        <w:tc>
          <w:tcPr>
            <w:tcW w:w="3227" w:type="dxa"/>
          </w:tcPr>
          <w:p w14:paraId="58C08CC3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6DE4EF0D" w14:textId="77777777" w:rsidR="00AF483F" w:rsidRPr="00DD2F9B" w:rsidRDefault="00513254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006DE27F" w14:textId="77777777" w:rsidTr="00812887">
        <w:trPr>
          <w:cantSplit/>
        </w:trPr>
        <w:tc>
          <w:tcPr>
            <w:tcW w:w="3227" w:type="dxa"/>
          </w:tcPr>
          <w:p w14:paraId="43FC7B05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480845E3" w14:textId="77777777" w:rsidR="00687890" w:rsidRPr="00DD2F9B" w:rsidRDefault="00513254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6C9850F3" w14:textId="77777777" w:rsidTr="00812887">
        <w:trPr>
          <w:cantSplit/>
        </w:trPr>
        <w:tc>
          <w:tcPr>
            <w:tcW w:w="3227" w:type="dxa"/>
          </w:tcPr>
          <w:p w14:paraId="1296CB20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3DFB4BD0" w14:textId="77777777" w:rsidR="00E41A26" w:rsidRPr="00DD2F9B" w:rsidRDefault="00513254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F0DB885" w14:textId="77777777" w:rsidTr="00812887">
        <w:trPr>
          <w:cantSplit/>
        </w:trPr>
        <w:tc>
          <w:tcPr>
            <w:tcW w:w="3227" w:type="dxa"/>
          </w:tcPr>
          <w:p w14:paraId="2A666F78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36CF055E" w14:textId="77777777" w:rsidR="002E0D61" w:rsidRPr="00DD2F9B" w:rsidRDefault="00B032E8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480F41A1" w14:textId="77777777" w:rsidTr="00812887">
        <w:trPr>
          <w:cantSplit/>
        </w:trPr>
        <w:tc>
          <w:tcPr>
            <w:tcW w:w="3227" w:type="dxa"/>
          </w:tcPr>
          <w:p w14:paraId="0C6CAA33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3FCA1EE0" w14:textId="77777777" w:rsidR="002E0D61" w:rsidRPr="00DD2F9B" w:rsidRDefault="002571CA" w:rsidP="00DD2F9B">
            <w:pPr>
              <w:pStyle w:val="Tablefont"/>
            </w:pPr>
            <w:r w:rsidRPr="002571CA">
              <w:t>Carcinogenicity – 4</w:t>
            </w:r>
          </w:p>
        </w:tc>
      </w:tr>
      <w:tr w:rsidR="002E0D61" w:rsidRPr="004C23F4" w14:paraId="0C409F81" w14:textId="77777777" w:rsidTr="00812887">
        <w:trPr>
          <w:cantSplit/>
        </w:trPr>
        <w:tc>
          <w:tcPr>
            <w:tcW w:w="3227" w:type="dxa"/>
          </w:tcPr>
          <w:p w14:paraId="0C55978E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4AA3E2CD" w14:textId="77777777" w:rsidR="002E0D61" w:rsidRPr="00DD2F9B" w:rsidRDefault="00513254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C05867E" w14:textId="77777777" w:rsidTr="00812887">
        <w:trPr>
          <w:cantSplit/>
        </w:trPr>
        <w:tc>
          <w:tcPr>
            <w:tcW w:w="3227" w:type="dxa"/>
          </w:tcPr>
          <w:p w14:paraId="2633C0DA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2A7A2C62" w14:textId="77777777" w:rsidR="002E0D61" w:rsidRPr="00DD2F9B" w:rsidRDefault="00513254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8D881B8" w14:textId="77777777" w:rsidTr="00812887">
        <w:trPr>
          <w:cantSplit/>
        </w:trPr>
        <w:tc>
          <w:tcPr>
            <w:tcW w:w="3227" w:type="dxa"/>
          </w:tcPr>
          <w:p w14:paraId="6B054FE9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45D78A11" w14:textId="77777777" w:rsidR="00386093" w:rsidRPr="00DD2F9B" w:rsidRDefault="00513254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2F27264" w14:textId="77777777" w:rsidTr="00812887">
        <w:trPr>
          <w:cantSplit/>
        </w:trPr>
        <w:tc>
          <w:tcPr>
            <w:tcW w:w="3227" w:type="dxa"/>
          </w:tcPr>
          <w:p w14:paraId="24F55DFE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74238D59" w14:textId="77777777" w:rsidR="00386093" w:rsidRPr="00DD2F9B" w:rsidRDefault="00513254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7A1B1EE5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7D7D3CB6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1F2BA3B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88F0655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772F0A6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47DF2A9F" w14:textId="77777777" w:rsidR="00932DCE" w:rsidRPr="004C23F4" w:rsidRDefault="00282405" w:rsidP="00F9496B">
            <w:pPr>
              <w:pStyle w:val="Tablefont"/>
            </w:pPr>
            <w:r>
              <w:t>Insufficient data available</w:t>
            </w:r>
            <w:r w:rsidR="008E3A37">
              <w:t xml:space="preserve"> to assign a skin notation</w:t>
            </w:r>
            <w:r w:rsidR="004C2740">
              <w:t>.</w:t>
            </w:r>
          </w:p>
        </w:tc>
      </w:tr>
    </w:tbl>
    <w:bookmarkEnd w:id="4"/>
    <w:p w14:paraId="6F86F6CE" w14:textId="77777777" w:rsidR="00EB3D1B" w:rsidRDefault="00EB3D1B" w:rsidP="00EB3D1B">
      <w:pPr>
        <w:pStyle w:val="Heading3"/>
      </w:pPr>
      <w:r>
        <w:lastRenderedPageBreak/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509F8876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27B72942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8B69C86" w14:textId="77777777" w:rsidR="00EB3D1B" w:rsidRDefault="00282405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1342F12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7782385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A2A60A7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16CAA755" w14:textId="77777777" w:rsidR="001B79E5" w:rsidRDefault="00513254" w:rsidP="001B79E5">
                <w:pPr>
                  <w:pStyle w:val="Tablefont"/>
                </w:pPr>
                <w:r>
                  <w:t>233.38</w:t>
                </w:r>
              </w:p>
            </w:tc>
          </w:sdtContent>
        </w:sdt>
      </w:tr>
      <w:tr w:rsidR="00A31D99" w:rsidRPr="004C23F4" w14:paraId="1D77FAB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9B8B1AE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1D854A16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5F07F74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EDA3EAF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5A3913F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D628104" w14:textId="77777777" w:rsidTr="00EA6243">
        <w:trPr>
          <w:cantSplit/>
        </w:trPr>
        <w:tc>
          <w:tcPr>
            <w:tcW w:w="4077" w:type="dxa"/>
            <w:vAlign w:val="center"/>
          </w:tcPr>
          <w:p w14:paraId="4FA62D04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519E492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606D87B" w14:textId="77777777" w:rsidTr="00EA6243">
        <w:trPr>
          <w:cantSplit/>
        </w:trPr>
        <w:tc>
          <w:tcPr>
            <w:tcW w:w="4077" w:type="dxa"/>
            <w:vAlign w:val="center"/>
          </w:tcPr>
          <w:p w14:paraId="06FC5757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9AF52C4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5375AF76" w14:textId="77777777" w:rsidTr="00EA6243">
        <w:trPr>
          <w:cantSplit/>
        </w:trPr>
        <w:tc>
          <w:tcPr>
            <w:tcW w:w="4077" w:type="dxa"/>
            <w:vAlign w:val="center"/>
          </w:tcPr>
          <w:p w14:paraId="7FABD81F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7E8F1DC3" w14:textId="77777777" w:rsidR="00E06F40" w:rsidRPr="00A006A0" w:rsidRDefault="00690C73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64D911D0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0AE5D373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768D517E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67C556C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192C08BD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2DED93A2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E4571D1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4957FBC6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4F62AED9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17DAA575" w14:textId="77777777" w:rsidR="00AF2577" w:rsidRDefault="00AF2577" w:rsidP="00084859">
      <w:r w:rsidRPr="00AF2577">
        <w:t xml:space="preserve">Deutsche </w:t>
      </w:r>
      <w:proofErr w:type="spellStart"/>
      <w:r w:rsidRPr="00AF2577">
        <w:t>Fo</w:t>
      </w:r>
      <w:r>
        <w:t>rschungsgemeinschaft</w:t>
      </w:r>
      <w:proofErr w:type="spellEnd"/>
      <w:r>
        <w:t xml:space="preserve"> (DFG) (2017</w:t>
      </w:r>
      <w:r w:rsidRPr="00AF2577">
        <w:t>) Barium</w:t>
      </w:r>
      <w:r w:rsidR="00634D5E">
        <w:t xml:space="preserve"> </w:t>
      </w:r>
      <w:proofErr w:type="spellStart"/>
      <w:r w:rsidR="00634D5E">
        <w:t>sulfate</w:t>
      </w:r>
      <w:proofErr w:type="spellEnd"/>
      <w:r w:rsidR="00634D5E">
        <w:t xml:space="preserve"> / (</w:t>
      </w:r>
      <w:proofErr w:type="gramStart"/>
      <w:r w:rsidR="00634D5E">
        <w:t>barium(</w:t>
      </w:r>
      <w:proofErr w:type="gramEnd"/>
      <w:r w:rsidR="00634D5E">
        <w:t>2+);</w:t>
      </w:r>
      <w:proofErr w:type="spellStart"/>
      <w:r w:rsidR="00634D5E">
        <w:t>sulfate</w:t>
      </w:r>
      <w:proofErr w:type="spellEnd"/>
      <w:r w:rsidR="00634D5E">
        <w:t xml:space="preserve">) </w:t>
      </w:r>
      <w:r w:rsidRPr="00AF2577">
        <w:t>– MAK value documentation.</w:t>
      </w:r>
    </w:p>
    <w:p w14:paraId="3A0A3F30" w14:textId="77777777" w:rsidR="00634D5E" w:rsidRDefault="00634D5E" w:rsidP="00084859">
      <w:r w:rsidRPr="00634D5E">
        <w:t>National Industrial Chemicals Notification and Assessment Scheme (NICNAS) (</w:t>
      </w:r>
      <w:r>
        <w:t>Accessed 2019</w:t>
      </w:r>
      <w:r w:rsidRPr="00634D5E">
        <w:t xml:space="preserve">) </w:t>
      </w:r>
      <w:proofErr w:type="spellStart"/>
      <w:r w:rsidRPr="00634D5E">
        <w:t>Sulfuric</w:t>
      </w:r>
      <w:proofErr w:type="spellEnd"/>
      <w:r w:rsidRPr="00634D5E">
        <w:t xml:space="preserve"> acid, barium salt (1:1): Human health tier I assessment – IMAP report</w:t>
      </w:r>
    </w:p>
    <w:p w14:paraId="3626EB6E" w14:textId="77777777" w:rsidR="00634D5E" w:rsidRPr="00351FE0" w:rsidRDefault="00634D5E" w:rsidP="00084859">
      <w:r w:rsidRPr="00634D5E">
        <w:t>US Environmental</w:t>
      </w:r>
      <w:r>
        <w:t xml:space="preserve"> Protection Agency (US EPA) (200</w:t>
      </w:r>
      <w:r w:rsidRPr="00634D5E">
        <w:t xml:space="preserve">5) </w:t>
      </w:r>
      <w:r>
        <w:t>Barium and Compounds</w:t>
      </w:r>
      <w:r w:rsidRPr="00634D5E">
        <w:t>.</w:t>
      </w:r>
      <w:r>
        <w:t xml:space="preserve"> Integrated Risk Information System (IRIS) Chemical Assessment Summary</w:t>
      </w:r>
    </w:p>
    <w:sectPr w:rsidR="00634D5E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B8DCBC" w16cid:durableId="20E2F9C7"/>
  <w16cid:commentId w16cid:paraId="2BAC0DBA" w16cid:durableId="20E2F9F0"/>
  <w16cid:commentId w16cid:paraId="729399C4" w16cid:durableId="20E2FA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EEECB" w14:textId="77777777" w:rsidR="00B47C32" w:rsidRDefault="00B47C32" w:rsidP="00F43AD5">
      <w:pPr>
        <w:spacing w:after="0" w:line="240" w:lineRule="auto"/>
      </w:pPr>
      <w:r>
        <w:separator/>
      </w:r>
    </w:p>
  </w:endnote>
  <w:endnote w:type="continuationSeparator" w:id="0">
    <w:p w14:paraId="1852E753" w14:textId="77777777" w:rsidR="00B47C32" w:rsidRDefault="00B47C32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F407B" w14:textId="77777777" w:rsidR="00C611D7" w:rsidRDefault="00C611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D6B630B" w14:textId="77777777" w:rsidR="008A36CF" w:rsidRDefault="00D73442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 xml:space="preserve">Barium sulphate </w:t>
        </w:r>
        <w:r w:rsidR="008A36CF">
          <w:rPr>
            <w:b/>
            <w:sz w:val="18"/>
            <w:szCs w:val="18"/>
          </w:rPr>
          <w:t>(</w:t>
        </w:r>
        <w:r w:rsidRPr="00D73442">
          <w:rPr>
            <w:b/>
            <w:sz w:val="18"/>
            <w:szCs w:val="18"/>
          </w:rPr>
          <w:t>7727-43-7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4BC37D94" w14:textId="57E7811F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690C73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074D2" w14:textId="77777777" w:rsidR="00C611D7" w:rsidRDefault="00C61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3EED9" w14:textId="77777777" w:rsidR="00B47C32" w:rsidRDefault="00B47C32" w:rsidP="00F43AD5">
      <w:pPr>
        <w:spacing w:after="0" w:line="240" w:lineRule="auto"/>
      </w:pPr>
      <w:r>
        <w:separator/>
      </w:r>
    </w:p>
  </w:footnote>
  <w:footnote w:type="continuationSeparator" w:id="0">
    <w:p w14:paraId="66F4ABC9" w14:textId="77777777" w:rsidR="00B47C32" w:rsidRDefault="00B47C32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77B48" w14:textId="77777777" w:rsidR="00C611D7" w:rsidRDefault="00C611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0868E" w14:textId="77777777" w:rsidR="008A36CF" w:rsidRDefault="008A36CF" w:rsidP="00F43AD5">
    <w:pPr>
      <w:pStyle w:val="Header"/>
      <w:jc w:val="right"/>
    </w:pPr>
    <w:r>
      <w:rPr>
        <w:noProof/>
        <w:lang w:eastAsia="en-AU"/>
      </w:rPr>
      <w:drawing>
        <wp:inline distT="0" distB="0" distL="0" distR="0" wp14:anchorId="507333E7" wp14:editId="6E9B0161">
          <wp:extent cx="2938272" cy="594360"/>
          <wp:effectExtent l="0" t="0" r="0" b="0"/>
          <wp:docPr id="1" name="Picture 1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6F2EE" w14:textId="77777777" w:rsidR="00C611D7" w:rsidRDefault="00C611D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753F4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CB88B35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3800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A94BE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7F8467E"/>
    <w:multiLevelType w:val="hybridMultilevel"/>
    <w:tmpl w:val="511634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6340"/>
    <w:rsid w:val="00007B80"/>
    <w:rsid w:val="00013A22"/>
    <w:rsid w:val="00014C3F"/>
    <w:rsid w:val="00017C82"/>
    <w:rsid w:val="00021A89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0496"/>
    <w:rsid w:val="00092D94"/>
    <w:rsid w:val="000A5B90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581E"/>
    <w:rsid w:val="001269A7"/>
    <w:rsid w:val="00131092"/>
    <w:rsid w:val="00140E6A"/>
    <w:rsid w:val="00146545"/>
    <w:rsid w:val="00146B75"/>
    <w:rsid w:val="0015266D"/>
    <w:rsid w:val="0015288A"/>
    <w:rsid w:val="00156408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A7091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1F7B0B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1CA"/>
    <w:rsid w:val="0025734A"/>
    <w:rsid w:val="00260C4B"/>
    <w:rsid w:val="00263255"/>
    <w:rsid w:val="00276494"/>
    <w:rsid w:val="00277B0C"/>
    <w:rsid w:val="00282405"/>
    <w:rsid w:val="00296F81"/>
    <w:rsid w:val="002B1A2C"/>
    <w:rsid w:val="002B3D95"/>
    <w:rsid w:val="002C34F2"/>
    <w:rsid w:val="002C58FF"/>
    <w:rsid w:val="002C7AFE"/>
    <w:rsid w:val="002D05D2"/>
    <w:rsid w:val="002E0D61"/>
    <w:rsid w:val="002E4C7B"/>
    <w:rsid w:val="002F0565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87D9D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2F01"/>
    <w:rsid w:val="00417A56"/>
    <w:rsid w:val="00420957"/>
    <w:rsid w:val="00422A10"/>
    <w:rsid w:val="00430179"/>
    <w:rsid w:val="004414B5"/>
    <w:rsid w:val="00441CE4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08FB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7B6B"/>
    <w:rsid w:val="004C1E3F"/>
    <w:rsid w:val="004C23F4"/>
    <w:rsid w:val="004C2740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060D3"/>
    <w:rsid w:val="00513254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6529B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49D1"/>
    <w:rsid w:val="00634D5E"/>
    <w:rsid w:val="006363A8"/>
    <w:rsid w:val="00636DB7"/>
    <w:rsid w:val="006409C9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0C73"/>
    <w:rsid w:val="00695B72"/>
    <w:rsid w:val="006B160A"/>
    <w:rsid w:val="006B4E6C"/>
    <w:rsid w:val="006B50B6"/>
    <w:rsid w:val="006D6A28"/>
    <w:rsid w:val="006D79EA"/>
    <w:rsid w:val="006E5D05"/>
    <w:rsid w:val="00701053"/>
    <w:rsid w:val="00701507"/>
    <w:rsid w:val="00703C4C"/>
    <w:rsid w:val="00714021"/>
    <w:rsid w:val="00716A0F"/>
    <w:rsid w:val="00717D45"/>
    <w:rsid w:val="007208F7"/>
    <w:rsid w:val="007218AF"/>
    <w:rsid w:val="00733914"/>
    <w:rsid w:val="007365D1"/>
    <w:rsid w:val="00740E0E"/>
    <w:rsid w:val="00750212"/>
    <w:rsid w:val="00754779"/>
    <w:rsid w:val="0075716D"/>
    <w:rsid w:val="00765F14"/>
    <w:rsid w:val="00770E31"/>
    <w:rsid w:val="0077111C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A6C"/>
    <w:rsid w:val="00871CD5"/>
    <w:rsid w:val="008745A2"/>
    <w:rsid w:val="008768A8"/>
    <w:rsid w:val="00882ECF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3A37"/>
    <w:rsid w:val="008E5EE6"/>
    <w:rsid w:val="008E7B64"/>
    <w:rsid w:val="008F3132"/>
    <w:rsid w:val="008F5DCD"/>
    <w:rsid w:val="00900951"/>
    <w:rsid w:val="009118A6"/>
    <w:rsid w:val="009132D3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66D37"/>
    <w:rsid w:val="00974258"/>
    <w:rsid w:val="00974F2D"/>
    <w:rsid w:val="0097643C"/>
    <w:rsid w:val="00977524"/>
    <w:rsid w:val="00977E88"/>
    <w:rsid w:val="00984920"/>
    <w:rsid w:val="0099303A"/>
    <w:rsid w:val="009971C2"/>
    <w:rsid w:val="009A1254"/>
    <w:rsid w:val="009B2171"/>
    <w:rsid w:val="009B2FF2"/>
    <w:rsid w:val="009B380C"/>
    <w:rsid w:val="009B4843"/>
    <w:rsid w:val="009B6543"/>
    <w:rsid w:val="009C199D"/>
    <w:rsid w:val="009C278F"/>
    <w:rsid w:val="009C2B94"/>
    <w:rsid w:val="009C5874"/>
    <w:rsid w:val="009D0855"/>
    <w:rsid w:val="009D3B5A"/>
    <w:rsid w:val="009D5105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20DF"/>
    <w:rsid w:val="00A0643F"/>
    <w:rsid w:val="00A067EE"/>
    <w:rsid w:val="00A10FCE"/>
    <w:rsid w:val="00A15F42"/>
    <w:rsid w:val="00A16D91"/>
    <w:rsid w:val="00A174CC"/>
    <w:rsid w:val="00A2073D"/>
    <w:rsid w:val="00A20751"/>
    <w:rsid w:val="00A27E2D"/>
    <w:rsid w:val="00A31D99"/>
    <w:rsid w:val="00A32617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457E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2577"/>
    <w:rsid w:val="00AF42CB"/>
    <w:rsid w:val="00AF483F"/>
    <w:rsid w:val="00AF5E07"/>
    <w:rsid w:val="00AF5F06"/>
    <w:rsid w:val="00B00A25"/>
    <w:rsid w:val="00B032E8"/>
    <w:rsid w:val="00B1422A"/>
    <w:rsid w:val="00B1765C"/>
    <w:rsid w:val="00B213C4"/>
    <w:rsid w:val="00B40C60"/>
    <w:rsid w:val="00B40D7E"/>
    <w:rsid w:val="00B479A9"/>
    <w:rsid w:val="00B47C32"/>
    <w:rsid w:val="00B52EDF"/>
    <w:rsid w:val="00B71188"/>
    <w:rsid w:val="00B76A41"/>
    <w:rsid w:val="00B87D4C"/>
    <w:rsid w:val="00B91A11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1D7"/>
    <w:rsid w:val="00C61EDF"/>
    <w:rsid w:val="00C6239D"/>
    <w:rsid w:val="00C624BE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35FDA"/>
    <w:rsid w:val="00D44C89"/>
    <w:rsid w:val="00D516CD"/>
    <w:rsid w:val="00D668E6"/>
    <w:rsid w:val="00D70670"/>
    <w:rsid w:val="00D73442"/>
    <w:rsid w:val="00D74D80"/>
    <w:rsid w:val="00D76624"/>
    <w:rsid w:val="00D87570"/>
    <w:rsid w:val="00D91CB9"/>
    <w:rsid w:val="00D97989"/>
    <w:rsid w:val="00D97D8D"/>
    <w:rsid w:val="00DA352E"/>
    <w:rsid w:val="00DC10B1"/>
    <w:rsid w:val="00DC7694"/>
    <w:rsid w:val="00DC77A8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E7692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4DE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E3BC8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FA4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DC77A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DC77A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DC77A8"/>
    <w:pPr>
      <w:numPr>
        <w:numId w:val="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6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34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34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340"/>
    <w:rPr>
      <w:b/>
      <w:bCs/>
      <w:szCs w:val="20"/>
    </w:rPr>
  </w:style>
  <w:style w:type="paragraph" w:styleId="Revision">
    <w:name w:val="Revision"/>
    <w:hidden/>
    <w:uiPriority w:val="99"/>
    <w:semiHidden/>
    <w:rsid w:val="00F14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B54F5F"/>
    <w:rsid w:val="00D21A9F"/>
    <w:rsid w:val="00EC64D2"/>
    <w:rsid w:val="00FC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F2CE-8E41-4ED3-B047-A86A5C9EE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95C224-1BB1-4A91-B9E9-274E2BDCB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90811-62B6-41E2-891B-765D121AC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E02BC1-E7E1-45A0-A9AE-9517C80C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EEA5CF9A.dotm</Template>
  <TotalTime>0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2019-07-19T02:10:00Z</dcterms:created>
  <dcterms:modified xsi:type="dcterms:W3CDTF">2019-08-15T23:36:00Z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